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EB1D6" w14:textId="7243C910" w:rsidR="006D0360" w:rsidRPr="006D0360" w:rsidRDefault="006D0360" w:rsidP="006D0360">
      <w:pPr>
        <w:spacing w:before="100" w:beforeAutospacing="1" w:after="100" w:afterAutospacing="1" w:line="240" w:lineRule="auto"/>
        <w:outlineLvl w:val="0"/>
        <w:rPr>
          <w:rFonts w:asciiTheme="majorBidi" w:eastAsia="Times New Roman" w:hAnsiTheme="majorBidi" w:cstheme="majorBidi"/>
          <w:b/>
          <w:bCs/>
          <w:kern w:val="36"/>
          <w:sz w:val="24"/>
          <w:szCs w:val="24"/>
          <w:u w:val="single"/>
        </w:rPr>
      </w:pPr>
      <w:bookmarkStart w:id="0" w:name="_Hlk226581037"/>
      <w:bookmarkStart w:id="1" w:name="_Hlk227064368"/>
      <w:r w:rsidRPr="006D0360">
        <w:rPr>
          <w:rFonts w:asciiTheme="majorBidi" w:eastAsia="Times New Roman" w:hAnsiTheme="majorBidi" w:cstheme="majorBidi"/>
          <w:b/>
          <w:bCs/>
          <w:kern w:val="36"/>
          <w:sz w:val="24"/>
          <w:szCs w:val="24"/>
          <w:u w:val="single"/>
        </w:rPr>
        <w:t>Original Research Article</w:t>
      </w:r>
    </w:p>
    <w:p w14:paraId="5DE97748" w14:textId="3FDD9E4C" w:rsidR="000A6C7E" w:rsidRPr="000A6C7E" w:rsidRDefault="000A6C7E" w:rsidP="006D0360">
      <w:pPr>
        <w:spacing w:before="100" w:beforeAutospacing="1" w:after="100" w:afterAutospacing="1" w:line="240" w:lineRule="auto"/>
        <w:jc w:val="right"/>
        <w:outlineLvl w:val="0"/>
        <w:rPr>
          <w:rFonts w:asciiTheme="majorBidi" w:eastAsia="Times New Roman" w:hAnsiTheme="majorBidi" w:cstheme="majorBidi"/>
          <w:b/>
          <w:bCs/>
          <w:kern w:val="36"/>
          <w:sz w:val="24"/>
          <w:szCs w:val="24"/>
        </w:rPr>
      </w:pPr>
      <w:r w:rsidRPr="000A6C7E">
        <w:rPr>
          <w:rFonts w:asciiTheme="majorBidi" w:eastAsia="Times New Roman" w:hAnsiTheme="majorBidi" w:cstheme="majorBidi"/>
          <w:b/>
          <w:bCs/>
          <w:kern w:val="36"/>
          <w:sz w:val="24"/>
          <w:szCs w:val="24"/>
        </w:rPr>
        <w:t>ANALYZING THE PHYSICS LEARNING ENVIRONMENT FOR VISUALLY IMPAIRED STUDENTS IN INCLUSIVE SECONDARY SCHOOLS: EVIDENCE FROM ZOMBA DISTRICT, MALAWI</w:t>
      </w:r>
    </w:p>
    <w:bookmarkEnd w:id="0"/>
    <w:bookmarkEnd w:id="1"/>
    <w:p w14:paraId="18EB75D4" w14:textId="77777777" w:rsidR="006D0360" w:rsidRPr="00E70920" w:rsidRDefault="006D0360" w:rsidP="006D0360">
      <w:pPr>
        <w:spacing w:before="100" w:beforeAutospacing="1" w:after="100" w:afterAutospacing="1" w:line="240" w:lineRule="auto"/>
        <w:jc w:val="right"/>
        <w:outlineLvl w:val="1"/>
        <w:rPr>
          <w:rFonts w:ascii="Times New Roman" w:eastAsia="Times New Roman" w:hAnsi="Times New Roman" w:cs="Times New Roman"/>
          <w:b/>
          <w:bCs/>
          <w:i/>
          <w:iCs/>
          <w:sz w:val="24"/>
          <w:szCs w:val="24"/>
        </w:rPr>
      </w:pPr>
    </w:p>
    <w:p w14:paraId="08C43EDC" w14:textId="08F1BF1B"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Abstract</w:t>
      </w:r>
    </w:p>
    <w:p w14:paraId="3D3D35B1" w14:textId="788748B4" w:rsidR="00383261" w:rsidRPr="00383261" w:rsidRDefault="00383261" w:rsidP="00383261">
      <w:pPr>
        <w:pStyle w:val="NormalWeb"/>
        <w:jc w:val="both"/>
      </w:pPr>
      <w:r>
        <w:t>Inclusive education remains a global priority; however, subject-specific challenges persist, particularly in science disciplines such as physics. This study examined the physics learning environment for visually impaired students in inclusive secondary schools in Zomba District, Malawi, using a mixed-methods research design. A total of 34 participants were involved, including 30 students and 4 physics teachers. Only student data (N = 30) were included in the quantitative analysis, while teacher data were analysed qualitatively. The findings revealed significant differences in learning outcomes between visually impaired and sighted students, with sighted students performing better (</w:t>
      </w:r>
      <w:proofErr w:type="gramStart"/>
      <w:r>
        <w:t>t(</w:t>
      </w:r>
      <w:proofErr w:type="gramEnd"/>
      <w:r>
        <w:t>28) = -2.14, p = .041). Learning outcomes also varied significantly across age groups (</w:t>
      </w:r>
      <w:proofErr w:type="gramStart"/>
      <w:r>
        <w:t>F(</w:t>
      </w:r>
      <w:proofErr w:type="gramEnd"/>
      <w:r>
        <w:t>2, 27) = 3.87, p = .033)</w:t>
      </w:r>
      <w:r w:rsidR="0062406F">
        <w:t>. Access</w:t>
      </w:r>
      <w:r>
        <w:t xml:space="preserve"> to resources was significantly associated with gender (χ² = 3.92, p &lt; .05). Correlation analysis indicated moderate positive relationships among access to resources, teacher support, student engagement, and learning outcomes, with student engagement showing the strongest association (r = .53). Multiple regression analysis identified teacher preparedness as the strongest predictor of learning outcomes (β = .36), followed by assistive technology and access to resources, with the model explaining 34% of the variance. Qualitative findings highlighted key challenges, including limited access to tactile learning materials, inadequate assistive technologies, insufficient teacher training, and barriers in conducting laboratory experiments. However, the use of multi-sensory teaching approaches was found to enhance student engagement and participation. The study concludes that although inclusive education policies exist, their implementation in physics classrooms remains inadequate. It recommends targeted investment in teacher training, assistive technologies, and accessible instructional materials to improve learning outcomes. These findings contribute to the advancement of inclusive STEM education in low-resource contexts.</w:t>
      </w:r>
    </w:p>
    <w:p w14:paraId="7DD8DAD4" w14:textId="6C50B5B9" w:rsidR="00EF5059" w:rsidRPr="0094257E" w:rsidRDefault="00B838FF" w:rsidP="0094257E">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b/>
          <w:bCs/>
          <w:sz w:val="24"/>
          <w:szCs w:val="24"/>
        </w:rPr>
        <w:t>Keywords:</w:t>
      </w:r>
      <w:r w:rsidRPr="00B838FF">
        <w:rPr>
          <w:rFonts w:ascii="Times New Roman" w:eastAsia="Times New Roman" w:hAnsi="Times New Roman" w:cs="Times New Roman"/>
          <w:sz w:val="24"/>
          <w:szCs w:val="24"/>
        </w:rPr>
        <w:t xml:space="preserve"> Inclusive education, Physics education, Visual impairment, Assistive technology, STEM education, Malawi</w:t>
      </w:r>
    </w:p>
    <w:p w14:paraId="1E823A05" w14:textId="729CA0FC" w:rsidR="00B838FF" w:rsidRP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INTRODUCTION</w:t>
      </w:r>
    </w:p>
    <w:p w14:paraId="04F890E9" w14:textId="77777777"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Physics education plays a fundamental role in developing scientific literacy and critical thinking skills necessary for understanding the natural world. However, the subject heavily relies on visual representations such as diagrams, graphs, and experiments, which pose challenges for visually impaired students. Inclusive education aims to address such disparities by ensuring that all learners, regardless of disability, have equal access to quality education.</w:t>
      </w:r>
    </w:p>
    <w:p w14:paraId="4EDBEBDF" w14:textId="77777777"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Despite global commitments to inclusive education, there is limited research focusing specifically on the physics learning environment for visually impaired students in inclusive secondary schools. Most existing studies address general educational challenges without considering subject-specific barriers, particularly in science disciplines.</w:t>
      </w:r>
    </w:p>
    <w:p w14:paraId="65F4B0D0" w14:textId="07D77BE2"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lastRenderedPageBreak/>
        <w:t xml:space="preserve">Visually impaired students often face difficulties in accessing instructional materials, participating in laboratory activities, and understanding abstract concepts presented visually. These challenges are compounded by insufficient teacher training, </w:t>
      </w:r>
      <w:r w:rsidR="0062406F">
        <w:rPr>
          <w:rFonts w:ascii="Times New Roman" w:eastAsia="Times New Roman" w:hAnsi="Times New Roman" w:cs="Times New Roman"/>
          <w:sz w:val="24"/>
          <w:szCs w:val="24"/>
        </w:rPr>
        <w:t xml:space="preserve">a </w:t>
      </w:r>
      <w:r w:rsidRPr="00B838FF">
        <w:rPr>
          <w:rFonts w:ascii="Times New Roman" w:eastAsia="Times New Roman" w:hAnsi="Times New Roman" w:cs="Times New Roman"/>
          <w:sz w:val="24"/>
          <w:szCs w:val="24"/>
        </w:rPr>
        <w:t>lack of assistive technologies, and limited institutional support.</w:t>
      </w:r>
    </w:p>
    <w:p w14:paraId="3E4A311A" w14:textId="77777777" w:rsid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This study seeks to bridge this gap by analysing the physics learning environment for visually impaired students in inclusive secondary schools in Zomba District, Malawi. It focuses on identifying key challenges, evaluating existing support systems, and proposing strategies to improve inclusivity in physics education.</w:t>
      </w:r>
    </w:p>
    <w:p w14:paraId="7336F215" w14:textId="261B8051"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b/>
          <w:bCs/>
          <w:sz w:val="27"/>
          <w:szCs w:val="27"/>
        </w:rPr>
        <w:t>Research Objectives</w:t>
      </w:r>
    </w:p>
    <w:p w14:paraId="1DF21441" w14:textId="7E9672C0" w:rsidR="00B838FF" w:rsidRPr="00B838FF" w:rsidRDefault="00B838FF" w:rsidP="00B838FF">
      <w:p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The main objective of this study is to analyse the physics learning environment for visually impaired students in inclusive secondary schools.</w:t>
      </w:r>
    </w:p>
    <w:p w14:paraId="6AFFC891" w14:textId="77777777" w:rsidR="00B838FF" w:rsidRPr="00B838FF" w:rsidRDefault="00B838FF" w:rsidP="00B838FF">
      <w:p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Specific objectives include:</w:t>
      </w:r>
    </w:p>
    <w:p w14:paraId="71BE6366" w14:textId="77777777"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identify the challenges faced by visually impaired students in learning physics. </w:t>
      </w:r>
    </w:p>
    <w:p w14:paraId="2FF842A8" w14:textId="77777777"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examine the support systems available for visually impaired students. </w:t>
      </w:r>
    </w:p>
    <w:p w14:paraId="4B3DD711" w14:textId="1CACDDDB"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propose strategies for improving the physics learning environment. </w:t>
      </w:r>
    </w:p>
    <w:p w14:paraId="627778AC" w14:textId="77777777" w:rsidR="00344CA2" w:rsidRPr="00707A89" w:rsidRDefault="00344CA2" w:rsidP="00344CA2">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Theoretical Framework</w:t>
      </w:r>
    </w:p>
    <w:p w14:paraId="1C5D5B2B" w14:textId="4AB97AB3"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This study is grounded in three key theories that explain how </w:t>
      </w:r>
      <w:r w:rsidR="00424369">
        <w:rPr>
          <w:rFonts w:ascii="Times New Roman" w:eastAsia="Times New Roman" w:hAnsi="Times New Roman" w:cs="Times New Roman"/>
          <w:sz w:val="24"/>
          <w:szCs w:val="24"/>
        </w:rPr>
        <w:t xml:space="preserve">to create inclusive learning environments </w:t>
      </w:r>
      <w:r w:rsidRPr="00707A89">
        <w:rPr>
          <w:rFonts w:ascii="Times New Roman" w:eastAsia="Times New Roman" w:hAnsi="Times New Roman" w:cs="Times New Roman"/>
          <w:sz w:val="24"/>
          <w:szCs w:val="24"/>
        </w:rPr>
        <w:t xml:space="preserve">for visually impaired students in physics education: </w:t>
      </w:r>
      <w:r w:rsidRPr="005C310A">
        <w:rPr>
          <w:rFonts w:ascii="Times New Roman" w:eastAsia="Times New Roman" w:hAnsi="Times New Roman" w:cs="Times New Roman"/>
          <w:sz w:val="24"/>
          <w:szCs w:val="24"/>
        </w:rPr>
        <w:t>Universal Design for Learning (UDL), Constructivist Learning Theory, and Social Inclusion Theory.</w:t>
      </w:r>
    </w:p>
    <w:p w14:paraId="447F3DB0" w14:textId="77777777" w:rsidR="00344CA2" w:rsidRPr="00707A89"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Universal Design for Learning (UDL)</w:t>
      </w:r>
    </w:p>
    <w:p w14:paraId="606E6433" w14:textId="51766420"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Universal Design for Learning (UDL) provides a framework for designing instructional environments that accommodate diverse learners by offering multiple means of representation, engagement, and expression. According to CAST (2018), UDL </w:t>
      </w:r>
      <w:r w:rsidR="00383261">
        <w:rPr>
          <w:rFonts w:ascii="Times New Roman" w:eastAsia="Times New Roman" w:hAnsi="Times New Roman" w:cs="Times New Roman"/>
          <w:sz w:val="24"/>
          <w:szCs w:val="24"/>
        </w:rPr>
        <w:t>emphasises</w:t>
      </w:r>
      <w:r w:rsidRPr="00707A89">
        <w:rPr>
          <w:rFonts w:ascii="Times New Roman" w:eastAsia="Times New Roman" w:hAnsi="Times New Roman" w:cs="Times New Roman"/>
          <w:sz w:val="24"/>
          <w:szCs w:val="24"/>
        </w:rPr>
        <w:t xml:space="preserve"> flexibility in teaching methods and materials to ensure accessibility for all learners.</w:t>
      </w:r>
    </w:p>
    <w:p w14:paraId="0606DB83" w14:textId="77777777"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In the context of physics education, UDL supports the use of tactile diagrams, audio resources, and assistive technologies to present abstract concepts in accessible formats. This aligns with findings by Datta et al. (2020), who highlight the importance of assistive technologies in enhancing STEM learning for visually impaired students. UDL is particularly relevant to this study as it advocates for proactive design of inclusive learning environments rather than reactive accommodations.</w:t>
      </w:r>
    </w:p>
    <w:p w14:paraId="501FE20B" w14:textId="77777777" w:rsidR="00344CA2" w:rsidRPr="00707A89"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Constructivist Learning Theory</w:t>
      </w:r>
    </w:p>
    <w:p w14:paraId="722F9556" w14:textId="22BE15D4"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Constructivist Learning Theory posits that learners actively construct knowledge through interaction with their environment and experiences (Piaget, 1972; Vygotsky, 1978). Learning is</w:t>
      </w:r>
      <w:r w:rsidR="00424369">
        <w:rPr>
          <w:rFonts w:ascii="Times New Roman" w:eastAsia="Times New Roman" w:hAnsi="Times New Roman" w:cs="Times New Roman"/>
          <w:sz w:val="24"/>
          <w:szCs w:val="24"/>
        </w:rPr>
        <w:t xml:space="preserve"> therefore most effective when students are engaged in hands-on,</w:t>
      </w:r>
      <w:r w:rsidRPr="00707A89">
        <w:rPr>
          <w:rFonts w:ascii="Times New Roman" w:eastAsia="Times New Roman" w:hAnsi="Times New Roman" w:cs="Times New Roman"/>
          <w:sz w:val="24"/>
          <w:szCs w:val="24"/>
        </w:rPr>
        <w:t xml:space="preserve"> meaningful activities.</w:t>
      </w:r>
    </w:p>
    <w:p w14:paraId="2681002D" w14:textId="77777777"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In physics education, this theory underscores the importance of laboratory experiments and experiential learning. However, visually impaired students often face barriers in participating in such activities due to their visual nature. Adaptations such as tactile and auditory-based </w:t>
      </w:r>
      <w:r w:rsidRPr="00707A89">
        <w:rPr>
          <w:rFonts w:ascii="Times New Roman" w:eastAsia="Times New Roman" w:hAnsi="Times New Roman" w:cs="Times New Roman"/>
          <w:sz w:val="24"/>
          <w:szCs w:val="24"/>
        </w:rPr>
        <w:lastRenderedPageBreak/>
        <w:t>experiments are necessary to ensure that these students can actively construct knowledge (</w:t>
      </w:r>
      <w:proofErr w:type="spellStart"/>
      <w:r w:rsidRPr="00707A89">
        <w:rPr>
          <w:rFonts w:ascii="Times New Roman" w:eastAsia="Times New Roman" w:hAnsi="Times New Roman" w:cs="Times New Roman"/>
          <w:sz w:val="24"/>
          <w:szCs w:val="24"/>
        </w:rPr>
        <w:t>Sasao</w:t>
      </w:r>
      <w:proofErr w:type="spellEnd"/>
      <w:r w:rsidRPr="00707A89">
        <w:rPr>
          <w:rFonts w:ascii="Times New Roman" w:eastAsia="Times New Roman" w:hAnsi="Times New Roman" w:cs="Times New Roman"/>
          <w:sz w:val="24"/>
          <w:szCs w:val="24"/>
        </w:rPr>
        <w:t>, 2015). This theory supports the study’s emphasis on adapting teaching strategies to promote active participation.</w:t>
      </w:r>
    </w:p>
    <w:p w14:paraId="3DF0829C" w14:textId="77777777" w:rsidR="00344CA2" w:rsidRPr="00707A89"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Social Inclusion Theory</w:t>
      </w:r>
    </w:p>
    <w:p w14:paraId="4ECF605B" w14:textId="1C89FEDC"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Social Inclusion Theory focuses on </w:t>
      </w:r>
      <w:r w:rsidR="00424369">
        <w:rPr>
          <w:rFonts w:ascii="Times New Roman" w:eastAsia="Times New Roman" w:hAnsi="Times New Roman" w:cs="Times New Roman"/>
          <w:sz w:val="24"/>
          <w:szCs w:val="24"/>
        </w:rPr>
        <w:t xml:space="preserve">removing barriers that prevent individuals from fully participating in society, including in </w:t>
      </w:r>
      <w:r w:rsidRPr="00707A89">
        <w:rPr>
          <w:rFonts w:ascii="Times New Roman" w:eastAsia="Times New Roman" w:hAnsi="Times New Roman" w:cs="Times New Roman"/>
          <w:sz w:val="24"/>
          <w:szCs w:val="24"/>
        </w:rPr>
        <w:t xml:space="preserve">education. It </w:t>
      </w:r>
      <w:r w:rsidR="00383261">
        <w:rPr>
          <w:rFonts w:ascii="Times New Roman" w:eastAsia="Times New Roman" w:hAnsi="Times New Roman" w:cs="Times New Roman"/>
          <w:sz w:val="24"/>
          <w:szCs w:val="24"/>
        </w:rPr>
        <w:t>emphasises</w:t>
      </w:r>
      <w:r w:rsidRPr="00707A89">
        <w:rPr>
          <w:rFonts w:ascii="Times New Roman" w:eastAsia="Times New Roman" w:hAnsi="Times New Roman" w:cs="Times New Roman"/>
          <w:sz w:val="24"/>
          <w:szCs w:val="24"/>
        </w:rPr>
        <w:t xml:space="preserve"> equity, participation, and access to resources (UNESCO, 2008).</w:t>
      </w:r>
    </w:p>
    <w:p w14:paraId="04B05A0E" w14:textId="254DEA30"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In inclusive education, this theory highlights the importance of creating learning environments where all students feel valued and supported. The lack of accessible materials and trained teachers can lead to </w:t>
      </w:r>
      <w:r w:rsidR="0062406F">
        <w:rPr>
          <w:rFonts w:ascii="Times New Roman" w:eastAsia="Times New Roman" w:hAnsi="Times New Roman" w:cs="Times New Roman"/>
          <w:sz w:val="24"/>
          <w:szCs w:val="24"/>
        </w:rPr>
        <w:t xml:space="preserve">the </w:t>
      </w:r>
      <w:r w:rsidRPr="00707A89">
        <w:rPr>
          <w:rFonts w:ascii="Times New Roman" w:eastAsia="Times New Roman" w:hAnsi="Times New Roman" w:cs="Times New Roman"/>
          <w:sz w:val="24"/>
          <w:szCs w:val="24"/>
        </w:rPr>
        <w:t>exclusion of visually impaired students, even in inclusive settings. Engelbrecht et al. (2013) argue that successful inclusion requires both structural support and positive attitudes from educators.</w:t>
      </w:r>
    </w:p>
    <w:p w14:paraId="7C7B7A23" w14:textId="625104A3" w:rsidR="00344CA2"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Together, these theories provide a comprehensive foundation for understanding the challenges and opportunities in creating inclusive physics learning environments.</w:t>
      </w:r>
    </w:p>
    <w:p w14:paraId="022EC629" w14:textId="77777777" w:rsidR="00E726E0" w:rsidRPr="00ED29B7" w:rsidRDefault="00E726E0" w:rsidP="00E726E0">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D29B7">
        <w:rPr>
          <w:rFonts w:ascii="Times New Roman" w:eastAsia="Times New Roman" w:hAnsi="Times New Roman" w:cs="Times New Roman"/>
          <w:b/>
          <w:bCs/>
          <w:sz w:val="24"/>
          <w:szCs w:val="24"/>
        </w:rPr>
        <w:t>Conceptual Framework</w:t>
      </w:r>
    </w:p>
    <w:p w14:paraId="5774CB3D" w14:textId="77777777" w:rsidR="00E726E0" w:rsidRDefault="00E726E0" w:rsidP="00E726E0">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The conceptual framework for this study illustrates the relationship between key variables influencing the physics learning environment for visually impaired students.</w:t>
      </w:r>
    </w:p>
    <w:p w14:paraId="2D815D1A" w14:textId="28BC866A" w:rsidR="00A71876" w:rsidRDefault="00F73894" w:rsidP="00A7187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FIGURE 1.</w:t>
      </w:r>
      <w:r w:rsidR="00A71876">
        <w:rPr>
          <w:rFonts w:ascii="Times New Roman" w:eastAsia="Times New Roman" w:hAnsi="Times New Roman" w:cs="Times New Roman"/>
          <w:sz w:val="24"/>
          <w:szCs w:val="24"/>
        </w:rPr>
        <w:t xml:space="preserve"> </w:t>
      </w:r>
      <w:r w:rsidR="00A71876">
        <w:rPr>
          <w:rFonts w:ascii="Times New Roman" w:eastAsia="Times New Roman" w:hAnsi="Times New Roman" w:cs="Times New Roman"/>
          <w:b/>
          <w:bCs/>
          <w:sz w:val="24"/>
          <w:szCs w:val="24"/>
        </w:rPr>
        <w:t>Conceptual Framework of the study</w:t>
      </w:r>
    </w:p>
    <w:p w14:paraId="76587F60" w14:textId="56DD84FD" w:rsidR="00F73894" w:rsidRPr="00707A89" w:rsidRDefault="00F73894" w:rsidP="00E726E0">
      <w:pPr>
        <w:spacing w:before="100" w:beforeAutospacing="1" w:after="100" w:afterAutospacing="1" w:line="240" w:lineRule="auto"/>
        <w:jc w:val="both"/>
        <w:rPr>
          <w:rFonts w:ascii="Times New Roman" w:eastAsia="Times New Roman" w:hAnsi="Times New Roman" w:cs="Times New Roman"/>
          <w:sz w:val="24"/>
          <w:szCs w:val="24"/>
        </w:rPr>
      </w:pPr>
    </w:p>
    <w:p w14:paraId="592BD8F3" w14:textId="532226AD" w:rsidR="00E726E0" w:rsidRPr="00707A89" w:rsidRDefault="00E726E0" w:rsidP="00344CA2">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60328A1F" wp14:editId="4ADBE35B">
            <wp:extent cx="5731510" cy="31261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64C09124" w14:textId="4426364E" w:rsidR="00344CA2" w:rsidRDefault="00E726E0" w:rsidP="00B838FF">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Explanation of the </w:t>
      </w:r>
      <w:r w:rsidR="00E74581">
        <w:rPr>
          <w:rFonts w:ascii="Times New Roman" w:eastAsia="Times New Roman" w:hAnsi="Times New Roman" w:cs="Times New Roman"/>
          <w:b/>
          <w:bCs/>
          <w:sz w:val="24"/>
          <w:szCs w:val="24"/>
        </w:rPr>
        <w:t>Conceptual</w:t>
      </w:r>
      <w:r>
        <w:rPr>
          <w:rFonts w:ascii="Times New Roman" w:eastAsia="Times New Roman" w:hAnsi="Times New Roman" w:cs="Times New Roman"/>
          <w:b/>
          <w:bCs/>
          <w:sz w:val="24"/>
          <w:szCs w:val="24"/>
        </w:rPr>
        <w:t xml:space="preserve"> Framework</w:t>
      </w:r>
    </w:p>
    <w:p w14:paraId="19DA3E30" w14:textId="5B8002E7" w:rsidR="00E726E0" w:rsidRDefault="005D7078" w:rsidP="005D7078">
      <w:pPr>
        <w:pStyle w:val="NormalWeb"/>
        <w:jc w:val="both"/>
      </w:pPr>
      <w:r>
        <w:lastRenderedPageBreak/>
        <w:t xml:space="preserve">The study </w:t>
      </w:r>
      <w:r w:rsidR="0062406F">
        <w:t>conceptualises</w:t>
      </w:r>
      <w:r>
        <w:t xml:space="preserve"> </w:t>
      </w:r>
      <w:r w:rsidR="000A6C7E">
        <w:t>how independent variables</w:t>
      </w:r>
      <w:r>
        <w:t xml:space="preserve"> influence dependent variables, while intervening variables affect the strength and direction of these relationships. Specifically</w:t>
      </w:r>
      <w:r w:rsidR="00E726E0">
        <w:t>, the independent variables include teacher preparedness, availability of assistive technologies, access to instructional resources, and inclusive teaching strategies. These factors are considered essential in shaping the effectiveness of the physics learning environment for visually impaired students.</w:t>
      </w:r>
    </w:p>
    <w:p w14:paraId="6490830A" w14:textId="77777777" w:rsidR="00E726E0" w:rsidRDefault="00E726E0" w:rsidP="00E726E0">
      <w:pPr>
        <w:pStyle w:val="NormalWeb"/>
      </w:pPr>
      <w:r>
        <w:t>The dependent variables in this study are student engagement and learning outcomes in physics. These outcomes reflect the extent to which students are able to participate actively in learning and achieve academic success.</w:t>
      </w:r>
    </w:p>
    <w:p w14:paraId="16FFFB0A" w14:textId="77777777" w:rsidR="00E726E0" w:rsidRDefault="00E726E0" w:rsidP="00E726E0">
      <w:pPr>
        <w:pStyle w:val="NormalWeb"/>
      </w:pPr>
      <w:r>
        <w:t>In addition, the relationship between the independent and dependent variables is influenced by intervening variables such as school infrastructure, institutional support, and policy implementation. These factors may either enhance or hinder the effectiveness of inclusive practices in the classroom.</w:t>
      </w:r>
    </w:p>
    <w:p w14:paraId="754E7164" w14:textId="77777777" w:rsidR="00E726E0" w:rsidRDefault="00E726E0" w:rsidP="00E726E0">
      <w:pPr>
        <w:pStyle w:val="NormalWeb"/>
      </w:pPr>
      <w:r>
        <w:t>The framework assumes that improved teacher preparedness, adequate provision of assistive technologies, and increased access to instructional resources contribute to higher levels of student engagement and improved learning outcomes. However, the extent of this impact depends on the presence of supportive institutional conditions and adequate infrastructure.</w:t>
      </w:r>
    </w:p>
    <w:p w14:paraId="59A04456" w14:textId="2570ECDC" w:rsidR="00E726E0" w:rsidRPr="00E726E0" w:rsidRDefault="00E726E0" w:rsidP="00E726E0">
      <w:pPr>
        <w:pStyle w:val="NormalWeb"/>
      </w:pPr>
      <w:r>
        <w:t xml:space="preserve">This </w:t>
      </w:r>
      <w:r w:rsidR="00B96D3C">
        <w:t>conceptualisation</w:t>
      </w:r>
      <w:r>
        <w:t xml:space="preserve"> is supported by previous studies, which indicate that access to resources and teacher support significantly influence student engagement and academic performance (Datta et al., 2020; Rosenblum et al., 2013).</w:t>
      </w:r>
    </w:p>
    <w:p w14:paraId="1E707D45" w14:textId="6D8F828E"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LITERATURE REVIEW</w:t>
      </w:r>
    </w:p>
    <w:p w14:paraId="7F5DA757" w14:textId="489C8988"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This section reviews existing literature on the physics learning environment for visually impaired students in inclusive secondary schools. It focuses on three key areas: (1) challenges faced by visually impaired learners in physics, (2) support systems and accommodations, and (3) the effectiveness of inclusive physics learning environments. In addition to </w:t>
      </w:r>
      <w:r w:rsidR="0062406F">
        <w:rPr>
          <w:rFonts w:ascii="Times New Roman" w:eastAsia="Times New Roman" w:hAnsi="Times New Roman" w:cs="Times New Roman"/>
          <w:sz w:val="24"/>
          <w:szCs w:val="24"/>
        </w:rPr>
        <w:t>summarising</w:t>
      </w:r>
      <w:r w:rsidRPr="008E6CE1">
        <w:rPr>
          <w:rFonts w:ascii="Times New Roman" w:eastAsia="Times New Roman" w:hAnsi="Times New Roman" w:cs="Times New Roman"/>
          <w:sz w:val="24"/>
          <w:szCs w:val="24"/>
        </w:rPr>
        <w:t xml:space="preserve"> existing studies, this review critically examines their limitations and highlights gaps, particularly the limited focus on subject-specific challenges in physics education within low-resource contexts.</w:t>
      </w:r>
    </w:p>
    <w:p w14:paraId="46E9A9A5"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Challenges Faced by Visually Impaired Students in Learning Physics</w:t>
      </w:r>
    </w:p>
    <w:p w14:paraId="0D1DEE4B" w14:textId="275CFE9A"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Physics is inherently a visually intensive subject that relies heavily on diagrams, graphs, experiments, and demonstrations. For visually impaired students, this creates significant barriers to learning and participation. One of the most commonly cited challenges is limited access to visual information. Rule et al. (2011) note that visually impaired students often struggle to interpret graphical representations and diagrams, which are essential for understanding many physics concepts. However, much of this research is based on </w:t>
      </w:r>
      <w:r w:rsidR="0062406F">
        <w:rPr>
          <w:rFonts w:ascii="Times New Roman" w:eastAsia="Times New Roman" w:hAnsi="Times New Roman" w:cs="Times New Roman"/>
          <w:sz w:val="24"/>
          <w:szCs w:val="24"/>
        </w:rPr>
        <w:t>generalised</w:t>
      </w:r>
      <w:r w:rsidRPr="008E6CE1">
        <w:rPr>
          <w:rFonts w:ascii="Times New Roman" w:eastAsia="Times New Roman" w:hAnsi="Times New Roman" w:cs="Times New Roman"/>
          <w:sz w:val="24"/>
          <w:szCs w:val="24"/>
        </w:rPr>
        <w:t xml:space="preserve"> science education contexts, with limited focus on the unique demands of physics as a discipline.</w:t>
      </w:r>
    </w:p>
    <w:p w14:paraId="504B746F" w14:textId="57B26A23"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In addition, the lack of tactile instructional materials further complicates learning. Tactile resources such as raised diagrams, models, and manipulatives are essential for translating abstract concepts into accessible formats. Rosenblum et al. (2013) </w:t>
      </w:r>
      <w:r w:rsidR="0062406F">
        <w:rPr>
          <w:rFonts w:ascii="Times New Roman" w:eastAsia="Times New Roman" w:hAnsi="Times New Roman" w:cs="Times New Roman"/>
          <w:sz w:val="24"/>
          <w:szCs w:val="24"/>
        </w:rPr>
        <w:t>emphasise</w:t>
      </w:r>
      <w:r w:rsidRPr="008E6CE1">
        <w:rPr>
          <w:rFonts w:ascii="Times New Roman" w:eastAsia="Times New Roman" w:hAnsi="Times New Roman" w:cs="Times New Roman"/>
          <w:sz w:val="24"/>
          <w:szCs w:val="24"/>
        </w:rPr>
        <w:t xml:space="preserve"> their importance in enhancing conceptual understanding. Nevertheless, their study was conducted in relatively well-resourced educational environments, which may limit the applicability of these findings </w:t>
      </w:r>
      <w:r w:rsidRPr="008E6CE1">
        <w:rPr>
          <w:rFonts w:ascii="Times New Roman" w:eastAsia="Times New Roman" w:hAnsi="Times New Roman" w:cs="Times New Roman"/>
          <w:sz w:val="24"/>
          <w:szCs w:val="24"/>
        </w:rPr>
        <w:lastRenderedPageBreak/>
        <w:t>to low-resource settings such as Malawi, where such materials are often scarce. This suggests a contextual gap in the literature regarding the feasibility of implementing these strategies in developing countries.</w:t>
      </w:r>
    </w:p>
    <w:p w14:paraId="79BEA136"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Laboratory activities also present a major challenge. Physics experiments typically require visual observation, measurement, and interpretation of results. </w:t>
      </w:r>
      <w:proofErr w:type="spellStart"/>
      <w:r w:rsidRPr="008E6CE1">
        <w:rPr>
          <w:rFonts w:ascii="Times New Roman" w:eastAsia="Times New Roman" w:hAnsi="Times New Roman" w:cs="Times New Roman"/>
          <w:sz w:val="24"/>
          <w:szCs w:val="24"/>
        </w:rPr>
        <w:t>Sasao</w:t>
      </w:r>
      <w:proofErr w:type="spellEnd"/>
      <w:r w:rsidRPr="008E6CE1">
        <w:rPr>
          <w:rFonts w:ascii="Times New Roman" w:eastAsia="Times New Roman" w:hAnsi="Times New Roman" w:cs="Times New Roman"/>
          <w:sz w:val="24"/>
          <w:szCs w:val="24"/>
        </w:rPr>
        <w:t xml:space="preserve"> (2015) argues that visually impaired students face significant difficulties in independently conducting experiments, particularly when appropriate adaptations are not provided. While this study highlights important barriers, it provides limited insight into how these adaptations can be sustainably implemented in under-resourced schools, leaving a gap in practical application.</w:t>
      </w:r>
    </w:p>
    <w:p w14:paraId="213B7B1F"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Furthermore, inaccessible instructional materials, such as textbooks that are not available in braille, large print, or digital formats, pose an additional barrier. Rosenblum et al. (2013) highlight that without accessible materials, visually impaired students experience significant disadvantages in accessing academic content. However, existing studies tend to focus more on availability rather than the quality and usability of these materials, which are equally critical for effective learning.</w:t>
      </w:r>
    </w:p>
    <w:p w14:paraId="01EF1A53"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These challenges are further compounded by limited teacher preparedness. </w:t>
      </w:r>
      <w:proofErr w:type="spellStart"/>
      <w:r w:rsidRPr="008E6CE1">
        <w:rPr>
          <w:rFonts w:ascii="Times New Roman" w:eastAsia="Times New Roman" w:hAnsi="Times New Roman" w:cs="Times New Roman"/>
          <w:sz w:val="24"/>
          <w:szCs w:val="24"/>
        </w:rPr>
        <w:t>Falcão</w:t>
      </w:r>
      <w:proofErr w:type="spellEnd"/>
      <w:r w:rsidRPr="008E6CE1">
        <w:rPr>
          <w:rFonts w:ascii="Times New Roman" w:eastAsia="Times New Roman" w:hAnsi="Times New Roman" w:cs="Times New Roman"/>
          <w:sz w:val="24"/>
          <w:szCs w:val="24"/>
        </w:rPr>
        <w:t xml:space="preserve"> and Martins (2020) argue that many educators lack the training and pedagogical skills required to effectively support visually impaired learners in science classrooms. While this highlights an important issue, there is limited empirical evidence examining how teacher preparedness specifically affects learning outcomes in physics, indicating a need for more subject-specific research.</w:t>
      </w:r>
    </w:p>
    <w:p w14:paraId="4CD18F42"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Support Systems for Visually Impaired Students in Physics Education</w:t>
      </w:r>
    </w:p>
    <w:p w14:paraId="1E71BE28"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To address these challenges, various support systems and accommodations have been developed to enhance accessibility and participation in physics education. One of the most significant support mechanisms is the use of assistive technologies. Tools such as screen readers, optical character recognition (OCR) software, and refreshable braille displays enable visually impaired students to access digital learning materials effectively (Datta et al., 2020). However, these technologies often require substantial financial investment and technical support, which may not be readily available in low-income educational settings, raising concerns about their scalability and sustainability.</w:t>
      </w:r>
    </w:p>
    <w:p w14:paraId="0C98D396"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In addition, tactile learning materials play a crucial role in facilitating understanding. Tactile diagrams, 3D models, and raised-line drawings allow students to explore physical concepts through touch, thereby compensating for the lack of visual input (Rosenblum et al., 2013). While their effectiveness is well-documented, there is limited research on locally adaptable and cost-effective alternatives that can be implemented in resource-constrained environments, highlighting another gap in the literature.</w:t>
      </w:r>
    </w:p>
    <w:p w14:paraId="5DF9C6CE"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Adaptations in laboratory activities are also essential. </w:t>
      </w:r>
      <w:proofErr w:type="spellStart"/>
      <w:r w:rsidRPr="008E6CE1">
        <w:rPr>
          <w:rFonts w:ascii="Times New Roman" w:eastAsia="Times New Roman" w:hAnsi="Times New Roman" w:cs="Times New Roman"/>
          <w:sz w:val="24"/>
          <w:szCs w:val="24"/>
        </w:rPr>
        <w:t>Sasao</w:t>
      </w:r>
      <w:proofErr w:type="spellEnd"/>
      <w:r w:rsidRPr="008E6CE1">
        <w:rPr>
          <w:rFonts w:ascii="Times New Roman" w:eastAsia="Times New Roman" w:hAnsi="Times New Roman" w:cs="Times New Roman"/>
          <w:sz w:val="24"/>
          <w:szCs w:val="24"/>
        </w:rPr>
        <w:t xml:space="preserve"> (2015) suggests that inclusive laboratory practices may involve the use of auditory instructions, tactile feedback, and alternative sensory approaches such as sound or vibration. Although these adaptations are promising, their practical implementation often depends on teacher expertise and institutional support, which vary significantly across contexts. This indicates that the success of such strategies is highly context-dependent.</w:t>
      </w:r>
    </w:p>
    <w:p w14:paraId="3B36B5CA" w14:textId="3902A267" w:rsidR="000E747C" w:rsidRPr="000E747C" w:rsidRDefault="005F7093" w:rsidP="00AC7D66">
      <w:pPr>
        <w:spacing w:before="100" w:beforeAutospacing="1" w:after="100" w:afterAutospacing="1" w:line="240" w:lineRule="auto"/>
        <w:jc w:val="both"/>
        <w:rPr>
          <w:rFonts w:asciiTheme="majorBidi" w:eastAsia="Times New Roman" w:hAnsiTheme="majorBidi" w:cstheme="majorBidi"/>
          <w:sz w:val="24"/>
          <w:szCs w:val="24"/>
        </w:rPr>
      </w:pPr>
      <w:r w:rsidRPr="008E6CE1">
        <w:rPr>
          <w:rFonts w:ascii="Times New Roman" w:eastAsia="Times New Roman" w:hAnsi="Times New Roman" w:cs="Times New Roman"/>
          <w:sz w:val="24"/>
          <w:szCs w:val="24"/>
        </w:rPr>
        <w:lastRenderedPageBreak/>
        <w:t>Moreover, the provision of accessible instructional materials remains critical.</w:t>
      </w:r>
      <w:r w:rsidR="000E747C" w:rsidRPr="000E747C">
        <w:rPr>
          <w:rFonts w:asciiTheme="majorBidi" w:hAnsiTheme="majorBidi" w:cstheme="majorBidi"/>
          <w:sz w:val="24"/>
          <w:szCs w:val="24"/>
        </w:rPr>
        <w:t xml:space="preserve"> Datta et al. (2020) highlight </w:t>
      </w:r>
      <w:r w:rsidR="0062406F">
        <w:rPr>
          <w:rFonts w:asciiTheme="majorBidi" w:hAnsiTheme="majorBidi" w:cstheme="majorBidi"/>
          <w:sz w:val="24"/>
          <w:szCs w:val="24"/>
        </w:rPr>
        <w:t>that</w:t>
      </w:r>
      <w:r w:rsidR="000E747C" w:rsidRPr="000E747C">
        <w:rPr>
          <w:rFonts w:asciiTheme="majorBidi" w:hAnsiTheme="majorBidi" w:cstheme="majorBidi"/>
          <w:sz w:val="24"/>
          <w:szCs w:val="24"/>
        </w:rPr>
        <w:t xml:space="preserve"> materials available in multiple formats, such as braille, large print, and digital text, significantly improve students’ engagement with academic content.</w:t>
      </w:r>
    </w:p>
    <w:p w14:paraId="524CB835" w14:textId="4E112406" w:rsidR="005F7093" w:rsidRPr="008E6CE1" w:rsidRDefault="00AC7D66" w:rsidP="00AC7D66">
      <w:pPr>
        <w:spacing w:before="100" w:beforeAutospacing="1" w:after="100" w:afterAutospacing="1" w:line="240" w:lineRule="auto"/>
        <w:jc w:val="both"/>
        <w:rPr>
          <w:rFonts w:asciiTheme="majorBidi" w:eastAsia="Times New Roman" w:hAnsiTheme="majorBidi" w:cstheme="majorBidi"/>
          <w:sz w:val="24"/>
          <w:szCs w:val="24"/>
        </w:rPr>
      </w:pPr>
      <w:r w:rsidRPr="008E6CE1">
        <w:rPr>
          <w:rFonts w:ascii="Times New Roman" w:eastAsia="Times New Roman" w:hAnsi="Times New Roman" w:cs="Times New Roman"/>
          <w:sz w:val="24"/>
          <w:szCs w:val="24"/>
        </w:rPr>
        <w:t>However</w:t>
      </w:r>
      <w:r w:rsidR="005F7093" w:rsidRPr="008E6CE1">
        <w:rPr>
          <w:rFonts w:ascii="Times New Roman" w:eastAsia="Times New Roman" w:hAnsi="Times New Roman" w:cs="Times New Roman"/>
          <w:sz w:val="24"/>
          <w:szCs w:val="24"/>
        </w:rPr>
        <w:t>, the literature largely overlooks the challenges associated with producing and distributing these materials in developing countries, where infrastructural and logistical barriers are common.</w:t>
      </w:r>
    </w:p>
    <w:p w14:paraId="6443AE41"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Teacher support and training also form an essential component of effective support systems. Engelbrecht et al. (2013) argue that teachers who are trained in inclusive education are better equipped to adapt instructional strategies and create supportive learning environments. Despite this, there is limited empirical research linking teacher training directly to improved learning outcomes in physics, suggesting a need for further investigation.</w:t>
      </w:r>
    </w:p>
    <w:p w14:paraId="1380EE20"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Effectiveness of the Physics Learning Environment for Visually Impaired Students</w:t>
      </w:r>
    </w:p>
    <w:p w14:paraId="543BF46D"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The effectiveness of the physics learning environment for visually impaired students largely depends on the availability and implementation of appropriate support systems. Research indicates that when inclusive practices are effectively implemented, visually impaired students can achieve meaningful learning outcomes in physics.</w:t>
      </w:r>
    </w:p>
    <w:p w14:paraId="1B1CD949"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For instance, Rosenblum et al. (2013) found that students who were provided with tactile materials, accessible resources, and hands-on learning opportunities demonstrated improved understanding of physics concepts and increased participation in classroom activities. However, their study was conducted in well-resourced educational settings, which may limit the applicability of these findings to low-resource contexts such as Malawi, where access to such materials remains constrained.</w:t>
      </w:r>
    </w:p>
    <w:p w14:paraId="3CC87746" w14:textId="7FA0B7CB"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Similarly, Datta et al. (2020) report that teacher training in inclusive education significantly enhances students’ engagement and academic performance. While this finding is important, the study does not sufficiently address how such training can be adapted to subject-specific contexts like physics, where teaching requires </w:t>
      </w:r>
      <w:r w:rsidR="0062406F">
        <w:rPr>
          <w:rFonts w:ascii="Times New Roman" w:eastAsia="Times New Roman" w:hAnsi="Times New Roman" w:cs="Times New Roman"/>
          <w:sz w:val="24"/>
          <w:szCs w:val="24"/>
        </w:rPr>
        <w:t>specialised</w:t>
      </w:r>
      <w:r w:rsidRPr="008E6CE1">
        <w:rPr>
          <w:rFonts w:ascii="Times New Roman" w:eastAsia="Times New Roman" w:hAnsi="Times New Roman" w:cs="Times New Roman"/>
          <w:sz w:val="24"/>
          <w:szCs w:val="24"/>
        </w:rPr>
        <w:t xml:space="preserve"> pedagogical approaches.</w:t>
      </w:r>
    </w:p>
    <w:p w14:paraId="71948348" w14:textId="1557FF89"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Furthermore, </w:t>
      </w:r>
      <w:proofErr w:type="spellStart"/>
      <w:r w:rsidRPr="008E6CE1">
        <w:rPr>
          <w:rFonts w:ascii="Times New Roman" w:eastAsia="Times New Roman" w:hAnsi="Times New Roman" w:cs="Times New Roman"/>
          <w:sz w:val="24"/>
          <w:szCs w:val="24"/>
        </w:rPr>
        <w:t>Sasao</w:t>
      </w:r>
      <w:proofErr w:type="spellEnd"/>
      <w:r w:rsidRPr="008E6CE1">
        <w:rPr>
          <w:rFonts w:ascii="Times New Roman" w:eastAsia="Times New Roman" w:hAnsi="Times New Roman" w:cs="Times New Roman"/>
          <w:sz w:val="24"/>
          <w:szCs w:val="24"/>
        </w:rPr>
        <w:t xml:space="preserve"> (2015) </w:t>
      </w:r>
      <w:r w:rsidR="00383261">
        <w:rPr>
          <w:rFonts w:ascii="Times New Roman" w:eastAsia="Times New Roman" w:hAnsi="Times New Roman" w:cs="Times New Roman"/>
          <w:sz w:val="24"/>
          <w:szCs w:val="24"/>
        </w:rPr>
        <w:t>emphasises</w:t>
      </w:r>
      <w:r w:rsidRPr="008E6CE1">
        <w:rPr>
          <w:rFonts w:ascii="Times New Roman" w:eastAsia="Times New Roman" w:hAnsi="Times New Roman" w:cs="Times New Roman"/>
          <w:sz w:val="24"/>
          <w:szCs w:val="24"/>
        </w:rPr>
        <w:t xml:space="preserve"> the importance of multi-sensory teaching approaches, suggesting that integrating tactile, auditory, and interactive learning experiences can enhance inclusivity. However, the effectiveness of these approaches is often influenced by contextual factors such as resource availability and institutional support, which are not consistently addressed in existing studies.</w:t>
      </w:r>
    </w:p>
    <w:p w14:paraId="697D4C9A" w14:textId="39BD31DA"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E6CE1">
        <w:rPr>
          <w:rFonts w:ascii="Times New Roman" w:eastAsia="Times New Roman" w:hAnsi="Times New Roman" w:cs="Times New Roman"/>
          <w:sz w:val="24"/>
          <w:szCs w:val="24"/>
        </w:rPr>
        <w:t>Olaya</w:t>
      </w:r>
      <w:proofErr w:type="spellEnd"/>
      <w:r w:rsidRPr="008E6CE1">
        <w:rPr>
          <w:rFonts w:ascii="Times New Roman" w:eastAsia="Times New Roman" w:hAnsi="Times New Roman" w:cs="Times New Roman"/>
          <w:sz w:val="24"/>
          <w:szCs w:val="24"/>
        </w:rPr>
        <w:t>-Castro and Barba-</w:t>
      </w:r>
      <w:proofErr w:type="spellStart"/>
      <w:r w:rsidRPr="008E6CE1">
        <w:rPr>
          <w:rFonts w:ascii="Times New Roman" w:eastAsia="Times New Roman" w:hAnsi="Times New Roman" w:cs="Times New Roman"/>
          <w:sz w:val="24"/>
          <w:szCs w:val="24"/>
        </w:rPr>
        <w:t>Mazairac</w:t>
      </w:r>
      <w:proofErr w:type="spellEnd"/>
      <w:r w:rsidRPr="008E6CE1">
        <w:rPr>
          <w:rFonts w:ascii="Times New Roman" w:eastAsia="Times New Roman" w:hAnsi="Times New Roman" w:cs="Times New Roman"/>
          <w:sz w:val="24"/>
          <w:szCs w:val="24"/>
        </w:rPr>
        <w:t xml:space="preserve"> (2017) argue that collaboration among teachers, support specialists, and policymakers is essential for </w:t>
      </w:r>
      <w:r w:rsidR="0062406F">
        <w:rPr>
          <w:rFonts w:ascii="Times New Roman" w:eastAsia="Times New Roman" w:hAnsi="Times New Roman" w:cs="Times New Roman"/>
          <w:sz w:val="24"/>
          <w:szCs w:val="24"/>
        </w:rPr>
        <w:t xml:space="preserve">the </w:t>
      </w:r>
      <w:r w:rsidRPr="008E6CE1">
        <w:rPr>
          <w:rFonts w:ascii="Times New Roman" w:eastAsia="Times New Roman" w:hAnsi="Times New Roman" w:cs="Times New Roman"/>
          <w:sz w:val="24"/>
          <w:szCs w:val="24"/>
        </w:rPr>
        <w:t>successful implementation of inclusive education. While this perspective highlights the importance of systemic support, there is limited empirical evidence demonstrating how such collaboration directly impacts student learning outcomes in physics classrooms.</w:t>
      </w:r>
    </w:p>
    <w:p w14:paraId="06F09C12"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Despite these positive findings, significant gaps remain. Many studies are conducted in high-resource environments and may not fully reflect the realities of schools in developing countries. This limits the generalizability of their findings and underscores the need for context-specific research.</w:t>
      </w:r>
    </w:p>
    <w:p w14:paraId="57A01622"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lastRenderedPageBreak/>
        <w:t>Summary of Literature Gap</w:t>
      </w:r>
    </w:p>
    <w:p w14:paraId="337E0E03"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Although existing literature provides valuable insights into inclusive education, there is a noticeable lack of research specifically focused on the physics learning environment for visually impaired students in inclusive secondary schools, particularly in low-resource contexts. Most studies address general educational challenges without adequately considering subject-specific barriers in physics.</w:t>
      </w:r>
    </w:p>
    <w:p w14:paraId="05EC6601"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Additionally, there is limited empirical evidence linking key factors such as teacher preparedness, assistive technologies, and access to resources directly to learning outcomes in physics. Furthermore, the majority of existing research is conducted in well-resourced settings, which may not be representative of contexts such as Malawi.</w:t>
      </w:r>
    </w:p>
    <w:p w14:paraId="3590641E" w14:textId="5A77F290" w:rsidR="005F7093" w:rsidRP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This study seeks to address these gaps by providing an in-depth, context-specific analysis of the physics learning environment for visually impaired students, focusing on the unique challenges, support systems, and practical strategies required to enhance inclusivity in physics education.</w:t>
      </w:r>
    </w:p>
    <w:p w14:paraId="71979F2B" w14:textId="135E4576"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RESEARCH METHOD</w:t>
      </w:r>
    </w:p>
    <w:p w14:paraId="4FA28975" w14:textId="77777777" w:rsidR="00A96AFC" w:rsidRDefault="00A96AFC" w:rsidP="00A96AFC">
      <w:pPr>
        <w:pStyle w:val="Heading3"/>
      </w:pPr>
      <w:r>
        <w:rPr>
          <w:rStyle w:val="Strong"/>
          <w:b/>
          <w:bCs/>
        </w:rPr>
        <w:t>Research Design</w:t>
      </w:r>
    </w:p>
    <w:p w14:paraId="29801D01" w14:textId="77777777" w:rsidR="00A96AFC" w:rsidRDefault="00A96AFC" w:rsidP="005C310A">
      <w:pPr>
        <w:pStyle w:val="NormalWeb"/>
        <w:jc w:val="both"/>
      </w:pPr>
      <w:r>
        <w:t xml:space="preserve">This study employed a </w:t>
      </w:r>
      <w:r w:rsidRPr="00A30FB8">
        <w:rPr>
          <w:rStyle w:val="Strong"/>
          <w:b w:val="0"/>
          <w:bCs w:val="0"/>
        </w:rPr>
        <w:t>mixed-methods research design</w:t>
      </w:r>
      <w:r>
        <w:t>, integrating both quantitative and qualitative approaches to provide a comprehensive analysis of the physics learning environment for visually impaired students in inclusive secondary schools. The quantitative component was used to generate descriptive statistics on participants’ experiences and perceptions, while the qualitative component provided in-depth insights into the challenges, support systems, and classroom practices.</w:t>
      </w:r>
    </w:p>
    <w:p w14:paraId="2932540F" w14:textId="002243D2" w:rsidR="00A96AFC" w:rsidRDefault="00A96AFC" w:rsidP="005C310A">
      <w:pPr>
        <w:pStyle w:val="NormalWeb"/>
        <w:jc w:val="both"/>
      </w:pPr>
      <w:r>
        <w:t>The mixed-methods approach enabled</w:t>
      </w:r>
      <w:r w:rsidRPr="00A30FB8">
        <w:t xml:space="preserve"> </w:t>
      </w:r>
      <w:r w:rsidRPr="00A30FB8">
        <w:rPr>
          <w:rStyle w:val="Strong"/>
          <w:b w:val="0"/>
          <w:bCs w:val="0"/>
        </w:rPr>
        <w:t>triangulation of data</w:t>
      </w:r>
      <w:r w:rsidRPr="00A30FB8">
        <w:rPr>
          <w:b/>
          <w:bCs/>
        </w:rPr>
        <w:t>,</w:t>
      </w:r>
      <w:r>
        <w:t xml:space="preserve"> thereby enhancing the validity and reliability of the findings (Creswell &amp; Plano Clark, 2018). This design is widely recommended in educational research as it allows for a more complete understanding of complex phenomena by combining numerical data with rich descriptive insights (Cohen, Manion, &amp; Morrison, 2018).</w:t>
      </w:r>
    </w:p>
    <w:p w14:paraId="0ACF8457" w14:textId="77777777" w:rsidR="00A96AFC" w:rsidRDefault="00A96AFC" w:rsidP="005C310A">
      <w:pPr>
        <w:pStyle w:val="Heading3"/>
        <w:jc w:val="both"/>
      </w:pPr>
      <w:r>
        <w:rPr>
          <w:rStyle w:val="Strong"/>
          <w:b/>
          <w:bCs/>
        </w:rPr>
        <w:t>Study Area</w:t>
      </w:r>
    </w:p>
    <w:p w14:paraId="7494F062" w14:textId="62ECED39" w:rsidR="00A96AFC" w:rsidRDefault="00A96AFC" w:rsidP="005C310A">
      <w:pPr>
        <w:pStyle w:val="NormalWeb"/>
        <w:jc w:val="both"/>
      </w:pPr>
      <w:r>
        <w:t xml:space="preserve">The study was conducted in the </w:t>
      </w:r>
      <w:proofErr w:type="spellStart"/>
      <w:r w:rsidRPr="00A30FB8">
        <w:rPr>
          <w:rStyle w:val="Strong"/>
          <w:b w:val="0"/>
          <w:bCs w:val="0"/>
        </w:rPr>
        <w:t>Likangala</w:t>
      </w:r>
      <w:proofErr w:type="spellEnd"/>
      <w:r w:rsidRPr="00A30FB8">
        <w:rPr>
          <w:rStyle w:val="Strong"/>
          <w:b w:val="0"/>
          <w:bCs w:val="0"/>
        </w:rPr>
        <w:t xml:space="preserve"> cluster in Zomba District, Malawi</w:t>
      </w:r>
      <w:r>
        <w:t xml:space="preserve">, involving three inclusive secondary schools. These schools were purposively selected because they have implemented inclusive education practices and </w:t>
      </w:r>
      <w:r w:rsidR="0062406F">
        <w:t>enrolled</w:t>
      </w:r>
      <w:r>
        <w:t xml:space="preserve"> visually impaired students in physics classes. Selecting such a setting ensured that the study was grounded in a</w:t>
      </w:r>
      <w:r w:rsidRPr="00A30FB8">
        <w:t xml:space="preserve"> </w:t>
      </w:r>
      <w:r w:rsidRPr="00A30FB8">
        <w:rPr>
          <w:rStyle w:val="Strong"/>
          <w:b w:val="0"/>
          <w:bCs w:val="0"/>
        </w:rPr>
        <w:t>relevant and authentic educational context</w:t>
      </w:r>
      <w:r>
        <w:t>, which is critical in case-based educational research (Yin, 2018).</w:t>
      </w:r>
    </w:p>
    <w:p w14:paraId="10D6CA87" w14:textId="77777777" w:rsidR="00A96AFC" w:rsidRDefault="00A96AFC" w:rsidP="005C310A">
      <w:pPr>
        <w:pStyle w:val="Heading3"/>
        <w:jc w:val="both"/>
      </w:pPr>
      <w:r>
        <w:rPr>
          <w:rStyle w:val="Strong"/>
          <w:b/>
          <w:bCs/>
        </w:rPr>
        <w:t>Population and Sample</w:t>
      </w:r>
    </w:p>
    <w:p w14:paraId="5492ACB0" w14:textId="62338A24" w:rsidR="007F3308" w:rsidRDefault="00383261" w:rsidP="007F3308">
      <w:pPr>
        <w:pStyle w:val="NormalWeb"/>
        <w:jc w:val="both"/>
      </w:pPr>
      <w:r>
        <w:t>The study involved a total of 34 participants, comprising 30 students and 4 physics teachers. The student sample included 20 visually impaired students and 10 sighted students, whose data were used for quantitative analysis. The 4 physics teachers participated only in the qualitative component through interviews.</w:t>
      </w:r>
      <w:r w:rsidR="007F3308">
        <w:t xml:space="preserve"> The inclusion of both student and teacher participants enhances the depth and credibility of the findings (Creswell, 2014).</w:t>
      </w:r>
    </w:p>
    <w:p w14:paraId="2D6A4B49" w14:textId="77777777" w:rsidR="00A96AFC" w:rsidRDefault="00A96AFC" w:rsidP="005C310A">
      <w:pPr>
        <w:pStyle w:val="Heading3"/>
        <w:jc w:val="both"/>
      </w:pPr>
      <w:r>
        <w:rPr>
          <w:rStyle w:val="Strong"/>
          <w:b/>
          <w:bCs/>
        </w:rPr>
        <w:lastRenderedPageBreak/>
        <w:t>Sampling Techniques</w:t>
      </w:r>
    </w:p>
    <w:p w14:paraId="61D70CA7" w14:textId="77777777" w:rsidR="00A96AFC" w:rsidRDefault="00A96AFC" w:rsidP="005C310A">
      <w:pPr>
        <w:pStyle w:val="NormalWeb"/>
        <w:jc w:val="both"/>
      </w:pPr>
      <w:r>
        <w:t xml:space="preserve">The study employed </w:t>
      </w:r>
      <w:r w:rsidRPr="00A30FB8">
        <w:rPr>
          <w:rStyle w:val="Strong"/>
          <w:b w:val="0"/>
          <w:bCs w:val="0"/>
        </w:rPr>
        <w:t>purposive sampling</w:t>
      </w:r>
      <w:r>
        <w:t>, a non-probability sampling technique, to select participants with direct experience in inclusive physics education. This method is appropriate when the researcher seeks to obtain information-rich cases relevant to the research objectives (Patton, 2015).</w:t>
      </w:r>
    </w:p>
    <w:p w14:paraId="2552054D" w14:textId="16A26D6B" w:rsidR="00A96AFC" w:rsidRDefault="00A96AFC" w:rsidP="005C310A">
      <w:pPr>
        <w:pStyle w:val="NormalWeb"/>
        <w:jc w:val="both"/>
      </w:pPr>
      <w:r>
        <w:t>Visually impaired students were specifically targeted due to their central role in the study, while teachers and sighted students were included to provide comparative and contextual insights.</w:t>
      </w:r>
    </w:p>
    <w:p w14:paraId="56A21351" w14:textId="77777777" w:rsidR="00A96AFC" w:rsidRDefault="00A96AFC" w:rsidP="005C310A">
      <w:pPr>
        <w:pStyle w:val="Heading3"/>
        <w:jc w:val="both"/>
      </w:pPr>
      <w:r>
        <w:rPr>
          <w:rStyle w:val="Strong"/>
          <w:b/>
          <w:bCs/>
        </w:rPr>
        <w:t>Data Collection Methods</w:t>
      </w:r>
    </w:p>
    <w:p w14:paraId="22CBFB0C" w14:textId="77777777" w:rsidR="00A96AFC" w:rsidRDefault="00A96AFC" w:rsidP="005C310A">
      <w:pPr>
        <w:pStyle w:val="NormalWeb"/>
        <w:jc w:val="both"/>
      </w:pPr>
      <w:r>
        <w:t>Data were collected using three complementary methods:</w:t>
      </w:r>
    </w:p>
    <w:p w14:paraId="066AAF10"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i w:val="0"/>
          <w:iCs w:val="0"/>
          <w:color w:val="auto"/>
          <w:sz w:val="24"/>
          <w:szCs w:val="24"/>
        </w:rPr>
        <w:t xml:space="preserve">1. </w:t>
      </w:r>
      <w:r w:rsidRPr="00A30FB8">
        <w:rPr>
          <w:rStyle w:val="Strong"/>
          <w:rFonts w:asciiTheme="majorBidi" w:hAnsiTheme="majorBidi"/>
          <w:i w:val="0"/>
          <w:iCs w:val="0"/>
          <w:color w:val="auto"/>
          <w:sz w:val="24"/>
          <w:szCs w:val="24"/>
        </w:rPr>
        <w:t>Questionnaires</w:t>
      </w:r>
    </w:p>
    <w:p w14:paraId="45CAB907" w14:textId="66054DE7" w:rsidR="00A96AFC" w:rsidRDefault="00A96AFC" w:rsidP="005C310A">
      <w:pPr>
        <w:pStyle w:val="NormalWeb"/>
        <w:jc w:val="both"/>
      </w:pPr>
      <w:r>
        <w:t xml:space="preserve">Structured questionnaires were administered to students to collect quantitative data on their experiences, perceptions, and challenges in learning physics. The use of questionnaires is effective in gathering </w:t>
      </w:r>
      <w:r w:rsidR="0062406F">
        <w:t>standardised</w:t>
      </w:r>
      <w:r>
        <w:t xml:space="preserve"> data from a relatively large number of participants (Cohen et al., 2018).</w:t>
      </w:r>
    </w:p>
    <w:p w14:paraId="0D290E93"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rFonts w:asciiTheme="majorBidi" w:hAnsiTheme="majorBidi"/>
          <w:i w:val="0"/>
          <w:iCs w:val="0"/>
          <w:color w:val="auto"/>
          <w:sz w:val="24"/>
          <w:szCs w:val="24"/>
        </w:rPr>
        <w:t>2. Semi-Structured Interviews</w:t>
      </w:r>
    </w:p>
    <w:p w14:paraId="7B20C663" w14:textId="77777777" w:rsidR="00A96AFC" w:rsidRDefault="00A96AFC" w:rsidP="005C310A">
      <w:pPr>
        <w:pStyle w:val="NormalWeb"/>
        <w:jc w:val="both"/>
      </w:pPr>
      <w:r>
        <w:t>Semi-structured interviews were conducted with physics teachers and visually impaired students to obtain detailed qualitative data. This method allows flexibility in probing deeper into participants’ experiences while maintaining consistency across interviews (</w:t>
      </w:r>
      <w:proofErr w:type="spellStart"/>
      <w:r>
        <w:t>Kvale</w:t>
      </w:r>
      <w:proofErr w:type="spellEnd"/>
      <w:r>
        <w:t xml:space="preserve"> &amp; Brinkmann, 2009).</w:t>
      </w:r>
    </w:p>
    <w:p w14:paraId="3367AB84"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rFonts w:asciiTheme="majorBidi" w:hAnsiTheme="majorBidi"/>
          <w:i w:val="0"/>
          <w:iCs w:val="0"/>
          <w:color w:val="auto"/>
          <w:sz w:val="24"/>
          <w:szCs w:val="24"/>
        </w:rPr>
        <w:t>3. Classroom Observations</w:t>
      </w:r>
    </w:p>
    <w:p w14:paraId="48BDFB59" w14:textId="51B585FD" w:rsidR="00A96AFC" w:rsidRDefault="00A96AFC" w:rsidP="005C310A">
      <w:pPr>
        <w:pStyle w:val="NormalWeb"/>
        <w:jc w:val="both"/>
      </w:pPr>
      <w:r>
        <w:t xml:space="preserve">Non-participant classroom observations were carried out to examine actual teaching practices, instructional strategies, and student engagement. Observations are essential in educational research as they provide direct evidence of classroom interactions and </w:t>
      </w:r>
      <w:r w:rsidR="0062406F">
        <w:t>behaviours</w:t>
      </w:r>
      <w:r>
        <w:t xml:space="preserve"> (Maree, 2016).</w:t>
      </w:r>
    </w:p>
    <w:p w14:paraId="3B606983" w14:textId="77777777" w:rsidR="00A96AFC" w:rsidRDefault="00A96AFC" w:rsidP="005C310A">
      <w:pPr>
        <w:pStyle w:val="Heading3"/>
        <w:jc w:val="both"/>
      </w:pPr>
      <w:r>
        <w:rPr>
          <w:rStyle w:val="Strong"/>
          <w:b/>
          <w:bCs/>
        </w:rPr>
        <w:t>Data Collection Instruments</w:t>
      </w:r>
    </w:p>
    <w:p w14:paraId="7CBC9ACE" w14:textId="78ABB6E3" w:rsidR="00A96AFC" w:rsidRDefault="00A96AFC" w:rsidP="005C310A">
      <w:pPr>
        <w:pStyle w:val="NormalWeb"/>
        <w:jc w:val="both"/>
      </w:pPr>
      <w:r>
        <w:t xml:space="preserve">The study </w:t>
      </w:r>
      <w:r w:rsidR="0062406F">
        <w:t>utilised</w:t>
      </w:r>
      <w:r>
        <w:t xml:space="preserve"> questionnaires, interview guides, and observation checklists as data collection instruments. These instruments were carefully designed to align with the research objectives.</w:t>
      </w:r>
    </w:p>
    <w:p w14:paraId="11D0B385" w14:textId="39C4E776" w:rsidR="00A96AFC" w:rsidRDefault="00A96AFC" w:rsidP="005C310A">
      <w:pPr>
        <w:pStyle w:val="NormalWeb"/>
        <w:jc w:val="both"/>
      </w:pPr>
      <w:r>
        <w:t xml:space="preserve">To ensure inclusivity, questionnaires for visually impaired students were provided in accessible formats such as </w:t>
      </w:r>
      <w:r w:rsidRPr="00A30FB8">
        <w:rPr>
          <w:rStyle w:val="Strong"/>
          <w:b w:val="0"/>
          <w:bCs w:val="0"/>
        </w:rPr>
        <w:t>braille and assisted reading</w:t>
      </w:r>
      <w:r w:rsidRPr="00A30FB8">
        <w:rPr>
          <w:b/>
          <w:bCs/>
        </w:rPr>
        <w:t>,</w:t>
      </w:r>
      <w:r>
        <w:t xml:space="preserve"> in line with best practices for inclusive research (UNESCO, 2015).</w:t>
      </w:r>
    </w:p>
    <w:p w14:paraId="0E83AE6A" w14:textId="68CE58B4" w:rsidR="00A96AFC" w:rsidRDefault="00A96AFC" w:rsidP="005C310A">
      <w:pPr>
        <w:pStyle w:val="Heading3"/>
        <w:jc w:val="both"/>
        <w:rPr>
          <w:rStyle w:val="Strong"/>
          <w:b/>
          <w:bCs/>
        </w:rPr>
      </w:pPr>
      <w:r>
        <w:rPr>
          <w:rStyle w:val="Strong"/>
          <w:b/>
          <w:bCs/>
        </w:rPr>
        <w:t>Data Analysis Techniques</w:t>
      </w:r>
    </w:p>
    <w:p w14:paraId="5B52482D" w14:textId="5467B103" w:rsidR="005C7364" w:rsidRDefault="00FE4455" w:rsidP="005C310A">
      <w:pPr>
        <w:spacing w:before="100" w:beforeAutospacing="1" w:after="100" w:afterAutospacing="1" w:line="240" w:lineRule="auto"/>
        <w:jc w:val="both"/>
        <w:rPr>
          <w:rFonts w:ascii="Times New Roman" w:eastAsia="Times New Roman" w:hAnsi="Times New Roman" w:cs="Times New Roman"/>
          <w:sz w:val="24"/>
          <w:szCs w:val="24"/>
        </w:rPr>
      </w:pPr>
      <w:r w:rsidRPr="00FE4455">
        <w:rPr>
          <w:rFonts w:asciiTheme="majorBidi" w:hAnsiTheme="majorBidi" w:cstheme="majorBidi"/>
          <w:sz w:val="24"/>
          <w:szCs w:val="24"/>
        </w:rPr>
        <w:t xml:space="preserve">Quantitative data were </w:t>
      </w:r>
      <w:r w:rsidR="00383261">
        <w:rPr>
          <w:rFonts w:asciiTheme="majorBidi" w:hAnsiTheme="majorBidi" w:cstheme="majorBidi"/>
          <w:sz w:val="24"/>
          <w:szCs w:val="24"/>
        </w:rPr>
        <w:t>analysed</w:t>
      </w:r>
      <w:r w:rsidRPr="00FE4455">
        <w:rPr>
          <w:rFonts w:asciiTheme="majorBidi" w:hAnsiTheme="majorBidi" w:cstheme="majorBidi"/>
          <w:sz w:val="24"/>
          <w:szCs w:val="24"/>
        </w:rPr>
        <w:t xml:space="preserve"> using advanced statistical techniques with the aid of IBM SPSS (Version 26) and R statistical software.</w:t>
      </w:r>
      <w:r w:rsidR="00F00971" w:rsidRPr="00F00971">
        <w:t xml:space="preserve"> </w:t>
      </w:r>
      <w:r w:rsidR="000E747C">
        <w:rPr>
          <w:rFonts w:asciiTheme="majorBidi" w:hAnsiTheme="majorBidi" w:cstheme="majorBidi"/>
          <w:sz w:val="24"/>
          <w:szCs w:val="24"/>
        </w:rPr>
        <w:t>The a</w:t>
      </w:r>
      <w:r w:rsidR="00F00971" w:rsidRPr="00F00971">
        <w:rPr>
          <w:rFonts w:asciiTheme="majorBidi" w:hAnsiTheme="majorBidi" w:cstheme="majorBidi"/>
          <w:sz w:val="24"/>
          <w:szCs w:val="24"/>
        </w:rPr>
        <w:t>nalysis was based on student data (N = 30)</w:t>
      </w:r>
      <w:r w:rsidR="005C7364" w:rsidRPr="005C7364">
        <w:rPr>
          <w:rFonts w:ascii="Times New Roman" w:eastAsia="Times New Roman" w:hAnsi="Times New Roman" w:cs="Times New Roman"/>
          <w:sz w:val="24"/>
          <w:szCs w:val="24"/>
        </w:rPr>
        <w:t xml:space="preserve">. </w:t>
      </w:r>
      <w:r w:rsidR="005C7364" w:rsidRPr="005C7364">
        <w:rPr>
          <w:rFonts w:ascii="Times New Roman" w:eastAsia="Times New Roman" w:hAnsi="Times New Roman" w:cs="Times New Roman"/>
          <w:sz w:val="24"/>
          <w:szCs w:val="24"/>
        </w:rPr>
        <w:lastRenderedPageBreak/>
        <w:t xml:space="preserve">Descriptive statistics, including frequencies, percentages, means, and standard deviations, were used to </w:t>
      </w:r>
      <w:r w:rsidR="0062406F">
        <w:rPr>
          <w:rFonts w:ascii="Times New Roman" w:eastAsia="Times New Roman" w:hAnsi="Times New Roman" w:cs="Times New Roman"/>
          <w:sz w:val="24"/>
          <w:szCs w:val="24"/>
        </w:rPr>
        <w:t>summarise</w:t>
      </w:r>
      <w:r w:rsidR="005C7364" w:rsidRPr="005C7364">
        <w:rPr>
          <w:rFonts w:ascii="Times New Roman" w:eastAsia="Times New Roman" w:hAnsi="Times New Roman" w:cs="Times New Roman"/>
          <w:sz w:val="24"/>
          <w:szCs w:val="24"/>
        </w:rPr>
        <w:t xml:space="preserve"> demographic characteristics and responses. Inferential statistical analyses were conducted, where an independent samples </w:t>
      </w:r>
      <w:r w:rsidR="005C7364" w:rsidRPr="005C7364">
        <w:rPr>
          <w:rFonts w:ascii="Times New Roman" w:eastAsia="Times New Roman" w:hAnsi="Times New Roman" w:cs="Times New Roman"/>
          <w:i/>
          <w:iCs/>
          <w:sz w:val="24"/>
          <w:szCs w:val="24"/>
        </w:rPr>
        <w:t>t</w:t>
      </w:r>
      <w:r w:rsidR="005C7364" w:rsidRPr="005C7364">
        <w:rPr>
          <w:rFonts w:ascii="Times New Roman" w:eastAsia="Times New Roman" w:hAnsi="Times New Roman" w:cs="Times New Roman"/>
          <w:sz w:val="24"/>
          <w:szCs w:val="24"/>
        </w:rPr>
        <w:t>-test was used to compare differences between visually impaired and sighted students, while a one-way ANOVA was applied to examine differences across demographic groups such as age and grade level. Chi-square tests were employed to assess relationships between categorical variables, such as gender and access to resources. In addition, Pearson correlation analysis was conducted to examine relationships between variables such as access to resources, teacher support, and student engagement. Furthermore, multiple linear regression analysis was used to determine the extent to which independent variables, including teacher preparedness and the availability of assistive technology, predict learning outcomes. The use of these statistical techniques allowed for a rigorous examination of relationships and group differences, thereby improving the analytical depth of the study (Field, 2018).</w:t>
      </w:r>
    </w:p>
    <w:p w14:paraId="637B67A1" w14:textId="6668F2A5" w:rsidR="005351CC" w:rsidRPr="00A34DE2" w:rsidRDefault="0062406F" w:rsidP="005351CC">
      <w:pPr>
        <w:jc w:val="both"/>
        <w:rPr>
          <w:rFonts w:asciiTheme="majorBidi" w:hAnsiTheme="majorBidi" w:cstheme="majorBidi"/>
          <w:sz w:val="24"/>
          <w:szCs w:val="24"/>
        </w:rPr>
      </w:pPr>
      <w:r>
        <w:rPr>
          <w:rFonts w:asciiTheme="majorBidi" w:hAnsiTheme="majorBidi" w:cstheme="majorBidi"/>
          <w:color w:val="0F1115"/>
          <w:sz w:val="24"/>
          <w:szCs w:val="24"/>
          <w:shd w:val="clear" w:color="auto" w:fill="FFFFFF"/>
        </w:rPr>
        <w:t>Before</w:t>
      </w:r>
      <w:r w:rsidR="005351CC" w:rsidRPr="00A34DE2">
        <w:rPr>
          <w:rFonts w:asciiTheme="majorBidi" w:hAnsiTheme="majorBidi" w:cstheme="majorBidi"/>
          <w:color w:val="0F1115"/>
          <w:sz w:val="24"/>
          <w:szCs w:val="24"/>
          <w:shd w:val="clear" w:color="auto" w:fill="FFFFFF"/>
        </w:rPr>
        <w:t xml:space="preserve"> conducting parametric tests, assumptions were verified. Normality was assessed using Shapiro–Wilk tests (p &gt; .05 for all dependent variables), and homogeneity of variances was confirmed using </w:t>
      </w:r>
      <w:proofErr w:type="spellStart"/>
      <w:r w:rsidR="005351CC" w:rsidRPr="00A34DE2">
        <w:rPr>
          <w:rFonts w:asciiTheme="majorBidi" w:hAnsiTheme="majorBidi" w:cstheme="majorBidi"/>
          <w:color w:val="0F1115"/>
          <w:sz w:val="24"/>
          <w:szCs w:val="24"/>
          <w:shd w:val="clear" w:color="auto" w:fill="FFFFFF"/>
        </w:rPr>
        <w:t>Levene's</w:t>
      </w:r>
      <w:proofErr w:type="spellEnd"/>
      <w:r w:rsidR="005351CC" w:rsidRPr="00A34DE2">
        <w:rPr>
          <w:rFonts w:asciiTheme="majorBidi" w:hAnsiTheme="majorBidi" w:cstheme="majorBidi"/>
          <w:color w:val="0F1115"/>
          <w:sz w:val="24"/>
          <w:szCs w:val="24"/>
          <w:shd w:val="clear" w:color="auto" w:fill="FFFFFF"/>
        </w:rPr>
        <w:t xml:space="preserve"> test (p &gt; .05 for all comparisons). For multiple regression, multicollinearity was examined using </w:t>
      </w:r>
      <w:r>
        <w:rPr>
          <w:rFonts w:asciiTheme="majorBidi" w:hAnsiTheme="majorBidi" w:cstheme="majorBidi"/>
          <w:color w:val="0F1115"/>
          <w:sz w:val="24"/>
          <w:szCs w:val="24"/>
          <w:shd w:val="clear" w:color="auto" w:fill="FFFFFF"/>
        </w:rPr>
        <w:t xml:space="preserve">the </w:t>
      </w:r>
      <w:r w:rsidR="005351CC" w:rsidRPr="00A34DE2">
        <w:rPr>
          <w:rFonts w:asciiTheme="majorBidi" w:hAnsiTheme="majorBidi" w:cstheme="majorBidi"/>
          <w:color w:val="0F1115"/>
          <w:sz w:val="24"/>
          <w:szCs w:val="24"/>
          <w:shd w:val="clear" w:color="auto" w:fill="FFFFFF"/>
        </w:rPr>
        <w:t>Variance Inflation Factor (VIF), with all values below 2.5, indicating no serious multicollinearity. These checks justified the use of parametric statistical procedures (Field, 2018).</w:t>
      </w:r>
    </w:p>
    <w:p w14:paraId="6F77D6E1" w14:textId="77777777" w:rsidR="005351CC" w:rsidRPr="005C7364" w:rsidRDefault="005351CC" w:rsidP="005C310A">
      <w:pPr>
        <w:spacing w:before="100" w:beforeAutospacing="1" w:after="100" w:afterAutospacing="1" w:line="240" w:lineRule="auto"/>
        <w:jc w:val="both"/>
        <w:rPr>
          <w:rFonts w:ascii="Times New Roman" w:eastAsia="Times New Roman" w:hAnsi="Times New Roman" w:cs="Times New Roman"/>
          <w:sz w:val="24"/>
          <w:szCs w:val="24"/>
        </w:rPr>
      </w:pPr>
    </w:p>
    <w:p w14:paraId="170F392E" w14:textId="6C02142A" w:rsidR="00907236" w:rsidRDefault="005C7364" w:rsidP="005C310A">
      <w:pPr>
        <w:spacing w:before="100" w:beforeAutospacing="1" w:after="100" w:afterAutospacing="1" w:line="240" w:lineRule="auto"/>
        <w:jc w:val="both"/>
      </w:pPr>
      <w:r w:rsidRPr="005C7364">
        <w:rPr>
          <w:rFonts w:ascii="Times New Roman" w:eastAsia="Times New Roman" w:hAnsi="Times New Roman" w:cs="Times New Roman"/>
          <w:sz w:val="24"/>
          <w:szCs w:val="24"/>
        </w:rPr>
        <w:t xml:space="preserve">Qualitative data from interviews and observations were </w:t>
      </w:r>
      <w:r w:rsidR="00383261">
        <w:rPr>
          <w:rFonts w:ascii="Times New Roman" w:eastAsia="Times New Roman" w:hAnsi="Times New Roman" w:cs="Times New Roman"/>
          <w:sz w:val="24"/>
          <w:szCs w:val="24"/>
        </w:rPr>
        <w:t>analysed</w:t>
      </w:r>
      <w:r w:rsidRPr="005C7364">
        <w:rPr>
          <w:rFonts w:ascii="Times New Roman" w:eastAsia="Times New Roman" w:hAnsi="Times New Roman" w:cs="Times New Roman"/>
          <w:sz w:val="24"/>
          <w:szCs w:val="24"/>
        </w:rPr>
        <w:t xml:space="preserve"> using thematic analysis, following the six-step framework proposed by Braun and Clarke (2006). This process involved </w:t>
      </w:r>
      <w:r w:rsidR="0062406F">
        <w:rPr>
          <w:rFonts w:ascii="Times New Roman" w:eastAsia="Times New Roman" w:hAnsi="Times New Roman" w:cs="Times New Roman"/>
          <w:sz w:val="24"/>
          <w:szCs w:val="24"/>
        </w:rPr>
        <w:t>familiarisation</w:t>
      </w:r>
      <w:r w:rsidRPr="005C7364">
        <w:rPr>
          <w:rFonts w:ascii="Times New Roman" w:eastAsia="Times New Roman" w:hAnsi="Times New Roman" w:cs="Times New Roman"/>
          <w:sz w:val="24"/>
          <w:szCs w:val="24"/>
        </w:rPr>
        <w:t xml:space="preserve"> with the data, generating initial codes, searching for themes, reviewing themes, defining and naming themes, and finally producing the report. The analysis was supported using NVivo software, which facilitated systematic coding, </w:t>
      </w:r>
      <w:r w:rsidR="0062406F">
        <w:rPr>
          <w:rFonts w:ascii="Times New Roman" w:eastAsia="Times New Roman" w:hAnsi="Times New Roman" w:cs="Times New Roman"/>
          <w:sz w:val="24"/>
          <w:szCs w:val="24"/>
        </w:rPr>
        <w:t>organisation</w:t>
      </w:r>
      <w:r w:rsidRPr="005C7364">
        <w:rPr>
          <w:rFonts w:ascii="Times New Roman" w:eastAsia="Times New Roman" w:hAnsi="Times New Roman" w:cs="Times New Roman"/>
          <w:sz w:val="24"/>
          <w:szCs w:val="24"/>
        </w:rPr>
        <w:t>, and retrieval of qualitative data.</w:t>
      </w:r>
      <w:r w:rsidR="00907236" w:rsidRPr="00907236">
        <w:t xml:space="preserve"> </w:t>
      </w:r>
    </w:p>
    <w:p w14:paraId="2820227C" w14:textId="2297EC0A" w:rsidR="009064FC" w:rsidRPr="009064FC" w:rsidRDefault="00907236" w:rsidP="009064FC">
      <w:pPr>
        <w:spacing w:before="100" w:beforeAutospacing="1" w:after="100" w:afterAutospacing="1" w:line="240" w:lineRule="auto"/>
        <w:jc w:val="both"/>
        <w:rPr>
          <w:rFonts w:asciiTheme="majorBidi" w:hAnsiTheme="majorBidi" w:cstheme="majorBidi"/>
          <w:sz w:val="24"/>
          <w:szCs w:val="24"/>
        </w:rPr>
      </w:pPr>
      <w:r w:rsidRPr="00907236">
        <w:rPr>
          <w:rFonts w:asciiTheme="majorBidi" w:hAnsiTheme="majorBidi" w:cstheme="majorBidi"/>
          <w:sz w:val="24"/>
          <w:szCs w:val="24"/>
        </w:rPr>
        <w:t xml:space="preserve">Only student data (N = 30) were included in the quantitative statistical analysis, while teacher data were </w:t>
      </w:r>
      <w:r w:rsidR="00383261">
        <w:rPr>
          <w:rFonts w:asciiTheme="majorBidi" w:hAnsiTheme="majorBidi" w:cstheme="majorBidi"/>
          <w:sz w:val="24"/>
          <w:szCs w:val="24"/>
        </w:rPr>
        <w:t>analysed</w:t>
      </w:r>
      <w:r w:rsidRPr="00907236">
        <w:rPr>
          <w:rFonts w:asciiTheme="majorBidi" w:hAnsiTheme="majorBidi" w:cstheme="majorBidi"/>
          <w:sz w:val="24"/>
          <w:szCs w:val="24"/>
        </w:rPr>
        <w:t xml:space="preserve"> </w:t>
      </w:r>
      <w:r w:rsidR="009064FC" w:rsidRPr="00907236">
        <w:rPr>
          <w:rFonts w:asciiTheme="majorBidi" w:hAnsiTheme="majorBidi" w:cstheme="majorBidi"/>
          <w:sz w:val="24"/>
          <w:szCs w:val="24"/>
        </w:rPr>
        <w:t>qualitatively.</w:t>
      </w:r>
      <w:r w:rsidR="009064FC" w:rsidRPr="009064FC">
        <w:rPr>
          <w:rFonts w:asciiTheme="majorBidi" w:hAnsiTheme="majorBidi" w:cstheme="majorBidi"/>
          <w:sz w:val="24"/>
          <w:szCs w:val="24"/>
        </w:rPr>
        <w:t xml:space="preserve"> Effect sizes were reported alongside significance tests to provide a more comprehensive interpretation of the results.</w:t>
      </w:r>
    </w:p>
    <w:p w14:paraId="7823E6EB" w14:textId="77777777" w:rsidR="00A96AFC" w:rsidRDefault="00A96AFC" w:rsidP="005C310A">
      <w:pPr>
        <w:pStyle w:val="Heading3"/>
        <w:jc w:val="both"/>
      </w:pPr>
      <w:r>
        <w:rPr>
          <w:rStyle w:val="Strong"/>
          <w:b/>
          <w:bCs/>
        </w:rPr>
        <w:t>Validity and Reliability</w:t>
      </w:r>
    </w:p>
    <w:p w14:paraId="145EBFA8" w14:textId="77777777" w:rsidR="00A96AFC" w:rsidRDefault="00A96AFC" w:rsidP="005C310A">
      <w:pPr>
        <w:pStyle w:val="NormalWeb"/>
        <w:jc w:val="both"/>
      </w:pPr>
      <w:r>
        <w:t>Several measures were taken to ensure the validity and reliability of the study. Data triangulation was achieved through the use of multiple data collection methods, which improves the credibility of findings (Cohen et al., 2018).</w:t>
      </w:r>
    </w:p>
    <w:p w14:paraId="0C0D86EF" w14:textId="5A097407" w:rsidR="00A96AFC" w:rsidRDefault="00A96AFC" w:rsidP="005C310A">
      <w:pPr>
        <w:pStyle w:val="NormalWeb"/>
        <w:jc w:val="both"/>
      </w:pPr>
      <w:r>
        <w:t>Additionally, research instruments were pre-tested to ensure clarity and consistency. The use of well-established data collection techniques further contributed to the reliability of the results (Maree, 2016).</w:t>
      </w:r>
    </w:p>
    <w:p w14:paraId="7DFE2F73" w14:textId="77777777" w:rsidR="00A96AFC" w:rsidRDefault="00A96AFC" w:rsidP="005C310A">
      <w:pPr>
        <w:pStyle w:val="Heading3"/>
        <w:jc w:val="both"/>
      </w:pPr>
      <w:r>
        <w:rPr>
          <w:rStyle w:val="Strong"/>
          <w:b/>
          <w:bCs/>
        </w:rPr>
        <w:t>Ethical Considerations</w:t>
      </w:r>
    </w:p>
    <w:p w14:paraId="1B6F4A90" w14:textId="3B42E531" w:rsidR="00A96AFC" w:rsidRDefault="00A96AFC" w:rsidP="005C310A">
      <w:pPr>
        <w:pStyle w:val="NormalWeb"/>
        <w:jc w:val="both"/>
      </w:pPr>
      <w:r>
        <w:t xml:space="preserve">The study adhered to ethical principles throughout the research process. </w:t>
      </w:r>
      <w:r>
        <w:rPr>
          <w:rStyle w:val="Strong"/>
        </w:rPr>
        <w:t>Informed consent</w:t>
      </w:r>
      <w:r>
        <w:t xml:space="preserve"> was obtained from all participants </w:t>
      </w:r>
      <w:r w:rsidR="0062406F">
        <w:t>before</w:t>
      </w:r>
      <w:r>
        <w:t xml:space="preserve"> data collection, and participation was voluntary.</w:t>
      </w:r>
    </w:p>
    <w:p w14:paraId="77937765" w14:textId="18E770E9" w:rsidR="00A96AFC" w:rsidRDefault="00A96AFC" w:rsidP="005C310A">
      <w:pPr>
        <w:pStyle w:val="NormalWeb"/>
        <w:jc w:val="both"/>
      </w:pPr>
      <w:r>
        <w:lastRenderedPageBreak/>
        <w:t>Confidentiality and anonymity were maintained to protect participants’ identities. Special attention was given to ensuring accessibility for visually impaired participants, in line with ethical guidelines for inclusive research (UNESCO, 2008).</w:t>
      </w:r>
    </w:p>
    <w:p w14:paraId="3B1F48C6" w14:textId="182E1A8D" w:rsidR="005749D2" w:rsidRDefault="00B838FF" w:rsidP="000E7ECC">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FINDINGS AND DISCUSSION</w:t>
      </w:r>
    </w:p>
    <w:p w14:paraId="3BBD462D" w14:textId="403CD6E8" w:rsidR="00F4067A" w:rsidRPr="00383261" w:rsidRDefault="00383261" w:rsidP="00F4067A">
      <w:pPr>
        <w:pStyle w:val="NoSpacing"/>
        <w:rPr>
          <w:rFonts w:asciiTheme="majorBidi" w:hAnsiTheme="majorBidi" w:cstheme="majorBidi"/>
          <w:sz w:val="24"/>
          <w:szCs w:val="24"/>
        </w:rPr>
      </w:pPr>
      <w:r w:rsidRPr="00383261">
        <w:rPr>
          <w:rFonts w:asciiTheme="majorBidi" w:hAnsiTheme="majorBidi" w:cstheme="majorBidi"/>
          <w:sz w:val="24"/>
          <w:szCs w:val="24"/>
        </w:rPr>
        <w:t>The study involved 34 participants in total. Quantitative analysis was conducted using data from 30 students, while qualitative insights were obtained from 4 physics teachers.</w:t>
      </w:r>
    </w:p>
    <w:p w14:paraId="4E75DB5D" w14:textId="178BF6F0" w:rsidR="00B92C8A" w:rsidRDefault="0091449C" w:rsidP="00430A69">
      <w:pPr>
        <w:pStyle w:val="NoSpacing"/>
        <w:rPr>
          <w:rFonts w:asciiTheme="majorBidi" w:hAnsiTheme="majorBidi" w:cstheme="majorBidi"/>
          <w:b/>
          <w:bCs/>
          <w:sz w:val="24"/>
          <w:szCs w:val="24"/>
        </w:rPr>
      </w:pPr>
      <w:r w:rsidRPr="0091449C">
        <w:rPr>
          <w:rFonts w:asciiTheme="majorBidi" w:hAnsiTheme="majorBidi" w:cstheme="majorBidi"/>
          <w:b/>
          <w:bCs/>
          <w:sz w:val="24"/>
          <w:szCs w:val="24"/>
        </w:rPr>
        <w:t>Demographic Characteristics (Student Sample, N = 30)</w:t>
      </w:r>
      <w:r w:rsidR="00B92C8A">
        <w:rPr>
          <w:rFonts w:asciiTheme="majorBidi" w:hAnsiTheme="majorBidi" w:cstheme="majorBidi"/>
          <w:b/>
          <w:bCs/>
          <w:sz w:val="24"/>
          <w:szCs w:val="24"/>
        </w:rPr>
        <w:t xml:space="preserve"> </w:t>
      </w:r>
    </w:p>
    <w:p w14:paraId="2D6CFDCE" w14:textId="4F920528"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1: </w:t>
      </w:r>
      <w:r w:rsidRPr="000E7ECC">
        <w:rPr>
          <w:rStyle w:val="Strong"/>
          <w:rFonts w:asciiTheme="majorBidi" w:hAnsiTheme="majorBidi" w:cstheme="majorBidi"/>
          <w:b/>
          <w:bCs/>
          <w:sz w:val="24"/>
          <w:szCs w:val="24"/>
        </w:rPr>
        <w:t xml:space="preserve">Demographic Characteristics of </w:t>
      </w:r>
      <w:r w:rsidR="00B92C8A">
        <w:rPr>
          <w:rStyle w:val="Strong"/>
          <w:rFonts w:asciiTheme="majorBidi" w:hAnsiTheme="majorBidi" w:cstheme="majorBidi"/>
          <w:b/>
          <w:bCs/>
          <w:sz w:val="24"/>
          <w:szCs w:val="24"/>
        </w:rPr>
        <w:t>Students</w:t>
      </w:r>
      <w:r w:rsidRPr="000E7ECC">
        <w:rPr>
          <w:rStyle w:val="Strong"/>
          <w:rFonts w:asciiTheme="majorBidi" w:hAnsiTheme="majorBidi" w:cstheme="majorBidi"/>
          <w:b/>
          <w:bCs/>
          <w:sz w:val="24"/>
          <w:szCs w:val="24"/>
        </w:rPr>
        <w:t xml:space="preserve"> (N = </w:t>
      </w:r>
      <w:r w:rsidR="00027A3C">
        <w:rPr>
          <w:rStyle w:val="Strong"/>
          <w:rFonts w:asciiTheme="majorBidi" w:hAnsiTheme="majorBidi" w:cstheme="majorBidi"/>
          <w:b/>
          <w:bCs/>
          <w:sz w:val="24"/>
          <w:szCs w:val="24"/>
        </w:rPr>
        <w:t>3</w:t>
      </w:r>
      <w:r w:rsidR="00B92C8A">
        <w:rPr>
          <w:rStyle w:val="Strong"/>
          <w:rFonts w:asciiTheme="majorBidi" w:hAnsiTheme="majorBidi" w:cstheme="majorBidi"/>
          <w:b/>
          <w:bCs/>
          <w:sz w:val="24"/>
          <w:szCs w:val="24"/>
        </w:rPr>
        <w:t>0</w:t>
      </w:r>
      <w:r w:rsidRPr="000E7ECC">
        <w:rPr>
          <w:rStyle w:val="Strong"/>
          <w:rFonts w:asciiTheme="majorBidi" w:hAnsiTheme="majorBidi" w:cstheme="majorBidi"/>
          <w:b/>
          <w:bCs/>
          <w:sz w:val="24"/>
          <w:szCs w:val="24"/>
        </w:rPr>
        <w:t>)</w:t>
      </w:r>
    </w:p>
    <w:tbl>
      <w:tblPr>
        <w:tblStyle w:val="PlainTable2"/>
        <w:tblW w:w="0" w:type="auto"/>
        <w:jc w:val="center"/>
        <w:tblLook w:val="04A0" w:firstRow="1" w:lastRow="0" w:firstColumn="1" w:lastColumn="0" w:noHBand="0" w:noVBand="1"/>
      </w:tblPr>
      <w:tblGrid>
        <w:gridCol w:w="1570"/>
        <w:gridCol w:w="1956"/>
        <w:gridCol w:w="456"/>
        <w:gridCol w:w="636"/>
      </w:tblGrid>
      <w:tr w:rsidR="005749D2" w:rsidRPr="00FB19EA" w14:paraId="77727E7E"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4951A5A5"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Variable</w:t>
            </w:r>
          </w:p>
        </w:tc>
        <w:tc>
          <w:tcPr>
            <w:tcW w:w="0" w:type="auto"/>
            <w:tcBorders>
              <w:top w:val="single" w:sz="12" w:space="0" w:color="auto"/>
              <w:bottom w:val="single" w:sz="12" w:space="0" w:color="auto"/>
            </w:tcBorders>
            <w:hideMark/>
          </w:tcPr>
          <w:p w14:paraId="5C4C94AA"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Category</w:t>
            </w:r>
          </w:p>
        </w:tc>
        <w:tc>
          <w:tcPr>
            <w:tcW w:w="0" w:type="auto"/>
            <w:tcBorders>
              <w:top w:val="single" w:sz="12" w:space="0" w:color="auto"/>
              <w:bottom w:val="single" w:sz="12" w:space="0" w:color="auto"/>
            </w:tcBorders>
            <w:hideMark/>
          </w:tcPr>
          <w:p w14:paraId="00F022EA" w14:textId="061898ED"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N</w:t>
            </w:r>
          </w:p>
        </w:tc>
        <w:tc>
          <w:tcPr>
            <w:tcW w:w="0" w:type="auto"/>
            <w:tcBorders>
              <w:top w:val="single" w:sz="12" w:space="0" w:color="auto"/>
              <w:bottom w:val="single" w:sz="12" w:space="0" w:color="auto"/>
            </w:tcBorders>
            <w:hideMark/>
          </w:tcPr>
          <w:p w14:paraId="177826BA"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w:t>
            </w:r>
          </w:p>
        </w:tc>
      </w:tr>
      <w:tr w:rsidR="005749D2" w:rsidRPr="00FB19EA" w14:paraId="4553665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7E6B93B4"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Gender</w:t>
            </w:r>
          </w:p>
        </w:tc>
        <w:tc>
          <w:tcPr>
            <w:tcW w:w="0" w:type="auto"/>
            <w:tcBorders>
              <w:top w:val="single" w:sz="12" w:space="0" w:color="auto"/>
              <w:bottom w:val="nil"/>
            </w:tcBorders>
            <w:hideMark/>
          </w:tcPr>
          <w:p w14:paraId="000E669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Male</w:t>
            </w:r>
          </w:p>
        </w:tc>
        <w:tc>
          <w:tcPr>
            <w:tcW w:w="0" w:type="auto"/>
            <w:tcBorders>
              <w:top w:val="single" w:sz="12" w:space="0" w:color="auto"/>
              <w:bottom w:val="nil"/>
            </w:tcBorders>
            <w:hideMark/>
          </w:tcPr>
          <w:p w14:paraId="43826E9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14</w:t>
            </w:r>
          </w:p>
        </w:tc>
        <w:tc>
          <w:tcPr>
            <w:tcW w:w="0" w:type="auto"/>
            <w:tcBorders>
              <w:top w:val="single" w:sz="12" w:space="0" w:color="auto"/>
              <w:bottom w:val="nil"/>
            </w:tcBorders>
            <w:hideMark/>
          </w:tcPr>
          <w:p w14:paraId="7DDA935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46.7</w:t>
            </w:r>
          </w:p>
        </w:tc>
      </w:tr>
      <w:tr w:rsidR="005749D2" w:rsidRPr="00FB19EA" w14:paraId="7CD9A91B"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2B89190E"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4592E99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Female</w:t>
            </w:r>
          </w:p>
        </w:tc>
        <w:tc>
          <w:tcPr>
            <w:tcW w:w="0" w:type="auto"/>
            <w:tcBorders>
              <w:top w:val="nil"/>
              <w:bottom w:val="nil"/>
            </w:tcBorders>
            <w:hideMark/>
          </w:tcPr>
          <w:p w14:paraId="3017B526"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16</w:t>
            </w:r>
          </w:p>
        </w:tc>
        <w:tc>
          <w:tcPr>
            <w:tcW w:w="0" w:type="auto"/>
            <w:tcBorders>
              <w:top w:val="nil"/>
              <w:bottom w:val="nil"/>
            </w:tcBorders>
            <w:hideMark/>
          </w:tcPr>
          <w:p w14:paraId="188D393D"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53.3</w:t>
            </w:r>
          </w:p>
        </w:tc>
      </w:tr>
      <w:tr w:rsidR="005749D2" w:rsidRPr="00FB19EA" w14:paraId="2E38CCC3"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53969BE"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Visual Status</w:t>
            </w:r>
          </w:p>
        </w:tc>
        <w:tc>
          <w:tcPr>
            <w:tcW w:w="0" w:type="auto"/>
            <w:tcBorders>
              <w:top w:val="nil"/>
              <w:bottom w:val="nil"/>
            </w:tcBorders>
            <w:hideMark/>
          </w:tcPr>
          <w:p w14:paraId="469A7E7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Visually Impaired</w:t>
            </w:r>
          </w:p>
        </w:tc>
        <w:tc>
          <w:tcPr>
            <w:tcW w:w="0" w:type="auto"/>
            <w:tcBorders>
              <w:top w:val="nil"/>
              <w:bottom w:val="nil"/>
            </w:tcBorders>
            <w:hideMark/>
          </w:tcPr>
          <w:p w14:paraId="2FF21F94"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w:t>
            </w:r>
          </w:p>
        </w:tc>
        <w:tc>
          <w:tcPr>
            <w:tcW w:w="0" w:type="auto"/>
            <w:tcBorders>
              <w:top w:val="nil"/>
              <w:bottom w:val="nil"/>
            </w:tcBorders>
            <w:hideMark/>
          </w:tcPr>
          <w:p w14:paraId="76B238C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66.7</w:t>
            </w:r>
          </w:p>
        </w:tc>
      </w:tr>
      <w:tr w:rsidR="005749D2" w:rsidRPr="00FB19EA" w14:paraId="79169C9E"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54141D98"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22C0385F"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Sighted</w:t>
            </w:r>
          </w:p>
        </w:tc>
        <w:tc>
          <w:tcPr>
            <w:tcW w:w="0" w:type="auto"/>
            <w:tcBorders>
              <w:top w:val="nil"/>
              <w:bottom w:val="nil"/>
            </w:tcBorders>
            <w:hideMark/>
          </w:tcPr>
          <w:p w14:paraId="433F5A6C"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10</w:t>
            </w:r>
          </w:p>
        </w:tc>
        <w:tc>
          <w:tcPr>
            <w:tcW w:w="0" w:type="auto"/>
            <w:tcBorders>
              <w:top w:val="nil"/>
              <w:bottom w:val="nil"/>
            </w:tcBorders>
            <w:hideMark/>
          </w:tcPr>
          <w:p w14:paraId="707CA6C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33.3</w:t>
            </w:r>
          </w:p>
        </w:tc>
      </w:tr>
      <w:tr w:rsidR="005749D2" w:rsidRPr="00FB19EA" w14:paraId="021BE4B6"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3835D7F"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Age Group</w:t>
            </w:r>
          </w:p>
        </w:tc>
        <w:tc>
          <w:tcPr>
            <w:tcW w:w="0" w:type="auto"/>
            <w:tcBorders>
              <w:top w:val="nil"/>
              <w:bottom w:val="nil"/>
            </w:tcBorders>
            <w:hideMark/>
          </w:tcPr>
          <w:p w14:paraId="11A6B3F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13–15 years</w:t>
            </w:r>
          </w:p>
        </w:tc>
        <w:tc>
          <w:tcPr>
            <w:tcW w:w="0" w:type="auto"/>
            <w:tcBorders>
              <w:top w:val="nil"/>
              <w:bottom w:val="nil"/>
            </w:tcBorders>
            <w:hideMark/>
          </w:tcPr>
          <w:p w14:paraId="4352FB0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9</w:t>
            </w:r>
          </w:p>
        </w:tc>
        <w:tc>
          <w:tcPr>
            <w:tcW w:w="0" w:type="auto"/>
            <w:tcBorders>
              <w:top w:val="nil"/>
              <w:bottom w:val="nil"/>
            </w:tcBorders>
            <w:hideMark/>
          </w:tcPr>
          <w:p w14:paraId="6175DFE9" w14:textId="17DA6D2C" w:rsidR="005749D2" w:rsidRPr="00FB19EA" w:rsidRDefault="00027A3C"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34</w:t>
            </w:r>
            <w:r w:rsidR="005749D2" w:rsidRPr="00FB19EA">
              <w:rPr>
                <w:rFonts w:asciiTheme="majorBidi" w:hAnsiTheme="majorBidi" w:cstheme="majorBidi"/>
                <w:sz w:val="24"/>
                <w:szCs w:val="24"/>
              </w:rPr>
              <w:t>.0</w:t>
            </w:r>
          </w:p>
        </w:tc>
      </w:tr>
      <w:tr w:rsidR="005749D2" w:rsidRPr="00FB19EA" w14:paraId="4D30AC27"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321BF49"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40B40A98"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16–18 years</w:t>
            </w:r>
          </w:p>
        </w:tc>
        <w:tc>
          <w:tcPr>
            <w:tcW w:w="0" w:type="auto"/>
            <w:tcBorders>
              <w:top w:val="nil"/>
              <w:bottom w:val="nil"/>
            </w:tcBorders>
            <w:hideMark/>
          </w:tcPr>
          <w:p w14:paraId="56074719"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13</w:t>
            </w:r>
          </w:p>
        </w:tc>
        <w:tc>
          <w:tcPr>
            <w:tcW w:w="0" w:type="auto"/>
            <w:tcBorders>
              <w:top w:val="nil"/>
              <w:bottom w:val="nil"/>
            </w:tcBorders>
            <w:hideMark/>
          </w:tcPr>
          <w:p w14:paraId="703F7321"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43.3</w:t>
            </w:r>
          </w:p>
        </w:tc>
      </w:tr>
      <w:tr w:rsidR="005749D2" w:rsidRPr="00FB19EA" w14:paraId="3CE4C104"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5F49350C" w14:textId="77777777" w:rsidR="005749D2" w:rsidRPr="00FB19EA" w:rsidRDefault="005749D2" w:rsidP="00BA69D1">
            <w:pPr>
              <w:rPr>
                <w:rFonts w:asciiTheme="majorBidi" w:hAnsiTheme="majorBidi" w:cstheme="majorBidi"/>
                <w:sz w:val="24"/>
                <w:szCs w:val="24"/>
              </w:rPr>
            </w:pPr>
          </w:p>
        </w:tc>
        <w:tc>
          <w:tcPr>
            <w:tcW w:w="0" w:type="auto"/>
            <w:tcBorders>
              <w:top w:val="nil"/>
            </w:tcBorders>
            <w:hideMark/>
          </w:tcPr>
          <w:p w14:paraId="1685083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Above 18 years</w:t>
            </w:r>
          </w:p>
        </w:tc>
        <w:tc>
          <w:tcPr>
            <w:tcW w:w="0" w:type="auto"/>
            <w:tcBorders>
              <w:top w:val="nil"/>
            </w:tcBorders>
            <w:hideMark/>
          </w:tcPr>
          <w:p w14:paraId="089A082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8</w:t>
            </w:r>
          </w:p>
        </w:tc>
        <w:tc>
          <w:tcPr>
            <w:tcW w:w="0" w:type="auto"/>
            <w:tcBorders>
              <w:top w:val="nil"/>
            </w:tcBorders>
            <w:hideMark/>
          </w:tcPr>
          <w:p w14:paraId="183824B4"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26.7</w:t>
            </w:r>
          </w:p>
        </w:tc>
      </w:tr>
    </w:tbl>
    <w:p w14:paraId="4AEBF3D4" w14:textId="77777777" w:rsidR="000E7ECC" w:rsidRDefault="000E7ECC" w:rsidP="000E7ECC"/>
    <w:p w14:paraId="4BF00B58" w14:textId="263B45A8" w:rsidR="000E7ECC" w:rsidRPr="000E7ECC" w:rsidRDefault="000E7ECC" w:rsidP="000E7ECC">
      <w:pPr>
        <w:jc w:val="both"/>
        <w:rPr>
          <w:rStyle w:val="Strong"/>
          <w:rFonts w:asciiTheme="majorBidi" w:hAnsiTheme="majorBidi" w:cstheme="majorBidi"/>
          <w:b w:val="0"/>
          <w:bCs w:val="0"/>
          <w:sz w:val="24"/>
          <w:szCs w:val="24"/>
        </w:rPr>
      </w:pPr>
      <w:r w:rsidRPr="000E7ECC">
        <w:rPr>
          <w:rFonts w:asciiTheme="majorBidi" w:hAnsiTheme="majorBidi" w:cstheme="majorBidi"/>
          <w:sz w:val="24"/>
          <w:szCs w:val="24"/>
        </w:rPr>
        <w:t>The sample was slightly dominated by female participants (53.3%). A majority of participants were visually impaired (66.7%), reflecting the study’s focus. Most respondents were aged 16–18 years (43.3%), indicating that the sample was largely drawn from mid-to-upper secondary levels.</w:t>
      </w:r>
    </w:p>
    <w:p w14:paraId="2ECD9610" w14:textId="34F8E82E"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Differences in Learning Outcomes</w:t>
      </w:r>
    </w:p>
    <w:p w14:paraId="2002B4F6"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t>An independent samples t-test was conducted to compare learning outcomes between visually impaired and sighted students.</w:t>
      </w:r>
    </w:p>
    <w:p w14:paraId="22E5105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2: </w:t>
      </w:r>
      <w:r w:rsidRPr="000E7ECC">
        <w:rPr>
          <w:rStyle w:val="Strong"/>
          <w:rFonts w:asciiTheme="majorBidi" w:hAnsiTheme="majorBidi" w:cstheme="majorBidi"/>
          <w:b/>
          <w:bCs/>
          <w:sz w:val="24"/>
          <w:szCs w:val="24"/>
        </w:rPr>
        <w:t>Independent Samples t-Test Comparing Learning Outcomes</w:t>
      </w:r>
    </w:p>
    <w:tbl>
      <w:tblPr>
        <w:tblStyle w:val="PlainTable2"/>
        <w:tblW w:w="0" w:type="auto"/>
        <w:jc w:val="center"/>
        <w:tblLook w:val="04A0" w:firstRow="1" w:lastRow="0" w:firstColumn="1" w:lastColumn="0" w:noHBand="0" w:noVBand="1"/>
      </w:tblPr>
      <w:tblGrid>
        <w:gridCol w:w="2077"/>
        <w:gridCol w:w="456"/>
        <w:gridCol w:w="756"/>
        <w:gridCol w:w="636"/>
        <w:gridCol w:w="716"/>
        <w:gridCol w:w="470"/>
        <w:gridCol w:w="636"/>
      </w:tblGrid>
      <w:tr w:rsidR="005749D2" w:rsidRPr="00FB19EA" w14:paraId="42E47012"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48B0C4AE"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Group</w:t>
            </w:r>
          </w:p>
        </w:tc>
        <w:tc>
          <w:tcPr>
            <w:tcW w:w="0" w:type="auto"/>
            <w:tcBorders>
              <w:top w:val="single" w:sz="12" w:space="0" w:color="auto"/>
              <w:bottom w:val="single" w:sz="12" w:space="0" w:color="auto"/>
            </w:tcBorders>
            <w:hideMark/>
          </w:tcPr>
          <w:p w14:paraId="40761057" w14:textId="409C8D95" w:rsidR="005749D2" w:rsidRPr="00FB19EA" w:rsidRDefault="00383261"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N</w:t>
            </w:r>
          </w:p>
        </w:tc>
        <w:tc>
          <w:tcPr>
            <w:tcW w:w="0" w:type="auto"/>
            <w:tcBorders>
              <w:top w:val="single" w:sz="12" w:space="0" w:color="auto"/>
              <w:bottom w:val="single" w:sz="12" w:space="0" w:color="auto"/>
            </w:tcBorders>
            <w:hideMark/>
          </w:tcPr>
          <w:p w14:paraId="0C5DBE3D"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M</w:t>
            </w:r>
          </w:p>
        </w:tc>
        <w:tc>
          <w:tcPr>
            <w:tcW w:w="0" w:type="auto"/>
            <w:tcBorders>
              <w:top w:val="single" w:sz="12" w:space="0" w:color="auto"/>
              <w:bottom w:val="single" w:sz="12" w:space="0" w:color="auto"/>
            </w:tcBorders>
            <w:hideMark/>
          </w:tcPr>
          <w:p w14:paraId="0357DB78"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SD</w:t>
            </w:r>
          </w:p>
        </w:tc>
        <w:tc>
          <w:tcPr>
            <w:tcW w:w="0" w:type="auto"/>
            <w:tcBorders>
              <w:top w:val="single" w:sz="12" w:space="0" w:color="auto"/>
              <w:bottom w:val="single" w:sz="12" w:space="0" w:color="auto"/>
            </w:tcBorders>
            <w:hideMark/>
          </w:tcPr>
          <w:p w14:paraId="5C8B2BA3" w14:textId="2DFB8DBA"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T</w:t>
            </w:r>
          </w:p>
        </w:tc>
        <w:tc>
          <w:tcPr>
            <w:tcW w:w="0" w:type="auto"/>
            <w:tcBorders>
              <w:top w:val="single" w:sz="12" w:space="0" w:color="auto"/>
              <w:bottom w:val="single" w:sz="12" w:space="0" w:color="auto"/>
            </w:tcBorders>
            <w:hideMark/>
          </w:tcPr>
          <w:p w14:paraId="6215EA06" w14:textId="60525E44" w:rsidR="005749D2" w:rsidRPr="00FB19EA" w:rsidRDefault="000E7ECC"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D</w:t>
            </w:r>
            <w:r w:rsidR="005749D2" w:rsidRPr="00FB19EA">
              <w:rPr>
                <w:rFonts w:asciiTheme="majorBidi" w:hAnsiTheme="majorBidi" w:cstheme="majorBidi"/>
                <w:b w:val="0"/>
                <w:bCs w:val="0"/>
                <w:sz w:val="24"/>
                <w:szCs w:val="24"/>
              </w:rPr>
              <w:t>f</w:t>
            </w:r>
          </w:p>
        </w:tc>
        <w:tc>
          <w:tcPr>
            <w:tcW w:w="0" w:type="auto"/>
            <w:tcBorders>
              <w:top w:val="single" w:sz="12" w:space="0" w:color="auto"/>
              <w:bottom w:val="single" w:sz="12" w:space="0" w:color="auto"/>
            </w:tcBorders>
            <w:hideMark/>
          </w:tcPr>
          <w:p w14:paraId="7DBFD1E6"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p</w:t>
            </w:r>
          </w:p>
        </w:tc>
      </w:tr>
      <w:tr w:rsidR="005749D2" w:rsidRPr="00FB19EA" w14:paraId="35AF8F1F"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50AC44C5"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Visually Impaired</w:t>
            </w:r>
          </w:p>
        </w:tc>
        <w:tc>
          <w:tcPr>
            <w:tcW w:w="0" w:type="auto"/>
            <w:tcBorders>
              <w:top w:val="single" w:sz="12" w:space="0" w:color="auto"/>
              <w:bottom w:val="nil"/>
            </w:tcBorders>
            <w:hideMark/>
          </w:tcPr>
          <w:p w14:paraId="7BD7186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w:t>
            </w:r>
          </w:p>
        </w:tc>
        <w:tc>
          <w:tcPr>
            <w:tcW w:w="0" w:type="auto"/>
            <w:tcBorders>
              <w:top w:val="single" w:sz="12" w:space="0" w:color="auto"/>
              <w:bottom w:val="nil"/>
            </w:tcBorders>
            <w:hideMark/>
          </w:tcPr>
          <w:p w14:paraId="05D0E5CB"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57.10</w:t>
            </w:r>
          </w:p>
        </w:tc>
        <w:tc>
          <w:tcPr>
            <w:tcW w:w="0" w:type="auto"/>
            <w:tcBorders>
              <w:top w:val="single" w:sz="12" w:space="0" w:color="auto"/>
              <w:bottom w:val="nil"/>
            </w:tcBorders>
            <w:hideMark/>
          </w:tcPr>
          <w:p w14:paraId="3A0C484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9.80</w:t>
            </w:r>
          </w:p>
        </w:tc>
        <w:tc>
          <w:tcPr>
            <w:tcW w:w="0" w:type="auto"/>
            <w:tcBorders>
              <w:top w:val="single" w:sz="12" w:space="0" w:color="auto"/>
              <w:bottom w:val="nil"/>
            </w:tcBorders>
            <w:hideMark/>
          </w:tcPr>
          <w:p w14:paraId="043DBA1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0" w:type="auto"/>
            <w:tcBorders>
              <w:top w:val="single" w:sz="12" w:space="0" w:color="auto"/>
              <w:bottom w:val="nil"/>
            </w:tcBorders>
            <w:hideMark/>
          </w:tcPr>
          <w:p w14:paraId="4F18C63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0" w:type="auto"/>
            <w:tcBorders>
              <w:top w:val="single" w:sz="12" w:space="0" w:color="auto"/>
              <w:bottom w:val="nil"/>
            </w:tcBorders>
            <w:hideMark/>
          </w:tcPr>
          <w:p w14:paraId="04791F39"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749D2" w:rsidRPr="00FB19EA" w14:paraId="2182501F"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hideMark/>
          </w:tcPr>
          <w:p w14:paraId="2B1261B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Sighted Students</w:t>
            </w:r>
          </w:p>
        </w:tc>
        <w:tc>
          <w:tcPr>
            <w:tcW w:w="0" w:type="auto"/>
            <w:tcBorders>
              <w:top w:val="nil"/>
              <w:bottom w:val="single" w:sz="12" w:space="0" w:color="auto"/>
            </w:tcBorders>
            <w:hideMark/>
          </w:tcPr>
          <w:p w14:paraId="7B3A9D70"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10</w:t>
            </w:r>
          </w:p>
        </w:tc>
        <w:tc>
          <w:tcPr>
            <w:tcW w:w="0" w:type="auto"/>
            <w:tcBorders>
              <w:top w:val="nil"/>
              <w:bottom w:val="single" w:sz="12" w:space="0" w:color="auto"/>
            </w:tcBorders>
            <w:hideMark/>
          </w:tcPr>
          <w:p w14:paraId="12B6BF3C"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64.50</w:t>
            </w:r>
          </w:p>
        </w:tc>
        <w:tc>
          <w:tcPr>
            <w:tcW w:w="0" w:type="auto"/>
            <w:tcBorders>
              <w:top w:val="nil"/>
              <w:bottom w:val="single" w:sz="12" w:space="0" w:color="auto"/>
            </w:tcBorders>
            <w:hideMark/>
          </w:tcPr>
          <w:p w14:paraId="07D329DB"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8.95</w:t>
            </w:r>
          </w:p>
        </w:tc>
        <w:tc>
          <w:tcPr>
            <w:tcW w:w="0" w:type="auto"/>
            <w:tcBorders>
              <w:top w:val="nil"/>
              <w:bottom w:val="single" w:sz="12" w:space="0" w:color="auto"/>
            </w:tcBorders>
            <w:hideMark/>
          </w:tcPr>
          <w:p w14:paraId="4AF96DDB"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-2.14</w:t>
            </w:r>
          </w:p>
        </w:tc>
        <w:tc>
          <w:tcPr>
            <w:tcW w:w="0" w:type="auto"/>
            <w:tcBorders>
              <w:top w:val="nil"/>
              <w:bottom w:val="single" w:sz="12" w:space="0" w:color="auto"/>
            </w:tcBorders>
            <w:hideMark/>
          </w:tcPr>
          <w:p w14:paraId="5DF84658"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28</w:t>
            </w:r>
          </w:p>
        </w:tc>
        <w:tc>
          <w:tcPr>
            <w:tcW w:w="0" w:type="auto"/>
            <w:tcBorders>
              <w:top w:val="nil"/>
              <w:bottom w:val="single" w:sz="12" w:space="0" w:color="auto"/>
            </w:tcBorders>
            <w:hideMark/>
          </w:tcPr>
          <w:p w14:paraId="18AF8B5E"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.041</w:t>
            </w:r>
          </w:p>
        </w:tc>
      </w:tr>
    </w:tbl>
    <w:p w14:paraId="4D78D388" w14:textId="513B9720" w:rsidR="00F62156" w:rsidRPr="00F62156" w:rsidRDefault="00F62156" w:rsidP="005749D2">
      <w:pPr>
        <w:pStyle w:val="NormalWeb"/>
        <w:rPr>
          <w:rFonts w:asciiTheme="majorBidi" w:hAnsiTheme="majorBidi" w:cstheme="majorBidi"/>
        </w:rPr>
      </w:pPr>
      <w:r w:rsidRPr="00F62156">
        <w:rPr>
          <w:rFonts w:asciiTheme="majorBidi" w:hAnsiTheme="majorBidi" w:cstheme="majorBidi"/>
          <w:color w:val="0F1115"/>
          <w:shd w:val="clear" w:color="auto" w:fill="FFFFFF"/>
        </w:rPr>
        <w:t xml:space="preserve">Cohen's d was calculated to determine </w:t>
      </w:r>
      <w:r w:rsidR="0062406F">
        <w:rPr>
          <w:rFonts w:asciiTheme="majorBidi" w:hAnsiTheme="majorBidi" w:cstheme="majorBidi"/>
          <w:color w:val="0F1115"/>
          <w:shd w:val="clear" w:color="auto" w:fill="FFFFFF"/>
        </w:rPr>
        <w:t xml:space="preserve">the </w:t>
      </w:r>
      <w:r w:rsidRPr="00F62156">
        <w:rPr>
          <w:rFonts w:asciiTheme="majorBidi" w:hAnsiTheme="majorBidi" w:cstheme="majorBidi"/>
          <w:color w:val="0F1115"/>
          <w:shd w:val="clear" w:color="auto" w:fill="FFFFFF"/>
        </w:rPr>
        <w:t>effect size. The result (d = 0.78) indicates a moderate to large practical significance, suggesting that visual status has a meaningful impact on learning outcomes.</w:t>
      </w:r>
    </w:p>
    <w:p w14:paraId="724FDC2C" w14:textId="42C2B9D5" w:rsidR="000E7ECC" w:rsidRDefault="000E7ECC" w:rsidP="005749D2">
      <w:pPr>
        <w:pStyle w:val="NormalWeb"/>
        <w:rPr>
          <w:rFonts w:asciiTheme="majorBidi" w:hAnsiTheme="majorBidi" w:cstheme="majorBidi"/>
        </w:rPr>
      </w:pPr>
      <w:r>
        <w:t xml:space="preserve">There was a statistically significant difference in learning outcomes between the two groups </w:t>
      </w:r>
      <w:r w:rsidR="00B96D3C">
        <w:t>(</w:t>
      </w:r>
      <w:proofErr w:type="gramStart"/>
      <w:r>
        <w:rPr>
          <w:rStyle w:val="Emphasis"/>
        </w:rPr>
        <w:t>t</w:t>
      </w:r>
      <w:r>
        <w:t>(</w:t>
      </w:r>
      <w:proofErr w:type="gramEnd"/>
      <w:r>
        <w:t xml:space="preserve">28) = -2.14, </w:t>
      </w:r>
      <w:r>
        <w:rPr>
          <w:rStyle w:val="Emphasis"/>
        </w:rPr>
        <w:t>p</w:t>
      </w:r>
      <w:r>
        <w:t xml:space="preserve"> = .041</w:t>
      </w:r>
      <w:r w:rsidR="00B96D3C">
        <w:t>)</w:t>
      </w:r>
      <w:r>
        <w:t>. Sighted students achieved higher mean scores than visually impaired students, indicating a performance gap likely associated with differences in access to instructional support and learning resources.</w:t>
      </w:r>
    </w:p>
    <w:p w14:paraId="379F0F91" w14:textId="77777777"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Differences Across Age Groups</w:t>
      </w:r>
    </w:p>
    <w:p w14:paraId="6C24FB00"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lastRenderedPageBreak/>
        <w:t>A one-way ANOVA was conducted to examine differences in learning outcomes across age groups.</w:t>
      </w:r>
    </w:p>
    <w:p w14:paraId="61BE1A3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Table 3:</w:t>
      </w:r>
      <w:r w:rsidRPr="000E7ECC">
        <w:rPr>
          <w:rStyle w:val="Strong"/>
          <w:rFonts w:asciiTheme="majorBidi" w:hAnsiTheme="majorBidi" w:cstheme="majorBidi"/>
          <w:b/>
          <w:bCs/>
          <w:sz w:val="24"/>
          <w:szCs w:val="24"/>
        </w:rPr>
        <w:t xml:space="preserve"> One-Way ANOVA for Learning Outcomes by Age Group</w:t>
      </w:r>
    </w:p>
    <w:tbl>
      <w:tblPr>
        <w:tblW w:w="0" w:type="auto"/>
        <w:jc w:val="center"/>
        <w:tblCellSpacing w:w="15" w:type="dxa"/>
        <w:tblBorders>
          <w:bottom w:val="single" w:sz="12" w:space="0" w:color="auto"/>
        </w:tblBorders>
        <w:tblCellMar>
          <w:top w:w="15" w:type="dxa"/>
          <w:left w:w="15" w:type="dxa"/>
          <w:bottom w:w="15" w:type="dxa"/>
          <w:right w:w="15" w:type="dxa"/>
        </w:tblCellMar>
        <w:tblLook w:val="04A0" w:firstRow="1" w:lastRow="0" w:firstColumn="1" w:lastColumn="0" w:noHBand="0" w:noVBand="1"/>
      </w:tblPr>
      <w:tblGrid>
        <w:gridCol w:w="1682"/>
        <w:gridCol w:w="840"/>
        <w:gridCol w:w="300"/>
        <w:gridCol w:w="720"/>
        <w:gridCol w:w="480"/>
        <w:gridCol w:w="495"/>
      </w:tblGrid>
      <w:tr w:rsidR="005749D2" w:rsidRPr="00FB19EA" w14:paraId="5F0AB65B" w14:textId="77777777" w:rsidTr="00BA69D1">
        <w:trPr>
          <w:tblHeader/>
          <w:tblCellSpacing w:w="15" w:type="dxa"/>
          <w:jc w:val="center"/>
        </w:trPr>
        <w:tc>
          <w:tcPr>
            <w:tcW w:w="0" w:type="auto"/>
            <w:tcBorders>
              <w:top w:val="single" w:sz="12" w:space="0" w:color="auto"/>
              <w:bottom w:val="single" w:sz="12" w:space="0" w:color="auto"/>
            </w:tcBorders>
            <w:vAlign w:val="center"/>
            <w:hideMark/>
          </w:tcPr>
          <w:p w14:paraId="5500D3D9"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Source</w:t>
            </w:r>
          </w:p>
        </w:tc>
        <w:tc>
          <w:tcPr>
            <w:tcW w:w="0" w:type="auto"/>
            <w:tcBorders>
              <w:top w:val="single" w:sz="12" w:space="0" w:color="auto"/>
              <w:bottom w:val="single" w:sz="12" w:space="0" w:color="auto"/>
            </w:tcBorders>
            <w:vAlign w:val="center"/>
            <w:hideMark/>
          </w:tcPr>
          <w:p w14:paraId="1BCC0F31"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SS</w:t>
            </w:r>
          </w:p>
        </w:tc>
        <w:tc>
          <w:tcPr>
            <w:tcW w:w="0" w:type="auto"/>
            <w:tcBorders>
              <w:top w:val="single" w:sz="12" w:space="0" w:color="auto"/>
              <w:bottom w:val="single" w:sz="12" w:space="0" w:color="auto"/>
            </w:tcBorders>
            <w:vAlign w:val="center"/>
            <w:hideMark/>
          </w:tcPr>
          <w:p w14:paraId="7E6F78B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df</w:t>
            </w:r>
          </w:p>
        </w:tc>
        <w:tc>
          <w:tcPr>
            <w:tcW w:w="0" w:type="auto"/>
            <w:tcBorders>
              <w:top w:val="single" w:sz="12" w:space="0" w:color="auto"/>
              <w:bottom w:val="single" w:sz="12" w:space="0" w:color="auto"/>
            </w:tcBorders>
            <w:vAlign w:val="center"/>
            <w:hideMark/>
          </w:tcPr>
          <w:p w14:paraId="1577850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MS</w:t>
            </w:r>
          </w:p>
        </w:tc>
        <w:tc>
          <w:tcPr>
            <w:tcW w:w="0" w:type="auto"/>
            <w:tcBorders>
              <w:top w:val="single" w:sz="12" w:space="0" w:color="auto"/>
              <w:bottom w:val="single" w:sz="12" w:space="0" w:color="auto"/>
            </w:tcBorders>
            <w:vAlign w:val="center"/>
            <w:hideMark/>
          </w:tcPr>
          <w:p w14:paraId="253781B6"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F</w:t>
            </w:r>
          </w:p>
        </w:tc>
        <w:tc>
          <w:tcPr>
            <w:tcW w:w="0" w:type="auto"/>
            <w:tcBorders>
              <w:top w:val="single" w:sz="12" w:space="0" w:color="auto"/>
              <w:bottom w:val="single" w:sz="12" w:space="0" w:color="auto"/>
            </w:tcBorders>
            <w:vAlign w:val="center"/>
            <w:hideMark/>
          </w:tcPr>
          <w:p w14:paraId="5D77FBFB" w14:textId="5A5DA0BD" w:rsidR="005749D2" w:rsidRPr="00FB19EA" w:rsidRDefault="000E7ECC"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P</w:t>
            </w:r>
          </w:p>
        </w:tc>
      </w:tr>
      <w:tr w:rsidR="005749D2" w:rsidRPr="00FB19EA" w14:paraId="41AE30E5" w14:textId="77777777" w:rsidTr="00BA69D1">
        <w:trPr>
          <w:tblCellSpacing w:w="15" w:type="dxa"/>
          <w:jc w:val="center"/>
        </w:trPr>
        <w:tc>
          <w:tcPr>
            <w:tcW w:w="0" w:type="auto"/>
            <w:vAlign w:val="center"/>
            <w:hideMark/>
          </w:tcPr>
          <w:p w14:paraId="3902A9A9"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Between Groups</w:t>
            </w:r>
          </w:p>
        </w:tc>
        <w:tc>
          <w:tcPr>
            <w:tcW w:w="0" w:type="auto"/>
            <w:vAlign w:val="center"/>
            <w:hideMark/>
          </w:tcPr>
          <w:p w14:paraId="363381C0"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412.60</w:t>
            </w:r>
          </w:p>
        </w:tc>
        <w:tc>
          <w:tcPr>
            <w:tcW w:w="0" w:type="auto"/>
            <w:vAlign w:val="center"/>
            <w:hideMark/>
          </w:tcPr>
          <w:p w14:paraId="710575E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w:t>
            </w:r>
          </w:p>
        </w:tc>
        <w:tc>
          <w:tcPr>
            <w:tcW w:w="0" w:type="auto"/>
            <w:vAlign w:val="center"/>
            <w:hideMark/>
          </w:tcPr>
          <w:p w14:paraId="7989AA09" w14:textId="1DCB3996"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206.</w:t>
            </w:r>
            <w:r w:rsidR="00027A3C">
              <w:rPr>
                <w:rFonts w:asciiTheme="majorBidi" w:hAnsiTheme="majorBidi" w:cstheme="majorBidi"/>
                <w:sz w:val="24"/>
                <w:szCs w:val="24"/>
              </w:rPr>
              <w:t>34</w:t>
            </w:r>
          </w:p>
        </w:tc>
        <w:tc>
          <w:tcPr>
            <w:tcW w:w="0" w:type="auto"/>
            <w:vAlign w:val="center"/>
            <w:hideMark/>
          </w:tcPr>
          <w:p w14:paraId="314D0A3D"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3.87</w:t>
            </w:r>
          </w:p>
        </w:tc>
        <w:tc>
          <w:tcPr>
            <w:tcW w:w="0" w:type="auto"/>
            <w:vAlign w:val="center"/>
            <w:hideMark/>
          </w:tcPr>
          <w:p w14:paraId="738EA07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.033</w:t>
            </w:r>
          </w:p>
        </w:tc>
      </w:tr>
      <w:tr w:rsidR="005749D2" w:rsidRPr="00FB19EA" w14:paraId="2AA933B3" w14:textId="77777777" w:rsidTr="00BA69D1">
        <w:trPr>
          <w:tblCellSpacing w:w="15" w:type="dxa"/>
          <w:jc w:val="center"/>
        </w:trPr>
        <w:tc>
          <w:tcPr>
            <w:tcW w:w="0" w:type="auto"/>
            <w:vAlign w:val="center"/>
            <w:hideMark/>
          </w:tcPr>
          <w:p w14:paraId="5296A83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Within Groups</w:t>
            </w:r>
          </w:p>
        </w:tc>
        <w:tc>
          <w:tcPr>
            <w:tcW w:w="0" w:type="auto"/>
            <w:vAlign w:val="center"/>
            <w:hideMark/>
          </w:tcPr>
          <w:p w14:paraId="78C03CD0"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1439.20</w:t>
            </w:r>
          </w:p>
        </w:tc>
        <w:tc>
          <w:tcPr>
            <w:tcW w:w="0" w:type="auto"/>
            <w:vAlign w:val="center"/>
            <w:hideMark/>
          </w:tcPr>
          <w:p w14:paraId="01E9FAEA"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27</w:t>
            </w:r>
          </w:p>
        </w:tc>
        <w:tc>
          <w:tcPr>
            <w:tcW w:w="0" w:type="auto"/>
            <w:vAlign w:val="center"/>
            <w:hideMark/>
          </w:tcPr>
          <w:p w14:paraId="084BA686" w14:textId="2551AA00"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53.</w:t>
            </w:r>
            <w:r w:rsidR="00027A3C">
              <w:rPr>
                <w:rFonts w:asciiTheme="majorBidi" w:hAnsiTheme="majorBidi" w:cstheme="majorBidi"/>
                <w:sz w:val="24"/>
                <w:szCs w:val="24"/>
              </w:rPr>
              <w:t>34</w:t>
            </w:r>
          </w:p>
        </w:tc>
        <w:tc>
          <w:tcPr>
            <w:tcW w:w="0" w:type="auto"/>
            <w:vAlign w:val="center"/>
            <w:hideMark/>
          </w:tcPr>
          <w:p w14:paraId="5940090B"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08A7DBD5" w14:textId="77777777" w:rsidR="005749D2" w:rsidRPr="00FB19EA" w:rsidRDefault="005749D2" w:rsidP="00BA69D1">
            <w:pPr>
              <w:rPr>
                <w:rFonts w:asciiTheme="majorBidi" w:hAnsiTheme="majorBidi" w:cstheme="majorBidi"/>
                <w:sz w:val="24"/>
                <w:szCs w:val="24"/>
              </w:rPr>
            </w:pPr>
          </w:p>
        </w:tc>
      </w:tr>
      <w:tr w:rsidR="005749D2" w:rsidRPr="00FB19EA" w14:paraId="6E3E3572" w14:textId="77777777" w:rsidTr="00BA69D1">
        <w:trPr>
          <w:tblCellSpacing w:w="15" w:type="dxa"/>
          <w:jc w:val="center"/>
        </w:trPr>
        <w:tc>
          <w:tcPr>
            <w:tcW w:w="0" w:type="auto"/>
            <w:vAlign w:val="center"/>
            <w:hideMark/>
          </w:tcPr>
          <w:p w14:paraId="3831322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Total</w:t>
            </w:r>
          </w:p>
        </w:tc>
        <w:tc>
          <w:tcPr>
            <w:tcW w:w="0" w:type="auto"/>
            <w:vAlign w:val="center"/>
            <w:hideMark/>
          </w:tcPr>
          <w:p w14:paraId="525D804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1851.80</w:t>
            </w:r>
          </w:p>
        </w:tc>
        <w:tc>
          <w:tcPr>
            <w:tcW w:w="0" w:type="auto"/>
            <w:vAlign w:val="center"/>
            <w:hideMark/>
          </w:tcPr>
          <w:p w14:paraId="680FA8B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29</w:t>
            </w:r>
          </w:p>
        </w:tc>
        <w:tc>
          <w:tcPr>
            <w:tcW w:w="0" w:type="auto"/>
            <w:vAlign w:val="center"/>
            <w:hideMark/>
          </w:tcPr>
          <w:p w14:paraId="3BC77A46"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6EAA9F73"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22B3FEAF" w14:textId="77777777" w:rsidR="005749D2" w:rsidRPr="00FB19EA" w:rsidRDefault="005749D2" w:rsidP="00BA69D1">
            <w:pPr>
              <w:rPr>
                <w:rFonts w:asciiTheme="majorBidi" w:hAnsiTheme="majorBidi" w:cstheme="majorBidi"/>
                <w:sz w:val="24"/>
                <w:szCs w:val="24"/>
              </w:rPr>
            </w:pPr>
          </w:p>
        </w:tc>
      </w:tr>
    </w:tbl>
    <w:p w14:paraId="709BA5EA" w14:textId="4E628C75" w:rsidR="00432CB2" w:rsidRPr="00432CB2" w:rsidRDefault="00432CB2" w:rsidP="005749D2">
      <w:pPr>
        <w:pStyle w:val="NormalWeb"/>
        <w:rPr>
          <w:rFonts w:asciiTheme="majorBidi" w:hAnsiTheme="majorBidi" w:cstheme="majorBidi"/>
          <w:color w:val="0F1115"/>
          <w:shd w:val="clear" w:color="auto" w:fill="FFFFFF"/>
        </w:rPr>
      </w:pPr>
      <w:r w:rsidRPr="00432CB2">
        <w:rPr>
          <w:rStyle w:val="Emphasis"/>
          <w:rFonts w:asciiTheme="majorBidi" w:hAnsiTheme="majorBidi" w:cstheme="majorBidi"/>
          <w:color w:val="0F1115"/>
          <w:shd w:val="clear" w:color="auto" w:fill="FFFFFF"/>
        </w:rPr>
        <w:t>Note: All 30 student participants were included in the ANOVA analysis. Degrees of freedom (2, 27) reflect the three age groups.</w:t>
      </w:r>
    </w:p>
    <w:p w14:paraId="351391A7" w14:textId="5A184854" w:rsidR="00B23E9E" w:rsidRPr="00B23E9E" w:rsidRDefault="00B23E9E" w:rsidP="005749D2">
      <w:pPr>
        <w:pStyle w:val="NormalWeb"/>
        <w:rPr>
          <w:rFonts w:asciiTheme="majorBidi" w:hAnsiTheme="majorBidi" w:cstheme="majorBidi"/>
        </w:rPr>
      </w:pPr>
      <w:r w:rsidRPr="00B23E9E">
        <w:rPr>
          <w:rFonts w:asciiTheme="majorBidi" w:hAnsiTheme="majorBidi" w:cstheme="majorBidi"/>
          <w:color w:val="0F1115"/>
          <w:shd w:val="clear" w:color="auto" w:fill="FFFFFF"/>
        </w:rPr>
        <w:t>Partial eta squared (η² = .22) indicates a large effect size, meaning approximately 22% of the variance in learning outcomes is explained by age group.</w:t>
      </w:r>
    </w:p>
    <w:p w14:paraId="45402EA2" w14:textId="05E81FAB" w:rsidR="000E7ECC" w:rsidRPr="00FB19EA" w:rsidRDefault="000E7ECC" w:rsidP="005749D2">
      <w:pPr>
        <w:pStyle w:val="NormalWeb"/>
        <w:rPr>
          <w:rFonts w:asciiTheme="majorBidi" w:hAnsiTheme="majorBidi" w:cstheme="majorBidi"/>
        </w:rPr>
      </w:pPr>
      <w:r>
        <w:t xml:space="preserve">The ANOVA results indicate a statistically significant difference in learning outcomes across age groups, </w:t>
      </w:r>
      <w:proofErr w:type="gramStart"/>
      <w:r>
        <w:rPr>
          <w:rStyle w:val="Emphasis"/>
        </w:rPr>
        <w:t>F</w:t>
      </w:r>
      <w:r>
        <w:t>(</w:t>
      </w:r>
      <w:proofErr w:type="gramEnd"/>
      <w:r>
        <w:t xml:space="preserve">2, 27) = 3.87, </w:t>
      </w:r>
      <w:r>
        <w:rPr>
          <w:rStyle w:val="Emphasis"/>
        </w:rPr>
        <w:t>p</w:t>
      </w:r>
      <w:r>
        <w:t xml:space="preserve"> = .033. This suggests that academic performance varies with age, with older students generally demonstrating better outcomes.</w:t>
      </w:r>
    </w:p>
    <w:p w14:paraId="70DB77BB" w14:textId="77777777"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Association Between Gender and Resource Access</w:t>
      </w:r>
    </w:p>
    <w:p w14:paraId="2E8D2916"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t>A chi-square test was conducted to determine the relationship between gender and access to resources.</w:t>
      </w:r>
    </w:p>
    <w:p w14:paraId="786DF70C"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4: </w:t>
      </w:r>
      <w:r w:rsidRPr="00FB19EA">
        <w:rPr>
          <w:rStyle w:val="Strong"/>
          <w:rFonts w:asciiTheme="majorBidi" w:hAnsiTheme="majorBidi" w:cstheme="majorBidi"/>
          <w:sz w:val="24"/>
          <w:szCs w:val="24"/>
        </w:rPr>
        <w:t>Chi-Square Test for Gender and Access to Resources</w:t>
      </w:r>
    </w:p>
    <w:tbl>
      <w:tblPr>
        <w:tblStyle w:val="PlainTable2"/>
        <w:tblW w:w="0" w:type="auto"/>
        <w:jc w:val="center"/>
        <w:tblLook w:val="04A0" w:firstRow="1" w:lastRow="0" w:firstColumn="1" w:lastColumn="0" w:noHBand="0" w:noVBand="1"/>
      </w:tblPr>
      <w:tblGrid>
        <w:gridCol w:w="2932"/>
        <w:gridCol w:w="636"/>
        <w:gridCol w:w="416"/>
        <w:gridCol w:w="636"/>
      </w:tblGrid>
      <w:tr w:rsidR="005749D2" w:rsidRPr="00FB19EA" w14:paraId="7A1A094C"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AB8132"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Variable</w:t>
            </w:r>
          </w:p>
        </w:tc>
        <w:tc>
          <w:tcPr>
            <w:tcW w:w="0" w:type="auto"/>
            <w:hideMark/>
          </w:tcPr>
          <w:p w14:paraId="27881C21"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χ²</w:t>
            </w:r>
          </w:p>
        </w:tc>
        <w:tc>
          <w:tcPr>
            <w:tcW w:w="0" w:type="auto"/>
            <w:hideMark/>
          </w:tcPr>
          <w:p w14:paraId="2BABE3F9"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df</w:t>
            </w:r>
          </w:p>
        </w:tc>
        <w:tc>
          <w:tcPr>
            <w:tcW w:w="0" w:type="auto"/>
            <w:hideMark/>
          </w:tcPr>
          <w:p w14:paraId="7C5593F5" w14:textId="0C158F65"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P</w:t>
            </w:r>
          </w:p>
        </w:tc>
      </w:tr>
      <w:tr w:rsidR="005749D2" w:rsidRPr="00FB19EA" w14:paraId="2E983D6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E3AD02"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Gender × Resource Access</w:t>
            </w:r>
          </w:p>
        </w:tc>
        <w:tc>
          <w:tcPr>
            <w:tcW w:w="0" w:type="auto"/>
            <w:hideMark/>
          </w:tcPr>
          <w:p w14:paraId="6070FE1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3.92</w:t>
            </w:r>
          </w:p>
        </w:tc>
        <w:tc>
          <w:tcPr>
            <w:tcW w:w="0" w:type="auto"/>
            <w:hideMark/>
          </w:tcPr>
          <w:p w14:paraId="69CFB1E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w:t>
            </w:r>
          </w:p>
        </w:tc>
        <w:tc>
          <w:tcPr>
            <w:tcW w:w="0" w:type="auto"/>
            <w:hideMark/>
          </w:tcPr>
          <w:p w14:paraId="5FE9FCE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.048</w:t>
            </w:r>
          </w:p>
        </w:tc>
      </w:tr>
    </w:tbl>
    <w:p w14:paraId="4D2498E5" w14:textId="77777777" w:rsidR="002539EF" w:rsidRDefault="002539EF" w:rsidP="0089291E">
      <w:pPr>
        <w:rPr>
          <w:rFonts w:asciiTheme="majorBidi" w:hAnsiTheme="majorBidi" w:cstheme="majorBidi"/>
          <w:color w:val="0F1115"/>
          <w:sz w:val="24"/>
          <w:szCs w:val="24"/>
          <w:shd w:val="clear" w:color="auto" w:fill="FFFFFF"/>
        </w:rPr>
      </w:pPr>
    </w:p>
    <w:p w14:paraId="620B4247" w14:textId="2AA9BF82" w:rsidR="002539EF" w:rsidRPr="002539EF" w:rsidRDefault="002539EF" w:rsidP="0089291E">
      <w:pPr>
        <w:rPr>
          <w:rFonts w:asciiTheme="majorBidi" w:hAnsiTheme="majorBidi" w:cstheme="majorBidi"/>
          <w:sz w:val="24"/>
          <w:szCs w:val="24"/>
        </w:rPr>
      </w:pPr>
      <w:r w:rsidRPr="002539EF">
        <w:rPr>
          <w:rFonts w:asciiTheme="majorBidi" w:hAnsiTheme="majorBidi" w:cstheme="majorBidi"/>
          <w:color w:val="0F1115"/>
          <w:sz w:val="24"/>
          <w:szCs w:val="24"/>
          <w:shd w:val="clear" w:color="auto" w:fill="FFFFFF"/>
        </w:rPr>
        <w:t>Cramer’s </w:t>
      </w:r>
      <w:r w:rsidRPr="002539EF">
        <w:rPr>
          <w:rStyle w:val="Emphasis"/>
          <w:rFonts w:asciiTheme="majorBidi" w:hAnsiTheme="majorBidi" w:cstheme="majorBidi"/>
          <w:color w:val="0F1115"/>
          <w:sz w:val="24"/>
          <w:szCs w:val="24"/>
          <w:shd w:val="clear" w:color="auto" w:fill="FFFFFF"/>
        </w:rPr>
        <w:t>V</w:t>
      </w:r>
      <w:r w:rsidRPr="002539EF">
        <w:rPr>
          <w:rFonts w:asciiTheme="majorBidi" w:hAnsiTheme="majorBidi" w:cstheme="majorBidi"/>
          <w:color w:val="0F1115"/>
          <w:sz w:val="24"/>
          <w:szCs w:val="24"/>
          <w:shd w:val="clear" w:color="auto" w:fill="FFFFFF"/>
        </w:rPr>
        <w:t> = 0.36, indicating a moderate association between gender and access to resources.</w:t>
      </w:r>
    </w:p>
    <w:p w14:paraId="687C1A80" w14:textId="017DDD37" w:rsidR="006A4B8D" w:rsidRDefault="000E7ECC" w:rsidP="009F26B9">
      <w:pPr>
        <w:rPr>
          <w:rFonts w:asciiTheme="majorBidi" w:hAnsiTheme="majorBidi" w:cstheme="majorBidi"/>
          <w:sz w:val="24"/>
          <w:szCs w:val="24"/>
        </w:rPr>
      </w:pPr>
      <w:r w:rsidRPr="000E7ECC">
        <w:rPr>
          <w:rFonts w:asciiTheme="majorBidi" w:hAnsiTheme="majorBidi" w:cstheme="majorBidi"/>
          <w:sz w:val="24"/>
          <w:szCs w:val="24"/>
        </w:rPr>
        <w:t>The chi-square test revealed a statistically significant association between gender and access to resources,</w:t>
      </w:r>
      <w:r w:rsidRPr="0089291E">
        <w:rPr>
          <w:rFonts w:asciiTheme="majorBidi" w:hAnsiTheme="majorBidi" w:cstheme="majorBidi"/>
          <w:sz w:val="24"/>
          <w:szCs w:val="24"/>
        </w:rPr>
        <w:t xml:space="preserve"> </w:t>
      </w:r>
      <w:r w:rsidR="0089291E" w:rsidRPr="0089291E">
        <w:rPr>
          <w:rFonts w:asciiTheme="majorBidi" w:hAnsiTheme="majorBidi" w:cstheme="majorBidi"/>
          <w:sz w:val="24"/>
          <w:szCs w:val="24"/>
        </w:rPr>
        <w:t>χ</w:t>
      </w:r>
      <w:proofErr w:type="gramStart"/>
      <w:r w:rsidR="0089291E" w:rsidRPr="0089291E">
        <w:rPr>
          <w:rFonts w:asciiTheme="majorBidi" w:hAnsiTheme="majorBidi" w:cstheme="majorBidi"/>
          <w:sz w:val="24"/>
          <w:szCs w:val="24"/>
        </w:rPr>
        <w:t>²(</w:t>
      </w:r>
      <w:proofErr w:type="gramEnd"/>
      <w:r w:rsidR="0089291E" w:rsidRPr="0089291E">
        <w:rPr>
          <w:rFonts w:asciiTheme="majorBidi" w:hAnsiTheme="majorBidi" w:cstheme="majorBidi"/>
          <w:sz w:val="24"/>
          <w:szCs w:val="24"/>
        </w:rPr>
        <w:t>1, N = 30) = 3.92.</w:t>
      </w:r>
      <w:r w:rsidR="0062406F">
        <w:rPr>
          <w:rFonts w:asciiTheme="majorBidi" w:hAnsiTheme="majorBidi" w:cstheme="majorBidi"/>
          <w:sz w:val="24"/>
          <w:szCs w:val="24"/>
        </w:rPr>
        <w:t xml:space="preserve"> </w:t>
      </w:r>
      <w:r w:rsidR="006A4B8D" w:rsidRPr="006A4B8D">
        <w:rPr>
          <w:rFonts w:asciiTheme="majorBidi" w:hAnsiTheme="majorBidi" w:cstheme="majorBidi"/>
          <w:sz w:val="24"/>
          <w:szCs w:val="24"/>
        </w:rPr>
        <w:t>This suggests disparities in access to educational resources based on gender, indicating potential inequities in resource distribution</w:t>
      </w:r>
      <w:r w:rsidR="006A4B8D">
        <w:rPr>
          <w:rFonts w:asciiTheme="majorBidi" w:hAnsiTheme="majorBidi" w:cstheme="majorBidi"/>
          <w:sz w:val="24"/>
          <w:szCs w:val="24"/>
        </w:rPr>
        <w:t>.</w:t>
      </w:r>
    </w:p>
    <w:p w14:paraId="7F37D01C" w14:textId="25164065" w:rsidR="005749D2" w:rsidRPr="00FB19EA" w:rsidRDefault="005749D2" w:rsidP="005749D2">
      <w:pPr>
        <w:pStyle w:val="Heading2"/>
        <w:rPr>
          <w:rStyle w:val="Strong"/>
          <w:rFonts w:asciiTheme="majorBidi" w:hAnsiTheme="majorBidi" w:cstheme="majorBidi"/>
          <w:b/>
          <w:bCs/>
          <w:sz w:val="24"/>
          <w:szCs w:val="24"/>
        </w:rPr>
      </w:pPr>
      <w:r w:rsidRPr="00FB19EA">
        <w:rPr>
          <w:rStyle w:val="Strong"/>
          <w:rFonts w:asciiTheme="majorBidi" w:hAnsiTheme="majorBidi" w:cstheme="majorBidi"/>
          <w:b/>
          <w:bCs/>
          <w:sz w:val="24"/>
          <w:szCs w:val="24"/>
        </w:rPr>
        <w:t>Correlation Analysis</w:t>
      </w:r>
    </w:p>
    <w:p w14:paraId="1B37CA52"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Table 5:</w:t>
      </w:r>
      <w:r w:rsidRPr="00FB19EA">
        <w:rPr>
          <w:rStyle w:val="Strong"/>
          <w:rFonts w:asciiTheme="majorBidi" w:hAnsiTheme="majorBidi" w:cstheme="majorBidi"/>
          <w:sz w:val="24"/>
          <w:szCs w:val="24"/>
        </w:rPr>
        <w:t xml:space="preserve"> Pearson Correlation Matrix</w:t>
      </w:r>
    </w:p>
    <w:tbl>
      <w:tblPr>
        <w:tblW w:w="0" w:type="auto"/>
        <w:jc w:val="center"/>
        <w:tblCellSpacing w:w="15" w:type="dxa"/>
        <w:tblBorders>
          <w:bottom w:val="single" w:sz="12" w:space="0" w:color="auto"/>
        </w:tblBorders>
        <w:tblCellMar>
          <w:top w:w="15" w:type="dxa"/>
          <w:left w:w="15" w:type="dxa"/>
          <w:bottom w:w="15" w:type="dxa"/>
          <w:right w:w="15" w:type="dxa"/>
        </w:tblCellMar>
        <w:tblLook w:val="04A0" w:firstRow="1" w:lastRow="0" w:firstColumn="1" w:lastColumn="0" w:noHBand="0" w:noVBand="1"/>
      </w:tblPr>
      <w:tblGrid>
        <w:gridCol w:w="2308"/>
        <w:gridCol w:w="360"/>
        <w:gridCol w:w="362"/>
        <w:gridCol w:w="536"/>
        <w:gridCol w:w="315"/>
      </w:tblGrid>
      <w:tr w:rsidR="005749D2" w:rsidRPr="00FB19EA" w14:paraId="4B5A20A9" w14:textId="77777777" w:rsidTr="00BA69D1">
        <w:trPr>
          <w:tblHeader/>
          <w:tblCellSpacing w:w="15" w:type="dxa"/>
          <w:jc w:val="center"/>
        </w:trPr>
        <w:tc>
          <w:tcPr>
            <w:tcW w:w="0" w:type="auto"/>
            <w:tcBorders>
              <w:top w:val="single" w:sz="12" w:space="0" w:color="auto"/>
              <w:bottom w:val="single" w:sz="12" w:space="0" w:color="auto"/>
            </w:tcBorders>
            <w:vAlign w:val="center"/>
            <w:hideMark/>
          </w:tcPr>
          <w:p w14:paraId="465960E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Variable</w:t>
            </w:r>
          </w:p>
        </w:tc>
        <w:tc>
          <w:tcPr>
            <w:tcW w:w="0" w:type="auto"/>
            <w:tcBorders>
              <w:top w:val="single" w:sz="12" w:space="0" w:color="auto"/>
              <w:bottom w:val="single" w:sz="12" w:space="0" w:color="auto"/>
            </w:tcBorders>
            <w:vAlign w:val="center"/>
            <w:hideMark/>
          </w:tcPr>
          <w:p w14:paraId="6DE7C287"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1</w:t>
            </w:r>
          </w:p>
        </w:tc>
        <w:tc>
          <w:tcPr>
            <w:tcW w:w="332" w:type="dxa"/>
            <w:tcBorders>
              <w:top w:val="single" w:sz="12" w:space="0" w:color="auto"/>
              <w:bottom w:val="single" w:sz="12" w:space="0" w:color="auto"/>
            </w:tcBorders>
            <w:vAlign w:val="center"/>
            <w:hideMark/>
          </w:tcPr>
          <w:p w14:paraId="6F1EA6DB"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2</w:t>
            </w:r>
          </w:p>
        </w:tc>
        <w:tc>
          <w:tcPr>
            <w:tcW w:w="506" w:type="dxa"/>
            <w:tcBorders>
              <w:top w:val="single" w:sz="12" w:space="0" w:color="auto"/>
              <w:bottom w:val="single" w:sz="12" w:space="0" w:color="auto"/>
            </w:tcBorders>
            <w:vAlign w:val="center"/>
            <w:hideMark/>
          </w:tcPr>
          <w:p w14:paraId="05F41C78"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3</w:t>
            </w:r>
          </w:p>
        </w:tc>
        <w:tc>
          <w:tcPr>
            <w:tcW w:w="0" w:type="auto"/>
            <w:tcBorders>
              <w:top w:val="single" w:sz="12" w:space="0" w:color="auto"/>
              <w:bottom w:val="single" w:sz="12" w:space="0" w:color="auto"/>
            </w:tcBorders>
            <w:vAlign w:val="center"/>
            <w:hideMark/>
          </w:tcPr>
          <w:p w14:paraId="00F4D348"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4</w:t>
            </w:r>
          </w:p>
        </w:tc>
      </w:tr>
      <w:tr w:rsidR="005749D2" w:rsidRPr="00FB19EA" w14:paraId="60632B56" w14:textId="77777777" w:rsidTr="00BA69D1">
        <w:trPr>
          <w:tblCellSpacing w:w="15" w:type="dxa"/>
          <w:jc w:val="center"/>
        </w:trPr>
        <w:tc>
          <w:tcPr>
            <w:tcW w:w="0" w:type="auto"/>
            <w:vAlign w:val="center"/>
            <w:hideMark/>
          </w:tcPr>
          <w:p w14:paraId="5BA3D36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 Access to Resources</w:t>
            </w:r>
          </w:p>
        </w:tc>
        <w:tc>
          <w:tcPr>
            <w:tcW w:w="0" w:type="auto"/>
            <w:vAlign w:val="center"/>
            <w:hideMark/>
          </w:tcPr>
          <w:p w14:paraId="36F10954"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332" w:type="dxa"/>
            <w:vAlign w:val="center"/>
            <w:hideMark/>
          </w:tcPr>
          <w:p w14:paraId="57FFB43B" w14:textId="77777777" w:rsidR="005749D2" w:rsidRPr="00FB19EA" w:rsidRDefault="005749D2" w:rsidP="00BA69D1">
            <w:pPr>
              <w:rPr>
                <w:rFonts w:asciiTheme="majorBidi" w:hAnsiTheme="majorBidi" w:cstheme="majorBidi"/>
                <w:sz w:val="24"/>
                <w:szCs w:val="24"/>
              </w:rPr>
            </w:pPr>
          </w:p>
        </w:tc>
        <w:tc>
          <w:tcPr>
            <w:tcW w:w="506" w:type="dxa"/>
            <w:vAlign w:val="center"/>
            <w:hideMark/>
          </w:tcPr>
          <w:p w14:paraId="07B217AD"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5642EBF6" w14:textId="77777777" w:rsidR="005749D2" w:rsidRPr="00FB19EA" w:rsidRDefault="005749D2" w:rsidP="00BA69D1">
            <w:pPr>
              <w:rPr>
                <w:rFonts w:asciiTheme="majorBidi" w:hAnsiTheme="majorBidi" w:cstheme="majorBidi"/>
                <w:sz w:val="24"/>
                <w:szCs w:val="24"/>
              </w:rPr>
            </w:pPr>
          </w:p>
        </w:tc>
      </w:tr>
      <w:tr w:rsidR="005749D2" w:rsidRPr="00FB19EA" w14:paraId="71EFEEFA" w14:textId="77777777" w:rsidTr="00BA69D1">
        <w:trPr>
          <w:tblCellSpacing w:w="15" w:type="dxa"/>
          <w:jc w:val="center"/>
        </w:trPr>
        <w:tc>
          <w:tcPr>
            <w:tcW w:w="0" w:type="auto"/>
            <w:vAlign w:val="center"/>
            <w:hideMark/>
          </w:tcPr>
          <w:p w14:paraId="57825C74"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lastRenderedPageBreak/>
              <w:t>2. Teacher Support</w:t>
            </w:r>
          </w:p>
        </w:tc>
        <w:tc>
          <w:tcPr>
            <w:tcW w:w="0" w:type="auto"/>
            <w:vAlign w:val="center"/>
            <w:hideMark/>
          </w:tcPr>
          <w:p w14:paraId="3F21C2A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.42</w:t>
            </w:r>
          </w:p>
        </w:tc>
        <w:tc>
          <w:tcPr>
            <w:tcW w:w="332" w:type="dxa"/>
            <w:vAlign w:val="center"/>
            <w:hideMark/>
          </w:tcPr>
          <w:p w14:paraId="0D356BD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506" w:type="dxa"/>
            <w:vAlign w:val="center"/>
            <w:hideMark/>
          </w:tcPr>
          <w:p w14:paraId="55760106"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2B1223B0" w14:textId="77777777" w:rsidR="005749D2" w:rsidRPr="00FB19EA" w:rsidRDefault="005749D2" w:rsidP="00BA69D1">
            <w:pPr>
              <w:rPr>
                <w:rFonts w:asciiTheme="majorBidi" w:hAnsiTheme="majorBidi" w:cstheme="majorBidi"/>
                <w:sz w:val="24"/>
                <w:szCs w:val="24"/>
              </w:rPr>
            </w:pPr>
          </w:p>
        </w:tc>
      </w:tr>
      <w:tr w:rsidR="005749D2" w:rsidRPr="00FB19EA" w14:paraId="6E98C694" w14:textId="77777777" w:rsidTr="00BA69D1">
        <w:trPr>
          <w:tblCellSpacing w:w="15" w:type="dxa"/>
          <w:jc w:val="center"/>
        </w:trPr>
        <w:tc>
          <w:tcPr>
            <w:tcW w:w="0" w:type="auto"/>
            <w:vAlign w:val="center"/>
            <w:hideMark/>
          </w:tcPr>
          <w:p w14:paraId="1CAFD71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3. Student Engagement</w:t>
            </w:r>
          </w:p>
        </w:tc>
        <w:tc>
          <w:tcPr>
            <w:tcW w:w="0" w:type="auto"/>
            <w:vAlign w:val="center"/>
            <w:hideMark/>
          </w:tcPr>
          <w:p w14:paraId="20DA96E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.46</w:t>
            </w:r>
          </w:p>
        </w:tc>
        <w:tc>
          <w:tcPr>
            <w:tcW w:w="332" w:type="dxa"/>
            <w:vAlign w:val="center"/>
            <w:hideMark/>
          </w:tcPr>
          <w:p w14:paraId="7CDBA25C"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.51</w:t>
            </w:r>
          </w:p>
        </w:tc>
        <w:tc>
          <w:tcPr>
            <w:tcW w:w="506" w:type="dxa"/>
            <w:vAlign w:val="center"/>
            <w:hideMark/>
          </w:tcPr>
          <w:p w14:paraId="10F09517"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0" w:type="auto"/>
            <w:vAlign w:val="center"/>
            <w:hideMark/>
          </w:tcPr>
          <w:p w14:paraId="78945BF5" w14:textId="77777777" w:rsidR="005749D2" w:rsidRPr="00FB19EA" w:rsidRDefault="005749D2" w:rsidP="00BA69D1">
            <w:pPr>
              <w:rPr>
                <w:rFonts w:asciiTheme="majorBidi" w:hAnsiTheme="majorBidi" w:cstheme="majorBidi"/>
                <w:sz w:val="24"/>
                <w:szCs w:val="24"/>
              </w:rPr>
            </w:pPr>
          </w:p>
        </w:tc>
      </w:tr>
      <w:tr w:rsidR="005749D2" w:rsidRPr="00FB19EA" w14:paraId="40A75BC4" w14:textId="77777777" w:rsidTr="00BA69D1">
        <w:trPr>
          <w:tblCellSpacing w:w="15" w:type="dxa"/>
          <w:jc w:val="center"/>
        </w:trPr>
        <w:tc>
          <w:tcPr>
            <w:tcW w:w="0" w:type="auto"/>
            <w:vAlign w:val="center"/>
            <w:hideMark/>
          </w:tcPr>
          <w:p w14:paraId="76071047"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 Learning Outcomes</w:t>
            </w:r>
          </w:p>
        </w:tc>
        <w:tc>
          <w:tcPr>
            <w:tcW w:w="0" w:type="auto"/>
            <w:vAlign w:val="center"/>
            <w:hideMark/>
          </w:tcPr>
          <w:p w14:paraId="08085F0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.49</w:t>
            </w:r>
          </w:p>
        </w:tc>
        <w:tc>
          <w:tcPr>
            <w:tcW w:w="332" w:type="dxa"/>
            <w:vAlign w:val="center"/>
            <w:hideMark/>
          </w:tcPr>
          <w:p w14:paraId="4431F39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.45</w:t>
            </w:r>
          </w:p>
        </w:tc>
        <w:tc>
          <w:tcPr>
            <w:tcW w:w="506" w:type="dxa"/>
            <w:vAlign w:val="center"/>
            <w:hideMark/>
          </w:tcPr>
          <w:p w14:paraId="4B5AF193"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.53</w:t>
            </w:r>
          </w:p>
        </w:tc>
        <w:tc>
          <w:tcPr>
            <w:tcW w:w="0" w:type="auto"/>
            <w:vAlign w:val="center"/>
            <w:hideMark/>
          </w:tcPr>
          <w:p w14:paraId="7AF268B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r>
    </w:tbl>
    <w:p w14:paraId="6F7845A4" w14:textId="50B088C3" w:rsidR="005749D2" w:rsidRDefault="005749D2" w:rsidP="005749D2">
      <w:pPr>
        <w:pStyle w:val="NormalWeb"/>
        <w:rPr>
          <w:rStyle w:val="Emphasis"/>
          <w:rFonts w:asciiTheme="majorBidi" w:hAnsiTheme="majorBidi" w:cstheme="majorBidi"/>
        </w:rPr>
      </w:pPr>
      <w:r w:rsidRPr="00FB19EA">
        <w:rPr>
          <w:rFonts w:asciiTheme="majorBidi" w:hAnsiTheme="majorBidi" w:cstheme="majorBidi"/>
          <w:b/>
          <w:bCs/>
        </w:rPr>
        <w:t xml:space="preserve">                                          Note</w:t>
      </w:r>
      <w:r w:rsidRPr="00FB19EA">
        <w:rPr>
          <w:rFonts w:asciiTheme="majorBidi" w:hAnsiTheme="majorBidi" w:cstheme="majorBidi"/>
        </w:rPr>
        <w:t xml:space="preserve">. </w:t>
      </w:r>
      <w:r w:rsidRPr="00FB19EA">
        <w:rPr>
          <w:rStyle w:val="Emphasis"/>
          <w:rFonts w:asciiTheme="majorBidi" w:hAnsiTheme="majorBidi" w:cstheme="majorBidi"/>
        </w:rPr>
        <w:t>p &lt; .05</w:t>
      </w:r>
    </w:p>
    <w:p w14:paraId="1F7B7D27" w14:textId="6BF23A24" w:rsidR="00586656" w:rsidRPr="00586656" w:rsidRDefault="00586656" w:rsidP="005749D2">
      <w:pPr>
        <w:pStyle w:val="NormalWeb"/>
        <w:rPr>
          <w:rFonts w:asciiTheme="majorBidi" w:hAnsiTheme="majorBidi" w:cstheme="majorBidi"/>
        </w:rPr>
      </w:pPr>
      <w:r>
        <w:t>The results show moderate positive correlations among all key variables. Access to resources and teacher support were both significantly associated with student engagement and learning outcomes. The strongest relationship was observed between student engagement and learning outcomes (</w:t>
      </w:r>
      <w:r>
        <w:rPr>
          <w:rStyle w:val="Emphasis"/>
        </w:rPr>
        <w:t>r</w:t>
      </w:r>
      <w:r>
        <w:t xml:space="preserve"> = .53), indicating that higher engagement is linked to better academic performance.</w:t>
      </w:r>
    </w:p>
    <w:p w14:paraId="6549073C" w14:textId="77777777" w:rsidR="007E1BB6" w:rsidRDefault="007E1BB6" w:rsidP="005749D2">
      <w:pPr>
        <w:pStyle w:val="Heading2"/>
        <w:rPr>
          <w:rStyle w:val="Strong"/>
          <w:rFonts w:asciiTheme="majorBidi" w:hAnsiTheme="majorBidi" w:cstheme="majorBidi"/>
          <w:b/>
          <w:bCs/>
          <w:sz w:val="24"/>
          <w:szCs w:val="24"/>
        </w:rPr>
      </w:pPr>
    </w:p>
    <w:p w14:paraId="5C263A5D" w14:textId="77777777" w:rsidR="007E1BB6" w:rsidRDefault="007E1BB6" w:rsidP="005749D2">
      <w:pPr>
        <w:pStyle w:val="Heading2"/>
        <w:rPr>
          <w:rStyle w:val="Strong"/>
          <w:rFonts w:asciiTheme="majorBidi" w:hAnsiTheme="majorBidi" w:cstheme="majorBidi"/>
          <w:b/>
          <w:bCs/>
          <w:sz w:val="24"/>
          <w:szCs w:val="24"/>
        </w:rPr>
      </w:pPr>
    </w:p>
    <w:p w14:paraId="4A3470A3" w14:textId="77777777" w:rsidR="007E1BB6" w:rsidRDefault="007E1BB6" w:rsidP="005749D2">
      <w:pPr>
        <w:pStyle w:val="Heading2"/>
        <w:rPr>
          <w:rStyle w:val="Strong"/>
          <w:rFonts w:asciiTheme="majorBidi" w:hAnsiTheme="majorBidi" w:cstheme="majorBidi"/>
          <w:b/>
          <w:bCs/>
          <w:sz w:val="24"/>
          <w:szCs w:val="24"/>
        </w:rPr>
      </w:pPr>
    </w:p>
    <w:p w14:paraId="7414A3CE" w14:textId="4199F40D"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Regression Analysis</w:t>
      </w:r>
    </w:p>
    <w:p w14:paraId="56DD002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6: </w:t>
      </w:r>
      <w:r w:rsidRPr="00FB19EA">
        <w:rPr>
          <w:rStyle w:val="Strong"/>
          <w:rFonts w:asciiTheme="majorBidi" w:hAnsiTheme="majorBidi" w:cstheme="majorBidi"/>
          <w:sz w:val="24"/>
          <w:szCs w:val="24"/>
        </w:rPr>
        <w:t>Multiple Linear Regression Predicting Learning Outcomes</w:t>
      </w:r>
    </w:p>
    <w:tbl>
      <w:tblPr>
        <w:tblStyle w:val="PlainTable2"/>
        <w:tblW w:w="0" w:type="auto"/>
        <w:jc w:val="center"/>
        <w:tblLook w:val="04A0" w:firstRow="1" w:lastRow="0" w:firstColumn="1" w:lastColumn="0" w:noHBand="0" w:noVBand="1"/>
      </w:tblPr>
      <w:tblGrid>
        <w:gridCol w:w="2503"/>
        <w:gridCol w:w="756"/>
        <w:gridCol w:w="636"/>
        <w:gridCol w:w="516"/>
        <w:gridCol w:w="636"/>
        <w:gridCol w:w="832"/>
      </w:tblGrid>
      <w:tr w:rsidR="005749D2" w:rsidRPr="00FB19EA" w14:paraId="3D554393"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775BF524"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sz w:val="24"/>
                <w:szCs w:val="24"/>
              </w:rPr>
              <w:t>Predictor</w:t>
            </w:r>
          </w:p>
        </w:tc>
        <w:tc>
          <w:tcPr>
            <w:tcW w:w="0" w:type="auto"/>
            <w:tcBorders>
              <w:top w:val="single" w:sz="12" w:space="0" w:color="auto"/>
              <w:bottom w:val="single" w:sz="12" w:space="0" w:color="auto"/>
            </w:tcBorders>
            <w:hideMark/>
          </w:tcPr>
          <w:p w14:paraId="1DD85486"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B</w:t>
            </w:r>
          </w:p>
        </w:tc>
        <w:tc>
          <w:tcPr>
            <w:tcW w:w="0" w:type="auto"/>
            <w:tcBorders>
              <w:top w:val="single" w:sz="12" w:space="0" w:color="auto"/>
              <w:bottom w:val="single" w:sz="12" w:space="0" w:color="auto"/>
            </w:tcBorders>
            <w:hideMark/>
          </w:tcPr>
          <w:p w14:paraId="0F2F68A2"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SE</w:t>
            </w:r>
          </w:p>
        </w:tc>
        <w:tc>
          <w:tcPr>
            <w:tcW w:w="0" w:type="auto"/>
            <w:tcBorders>
              <w:top w:val="single" w:sz="12" w:space="0" w:color="auto"/>
              <w:bottom w:val="single" w:sz="12" w:space="0" w:color="auto"/>
            </w:tcBorders>
            <w:hideMark/>
          </w:tcPr>
          <w:p w14:paraId="28CDBB10"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β</w:t>
            </w:r>
          </w:p>
        </w:tc>
        <w:tc>
          <w:tcPr>
            <w:tcW w:w="0" w:type="auto"/>
            <w:tcBorders>
              <w:top w:val="single" w:sz="12" w:space="0" w:color="auto"/>
              <w:bottom w:val="single" w:sz="12" w:space="0" w:color="auto"/>
            </w:tcBorders>
            <w:hideMark/>
          </w:tcPr>
          <w:p w14:paraId="778E0EBB" w14:textId="482F8AAC" w:rsidR="005749D2" w:rsidRPr="00FB19EA" w:rsidRDefault="00623358"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T</w:t>
            </w:r>
          </w:p>
        </w:tc>
        <w:tc>
          <w:tcPr>
            <w:tcW w:w="0" w:type="auto"/>
            <w:tcBorders>
              <w:top w:val="single" w:sz="12" w:space="0" w:color="auto"/>
              <w:bottom w:val="single" w:sz="12" w:space="0" w:color="auto"/>
            </w:tcBorders>
            <w:hideMark/>
          </w:tcPr>
          <w:p w14:paraId="1FD8056F" w14:textId="34655195"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P</w:t>
            </w:r>
          </w:p>
        </w:tc>
      </w:tr>
      <w:tr w:rsidR="005749D2" w:rsidRPr="00FB19EA" w14:paraId="7BE901B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0B0E267D"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Constant</w:t>
            </w:r>
          </w:p>
        </w:tc>
        <w:tc>
          <w:tcPr>
            <w:tcW w:w="0" w:type="auto"/>
            <w:tcBorders>
              <w:top w:val="single" w:sz="12" w:space="0" w:color="auto"/>
              <w:bottom w:val="nil"/>
            </w:tcBorders>
            <w:hideMark/>
          </w:tcPr>
          <w:p w14:paraId="38E732D9" w14:textId="69C1FD15" w:rsidR="005749D2" w:rsidRPr="00FB19EA" w:rsidRDefault="00027A3C"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34</w:t>
            </w:r>
            <w:r w:rsidR="005749D2" w:rsidRPr="00FB19EA">
              <w:rPr>
                <w:rFonts w:asciiTheme="majorBidi" w:hAnsiTheme="majorBidi" w:cstheme="majorBidi"/>
                <w:sz w:val="24"/>
                <w:szCs w:val="24"/>
              </w:rPr>
              <w:t>.42</w:t>
            </w:r>
          </w:p>
        </w:tc>
        <w:tc>
          <w:tcPr>
            <w:tcW w:w="0" w:type="auto"/>
            <w:tcBorders>
              <w:top w:val="single" w:sz="12" w:space="0" w:color="auto"/>
              <w:bottom w:val="nil"/>
            </w:tcBorders>
            <w:hideMark/>
          </w:tcPr>
          <w:p w14:paraId="1896737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6.10</w:t>
            </w:r>
          </w:p>
        </w:tc>
        <w:tc>
          <w:tcPr>
            <w:tcW w:w="0" w:type="auto"/>
            <w:tcBorders>
              <w:top w:val="single" w:sz="12" w:space="0" w:color="auto"/>
              <w:bottom w:val="nil"/>
            </w:tcBorders>
            <w:hideMark/>
          </w:tcPr>
          <w:p w14:paraId="5ED884C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w:t>
            </w:r>
          </w:p>
        </w:tc>
        <w:tc>
          <w:tcPr>
            <w:tcW w:w="0" w:type="auto"/>
            <w:tcBorders>
              <w:top w:val="single" w:sz="12" w:space="0" w:color="auto"/>
              <w:bottom w:val="nil"/>
            </w:tcBorders>
            <w:hideMark/>
          </w:tcPr>
          <w:p w14:paraId="3369C8DD"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4.99</w:t>
            </w:r>
          </w:p>
        </w:tc>
        <w:tc>
          <w:tcPr>
            <w:tcW w:w="0" w:type="auto"/>
            <w:tcBorders>
              <w:top w:val="single" w:sz="12" w:space="0" w:color="auto"/>
              <w:bottom w:val="nil"/>
            </w:tcBorders>
            <w:hideMark/>
          </w:tcPr>
          <w:p w14:paraId="7C4B9D93"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&lt; .001</w:t>
            </w:r>
          </w:p>
        </w:tc>
      </w:tr>
      <w:tr w:rsidR="005749D2" w:rsidRPr="00FB19EA" w14:paraId="7FE53653"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4F2D5B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Teacher Preparedness</w:t>
            </w:r>
          </w:p>
        </w:tc>
        <w:tc>
          <w:tcPr>
            <w:tcW w:w="0" w:type="auto"/>
            <w:tcBorders>
              <w:top w:val="nil"/>
              <w:bottom w:val="nil"/>
            </w:tcBorders>
            <w:hideMark/>
          </w:tcPr>
          <w:p w14:paraId="62FDB567"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0.48</w:t>
            </w:r>
          </w:p>
        </w:tc>
        <w:tc>
          <w:tcPr>
            <w:tcW w:w="0" w:type="auto"/>
            <w:tcBorders>
              <w:top w:val="nil"/>
              <w:bottom w:val="nil"/>
            </w:tcBorders>
            <w:hideMark/>
          </w:tcPr>
          <w:p w14:paraId="3A252E26"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0.15</w:t>
            </w:r>
          </w:p>
        </w:tc>
        <w:tc>
          <w:tcPr>
            <w:tcW w:w="0" w:type="auto"/>
            <w:tcBorders>
              <w:top w:val="nil"/>
              <w:bottom w:val="nil"/>
            </w:tcBorders>
            <w:hideMark/>
          </w:tcPr>
          <w:p w14:paraId="3F6839B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.36</w:t>
            </w:r>
          </w:p>
        </w:tc>
        <w:tc>
          <w:tcPr>
            <w:tcW w:w="0" w:type="auto"/>
            <w:tcBorders>
              <w:top w:val="nil"/>
              <w:bottom w:val="nil"/>
            </w:tcBorders>
            <w:hideMark/>
          </w:tcPr>
          <w:p w14:paraId="1C7A7653"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3.20</w:t>
            </w:r>
          </w:p>
        </w:tc>
        <w:tc>
          <w:tcPr>
            <w:tcW w:w="0" w:type="auto"/>
            <w:tcBorders>
              <w:top w:val="nil"/>
              <w:bottom w:val="nil"/>
            </w:tcBorders>
            <w:hideMark/>
          </w:tcPr>
          <w:p w14:paraId="211A100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.003</w:t>
            </w:r>
          </w:p>
        </w:tc>
      </w:tr>
      <w:tr w:rsidR="005749D2" w:rsidRPr="00FB19EA" w14:paraId="4ED13EC5"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7621C4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Assistive Technology</w:t>
            </w:r>
          </w:p>
        </w:tc>
        <w:tc>
          <w:tcPr>
            <w:tcW w:w="0" w:type="auto"/>
            <w:tcBorders>
              <w:top w:val="nil"/>
              <w:bottom w:val="nil"/>
            </w:tcBorders>
            <w:hideMark/>
          </w:tcPr>
          <w:p w14:paraId="29E432C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0.35</w:t>
            </w:r>
          </w:p>
        </w:tc>
        <w:tc>
          <w:tcPr>
            <w:tcW w:w="0" w:type="auto"/>
            <w:tcBorders>
              <w:top w:val="nil"/>
              <w:bottom w:val="nil"/>
            </w:tcBorders>
            <w:hideMark/>
          </w:tcPr>
          <w:p w14:paraId="327BD0D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0.14</w:t>
            </w:r>
          </w:p>
        </w:tc>
        <w:tc>
          <w:tcPr>
            <w:tcW w:w="0" w:type="auto"/>
            <w:tcBorders>
              <w:top w:val="nil"/>
              <w:bottom w:val="nil"/>
            </w:tcBorders>
            <w:hideMark/>
          </w:tcPr>
          <w:p w14:paraId="53084AFB" w14:textId="577BCBC0"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w:t>
            </w:r>
            <w:r w:rsidR="00027A3C">
              <w:rPr>
                <w:rFonts w:asciiTheme="majorBidi" w:hAnsiTheme="majorBidi" w:cstheme="majorBidi"/>
                <w:sz w:val="24"/>
                <w:szCs w:val="24"/>
              </w:rPr>
              <w:t>34</w:t>
            </w:r>
          </w:p>
        </w:tc>
        <w:tc>
          <w:tcPr>
            <w:tcW w:w="0" w:type="auto"/>
            <w:tcBorders>
              <w:top w:val="nil"/>
              <w:bottom w:val="nil"/>
            </w:tcBorders>
            <w:hideMark/>
          </w:tcPr>
          <w:p w14:paraId="00316ED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2.50</w:t>
            </w:r>
          </w:p>
        </w:tc>
        <w:tc>
          <w:tcPr>
            <w:tcW w:w="0" w:type="auto"/>
            <w:tcBorders>
              <w:top w:val="nil"/>
              <w:bottom w:val="nil"/>
            </w:tcBorders>
            <w:hideMark/>
          </w:tcPr>
          <w:p w14:paraId="03758739"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.019</w:t>
            </w:r>
          </w:p>
        </w:tc>
      </w:tr>
      <w:tr w:rsidR="005749D2" w:rsidRPr="00FB19EA" w14:paraId="6BD6C1D9"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hideMark/>
          </w:tcPr>
          <w:p w14:paraId="4C61E21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Access to Resources</w:t>
            </w:r>
          </w:p>
        </w:tc>
        <w:tc>
          <w:tcPr>
            <w:tcW w:w="0" w:type="auto"/>
            <w:tcBorders>
              <w:top w:val="nil"/>
              <w:bottom w:val="single" w:sz="12" w:space="0" w:color="auto"/>
            </w:tcBorders>
            <w:hideMark/>
          </w:tcPr>
          <w:p w14:paraId="622B9433"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0.25</w:t>
            </w:r>
          </w:p>
        </w:tc>
        <w:tc>
          <w:tcPr>
            <w:tcW w:w="0" w:type="auto"/>
            <w:tcBorders>
              <w:top w:val="nil"/>
              <w:bottom w:val="single" w:sz="12" w:space="0" w:color="auto"/>
            </w:tcBorders>
            <w:hideMark/>
          </w:tcPr>
          <w:p w14:paraId="3CE14E6E"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0.12</w:t>
            </w:r>
          </w:p>
        </w:tc>
        <w:tc>
          <w:tcPr>
            <w:tcW w:w="0" w:type="auto"/>
            <w:tcBorders>
              <w:top w:val="nil"/>
              <w:bottom w:val="single" w:sz="12" w:space="0" w:color="auto"/>
            </w:tcBorders>
            <w:hideMark/>
          </w:tcPr>
          <w:p w14:paraId="2A8AAD00"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.22</w:t>
            </w:r>
          </w:p>
        </w:tc>
        <w:tc>
          <w:tcPr>
            <w:tcW w:w="0" w:type="auto"/>
            <w:tcBorders>
              <w:top w:val="nil"/>
              <w:bottom w:val="single" w:sz="12" w:space="0" w:color="auto"/>
            </w:tcBorders>
            <w:hideMark/>
          </w:tcPr>
          <w:p w14:paraId="251BA71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2.08</w:t>
            </w:r>
          </w:p>
        </w:tc>
        <w:tc>
          <w:tcPr>
            <w:tcW w:w="0" w:type="auto"/>
            <w:tcBorders>
              <w:top w:val="nil"/>
              <w:bottom w:val="single" w:sz="12" w:space="0" w:color="auto"/>
            </w:tcBorders>
            <w:hideMark/>
          </w:tcPr>
          <w:p w14:paraId="30E56815"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.046</w:t>
            </w:r>
          </w:p>
        </w:tc>
      </w:tr>
    </w:tbl>
    <w:p w14:paraId="28D781F7" w14:textId="5788C121" w:rsidR="005749D2" w:rsidRPr="00C139EF" w:rsidRDefault="005749D2" w:rsidP="005749D2">
      <w:pPr>
        <w:pStyle w:val="NormalWeb"/>
        <w:rPr>
          <w:rFonts w:asciiTheme="majorBidi" w:hAnsiTheme="majorBidi" w:cstheme="majorBidi"/>
        </w:rPr>
      </w:pPr>
      <w:r w:rsidRPr="00FB19EA">
        <w:rPr>
          <w:rStyle w:val="Strong"/>
          <w:rFonts w:asciiTheme="majorBidi" w:hAnsiTheme="majorBidi" w:cstheme="majorBidi"/>
        </w:rPr>
        <w:t>Model Summary:</w:t>
      </w:r>
      <w:r w:rsidRPr="00FB19EA">
        <w:rPr>
          <w:rFonts w:asciiTheme="majorBidi" w:hAnsiTheme="majorBidi" w:cstheme="majorBidi"/>
        </w:rPr>
        <w:br/>
      </w:r>
      <w:r w:rsidR="00C139EF" w:rsidRPr="00C139EF">
        <w:rPr>
          <w:rFonts w:asciiTheme="majorBidi" w:hAnsiTheme="majorBidi" w:cstheme="majorBidi"/>
          <w:color w:val="0F1115"/>
          <w:shd w:val="clear" w:color="auto" w:fill="FFFFFF"/>
        </w:rPr>
        <w:t>R² = .36, Adjusted R² = .34</w:t>
      </w:r>
      <w:r w:rsidRPr="00C139EF">
        <w:rPr>
          <w:rFonts w:asciiTheme="majorBidi" w:hAnsiTheme="majorBidi" w:cstheme="majorBidi"/>
        </w:rPr>
        <w:t xml:space="preserve">, </w:t>
      </w:r>
      <w:proofErr w:type="gramStart"/>
      <w:r w:rsidRPr="00C139EF">
        <w:rPr>
          <w:rFonts w:asciiTheme="majorBidi" w:hAnsiTheme="majorBidi" w:cstheme="majorBidi"/>
        </w:rPr>
        <w:t>F(</w:t>
      </w:r>
      <w:proofErr w:type="gramEnd"/>
      <w:r w:rsidRPr="00C139EF">
        <w:rPr>
          <w:rFonts w:asciiTheme="majorBidi" w:hAnsiTheme="majorBidi" w:cstheme="majorBidi"/>
        </w:rPr>
        <w:t>3, 26) = 4.47, p = .011</w:t>
      </w:r>
    </w:p>
    <w:p w14:paraId="385AA9BE" w14:textId="3B178968" w:rsidR="00C139EF" w:rsidRDefault="00C139EF" w:rsidP="005749D2">
      <w:pPr>
        <w:pStyle w:val="NormalWeb"/>
        <w:rPr>
          <w:rFonts w:asciiTheme="majorBidi" w:hAnsiTheme="majorBidi" w:cstheme="majorBidi"/>
          <w:color w:val="0F1115"/>
          <w:shd w:val="clear" w:color="auto" w:fill="FFFFFF"/>
        </w:rPr>
      </w:pPr>
      <w:r w:rsidRPr="00C139EF">
        <w:rPr>
          <w:rFonts w:asciiTheme="majorBidi" w:hAnsiTheme="majorBidi" w:cstheme="majorBidi"/>
          <w:color w:val="0F1115"/>
          <w:shd w:val="clear" w:color="auto" w:fill="FFFFFF"/>
        </w:rPr>
        <w:t>The VIF values for all predictors were below 2.0, confirming no multicollinearity issues.</w:t>
      </w:r>
    </w:p>
    <w:p w14:paraId="10FF2EA1" w14:textId="67F6EFFC" w:rsidR="007E1BB6" w:rsidRPr="007E1BB6" w:rsidRDefault="007E1BB6" w:rsidP="007E1BB6">
      <w:pPr>
        <w:pStyle w:val="HTMLPreformatted"/>
        <w:wordWrap w:val="0"/>
        <w:spacing w:line="330" w:lineRule="atLeast"/>
        <w:jc w:val="both"/>
        <w:rPr>
          <w:rFonts w:ascii="Times New Roman" w:hAnsi="Times New Roman" w:cs="Times New Roman"/>
          <w:color w:val="0F1115"/>
          <w:sz w:val="24"/>
          <w:szCs w:val="24"/>
        </w:rPr>
      </w:pPr>
      <w:r w:rsidRPr="007E1BB6">
        <w:rPr>
          <w:rFonts w:ascii="Times New Roman" w:hAnsi="Times New Roman" w:cs="Times New Roman"/>
          <w:color w:val="0F1115"/>
          <w:sz w:val="24"/>
          <w:szCs w:val="24"/>
        </w:rPr>
        <w:t xml:space="preserve">The regression model was statistically significant and explained 34% of the variance in learning outcomes. Teacher preparedness emerged as the strongest predictor (β = .36,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.003), followed by assistive technology (β = .34,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.019) and access to resources (β = .22,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.046). This indicates that improvements in these areas are likely to enhance students' academic performance.</w:t>
      </w:r>
    </w:p>
    <w:p w14:paraId="7C6C7FAD" w14:textId="77777777" w:rsidR="00FC2408" w:rsidRPr="00A34DE2" w:rsidRDefault="00FC2408" w:rsidP="007B1EF4">
      <w:pPr>
        <w:shd w:val="clear" w:color="auto" w:fill="FFFFFF"/>
        <w:spacing w:after="240" w:line="450" w:lineRule="atLeast"/>
        <w:jc w:val="both"/>
        <w:outlineLvl w:val="2"/>
        <w:rPr>
          <w:rFonts w:asciiTheme="majorBidi" w:eastAsia="Times New Roman" w:hAnsiTheme="majorBidi" w:cstheme="majorBidi"/>
          <w:b/>
          <w:bCs/>
          <w:color w:val="0F1115"/>
          <w:sz w:val="24"/>
          <w:szCs w:val="24"/>
        </w:rPr>
      </w:pPr>
      <w:r w:rsidRPr="00A34DE2">
        <w:rPr>
          <w:rFonts w:asciiTheme="majorBidi" w:eastAsia="Times New Roman" w:hAnsiTheme="majorBidi" w:cstheme="majorBidi"/>
          <w:b/>
          <w:bCs/>
          <w:color w:val="0F1115"/>
          <w:sz w:val="24"/>
          <w:szCs w:val="24"/>
        </w:rPr>
        <w:t>Qualitative Findings from Teacher Interviews</w:t>
      </w:r>
    </w:p>
    <w:p w14:paraId="696AF85F" w14:textId="3EA99354" w:rsidR="00FC2408" w:rsidRPr="00A34DE2" w:rsidRDefault="005F4599" w:rsidP="005F4599">
      <w:pPr>
        <w:shd w:val="clear" w:color="auto" w:fill="FFFFFF"/>
        <w:spacing w:after="240" w:line="240" w:lineRule="auto"/>
        <w:jc w:val="both"/>
        <w:outlineLvl w:val="2"/>
        <w:rPr>
          <w:rFonts w:asciiTheme="majorBidi" w:eastAsia="Times New Roman" w:hAnsiTheme="majorBidi" w:cstheme="majorBidi"/>
          <w:b/>
          <w:bCs/>
          <w:color w:val="0F1115"/>
          <w:sz w:val="24"/>
          <w:szCs w:val="24"/>
        </w:rPr>
      </w:pPr>
      <w:r w:rsidRPr="00D624C9">
        <w:rPr>
          <w:rFonts w:asciiTheme="majorBidi" w:hAnsiTheme="majorBidi" w:cstheme="majorBidi"/>
          <w:color w:val="0F1115"/>
          <w:sz w:val="24"/>
          <w:szCs w:val="24"/>
          <w:shd w:val="clear" w:color="auto" w:fill="FFFFFF"/>
        </w:rPr>
        <w:t xml:space="preserve">To complement the quantitative results, semi-structured interviews were conducted with four physics teachers, and non-participant classroom observations were carried out in three </w:t>
      </w:r>
      <w:r w:rsidRPr="00D624C9">
        <w:rPr>
          <w:rFonts w:asciiTheme="majorBidi" w:hAnsiTheme="majorBidi" w:cstheme="majorBidi"/>
          <w:color w:val="0F1115"/>
          <w:sz w:val="24"/>
          <w:szCs w:val="24"/>
          <w:shd w:val="clear" w:color="auto" w:fill="FFFFFF"/>
        </w:rPr>
        <w:lastRenderedPageBreak/>
        <w:t>inclusive secondary schools. Thematic analysis of the qualitative data, following Braun and Clarke's (2006) six-step framework, revealed four major themes.</w:t>
      </w:r>
    </w:p>
    <w:p w14:paraId="47C73D56"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1: Inadequate Teacher Training</w:t>
      </w:r>
    </w:p>
    <w:p w14:paraId="4188EA81" w14:textId="44C847DD" w:rsidR="00FC2408" w:rsidRPr="00A34DE2" w:rsidRDefault="00CE2313" w:rsidP="00A45956">
      <w:pPr>
        <w:shd w:val="clear" w:color="auto" w:fill="FFFFFF"/>
        <w:spacing w:before="240" w:after="240" w:line="240" w:lineRule="auto"/>
        <w:jc w:val="both"/>
        <w:rPr>
          <w:rFonts w:asciiTheme="majorBidi" w:eastAsia="Times New Roman" w:hAnsiTheme="majorBidi" w:cstheme="majorBidi"/>
          <w:color w:val="0F1115"/>
          <w:sz w:val="24"/>
          <w:szCs w:val="24"/>
        </w:rPr>
      </w:pPr>
      <w:r w:rsidRPr="00CE2313">
        <w:rPr>
          <w:rFonts w:asciiTheme="majorBidi" w:hAnsiTheme="majorBidi" w:cstheme="majorBidi"/>
          <w:sz w:val="24"/>
          <w:szCs w:val="24"/>
        </w:rPr>
        <w:t>Teachers reported receiving little or no formal training</w:t>
      </w:r>
      <w:r w:rsidRPr="00CE2313">
        <w:rPr>
          <w:rFonts w:asciiTheme="majorBidi" w:eastAsia="Times New Roman" w:hAnsiTheme="majorBidi" w:cstheme="majorBidi"/>
          <w:color w:val="0F1115"/>
          <w:sz w:val="24"/>
          <w:szCs w:val="24"/>
        </w:rPr>
        <w:t xml:space="preserve"> </w:t>
      </w:r>
      <w:r w:rsidR="00FC2408" w:rsidRPr="00A34DE2">
        <w:rPr>
          <w:rFonts w:asciiTheme="majorBidi" w:eastAsia="Times New Roman" w:hAnsiTheme="majorBidi" w:cstheme="majorBidi"/>
          <w:color w:val="0F1115"/>
          <w:sz w:val="24"/>
          <w:szCs w:val="24"/>
        </w:rPr>
        <w:t xml:space="preserve">on teaching physics to visually impaired students. </w:t>
      </w:r>
      <w:r w:rsidR="00A45956">
        <w:rPr>
          <w:rFonts w:asciiTheme="majorBidi" w:eastAsia="Times New Roman" w:hAnsiTheme="majorBidi" w:cstheme="majorBidi"/>
          <w:color w:val="0F1115"/>
          <w:sz w:val="24"/>
          <w:szCs w:val="24"/>
        </w:rPr>
        <w:t xml:space="preserve"> </w:t>
      </w:r>
      <w:r w:rsidR="00A45956">
        <w:t>One teacher stated</w:t>
      </w:r>
      <w:r w:rsidR="0062406F">
        <w:t>,</w:t>
      </w:r>
      <w:r w:rsidR="00A45956" w:rsidRPr="00A45956">
        <w:rPr>
          <w:rFonts w:asciiTheme="majorBidi" w:hAnsiTheme="majorBidi" w:cstheme="majorBidi"/>
          <w:sz w:val="24"/>
          <w:szCs w:val="24"/>
        </w:rPr>
        <w:t xml:space="preserve"> “I was never trained</w:t>
      </w:r>
      <w:r w:rsidR="00FC2408" w:rsidRPr="00A34DE2">
        <w:rPr>
          <w:rFonts w:asciiTheme="majorBidi" w:eastAsia="Times New Roman" w:hAnsiTheme="majorBidi" w:cstheme="majorBidi"/>
          <w:i/>
          <w:iCs/>
          <w:color w:val="0F1115"/>
          <w:sz w:val="24"/>
          <w:szCs w:val="24"/>
        </w:rPr>
        <w:t xml:space="preserve"> on how to adapt physics diagrams for blind students. I just </w:t>
      </w:r>
      <w:r w:rsidR="0062406F">
        <w:rPr>
          <w:rFonts w:asciiTheme="majorBidi" w:eastAsia="Times New Roman" w:hAnsiTheme="majorBidi" w:cstheme="majorBidi"/>
          <w:i/>
          <w:iCs/>
          <w:color w:val="0F1115"/>
          <w:sz w:val="24"/>
          <w:szCs w:val="24"/>
        </w:rPr>
        <w:t>explained</w:t>
      </w:r>
      <w:r w:rsidR="00FC2408" w:rsidRPr="00A34DE2">
        <w:rPr>
          <w:rFonts w:asciiTheme="majorBidi" w:eastAsia="Times New Roman" w:hAnsiTheme="majorBidi" w:cstheme="majorBidi"/>
          <w:i/>
          <w:iCs/>
          <w:color w:val="0F1115"/>
          <w:sz w:val="24"/>
          <w:szCs w:val="24"/>
        </w:rPr>
        <w:t xml:space="preserve"> verbally, but I know it's not enough."</w:t>
      </w:r>
    </w:p>
    <w:p w14:paraId="3C991DAC"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2: Lack of Assistive Technologies</w:t>
      </w:r>
    </w:p>
    <w:p w14:paraId="2121A202" w14:textId="5BAEAA0B" w:rsidR="00B909C1" w:rsidRPr="00B909C1" w:rsidRDefault="00FC2408" w:rsidP="00FC2408">
      <w:pPr>
        <w:shd w:val="clear" w:color="auto" w:fill="FFFFFF"/>
        <w:spacing w:before="240" w:after="240" w:line="240" w:lineRule="auto"/>
        <w:jc w:val="both"/>
        <w:rPr>
          <w:rFonts w:asciiTheme="majorBidi" w:eastAsia="Times New Roman" w:hAnsiTheme="majorBidi" w:cstheme="majorBidi"/>
          <w:i/>
          <w:iCs/>
          <w:color w:val="0F1115"/>
          <w:sz w:val="24"/>
          <w:szCs w:val="24"/>
        </w:rPr>
      </w:pPr>
      <w:r w:rsidRPr="00A34DE2">
        <w:rPr>
          <w:rFonts w:asciiTheme="majorBidi" w:eastAsia="Times New Roman" w:hAnsiTheme="majorBidi" w:cstheme="majorBidi"/>
          <w:color w:val="0F1115"/>
          <w:sz w:val="24"/>
          <w:szCs w:val="24"/>
        </w:rPr>
        <w:t xml:space="preserve">Teachers consistently identified the absence of </w:t>
      </w:r>
      <w:r w:rsidR="0062406F">
        <w:rPr>
          <w:rFonts w:asciiTheme="majorBidi" w:eastAsia="Times New Roman" w:hAnsiTheme="majorBidi" w:cstheme="majorBidi"/>
          <w:color w:val="0F1115"/>
          <w:sz w:val="24"/>
          <w:szCs w:val="24"/>
        </w:rPr>
        <w:t>Braille</w:t>
      </w:r>
      <w:r w:rsidRPr="00A34DE2">
        <w:rPr>
          <w:rFonts w:asciiTheme="majorBidi" w:eastAsia="Times New Roman" w:hAnsiTheme="majorBidi" w:cstheme="majorBidi"/>
          <w:color w:val="0F1115"/>
          <w:sz w:val="24"/>
          <w:szCs w:val="24"/>
        </w:rPr>
        <w:t xml:space="preserve"> lab equipment and tactile materials as a major barrier. A teacher explained:</w:t>
      </w:r>
      <w:r w:rsidRPr="00A34DE2">
        <w:rPr>
          <w:rFonts w:asciiTheme="majorBidi" w:eastAsia="Times New Roman" w:hAnsiTheme="majorBidi" w:cstheme="majorBidi"/>
          <w:i/>
          <w:iCs/>
          <w:color w:val="0F1115"/>
          <w:sz w:val="24"/>
          <w:szCs w:val="24"/>
        </w:rPr>
        <w:t xml:space="preserve"> “We have no talking thermometers, no tactile measuring tools. Our visually impaired </w:t>
      </w:r>
      <w:r w:rsidR="00B909C1" w:rsidRPr="00B909C1">
        <w:rPr>
          <w:rFonts w:asciiTheme="majorBidi" w:hAnsiTheme="majorBidi" w:cstheme="majorBidi"/>
          <w:i/>
          <w:iCs/>
          <w:sz w:val="24"/>
          <w:szCs w:val="24"/>
        </w:rPr>
        <w:t>students are often passive participants during experiments</w:t>
      </w:r>
      <w:r w:rsidR="00B909C1">
        <w:rPr>
          <w:rFonts w:asciiTheme="majorBidi" w:hAnsiTheme="majorBidi" w:cstheme="majorBidi"/>
          <w:i/>
          <w:iCs/>
          <w:sz w:val="24"/>
          <w:szCs w:val="24"/>
        </w:rPr>
        <w:t>”</w:t>
      </w:r>
    </w:p>
    <w:p w14:paraId="737F9DF8"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3: Positive Impact of Multi-Sensory Approaches</w:t>
      </w:r>
    </w:p>
    <w:p w14:paraId="01DC3B9E" w14:textId="464B6BC4"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color w:val="0F1115"/>
          <w:sz w:val="24"/>
          <w:szCs w:val="24"/>
        </w:rPr>
        <w:t>Despite challenges, teachers noted that when they used auditory and hands-on methods, student engagement improved. One teacher remarked</w:t>
      </w:r>
      <w:r w:rsidR="0062406F">
        <w:rPr>
          <w:rFonts w:asciiTheme="majorBidi" w:eastAsia="Times New Roman" w:hAnsiTheme="majorBidi" w:cstheme="majorBidi"/>
          <w:color w:val="0F1115"/>
          <w:sz w:val="24"/>
          <w:szCs w:val="24"/>
        </w:rPr>
        <w:t>,</w:t>
      </w:r>
      <w:r w:rsidRPr="00A34DE2">
        <w:rPr>
          <w:rFonts w:asciiTheme="majorBidi" w:eastAsia="Times New Roman" w:hAnsiTheme="majorBidi" w:cstheme="majorBidi"/>
          <w:i/>
          <w:iCs/>
          <w:color w:val="0F1115"/>
          <w:sz w:val="24"/>
          <w:szCs w:val="24"/>
        </w:rPr>
        <w:t xml:space="preserve">” When I use real objects and sound-based demonstrations, even blind students participate actively. But I cannot do this every day due to </w:t>
      </w:r>
      <w:r w:rsidR="0062406F">
        <w:rPr>
          <w:rFonts w:asciiTheme="majorBidi" w:eastAsia="Times New Roman" w:hAnsiTheme="majorBidi" w:cstheme="majorBidi"/>
          <w:i/>
          <w:iCs/>
          <w:color w:val="0F1115"/>
          <w:sz w:val="24"/>
          <w:szCs w:val="24"/>
        </w:rPr>
        <w:t xml:space="preserve">a </w:t>
      </w:r>
      <w:r w:rsidRPr="00A34DE2">
        <w:rPr>
          <w:rFonts w:asciiTheme="majorBidi" w:eastAsia="Times New Roman" w:hAnsiTheme="majorBidi" w:cstheme="majorBidi"/>
          <w:i/>
          <w:iCs/>
          <w:color w:val="0F1115"/>
          <w:sz w:val="24"/>
          <w:szCs w:val="24"/>
        </w:rPr>
        <w:t>lack of materials."</w:t>
      </w:r>
    </w:p>
    <w:p w14:paraId="4AC18086" w14:textId="09D54D74" w:rsidR="00FC2408" w:rsidRPr="00FC2408"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color w:val="0F1115"/>
          <w:sz w:val="24"/>
          <w:szCs w:val="24"/>
        </w:rPr>
        <w:t>These qualitative findings complement the quantitative results, particularly reinforcing that teacher preparedness and assistive technology are critical predictors of learning outcomes.</w:t>
      </w:r>
    </w:p>
    <w:p w14:paraId="6EA1BC5E" w14:textId="77777777" w:rsidR="005749D2" w:rsidRPr="00FB19EA" w:rsidRDefault="005749D2" w:rsidP="005749D2">
      <w:pPr>
        <w:pStyle w:val="Heading1"/>
        <w:rPr>
          <w:rFonts w:asciiTheme="majorBidi" w:hAnsiTheme="majorBidi" w:cstheme="majorBidi"/>
          <w:sz w:val="24"/>
          <w:szCs w:val="24"/>
        </w:rPr>
      </w:pPr>
      <w:r w:rsidRPr="00FB19EA">
        <w:rPr>
          <w:rStyle w:val="Strong"/>
          <w:rFonts w:asciiTheme="majorBidi" w:hAnsiTheme="majorBidi" w:cstheme="majorBidi"/>
          <w:b/>
          <w:bCs/>
          <w:sz w:val="24"/>
          <w:szCs w:val="24"/>
        </w:rPr>
        <w:t>DISCUSSION</w:t>
      </w:r>
    </w:p>
    <w:p w14:paraId="4DC4419B" w14:textId="203856FB"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The findings from this study reveal significant disparities in learning outcomes between visually impaired and sighted students. The t-test results showed that sighted students performed significantly better than visually impaired students. This finding is consistent with previous studies</w:t>
      </w:r>
      <w:r w:rsidR="0062406F">
        <w:rPr>
          <w:rFonts w:asciiTheme="majorBidi" w:hAnsiTheme="majorBidi" w:cstheme="majorBidi"/>
        </w:rPr>
        <w:t>,</w:t>
      </w:r>
      <w:r w:rsidRPr="00FB19EA">
        <w:rPr>
          <w:rFonts w:asciiTheme="majorBidi" w:hAnsiTheme="majorBidi" w:cstheme="majorBidi"/>
        </w:rPr>
        <w:t xml:space="preserve"> which indicate that visually impaired learners face systemic barriers in accessing visual instructional materials and participating fully in science education (Rule et al., 2011; Rosenblum et al., 2013).</w:t>
      </w:r>
    </w:p>
    <w:p w14:paraId="7D15C107" w14:textId="77777777"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The ANOVA results demonstrate that age significantly influences academic performance, with students aged 16–18 outperforming younger students. This may be attributed to cognitive development, increased academic exposure, and improved adaptation to learning environments, as suggested in constructivist learning perspectives (Piaget, 1972; Vygotsky, 1978).</w:t>
      </w:r>
    </w:p>
    <w:p w14:paraId="469B350F" w14:textId="50A623AF"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 xml:space="preserve">The chi-square analysis revealed a significant association between gender and access to resources, suggesting inequities in the distribution of educational materials. This aligns with broader findings in inclusive education research, which </w:t>
      </w:r>
      <w:r w:rsidR="0062406F">
        <w:rPr>
          <w:rFonts w:asciiTheme="majorBidi" w:hAnsiTheme="majorBidi" w:cstheme="majorBidi"/>
        </w:rPr>
        <w:t>emphasise</w:t>
      </w:r>
      <w:r w:rsidRPr="00FB19EA">
        <w:rPr>
          <w:rFonts w:asciiTheme="majorBidi" w:hAnsiTheme="majorBidi" w:cstheme="majorBidi"/>
        </w:rPr>
        <w:t xml:space="preserve"> the importance of equitable access to resources for all learners (UNESCO, 2008).</w:t>
      </w:r>
    </w:p>
    <w:p w14:paraId="4B4F62AE" w14:textId="77777777"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The correlation analysis showed strong positive relationships between access to resources, teacher support, student engagement, and learning outcomes. These findings support earlier research highlighting that resource availability and teacher involvement are critical factors in improving student engagement and academic performance (Datta et al., 2020; Engelbrecht et al., 2013).</w:t>
      </w:r>
    </w:p>
    <w:p w14:paraId="3F898C12" w14:textId="77777777"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lastRenderedPageBreak/>
        <w:t xml:space="preserve">The regression analysis identified teacher preparedness as the strongest predictor of learning outcomes, followed by assistive technology and access to resources. This underscores the central role of teachers in implementing inclusive education practices. Teachers who are trained in inclusive pedagogies are better equipped to adapt instructional strategies and support visually impaired students effectively (Engelbrecht et al., 2013; </w:t>
      </w:r>
      <w:proofErr w:type="spellStart"/>
      <w:r w:rsidRPr="00FB19EA">
        <w:rPr>
          <w:rFonts w:asciiTheme="majorBidi" w:hAnsiTheme="majorBidi" w:cstheme="majorBidi"/>
        </w:rPr>
        <w:t>Falcão</w:t>
      </w:r>
      <w:proofErr w:type="spellEnd"/>
      <w:r w:rsidRPr="00FB19EA">
        <w:rPr>
          <w:rFonts w:asciiTheme="majorBidi" w:hAnsiTheme="majorBidi" w:cstheme="majorBidi"/>
        </w:rPr>
        <w:t xml:space="preserve"> &amp; Martins, 2020).</w:t>
      </w:r>
    </w:p>
    <w:p w14:paraId="1ACF66BB" w14:textId="61C8CB96"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 xml:space="preserve">Furthermore, the significance of assistive technology in predicting learning outcomes supports existing literature, which </w:t>
      </w:r>
      <w:r w:rsidR="00383261">
        <w:rPr>
          <w:rFonts w:asciiTheme="majorBidi" w:hAnsiTheme="majorBidi" w:cstheme="majorBidi"/>
        </w:rPr>
        <w:t>emphasises</w:t>
      </w:r>
      <w:r w:rsidRPr="00FB19EA">
        <w:rPr>
          <w:rFonts w:asciiTheme="majorBidi" w:hAnsiTheme="majorBidi" w:cstheme="majorBidi"/>
        </w:rPr>
        <w:t xml:space="preserve"> that tools such as screen readers, braille devices, and tactile materials enhance accessibility and participation in STEM education (Datta et al., 2020). Similarly, access to resources remains a key determinant of educational success, particularly in resource-constrained environments (Rosenblum et al., 2013).</w:t>
      </w:r>
    </w:p>
    <w:p w14:paraId="58EA99E8" w14:textId="3445B7FE" w:rsidR="005749D2" w:rsidRPr="005749D2" w:rsidRDefault="005749D2" w:rsidP="005749D2">
      <w:pPr>
        <w:pStyle w:val="NormalWeb"/>
        <w:jc w:val="both"/>
        <w:rPr>
          <w:rFonts w:asciiTheme="majorBidi" w:hAnsiTheme="majorBidi" w:cstheme="majorBidi"/>
        </w:rPr>
      </w:pPr>
      <w:r w:rsidRPr="00FB19EA">
        <w:rPr>
          <w:rFonts w:asciiTheme="majorBidi" w:hAnsiTheme="majorBidi" w:cstheme="majorBidi"/>
        </w:rPr>
        <w:t xml:space="preserve">Overall, the findings reinforce the argument that inclusive physics education requires a combination of well-trained teachers, accessible learning materials, and institutional support. Without these elements, inclusive education policies may not translate into effective classroom practices. These results are consistent with Social Inclusion Theory, which </w:t>
      </w:r>
      <w:r w:rsidR="00383261">
        <w:rPr>
          <w:rFonts w:asciiTheme="majorBidi" w:hAnsiTheme="majorBidi" w:cstheme="majorBidi"/>
        </w:rPr>
        <w:t>emphasises</w:t>
      </w:r>
      <w:r w:rsidRPr="00FB19EA">
        <w:rPr>
          <w:rFonts w:asciiTheme="majorBidi" w:hAnsiTheme="majorBidi" w:cstheme="majorBidi"/>
        </w:rPr>
        <w:t xml:space="preserve"> the removal of barriers to ensure full participation in education (UNESCO, 2008).</w:t>
      </w:r>
    </w:p>
    <w:p w14:paraId="0072381B"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t>Conclusion</w:t>
      </w:r>
    </w:p>
    <w:p w14:paraId="38DF0441"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This study examined the physics learning environment for visually impaired students in inclusive secondary schools in Zomba District, Malawi, and revealed significant gaps in accessibility, instructional practices, and learning outcomes. The findings demonstrate that visually impaired students face persistent challenges in accessing visual instructional materials, participating in laboratory activities, and engaging fully in classroom learning. These barriers contribute to significantly lower academic performance compared to sighted peers, as supported by the statistical results.</w:t>
      </w:r>
    </w:p>
    <w:p w14:paraId="5EB2FE0A" w14:textId="31A8235C"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The study further establishes that teacher preparedness, access to assistive technologies, and availability of learning resources are critical determinants of student success. In particular, teacher preparedness emerged as the strongest predictor of learning outcomes, highlighting the central role of educators in implementing inclusive practices. This finding is consistent with previous studies </w:t>
      </w:r>
      <w:r w:rsidR="0062406F">
        <w:rPr>
          <w:rFonts w:ascii="Times New Roman" w:eastAsia="Times New Roman" w:hAnsi="Times New Roman" w:cs="Times New Roman"/>
          <w:sz w:val="24"/>
          <w:szCs w:val="24"/>
        </w:rPr>
        <w:t>emphasising</w:t>
      </w:r>
      <w:r w:rsidRPr="00195BFD">
        <w:rPr>
          <w:rFonts w:ascii="Times New Roman" w:eastAsia="Times New Roman" w:hAnsi="Times New Roman" w:cs="Times New Roman"/>
          <w:sz w:val="24"/>
          <w:szCs w:val="24"/>
        </w:rPr>
        <w:t xml:space="preserve"> the importance of teacher training in inclusive education (Engelbrecht et al., 2013; Datta et al., 2020).</w:t>
      </w:r>
    </w:p>
    <w:p w14:paraId="13C8B56E" w14:textId="300B3784"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Although inclusive education policies are in place, their implementation in physics classrooms remains inadequate. The lack of </w:t>
      </w:r>
      <w:r w:rsidR="0062406F">
        <w:rPr>
          <w:rFonts w:ascii="Times New Roman" w:eastAsia="Times New Roman" w:hAnsi="Times New Roman" w:cs="Times New Roman"/>
          <w:sz w:val="24"/>
          <w:szCs w:val="24"/>
        </w:rPr>
        <w:t>specialised</w:t>
      </w:r>
      <w:r w:rsidRPr="00195BFD">
        <w:rPr>
          <w:rFonts w:ascii="Times New Roman" w:eastAsia="Times New Roman" w:hAnsi="Times New Roman" w:cs="Times New Roman"/>
          <w:sz w:val="24"/>
          <w:szCs w:val="24"/>
        </w:rPr>
        <w:t xml:space="preserve"> resources, insufficient institutional support, and limited adaptation of teaching strategies hinder the </w:t>
      </w:r>
      <w:r w:rsidR="0062406F">
        <w:rPr>
          <w:rFonts w:ascii="Times New Roman" w:eastAsia="Times New Roman" w:hAnsi="Times New Roman" w:cs="Times New Roman"/>
          <w:sz w:val="24"/>
          <w:szCs w:val="24"/>
        </w:rPr>
        <w:t>realisation</w:t>
      </w:r>
      <w:r w:rsidRPr="00195BFD">
        <w:rPr>
          <w:rFonts w:ascii="Times New Roman" w:eastAsia="Times New Roman" w:hAnsi="Times New Roman" w:cs="Times New Roman"/>
          <w:sz w:val="24"/>
          <w:szCs w:val="24"/>
        </w:rPr>
        <w:t xml:space="preserve"> of effective inclusive education. However, the study also shows that when appropriate support systems</w:t>
      </w:r>
      <w:r w:rsidR="0062406F">
        <w:rPr>
          <w:rFonts w:ascii="Times New Roman" w:eastAsia="Times New Roman" w:hAnsi="Times New Roman" w:cs="Times New Roman"/>
          <w:sz w:val="24"/>
          <w:szCs w:val="24"/>
        </w:rPr>
        <w:t xml:space="preserve">, </w:t>
      </w:r>
      <w:r w:rsidRPr="00195BFD">
        <w:rPr>
          <w:rFonts w:ascii="Times New Roman" w:eastAsia="Times New Roman" w:hAnsi="Times New Roman" w:cs="Times New Roman"/>
          <w:sz w:val="24"/>
          <w:szCs w:val="24"/>
        </w:rPr>
        <w:t xml:space="preserve">such as tactile materials, assistive technologies, and multi-sensory teaching </w:t>
      </w:r>
      <w:r w:rsidR="0062406F">
        <w:rPr>
          <w:rFonts w:ascii="Times New Roman" w:eastAsia="Times New Roman" w:hAnsi="Times New Roman" w:cs="Times New Roman"/>
          <w:sz w:val="24"/>
          <w:szCs w:val="24"/>
        </w:rPr>
        <w:t xml:space="preserve">approaches, </w:t>
      </w:r>
      <w:r w:rsidRPr="00195BFD">
        <w:rPr>
          <w:rFonts w:ascii="Times New Roman" w:eastAsia="Times New Roman" w:hAnsi="Times New Roman" w:cs="Times New Roman"/>
          <w:sz w:val="24"/>
          <w:szCs w:val="24"/>
        </w:rPr>
        <w:t xml:space="preserve">are </w:t>
      </w:r>
      <w:r w:rsidR="0062406F">
        <w:rPr>
          <w:rFonts w:ascii="Times New Roman" w:eastAsia="Times New Roman" w:hAnsi="Times New Roman" w:cs="Times New Roman"/>
          <w:sz w:val="24"/>
          <w:szCs w:val="24"/>
        </w:rPr>
        <w:t>utilised</w:t>
      </w:r>
      <w:r w:rsidRPr="00195BFD">
        <w:rPr>
          <w:rFonts w:ascii="Times New Roman" w:eastAsia="Times New Roman" w:hAnsi="Times New Roman" w:cs="Times New Roman"/>
          <w:sz w:val="24"/>
          <w:szCs w:val="24"/>
        </w:rPr>
        <w:t xml:space="preserve">, visually impaired students can meaningfully engage with physics content (Rosenblum et al., 2013; </w:t>
      </w:r>
      <w:proofErr w:type="spellStart"/>
      <w:r w:rsidRPr="00195BFD">
        <w:rPr>
          <w:rFonts w:ascii="Times New Roman" w:eastAsia="Times New Roman" w:hAnsi="Times New Roman" w:cs="Times New Roman"/>
          <w:sz w:val="24"/>
          <w:szCs w:val="24"/>
        </w:rPr>
        <w:t>Sasao</w:t>
      </w:r>
      <w:proofErr w:type="spellEnd"/>
      <w:r w:rsidRPr="00195BFD">
        <w:rPr>
          <w:rFonts w:ascii="Times New Roman" w:eastAsia="Times New Roman" w:hAnsi="Times New Roman" w:cs="Times New Roman"/>
          <w:sz w:val="24"/>
          <w:szCs w:val="24"/>
        </w:rPr>
        <w:t>, 2015).</w:t>
      </w:r>
    </w:p>
    <w:p w14:paraId="71772005" w14:textId="0771CF6E" w:rsidR="00BA59AE"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Overall, the study concludes that achieving an inclusive physics learning environment requires a combination of well-trained teachers, accessible instructional materials, and strong institutional commitment. Without these, </w:t>
      </w:r>
      <w:r w:rsidR="00BA59AE">
        <w:t>inclusive education in science subjects may remain difficult to fully realise in practice</w:t>
      </w:r>
      <w:r w:rsidR="00B96D3C">
        <w:t>.</w:t>
      </w:r>
    </w:p>
    <w:p w14:paraId="58C1AC5F"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t>5. Recommendations</w:t>
      </w:r>
    </w:p>
    <w:p w14:paraId="18FEAE9A"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Based on the findings of this study, the following recommendations are proposed:</w:t>
      </w:r>
    </w:p>
    <w:p w14:paraId="7D7D079C" w14:textId="14F5E62C"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lastRenderedPageBreak/>
        <w:t xml:space="preserve">Enhancement of Teacher </w:t>
      </w:r>
      <w:r w:rsidR="00F86BE0" w:rsidRPr="005C310A">
        <w:rPr>
          <w:rFonts w:ascii="Times New Roman" w:eastAsia="Times New Roman" w:hAnsi="Times New Roman" w:cs="Times New Roman"/>
          <w:sz w:val="24"/>
          <w:szCs w:val="24"/>
        </w:rPr>
        <w:t>Training:</w:t>
      </w:r>
      <w:r w:rsidR="00F86BE0" w:rsidRPr="00195BFD">
        <w:rPr>
          <w:rFonts w:ascii="Times New Roman" w:eastAsia="Times New Roman" w:hAnsi="Times New Roman" w:cs="Times New Roman"/>
          <w:sz w:val="24"/>
          <w:szCs w:val="24"/>
        </w:rPr>
        <w:t xml:space="preserve"> There</w:t>
      </w:r>
      <w:r w:rsidRPr="00195BFD">
        <w:rPr>
          <w:rFonts w:ascii="Times New Roman" w:eastAsia="Times New Roman" w:hAnsi="Times New Roman" w:cs="Times New Roman"/>
          <w:sz w:val="24"/>
          <w:szCs w:val="24"/>
        </w:rPr>
        <w:t xml:space="preserve"> is a need for continuous professional development programs focused on inclusive education and subject-specific pedagogies in physics. Teachers should be equipped with skills to adapt instructional strategies and use assistive technologies effectively (Engelbrecht et al., 2013). </w:t>
      </w:r>
    </w:p>
    <w:p w14:paraId="4099D851" w14:textId="645CAC03"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Provision of Assistive </w:t>
      </w:r>
      <w:r w:rsidR="00F86BE0" w:rsidRPr="005C310A">
        <w:rPr>
          <w:rFonts w:ascii="Times New Roman" w:eastAsia="Times New Roman" w:hAnsi="Times New Roman" w:cs="Times New Roman"/>
          <w:sz w:val="24"/>
          <w:szCs w:val="24"/>
        </w:rPr>
        <w:t>Technologies:</w:t>
      </w:r>
      <w:r w:rsidR="00F86BE0" w:rsidRPr="00195BFD">
        <w:rPr>
          <w:rFonts w:ascii="Times New Roman" w:eastAsia="Times New Roman" w:hAnsi="Times New Roman" w:cs="Times New Roman"/>
          <w:sz w:val="24"/>
          <w:szCs w:val="24"/>
        </w:rPr>
        <w:t xml:space="preserve"> Schools</w:t>
      </w:r>
      <w:r w:rsidRPr="00195BFD">
        <w:rPr>
          <w:rFonts w:ascii="Times New Roman" w:eastAsia="Times New Roman" w:hAnsi="Times New Roman" w:cs="Times New Roman"/>
          <w:sz w:val="24"/>
          <w:szCs w:val="24"/>
        </w:rPr>
        <w:t xml:space="preserve"> should invest in assistive technologies such as screen readers, braille devices, and audio-based learning tools to improve access to instructional materials (Datta et al., 2020). </w:t>
      </w:r>
    </w:p>
    <w:p w14:paraId="690C83F3" w14:textId="3C37D708"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Development of Tactile and Accessible Learning </w:t>
      </w:r>
      <w:r w:rsidR="00F86BE0" w:rsidRPr="005C310A">
        <w:rPr>
          <w:rFonts w:ascii="Times New Roman" w:eastAsia="Times New Roman" w:hAnsi="Times New Roman" w:cs="Times New Roman"/>
          <w:sz w:val="24"/>
          <w:szCs w:val="24"/>
        </w:rPr>
        <w:t>Materials:</w:t>
      </w:r>
      <w:r w:rsidR="00F86BE0" w:rsidRPr="00195BFD">
        <w:rPr>
          <w:rFonts w:ascii="Times New Roman" w:eastAsia="Times New Roman" w:hAnsi="Times New Roman" w:cs="Times New Roman"/>
          <w:sz w:val="24"/>
          <w:szCs w:val="24"/>
        </w:rPr>
        <w:t xml:space="preserve"> Educational</w:t>
      </w:r>
      <w:r w:rsidR="00F86BE0">
        <w:rPr>
          <w:rFonts w:ascii="Times New Roman" w:eastAsia="Times New Roman" w:hAnsi="Times New Roman" w:cs="Times New Roman"/>
          <w:sz w:val="24"/>
          <w:szCs w:val="24"/>
        </w:rPr>
        <w:t xml:space="preserve"> </w:t>
      </w:r>
      <w:r w:rsidRPr="00195BFD">
        <w:rPr>
          <w:rFonts w:ascii="Times New Roman" w:eastAsia="Times New Roman" w:hAnsi="Times New Roman" w:cs="Times New Roman"/>
          <w:sz w:val="24"/>
          <w:szCs w:val="24"/>
        </w:rPr>
        <w:t xml:space="preserve">stakeholders should </w:t>
      </w:r>
      <w:r w:rsidR="0062406F">
        <w:rPr>
          <w:rFonts w:ascii="Times New Roman" w:eastAsia="Times New Roman" w:hAnsi="Times New Roman" w:cs="Times New Roman"/>
          <w:sz w:val="24"/>
          <w:szCs w:val="24"/>
        </w:rPr>
        <w:t>prioritise</w:t>
      </w:r>
      <w:r w:rsidRPr="00195BFD">
        <w:rPr>
          <w:rFonts w:ascii="Times New Roman" w:eastAsia="Times New Roman" w:hAnsi="Times New Roman" w:cs="Times New Roman"/>
          <w:sz w:val="24"/>
          <w:szCs w:val="24"/>
        </w:rPr>
        <w:t xml:space="preserve"> the development and distribution of tactile diagrams, 3D models, and accessible textbooks to support conceptual understanding (Rosenblum et al., 2013). </w:t>
      </w:r>
    </w:p>
    <w:p w14:paraId="202EEA08" w14:textId="25654C43"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Adaptation of Laboratory </w:t>
      </w:r>
      <w:r w:rsidR="00F86BE0" w:rsidRPr="005C310A">
        <w:rPr>
          <w:rFonts w:ascii="Times New Roman" w:eastAsia="Times New Roman" w:hAnsi="Times New Roman" w:cs="Times New Roman"/>
          <w:sz w:val="24"/>
          <w:szCs w:val="24"/>
        </w:rPr>
        <w:t>Activities:</w:t>
      </w:r>
      <w:r w:rsidR="00F86BE0" w:rsidRPr="00195BFD">
        <w:rPr>
          <w:rFonts w:ascii="Times New Roman" w:eastAsia="Times New Roman" w:hAnsi="Times New Roman" w:cs="Times New Roman"/>
          <w:sz w:val="24"/>
          <w:szCs w:val="24"/>
        </w:rPr>
        <w:t xml:space="preserve"> Physics</w:t>
      </w:r>
      <w:r w:rsidRPr="00195BFD">
        <w:rPr>
          <w:rFonts w:ascii="Times New Roman" w:eastAsia="Times New Roman" w:hAnsi="Times New Roman" w:cs="Times New Roman"/>
          <w:sz w:val="24"/>
          <w:szCs w:val="24"/>
        </w:rPr>
        <w:t xml:space="preserve"> experiments should be redesigned to incorporate multi-sensory approaches, including tactile and auditory elements, to enable active participation of visually impaired students (</w:t>
      </w:r>
      <w:proofErr w:type="spellStart"/>
      <w:r w:rsidRPr="00195BFD">
        <w:rPr>
          <w:rFonts w:ascii="Times New Roman" w:eastAsia="Times New Roman" w:hAnsi="Times New Roman" w:cs="Times New Roman"/>
          <w:sz w:val="24"/>
          <w:szCs w:val="24"/>
        </w:rPr>
        <w:t>Sasao</w:t>
      </w:r>
      <w:proofErr w:type="spellEnd"/>
      <w:r w:rsidRPr="00195BFD">
        <w:rPr>
          <w:rFonts w:ascii="Times New Roman" w:eastAsia="Times New Roman" w:hAnsi="Times New Roman" w:cs="Times New Roman"/>
          <w:sz w:val="24"/>
          <w:szCs w:val="24"/>
        </w:rPr>
        <w:t xml:space="preserve">, 2015). </w:t>
      </w:r>
    </w:p>
    <w:p w14:paraId="42D4E5D6" w14:textId="5D794936"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Strengthening Institutional Support and Policy </w:t>
      </w:r>
      <w:r w:rsidR="00F86BE0" w:rsidRPr="005C310A">
        <w:rPr>
          <w:rFonts w:ascii="Times New Roman" w:eastAsia="Times New Roman" w:hAnsi="Times New Roman" w:cs="Times New Roman"/>
          <w:sz w:val="24"/>
          <w:szCs w:val="24"/>
        </w:rPr>
        <w:t>Implementation:</w:t>
      </w:r>
      <w:r w:rsidR="00F86BE0" w:rsidRPr="00195BFD">
        <w:rPr>
          <w:rFonts w:ascii="Times New Roman" w:eastAsia="Times New Roman" w:hAnsi="Times New Roman" w:cs="Times New Roman"/>
          <w:sz w:val="24"/>
          <w:szCs w:val="24"/>
        </w:rPr>
        <w:t xml:space="preserve"> Government</w:t>
      </w:r>
      <w:r w:rsidRPr="00195BFD">
        <w:rPr>
          <w:rFonts w:ascii="Times New Roman" w:eastAsia="Times New Roman" w:hAnsi="Times New Roman" w:cs="Times New Roman"/>
          <w:sz w:val="24"/>
          <w:szCs w:val="24"/>
        </w:rPr>
        <w:t xml:space="preserve"> and school administrations should ensure effective implementation of inclusive education policies by allocating adequate resources and monitoring their application in classrooms. </w:t>
      </w:r>
    </w:p>
    <w:p w14:paraId="24534B8A" w14:textId="67E4944D"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Promotion of Collaborative Teaching </w:t>
      </w:r>
      <w:r w:rsidR="00F86BE0" w:rsidRPr="005C310A">
        <w:rPr>
          <w:rFonts w:ascii="Times New Roman" w:eastAsia="Times New Roman" w:hAnsi="Times New Roman" w:cs="Times New Roman"/>
          <w:sz w:val="24"/>
          <w:szCs w:val="24"/>
        </w:rPr>
        <w:t xml:space="preserve">Approaches: </w:t>
      </w:r>
      <w:r w:rsidR="00F86BE0" w:rsidRPr="00195BFD">
        <w:rPr>
          <w:rFonts w:ascii="Times New Roman" w:eastAsia="Times New Roman" w:hAnsi="Times New Roman" w:cs="Times New Roman"/>
          <w:sz w:val="24"/>
          <w:szCs w:val="24"/>
        </w:rPr>
        <w:t>Collaboration</w:t>
      </w:r>
      <w:r w:rsidRPr="00195BFD">
        <w:rPr>
          <w:rFonts w:ascii="Times New Roman" w:eastAsia="Times New Roman" w:hAnsi="Times New Roman" w:cs="Times New Roman"/>
          <w:sz w:val="24"/>
          <w:szCs w:val="24"/>
        </w:rPr>
        <w:t xml:space="preserve"> between teachers, special education specialists, and support staff should be encouraged to create a more supportive learning environment (</w:t>
      </w:r>
      <w:proofErr w:type="spellStart"/>
      <w:r w:rsidRPr="00195BFD">
        <w:rPr>
          <w:rFonts w:ascii="Times New Roman" w:eastAsia="Times New Roman" w:hAnsi="Times New Roman" w:cs="Times New Roman"/>
          <w:sz w:val="24"/>
          <w:szCs w:val="24"/>
        </w:rPr>
        <w:t>Olaya</w:t>
      </w:r>
      <w:proofErr w:type="spellEnd"/>
      <w:r w:rsidRPr="00195BFD">
        <w:rPr>
          <w:rFonts w:ascii="Times New Roman" w:eastAsia="Times New Roman" w:hAnsi="Times New Roman" w:cs="Times New Roman"/>
          <w:sz w:val="24"/>
          <w:szCs w:val="24"/>
        </w:rPr>
        <w:t>-Castro &amp; Barba-</w:t>
      </w:r>
      <w:proofErr w:type="spellStart"/>
      <w:r w:rsidRPr="00195BFD">
        <w:rPr>
          <w:rFonts w:ascii="Times New Roman" w:eastAsia="Times New Roman" w:hAnsi="Times New Roman" w:cs="Times New Roman"/>
          <w:sz w:val="24"/>
          <w:szCs w:val="24"/>
        </w:rPr>
        <w:t>Mazairac</w:t>
      </w:r>
      <w:proofErr w:type="spellEnd"/>
      <w:r w:rsidRPr="00195BFD">
        <w:rPr>
          <w:rFonts w:ascii="Times New Roman" w:eastAsia="Times New Roman" w:hAnsi="Times New Roman" w:cs="Times New Roman"/>
          <w:sz w:val="24"/>
          <w:szCs w:val="24"/>
        </w:rPr>
        <w:t xml:space="preserve">, 2017). </w:t>
      </w:r>
    </w:p>
    <w:p w14:paraId="2A85AEB2"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t>6. Limitations of the Study</w:t>
      </w:r>
    </w:p>
    <w:p w14:paraId="658BBA07"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Despite its contributions, this study has several limitations that should be acknowledged.</w:t>
      </w:r>
    </w:p>
    <w:p w14:paraId="3C6C96CE"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First, the study was conducted within a limited geographical scope, focusing only on the </w:t>
      </w:r>
      <w:proofErr w:type="spellStart"/>
      <w:r w:rsidRPr="00195BFD">
        <w:rPr>
          <w:rFonts w:ascii="Times New Roman" w:eastAsia="Times New Roman" w:hAnsi="Times New Roman" w:cs="Times New Roman"/>
          <w:sz w:val="24"/>
          <w:szCs w:val="24"/>
        </w:rPr>
        <w:t>Likangala</w:t>
      </w:r>
      <w:proofErr w:type="spellEnd"/>
      <w:r w:rsidRPr="00195BFD">
        <w:rPr>
          <w:rFonts w:ascii="Times New Roman" w:eastAsia="Times New Roman" w:hAnsi="Times New Roman" w:cs="Times New Roman"/>
          <w:sz w:val="24"/>
          <w:szCs w:val="24"/>
        </w:rPr>
        <w:t xml:space="preserve"> cluster in Zomba District. This restricts the generalizability of the findings to other regions with different educational contexts.</w:t>
      </w:r>
    </w:p>
    <w:p w14:paraId="6596590C" w14:textId="035627C5" w:rsidR="00AA331D" w:rsidRPr="00AA331D" w:rsidRDefault="00AA331D" w:rsidP="00195BFD">
      <w:pPr>
        <w:spacing w:before="100" w:beforeAutospacing="1" w:after="100" w:afterAutospacing="1" w:line="240" w:lineRule="auto"/>
        <w:jc w:val="both"/>
        <w:rPr>
          <w:rFonts w:asciiTheme="majorBidi" w:hAnsiTheme="majorBidi" w:cstheme="majorBidi"/>
          <w:color w:val="0F1115"/>
          <w:sz w:val="24"/>
          <w:szCs w:val="24"/>
          <w:shd w:val="clear" w:color="auto" w:fill="FFFFFF"/>
        </w:rPr>
      </w:pPr>
      <w:r w:rsidRPr="00AA331D">
        <w:rPr>
          <w:rFonts w:asciiTheme="majorBidi" w:hAnsiTheme="majorBidi" w:cstheme="majorBidi"/>
          <w:sz w:val="24"/>
          <w:szCs w:val="24"/>
        </w:rPr>
        <w:t>Second, the sample size was relatively small (N = 30 students), which limits statistical power and the generalizability of the findings. This is particularly important for the multiple regression analysis, where larger samples are typically recommended. Therefore, the regression results should be interpreted with caution and considered exploratory.</w:t>
      </w:r>
    </w:p>
    <w:p w14:paraId="7AA95B6D" w14:textId="13D4FD8B"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Third, the study relied partly on self-reported data from participants, which may be subject to response bias or inaccuracies in reporting experiences.</w:t>
      </w:r>
    </w:p>
    <w:p w14:paraId="4E2557D6"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Additionally, the cross-sectional design of the study does not allow for the examination of changes over time or the long-term impact of inclusive strategies on learning outcomes.</w:t>
      </w:r>
    </w:p>
    <w:p w14:paraId="09A794AC" w14:textId="023397BA" w:rsid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Finally, resource constraints limited the depth of classroom observations and the range of schools included in the study.</w:t>
      </w:r>
    </w:p>
    <w:p w14:paraId="105076D1" w14:textId="1BEEE3EA" w:rsidR="00637430" w:rsidRPr="00637430" w:rsidRDefault="00637430" w:rsidP="00195BFD">
      <w:pPr>
        <w:spacing w:before="100" w:beforeAutospacing="1" w:after="100" w:afterAutospacing="1" w:line="240" w:lineRule="auto"/>
        <w:jc w:val="both"/>
        <w:rPr>
          <w:rFonts w:asciiTheme="majorBidi" w:eastAsia="Times New Roman" w:hAnsiTheme="majorBidi" w:cstheme="majorBidi"/>
          <w:sz w:val="24"/>
          <w:szCs w:val="24"/>
        </w:rPr>
      </w:pPr>
      <w:r w:rsidRPr="00637430">
        <w:rPr>
          <w:rFonts w:asciiTheme="majorBidi" w:hAnsiTheme="majorBidi" w:cstheme="majorBidi"/>
          <w:sz w:val="24"/>
          <w:szCs w:val="24"/>
        </w:rPr>
        <w:t>Future research should address these limitations by involving larger and more diverse samples, employing longitudinal designs, and exploring intervention-based approaches to improve inclusive physics education.</w:t>
      </w:r>
    </w:p>
    <w:p w14:paraId="46EB30F9" w14:textId="77777777" w:rsidR="00ED0A50" w:rsidRPr="00ED0A50" w:rsidRDefault="00ED0A50" w:rsidP="00ED0A50">
      <w:pPr>
        <w:pStyle w:val="NoSpacing"/>
        <w:rPr>
          <w:rFonts w:asciiTheme="majorBidi" w:hAnsiTheme="majorBidi" w:cstheme="majorBidi"/>
          <w:sz w:val="24"/>
          <w:szCs w:val="24"/>
        </w:rPr>
      </w:pPr>
      <w:bookmarkStart w:id="2" w:name="_GoBack"/>
      <w:bookmarkEnd w:id="2"/>
    </w:p>
    <w:p w14:paraId="40463D76" w14:textId="16F00A2B" w:rsidR="00ED0A50" w:rsidRPr="00ED0A50" w:rsidRDefault="00ED0A50" w:rsidP="00ED0A50">
      <w:pPr>
        <w:pStyle w:val="NoSpacing"/>
        <w:rPr>
          <w:rFonts w:asciiTheme="majorBidi" w:hAnsiTheme="majorBidi" w:cstheme="majorBidi"/>
          <w:sz w:val="24"/>
          <w:szCs w:val="24"/>
        </w:rPr>
      </w:pPr>
      <w:r w:rsidRPr="00ED0A50">
        <w:rPr>
          <w:rStyle w:val="Heading1Char"/>
          <w:rFonts w:asciiTheme="majorBidi" w:eastAsiaTheme="minorEastAsia" w:hAnsiTheme="majorBidi" w:cstheme="majorBidi"/>
          <w:sz w:val="24"/>
          <w:szCs w:val="24"/>
        </w:rPr>
        <w:lastRenderedPageBreak/>
        <w:t>Declaration of Competing Interests</w:t>
      </w:r>
      <w:r w:rsidRPr="00ED0A50">
        <w:rPr>
          <w:rStyle w:val="Heading1Char"/>
          <w:rFonts w:asciiTheme="majorBidi" w:eastAsiaTheme="minorEastAsia" w:hAnsiTheme="majorBidi" w:cstheme="majorBidi"/>
          <w:sz w:val="24"/>
          <w:szCs w:val="24"/>
        </w:rPr>
        <w:br/>
      </w:r>
      <w:r w:rsidRPr="00ED0A50">
        <w:rPr>
          <w:rFonts w:asciiTheme="majorBidi" w:hAnsiTheme="majorBidi" w:cstheme="majorBidi"/>
          <w:sz w:val="24"/>
          <w:szCs w:val="24"/>
        </w:rPr>
        <w:t>The authors declare that they have no known competing financial or non-financial interests or personal relationships that could have influenced the work reported in this paper.</w:t>
      </w:r>
    </w:p>
    <w:p w14:paraId="5C7C41A7" w14:textId="77777777" w:rsidR="0047213B" w:rsidRPr="00ED0A50" w:rsidRDefault="0047213B" w:rsidP="00ED0A50">
      <w:pPr>
        <w:pStyle w:val="Heading1"/>
        <w:rPr>
          <w:rFonts w:asciiTheme="majorBidi" w:hAnsiTheme="majorBidi" w:cstheme="majorBidi"/>
          <w:sz w:val="24"/>
          <w:szCs w:val="24"/>
        </w:rPr>
      </w:pPr>
      <w:r w:rsidRPr="00ED0A50">
        <w:rPr>
          <w:rFonts w:asciiTheme="majorBidi" w:hAnsiTheme="majorBidi" w:cstheme="majorBidi"/>
          <w:sz w:val="24"/>
          <w:szCs w:val="24"/>
        </w:rPr>
        <w:t>Consent</w:t>
      </w:r>
    </w:p>
    <w:p w14:paraId="705B2E23" w14:textId="6121420F" w:rsidR="0047213B" w:rsidRPr="00ED0A50" w:rsidRDefault="0047213B" w:rsidP="00ED0A50">
      <w:pPr>
        <w:pStyle w:val="NoSpacing"/>
        <w:jc w:val="both"/>
        <w:rPr>
          <w:rFonts w:asciiTheme="majorBidi" w:hAnsiTheme="majorBidi" w:cstheme="majorBidi"/>
          <w:sz w:val="24"/>
          <w:szCs w:val="24"/>
        </w:rPr>
      </w:pPr>
      <w:r w:rsidRPr="00ED0A50">
        <w:rPr>
          <w:rFonts w:asciiTheme="majorBidi" w:hAnsiTheme="majorBidi" w:cstheme="majorBidi"/>
          <w:sz w:val="24"/>
          <w:szCs w:val="24"/>
        </w:rPr>
        <w:t xml:space="preserve">All participants provided informed consent </w:t>
      </w:r>
      <w:r w:rsidR="0062406F">
        <w:rPr>
          <w:rFonts w:asciiTheme="majorBidi" w:hAnsiTheme="majorBidi" w:cstheme="majorBidi"/>
          <w:sz w:val="24"/>
          <w:szCs w:val="24"/>
        </w:rPr>
        <w:t>before</w:t>
      </w:r>
      <w:r w:rsidRPr="00ED0A50">
        <w:rPr>
          <w:rFonts w:asciiTheme="majorBidi" w:hAnsiTheme="majorBidi" w:cstheme="majorBidi"/>
          <w:sz w:val="24"/>
          <w:szCs w:val="24"/>
        </w:rPr>
        <w:t xml:space="preserve"> their involvement in the study. For participants below the age of 18, consent was obtained from their parents or legal guardians. Participants were informed about the purpose of the study, their right to withdraw at any time, and the confidentiality of their responses.</w:t>
      </w:r>
    </w:p>
    <w:p w14:paraId="7505E362" w14:textId="77777777" w:rsidR="0047213B" w:rsidRPr="00ED0A50" w:rsidRDefault="0047213B" w:rsidP="00ED0A50">
      <w:pPr>
        <w:pStyle w:val="Heading1"/>
        <w:rPr>
          <w:rFonts w:asciiTheme="majorBidi" w:hAnsiTheme="majorBidi" w:cstheme="majorBidi"/>
          <w:sz w:val="24"/>
          <w:szCs w:val="24"/>
        </w:rPr>
      </w:pPr>
      <w:r w:rsidRPr="00ED0A50">
        <w:rPr>
          <w:rFonts w:asciiTheme="majorBidi" w:hAnsiTheme="majorBidi" w:cstheme="majorBidi"/>
          <w:sz w:val="24"/>
          <w:szCs w:val="24"/>
        </w:rPr>
        <w:t>Ethical Approval</w:t>
      </w:r>
    </w:p>
    <w:p w14:paraId="234E6DEB" w14:textId="36B528D2" w:rsidR="0047213B" w:rsidRDefault="0047213B" w:rsidP="00ED0A50">
      <w:pPr>
        <w:pStyle w:val="NoSpacing"/>
        <w:jc w:val="both"/>
        <w:rPr>
          <w:rFonts w:asciiTheme="majorBidi" w:hAnsiTheme="majorBidi" w:cstheme="majorBidi"/>
          <w:sz w:val="24"/>
          <w:szCs w:val="24"/>
        </w:rPr>
      </w:pPr>
      <w:r w:rsidRPr="00ED0A50">
        <w:rPr>
          <w:rFonts w:asciiTheme="majorBidi" w:hAnsiTheme="majorBidi" w:cstheme="majorBidi"/>
          <w:sz w:val="24"/>
          <w:szCs w:val="24"/>
        </w:rPr>
        <w:t xml:space="preserve">All procedures performed in this study involving human participants were conducted in accordance with ethical standards. Ethical approval was obtained from the relevant institutional review body </w:t>
      </w:r>
      <w:r w:rsidR="0062406F">
        <w:rPr>
          <w:rFonts w:asciiTheme="majorBidi" w:hAnsiTheme="majorBidi" w:cstheme="majorBidi"/>
          <w:sz w:val="24"/>
          <w:szCs w:val="24"/>
        </w:rPr>
        <w:t>before</w:t>
      </w:r>
      <w:r w:rsidRPr="00ED0A50">
        <w:rPr>
          <w:rFonts w:asciiTheme="majorBidi" w:hAnsiTheme="majorBidi" w:cstheme="majorBidi"/>
          <w:sz w:val="24"/>
          <w:szCs w:val="24"/>
        </w:rPr>
        <w:t xml:space="preserve"> data collection. The study adhered to principles of voluntary participation, confidentiality, anonymity, and respect for participants’ rights. The research was conducted in line with international ethical guidelines for research involving human subjects.</w:t>
      </w:r>
    </w:p>
    <w:p w14:paraId="02A8EB15" w14:textId="77777777" w:rsidR="00F73894" w:rsidRDefault="00F73894" w:rsidP="00ED0A50">
      <w:pPr>
        <w:pStyle w:val="NoSpacing"/>
        <w:jc w:val="both"/>
        <w:rPr>
          <w:rFonts w:asciiTheme="majorBidi" w:hAnsiTheme="majorBidi" w:cstheme="majorBidi"/>
          <w:sz w:val="24"/>
          <w:szCs w:val="24"/>
        </w:rPr>
      </w:pPr>
    </w:p>
    <w:p w14:paraId="6B436D42" w14:textId="77777777" w:rsidR="00F73894" w:rsidRDefault="00F73894" w:rsidP="00ED0A50">
      <w:pPr>
        <w:pStyle w:val="NoSpacing"/>
        <w:jc w:val="both"/>
        <w:rPr>
          <w:rFonts w:asciiTheme="majorBidi" w:hAnsiTheme="majorBidi" w:cstheme="majorBidi"/>
          <w:sz w:val="24"/>
          <w:szCs w:val="24"/>
        </w:rPr>
      </w:pPr>
    </w:p>
    <w:p w14:paraId="257BDAF3" w14:textId="77777777" w:rsidR="00F73894" w:rsidRDefault="00F73894" w:rsidP="00ED0A50">
      <w:pPr>
        <w:pStyle w:val="NoSpacing"/>
        <w:jc w:val="both"/>
        <w:rPr>
          <w:rFonts w:asciiTheme="majorBidi" w:hAnsiTheme="majorBidi" w:cstheme="majorBidi"/>
          <w:sz w:val="24"/>
          <w:szCs w:val="24"/>
        </w:rPr>
      </w:pPr>
    </w:p>
    <w:p w14:paraId="4DDAEA1E" w14:textId="77777777" w:rsidR="00F73894" w:rsidRDefault="00F73894" w:rsidP="00ED0A50">
      <w:pPr>
        <w:pStyle w:val="NoSpacing"/>
        <w:jc w:val="both"/>
        <w:rPr>
          <w:rFonts w:asciiTheme="majorBidi" w:hAnsiTheme="majorBidi" w:cstheme="majorBidi"/>
          <w:sz w:val="24"/>
          <w:szCs w:val="24"/>
        </w:rPr>
      </w:pPr>
    </w:p>
    <w:p w14:paraId="1FC4ED07" w14:textId="77777777" w:rsidR="00F73894" w:rsidRDefault="00F73894" w:rsidP="00ED0A50">
      <w:pPr>
        <w:pStyle w:val="NoSpacing"/>
        <w:jc w:val="both"/>
        <w:rPr>
          <w:rFonts w:asciiTheme="majorBidi" w:hAnsiTheme="majorBidi" w:cstheme="majorBidi"/>
          <w:sz w:val="24"/>
          <w:szCs w:val="24"/>
        </w:rPr>
      </w:pPr>
    </w:p>
    <w:p w14:paraId="00644A6A" w14:textId="77777777" w:rsidR="00F73894" w:rsidRPr="00F73894" w:rsidRDefault="00F73894" w:rsidP="00F73894">
      <w:pPr>
        <w:spacing w:after="200" w:line="276" w:lineRule="auto"/>
        <w:rPr>
          <w:rFonts w:ascii="Arial" w:eastAsia="Times New Roman" w:hAnsi="Arial" w:cs="Arial"/>
          <w:b/>
          <w:bCs/>
          <w:lang w:eastAsia="en-GB"/>
        </w:rPr>
      </w:pPr>
      <w:r w:rsidRPr="00F73894">
        <w:rPr>
          <w:rFonts w:ascii="Arial" w:eastAsia="Times New Roman" w:hAnsi="Arial" w:cs="Arial"/>
          <w:b/>
          <w:bCs/>
          <w:lang w:eastAsia="en-GB"/>
        </w:rPr>
        <w:t>COMPETING INTERESTS DISCLAIMER:</w:t>
      </w:r>
    </w:p>
    <w:p w14:paraId="2287786F" w14:textId="77777777" w:rsidR="00F73894" w:rsidRPr="00F73894" w:rsidRDefault="00F73894" w:rsidP="00F73894">
      <w:pPr>
        <w:spacing w:after="200" w:line="276" w:lineRule="auto"/>
        <w:rPr>
          <w:rFonts w:ascii="Calibri" w:eastAsia="Times New Roman" w:hAnsi="Calibri" w:cs="Times New Roman"/>
          <w:lang w:eastAsia="en-GB"/>
        </w:rPr>
      </w:pPr>
      <w:r w:rsidRPr="00F73894">
        <w:rPr>
          <w:rFonts w:ascii="Arial" w:eastAsia="Times New Roman" w:hAnsi="Arial" w:cs="Arial"/>
          <w:lang w:eastAsia="en-GB"/>
        </w:rPr>
        <w:t>Authors have declared that they have no known competing financial interests OR non-financial interests OR personal relationships that could have appeared to influence the work reported in this paper.</w:t>
      </w:r>
    </w:p>
    <w:p w14:paraId="2359AD03" w14:textId="77777777" w:rsidR="00F73894" w:rsidRPr="00ED0A50" w:rsidRDefault="00F73894" w:rsidP="00ED0A50">
      <w:pPr>
        <w:pStyle w:val="NoSpacing"/>
        <w:jc w:val="both"/>
        <w:rPr>
          <w:rFonts w:asciiTheme="majorBidi" w:hAnsiTheme="majorBidi" w:cstheme="majorBidi"/>
          <w:sz w:val="24"/>
          <w:szCs w:val="24"/>
        </w:rPr>
      </w:pPr>
    </w:p>
    <w:p w14:paraId="5C295E1B" w14:textId="77777777" w:rsidR="00371265" w:rsidRPr="0047213B" w:rsidRDefault="00371265" w:rsidP="00371265">
      <w:pPr>
        <w:spacing w:before="100" w:beforeAutospacing="1" w:after="100" w:afterAutospacing="1" w:line="240" w:lineRule="auto"/>
        <w:jc w:val="both"/>
        <w:rPr>
          <w:rFonts w:ascii="Times New Roman" w:eastAsia="Times New Roman" w:hAnsi="Times New Roman" w:cs="Times New Roman"/>
          <w:sz w:val="24"/>
          <w:szCs w:val="24"/>
        </w:rPr>
      </w:pPr>
    </w:p>
    <w:p w14:paraId="7E4858A5" w14:textId="219E6BA9" w:rsidR="00B838FF" w:rsidRPr="00B838FF" w:rsidRDefault="00B838FF" w:rsidP="00D13804">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REFERENCES</w:t>
      </w:r>
    </w:p>
    <w:p w14:paraId="1F4A2787"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roofErr w:type="spellStart"/>
      <w:r w:rsidRPr="00476AB1">
        <w:rPr>
          <w:rFonts w:ascii="Times New Roman" w:eastAsia="Times New Roman" w:hAnsi="Times New Roman" w:cs="Times New Roman"/>
          <w:sz w:val="24"/>
          <w:szCs w:val="24"/>
        </w:rPr>
        <w:t>Bozorgi</w:t>
      </w:r>
      <w:proofErr w:type="spellEnd"/>
      <w:r w:rsidRPr="00476AB1">
        <w:rPr>
          <w:rFonts w:ascii="Times New Roman" w:eastAsia="Times New Roman" w:hAnsi="Times New Roman" w:cs="Times New Roman"/>
          <w:sz w:val="24"/>
          <w:szCs w:val="24"/>
        </w:rPr>
        <w:t xml:space="preserve">, S., &amp; Huss, P. (2015). Inclusive education: Practices and challenges. </w:t>
      </w:r>
      <w:r w:rsidRPr="00476AB1">
        <w:rPr>
          <w:rFonts w:ascii="Times New Roman" w:eastAsia="Times New Roman" w:hAnsi="Times New Roman" w:cs="Times New Roman"/>
          <w:i/>
          <w:iCs/>
          <w:sz w:val="24"/>
          <w:szCs w:val="24"/>
        </w:rPr>
        <w:t>International Journal of Inclusive Education, 19</w:t>
      </w:r>
      <w:r w:rsidRPr="00476AB1">
        <w:rPr>
          <w:rFonts w:ascii="Times New Roman" w:eastAsia="Times New Roman" w:hAnsi="Times New Roman" w:cs="Times New Roman"/>
          <w:sz w:val="24"/>
          <w:szCs w:val="24"/>
        </w:rPr>
        <w:t>(4), 345–360. https://doi.org/10.1080/13603116.2014.940068</w:t>
      </w:r>
    </w:p>
    <w:p w14:paraId="7ADB3AA1"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Castro-Sánchez, J. J., &amp; Santos, M. (2019). Challenges in physics education for visually impaired students. </w:t>
      </w:r>
      <w:r w:rsidRPr="00476AB1">
        <w:rPr>
          <w:rFonts w:ascii="Times New Roman" w:eastAsia="Times New Roman" w:hAnsi="Times New Roman" w:cs="Times New Roman"/>
          <w:i/>
          <w:iCs/>
          <w:sz w:val="24"/>
          <w:szCs w:val="24"/>
        </w:rPr>
        <w:t>Journal of Science Education and Technology, 28</w:t>
      </w:r>
      <w:r w:rsidRPr="00476AB1">
        <w:rPr>
          <w:rFonts w:ascii="Times New Roman" w:eastAsia="Times New Roman" w:hAnsi="Times New Roman" w:cs="Times New Roman"/>
          <w:sz w:val="24"/>
          <w:szCs w:val="24"/>
        </w:rPr>
        <w:t>(2), 123–135. https://doi.org/10.1007/s10956-018-9756-3</w:t>
      </w:r>
    </w:p>
    <w:p w14:paraId="47652DD2"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Datta, A., </w:t>
      </w:r>
      <w:proofErr w:type="spellStart"/>
      <w:r w:rsidRPr="00476AB1">
        <w:rPr>
          <w:rFonts w:ascii="Times New Roman" w:eastAsia="Times New Roman" w:hAnsi="Times New Roman" w:cs="Times New Roman"/>
          <w:sz w:val="24"/>
          <w:szCs w:val="24"/>
        </w:rPr>
        <w:t>Scollon</w:t>
      </w:r>
      <w:proofErr w:type="spellEnd"/>
      <w:r w:rsidRPr="00476AB1">
        <w:rPr>
          <w:rFonts w:ascii="Times New Roman" w:eastAsia="Times New Roman" w:hAnsi="Times New Roman" w:cs="Times New Roman"/>
          <w:sz w:val="24"/>
          <w:szCs w:val="24"/>
        </w:rPr>
        <w:t xml:space="preserve">, M., &amp; Arnett, D. (2020). Assistive technologies for students with visual impairments in STEM education. </w:t>
      </w:r>
      <w:r w:rsidRPr="00476AB1">
        <w:rPr>
          <w:rFonts w:ascii="Times New Roman" w:eastAsia="Times New Roman" w:hAnsi="Times New Roman" w:cs="Times New Roman"/>
          <w:i/>
          <w:iCs/>
          <w:sz w:val="24"/>
          <w:szCs w:val="24"/>
        </w:rPr>
        <w:t>International Journal of STEM Education, 7</w:t>
      </w:r>
      <w:r w:rsidRPr="00476AB1">
        <w:rPr>
          <w:rFonts w:ascii="Times New Roman" w:eastAsia="Times New Roman" w:hAnsi="Times New Roman" w:cs="Times New Roman"/>
          <w:sz w:val="24"/>
          <w:szCs w:val="24"/>
        </w:rPr>
        <w:t>(1), 1–12. https://doi.org/10.1186/s40594-020-00235-9</w:t>
      </w:r>
    </w:p>
    <w:p w14:paraId="64D0F7A8" w14:textId="77777777" w:rsidR="00AD606F" w:rsidRDefault="00AD606F" w:rsidP="00AD606F">
      <w:pPr>
        <w:pStyle w:val="NormalWeb"/>
        <w:ind w:left="284" w:hanging="284"/>
      </w:pPr>
      <w:r>
        <w:t xml:space="preserve">Engelbrecht, P., Nel, M., Smit, S., &amp; Van Deventer, M. (2013). The idealism of education policies and the realities in schools: The implementation of inclusive education in South </w:t>
      </w:r>
      <w:r>
        <w:lastRenderedPageBreak/>
        <w:t xml:space="preserve">Africa. </w:t>
      </w:r>
      <w:r>
        <w:rPr>
          <w:rStyle w:val="Emphasis"/>
        </w:rPr>
        <w:t>International Journal of Inclusive Education, 17</w:t>
      </w:r>
      <w:r>
        <w:t xml:space="preserve">(5), 520–535. </w:t>
      </w:r>
      <w:hyperlink r:id="rId9" w:history="1">
        <w:r w:rsidRPr="0086266B">
          <w:rPr>
            <w:rStyle w:val="Hyperlink"/>
          </w:rPr>
          <w:t>https://doi.org/10.1080/13603116.2012.687024</w:t>
        </w:r>
      </w:hyperlink>
    </w:p>
    <w:p w14:paraId="3FB9D99F"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roofErr w:type="spellStart"/>
      <w:r w:rsidRPr="00476AB1">
        <w:rPr>
          <w:rFonts w:ascii="Times New Roman" w:eastAsia="Times New Roman" w:hAnsi="Times New Roman" w:cs="Times New Roman"/>
          <w:sz w:val="24"/>
          <w:szCs w:val="24"/>
        </w:rPr>
        <w:t>Falcão</w:t>
      </w:r>
      <w:proofErr w:type="spellEnd"/>
      <w:r w:rsidRPr="00476AB1">
        <w:rPr>
          <w:rFonts w:ascii="Times New Roman" w:eastAsia="Times New Roman" w:hAnsi="Times New Roman" w:cs="Times New Roman"/>
          <w:sz w:val="24"/>
          <w:szCs w:val="24"/>
        </w:rPr>
        <w:t xml:space="preserve">, M., &amp; Martins, R. (2020). Accessibility and inclusion in science education: Addressing barriers for visually impaired learners. </w:t>
      </w:r>
      <w:r w:rsidRPr="00476AB1">
        <w:rPr>
          <w:rFonts w:ascii="Times New Roman" w:eastAsia="Times New Roman" w:hAnsi="Times New Roman" w:cs="Times New Roman"/>
          <w:i/>
          <w:iCs/>
          <w:sz w:val="24"/>
          <w:szCs w:val="24"/>
        </w:rPr>
        <w:t>Science Education International, 31</w:t>
      </w:r>
      <w:r w:rsidRPr="00476AB1">
        <w:rPr>
          <w:rFonts w:ascii="Times New Roman" w:eastAsia="Times New Roman" w:hAnsi="Times New Roman" w:cs="Times New Roman"/>
          <w:sz w:val="24"/>
          <w:szCs w:val="24"/>
        </w:rPr>
        <w:t>(3), 245–252.</w:t>
      </w:r>
    </w:p>
    <w:p w14:paraId="1061874F"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roofErr w:type="spellStart"/>
      <w:r w:rsidRPr="00A71876">
        <w:rPr>
          <w:rFonts w:ascii="Times New Roman" w:eastAsia="Times New Roman" w:hAnsi="Times New Roman" w:cs="Times New Roman"/>
          <w:sz w:val="24"/>
          <w:szCs w:val="24"/>
          <w:lang w:val="en-US"/>
        </w:rPr>
        <w:t>Olaya</w:t>
      </w:r>
      <w:proofErr w:type="spellEnd"/>
      <w:r w:rsidRPr="00A71876">
        <w:rPr>
          <w:rFonts w:ascii="Times New Roman" w:eastAsia="Times New Roman" w:hAnsi="Times New Roman" w:cs="Times New Roman"/>
          <w:sz w:val="24"/>
          <w:szCs w:val="24"/>
          <w:lang w:val="en-US"/>
        </w:rPr>
        <w:t>-Castro, A., &amp; Barba-</w:t>
      </w:r>
      <w:proofErr w:type="spellStart"/>
      <w:r w:rsidRPr="00A71876">
        <w:rPr>
          <w:rFonts w:ascii="Times New Roman" w:eastAsia="Times New Roman" w:hAnsi="Times New Roman" w:cs="Times New Roman"/>
          <w:sz w:val="24"/>
          <w:szCs w:val="24"/>
          <w:lang w:val="en-US"/>
        </w:rPr>
        <w:t>Mazairac</w:t>
      </w:r>
      <w:proofErr w:type="spellEnd"/>
      <w:r w:rsidRPr="00A71876">
        <w:rPr>
          <w:rFonts w:ascii="Times New Roman" w:eastAsia="Times New Roman" w:hAnsi="Times New Roman" w:cs="Times New Roman"/>
          <w:sz w:val="24"/>
          <w:szCs w:val="24"/>
          <w:lang w:val="en-US"/>
        </w:rPr>
        <w:t xml:space="preserve">, L. (2017). </w:t>
      </w:r>
      <w:r w:rsidRPr="00476AB1">
        <w:rPr>
          <w:rFonts w:ascii="Times New Roman" w:eastAsia="Times New Roman" w:hAnsi="Times New Roman" w:cs="Times New Roman"/>
          <w:sz w:val="24"/>
          <w:szCs w:val="24"/>
        </w:rPr>
        <w:t xml:space="preserve">Inclusive practices in science education: Supporting students with visual impairments. </w:t>
      </w:r>
      <w:r w:rsidRPr="00476AB1">
        <w:rPr>
          <w:rFonts w:ascii="Times New Roman" w:eastAsia="Times New Roman" w:hAnsi="Times New Roman" w:cs="Times New Roman"/>
          <w:i/>
          <w:iCs/>
          <w:sz w:val="24"/>
          <w:szCs w:val="24"/>
        </w:rPr>
        <w:t>International Journal of Science Education, 39</w:t>
      </w:r>
      <w:r w:rsidRPr="00476AB1">
        <w:rPr>
          <w:rFonts w:ascii="Times New Roman" w:eastAsia="Times New Roman" w:hAnsi="Times New Roman" w:cs="Times New Roman"/>
          <w:sz w:val="24"/>
          <w:szCs w:val="24"/>
        </w:rPr>
        <w:t>(5), 593–610. https://doi.org/10.1080/09500693.2017.1282427</w:t>
      </w:r>
    </w:p>
    <w:p w14:paraId="08908D3C"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Rosenblum, L. P., Foley, A., &amp; Miller, A. (2013). Inclusive science education for students with visual impairments. </w:t>
      </w:r>
      <w:r w:rsidRPr="00476AB1">
        <w:rPr>
          <w:rFonts w:ascii="Times New Roman" w:eastAsia="Times New Roman" w:hAnsi="Times New Roman" w:cs="Times New Roman"/>
          <w:i/>
          <w:iCs/>
          <w:sz w:val="24"/>
          <w:szCs w:val="24"/>
        </w:rPr>
        <w:t>Journal of Visual Impairment &amp; Blindness, 107</w:t>
      </w:r>
      <w:r w:rsidRPr="00476AB1">
        <w:rPr>
          <w:rFonts w:ascii="Times New Roman" w:eastAsia="Times New Roman" w:hAnsi="Times New Roman" w:cs="Times New Roman"/>
          <w:sz w:val="24"/>
          <w:szCs w:val="24"/>
        </w:rPr>
        <w:t>(5), 353–365.</w:t>
      </w:r>
    </w:p>
    <w:p w14:paraId="51E70DCB"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Rule, A. C., </w:t>
      </w:r>
      <w:proofErr w:type="spellStart"/>
      <w:r w:rsidRPr="00476AB1">
        <w:rPr>
          <w:rFonts w:ascii="Times New Roman" w:eastAsia="Times New Roman" w:hAnsi="Times New Roman" w:cs="Times New Roman"/>
          <w:sz w:val="24"/>
          <w:szCs w:val="24"/>
        </w:rPr>
        <w:t>Stefanich</w:t>
      </w:r>
      <w:proofErr w:type="spellEnd"/>
      <w:r w:rsidRPr="00476AB1">
        <w:rPr>
          <w:rFonts w:ascii="Times New Roman" w:eastAsia="Times New Roman" w:hAnsi="Times New Roman" w:cs="Times New Roman"/>
          <w:sz w:val="24"/>
          <w:szCs w:val="24"/>
        </w:rPr>
        <w:t xml:space="preserve">, G. P., </w:t>
      </w:r>
      <w:proofErr w:type="spellStart"/>
      <w:r w:rsidRPr="00476AB1">
        <w:rPr>
          <w:rFonts w:ascii="Times New Roman" w:eastAsia="Times New Roman" w:hAnsi="Times New Roman" w:cs="Times New Roman"/>
          <w:sz w:val="24"/>
          <w:szCs w:val="24"/>
        </w:rPr>
        <w:t>Boody</w:t>
      </w:r>
      <w:proofErr w:type="spellEnd"/>
      <w:r w:rsidRPr="00476AB1">
        <w:rPr>
          <w:rFonts w:ascii="Times New Roman" w:eastAsia="Times New Roman" w:hAnsi="Times New Roman" w:cs="Times New Roman"/>
          <w:sz w:val="24"/>
          <w:szCs w:val="24"/>
        </w:rPr>
        <w:t xml:space="preserve">, R. M., &amp; </w:t>
      </w:r>
      <w:proofErr w:type="spellStart"/>
      <w:r w:rsidRPr="00476AB1">
        <w:rPr>
          <w:rFonts w:ascii="Times New Roman" w:eastAsia="Times New Roman" w:hAnsi="Times New Roman" w:cs="Times New Roman"/>
          <w:sz w:val="24"/>
          <w:szCs w:val="24"/>
        </w:rPr>
        <w:t>Peiffer</w:t>
      </w:r>
      <w:proofErr w:type="spellEnd"/>
      <w:r w:rsidRPr="00476AB1">
        <w:rPr>
          <w:rFonts w:ascii="Times New Roman" w:eastAsia="Times New Roman" w:hAnsi="Times New Roman" w:cs="Times New Roman"/>
          <w:sz w:val="24"/>
          <w:szCs w:val="24"/>
        </w:rPr>
        <w:t xml:space="preserve">, B. (2011). Impact of adaptive materials on teaching science to students with visual impairments. </w:t>
      </w:r>
      <w:r w:rsidRPr="00476AB1">
        <w:rPr>
          <w:rFonts w:ascii="Times New Roman" w:eastAsia="Times New Roman" w:hAnsi="Times New Roman" w:cs="Times New Roman"/>
          <w:i/>
          <w:iCs/>
          <w:sz w:val="24"/>
          <w:szCs w:val="24"/>
        </w:rPr>
        <w:t>Journal of Science Education for Students with Disabilities, 14</w:t>
      </w:r>
      <w:r w:rsidRPr="00476AB1">
        <w:rPr>
          <w:rFonts w:ascii="Times New Roman" w:eastAsia="Times New Roman" w:hAnsi="Times New Roman" w:cs="Times New Roman"/>
          <w:sz w:val="24"/>
          <w:szCs w:val="24"/>
        </w:rPr>
        <w:t>(1), 1–12.</w:t>
      </w:r>
    </w:p>
    <w:p w14:paraId="280917FD"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roofErr w:type="spellStart"/>
      <w:r w:rsidRPr="00476AB1">
        <w:rPr>
          <w:rFonts w:ascii="Times New Roman" w:eastAsia="Times New Roman" w:hAnsi="Times New Roman" w:cs="Times New Roman"/>
          <w:sz w:val="24"/>
          <w:szCs w:val="24"/>
        </w:rPr>
        <w:t>Sasao</w:t>
      </w:r>
      <w:proofErr w:type="spellEnd"/>
      <w:r w:rsidRPr="00476AB1">
        <w:rPr>
          <w:rFonts w:ascii="Times New Roman" w:eastAsia="Times New Roman" w:hAnsi="Times New Roman" w:cs="Times New Roman"/>
          <w:sz w:val="24"/>
          <w:szCs w:val="24"/>
        </w:rPr>
        <w:t xml:space="preserve">, Y. (2015). Adapted laboratory instruction for students with visual impairments in science education. </w:t>
      </w:r>
      <w:r w:rsidRPr="00476AB1">
        <w:rPr>
          <w:rFonts w:ascii="Times New Roman" w:eastAsia="Times New Roman" w:hAnsi="Times New Roman" w:cs="Times New Roman"/>
          <w:i/>
          <w:iCs/>
          <w:sz w:val="24"/>
          <w:szCs w:val="24"/>
        </w:rPr>
        <w:t xml:space="preserve">Journal of Special Education Technology, </w:t>
      </w:r>
      <w:r>
        <w:rPr>
          <w:rFonts w:ascii="Times New Roman" w:eastAsia="Times New Roman" w:hAnsi="Times New Roman" w:cs="Times New Roman"/>
          <w:i/>
          <w:iCs/>
          <w:sz w:val="24"/>
          <w:szCs w:val="24"/>
        </w:rPr>
        <w:t>34</w:t>
      </w:r>
      <w:r w:rsidRPr="00476AB1">
        <w:rPr>
          <w:rFonts w:ascii="Times New Roman" w:eastAsia="Times New Roman" w:hAnsi="Times New Roman" w:cs="Times New Roman"/>
          <w:sz w:val="24"/>
          <w:szCs w:val="24"/>
        </w:rPr>
        <w:t>(2), 75–85. https://doi.org/10.1177/01626434150</w:t>
      </w:r>
      <w:r>
        <w:rPr>
          <w:rFonts w:ascii="Times New Roman" w:eastAsia="Times New Roman" w:hAnsi="Times New Roman" w:cs="Times New Roman"/>
          <w:sz w:val="24"/>
          <w:szCs w:val="24"/>
        </w:rPr>
        <w:t>34</w:t>
      </w:r>
      <w:r w:rsidRPr="00476AB1">
        <w:rPr>
          <w:rFonts w:ascii="Times New Roman" w:eastAsia="Times New Roman" w:hAnsi="Times New Roman" w:cs="Times New Roman"/>
          <w:sz w:val="24"/>
          <w:szCs w:val="24"/>
        </w:rPr>
        <w:t>00203</w:t>
      </w:r>
    </w:p>
    <w:p w14:paraId="7FEA0652"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UNESCO. (2008). </w:t>
      </w:r>
      <w:r w:rsidRPr="00476AB1">
        <w:rPr>
          <w:rFonts w:ascii="Times New Roman" w:eastAsia="Times New Roman" w:hAnsi="Times New Roman" w:cs="Times New Roman"/>
          <w:i/>
          <w:iCs/>
          <w:sz w:val="24"/>
          <w:szCs w:val="24"/>
        </w:rPr>
        <w:t>Inclusive education: The way of the future</w:t>
      </w:r>
      <w:r w:rsidRPr="00476AB1">
        <w:rPr>
          <w:rFonts w:ascii="Times New Roman" w:eastAsia="Times New Roman" w:hAnsi="Times New Roman" w:cs="Times New Roman"/>
          <w:sz w:val="24"/>
          <w:szCs w:val="24"/>
        </w:rPr>
        <w:t>. UNESCO.</w:t>
      </w:r>
    </w:p>
    <w:p w14:paraId="50016795"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UNESCO. (2015). </w:t>
      </w:r>
      <w:r w:rsidRPr="00476AB1">
        <w:rPr>
          <w:rFonts w:ascii="Times New Roman" w:eastAsia="Times New Roman" w:hAnsi="Times New Roman" w:cs="Times New Roman"/>
          <w:i/>
          <w:iCs/>
          <w:sz w:val="24"/>
          <w:szCs w:val="24"/>
        </w:rPr>
        <w:t>Education for all 2000–2015: Achievements and challenges</w:t>
      </w:r>
      <w:r w:rsidRPr="00476AB1">
        <w:rPr>
          <w:rFonts w:ascii="Times New Roman" w:eastAsia="Times New Roman" w:hAnsi="Times New Roman" w:cs="Times New Roman"/>
          <w:sz w:val="24"/>
          <w:szCs w:val="24"/>
        </w:rPr>
        <w:t>. UNESCO Publishing.</w:t>
      </w:r>
    </w:p>
    <w:p w14:paraId="60EF9944"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UNICEF. (2017). </w:t>
      </w:r>
      <w:r w:rsidRPr="00476AB1">
        <w:rPr>
          <w:rFonts w:ascii="Times New Roman" w:eastAsia="Times New Roman" w:hAnsi="Times New Roman" w:cs="Times New Roman"/>
          <w:i/>
          <w:iCs/>
          <w:sz w:val="24"/>
          <w:szCs w:val="24"/>
        </w:rPr>
        <w:t>Promoting inclusive education for children with disabilities</w:t>
      </w:r>
      <w:r w:rsidRPr="00476AB1">
        <w:rPr>
          <w:rFonts w:ascii="Times New Roman" w:eastAsia="Times New Roman" w:hAnsi="Times New Roman" w:cs="Times New Roman"/>
          <w:sz w:val="24"/>
          <w:szCs w:val="24"/>
        </w:rPr>
        <w:t>. UNICEF.</w:t>
      </w:r>
    </w:p>
    <w:p w14:paraId="62D7B33F"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r w:rsidRPr="00476AB1">
        <w:rPr>
          <w:rFonts w:ascii="Times New Roman" w:eastAsia="Times New Roman" w:hAnsi="Times New Roman" w:cs="Times New Roman"/>
          <w:sz w:val="24"/>
          <w:szCs w:val="24"/>
        </w:rPr>
        <w:t xml:space="preserve">United Nations. (2006). </w:t>
      </w:r>
      <w:r w:rsidRPr="00476AB1">
        <w:rPr>
          <w:rFonts w:ascii="Times New Roman" w:eastAsia="Times New Roman" w:hAnsi="Times New Roman" w:cs="Times New Roman"/>
          <w:i/>
          <w:iCs/>
          <w:sz w:val="24"/>
          <w:szCs w:val="24"/>
        </w:rPr>
        <w:t>Convention on the rights of persons with disabilities (CRPD)</w:t>
      </w:r>
      <w:r w:rsidRPr="00476AB1">
        <w:rPr>
          <w:rFonts w:ascii="Times New Roman" w:eastAsia="Times New Roman" w:hAnsi="Times New Roman" w:cs="Times New Roman"/>
          <w:sz w:val="24"/>
          <w:szCs w:val="24"/>
        </w:rPr>
        <w:t>. United Nations.</w:t>
      </w:r>
    </w:p>
    <w:p w14:paraId="08046729" w14:textId="77777777" w:rsidR="00AD606F"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roofErr w:type="spellStart"/>
      <w:r w:rsidRPr="00476AB1">
        <w:rPr>
          <w:rFonts w:ascii="Times New Roman" w:eastAsia="Times New Roman" w:hAnsi="Times New Roman" w:cs="Times New Roman"/>
          <w:sz w:val="24"/>
          <w:szCs w:val="24"/>
        </w:rPr>
        <w:t>Zebehazy</w:t>
      </w:r>
      <w:proofErr w:type="spellEnd"/>
      <w:r w:rsidRPr="00476AB1">
        <w:rPr>
          <w:rFonts w:ascii="Times New Roman" w:eastAsia="Times New Roman" w:hAnsi="Times New Roman" w:cs="Times New Roman"/>
          <w:sz w:val="24"/>
          <w:szCs w:val="24"/>
        </w:rPr>
        <w:t xml:space="preserve">, K. T., &amp; Wilton, A. P. (2014). Charting success: The impact of accessible materials on students with visual impairments. </w:t>
      </w:r>
      <w:r w:rsidRPr="00476AB1">
        <w:rPr>
          <w:rFonts w:ascii="Times New Roman" w:eastAsia="Times New Roman" w:hAnsi="Times New Roman" w:cs="Times New Roman"/>
          <w:i/>
          <w:iCs/>
          <w:sz w:val="24"/>
          <w:szCs w:val="24"/>
        </w:rPr>
        <w:t>Journal of Visual Impairment &amp; Blindness, 108</w:t>
      </w:r>
      <w:r w:rsidRPr="00476AB1">
        <w:rPr>
          <w:rFonts w:ascii="Times New Roman" w:eastAsia="Times New Roman" w:hAnsi="Times New Roman" w:cs="Times New Roman"/>
          <w:sz w:val="24"/>
          <w:szCs w:val="24"/>
        </w:rPr>
        <w:t>(3), 245–258.</w:t>
      </w:r>
    </w:p>
    <w:p w14:paraId="0C7A7467" w14:textId="77777777" w:rsidR="00AD606F" w:rsidRPr="00476AB1" w:rsidRDefault="00AD606F" w:rsidP="00CB6C6C">
      <w:pPr>
        <w:spacing w:before="100" w:beforeAutospacing="1" w:after="100" w:afterAutospacing="1" w:line="240" w:lineRule="auto"/>
        <w:ind w:left="284" w:hanging="284"/>
        <w:rPr>
          <w:rFonts w:ascii="Times New Roman" w:eastAsia="Times New Roman" w:hAnsi="Times New Roman" w:cs="Times New Roman"/>
          <w:sz w:val="24"/>
          <w:szCs w:val="24"/>
        </w:rPr>
      </w:pPr>
    </w:p>
    <w:p w14:paraId="4AA8534A" w14:textId="77777777" w:rsidR="00334078" w:rsidRDefault="00334078" w:rsidP="00CB6C6C">
      <w:pPr>
        <w:ind w:left="284" w:hanging="284"/>
      </w:pPr>
    </w:p>
    <w:sectPr w:rsidR="0033407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6F43E" w14:textId="77777777" w:rsidR="00D002C9" w:rsidRDefault="00D002C9" w:rsidP="0005788E">
      <w:pPr>
        <w:spacing w:after="0" w:line="240" w:lineRule="auto"/>
      </w:pPr>
      <w:r>
        <w:separator/>
      </w:r>
    </w:p>
  </w:endnote>
  <w:endnote w:type="continuationSeparator" w:id="0">
    <w:p w14:paraId="36CB6798" w14:textId="77777777" w:rsidR="00D002C9" w:rsidRDefault="00D002C9" w:rsidP="0005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A4A96" w14:textId="77777777" w:rsidR="0005788E" w:rsidRDefault="00057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89C7" w14:textId="77777777" w:rsidR="0005788E" w:rsidRDefault="000578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9CD8" w14:textId="77777777" w:rsidR="0005788E" w:rsidRDefault="00057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E614B" w14:textId="77777777" w:rsidR="00D002C9" w:rsidRDefault="00D002C9" w:rsidP="0005788E">
      <w:pPr>
        <w:spacing w:after="0" w:line="240" w:lineRule="auto"/>
      </w:pPr>
      <w:r>
        <w:separator/>
      </w:r>
    </w:p>
  </w:footnote>
  <w:footnote w:type="continuationSeparator" w:id="0">
    <w:p w14:paraId="6FA29C9E" w14:textId="77777777" w:rsidR="00D002C9" w:rsidRDefault="00D002C9" w:rsidP="00057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C4572" w14:textId="65C0A0EE" w:rsidR="0005788E" w:rsidRDefault="0005788E">
    <w:pPr>
      <w:pStyle w:val="Header"/>
    </w:pPr>
    <w:r>
      <w:rPr>
        <w:noProof/>
      </w:rPr>
      <w:pict w14:anchorId="19D04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A373B" w14:textId="1220FB23" w:rsidR="0005788E" w:rsidRDefault="0005788E">
    <w:pPr>
      <w:pStyle w:val="Header"/>
    </w:pPr>
    <w:r>
      <w:rPr>
        <w:noProof/>
      </w:rPr>
      <w:pict w14:anchorId="7E8A1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E570" w14:textId="02D9C357" w:rsidR="0005788E" w:rsidRDefault="0005788E">
    <w:pPr>
      <w:pStyle w:val="Header"/>
    </w:pPr>
    <w:r>
      <w:rPr>
        <w:noProof/>
      </w:rPr>
      <w:pict w14:anchorId="578AC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705"/>
    <w:multiLevelType w:val="multilevel"/>
    <w:tmpl w:val="5CAA728C"/>
    <w:lvl w:ilvl="0">
      <w:start w:val="1"/>
      <w:numFmt w:val="low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F2D39"/>
    <w:multiLevelType w:val="multilevel"/>
    <w:tmpl w:val="BE9A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2155E"/>
    <w:multiLevelType w:val="multilevel"/>
    <w:tmpl w:val="FA3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B9795C"/>
    <w:multiLevelType w:val="multilevel"/>
    <w:tmpl w:val="D62871D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2229B7"/>
    <w:multiLevelType w:val="multilevel"/>
    <w:tmpl w:val="2E2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3111C1"/>
    <w:multiLevelType w:val="multilevel"/>
    <w:tmpl w:val="AE96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5565D7"/>
    <w:multiLevelType w:val="multilevel"/>
    <w:tmpl w:val="55B6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A0MDI1MjM0sjQysjRR0lEKTi0uzszPAykwrAUAQHeoWCwAAAA="/>
  </w:docVars>
  <w:rsids>
    <w:rsidRoot w:val="00B838FF"/>
    <w:rsid w:val="00005687"/>
    <w:rsid w:val="00027A3C"/>
    <w:rsid w:val="00050963"/>
    <w:rsid w:val="0005788E"/>
    <w:rsid w:val="000A6C7E"/>
    <w:rsid w:val="000E747C"/>
    <w:rsid w:val="000E7ECC"/>
    <w:rsid w:val="00195BFD"/>
    <w:rsid w:val="001B3FE8"/>
    <w:rsid w:val="001F27FE"/>
    <w:rsid w:val="0025262A"/>
    <w:rsid w:val="002532E2"/>
    <w:rsid w:val="002539EF"/>
    <w:rsid w:val="0029402C"/>
    <w:rsid w:val="003268A7"/>
    <w:rsid w:val="00334078"/>
    <w:rsid w:val="00344CA2"/>
    <w:rsid w:val="00371265"/>
    <w:rsid w:val="00383261"/>
    <w:rsid w:val="00384C1C"/>
    <w:rsid w:val="003B0114"/>
    <w:rsid w:val="00420E4E"/>
    <w:rsid w:val="00424369"/>
    <w:rsid w:val="0042635D"/>
    <w:rsid w:val="00430A69"/>
    <w:rsid w:val="00432CB2"/>
    <w:rsid w:val="004673CF"/>
    <w:rsid w:val="0047213B"/>
    <w:rsid w:val="00476AB1"/>
    <w:rsid w:val="004B0579"/>
    <w:rsid w:val="004D1361"/>
    <w:rsid w:val="00516154"/>
    <w:rsid w:val="005351CC"/>
    <w:rsid w:val="005578E2"/>
    <w:rsid w:val="00573109"/>
    <w:rsid w:val="005749D2"/>
    <w:rsid w:val="00586656"/>
    <w:rsid w:val="005C310A"/>
    <w:rsid w:val="005C7364"/>
    <w:rsid w:val="005D7078"/>
    <w:rsid w:val="005F4599"/>
    <w:rsid w:val="005F7093"/>
    <w:rsid w:val="00623358"/>
    <w:rsid w:val="0062406F"/>
    <w:rsid w:val="006266E7"/>
    <w:rsid w:val="00637430"/>
    <w:rsid w:val="00651FE9"/>
    <w:rsid w:val="00657125"/>
    <w:rsid w:val="006A4B8D"/>
    <w:rsid w:val="006B7797"/>
    <w:rsid w:val="006D0360"/>
    <w:rsid w:val="006D6132"/>
    <w:rsid w:val="007B1EF4"/>
    <w:rsid w:val="007C2196"/>
    <w:rsid w:val="007D5737"/>
    <w:rsid w:val="007E1BB6"/>
    <w:rsid w:val="007F3308"/>
    <w:rsid w:val="0081547D"/>
    <w:rsid w:val="00847F48"/>
    <w:rsid w:val="00871789"/>
    <w:rsid w:val="0089291E"/>
    <w:rsid w:val="008A2AA9"/>
    <w:rsid w:val="008B281C"/>
    <w:rsid w:val="008D3117"/>
    <w:rsid w:val="008F4067"/>
    <w:rsid w:val="008F5111"/>
    <w:rsid w:val="009064FC"/>
    <w:rsid w:val="00907236"/>
    <w:rsid w:val="0091449C"/>
    <w:rsid w:val="009277AE"/>
    <w:rsid w:val="00932FEE"/>
    <w:rsid w:val="0094257E"/>
    <w:rsid w:val="00942C5A"/>
    <w:rsid w:val="00983199"/>
    <w:rsid w:val="009C4400"/>
    <w:rsid w:val="009F26B9"/>
    <w:rsid w:val="00A21214"/>
    <w:rsid w:val="00A30FB8"/>
    <w:rsid w:val="00A45956"/>
    <w:rsid w:val="00A71876"/>
    <w:rsid w:val="00A96AFC"/>
    <w:rsid w:val="00AA331D"/>
    <w:rsid w:val="00AC7D66"/>
    <w:rsid w:val="00AD606F"/>
    <w:rsid w:val="00B21BFF"/>
    <w:rsid w:val="00B23E9E"/>
    <w:rsid w:val="00B838FF"/>
    <w:rsid w:val="00B909C1"/>
    <w:rsid w:val="00B92C8A"/>
    <w:rsid w:val="00B96D3C"/>
    <w:rsid w:val="00BA59AE"/>
    <w:rsid w:val="00C001D8"/>
    <w:rsid w:val="00C139EF"/>
    <w:rsid w:val="00C604D4"/>
    <w:rsid w:val="00C6306E"/>
    <w:rsid w:val="00C834F0"/>
    <w:rsid w:val="00C973CC"/>
    <w:rsid w:val="00CA0E42"/>
    <w:rsid w:val="00CB6C6C"/>
    <w:rsid w:val="00CE2313"/>
    <w:rsid w:val="00D002C9"/>
    <w:rsid w:val="00D04093"/>
    <w:rsid w:val="00D13804"/>
    <w:rsid w:val="00D30F33"/>
    <w:rsid w:val="00D64C1C"/>
    <w:rsid w:val="00D84B4C"/>
    <w:rsid w:val="00E349E8"/>
    <w:rsid w:val="00E70920"/>
    <w:rsid w:val="00E726E0"/>
    <w:rsid w:val="00E74581"/>
    <w:rsid w:val="00ED0A50"/>
    <w:rsid w:val="00ED29B7"/>
    <w:rsid w:val="00EE5257"/>
    <w:rsid w:val="00EF5059"/>
    <w:rsid w:val="00F00971"/>
    <w:rsid w:val="00F0419C"/>
    <w:rsid w:val="00F4067A"/>
    <w:rsid w:val="00F45877"/>
    <w:rsid w:val="00F62156"/>
    <w:rsid w:val="00F7248A"/>
    <w:rsid w:val="00F73894"/>
    <w:rsid w:val="00F86BE0"/>
    <w:rsid w:val="00FB5D5B"/>
    <w:rsid w:val="00FC2408"/>
    <w:rsid w:val="00FE44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B8DC4"/>
  <w15:chartTrackingRefBased/>
  <w15:docId w15:val="{7D97DF19-962B-4FBD-A0F3-86E62428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876"/>
  </w:style>
  <w:style w:type="paragraph" w:styleId="Heading1">
    <w:name w:val="heading 1"/>
    <w:basedOn w:val="Normal"/>
    <w:link w:val="Heading1Char"/>
    <w:uiPriority w:val="9"/>
    <w:qFormat/>
    <w:rsid w:val="00B838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38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38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96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8F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38F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38FF"/>
    <w:rPr>
      <w:rFonts w:ascii="Times New Roman" w:eastAsia="Times New Roman" w:hAnsi="Times New Roman" w:cs="Times New Roman"/>
      <w:b/>
      <w:bCs/>
      <w:sz w:val="27"/>
      <w:szCs w:val="27"/>
    </w:rPr>
  </w:style>
  <w:style w:type="character" w:styleId="Strong">
    <w:name w:val="Strong"/>
    <w:basedOn w:val="DefaultParagraphFont"/>
    <w:uiPriority w:val="22"/>
    <w:qFormat/>
    <w:rsid w:val="00B838FF"/>
    <w:rPr>
      <w:b/>
      <w:bCs/>
    </w:rPr>
  </w:style>
  <w:style w:type="paragraph" w:styleId="NormalWeb">
    <w:name w:val="Normal (Web)"/>
    <w:basedOn w:val="Normal"/>
    <w:uiPriority w:val="99"/>
    <w:unhideWhenUsed/>
    <w:rsid w:val="00B838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838FF"/>
    <w:rPr>
      <w:i/>
      <w:iCs/>
    </w:rPr>
  </w:style>
  <w:style w:type="paragraph" w:styleId="ListParagraph">
    <w:name w:val="List Paragraph"/>
    <w:basedOn w:val="Normal"/>
    <w:uiPriority w:val="34"/>
    <w:qFormat/>
    <w:rsid w:val="00B838FF"/>
    <w:pPr>
      <w:ind w:left="720"/>
      <w:contextualSpacing/>
    </w:pPr>
  </w:style>
  <w:style w:type="character" w:customStyle="1" w:styleId="Heading4Char">
    <w:name w:val="Heading 4 Char"/>
    <w:basedOn w:val="DefaultParagraphFont"/>
    <w:link w:val="Heading4"/>
    <w:uiPriority w:val="9"/>
    <w:semiHidden/>
    <w:rsid w:val="00A96AFC"/>
    <w:rPr>
      <w:rFonts w:asciiTheme="majorHAnsi" w:eastAsiaTheme="majorEastAsia" w:hAnsiTheme="majorHAnsi" w:cstheme="majorBidi"/>
      <w:i/>
      <w:iCs/>
      <w:color w:val="2F5496" w:themeColor="accent1" w:themeShade="BF"/>
    </w:rPr>
  </w:style>
  <w:style w:type="table" w:styleId="PlainTable4">
    <w:name w:val="Plain Table 4"/>
    <w:basedOn w:val="TableNormal"/>
    <w:uiPriority w:val="44"/>
    <w:rsid w:val="007C21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8F4067"/>
    <w:pPr>
      <w:spacing w:after="0" w:line="240" w:lineRule="auto"/>
    </w:pPr>
    <w:tblPr/>
  </w:style>
  <w:style w:type="table" w:customStyle="1" w:styleId="Style2">
    <w:name w:val="Style2"/>
    <w:basedOn w:val="TableNormal"/>
    <w:uiPriority w:val="99"/>
    <w:rsid w:val="008F4067"/>
    <w:pPr>
      <w:spacing w:after="0" w:line="240" w:lineRule="auto"/>
    </w:pPr>
    <w:tblPr/>
  </w:style>
  <w:style w:type="table" w:styleId="PlainTable3">
    <w:name w:val="Plain Table 3"/>
    <w:basedOn w:val="TableNormal"/>
    <w:uiPriority w:val="43"/>
    <w:rsid w:val="008F40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871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96">
    <w:name w:val="citation-96"/>
    <w:basedOn w:val="DefaultParagraphFont"/>
    <w:rsid w:val="00983199"/>
  </w:style>
  <w:style w:type="character" w:customStyle="1" w:styleId="math-inline">
    <w:name w:val="math-inline"/>
    <w:basedOn w:val="DefaultParagraphFont"/>
    <w:rsid w:val="00983199"/>
  </w:style>
  <w:style w:type="paragraph" w:styleId="z-TopofForm">
    <w:name w:val="HTML Top of Form"/>
    <w:basedOn w:val="Normal"/>
    <w:next w:val="Normal"/>
    <w:link w:val="z-TopofFormChar"/>
    <w:hidden/>
    <w:uiPriority w:val="99"/>
    <w:semiHidden/>
    <w:unhideWhenUsed/>
    <w:rsid w:val="004721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721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721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7213B"/>
    <w:rPr>
      <w:rFonts w:ascii="Arial" w:eastAsia="Times New Roman" w:hAnsi="Arial" w:cs="Arial"/>
      <w:vanish/>
      <w:sz w:val="16"/>
      <w:szCs w:val="16"/>
    </w:rPr>
  </w:style>
  <w:style w:type="character" w:styleId="Hyperlink">
    <w:name w:val="Hyperlink"/>
    <w:basedOn w:val="DefaultParagraphFont"/>
    <w:uiPriority w:val="99"/>
    <w:unhideWhenUsed/>
    <w:rsid w:val="00D30F33"/>
    <w:rPr>
      <w:color w:val="0000FF"/>
      <w:u w:val="single"/>
    </w:rPr>
  </w:style>
  <w:style w:type="table" w:styleId="PlainTable2">
    <w:name w:val="Plain Table 2"/>
    <w:basedOn w:val="TableNormal"/>
    <w:uiPriority w:val="42"/>
    <w:rsid w:val="005749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iliation">
    <w:name w:val="Affiliation"/>
    <w:basedOn w:val="Normal"/>
    <w:rsid w:val="003B0114"/>
    <w:pPr>
      <w:spacing w:after="240" w:line="240" w:lineRule="exact"/>
      <w:jc w:val="right"/>
    </w:pPr>
    <w:rPr>
      <w:rFonts w:ascii="Helvetica" w:eastAsia="Times New Roman" w:hAnsi="Helvetica" w:cs="Times New Roman"/>
      <w:sz w:val="20"/>
      <w:szCs w:val="20"/>
      <w:lang w:val="en-US" w:eastAsia="en-US"/>
    </w:rPr>
  </w:style>
  <w:style w:type="paragraph" w:styleId="NoSpacing">
    <w:name w:val="No Spacing"/>
    <w:uiPriority w:val="1"/>
    <w:qFormat/>
    <w:rsid w:val="00ED0A50"/>
    <w:pPr>
      <w:spacing w:after="0" w:line="240" w:lineRule="auto"/>
    </w:pPr>
  </w:style>
  <w:style w:type="character" w:customStyle="1" w:styleId="fontstyle01">
    <w:name w:val="fontstyle01"/>
    <w:basedOn w:val="DefaultParagraphFont"/>
    <w:rsid w:val="00E70920"/>
    <w:rPr>
      <w:rFonts w:ascii="TimesNewRomanPS-ItalicMT" w:hAnsi="TimesNewRomanPS-ItalicMT" w:hint="default"/>
      <w:b w:val="0"/>
      <w:bCs w:val="0"/>
      <w:i/>
      <w:iCs/>
      <w:color w:val="000000"/>
      <w:sz w:val="16"/>
      <w:szCs w:val="16"/>
    </w:rPr>
  </w:style>
  <w:style w:type="character" w:styleId="UnresolvedMention">
    <w:name w:val="Unresolved Mention"/>
    <w:basedOn w:val="DefaultParagraphFont"/>
    <w:uiPriority w:val="99"/>
    <w:semiHidden/>
    <w:unhideWhenUsed/>
    <w:rsid w:val="00E70920"/>
    <w:rPr>
      <w:color w:val="605E5C"/>
      <w:shd w:val="clear" w:color="auto" w:fill="E1DFDD"/>
    </w:rPr>
  </w:style>
  <w:style w:type="paragraph" w:styleId="HTMLPreformatted">
    <w:name w:val="HTML Preformatted"/>
    <w:basedOn w:val="Normal"/>
    <w:link w:val="HTMLPreformattedChar"/>
    <w:uiPriority w:val="99"/>
    <w:unhideWhenUsed/>
    <w:rsid w:val="007E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E1BB6"/>
    <w:rPr>
      <w:rFonts w:ascii="Courier New" w:eastAsia="Times New Roman" w:hAnsi="Courier New" w:cs="Courier New"/>
      <w:sz w:val="20"/>
      <w:szCs w:val="20"/>
    </w:rPr>
  </w:style>
  <w:style w:type="character" w:customStyle="1" w:styleId="token">
    <w:name w:val="token"/>
    <w:basedOn w:val="DefaultParagraphFont"/>
    <w:rsid w:val="007E1BB6"/>
  </w:style>
  <w:style w:type="paragraph" w:styleId="Header">
    <w:name w:val="header"/>
    <w:basedOn w:val="Normal"/>
    <w:link w:val="HeaderChar"/>
    <w:uiPriority w:val="99"/>
    <w:unhideWhenUsed/>
    <w:rsid w:val="00057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88E"/>
  </w:style>
  <w:style w:type="paragraph" w:styleId="Footer">
    <w:name w:val="footer"/>
    <w:basedOn w:val="Normal"/>
    <w:link w:val="FooterChar"/>
    <w:uiPriority w:val="99"/>
    <w:unhideWhenUsed/>
    <w:rsid w:val="00057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116">
      <w:bodyDiv w:val="1"/>
      <w:marLeft w:val="0"/>
      <w:marRight w:val="0"/>
      <w:marTop w:val="0"/>
      <w:marBottom w:val="0"/>
      <w:divBdr>
        <w:top w:val="none" w:sz="0" w:space="0" w:color="auto"/>
        <w:left w:val="none" w:sz="0" w:space="0" w:color="auto"/>
        <w:bottom w:val="none" w:sz="0" w:space="0" w:color="auto"/>
        <w:right w:val="none" w:sz="0" w:space="0" w:color="auto"/>
      </w:divBdr>
    </w:div>
    <w:div w:id="329138985">
      <w:bodyDiv w:val="1"/>
      <w:marLeft w:val="0"/>
      <w:marRight w:val="0"/>
      <w:marTop w:val="0"/>
      <w:marBottom w:val="0"/>
      <w:divBdr>
        <w:top w:val="none" w:sz="0" w:space="0" w:color="auto"/>
        <w:left w:val="none" w:sz="0" w:space="0" w:color="auto"/>
        <w:bottom w:val="none" w:sz="0" w:space="0" w:color="auto"/>
        <w:right w:val="none" w:sz="0" w:space="0" w:color="auto"/>
      </w:divBdr>
    </w:div>
    <w:div w:id="389500435">
      <w:bodyDiv w:val="1"/>
      <w:marLeft w:val="0"/>
      <w:marRight w:val="0"/>
      <w:marTop w:val="0"/>
      <w:marBottom w:val="0"/>
      <w:divBdr>
        <w:top w:val="none" w:sz="0" w:space="0" w:color="auto"/>
        <w:left w:val="none" w:sz="0" w:space="0" w:color="auto"/>
        <w:bottom w:val="none" w:sz="0" w:space="0" w:color="auto"/>
        <w:right w:val="none" w:sz="0" w:space="0" w:color="auto"/>
      </w:divBdr>
    </w:div>
    <w:div w:id="630405200">
      <w:bodyDiv w:val="1"/>
      <w:marLeft w:val="0"/>
      <w:marRight w:val="0"/>
      <w:marTop w:val="0"/>
      <w:marBottom w:val="0"/>
      <w:divBdr>
        <w:top w:val="none" w:sz="0" w:space="0" w:color="auto"/>
        <w:left w:val="none" w:sz="0" w:space="0" w:color="auto"/>
        <w:bottom w:val="none" w:sz="0" w:space="0" w:color="auto"/>
        <w:right w:val="none" w:sz="0" w:space="0" w:color="auto"/>
      </w:divBdr>
    </w:div>
    <w:div w:id="877352895">
      <w:bodyDiv w:val="1"/>
      <w:marLeft w:val="0"/>
      <w:marRight w:val="0"/>
      <w:marTop w:val="0"/>
      <w:marBottom w:val="0"/>
      <w:divBdr>
        <w:top w:val="none" w:sz="0" w:space="0" w:color="auto"/>
        <w:left w:val="none" w:sz="0" w:space="0" w:color="auto"/>
        <w:bottom w:val="none" w:sz="0" w:space="0" w:color="auto"/>
        <w:right w:val="none" w:sz="0" w:space="0" w:color="auto"/>
      </w:divBdr>
    </w:div>
    <w:div w:id="1081609822">
      <w:bodyDiv w:val="1"/>
      <w:marLeft w:val="0"/>
      <w:marRight w:val="0"/>
      <w:marTop w:val="0"/>
      <w:marBottom w:val="0"/>
      <w:divBdr>
        <w:top w:val="none" w:sz="0" w:space="0" w:color="auto"/>
        <w:left w:val="none" w:sz="0" w:space="0" w:color="auto"/>
        <w:bottom w:val="none" w:sz="0" w:space="0" w:color="auto"/>
        <w:right w:val="none" w:sz="0" w:space="0" w:color="auto"/>
      </w:divBdr>
      <w:divsChild>
        <w:div w:id="898517863">
          <w:marLeft w:val="0"/>
          <w:marRight w:val="0"/>
          <w:marTop w:val="0"/>
          <w:marBottom w:val="0"/>
          <w:divBdr>
            <w:top w:val="none" w:sz="0" w:space="0" w:color="auto"/>
            <w:left w:val="none" w:sz="0" w:space="0" w:color="auto"/>
            <w:bottom w:val="none" w:sz="0" w:space="0" w:color="auto"/>
            <w:right w:val="none" w:sz="0" w:space="0" w:color="auto"/>
          </w:divBdr>
          <w:divsChild>
            <w:div w:id="2136867828">
              <w:marLeft w:val="0"/>
              <w:marRight w:val="0"/>
              <w:marTop w:val="0"/>
              <w:marBottom w:val="0"/>
              <w:divBdr>
                <w:top w:val="none" w:sz="0" w:space="0" w:color="auto"/>
                <w:left w:val="none" w:sz="0" w:space="0" w:color="auto"/>
                <w:bottom w:val="none" w:sz="0" w:space="0" w:color="auto"/>
                <w:right w:val="none" w:sz="0" w:space="0" w:color="auto"/>
              </w:divBdr>
              <w:divsChild>
                <w:div w:id="2037146768">
                  <w:marLeft w:val="0"/>
                  <w:marRight w:val="0"/>
                  <w:marTop w:val="0"/>
                  <w:marBottom w:val="0"/>
                  <w:divBdr>
                    <w:top w:val="none" w:sz="0" w:space="0" w:color="auto"/>
                    <w:left w:val="none" w:sz="0" w:space="0" w:color="auto"/>
                    <w:bottom w:val="none" w:sz="0" w:space="0" w:color="auto"/>
                    <w:right w:val="none" w:sz="0" w:space="0" w:color="auto"/>
                  </w:divBdr>
                  <w:divsChild>
                    <w:div w:id="1696426091">
                      <w:marLeft w:val="0"/>
                      <w:marRight w:val="0"/>
                      <w:marTop w:val="0"/>
                      <w:marBottom w:val="0"/>
                      <w:divBdr>
                        <w:top w:val="none" w:sz="0" w:space="0" w:color="auto"/>
                        <w:left w:val="none" w:sz="0" w:space="0" w:color="auto"/>
                        <w:bottom w:val="none" w:sz="0" w:space="0" w:color="auto"/>
                        <w:right w:val="none" w:sz="0" w:space="0" w:color="auto"/>
                      </w:divBdr>
                      <w:divsChild>
                        <w:div w:id="1178615738">
                          <w:marLeft w:val="0"/>
                          <w:marRight w:val="0"/>
                          <w:marTop w:val="0"/>
                          <w:marBottom w:val="0"/>
                          <w:divBdr>
                            <w:top w:val="none" w:sz="0" w:space="0" w:color="auto"/>
                            <w:left w:val="none" w:sz="0" w:space="0" w:color="auto"/>
                            <w:bottom w:val="none" w:sz="0" w:space="0" w:color="auto"/>
                            <w:right w:val="none" w:sz="0" w:space="0" w:color="auto"/>
                          </w:divBdr>
                          <w:divsChild>
                            <w:div w:id="1892570283">
                              <w:marLeft w:val="0"/>
                              <w:marRight w:val="0"/>
                              <w:marTop w:val="0"/>
                              <w:marBottom w:val="0"/>
                              <w:divBdr>
                                <w:top w:val="none" w:sz="0" w:space="0" w:color="auto"/>
                                <w:left w:val="none" w:sz="0" w:space="0" w:color="auto"/>
                                <w:bottom w:val="none" w:sz="0" w:space="0" w:color="auto"/>
                                <w:right w:val="none" w:sz="0" w:space="0" w:color="auto"/>
                              </w:divBdr>
                              <w:divsChild>
                                <w:div w:id="1564292419">
                                  <w:marLeft w:val="0"/>
                                  <w:marRight w:val="0"/>
                                  <w:marTop w:val="0"/>
                                  <w:marBottom w:val="0"/>
                                  <w:divBdr>
                                    <w:top w:val="none" w:sz="0" w:space="0" w:color="auto"/>
                                    <w:left w:val="none" w:sz="0" w:space="0" w:color="auto"/>
                                    <w:bottom w:val="none" w:sz="0" w:space="0" w:color="auto"/>
                                    <w:right w:val="none" w:sz="0" w:space="0" w:color="auto"/>
                                  </w:divBdr>
                                  <w:divsChild>
                                    <w:div w:id="4045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641581">
          <w:marLeft w:val="0"/>
          <w:marRight w:val="0"/>
          <w:marTop w:val="0"/>
          <w:marBottom w:val="0"/>
          <w:divBdr>
            <w:top w:val="none" w:sz="0" w:space="0" w:color="auto"/>
            <w:left w:val="none" w:sz="0" w:space="0" w:color="auto"/>
            <w:bottom w:val="none" w:sz="0" w:space="0" w:color="auto"/>
            <w:right w:val="none" w:sz="0" w:space="0" w:color="auto"/>
          </w:divBdr>
          <w:divsChild>
            <w:div w:id="1359812473">
              <w:marLeft w:val="0"/>
              <w:marRight w:val="0"/>
              <w:marTop w:val="0"/>
              <w:marBottom w:val="0"/>
              <w:divBdr>
                <w:top w:val="none" w:sz="0" w:space="0" w:color="auto"/>
                <w:left w:val="none" w:sz="0" w:space="0" w:color="auto"/>
                <w:bottom w:val="none" w:sz="0" w:space="0" w:color="auto"/>
                <w:right w:val="none" w:sz="0" w:space="0" w:color="auto"/>
              </w:divBdr>
              <w:divsChild>
                <w:div w:id="595796289">
                  <w:marLeft w:val="0"/>
                  <w:marRight w:val="0"/>
                  <w:marTop w:val="0"/>
                  <w:marBottom w:val="0"/>
                  <w:divBdr>
                    <w:top w:val="none" w:sz="0" w:space="0" w:color="auto"/>
                    <w:left w:val="none" w:sz="0" w:space="0" w:color="auto"/>
                    <w:bottom w:val="none" w:sz="0" w:space="0" w:color="auto"/>
                    <w:right w:val="none" w:sz="0" w:space="0" w:color="auto"/>
                  </w:divBdr>
                  <w:divsChild>
                    <w:div w:id="1251892231">
                      <w:marLeft w:val="0"/>
                      <w:marRight w:val="0"/>
                      <w:marTop w:val="0"/>
                      <w:marBottom w:val="0"/>
                      <w:divBdr>
                        <w:top w:val="none" w:sz="0" w:space="0" w:color="auto"/>
                        <w:left w:val="none" w:sz="0" w:space="0" w:color="auto"/>
                        <w:bottom w:val="none" w:sz="0" w:space="0" w:color="auto"/>
                        <w:right w:val="none" w:sz="0" w:space="0" w:color="auto"/>
                      </w:divBdr>
                      <w:divsChild>
                        <w:div w:id="425271360">
                          <w:marLeft w:val="0"/>
                          <w:marRight w:val="0"/>
                          <w:marTop w:val="0"/>
                          <w:marBottom w:val="0"/>
                          <w:divBdr>
                            <w:top w:val="none" w:sz="0" w:space="0" w:color="auto"/>
                            <w:left w:val="none" w:sz="0" w:space="0" w:color="auto"/>
                            <w:bottom w:val="none" w:sz="0" w:space="0" w:color="auto"/>
                            <w:right w:val="none" w:sz="0" w:space="0" w:color="auto"/>
                          </w:divBdr>
                          <w:divsChild>
                            <w:div w:id="269095971">
                              <w:marLeft w:val="0"/>
                              <w:marRight w:val="0"/>
                              <w:marTop w:val="0"/>
                              <w:marBottom w:val="0"/>
                              <w:divBdr>
                                <w:top w:val="none" w:sz="0" w:space="0" w:color="auto"/>
                                <w:left w:val="none" w:sz="0" w:space="0" w:color="auto"/>
                                <w:bottom w:val="none" w:sz="0" w:space="0" w:color="auto"/>
                                <w:right w:val="none" w:sz="0" w:space="0" w:color="auto"/>
                              </w:divBdr>
                              <w:divsChild>
                                <w:div w:id="694963906">
                                  <w:marLeft w:val="0"/>
                                  <w:marRight w:val="0"/>
                                  <w:marTop w:val="0"/>
                                  <w:marBottom w:val="0"/>
                                  <w:divBdr>
                                    <w:top w:val="none" w:sz="0" w:space="0" w:color="auto"/>
                                    <w:left w:val="none" w:sz="0" w:space="0" w:color="auto"/>
                                    <w:bottom w:val="none" w:sz="0" w:space="0" w:color="auto"/>
                                    <w:right w:val="none" w:sz="0" w:space="0" w:color="auto"/>
                                  </w:divBdr>
                                  <w:divsChild>
                                    <w:div w:id="743911932">
                                      <w:marLeft w:val="0"/>
                                      <w:marRight w:val="0"/>
                                      <w:marTop w:val="0"/>
                                      <w:marBottom w:val="0"/>
                                      <w:divBdr>
                                        <w:top w:val="none" w:sz="0" w:space="0" w:color="auto"/>
                                        <w:left w:val="none" w:sz="0" w:space="0" w:color="auto"/>
                                        <w:bottom w:val="none" w:sz="0" w:space="0" w:color="auto"/>
                                        <w:right w:val="none" w:sz="0" w:space="0" w:color="auto"/>
                                      </w:divBdr>
                                      <w:divsChild>
                                        <w:div w:id="226846438">
                                          <w:marLeft w:val="0"/>
                                          <w:marRight w:val="0"/>
                                          <w:marTop w:val="0"/>
                                          <w:marBottom w:val="0"/>
                                          <w:divBdr>
                                            <w:top w:val="none" w:sz="0" w:space="0" w:color="auto"/>
                                            <w:left w:val="none" w:sz="0" w:space="0" w:color="auto"/>
                                            <w:bottom w:val="none" w:sz="0" w:space="0" w:color="auto"/>
                                            <w:right w:val="none" w:sz="0" w:space="0" w:color="auto"/>
                                          </w:divBdr>
                                          <w:divsChild>
                                            <w:div w:id="397826168">
                                              <w:marLeft w:val="0"/>
                                              <w:marRight w:val="0"/>
                                              <w:marTop w:val="0"/>
                                              <w:marBottom w:val="0"/>
                                              <w:divBdr>
                                                <w:top w:val="none" w:sz="0" w:space="0" w:color="auto"/>
                                                <w:left w:val="none" w:sz="0" w:space="0" w:color="auto"/>
                                                <w:bottom w:val="none" w:sz="0" w:space="0" w:color="auto"/>
                                                <w:right w:val="none" w:sz="0" w:space="0" w:color="auto"/>
                                              </w:divBdr>
                                              <w:divsChild>
                                                <w:div w:id="14552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613091">
      <w:bodyDiv w:val="1"/>
      <w:marLeft w:val="0"/>
      <w:marRight w:val="0"/>
      <w:marTop w:val="0"/>
      <w:marBottom w:val="0"/>
      <w:divBdr>
        <w:top w:val="none" w:sz="0" w:space="0" w:color="auto"/>
        <w:left w:val="none" w:sz="0" w:space="0" w:color="auto"/>
        <w:bottom w:val="none" w:sz="0" w:space="0" w:color="auto"/>
        <w:right w:val="none" w:sz="0" w:space="0" w:color="auto"/>
      </w:divBdr>
    </w:div>
    <w:div w:id="1493595789">
      <w:bodyDiv w:val="1"/>
      <w:marLeft w:val="0"/>
      <w:marRight w:val="0"/>
      <w:marTop w:val="0"/>
      <w:marBottom w:val="0"/>
      <w:divBdr>
        <w:top w:val="none" w:sz="0" w:space="0" w:color="auto"/>
        <w:left w:val="none" w:sz="0" w:space="0" w:color="auto"/>
        <w:bottom w:val="none" w:sz="0" w:space="0" w:color="auto"/>
        <w:right w:val="none" w:sz="0" w:space="0" w:color="auto"/>
      </w:divBdr>
      <w:divsChild>
        <w:div w:id="695815661">
          <w:marLeft w:val="0"/>
          <w:marRight w:val="0"/>
          <w:marTop w:val="0"/>
          <w:marBottom w:val="0"/>
          <w:divBdr>
            <w:top w:val="none" w:sz="0" w:space="0" w:color="auto"/>
            <w:left w:val="none" w:sz="0" w:space="0" w:color="auto"/>
            <w:bottom w:val="none" w:sz="0" w:space="0" w:color="auto"/>
            <w:right w:val="none" w:sz="0" w:space="0" w:color="auto"/>
          </w:divBdr>
          <w:divsChild>
            <w:div w:id="1052730843">
              <w:marLeft w:val="0"/>
              <w:marRight w:val="0"/>
              <w:marTop w:val="0"/>
              <w:marBottom w:val="0"/>
              <w:divBdr>
                <w:top w:val="none" w:sz="0" w:space="0" w:color="auto"/>
                <w:left w:val="none" w:sz="0" w:space="0" w:color="auto"/>
                <w:bottom w:val="none" w:sz="0" w:space="0" w:color="auto"/>
                <w:right w:val="none" w:sz="0" w:space="0" w:color="auto"/>
              </w:divBdr>
              <w:divsChild>
                <w:div w:id="1986540612">
                  <w:marLeft w:val="0"/>
                  <w:marRight w:val="0"/>
                  <w:marTop w:val="0"/>
                  <w:marBottom w:val="0"/>
                  <w:divBdr>
                    <w:top w:val="none" w:sz="0" w:space="0" w:color="auto"/>
                    <w:left w:val="none" w:sz="0" w:space="0" w:color="auto"/>
                    <w:bottom w:val="none" w:sz="0" w:space="0" w:color="auto"/>
                    <w:right w:val="none" w:sz="0" w:space="0" w:color="auto"/>
                  </w:divBdr>
                  <w:divsChild>
                    <w:div w:id="995644839">
                      <w:marLeft w:val="0"/>
                      <w:marRight w:val="0"/>
                      <w:marTop w:val="0"/>
                      <w:marBottom w:val="0"/>
                      <w:divBdr>
                        <w:top w:val="none" w:sz="0" w:space="0" w:color="auto"/>
                        <w:left w:val="none" w:sz="0" w:space="0" w:color="auto"/>
                        <w:bottom w:val="none" w:sz="0" w:space="0" w:color="auto"/>
                        <w:right w:val="none" w:sz="0" w:space="0" w:color="auto"/>
                      </w:divBdr>
                      <w:divsChild>
                        <w:div w:id="1035347165">
                          <w:marLeft w:val="0"/>
                          <w:marRight w:val="0"/>
                          <w:marTop w:val="0"/>
                          <w:marBottom w:val="0"/>
                          <w:divBdr>
                            <w:top w:val="none" w:sz="0" w:space="0" w:color="auto"/>
                            <w:left w:val="none" w:sz="0" w:space="0" w:color="auto"/>
                            <w:bottom w:val="none" w:sz="0" w:space="0" w:color="auto"/>
                            <w:right w:val="none" w:sz="0" w:space="0" w:color="auto"/>
                          </w:divBdr>
                          <w:divsChild>
                            <w:div w:id="909580752">
                              <w:marLeft w:val="0"/>
                              <w:marRight w:val="0"/>
                              <w:marTop w:val="0"/>
                              <w:marBottom w:val="0"/>
                              <w:divBdr>
                                <w:top w:val="none" w:sz="0" w:space="0" w:color="auto"/>
                                <w:left w:val="none" w:sz="0" w:space="0" w:color="auto"/>
                                <w:bottom w:val="none" w:sz="0" w:space="0" w:color="auto"/>
                                <w:right w:val="none" w:sz="0" w:space="0" w:color="auto"/>
                              </w:divBdr>
                              <w:divsChild>
                                <w:div w:id="1407994389">
                                  <w:marLeft w:val="0"/>
                                  <w:marRight w:val="0"/>
                                  <w:marTop w:val="0"/>
                                  <w:marBottom w:val="0"/>
                                  <w:divBdr>
                                    <w:top w:val="none" w:sz="0" w:space="0" w:color="auto"/>
                                    <w:left w:val="none" w:sz="0" w:space="0" w:color="auto"/>
                                    <w:bottom w:val="none" w:sz="0" w:space="0" w:color="auto"/>
                                    <w:right w:val="none" w:sz="0" w:space="0" w:color="auto"/>
                                  </w:divBdr>
                                  <w:divsChild>
                                    <w:div w:id="1126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216333">
          <w:marLeft w:val="0"/>
          <w:marRight w:val="0"/>
          <w:marTop w:val="0"/>
          <w:marBottom w:val="0"/>
          <w:divBdr>
            <w:top w:val="none" w:sz="0" w:space="0" w:color="auto"/>
            <w:left w:val="none" w:sz="0" w:space="0" w:color="auto"/>
            <w:bottom w:val="none" w:sz="0" w:space="0" w:color="auto"/>
            <w:right w:val="none" w:sz="0" w:space="0" w:color="auto"/>
          </w:divBdr>
          <w:divsChild>
            <w:div w:id="1289974811">
              <w:marLeft w:val="0"/>
              <w:marRight w:val="0"/>
              <w:marTop w:val="0"/>
              <w:marBottom w:val="0"/>
              <w:divBdr>
                <w:top w:val="none" w:sz="0" w:space="0" w:color="auto"/>
                <w:left w:val="none" w:sz="0" w:space="0" w:color="auto"/>
                <w:bottom w:val="none" w:sz="0" w:space="0" w:color="auto"/>
                <w:right w:val="none" w:sz="0" w:space="0" w:color="auto"/>
              </w:divBdr>
              <w:divsChild>
                <w:div w:id="684477964">
                  <w:marLeft w:val="0"/>
                  <w:marRight w:val="0"/>
                  <w:marTop w:val="0"/>
                  <w:marBottom w:val="0"/>
                  <w:divBdr>
                    <w:top w:val="none" w:sz="0" w:space="0" w:color="auto"/>
                    <w:left w:val="none" w:sz="0" w:space="0" w:color="auto"/>
                    <w:bottom w:val="none" w:sz="0" w:space="0" w:color="auto"/>
                    <w:right w:val="none" w:sz="0" w:space="0" w:color="auto"/>
                  </w:divBdr>
                  <w:divsChild>
                    <w:div w:id="1397896383">
                      <w:marLeft w:val="0"/>
                      <w:marRight w:val="0"/>
                      <w:marTop w:val="0"/>
                      <w:marBottom w:val="0"/>
                      <w:divBdr>
                        <w:top w:val="none" w:sz="0" w:space="0" w:color="auto"/>
                        <w:left w:val="none" w:sz="0" w:space="0" w:color="auto"/>
                        <w:bottom w:val="none" w:sz="0" w:space="0" w:color="auto"/>
                        <w:right w:val="none" w:sz="0" w:space="0" w:color="auto"/>
                      </w:divBdr>
                      <w:divsChild>
                        <w:div w:id="1988896052">
                          <w:marLeft w:val="0"/>
                          <w:marRight w:val="0"/>
                          <w:marTop w:val="0"/>
                          <w:marBottom w:val="0"/>
                          <w:divBdr>
                            <w:top w:val="none" w:sz="0" w:space="0" w:color="auto"/>
                            <w:left w:val="none" w:sz="0" w:space="0" w:color="auto"/>
                            <w:bottom w:val="none" w:sz="0" w:space="0" w:color="auto"/>
                            <w:right w:val="none" w:sz="0" w:space="0" w:color="auto"/>
                          </w:divBdr>
                          <w:divsChild>
                            <w:div w:id="1099445795">
                              <w:marLeft w:val="0"/>
                              <w:marRight w:val="0"/>
                              <w:marTop w:val="0"/>
                              <w:marBottom w:val="0"/>
                              <w:divBdr>
                                <w:top w:val="none" w:sz="0" w:space="0" w:color="auto"/>
                                <w:left w:val="none" w:sz="0" w:space="0" w:color="auto"/>
                                <w:bottom w:val="none" w:sz="0" w:space="0" w:color="auto"/>
                                <w:right w:val="none" w:sz="0" w:space="0" w:color="auto"/>
                              </w:divBdr>
                              <w:divsChild>
                                <w:div w:id="229971668">
                                  <w:marLeft w:val="0"/>
                                  <w:marRight w:val="0"/>
                                  <w:marTop w:val="0"/>
                                  <w:marBottom w:val="0"/>
                                  <w:divBdr>
                                    <w:top w:val="none" w:sz="0" w:space="0" w:color="auto"/>
                                    <w:left w:val="none" w:sz="0" w:space="0" w:color="auto"/>
                                    <w:bottom w:val="none" w:sz="0" w:space="0" w:color="auto"/>
                                    <w:right w:val="none" w:sz="0" w:space="0" w:color="auto"/>
                                  </w:divBdr>
                                  <w:divsChild>
                                    <w:div w:id="896015656">
                                      <w:marLeft w:val="0"/>
                                      <w:marRight w:val="0"/>
                                      <w:marTop w:val="0"/>
                                      <w:marBottom w:val="0"/>
                                      <w:divBdr>
                                        <w:top w:val="none" w:sz="0" w:space="0" w:color="auto"/>
                                        <w:left w:val="none" w:sz="0" w:space="0" w:color="auto"/>
                                        <w:bottom w:val="none" w:sz="0" w:space="0" w:color="auto"/>
                                        <w:right w:val="none" w:sz="0" w:space="0" w:color="auto"/>
                                      </w:divBdr>
                                      <w:divsChild>
                                        <w:div w:id="313068062">
                                          <w:marLeft w:val="0"/>
                                          <w:marRight w:val="0"/>
                                          <w:marTop w:val="0"/>
                                          <w:marBottom w:val="0"/>
                                          <w:divBdr>
                                            <w:top w:val="none" w:sz="0" w:space="0" w:color="auto"/>
                                            <w:left w:val="none" w:sz="0" w:space="0" w:color="auto"/>
                                            <w:bottom w:val="none" w:sz="0" w:space="0" w:color="auto"/>
                                            <w:right w:val="none" w:sz="0" w:space="0" w:color="auto"/>
                                          </w:divBdr>
                                          <w:divsChild>
                                            <w:div w:id="5912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622823">
      <w:bodyDiv w:val="1"/>
      <w:marLeft w:val="0"/>
      <w:marRight w:val="0"/>
      <w:marTop w:val="0"/>
      <w:marBottom w:val="0"/>
      <w:divBdr>
        <w:top w:val="none" w:sz="0" w:space="0" w:color="auto"/>
        <w:left w:val="none" w:sz="0" w:space="0" w:color="auto"/>
        <w:bottom w:val="none" w:sz="0" w:space="0" w:color="auto"/>
        <w:right w:val="none" w:sz="0" w:space="0" w:color="auto"/>
      </w:divBdr>
    </w:div>
    <w:div w:id="1798722943">
      <w:bodyDiv w:val="1"/>
      <w:marLeft w:val="0"/>
      <w:marRight w:val="0"/>
      <w:marTop w:val="0"/>
      <w:marBottom w:val="0"/>
      <w:divBdr>
        <w:top w:val="none" w:sz="0" w:space="0" w:color="auto"/>
        <w:left w:val="none" w:sz="0" w:space="0" w:color="auto"/>
        <w:bottom w:val="none" w:sz="0" w:space="0" w:color="auto"/>
        <w:right w:val="none" w:sz="0" w:space="0" w:color="auto"/>
      </w:divBdr>
    </w:div>
    <w:div w:id="1983804215">
      <w:bodyDiv w:val="1"/>
      <w:marLeft w:val="0"/>
      <w:marRight w:val="0"/>
      <w:marTop w:val="0"/>
      <w:marBottom w:val="0"/>
      <w:divBdr>
        <w:top w:val="none" w:sz="0" w:space="0" w:color="auto"/>
        <w:left w:val="none" w:sz="0" w:space="0" w:color="auto"/>
        <w:bottom w:val="none" w:sz="0" w:space="0" w:color="auto"/>
        <w:right w:val="none" w:sz="0" w:space="0" w:color="auto"/>
      </w:divBdr>
    </w:div>
    <w:div w:id="2005891391">
      <w:bodyDiv w:val="1"/>
      <w:marLeft w:val="0"/>
      <w:marRight w:val="0"/>
      <w:marTop w:val="0"/>
      <w:marBottom w:val="0"/>
      <w:divBdr>
        <w:top w:val="none" w:sz="0" w:space="0" w:color="auto"/>
        <w:left w:val="none" w:sz="0" w:space="0" w:color="auto"/>
        <w:bottom w:val="none" w:sz="0" w:space="0" w:color="auto"/>
        <w:right w:val="none" w:sz="0" w:space="0" w:color="auto"/>
      </w:divBdr>
    </w:div>
    <w:div w:id="210325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80/13603116.2012.68702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660EC-6B56-483F-B06E-B2C9F115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17</Pages>
  <Words>6490</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73</cp:revision>
  <dcterms:created xsi:type="dcterms:W3CDTF">2026-04-15T14:16:00Z</dcterms:created>
  <dcterms:modified xsi:type="dcterms:W3CDTF">2026-04-18T09:58:00Z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c8a8e8a2-b4b4-4418-ae93-89fde9656d34</vt:lpwstr>
  </property>
</Properties>
</file>