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AFA6E" w14:textId="77777777" w:rsidR="00754C9A" w:rsidRDefault="00754C9A" w:rsidP="00441B6F">
      <w:pPr>
        <w:pStyle w:val="Title"/>
        <w:spacing w:after="0"/>
        <w:jc w:val="both"/>
        <w:rPr>
          <w:rFonts w:ascii="Arial" w:hAnsi="Arial" w:cs="Arial"/>
        </w:rPr>
      </w:pPr>
    </w:p>
    <w:p w14:paraId="2485B509" w14:textId="3635F2D4" w:rsidR="00A258C3" w:rsidRPr="00790ADA" w:rsidRDefault="00161D68" w:rsidP="00441B6F">
      <w:pPr>
        <w:pStyle w:val="Author"/>
        <w:spacing w:line="240" w:lineRule="auto"/>
        <w:jc w:val="both"/>
        <w:rPr>
          <w:rFonts w:ascii="Arial" w:hAnsi="Arial" w:cs="Arial"/>
          <w:sz w:val="36"/>
        </w:rPr>
      </w:pPr>
      <w:r w:rsidRPr="00161D68">
        <w:rPr>
          <w:rFonts w:ascii="Arial" w:hAnsi="Arial" w:cs="Arial"/>
          <w:bCs/>
          <w:iCs/>
          <w:kern w:val="28"/>
          <w:sz w:val="36"/>
        </w:rPr>
        <w:t xml:space="preserve">Discovering the Capacity of </w:t>
      </w:r>
      <w:r w:rsidRPr="00161D68">
        <w:rPr>
          <w:rFonts w:ascii="Arial" w:hAnsi="Arial" w:cs="Arial"/>
          <w:bCs/>
          <w:i/>
          <w:kern w:val="28"/>
          <w:sz w:val="36"/>
        </w:rPr>
        <w:t>Bacillus infantis</w:t>
      </w:r>
      <w:r w:rsidRPr="00161D68">
        <w:rPr>
          <w:rFonts w:ascii="Arial" w:hAnsi="Arial" w:cs="Arial"/>
          <w:bCs/>
          <w:iCs/>
          <w:kern w:val="28"/>
          <w:sz w:val="36"/>
        </w:rPr>
        <w:t xml:space="preserve">, </w:t>
      </w:r>
      <w:r w:rsidRPr="00161D68">
        <w:rPr>
          <w:rFonts w:ascii="Arial" w:hAnsi="Arial" w:cs="Arial"/>
          <w:bCs/>
          <w:i/>
          <w:kern w:val="28"/>
          <w:sz w:val="36"/>
        </w:rPr>
        <w:t>Atlantibacter hermannii</w:t>
      </w:r>
      <w:r w:rsidRPr="00161D68">
        <w:rPr>
          <w:rFonts w:ascii="Arial" w:hAnsi="Arial" w:cs="Arial"/>
          <w:bCs/>
          <w:iCs/>
          <w:kern w:val="28"/>
          <w:sz w:val="36"/>
        </w:rPr>
        <w:t xml:space="preserve"> and </w:t>
      </w:r>
      <w:r w:rsidRPr="00161D68">
        <w:rPr>
          <w:rFonts w:ascii="Arial" w:hAnsi="Arial" w:cs="Arial"/>
          <w:bCs/>
          <w:i/>
          <w:kern w:val="28"/>
          <w:sz w:val="36"/>
        </w:rPr>
        <w:t>Stutzerimonas stutzeri</w:t>
      </w:r>
      <w:r w:rsidRPr="00161D68">
        <w:rPr>
          <w:rFonts w:ascii="Arial" w:hAnsi="Arial" w:cs="Arial"/>
          <w:bCs/>
          <w:iCs/>
          <w:kern w:val="28"/>
          <w:sz w:val="36"/>
        </w:rPr>
        <w:t xml:space="preserve"> in Synergistic Consortium for Enhanced Degradation of Phthalic Acid Esters</w:t>
      </w:r>
    </w:p>
    <w:p w14:paraId="7A206E19" w14:textId="4714D50B" w:rsidR="00790ADA" w:rsidRDefault="00790ADA" w:rsidP="00441B6F">
      <w:pPr>
        <w:pStyle w:val="Affiliation"/>
        <w:spacing w:after="0" w:line="240" w:lineRule="auto"/>
        <w:jc w:val="both"/>
        <w:rPr>
          <w:rFonts w:ascii="Arial" w:hAnsi="Arial" w:cs="Arial"/>
        </w:rPr>
      </w:pPr>
    </w:p>
    <w:p w14:paraId="053DE0C4" w14:textId="77777777" w:rsidR="008E6ECB" w:rsidRDefault="008E6ECB" w:rsidP="00441B6F">
      <w:pPr>
        <w:pStyle w:val="Affiliation"/>
        <w:spacing w:after="0" w:line="240" w:lineRule="auto"/>
        <w:jc w:val="both"/>
        <w:rPr>
          <w:rFonts w:ascii="Arial" w:hAnsi="Arial" w:cs="Arial"/>
        </w:rPr>
      </w:pPr>
    </w:p>
    <w:p w14:paraId="492CA480" w14:textId="77777777" w:rsidR="002C57D2" w:rsidRPr="00FB3A86" w:rsidRDefault="002C57D2" w:rsidP="00441B6F">
      <w:pPr>
        <w:pStyle w:val="Affiliation"/>
        <w:spacing w:after="0" w:line="240" w:lineRule="auto"/>
        <w:jc w:val="both"/>
        <w:rPr>
          <w:rFonts w:ascii="Arial" w:hAnsi="Arial" w:cs="Arial"/>
        </w:rPr>
      </w:pPr>
    </w:p>
    <w:p w14:paraId="50AFA03C" w14:textId="2759F358" w:rsidR="00B01FCD" w:rsidRPr="00FB3A86" w:rsidRDefault="008F7CA3" w:rsidP="00441B6F">
      <w:pPr>
        <w:pStyle w:val="Copyright"/>
        <w:spacing w:after="0" w:line="240" w:lineRule="auto"/>
        <w:jc w:val="both"/>
        <w:rPr>
          <w:rFonts w:ascii="Arial" w:hAnsi="Arial" w:cs="Arial"/>
        </w:rPr>
        <w:sectPr w:rsidR="00B01FCD" w:rsidRPr="00FB3A86" w:rsidSect="008E6EC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4F12B5C" wp14:editId="2899979C">
                <wp:extent cx="5303520" cy="635"/>
                <wp:effectExtent l="13335" t="10160" r="17145" b="18415"/>
                <wp:docPr id="14972268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D4B4CC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wSZHCUCAABFBAAADgAAAAAAAAAAAAAAAAAuAgAAZHJzL2Uyb0RvYy54bWxQSwEC&#10;LQAUAAYACAAAACEAScjSt9YAAAACAQAADwAAAAAAAAAAAAAAAAB/BAAAZHJzL2Rvd25yZXYueG1s&#10;UEsFBgAAAAAEAAQA8wAAAIIFAAAAAA==&#10;" strokeweight="1.5pt">
                <w10:anchorlock/>
              </v:shape>
            </w:pict>
          </mc:Fallback>
        </mc:AlternateContent>
      </w:r>
      <w:r w:rsidR="00FB3A86">
        <w:rPr>
          <w:rFonts w:ascii="Arial" w:hAnsi="Arial" w:cs="Arial"/>
        </w:rPr>
        <w:t>.</w:t>
      </w:r>
    </w:p>
    <w:p w14:paraId="7CA3008D" w14:textId="51361448" w:rsidR="00B01FCD" w:rsidRDefault="00B01FCD" w:rsidP="002C248C">
      <w:pPr>
        <w:pStyle w:val="AbstHead"/>
        <w:spacing w:after="0"/>
        <w:jc w:val="both"/>
        <w:rPr>
          <w:rFonts w:ascii="Arial" w:hAnsi="Arial" w:cs="Arial"/>
        </w:rPr>
      </w:pPr>
      <w:r w:rsidRPr="00FB3A86">
        <w:rPr>
          <w:rFonts w:ascii="Arial" w:hAnsi="Arial" w:cs="Arial"/>
        </w:rPr>
        <w:t>ABSTRACT</w:t>
      </w:r>
    </w:p>
    <w:p w14:paraId="14590A80" w14:textId="77777777" w:rsidR="00790ADA" w:rsidRPr="00FB3A86" w:rsidRDefault="00790ADA" w:rsidP="002C248C">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194A34B" w14:textId="77777777" w:rsidTr="001E44FE">
        <w:tc>
          <w:tcPr>
            <w:tcW w:w="9576" w:type="dxa"/>
            <w:shd w:val="clear" w:color="auto" w:fill="F2F2F2"/>
          </w:tcPr>
          <w:p w14:paraId="1A239194" w14:textId="0DBF2738" w:rsidR="00505F06" w:rsidRPr="00BA1B01" w:rsidRDefault="008F7CA3" w:rsidP="002C248C">
            <w:pPr>
              <w:pStyle w:val="Body"/>
              <w:spacing w:after="0"/>
              <w:rPr>
                <w:rFonts w:ascii="Arial" w:eastAsia="Calibri" w:hAnsi="Arial" w:cs="Arial"/>
                <w:szCs w:val="22"/>
              </w:rPr>
            </w:pPr>
            <w:r w:rsidRPr="008F7CA3">
              <w:rPr>
                <w:rFonts w:ascii="Arial" w:eastAsia="Calibri" w:hAnsi="Arial" w:cs="Arial"/>
                <w:szCs w:val="22"/>
              </w:rPr>
              <w:t>Phthalic Acid Esters (PAEs) are persistent pollutant and endocrine disruptors used as plasticizers. Due to excessive use of plastic, these phthalates are polluting environment as they are leached out from the plastic matrix. This study reports rapid, 24 h degradation of two derivatives of phthalates, Dibutyl Phthalate (DBP) and Benzyl Butyl Phthalate (BBP) by a novel four-member bacterial consortium, JPN. Current literature typically identifies strains with narrow substrate specificity which is limited to either low molecular weight (LMW) or high molecular weight (HMW) derivatives. Consortium JPN has exceptional capacity for degrading both structural analogues with 99% efficiency. A significant taxonomic discovery of the work is reporting of Bacillus infantis, Atlantibacter hermannii, and Stutzerimonas stutzeri as active participants in phthalate biodegradation. Organisms were isolated from plastic polluted samples. Process parameters were optimized by OFAT method and statistical validation was obtained by Box-Behnken Design (BBD). 99% degradation was obtained with pH- 8.0, 25 °C temperature in 24 h incubation time with 10% v/v inoculum size and statistical analysis confirms the model to be significant. Degradation analysis with High Performance Liquid Chromatography (HPLC) and Fourier Transform Infrared Spectroscopy (FTIR) confirmed the breakdown of these compounds. These findings contribute the field of bioremediation by exploring novel strain’s capability to overcome the structural resistance of diverse phthalates in waste</w:t>
            </w:r>
          </w:p>
        </w:tc>
      </w:tr>
    </w:tbl>
    <w:p w14:paraId="1E496DDB" w14:textId="77777777" w:rsidR="00636EB2" w:rsidRDefault="00636EB2" w:rsidP="002C248C">
      <w:pPr>
        <w:pStyle w:val="Body"/>
        <w:spacing w:after="0"/>
        <w:rPr>
          <w:rFonts w:ascii="Arial" w:hAnsi="Arial" w:cs="Arial"/>
          <w:i/>
        </w:rPr>
      </w:pPr>
    </w:p>
    <w:p w14:paraId="02083CD5" w14:textId="69E1003F" w:rsidR="00A24E7E" w:rsidRDefault="00A24E7E" w:rsidP="002C248C">
      <w:pPr>
        <w:pStyle w:val="Body"/>
        <w:spacing w:after="0"/>
        <w:rPr>
          <w:rFonts w:ascii="Arial" w:hAnsi="Arial" w:cs="Arial"/>
          <w:i/>
        </w:rPr>
      </w:pPr>
      <w:r>
        <w:rPr>
          <w:rFonts w:ascii="Arial" w:hAnsi="Arial" w:cs="Arial"/>
          <w:i/>
        </w:rPr>
        <w:t xml:space="preserve">Keywords: </w:t>
      </w:r>
      <w:r w:rsidR="008F7CA3" w:rsidRPr="008F7CA3">
        <w:rPr>
          <w:rFonts w:ascii="Arial" w:hAnsi="Arial" w:cs="Arial"/>
          <w:i/>
        </w:rPr>
        <w:t>dibutyl phthalate, benzyl butyl phthalate, endocrine disruptors, biodegradation</w:t>
      </w:r>
    </w:p>
    <w:p w14:paraId="4C86F4DB" w14:textId="77777777" w:rsidR="00505F06" w:rsidRPr="00A24E7E" w:rsidRDefault="00505F06" w:rsidP="002C248C">
      <w:pPr>
        <w:pStyle w:val="Body"/>
        <w:spacing w:after="0"/>
        <w:rPr>
          <w:rFonts w:ascii="Arial" w:hAnsi="Arial" w:cs="Arial"/>
          <w:i/>
        </w:rPr>
      </w:pPr>
    </w:p>
    <w:p w14:paraId="706C50D2" w14:textId="593B612D" w:rsidR="007F7B32" w:rsidRDefault="00902823" w:rsidP="002C248C">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p>
    <w:p w14:paraId="06656B46" w14:textId="77777777" w:rsidR="00790ADA" w:rsidRPr="00FB3A86" w:rsidRDefault="00790ADA" w:rsidP="002C248C">
      <w:pPr>
        <w:pStyle w:val="AbstHead"/>
        <w:spacing w:after="0"/>
        <w:jc w:val="both"/>
        <w:rPr>
          <w:rFonts w:ascii="Arial" w:hAnsi="Arial" w:cs="Arial"/>
        </w:rPr>
      </w:pPr>
    </w:p>
    <w:p w14:paraId="3C27A5DC" w14:textId="68921724" w:rsidR="00790ADA" w:rsidRDefault="008F7CA3" w:rsidP="002C248C">
      <w:pPr>
        <w:pStyle w:val="Body"/>
        <w:spacing w:after="0"/>
        <w:rPr>
          <w:rFonts w:ascii="Arial" w:hAnsi="Arial" w:cs="Arial"/>
        </w:rPr>
      </w:pPr>
      <w:r w:rsidRPr="008F7CA3">
        <w:rPr>
          <w:rFonts w:ascii="Arial" w:hAnsi="Arial" w:cs="Arial"/>
        </w:rPr>
        <w:t xml:space="preserve">Emerging use of plastic in everyday life has massively contributed in polluting the environment. Plastic is extensively used in manufacturing various commodities like toys, products packaging, cable coatings, automobile parts as well as in many industries such as pharmaceuticals, cosmetics, textiles, etc. Use of plastic has increased greatly because it is flexible, durable, inert, cost effective, easy to produce and has multipurpose use </w:t>
      </w:r>
      <w:r w:rsidRPr="008F7CA3">
        <w:rPr>
          <w:rFonts w:ascii="Arial" w:hAnsi="Arial" w:cs="Arial"/>
        </w:rPr>
        <w:fldChar w:fldCharType="begin" w:fldLock="1"/>
      </w:r>
      <w:r w:rsidRPr="008F7CA3">
        <w:rPr>
          <w:rFonts w:ascii="Arial" w:hAnsi="Arial" w:cs="Arial"/>
        </w:rPr>
        <w:instrText>ADDIN CSL_CITATION {"citationItems":[{"id":"ITEM-1","itemData":{"DOI":"10.14419/ijh.v6i1.8655","abstract":"Plastics are used widely everywhere in our life and without plastic, modern civilization would indeed look very diverse. This study focuses on the toxic effects of plastic on human health and environment and possible consequences of health risk assessment in Bangladesh. Plastics are essential materials in modern civilization, and many products manufactured from plastics and in numerous cases, they promote risks to human health and the environment. Plastics are contained many chemical and hazardous substances such as Bisphenol A (BPA), thalates, antiminitroxide, brominated flame retardants, and poly- fluorinated chemicals etc. which are a serious risk factor for human health and environment. Plastics are being used by Bangladeshi people without knowing the toxic effects of plastic on human health and environment. Different human health problems like irritation in the eye, vision failure, breathing difficulties, respiratory problems, liver dysfunction, cancers, skin diseases, lungs problems, headache, dizziness, birth effect, reproductive, cardiovascular, genotoxic, and gastrointestinal causes for using toxic plastics. Plastics occur serious environment pollution such as soil pollution, water pollution, and air pollution. Application of proper rules and regulations for the production and use of plastics can reduce toxic effects of plastics on human health and environment.","author":[{"dropping-particle":"","family":"Proshad","given":"Ram","non-dropping-particle":"","parse-names":false,"suffix":""},{"dropping-particle":"","family":"Kormoker","given":"Tapos","non-dropping-particle":"","parse-names":false,"suffix":""},{"dropping-particle":"","family":"Islam","given":"Md. Saiful","non-dropping-particle":"","parse-names":false,"suffix":""},{"dropping-particle":"","family":"Haque","given":"Mohammad Asadul","non-dropping-particle":"","parse-names":false,"suffix":""},{"dropping-particle":"","family":"Rahman","given":"Md. Mahfuzur","non-dropping-particle":"","parse-names":false,"suffix":""},{"dropping-particle":"","family":"Mithu","given":"Md. Mahabubur Rahman","non-dropping-particle":"","parse-names":false,"suffix":""}],"container-title":"International Journal of Health","id":"ITEM-1","issue":"1","issued":{"date-parts":[["2018"]]},"page":"1","title":"Toxic effects of plastic on human health and environment : A consequences of health risk assessment in Bangladesh","type":"article-journal","volume":"6"},"uris":["http://www.mendeley.com/documents/?uuid=85356abb-1912-457a-91e5-e9d6f9f8a656"]}],"mendeley":{"formattedCitation":"(Proshad et al. 2018)","plainTextFormattedCitation":"(Proshad et al. 2018)","previouslyFormattedCitation":"(Proshad et al., 2018)"},"properties":{"noteIndex":0},"schema":"https://github.com/citation-style-language/schema/raw/master/csl-citation.json"}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(Proshad et al. 2018)</w:t>
      </w:r>
      <w:r w:rsidRPr="008F7CA3">
        <w:rPr>
          <w:rFonts w:ascii="Arial" w:hAnsi="Arial" w:cs="Arial"/>
        </w:rPr>
        <w:fldChar w:fldCharType="end"/>
      </w:r>
      <w:r w:rsidRPr="008F7CA3">
        <w:rPr>
          <w:rFonts w:ascii="Arial" w:hAnsi="Arial" w:cs="Arial"/>
        </w:rPr>
        <w:t>. India produces &gt;12 x 10</w:t>
      </w:r>
      <w:r w:rsidRPr="008F7CA3">
        <w:rPr>
          <w:rFonts w:ascii="Arial" w:hAnsi="Arial" w:cs="Arial"/>
          <w:vertAlign w:val="superscript"/>
        </w:rPr>
        <w:t>9</w:t>
      </w:r>
      <w:r w:rsidRPr="008F7CA3">
        <w:rPr>
          <w:rFonts w:ascii="Arial" w:hAnsi="Arial" w:cs="Arial"/>
        </w:rPr>
        <w:t xml:space="preserve"> tons of plastic every year out of which &gt; 6 tons is wasted which is projected to reach 20 x 10</w:t>
      </w:r>
      <w:r w:rsidRPr="008F7CA3">
        <w:rPr>
          <w:rFonts w:ascii="Arial" w:hAnsi="Arial" w:cs="Arial"/>
          <w:vertAlign w:val="superscript"/>
        </w:rPr>
        <w:t>9</w:t>
      </w:r>
      <w:r w:rsidRPr="008F7CA3">
        <w:rPr>
          <w:rFonts w:ascii="Arial" w:hAnsi="Arial" w:cs="Arial"/>
        </w:rPr>
        <w:t xml:space="preserve"> tons per annum </w:t>
      </w:r>
      <w:r w:rsidRPr="008F7CA3">
        <w:rPr>
          <w:rFonts w:ascii="Arial" w:hAnsi="Arial" w:cs="Arial"/>
        </w:rPr>
        <w:fldChar w:fldCharType="begin" w:fldLock="1"/>
      </w:r>
      <w:r w:rsidRPr="008F7CA3">
        <w:rPr>
          <w:rFonts w:ascii="Arial" w:hAnsi="Arial" w:cs="Arial"/>
        </w:rPr>
        <w:instrText>ADDIN CSL_CITATION {"citationItems":[{"id":"ITEM-1","itemData":{"DOI":"10.1016/j.marpolbul.2020.110899","ISSN":"18793363","PMID":"32479282","abstract":"Distribution and ecological risks of Phthalic acid esters (PAEs) are poorly studied in estuarine environments in India. An attempt is made to chart the sources and assess the ecological risk of six PAE congeners (∑6PAEs), present in dissolved and particulate forms in a tropical ecosystem (Cochin Estuary, India). Terrestrial input, as attested by a clear seasonality with substantial enrichment during monsoon (2–28 μg/L and 31–1203 μg/g; dissolved and particulate PAEs respectively) and post-monsoon (1–7 μg/L and 7–321 μg/g; dissolved and particulate PAEs respectively), was identified as the primary source. DnBP (di-n-butyl phthalate) and DEHP (diethylhexyl phthalate) were found to be the dominant species except for dissolved PAEs at pre-monsoon season. Statistical analysis identified two major clusters, in the ∑6PAEs, composed of medium to high molecular weight PAEs (derived from plastic products) and low molecular weight PAEs (derived from cosmetic products). Calculated Risk Quotient (RQ) indicated values indicated moderate to high ecological risk for DnBP and DEHP congeners is a grim pointer to their detrimental effects on human health through consumption of contaminated organisms. Although substantial enrichment of suspended matter gets flushed out of the estuary during monsoon, there is a net PAE accumulation in the estuary during post-monsoon following an increased sedimentary restitution. Data of PAEs generated herein raises a challenge for immediate enactment of statutory legislation to curb and regulate hazardous contamination of estuaries by phthalic acid esters.","author":[{"dropping-particle":"","family":"Ramzi","given":"A.","non-dropping-particle":"","parse-names":false,"suffix":""},{"dropping-particle":"","family":"Gireeshkumar","given":"T. R.","non-dropping-particle":"","parse-names":false,"suffix":""},{"dropping-particle":"","family":"Habeeb Rahman","given":"K.","non-dropping-particle":"","parse-names":false,"suffix":""},{"dropping-particle":"","family":"Balachandran","given":"K. K.","non-dropping-particle":"","parse-names":false,"suffix":""},{"dropping-particle":"","family":"Shameem","given":"K.","non-dropping-particle":"","parse-names":false,"suffix":""},{"dropping-particle":"","family":"Chacko","given":"Jacob","non-dropping-particle":"","parse-names":false,"suffix":""},{"dropping-particle":"","family":"Chandramohanakumar","given":"N.","non-dropping-particle":"","parse-names":false,"suffix":""}],"container-title":"Marine Pollution Bulletin","id":"ITEM-1","issue":"January","issued":{"date-parts":[["2020"]]},"page":"110899","publisher":"Elsevier","title":"Phthalic acid esters – A grave ecological hazard in Cochin estuary, India","type":"article-journal","volume":"152"},"uris":["http://www.mendeley.com/documents/?uuid=c05df537-88d7-49bd-a115-464ad064053d"]}],"mendeley":{"formattedCitation":"(Ramzi et al. 2020)","plainTextFormattedCitation":"(Ramzi et al. 2020)","previouslyFormattedCitation":"(Ramzi et al., 2020)"},"properties":{"noteIndex":0},"schema":"https://github.com/citation-style-language/schema/raw/master/csl-citation.json"}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(Ramzi et al. 2020)</w:t>
      </w:r>
      <w:r w:rsidRPr="008F7CA3">
        <w:rPr>
          <w:rFonts w:ascii="Arial" w:hAnsi="Arial" w:cs="Arial"/>
        </w:rPr>
        <w:fldChar w:fldCharType="end"/>
      </w:r>
      <w:r w:rsidRPr="008F7CA3">
        <w:rPr>
          <w:rFonts w:ascii="Arial" w:hAnsi="Arial" w:cs="Arial"/>
        </w:rPr>
        <w:t xml:space="preserve">. Plasticizers are precursors of plastic. They percolate out of the plastic products and cause harm to environment and living organisms. Many compounds are used as plasticizer which majorly includes Phthalic Acid Esters (PAEs), flame retardants and Bisphenol A. In 2017, 16 billion pounds of plasticizers were used which costed 15 billion USD to global economy and is estimated to reach 24 billion US </w:t>
      </w:r>
      <w:r w:rsidRPr="008F7CA3">
        <w:rPr>
          <w:rFonts w:ascii="Arial" w:hAnsi="Arial" w:cs="Arial"/>
        </w:rPr>
        <w:fldChar w:fldCharType="begin" w:fldLock="1"/>
      </w:r>
      <w:r w:rsidRPr="008F7CA3">
        <w:rPr>
          <w:rFonts w:ascii="Arial" w:hAnsi="Arial" w:cs="Arial"/>
        </w:rPr>
        <w:instrText>ADDIN CSL_CITATION {"citationItems":[{"id":"ITEM-1","itemData":{"author":[{"dropping-particle":"","family":"Xiong","given":"Yang-hui","non-dropping-particle":"","parse-names":false,"suffix":""},{"dropping-particle":"","family":"Pei","given":"De-sheng","non-dropping-particle":"","parse-names":false,"suffix":""}],"container-title":"Chemosphere","id":"ITEM-1","issued":{"date-parts":[["2021"]]},"page":"130256","title":"A review on ef fi cient removal of phthalic acid esters via biochars and transition metals-activated persulfate systems","type":"article-journal","volume":"277"},"uris":["http://www.mendeley.com/documents/?uuid=37f33cb8-d9ea-49a6-a7b9-d3621ae77979"]}],"mendeley":{"formattedCitation":"(Xiong and Pei 2021)","plainTextFormattedCitation":"(Xiong and Pei 2021)","previouslyFormattedCitation":"(Xiong &amp; Pei, 2021)"},"properties":{"noteIndex":0},"schema":"https://github.com/citation-style-language/schema/raw/master/csl-citation.json"}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(Xiong and Pei 2021)</w:t>
      </w:r>
      <w:r w:rsidRPr="008F7CA3">
        <w:rPr>
          <w:rFonts w:ascii="Arial" w:hAnsi="Arial" w:cs="Arial"/>
        </w:rPr>
        <w:fldChar w:fldCharType="end"/>
      </w:r>
      <w:r w:rsidRPr="008F7CA3">
        <w:rPr>
          <w:rFonts w:ascii="Arial" w:hAnsi="Arial" w:cs="Arial"/>
        </w:rPr>
        <w:fldChar w:fldCharType="begin" w:fldLock="1"/>
      </w:r>
      <w:r w:rsidRPr="008F7CA3">
        <w:rPr>
          <w:rFonts w:ascii="Arial" w:hAnsi="Arial" w:cs="Arial"/>
        </w:rPr>
        <w:instrText>ADDIN CSL_CITATION {"citationItems":[{"id":"ITEM-1","itemData":{"DOI":"10.1016/j.reprotox.2018.11.003","ISSN":"18731708","PMID":"30468821","abstract":"Plasticizers are chemical compounds used to increase the softness and fluidity of polymer materials. Phthalate compounds constitute the most common class of compounds used as plasticizers. However, phthalate plasticizers, especially the predominant di(2-ethylhexyl)phthalate, have been shown to have adverse effects on environment and human health. Hence, efforts have been made to use safer and environmentally friendly alternate non-phthalate plasticizers in industrial applications. The present study involves structural binding studies on endocrine disrupting potential of three high volume alternate plasticizer compounds, i.e., di-(2-ethylhexyl) adipate (DEHA), acetyl tributyl citrate (ATBC) and 2,2,4-trimethyl 1,3-pentanediol diisobutyrate (TPIB) with sex hormone binding globulin (SHBG). This study showed that DEHA, ATBC and TPIB bind in the ligand binding pocket of SHBG and the structural binding results suggested that the three alternate plasticizers may interfere in the steroid binding of SHBG and thus may cause dysfunction in sex steroid homeostasis.","author":[{"dropping-particle":"","family":"Sheikh","given":"Ishfaq A.","non-dropping-particle":"","parse-names":false,"suffix":""},{"dropping-particle":"","family":"Beg","given":"Mohd A.","non-dropping-particle":"","parse-names":false,"suffix":""}],"container-title":"Reproductive Toxicology","id":"ITEM-1","issued":{"date-parts":[["2019"]]},"page":"46-53","publisher":"Elsevier Inc.","title":"Structural characterization of potential endocrine disrupting activity of alternate plasticizers di-(2-ethylhexyl) adipate (DEHA), acetyl tributyl citrate (ATBC) and 2,2,4-trimethyl 1,3-pentanediol diisobutyrate (TPIB) with human sex hormone-binding globu","type":"article-journal","volume":"83"},"uris":["http://www.mendeley.com/documents/?uuid=886c667f-f048-4764-86ce-fe1ee217ab8a"]}],"mendeley":{"formattedCitation":"(Sheikh and Beg 2019)","plainTextFormattedCitation":"(Sheikh and Beg 2019)","previouslyFormattedCitation":"(Sheikh &amp; Beg, 2019)"},"properties":{"noteIndex":0},"schema":"https://github.com/citation-style-language/schema/raw/master/csl-citation.json"}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(Sheikh and Beg 2019)</w:t>
      </w:r>
      <w:r w:rsidRPr="008F7CA3">
        <w:rPr>
          <w:rFonts w:ascii="Arial" w:hAnsi="Arial" w:cs="Arial"/>
        </w:rPr>
        <w:fldChar w:fldCharType="end"/>
      </w:r>
      <w:r w:rsidRPr="008F7CA3">
        <w:rPr>
          <w:rFonts w:ascii="Arial" w:hAnsi="Arial" w:cs="Arial"/>
        </w:rPr>
        <w:t xml:space="preserve">. Out of total plasticizers used around the world; 65 % of it consists of phthalates </w:t>
      </w:r>
      <w:r w:rsidRPr="008F7CA3">
        <w:rPr>
          <w:rFonts w:ascii="Arial" w:hAnsi="Arial" w:cs="Arial"/>
        </w:rPr>
        <w:fldChar w:fldCharType="begin" w:fldLock="1"/>
      </w:r>
      <w:r w:rsidRPr="008F7CA3">
        <w:rPr>
          <w:rFonts w:ascii="Arial" w:hAnsi="Arial" w:cs="Arial"/>
        </w:rPr>
        <w:instrText>ADDIN CSL_CITATION {"citationItems":[{"id":"ITEM-1","itemData":{"author":[{"dropping-particle":"","family":"Xiong","given":"Yang-hui","non-dropping-particle":"","parse-names":false,"suffix":""},{"dropping-particle":"","family":"Pei","given":"De-sheng","non-dropping-particle":"","parse-names":false,"suffix":""}],"container-title":"Chemosphere","id":"ITEM-1","issued":{"date-parts":[["2021"]]},"page":"130256","title":"A review on ef fi cient removal of phthalic acid esters via biochars and transition metals-activated persulfate systems","type":"article-journal","volume":"277"},"uris":["http://www.mendeley.com/documents/?uuid=37f33cb8-d9ea-49a6-a7b9-d3621ae77979"]}],"mendeley":{"formattedCitation":"(Xiong and Pei 2021)","plainTextFormattedCitation":"(Xiong and Pei 2021)","previouslyFormattedCitation":"(Xiong &amp; Pei, 2021)"},"properties":{"noteIndex":0},"schema":"https://github.com/citation-style-language/schema/raw/master/csl-citation.json"}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(Xiong and Pei 2021)</w:t>
      </w:r>
      <w:r w:rsidRPr="008F7CA3">
        <w:rPr>
          <w:rFonts w:ascii="Arial" w:hAnsi="Arial" w:cs="Arial"/>
        </w:rPr>
        <w:fldChar w:fldCharType="end"/>
      </w:r>
      <w:r w:rsidRPr="008F7CA3">
        <w:rPr>
          <w:rFonts w:ascii="Arial" w:hAnsi="Arial" w:cs="Arial"/>
        </w:rPr>
        <w:t xml:space="preserve"> because it provides flexibility, stability, and durability to the plastic </w:t>
      </w:r>
      <w:r w:rsidRPr="008F7CA3">
        <w:rPr>
          <w:rFonts w:ascii="Arial" w:hAnsi="Arial" w:cs="Arial"/>
        </w:rPr>
        <w:fldChar w:fldCharType="begin" w:fldLock="1"/>
      </w:r>
      <w:r w:rsidRPr="008F7CA3">
        <w:rPr>
          <w:rFonts w:ascii="Arial" w:hAnsi="Arial" w:cs="Arial"/>
        </w:rPr>
        <w:instrText>ADDIN CSL_CITATION {"citationItems":[{"id":"ITEM-1","itemData":{"DOI":"10.1016/j.scitotenv.2020.137605","ISSN":"18791026","PMID":"32163735","abstract":"Owing to the wide application of phthalic acid esters (PAEs) in the manufacturing of plastic products, they are ubiquitous in the marine environment. However, the occurrence of various PAEs in marine organisms from China has not been well characterized. In this study, 341 marine organism samples (including fish, shrimp, crab, and shellfish) were collected from Hangzhou Bay, China and analyzed for 16 PAEs. Further, the human PAE exposure risks raised from the consumption of marine organisms were evaluated for adults and children. In total, eight PAEs were detected in collected organism samples, with the concentration of total PAEs (∑PAEs) ranging from 64 to 2840 ng/g (mean 238 ng/g). Crab (mean 811 ng/g) samples had the highest mean concentration of ∑PAEs, followed by fish (465 ng/g), shrimp (293 ng/g), and shellfish (261 ng/g) samples. Among detected PAEs, di-isobutyl phthalate (DiBP), di-n-butyl phthalate (DBP), and di-ethylhexyl phthalate (DEHP) were the predominant PAEs, and they collectively accounted for 84–97% of the ∑PAEs concentrations in all samples. The estimated daily intakes of DiBP, DBP, and DEHP were more than one order of magnitude higher than remaining PAEs. Calculated hazard quotient values of PAEs were all &lt;0.1, suggesting non-cancer risks for the general population through the consumption of marine organisms. Overall, for the first time, this study systematically examined the occurrence of multiple PAEs in four types of marine organisms from Hangzhou Bay, China.","author":[{"dropping-particle":"","family":"Hu","given":"Hongmei","non-dropping-particle":"","parse-names":false,"suffix":""},{"dropping-particle":"","family":"Mao","given":"Lingling","non-dropping-particle":"","parse-names":false,"suffix":""},{"dropping-particle":"","family":"Fang","given":"Shuhong","non-dropping-particle":"","parse-names":false,"suffix":""},{"dropping-particle":"","family":"Xie","given":"Jiahui","non-dropping-particle":"","parse-names":false,"suffix":""},{"dropping-particle":"","family":"Zhao","given":"Meirong","non-dropping-particle":"","parse-names":false,"suffix":""},{"dropping-particle":"","family":"Jin","given":"Hangbiao","non-dropping-particle":"","parse-names":false,"suffix":""}],"container-title":"Science of the Total Environment","id":"ITEM-1","issued":{"date-parts":[["2020"]]},"page":"137605","publisher":"Elsevier B.V.","title":"Occurrence of phthalic acid esters in marine organisms from Hangzhou Bay, China: Implications for human exposure","type":"article-journal","volume":"721"},"uris":["http://www.mendeley.com/documents/?uuid=eee8f3cd-b6b4-4ee1-b588-a4ed40d1a3f5"]}],"mendeley":{"formattedCitation":"(Hu et al. 2020)","plainTextFormattedCitation":"(Hu et al. 2020)","previouslyFormattedCitation":"(H. Hu et al., 2020)"},"properties":{"noteIndex":0},"schema":"https://github.com/citation-style-language/schema/raw/master/csl-citation.json"}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(Hu et al. 2020)</w:t>
      </w:r>
      <w:r w:rsidRPr="008F7CA3">
        <w:rPr>
          <w:rFonts w:ascii="Arial" w:hAnsi="Arial" w:cs="Arial"/>
        </w:rPr>
        <w:fldChar w:fldCharType="end"/>
      </w:r>
      <w:r w:rsidRPr="008F7CA3">
        <w:rPr>
          <w:rFonts w:ascii="Arial" w:hAnsi="Arial" w:cs="Arial"/>
        </w:rPr>
        <w:t xml:space="preserve">. </w:t>
      </w:r>
      <w:r w:rsidRPr="008F7CA3">
        <w:rPr>
          <w:rFonts w:ascii="Arial" w:hAnsi="Arial" w:cs="Arial"/>
          <w:lang w:val="en-IN"/>
        </w:rPr>
        <w:t xml:space="preserve">PAEs are phthalic acid derivatives synthesized by Fischer esterification of phthalic anhydride and specific alcohols </w:t>
      </w:r>
      <w:r w:rsidRPr="008F7CA3">
        <w:rPr>
          <w:rFonts w:ascii="Arial" w:hAnsi="Arial" w:cs="Arial"/>
          <w:lang w:val="en-IN"/>
        </w:rPr>
        <w:fldChar w:fldCharType="begin" w:fldLock="1"/>
      </w:r>
      <w:r w:rsidRPr="008F7CA3">
        <w:rPr>
          <w:rFonts w:ascii="Arial" w:hAnsi="Arial" w:cs="Arial"/>
          <w:lang w:val="en-IN"/>
        </w:rPr>
        <w:instrText>ADDIN CSL_CITATION {"citationItems":[{"id":"ITEM-1","itemData":{"DOI":"10.3390/toxins13070495","ISSN":"20726651","PMID":"34357967","abstract":"Phthalic acid esters (PAEs) are a class of lipophilic chemicals widely used as plasticizers and additives to improve various products’ mechanical extensibility and flexibility. At present, synthesized PAEs, which are considered to cause potential hazards to ecosystem functioning and public health, have been easily detected in the atmosphere, water, soil, and sediments; PAEs are also frequently discovered in plant and microorganism sources, suggesting the possibility that they might be biosynthesized in nature. In this review, we summarize that PAEs have not only been identified in the organic solvent extracts, root exudates, and essential oils of a large number of different plant species, but also isolated and purified from various algae, bacteria, and fungi. Dominant PAEs identified from natural sources generally include di-n-butyl phthalate, diethyl phthalate, dimethyl phthalate, di(2-ethylhexyl) phthalate, diisobutyl phthalate, diisooctyl phthalate, etc. Further studies reveal that PAEs can be biosynthesized by at least several algae. PAEs are reported to possess allelopathic, antimicrobial, insecticidal, and other biological activities, which might enhance the competitiveness of plants, algae, and microorganisms to better accommodate biotic and abiotic stress. These findings suggest that PAEs should not be treated solely as a “human-made pollutant” simply because they have been extensively synthesized and utilized; on the other hand, synthesized PAEs entering the ecosystem might disrupt the metabolic process of certain plant, algal, and microbial communities. Therefore, further studies are required to elucidate the relevant mechanisms and ecological consequences.","author":[{"dropping-particle":"","family":"Huang","given":"Ling","non-dropping-particle":"","parse-names":false,"suffix":""},{"dropping-particle":"","family":"Zhu","given":"Xunzhi","non-dropping-particle":"","parse-names":false,"suffix":""},{"dropping-particle":"","family":"Zhou","given":"Shixing","non-dropping-particle":"","parse-names":false,"suffix":""},{"dropping-particle":"","family":"Cheng","given":"Zhenrui","non-dropping-particle":"","parse-names":false,"suffix":""},{"dropping-particle":"","family":"Shi","given":"Kai","non-dropping-particle":"","parse-names":false,"suffix":""},{"dropping-particle":"","family":"Zhang","given":"Chi","non-dropping-particle":"","parse-names":false,"suffix":""},{"dropping-particle":"","family":"Shao","given":"Hua","non-dropping-particle":"","parse-names":false,"suffix":""}],"container-title":"Toxins","id":"ITEM-1","issue":"7","issued":{"date-parts":[["2021"]]},"page":"495","title":"Phthalic acid esters: Natural sources and biological activities","type":"article-journal","volume":"13"},"uris":["http://www.mendeley.com/documents/?uuid=9e3c0772-053b-4c14-a5f2-f69b445f751e"]}],"mendeley":{"formattedCitation":"(Huang et al. 2021)","plainTextFormattedCitation":"(Huang et al. 2021)","previouslyFormattedCitation":"(Huang et al., 2021)"},"properties":{"noteIndex":0},"schema":"https://github.com/citation-style-language/schema/raw/master/csl-citation.json"}</w:instrText>
      </w:r>
      <w:r w:rsidRPr="008F7CA3">
        <w:rPr>
          <w:rFonts w:ascii="Arial" w:hAnsi="Arial" w:cs="Arial"/>
          <w:lang w:val="en-IN"/>
        </w:rPr>
        <w:fldChar w:fldCharType="separate"/>
      </w:r>
      <w:r w:rsidRPr="008F7CA3">
        <w:rPr>
          <w:rFonts w:ascii="Arial" w:hAnsi="Arial" w:cs="Arial"/>
          <w:lang w:val="en-IN"/>
        </w:rPr>
        <w:t>(Huang et al. 2021)</w:t>
      </w:r>
      <w:r w:rsidRPr="008F7CA3">
        <w:rPr>
          <w:rFonts w:ascii="Arial" w:hAnsi="Arial" w:cs="Arial"/>
        </w:rPr>
        <w:fldChar w:fldCharType="end"/>
      </w:r>
      <w:r w:rsidRPr="008F7CA3">
        <w:rPr>
          <w:rFonts w:ascii="Arial" w:hAnsi="Arial" w:cs="Arial"/>
          <w:lang w:val="en-IN"/>
        </w:rPr>
        <w:t xml:space="preserve">. Phthalates are colourless liquid poorly soluble in water but are soluble in organic solvents and oils, it has low volatility and high boiling point </w:t>
      </w:r>
      <w:r w:rsidRPr="008F7CA3">
        <w:rPr>
          <w:rFonts w:ascii="Arial" w:hAnsi="Arial" w:cs="Arial"/>
          <w:lang w:val="en-IN"/>
        </w:rPr>
        <w:fldChar w:fldCharType="begin" w:fldLock="1"/>
      </w:r>
      <w:r w:rsidRPr="008F7CA3">
        <w:rPr>
          <w:rFonts w:ascii="Arial" w:hAnsi="Arial" w:cs="Arial"/>
          <w:lang w:val="en-IN"/>
        </w:rPr>
        <w:instrText>ADDIN CSL_CITATION {"citationItems":[{"id":"ITEM-1","itemData":{"DOI":"10.1007/s11356-017-9182-3","ISSN":"16147499","PMID":"28567676","abstract":"Phthalates are plasticizers and are concerned environmental endocrine-disrupting compounds. Due to their extensive usage in plastic manufacturing and personal care products as well as the potential to leach out from these products, phthalates have been detected in various aquatic environments including drinking water, groundwater, surface water, and wastewater. The primary source of their environmental occurrence is the discharge of phthalate-laden wastewater and sludge. This review focuses on recent knowledge on the occurrence of phthalate in different aquatic environments and their fate in conventional and advanced wastewater treatment processes. This review also summarizes recent advances in biological removal and degradation mechanisms of phthalates, identifies knowledge gaps, and suggests future research directions.","author":[{"dropping-particle":"","family":"Gani","given":"Khalid Muzamil","non-dropping-particle":"","parse-names":false,"suffix":""},{"dropping-particle":"","family":"Tyagi","given":"Vinay Kumar","non-dropping-particle":"","parse-names":false,"suffix":""},{"dropping-particle":"","family":"Kazmi","given":"Absar Ahmad","non-dropping-particle":"","parse-names":false,"suffix":""}],"container-title":"ience and pollution ResearchEnvironmental Science and Pollution Research","id":"ITEM-1","issue":"21","issued":{"date-parts":[["2017"]]},"page":"17267-17284","publisher":"Environmental Science and Pollution Research","title":"Occurrence of phthalates in aquatic environment and their removal during wastewater treatment processes: a review","type":"article-journal","volume":"24"},"uris":["http://www.mendeley.com/documents/?uuid=5c84006b-05cb-4920-964c-97928f3e7200"]}],"mendeley":{"formattedCitation":"(Gani, Tyagi, and Kazmi 2017)","plainTextFormattedCitation":"(Gani, Tyagi, and Kazmi 2017)","previouslyFormattedCitation":"(Gani et al., 2017)"},"properties":{"noteIndex":0},"schema":"https://github.com/citation-style-language/schema/raw/master/csl-citation.json"}</w:instrText>
      </w:r>
      <w:r w:rsidRPr="008F7CA3">
        <w:rPr>
          <w:rFonts w:ascii="Arial" w:hAnsi="Arial" w:cs="Arial"/>
          <w:lang w:val="en-IN"/>
        </w:rPr>
        <w:fldChar w:fldCharType="separate"/>
      </w:r>
      <w:r w:rsidRPr="008F7CA3">
        <w:rPr>
          <w:rFonts w:ascii="Arial" w:hAnsi="Arial" w:cs="Arial"/>
          <w:lang w:val="en-IN"/>
        </w:rPr>
        <w:t>(Gani, Tyagi, and Kazmi 2017)</w:t>
      </w:r>
      <w:r w:rsidRPr="008F7CA3">
        <w:rPr>
          <w:rFonts w:ascii="Arial" w:hAnsi="Arial" w:cs="Arial"/>
        </w:rPr>
        <w:fldChar w:fldCharType="end"/>
      </w:r>
      <w:r w:rsidRPr="008F7CA3">
        <w:rPr>
          <w:rFonts w:ascii="Arial" w:hAnsi="Arial" w:cs="Arial"/>
          <w:lang w:val="en-IN"/>
        </w:rPr>
        <w:t xml:space="preserve">. </w:t>
      </w:r>
      <w:r w:rsidRPr="008F7CA3">
        <w:rPr>
          <w:rFonts w:ascii="Arial" w:hAnsi="Arial" w:cs="Arial"/>
        </w:rPr>
        <w:t xml:space="preserve">PAEs are easily leached out in the surrounding environment because they are not chemically bounded to the polymer matrix </w:t>
      </w:r>
      <w:r w:rsidRPr="008F7CA3">
        <w:rPr>
          <w:rFonts w:ascii="Arial" w:hAnsi="Arial" w:cs="Arial"/>
        </w:rPr>
        <w:fldChar w:fldCharType="begin" w:fldLock="1"/>
      </w:r>
      <w:r w:rsidRPr="008F7CA3">
        <w:rPr>
          <w:rFonts w:ascii="Arial" w:hAnsi="Arial" w:cs="Arial"/>
        </w:rPr>
        <w:instrText>ADDIN CSL_CITATION {"citationItems":[{"id":"ITEM-1","itemData":{"DOI":"10.1016/j.scitotenv.2020.137605","ISSN":"18791026","PMID":"32163735","abstract":"Owing to the wide application of phthalic acid esters (PAEs) in the manufacturing of plastic products, they are ubiquitous in the marine environment. However, the occurrence of various PAEs in marine organisms from China has not been well characterized. In this study, 341 marine organism samples (including fish, shrimp, crab, and shellfish) were collected from Hangzhou Bay, China and analyzed for 16 PAEs. Further, the human PAE exposure risks raised from the consumption of marine organisms were evaluated for adults and children. In total, eight PAEs were detected in collected organism samples, with the concentration of total PAEs (∑PAEs) ranging from 64 to 2840 ng/g (mean 238 ng/g). Crab (mean 811 ng/g) samples had the highest mean concentration of ∑PAEs, followed by fish (465 ng/g), shrimp (293 ng/g), and shellfish (261 ng/g) samples. Among detected PAEs, di-isobutyl phthalate (DiBP), di-n-butyl phthalate (DBP), and di-ethylhexyl phthalate (DEHP) were the predominant PAEs, and they collectively accounted for 84–97% of the ∑PAEs concentrations in all samples. The estimated daily intakes of DiBP, DBP, and DEHP were more than one order of magnitude higher than remaining PAEs. Calculated hazard quotient values of PAEs were all &lt;0.1, suggesting non-cancer risks for the general population through the consumption of marine organisms. Overall, for the first time, this study systematically examined the occurrence of multiple PAEs in four types of marine organisms from Hangzhou Bay, China.","author":[{"dropping-particle":"","family":"Hu","given":"Hongmei","non-dropping-particle":"","parse-names":false,"suffix":""},{"dropping-particle":"","family":"Mao","given":"Lingling","non-dropping-particle":"","parse-names":false,"suffix":""},{"dropping-particle":"","family":"Fang","given":"Shuhong","non-dropping-particle":"","parse-names":false,"suffix":""},{"dropping-particle":"","family":"Xie","given":"Jiahui","non-dropping-particle":"","parse-names":false,"suffix":""},{"dropping-particle":"","family":"Zhao","given":"Meirong","non-dropping-particle":"","parse-names":false,"suffix":""},{"dropping-particle":"","family":"Jin","given":"Hangbiao","non-dropping-particle":"","parse-names":false,"suffix":""}],"container-title":"Science of the Total Environment","id":"ITEM-1","issued":{"date-parts":[["2020"]]},"page":"137605","publisher":"Elsevier B.V.","title":"Occurrence of phthalic acid esters in marine organisms from Hangzhou Bay, China: Implications for human exposure","type":"article-journal","volume":"721"},"uris":["http://www.mendeley.com/documents/?uuid=eee8f3cd-b6b4-4ee1-b588-a4ed40d1a3f5"]}],"mendeley":{"formattedCitation":"(Hu et al. 2020)","plainTextFormattedCitation":"(Hu et al. 2020)","previouslyFormattedCitation":"(H. Hu et al., 2020)"},"properties":{"noteIndex":0},"schema":"https://github.com/citation-style-language/schema/raw/master/csl-citation.json"}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(Hu et al. 2020)</w:t>
      </w:r>
      <w:r w:rsidRPr="008F7CA3">
        <w:rPr>
          <w:rFonts w:ascii="Arial" w:hAnsi="Arial" w:cs="Arial"/>
        </w:rPr>
        <w:fldChar w:fldCharType="end"/>
      </w:r>
      <w:r w:rsidRPr="008F7CA3">
        <w:rPr>
          <w:rFonts w:ascii="Arial" w:hAnsi="Arial" w:cs="Arial"/>
        </w:rPr>
        <w:t xml:space="preserve"> therefore, are found in water, soil, dust, and air. Since the first production of phthalate in 1920s, they are extensively used to manufacture various goods and as there is no alternate option available till date; the demand is predicted to be high in near future </w:t>
      </w:r>
      <w:r w:rsidRPr="008F7CA3">
        <w:rPr>
          <w:rFonts w:ascii="Arial" w:hAnsi="Arial" w:cs="Arial"/>
        </w:rPr>
        <w:fldChar w:fldCharType="begin" w:fldLock="1"/>
      </w:r>
      <w:r w:rsidRPr="008F7CA3">
        <w:rPr>
          <w:rFonts w:ascii="Arial" w:hAnsi="Arial" w:cs="Arial"/>
        </w:rPr>
        <w:instrText>ADDIN CSL_CITATION {"citationItems":[{"id":"ITEM-1","itemData":{"DOI":"10.1016/j.envint.2021.106560","ISSN":"18736750","PMID":"33866059","abstract":"The extensive use of phthalic acid esters (PAEs) has led to their widespread distribution across various environments. As PAEs pose significant threats to human health, it is urgent to develop efficient strategies to eliminate them from environments. Bacteria-driven PAE biodegradation has been considered as an inexpensive yet effective strategy to restore the contaminated environments. Despite great advances in bacterial culturing and sequencing, the inherent complexity of indigenous microbial community hinders us to mechanistically understand in situ PAE biodegradation and efficiently harness the degrading power of bacteria. The synthetic microbial ecology provides us a simple and controllable model system to address this problem. In this review, we focus on the current progress of PAE biodegradation mediated by bacterial isolates and indigenous bacterial communities, and discuss the prospective of synthetic PAE-degrading bacterial communities in PAE biodegradation research. It is anticipated that the theories and approaches of synthetic microbial ecology will revolutionize the study of bacteria-driven PAE biodegradation and provide novel insights for developing effective bioremediation solutions.","author":[{"dropping-particle":"","family":"Hu","given":"Ruiwen","non-dropping-particle":"","parse-names":false,"suffix":""},{"dropping-particle":"","family":"Zhao","given":"Haiming","non-dropping-particle":"","parse-names":false,"suffix":""},{"dropping-particle":"","family":"Xu","given":"Xihui","non-dropping-particle":"","parse-names":false,"suffix":""},{"dropping-particle":"","family":"Wang","given":"Zhigang","non-dropping-particle":"","parse-names":false,"suffix":""},{"dropping-particle":"","family":"Yu","given":"Ke","non-dropping-particle":"","parse-names":false,"suffix":""},{"dropping-particle":"","family":"Shu","given":"Longfei","non-dropping-particle":"","parse-names":false,"suffix":""},{"dropping-particle":"","family":"Yan","given":"Qingyun","non-dropping-particle":"","parse-names":false,"suffix":""},{"dropping-particle":"","family":"Wu","given":"Bo","non-dropping-particle":"","parse-names":false,"suffix":""},{"dropping-particle":"","family":"Mo","given":"Cehui","non-dropping-particle":"","parse-names":false,"suffix":""},{"dropping-particle":"","family":"He","given":"Zhili","non-dropping-particle":"","parse-names":false,"suffix":""},{"dropping-particle":"","family":"Wang","given":"Cheng","non-dropping-particle":"","parse-names":false,"suffix":""}],"container-title":"Environment International","id":"ITEM-1","issued":{"date-parts":[["2021"]]},"title":"Bacteria-driven phthalic acid ester biodegradation: Current status and emerging opportunities","type":"article-journal","volume":"154"},"uris":["http://www.mendeley.com/documents/?uuid=a963f680-bb56-4286-9236-fafdd18e4bed"]}],"mendeley":{"formattedCitation":"(Hu et al. 2021)","plainTextFormattedCitation":"(Hu et al. 2021)","previouslyFormattedCitation":"(R. Hu et al., 2021)"},"properties":{"noteIndex":0},"schema":"https://github.com/citation-style-language/schema/raw/master/csl-citation.json"}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(Hu et al. 2021)</w:t>
      </w:r>
      <w:r w:rsidRPr="008F7CA3">
        <w:rPr>
          <w:rFonts w:ascii="Arial" w:hAnsi="Arial" w:cs="Arial"/>
        </w:rPr>
        <w:fldChar w:fldCharType="end"/>
      </w:r>
      <w:r w:rsidRPr="008F7CA3">
        <w:rPr>
          <w:rFonts w:ascii="Arial" w:hAnsi="Arial" w:cs="Arial"/>
        </w:rPr>
        <w:fldChar w:fldCharType="begin" w:fldLock="1"/>
      </w:r>
      <w:r w:rsidRPr="008F7CA3">
        <w:rPr>
          <w:rFonts w:ascii="Arial" w:hAnsi="Arial" w:cs="Arial"/>
        </w:rPr>
        <w:instrText>ADDIN CSL_CITATION {"citationItems":[{"id":"ITEM-1","itemData":{"DOI":"10.1016/j.fct.2017.01.011","ISSN":"18736351","PMID":"28089693","abstract":"Human beings are inevitably exposed to ubiquitous phthalate esters (PEs) surroundings. The purposes of this study were to investigate the effects of long-term low-dose exposure to the mixture of six priority controlled phthalate esters (MIXPs): dimethyl phthalate (DMP), diethyl phthalate (DEP), di(n-butyl) phthalate (DBP), butyl benzyl phthalate (BBP), di(2-ethyhexyl) phthalate (DEHP) and di-n-octyl phthalate (DNOP), on male rat reproductive system and further to explore the underlying mechanisms of the reproductive toxicity. The male rats were orally exposed to either sodium carboxymethyl cellulose as controls or MIXPs at three different low-doses by gavage for 15 weeks. Testosterone and luteinizing hormone (LH) in serum were analyzed, and pathological examinations were performed for toxicity evaluation. Steroidogenic proteins (StAR, P450scc, CYP17A1 and 17β-HSD), cell cycle and apoptosis-related proteins (p53, Chk1, Cdc2, CDK6, Bcl-2 and Bax) were measured for mechanisms exploration. MIXPs with long-term low-dose exposure could cause male reproductive toxicity to the rats, including the decrease of both serum and testicular testosterone, and the constructional damage of testis. These effects were related to down-regulated steroidogenic proteins, arresting cell cycle progression and promoting apoptosis in rat testicular cells. The results indicate that MIXPs with long-term low-dose exposure may pose male reproductive toxicity in human.","author":[{"dropping-particle":"","family":"Gao","given":"Hai Tao","non-dropping-particle":"","parse-names":false,"suffix":""},{"dropping-particle":"","family":"Xu","given":"Run","non-dropping-particle":"","parse-names":false,"suffix":""},{"dropping-particle":"","family":"Cao","given":"Wei Xin","non-dropping-particle":"","parse-names":false,"suffix":""},{"dropping-particle":"","family":"Qian","given":"Liang Liang","non-dropping-particle":"","parse-names":false,"suffix":""},{"dropping-particle":"","family":"Wang","given":"Min","non-dropping-particle":"","parse-names":false,"suffix":""},{"dropping-particle":"","family":"Lu","given":"Lingeng","non-dropping-particle":"","parse-names":false,"suffix":""},{"dropping-particle":"","family":"Xu","given":"Qian","non-dropping-particle":"","parse-names":false,"suffix":""},{"dropping-particle":"","family":"Yu","given":"Shu Qin","non-dropping-particle":"","parse-names":false,"suffix":""}],"container-title":"Food and Chemical Toxicology","id":"ITEM-1","issued":{"date-parts":[["2017"]]},"page":"94-104","publisher":"Elsevier Ltd","title":"Effects of six priority controlled phthalate esters with long-term low-dose integrated exposure on male reproductive toxicity in rats","type":"article-journal","volume":"101"},"uris":["http://www.mendeley.com/documents/?uuid=171b1977-0228-42c7-9a92-55020714b880"]}],"mendeley":{"formattedCitation":"(Gao et al. 2017)","plainTextFormattedCitation":"(Gao et al. 2017)","previouslyFormattedCitation":"(Gao et al., 2017)"},"properties":{"noteIndex":0},"schema":"https://github.com/citation-style-language/schema/raw/master/csl-citation.json"}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(Gao et al. 2017)</w:t>
      </w:r>
      <w:r w:rsidRPr="008F7CA3">
        <w:rPr>
          <w:rFonts w:ascii="Arial" w:hAnsi="Arial" w:cs="Arial"/>
        </w:rPr>
        <w:fldChar w:fldCharType="end"/>
      </w:r>
      <w:r w:rsidRPr="008F7CA3">
        <w:rPr>
          <w:rFonts w:ascii="Arial" w:hAnsi="Arial" w:cs="Arial"/>
        </w:rPr>
        <w:t xml:space="preserve">. Global PAE’s production is estimated to be 300 </w:t>
      </w:r>
      <w:r w:rsidRPr="008F7CA3">
        <w:rPr>
          <w:rFonts w:ascii="Arial" w:hAnsi="Arial" w:cs="Arial"/>
        </w:rPr>
        <w:lastRenderedPageBreak/>
        <w:t xml:space="preserve">million tons currently and is predicted to reach 500 million tons by 2050 </w:t>
      </w:r>
      <w:r w:rsidRPr="008F7CA3">
        <w:rPr>
          <w:rFonts w:ascii="Arial" w:hAnsi="Arial" w:cs="Arial"/>
        </w:rPr>
        <w:fldChar w:fldCharType="begin" w:fldLock="1"/>
      </w:r>
      <w:r w:rsidRPr="008F7CA3">
        <w:rPr>
          <w:rFonts w:ascii="Arial" w:hAnsi="Arial" w:cs="Arial"/>
        </w:rPr>
        <w:instrText>ADDIN CSL_CITATION {"citationItems":[{"id":"ITEM-1","itemData":{"DOI":"10.3390/toxins13070495","ISSN":"20726651","PMID":"34357967","abstract":"Phthalic acid esters (PAEs) are a class of lipophilic chemicals widely used as plasticizers and additives to improve various products’ mechanical extensibility and flexibility. At present, synthesized PAEs, which are considered to cause potential hazards to ecosystem functioning and public health, have been easily detected in the atmosphere, water, soil, and sediments; PAEs are also frequently discovered in plant and microorganism sources, suggesting the possibility that they might be biosynthesized in nature. In this review, we summarize that PAEs have not only been identified in the organic solvent extracts, root exudates, and essential oils of a large number of different plant species, but also isolated and purified from various algae, bacteria, and fungi. Dominant PAEs identified from natural sources generally include di-n-butyl phthalate, diethyl phthalate, dimethyl phthalate, di(2-ethylhexyl) phthalate, diisobutyl phthalate, diisooctyl phthalate, etc. Further studies reveal that PAEs can be biosynthesized by at least several algae. PAEs are reported to possess allelopathic, antimicrobial, insecticidal, and other biological activities, which might enhance the competitiveness of plants, algae, and microorganisms to better accommodate biotic and abiotic stress. These findings suggest that PAEs should not be treated solely as a “human-made pollutant” simply because they have been extensively synthesized and utilized; on the other hand, synthesized PAEs entering the ecosystem might disrupt the metabolic process of certain plant, algal, and microbial communities. Therefore, further studies are required to elucidate the relevant mechanisms and ecological consequences.","author":[{"dropping-particle":"","family":"Huang","given":"Ling","non-dropping-particle":"","parse-names":false,"suffix":""},{"dropping-particle":"","family":"Zhu","given":"Xunzhi","non-dropping-particle":"","parse-names":false,"suffix":""},{"dropping-particle":"","family":"Zhou","given":"Shixing","non-dropping-particle":"","parse-names":false,"suffix":""},{"dropping-particle":"","family":"Cheng","given":"Zhenrui","non-dropping-particle":"","parse-names":false,"suffix":""},{"dropping-particle":"","family":"Shi","given":"Kai","non-dropping-particle":"","parse-names":false,"suffix":""},{"dropping-particle":"","family":"Zhang","given":"Chi","non-dropping-particle":"","parse-names":false,"suffix":""},{"dropping-particle":"","family":"Shao","given":"Hua","non-dropping-particle":"","parse-names":false,"suffix":""}],"container-title":"Toxins","id":"ITEM-1","issue":"7","issued":{"date-parts":[["2021"]]},"page":"495","title":"Phthalic acid esters: Natural sources and biological activities","type":"article-journal","volume":"13"},"uris":["http://www.mendeley.com/documents/?uuid=9e3c0772-053b-4c14-a5f2-f69b445f751e"]}],"mendeley":{"formattedCitation":"(Huang et al. 2021)","plainTextFormattedCitation":"(Huang et al. 2021)","previouslyFormattedCitation":"(Huang et al., 2021)"},"properties":{"noteIndex":0},"schema":"https://github.com/citation-style-language/schema/raw/master/csl-citation.json"}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(Huang et al. 2021)</w:t>
      </w:r>
      <w:r w:rsidRPr="008F7CA3">
        <w:rPr>
          <w:rFonts w:ascii="Arial" w:hAnsi="Arial" w:cs="Arial"/>
        </w:rPr>
        <w:fldChar w:fldCharType="end"/>
      </w:r>
      <w:r w:rsidRPr="008F7CA3">
        <w:rPr>
          <w:rFonts w:ascii="Arial" w:hAnsi="Arial" w:cs="Arial"/>
        </w:rPr>
        <w:t xml:space="preserve">. Considering the toxicity and use of PAEs; United States Environmental Protection Agency (USEPA), European Union (EU) and Chinese National Environmental Monitoring Center (CNEMC) listed 6 PAEs i.e., dimethyl phthalate, diethyl phthalate, di-(2-ethyl hexyl) phthalate, di-n-butyl phthalate, di-n-octyl phthalate, and benzyl butyl phthalate as priority pollutants </w:t>
      </w:r>
      <w:r w:rsidRPr="008F7CA3">
        <w:rPr>
          <w:rFonts w:ascii="Arial" w:hAnsi="Arial" w:cs="Arial"/>
        </w:rPr>
        <w:fldChar w:fldCharType="begin" w:fldLock="1"/>
      </w:r>
      <w:r w:rsidRPr="008F7CA3">
        <w:rPr>
          <w:rFonts w:ascii="Arial" w:hAnsi="Arial" w:cs="Arial"/>
        </w:rPr>
        <w:instrText>ADDIN CSL_CITATION {"citationItems":[{"id":"ITEM-1","itemData":{"DOI":"10.3390/atmos15091071","ISSN":"20734433","abstract":"Phthalic acid esters (PAEs) are a class of common environmental endocrine disruptors (EEDs), capable of causing considerable pollution to water, soil, and air and producing a range of adverse health impacts in humans. Although various studies have investigated the pollution characteristics and health hazards of PAEs in different media, a systematic review of PAEs in the broader environmental context is still lacking. In order to comprehensively explore current issues and suggest prospects, the current status, detection technology, toxicity, and health hazards of PAEs were investigated. The results suggest that PAE pollution is a widespread and complex global phenomenon, transported over long distances. The traditional techniques used for determination include high-performance liquid chromatography–mass spectrometry (HPLC-MS), gas chromatography–mass spectrometry (GC-MS), and high-performance liquid chromatography (HPLC). Various detection techniques offer distinct advantages and disadvantages. Moreover, PAEs can cause differing extents of harm to the nervous and reproductive systems of mammals. In the future, it is imperative to improve the detection of PAEs, establish rapid identification approaches, refine toxicological research methods, and investigate more comprehensive health risk assessment methods. These efforts will provide scientific support for the prevention and management of the resulting contaminants.","author":[{"dropping-particle":"","family":"Long","given":"Fangyun","non-dropping-particle":"","parse-names":false,"suffix":""},{"dropping-particle":"","family":"Ren","given":"Yanqin","non-dropping-particle":"","parse-names":false,"suffix":""},{"dropping-particle":"","family":"Ji","given":"Yuanyuan","non-dropping-particle":"","parse-names":false,"suffix":""},{"dropping-particle":"","family":"Li","given":"Junling","non-dropping-particle":"","parse-names":false,"suffix":""},{"dropping-particle":"","family":"Zhang","given":"Haijie","non-dropping-particle":"","parse-names":false,"suffix":""},{"dropping-particle":"","family":"Wu","given":"Zhenhai","non-dropping-particle":"","parse-names":false,"suffix":""},{"dropping-particle":"","family":"Gao","given":"Rui","non-dropping-particle":"","parse-names":false,"suffix":""},{"dropping-particle":"","family":"Bi","given":"Fang","non-dropping-particle":"","parse-names":false,"suffix":""},{"dropping-particle":"","family":"Liu","given":"Zhengyang","non-dropping-particle":"","parse-names":false,"suffix":""},{"dropping-particle":"","family":"Li","given":"Hong","non-dropping-particle":"","parse-names":false,"suffix":""}],"container-title":"Atmosphere","id":"ITEM-1","issue":"9","issued":{"date-parts":[["2024"]]},"page":"1071","title":"Pollution Characteristics, Toxicological Properties, and Health Risk Assessment of Phthalic Acid Esters in Water, Soil, and Atmosphere","type":"article-journal","volume":"15"},"uris":["http://www.mendeley.com/documents/?uuid=8fe4e6c3-c2b5-43da-878b-7a162f1bb331"]}],"mendeley":{"formattedCitation":"(Long et al. 2024)","plainTextFormattedCitation":"(Long et al. 2024)","previouslyFormattedCitation":"(Long et al., 2024)"},"properties":{"noteIndex":0},"schema":"https://github.com/citation-style-language/schema/raw/master/csl-citation.json"}</w:instrText>
      </w:r>
      <w:r w:rsidRPr="008F7CA3">
        <w:rPr>
          <w:rFonts w:ascii="Arial" w:hAnsi="Arial" w:cs="Arial"/>
        </w:rPr>
        <w:fldChar w:fldCharType="separate"/>
      </w:r>
      <w:r w:rsidRPr="008F7CA3">
        <w:rPr>
          <w:rFonts w:ascii="Arial" w:hAnsi="Arial" w:cs="Arial"/>
        </w:rPr>
        <w:t>(Long et al. 2024)</w:t>
      </w:r>
      <w:r w:rsidRPr="008F7CA3">
        <w:rPr>
          <w:rFonts w:ascii="Arial" w:hAnsi="Arial" w:cs="Arial"/>
        </w:rPr>
        <w:fldChar w:fldCharType="end"/>
      </w:r>
      <w:r w:rsidRPr="008F7CA3">
        <w:rPr>
          <w:rFonts w:ascii="Arial" w:hAnsi="Arial" w:cs="Arial"/>
        </w:rPr>
        <w:t>. Like every xenobiotic compound; phthalates also majorly contribute in polluting environment and disturbing ecosystems. Fig. (1) depicts the toxic effect of phthalates.</w:t>
      </w:r>
    </w:p>
    <w:p w14:paraId="17EDAFDE" w14:textId="2F77DD13" w:rsidR="00330D6F" w:rsidRDefault="00330D6F" w:rsidP="002C248C">
      <w:pPr>
        <w:pStyle w:val="Body"/>
        <w:spacing w:after="0"/>
        <w:jc w:val="center"/>
        <w:rPr>
          <w:rFonts w:ascii="Arial" w:hAnsi="Arial" w:cs="Arial"/>
        </w:rPr>
      </w:pPr>
      <w:r w:rsidRPr="0071485D">
        <w:rPr>
          <w:rFonts w:ascii="Times New Roman" w:hAnsi="Times New Roman"/>
          <w:noProof/>
          <w:sz w:val="22"/>
          <w:szCs w:val="22"/>
          <w:lang w:val="en-IN" w:eastAsia="en-IN"/>
        </w:rPr>
        <w:drawing>
          <wp:inline distT="0" distB="0" distL="0" distR="0" wp14:anchorId="2468EA0F" wp14:editId="3FFD1A5F">
            <wp:extent cx="4648200" cy="3159961"/>
            <wp:effectExtent l="0" t="0" r="0" b="2540"/>
            <wp:docPr id="912630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630697" name="Picture 912630697"/>
                    <pic:cNvPicPr/>
                  </pic:nvPicPr>
                  <pic:blipFill rotWithShape="1">
                    <a:blip r:embed="rId14">
                      <a:extLst>
                        <a:ext uri="{28A0092B-C50C-407E-A947-70E740481C1C}">
                          <a14:useLocalDpi xmlns:a14="http://schemas.microsoft.com/office/drawing/2010/main" val="0"/>
                        </a:ext>
                      </a:extLst>
                    </a:blip>
                    <a:srcRect l="8951" r="8306"/>
                    <a:stretch>
                      <a:fillRect/>
                    </a:stretch>
                  </pic:blipFill>
                  <pic:spPr bwMode="auto">
                    <a:xfrm>
                      <a:off x="0" y="0"/>
                      <a:ext cx="4659121" cy="3167385"/>
                    </a:xfrm>
                    <a:prstGeom prst="rect">
                      <a:avLst/>
                    </a:prstGeom>
                    <a:ln>
                      <a:noFill/>
                    </a:ln>
                    <a:extLst>
                      <a:ext uri="{53640926-AAD7-44D8-BBD7-CCE9431645EC}">
                        <a14:shadowObscured xmlns:a14="http://schemas.microsoft.com/office/drawing/2010/main"/>
                      </a:ext>
                    </a:extLst>
                  </pic:spPr>
                </pic:pic>
              </a:graphicData>
            </a:graphic>
          </wp:inline>
        </w:drawing>
      </w:r>
    </w:p>
    <w:p w14:paraId="5E60C7EE" w14:textId="59889CA5" w:rsidR="00330D6F" w:rsidRPr="00330D6F" w:rsidRDefault="00330D6F" w:rsidP="002C248C">
      <w:pPr>
        <w:pStyle w:val="Body"/>
        <w:jc w:val="center"/>
        <w:rPr>
          <w:rFonts w:ascii="Arial" w:hAnsi="Arial" w:cs="Arial"/>
          <w:lang w:val="en-IN"/>
        </w:rPr>
      </w:pPr>
      <w:r w:rsidRPr="00330D6F">
        <w:rPr>
          <w:rFonts w:ascii="Arial" w:hAnsi="Arial" w:cs="Arial"/>
          <w:b/>
          <w:bCs/>
          <w:lang w:val="en-IN"/>
        </w:rPr>
        <w:t>Fig. 1</w:t>
      </w:r>
      <w:r w:rsidRPr="00330D6F">
        <w:rPr>
          <w:rFonts w:ascii="Arial" w:hAnsi="Arial" w:cs="Arial"/>
          <w:lang w:val="en-IN"/>
        </w:rPr>
        <w:t xml:space="preserve"> </w:t>
      </w:r>
      <w:r w:rsidRPr="00C90CC5">
        <w:rPr>
          <w:rFonts w:ascii="Arial" w:hAnsi="Arial" w:cs="Arial"/>
          <w:b/>
          <w:bCs/>
          <w:lang w:val="en-IN"/>
        </w:rPr>
        <w:t xml:space="preserve">Occurrence and toxicity of Phthalates. Created in  </w:t>
      </w:r>
      <w:hyperlink r:id="rId15" w:history="1">
        <w:r w:rsidRPr="00330D6F">
          <w:rPr>
            <w:rStyle w:val="Hyperlink"/>
            <w:rFonts w:ascii="Arial" w:hAnsi="Arial" w:cs="Arial"/>
            <w:lang w:val="en-IN"/>
          </w:rPr>
          <w:t>https://BioRender.com</w:t>
        </w:r>
      </w:hyperlink>
    </w:p>
    <w:p w14:paraId="38BDCF14" w14:textId="77777777" w:rsidR="00330D6F" w:rsidRPr="00330D6F" w:rsidRDefault="00330D6F" w:rsidP="002C248C">
      <w:pPr>
        <w:pStyle w:val="Body"/>
        <w:spacing w:after="0"/>
        <w:rPr>
          <w:rFonts w:ascii="Arial" w:hAnsi="Arial" w:cs="Arial"/>
        </w:rPr>
      </w:pPr>
      <w:r w:rsidRPr="00330D6F">
        <w:rPr>
          <w:rFonts w:ascii="Arial" w:hAnsi="Arial" w:cs="Arial"/>
        </w:rPr>
        <w:t xml:space="preserve">Based on the side chain attached to phthalic acid, PAEs can be divided into two groups; low molecular weight (LMW) and high molecular weight (HMW) phthalates. Toxicity of PAE derivatives depends upon the side chain attached. LMW derivatives (DMP, DEP, DBP, etc.) are less toxic than HMW (DEHP, DOP, BBP, etc.) </w:t>
      </w:r>
      <w:r w:rsidRPr="00330D6F">
        <w:rPr>
          <w:rFonts w:ascii="Arial" w:hAnsi="Arial" w:cs="Arial"/>
        </w:rPr>
        <w:fldChar w:fldCharType="begin" w:fldLock="1"/>
      </w:r>
      <w:r w:rsidRPr="00330D6F">
        <w:rPr>
          <w:rFonts w:ascii="Arial" w:hAnsi="Arial" w:cs="Arial"/>
        </w:rPr>
        <w:instrText>ADDIN CSL_CITATION {"citationItems":[{"id":"ITEM-1","itemData":{"author":[{"dropping-particle":"","family":"Xiong","given":"Yang-hui","non-dropping-particle":"","parse-names":false,"suffix":""},{"dropping-particle":"","family":"Pei","given":"De-sheng","non-dropping-particle":"","parse-names":false,"suffix":""}],"container-title":"Chemosphere","id":"ITEM-1","issued":{"date-parts":[["2021"]]},"page":"130256","title":"A review on ef fi cient removal of phthalic acid esters via biochars and transition metals-activated persulfate systems","type":"article-journal","volume":"277"},"uris":["http://www.mendeley.com/documents/?uuid=37f33cb8-d9ea-49a6-a7b9-d3621ae77979"]}],"mendeley":{"formattedCitation":"(Xiong and Pei 2021)","plainTextFormattedCitation":"(Xiong and Pei 2021)","previouslyFormattedCitation":"(Xiong &amp; Pei, 2021)"},"properties":{"noteIndex":0},"schema":"https://github.com/citation-style-language/schema/raw/master/csl-citation.json"}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(Xiong and Pei 2021)</w:t>
      </w:r>
      <w:r w:rsidRPr="00330D6F">
        <w:rPr>
          <w:rFonts w:ascii="Arial" w:hAnsi="Arial" w:cs="Arial"/>
        </w:rPr>
        <w:fldChar w:fldCharType="end"/>
      </w:r>
      <w:r w:rsidRPr="00330D6F">
        <w:rPr>
          <w:rFonts w:ascii="Arial" w:hAnsi="Arial" w:cs="Arial"/>
        </w:rPr>
        <w:t xml:space="preserve">. They enter the soil through wastewater irrigation, agricultural plastic films, municipal biosolids, etc. </w:t>
      </w:r>
      <w:r w:rsidRPr="00330D6F">
        <w:rPr>
          <w:rFonts w:ascii="Arial" w:hAnsi="Arial" w:cs="Arial"/>
        </w:rPr>
        <w:fldChar w:fldCharType="begin" w:fldLock="1"/>
      </w:r>
      <w:r w:rsidRPr="00330D6F">
        <w:rPr>
          <w:rFonts w:ascii="Arial" w:hAnsi="Arial" w:cs="Arial"/>
        </w:rPr>
        <w:instrText>ADDIN CSL_CITATION {"citationItems":[{"id":"ITEM-1","itemData":{"DOI":"10.1007/s13593-014-0270-1","ISBN":"1359301402","ISSN":"17730155","abstract":"Phthalic acid esters have been used as plasticizers in numerous products and classified as endocrine-disrupting compounds. As China is one of the largest consumers of phthalic acid esters, some human activities may lead to the accumulation of phthalic acid esters in soil and result in contamination. Therefore, it is necessary for us to understand the current contamination status and to identify appropriate remediation technologies. Here, we reviewed the potential sources, distribution, and contamination status of phthalic acid esters in soil. We then described the ecological effect and human risk of phthalic acid esters and finally provided technologies to remediate phthalic acid esters. We found that (1) the application of plastic agricultural films, municipal biosolids, agricultural chemicals, and wastewater irrigation have been identified as the main sources for phthalic acid ester contamination in agricultural soil; (2) the distribution of phthalic acid esters in soils is determined by factors such as anthropogenic behaviors, soil type, properties of phthalic acid esters, seasonal variation, etc.; (3) the concentrations of phthalic acid esters in soil in most regions of China are exceeding the recommended values of soil cleanup guidelines used by the US Environmental Protection Agency (US EPA), causing phthalic acid ester in soils to contaminate vegetables; (4) phthalic acid esters are toxic to soil microbes and enzymes; and (5) phthalic acid ester-contaminated soil can be remedied by degradation, phytoremediation, and adsorption.","author":[{"dropping-particle":"","family":"He","given":"Lizhi","non-dropping-particle":"","parse-names":false,"suffix":""},{"dropping-particle":"","family":"Gielen","given":"Gerty","non-dropping-particle":"","parse-names":false,"suffix":""},{"dropping-particle":"","family":"Bolan","given":"Nanthi S.","non-dropping-particle":"","parse-names":false,"suffix":""},{"dropping-particle":"","family":"Zhang","given":"Xiaokai","non-dropping-particle":"","parse-names":false,"suffix":""},{"dropping-particle":"","family":"Qin","given":"Hua","non-dropping-particle":"","parse-names":false,"suffix":""},{"dropping-particle":"","family":"Huang","given":"Huagang","non-dropping-particle":"","parse-names":false,"suffix":""},{"dropping-particle":"","family":"Wang","given":"Hailong","non-dropping-particle":"","parse-names":false,"suffix":""}],"container-title":"Agronomy for Sustainable Development","id":"ITEM-1","issue":"2","issued":{"date-parts":[["2015"]]},"page":"519-534","title":"Contamination and remediation of phthalic acid esters in agricultural soils in China: a review","type":"article-journal","volume":"35"},"uris":["http://www.mendeley.com/documents/?uuid=a650c3ae-212e-43a2-9598-d02d58fd82cf"]}],"mendeley":{"formattedCitation":"(He et al. 2015)","plainTextFormattedCitation":"(He et al. 2015)","previouslyFormattedCitation":"(L. He et al., 2015)"},"properties":{"noteIndex":0},"schema":"https://github.com/citation-style-language/schema/raw/master/csl-citation.json"}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(He et al. 2015)</w:t>
      </w:r>
      <w:r w:rsidRPr="00330D6F">
        <w:rPr>
          <w:rFonts w:ascii="Arial" w:hAnsi="Arial" w:cs="Arial"/>
        </w:rPr>
        <w:fldChar w:fldCharType="end"/>
      </w:r>
      <w:r w:rsidRPr="00330D6F">
        <w:rPr>
          <w:rFonts w:ascii="Arial" w:hAnsi="Arial" w:cs="Arial"/>
        </w:rPr>
        <w:t xml:space="preserve">. Phthalates from soil enters ground water and are accumulated in plants by absorption, these plants and water; when consumed led to toxic effects in living organisms. Various derivatives of PAEs causes misfunctioning of reproductive system in fish, developmental imperfections in frog and zebra fish, and </w:t>
      </w:r>
      <w:r w:rsidRPr="00330D6F">
        <w:rPr>
          <w:rFonts w:ascii="Arial" w:hAnsi="Arial" w:cs="Arial"/>
        </w:rPr>
        <w:fldChar w:fldCharType="begin" w:fldLock="1"/>
      </w:r>
      <w:r w:rsidRPr="00330D6F">
        <w:rPr>
          <w:rFonts w:ascii="Arial" w:hAnsi="Arial" w:cs="Arial"/>
        </w:rPr>
        <w:instrText>ADDIN CSL_CITATION {"citationItems":[{"id":"ITEM-1","itemData":{"DOI":"10.1016/j.scitotenv.2020.144517","ISSN":"18791026","PMID":"33454488","abstract":"Phthalic acid esters (PAEs) are endocrine-disrupting compounds that are ubiquitous in surface water. However, early studies on PAEs only focused on six species on the priority contaminant list, and the seasonal variation in the PAE distribution in Taihu Lake, China is unclear. The present study investigated the occurrence, spatial distribution, and ecological risks of 16 PAEs in Taihu Lake during the dry, normal, and wet seasons. The results showed that dibutyl phthalate, diethylhexyl phthalate (DEHP), and diisobutyl phthalate (DIBP) were the major species detected in the surface water of Taihu Lake. The summed concentration of the six priority PAEs accounted for less than 50% of the total, indicating that the contamination of the other PAE congeners was non-negligible. Significant seasonal effects were observed that the total PAE concentration was higher in the wet season than in the dry season, and there were significant positive correlations between the total PAE concentration and rainfall, the water reserve, and the water level. In the dry season, a relatively high PAE level was detected in the area close to the inflow river estuary and the tourist island in the lake. The concentrations of PAEs in the lakeshore area were higher than those in the lake center in the normal season, and were generally high in the wet season. DEHP posed high risks for fish regardless of the season, while butyl benzyl phthalate, DIBP, dihexyl phthalate, and diphenyl phthalate also showed high risks in the normal and wet seasons. These results suggest that the contamination and risks of congeners other than the priority PAEs are also of necessary concern, and seasonal variation should be considered for a comprehensive understanding of PAE contamination in surface water.","author":[{"dropping-particle":"","family":"Luo","given":"Xin","non-dropping-particle":"","parse-names":false,"suffix":""},{"dropping-particle":"","family":"Shu","given":"Shu","non-dropping-particle":"","parse-names":false,"suffix":""},{"dropping-particle":"","family":"Feng","given":"Hui","non-dropping-particle":"","parse-names":false,"suffix":""},{"dropping-particle":"","family":"Zou","given":"Hua","non-dropping-particle":"","parse-names":false,"suffix":""},{"dropping-particle":"","family":"Zhang","given":"Yun","non-dropping-particle":"","parse-names":false,"suffix":""}],"container-title":"Science of the Total Environment","id":"ITEM-1","issued":{"date-parts":[["2021"]]},"page":"144517","publisher":"Elsevier B.V.","title":"Seasonal distribution and ecological risks of phthalic acid esters in surface water of Taihu Lake, China","type":"article-journal","volume":"768"},"uris":["http://www.mendeley.com/documents/?uuid=8f6a859a-3c58-4726-b991-45aba0c6edac"]}],"mendeley":{"formattedCitation":"(Luo et al. 2021)","plainTextFormattedCitation":"(Luo et al. 2021)","previouslyFormattedCitation":"(Luo et al., 2021)"},"properties":{"noteIndex":0},"schema":"https://github.com/citation-style-language/schema/raw/master/csl-citation.json"}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(Luo et al. 2021)</w:t>
      </w:r>
      <w:r w:rsidRPr="00330D6F">
        <w:rPr>
          <w:rFonts w:ascii="Arial" w:hAnsi="Arial" w:cs="Arial"/>
        </w:rPr>
        <w:fldChar w:fldCharType="end"/>
      </w:r>
      <w:r w:rsidRPr="00330D6F">
        <w:rPr>
          <w:rFonts w:ascii="Arial" w:hAnsi="Arial" w:cs="Arial"/>
        </w:rPr>
        <w:t xml:space="preserve">. It can enter human body through ingestion, dermal contact, inhalation from food packets, cosmetics, cloths, shoes and household goods. Human urine, hair, blood, milk, amniotic fluid etc. were detected with derivatives of PAEs </w:t>
      </w:r>
      <w:r w:rsidRPr="00330D6F">
        <w:rPr>
          <w:rFonts w:ascii="Arial" w:hAnsi="Arial" w:cs="Arial"/>
        </w:rPr>
        <w:fldChar w:fldCharType="begin" w:fldLock="1"/>
      </w:r>
      <w:r w:rsidRPr="00330D6F">
        <w:rPr>
          <w:rFonts w:ascii="Arial" w:hAnsi="Arial" w:cs="Arial"/>
        </w:rPr>
        <w:instrText>ADDIN CSL_CITATION {"citationItems":[{"id":"ITEM-1","itemData":{"DOI":"10.1007/s13593-014-0270-1","ISBN":"1359301402","ISSN":"17730155","abstract":"Phthalic acid esters have been used as plasticizers in numerous products and classified as endocrine-disrupting compounds. As China is one of the largest consumers of phthalic acid esters, some human activities may lead to the accumulation of phthalic acid esters in soil and result in contamination. Therefore, it is necessary for us to understand the current contamination status and to identify appropriate remediation technologies. Here, we reviewed the potential sources, distribution, and contamination status of phthalic acid esters in soil. We then described the ecological effect and human risk of phthalic acid esters and finally provided technologies to remediate phthalic acid esters. We found that (1) the application of plastic agricultural films, municipal biosolids, agricultural chemicals, and wastewater irrigation have been identified as the main sources for phthalic acid ester contamination in agricultural soil; (2) the distribution of phthalic acid esters in soils is determined by factors such as anthropogenic behaviors, soil type, properties of phthalic acid esters, seasonal variation, etc.; (3) the concentrations of phthalic acid esters in soil in most regions of China are exceeding the recommended values of soil cleanup guidelines used by the US Environmental Protection Agency (US EPA), causing phthalic acid ester in soils to contaminate vegetables; (4) phthalic acid esters are toxic to soil microbes and enzymes; and (5) phthalic acid ester-contaminated soil can be remedied by degradation, phytoremediation, and adsorption.","author":[{"dropping-particle":"","family":"He","given":"Lizhi","non-dropping-particle":"","parse-names":false,"suffix":""},{"dropping-particle":"","family":"Gielen","given":"Gerty","non-dropping-particle":"","parse-names":false,"suffix":""},{"dropping-particle":"","family":"Bolan","given":"Nanthi S.","non-dropping-particle":"","parse-names":false,"suffix":""},{"dropping-particle":"","family":"Zhang","given":"Xiaokai","non-dropping-particle":"","parse-names":false,"suffix":""},{"dropping-particle":"","family":"Qin","given":"Hua","non-dropping-particle":"","parse-names":false,"suffix":""},{"dropping-particle":"","family":"Huang","given":"Huagang","non-dropping-particle":"","parse-names":false,"suffix":""},{"dropping-particle":"","family":"Wang","given":"Hailong","non-dropping-particle":"","parse-names":false,"suffix":""}],"container-title":"Agronomy for Sustainable Development","id":"ITEM-1","issue":"2","issued":{"date-parts":[["2015"]]},"page":"519-534","title":"Contamination and remediation of phthalic acid esters in agricultural soils in China: a review","type":"article-journal","volume":"35"},"uris":["http://www.mendeley.com/documents/?uuid=a650c3ae-212e-43a2-9598-d02d58fd82cf"]}],"mendeley":{"formattedCitation":"(He et al. 2015)","plainTextFormattedCitation":"(He et al. 2015)","previouslyFormattedCitation":"(L. He et al., 2015)"},"properties":{"noteIndex":0},"schema":"https://github.com/citation-style-language/schema/raw/master/csl-citation.json"}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(He et al. 2015)</w:t>
      </w:r>
      <w:r w:rsidRPr="00330D6F">
        <w:rPr>
          <w:rFonts w:ascii="Arial" w:hAnsi="Arial" w:cs="Arial"/>
        </w:rPr>
        <w:fldChar w:fldCharType="end"/>
      </w:r>
      <w:r w:rsidRPr="00330D6F">
        <w:rPr>
          <w:rFonts w:ascii="Arial" w:hAnsi="Arial" w:cs="Arial"/>
        </w:rPr>
        <w:t xml:space="preserve">. Phthalates are major disrupter of hormones; they make reproductive and developmental issues by mimicking estrogen and androgen hormones. It adversely affects humans across all stages of life, including prenatal, neonatal, infancy, childhood, adolescence, and adulthood, leading to reduced semen quality in males, infertility, and breast cancer </w:t>
      </w:r>
      <w:r w:rsidRPr="00330D6F">
        <w:rPr>
          <w:rFonts w:ascii="Arial" w:hAnsi="Arial" w:cs="Arial"/>
        </w:rPr>
        <w:fldChar w:fldCharType="begin" w:fldLock="1"/>
      </w:r>
      <w:r w:rsidRPr="00330D6F">
        <w:rPr>
          <w:rFonts w:ascii="Arial" w:hAnsi="Arial" w:cs="Arial"/>
        </w:rPr>
        <w:instrText>ADDIN CSL_CITATION {"citationItems":[{"id":"ITEM-1","itemData":{"author":[{"dropping-particle":"","family":"Xiong","given":"Yang-hui","non-dropping-particle":"","parse-names":false,"suffix":""},{"dropping-particle":"","family":"Pei","given":"De-sheng","non-dropping-particle":"","parse-names":false,"suffix":""}],"container-title":"Chemosphere","id":"ITEM-1","issued":{"date-parts":[["2021"]]},"page":"130256","title":"A review on ef fi cient removal of phthalic acid esters via biochars and transition metals-activated persulfate systems","type":"article-journal","volume":"277"},"uris":["http://www.mendeley.com/documents/?uuid=37f33cb8-d9ea-49a6-a7b9-d3621ae77979"]}],"mendeley":{"formattedCitation":"(Xiong and Pei 2021)","plainTextFormattedCitation":"(Xiong and Pei 2021)","previouslyFormattedCitation":"(Xiong &amp; Pei, 2021)"},"properties":{"noteIndex":0},"schema":"https://github.com/citation-style-language/schema/raw/master/csl-citation.json"}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(Xiong and Pei 2021)</w:t>
      </w:r>
      <w:r w:rsidRPr="00330D6F">
        <w:rPr>
          <w:rFonts w:ascii="Arial" w:hAnsi="Arial" w:cs="Arial"/>
        </w:rPr>
        <w:fldChar w:fldCharType="end"/>
      </w:r>
      <w:r w:rsidRPr="00330D6F">
        <w:rPr>
          <w:rFonts w:ascii="Arial" w:hAnsi="Arial" w:cs="Arial"/>
        </w:rPr>
        <w:t xml:space="preserve">. By disturbing hormones it holds back the pubertal development in boys and speed up the process of pubertal onset in girls </w:t>
      </w:r>
      <w:r w:rsidRPr="00330D6F">
        <w:rPr>
          <w:rFonts w:ascii="Arial" w:hAnsi="Arial" w:cs="Arial"/>
        </w:rPr>
        <w:fldChar w:fldCharType="begin" w:fldLock="1"/>
      </w:r>
      <w:r w:rsidRPr="00330D6F">
        <w:rPr>
          <w:rFonts w:ascii="Arial" w:hAnsi="Arial" w:cs="Arial"/>
        </w:rPr>
        <w:instrText>ADDIN CSL_CITATION {"citationItems":[{"id":"ITEM-1","itemData":{"DOI":"10.1016/j.mce.2015.03.006","ISSN":"18728057","PMID":"25770461","abstract":"Background: Phthalates have been proven to be antiandrogenic, which may interfere with the timing of puberty. Children with Constitutional Delay of Growth and Puberty (CDGP) typically display short stature and pubertal delay. This study investigated whether phthalate's exposure was associated with CDGP, and evaluated the potential mediator role of testosterone. Methods: In this case-control study, a total of 167 boys, including 57 boys with CDGP (cases) and 110 controls were enrolled. We measured six major phthalate metabolites in urine samples using high-performance liquid chromatography and tandem mass spectrometry (LC-MS/MS). The serum testosterone level was determined by radioimmunoassay. Results: Children in the CDGP group were determined to have significantly elevated urinary phthalates concentration compared with control subjects (total phthalates median: case, 107.00 ng/ml; control, 62.22 ng/ml, p = 0.001). After adjustment for BMI and other confounding factors: mono-n-butyl phthalate (MBP), monoethyl phthalate (MEP) and total phthalate concentrations were significantly negatively associated with serum testosterone level (MBP: β = -45.7, p = 0.017; MEP: β = -31.6, p = 0.022; total phthalates: β = -24.6, p = 0.011); MBP, MEP, mono (2-ethylhexyl) phthalate (MEHP) and total phthalates were significantly associated with CDGP (odds ratio: MBP: 8.30, p = 0.002; MEP: 5.43, p = 0.002; MEHP: 3.83, p = 0.017; total phthalates: 9.09, p = 0.001). Serum testosterone level acted as a mediator of the association between phthalates' exposure and CDGP (p = 0.002) (proportion mediated: 34.4%). Conclusions: In this case-control study, elevated phthalates' level was detected in children with CDGP in Shanghai, China and phthalate level was associated with CDGP, which appeared to be mediated by circulating testosterone level.","author":[{"dropping-particle":"","family":"Xie","given":"Changming","non-dropping-particle":"","parse-names":false,"suffix":""},{"dropping-particle":"","family":"Zhao","given":"Yan","non-dropping-particle":"","parse-names":false,"suffix":""},{"dropping-particle":"","family":"Gao","given":"Lianlian","non-dropping-particle":"","parse-names":false,"suffix":""},{"dropping-particle":"","family":"Chen","given":"Jiao","non-dropping-particle":"","parse-names":false,"suffix":""},{"dropping-particle":"","family":"Cai","given":"Depei","non-dropping-particle":"","parse-names":false,"suffix":""},{"dropping-particle":"","family":"Zhang","given":"Yunhui","non-dropping-particle":"","parse-names":false,"suffix":""}],"container-title":"Molecular and Cellular Endocrinology","id":"ITEM-1","issued":{"date-parts":[["2015"]]},"page":"67-73","publisher":"Elsevier Ireland Ltd","title":"Elevated phthalates' exposure in children with constitutional delay of growth and puberty","type":"article-journal","volume":"407"},"uris":["http://www.mendeley.com/documents/?uuid=b1dfbb33-7980-4150-8499-b2609ebf84d9"]}],"mendeley":{"formattedCitation":"(Xie et al. 2015)","plainTextFormattedCitation":"(Xie et al. 2015)","previouslyFormattedCitation":"(Xie et al., 2015)"},"properties":{"noteIndex":0},"schema":"https://github.com/citation-style-language/schema/raw/master/csl-citation.json"}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(Xie et al. 2015)</w:t>
      </w:r>
      <w:r w:rsidRPr="00330D6F">
        <w:rPr>
          <w:rFonts w:ascii="Arial" w:hAnsi="Arial" w:cs="Arial"/>
        </w:rPr>
        <w:fldChar w:fldCharType="end"/>
      </w:r>
      <w:r w:rsidRPr="00330D6F">
        <w:rPr>
          <w:rFonts w:ascii="Arial" w:hAnsi="Arial" w:cs="Arial"/>
        </w:rPr>
        <w:fldChar w:fldCharType="begin" w:fldLock="1"/>
      </w:r>
      <w:r w:rsidRPr="00330D6F">
        <w:rPr>
          <w:rFonts w:ascii="Arial" w:hAnsi="Arial" w:cs="Arial"/>
        </w:rPr>
        <w:instrText>ADDIN CSL_CITATION {"citationItems":[{"id":"ITEM-1","itemData":{"DOI":"10.2188/jea.JE20140205","ISBN":"2010110242","ISSN":"13499092","PMID":"26212725","abstract":"Background: Phthalates are synthetic chemicals and ubiquitous environmental contaminants, with hormonal activity that may alter the course of pubertal development in children. Objectives: To determine whether exposure to phthalate metabolites is associated with timing of pubertal development in a cross-sectional study of a school-based clustered sample of 503 children from a suburban district in Shanghai, China, who were 7-14 years of age at enrollment (2010 October to November). Methods: We analyzed six phthalate metabolites in urine samples by isotope-dilution liquid chromatography tandem mass spectrometry. The associations of exposures to phthalates with pubertal timing of testes, breast, and pubic hair development (represented as Tanner stages) were evaluated using an ordered logistic regression model adjusted for chronological age, body fat proportion (BF%), and parental education. Results: In boys, urinary mono-n-butyl phthalate (MBP) levels were negatively associated with testicular volume, and mono (2-ethyl-5-hydroxyhexyl) phthalate (MEHHP) and mono (2-ethyl-5-oxohexyl) phthalate (MEOHP) levels were negatively associated with pubic hair stages. The odds of being in an advanced stage were decreased by 43%-51%. In girls, mono (2-ethylhexyl) phthalate (MEHP), MEHHP, and MEOHP levels, as well as the sum of these levels, were positively associated with breast stages, and the association was much stronger in girls with high BF%; the odds of being in an advanced stage were increase by 29% to 50%. Conclusions: Phthalate metabolites investigated in this study show significant associations with pubertal timing both in boys and in girls, especially among girls with high BF%.","author":[{"dropping-particle":"","family":"Shi","given":"Huijing","non-dropping-particle":"","parse-names":false,"suffix":""},{"dropping-particle":"","family":"Cao","given":"Yang","non-dropping-particle":"","parse-names":false,"suffix":""},{"dropping-particle":"","family":"Shen","given":"Qing","non-dropping-particle":"","parse-names":false,"suffix":""},{"dropping-particle":"","family":"Zhao","given":"Yan","non-dropping-particle":"","parse-names":false,"suffix":""},{"dropping-particle":"","family":"Zhang","given":"Zhe","non-dropping-particle":"","parse-names":false,"suffix":""},{"dropping-particle":"","family":"Zhang","given":"Yunhui","non-dropping-particle":"","parse-names":false,"suffix":""}],"container-title":"Journal of Epidemiology","id":"ITEM-1","issue":"9","issued":{"date-parts":[["2015"]]},"page":"574-582","title":"Association between urinary phthalates and pubertal timing in Chinese adolescents","type":"article-journal","volume":"25"},"uris":["http://www.mendeley.com/documents/?uuid=b5d58b7a-bef1-4fbc-bb52-392c0bc89992"]}],"mendeley":{"formattedCitation":"(Shi et al. 2015)","plainTextFormattedCitation":"(Shi et al. 2015)","previouslyFormattedCitation":"(Shi et al., 2015)"},"properties":{"noteIndex":0},"schema":"https://github.com/citation-style-language/schema/raw/master/csl-citation.json"}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(Shi et al. 2015)</w:t>
      </w:r>
      <w:r w:rsidRPr="00330D6F">
        <w:rPr>
          <w:rFonts w:ascii="Arial" w:hAnsi="Arial" w:cs="Arial"/>
        </w:rPr>
        <w:fldChar w:fldCharType="end"/>
      </w:r>
      <w:r w:rsidRPr="00330D6F">
        <w:rPr>
          <w:rFonts w:ascii="Arial" w:hAnsi="Arial" w:cs="Arial"/>
        </w:rPr>
        <w:t xml:space="preserve">. Phthalates also promotes carcinogenesis, teratogenesis, and organ toxicity, etc. </w:t>
      </w:r>
      <w:r w:rsidRPr="00330D6F">
        <w:rPr>
          <w:rFonts w:ascii="Arial" w:hAnsi="Arial" w:cs="Arial"/>
        </w:rPr>
        <w:fldChar w:fldCharType="begin" w:fldLock="1"/>
      </w:r>
      <w:r w:rsidRPr="00330D6F">
        <w:rPr>
          <w:rFonts w:ascii="Arial" w:hAnsi="Arial" w:cs="Arial"/>
        </w:rPr>
        <w:instrText>ADDIN CSL_CITATION {"citationItems":[{"id":"ITEM-1","itemData":{"DOI":"10.1016/j.reprotox.2018.11.003","ISSN":"18731708","PMID":"30468821","abstract":"Plasticizers are chemical compounds used to increase the softness and fluidity of polymer materials. Phthalate compounds constitute the most common class of compounds used as plasticizers. However, phthalate plasticizers, especially the predominant di(2-ethylhexyl)phthalate, have been shown to have adverse effects on environment and human health. Hence, efforts have been made to use safer and environmentally friendly alternate non-phthalate plasticizers in industrial applications. The present study involves structural binding studies on endocrine disrupting potential of three high volume alternate plasticizer compounds, i.e., di-(2-ethylhexyl) adipate (DEHA), acetyl tributyl citrate (ATBC) and 2,2,4-trimethyl 1,3-pentanediol diisobutyrate (TPIB) with sex hormone binding globulin (SHBG). This study showed that DEHA, ATBC and TPIB bind in the ligand binding pocket of SHBG and the structural binding results suggested that the three alternate plasticizers may interfere in the steroid binding of SHBG and thus may cause dysfunction in sex steroid homeostasis.","author":[{"dropping-particle":"","family":"Sheikh","given":"Ishfaq A.","non-dropping-particle":"","parse-names":false,"suffix":""},{"dropping-particle":"","family":"Beg","given":"Mohd A.","non-dropping-particle":"","parse-names":false,"suffix":""}],"container-title":"Reproductive Toxicology","id":"ITEM-1","issued":{"date-parts":[["2019"]]},"page":"46-53","publisher":"Elsevier Inc.","title":"Structural characterization of potential endocrine disrupting activity of alternate plasticizers di-(2-ethylhexyl) adipate (DEHA), acetyl tributyl citrate (ATBC) and 2,2,4-trimethyl 1,3-pentanediol diisobutyrate (TPIB) with human sex hormone-binding globu","type":"article-journal","volume":"83"},"uris":["http://www.mendeley.com/documents/?uuid=886c667f-f048-4764-86ce-fe1ee217ab8a"]}],"mendeley":{"formattedCitation":"(Sheikh and Beg 2019)","plainTextFormattedCitation":"(Sheikh and Beg 2019)","previouslyFormattedCitation":"(Sheikh &amp; Beg, 2019)"},"properties":{"noteIndex":0},"schema":"https://github.com/citation-style-language/schema/raw/master/csl-citation.json"}</w:instrText>
      </w:r>
      <w:r w:rsidRPr="00330D6F">
        <w:rPr>
          <w:rFonts w:ascii="Arial" w:hAnsi="Arial" w:cs="Arial"/>
        </w:rPr>
        <w:fldChar w:fldCharType="separate"/>
      </w:r>
      <w:r w:rsidRPr="00330D6F">
        <w:rPr>
          <w:rFonts w:ascii="Arial" w:hAnsi="Arial" w:cs="Arial"/>
        </w:rPr>
        <w:t>(Sheikh and Beg 2019)</w:t>
      </w:r>
      <w:r w:rsidRPr="00330D6F">
        <w:rPr>
          <w:rFonts w:ascii="Arial" w:hAnsi="Arial" w:cs="Arial"/>
        </w:rPr>
        <w:fldChar w:fldCharType="end"/>
      </w:r>
      <w:r w:rsidRPr="00330D6F">
        <w:rPr>
          <w:rFonts w:ascii="Arial" w:hAnsi="Arial" w:cs="Arial"/>
        </w:rPr>
        <w:t xml:space="preserve">. This research focuses on microbial degradation of two among various derivatives of PAEs: Dibutyl Phthalate (DBP) and Benzyl Butyl Phthalate (BBP) by using novel consortium JPN. The reports explore the capability of </w:t>
      </w:r>
      <w:r w:rsidRPr="00330D6F">
        <w:rPr>
          <w:rFonts w:ascii="Arial" w:hAnsi="Arial" w:cs="Arial"/>
          <w:i/>
          <w:iCs/>
        </w:rPr>
        <w:t xml:space="preserve">Bacillus infantis, Atlantibacter hermannii </w:t>
      </w:r>
      <w:r w:rsidRPr="00330D6F">
        <w:rPr>
          <w:rFonts w:ascii="Arial" w:hAnsi="Arial" w:cs="Arial"/>
        </w:rPr>
        <w:t xml:space="preserve">and </w:t>
      </w:r>
      <w:r w:rsidRPr="00330D6F">
        <w:rPr>
          <w:rFonts w:ascii="Arial" w:hAnsi="Arial" w:cs="Arial"/>
          <w:i/>
          <w:iCs/>
        </w:rPr>
        <w:t xml:space="preserve">Stutzerimonas stutzeri </w:t>
      </w:r>
      <w:r w:rsidRPr="00330D6F">
        <w:rPr>
          <w:rFonts w:ascii="Arial" w:hAnsi="Arial" w:cs="Arial"/>
        </w:rPr>
        <w:t xml:space="preserve">for degradation of phthalates. It is observed that </w:t>
      </w:r>
      <w:r w:rsidRPr="00330D6F">
        <w:rPr>
          <w:rFonts w:ascii="Arial" w:hAnsi="Arial" w:cs="Arial"/>
          <w:lang w:val="en-IN"/>
        </w:rPr>
        <w:t>strains have narrow substrate specificity which is limited to either LMW or HMW derivatives of phthalates and can degrade either of it efficiently. While, consortium JPN shows significant degradation efficiency towards both the phthalates in similar time.</w:t>
      </w:r>
    </w:p>
    <w:p w14:paraId="41F75D83" w14:textId="77777777" w:rsidR="00330D6F" w:rsidRPr="00FB3A86" w:rsidRDefault="00330D6F" w:rsidP="002C248C">
      <w:pPr>
        <w:pStyle w:val="Body"/>
        <w:spacing w:after="0"/>
        <w:rPr>
          <w:rFonts w:ascii="Arial" w:hAnsi="Arial" w:cs="Arial"/>
        </w:rPr>
      </w:pPr>
    </w:p>
    <w:p w14:paraId="438DD1FD" w14:textId="15586940" w:rsidR="00E66E10" w:rsidRDefault="00902823" w:rsidP="002C248C">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2BDA510" w14:textId="77777777" w:rsidR="00790ADA" w:rsidRPr="00FB3A86" w:rsidRDefault="00790ADA" w:rsidP="002C248C">
      <w:pPr>
        <w:pStyle w:val="Body"/>
        <w:spacing w:after="0"/>
        <w:rPr>
          <w:rFonts w:ascii="Arial" w:hAnsi="Arial" w:cs="Arial"/>
        </w:rPr>
      </w:pPr>
    </w:p>
    <w:p w14:paraId="7BF665A8" w14:textId="73AF13AB" w:rsidR="00C90CC5" w:rsidRPr="00330D6F" w:rsidRDefault="00AA74E0" w:rsidP="002C248C">
      <w:pPr>
        <w:pStyle w:val="Body"/>
        <w:rPr>
          <w:rFonts w:ascii="Arial" w:hAnsi="Arial" w:cs="Arial"/>
          <w:b/>
          <w:bCs/>
          <w:sz w:val="22"/>
        </w:rPr>
      </w:pPr>
      <w:r w:rsidRPr="00C30A0F">
        <w:rPr>
          <w:rFonts w:ascii="Arial" w:hAnsi="Arial" w:cs="Arial"/>
          <w:b/>
          <w:caps/>
          <w:sz w:val="22"/>
        </w:rPr>
        <w:t xml:space="preserve">2.1 </w:t>
      </w:r>
      <w:r w:rsidR="00330D6F" w:rsidRPr="00330D6F">
        <w:rPr>
          <w:rFonts w:ascii="Arial" w:hAnsi="Arial" w:cs="Arial"/>
          <w:b/>
          <w:bCs/>
          <w:sz w:val="22"/>
        </w:rPr>
        <w:t>Media and Chemicals</w:t>
      </w:r>
    </w:p>
    <w:p w14:paraId="36A6E919" w14:textId="77777777" w:rsidR="00C90CC5" w:rsidRPr="00330D6F" w:rsidRDefault="00C90CC5" w:rsidP="002C248C">
      <w:pPr>
        <w:pStyle w:val="Body"/>
        <w:spacing w:after="0"/>
        <w:rPr>
          <w:rFonts w:ascii="Arial" w:hAnsi="Arial" w:cs="Arial"/>
        </w:rPr>
      </w:pPr>
      <w:r w:rsidRPr="00330D6F">
        <w:rPr>
          <w:rFonts w:ascii="Arial" w:hAnsi="Arial" w:cs="Arial"/>
        </w:rPr>
        <w:t xml:space="preserve">Dibutyl Phthalate (DBP) (98%) Benzyl Butyl Phthalate (BBP) (98%) were purchased from </w:t>
      </w:r>
      <w:r w:rsidRPr="00330D6F">
        <w:rPr>
          <w:rFonts w:ascii="Arial" w:hAnsi="Arial" w:cs="Arial"/>
          <w:lang w:val="en-IN"/>
        </w:rPr>
        <w:t>HiMedia Laboratories Pvt. Ltd. (Mumbai, India). Tween 80</w:t>
      </w:r>
      <w:r w:rsidRPr="00330D6F">
        <w:rPr>
          <w:rFonts w:ascii="Arial" w:hAnsi="Arial" w:cs="Arial"/>
        </w:rPr>
        <w:t xml:space="preserve"> was purchased from Sisco Research Laboratories Pvt. Ltd. (Mumbai, India). All other media, reagents and chemicals were of analytical grade.</w:t>
      </w:r>
    </w:p>
    <w:p w14:paraId="24998CAF" w14:textId="57A925F5" w:rsidR="00505F06" w:rsidRDefault="00505F06" w:rsidP="002C248C">
      <w:pPr>
        <w:pStyle w:val="Body"/>
        <w:spacing w:after="0"/>
        <w:rPr>
          <w:rFonts w:ascii="Arial" w:hAnsi="Arial" w:cs="Arial"/>
        </w:rPr>
      </w:pPr>
    </w:p>
    <w:p w14:paraId="1FA9777D" w14:textId="67884DA0" w:rsidR="00C90CC5" w:rsidRPr="00C90CC5" w:rsidRDefault="00C90CC5" w:rsidP="002C248C">
      <w:pPr>
        <w:pStyle w:val="Body"/>
        <w:rPr>
          <w:rFonts w:ascii="Arial" w:hAnsi="Arial" w:cs="Arial"/>
          <w:b/>
          <w:bCs/>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C90CC5">
        <w:rPr>
          <w:rFonts w:ascii="Arial" w:hAnsi="Arial" w:cs="Arial"/>
          <w:b/>
          <w:bCs/>
          <w:sz w:val="22"/>
        </w:rPr>
        <w:t>Screening and Isolation</w:t>
      </w:r>
    </w:p>
    <w:p w14:paraId="4359B8DF" w14:textId="77777777" w:rsidR="00C90CC5" w:rsidRPr="00C90CC5" w:rsidRDefault="00C90CC5" w:rsidP="002C248C">
      <w:pPr>
        <w:pStyle w:val="Body"/>
        <w:rPr>
          <w:rFonts w:ascii="Arial" w:hAnsi="Arial" w:cs="Arial"/>
        </w:rPr>
      </w:pPr>
      <w:r w:rsidRPr="00C90CC5">
        <w:rPr>
          <w:rFonts w:ascii="Arial" w:hAnsi="Arial" w:cs="Arial"/>
        </w:rPr>
        <w:lastRenderedPageBreak/>
        <w:t>Plastic polluted samples were collected from local dumping yard (Lat. 23.0991788, Long. 70.0492221) of Kachchh, Gujarat, India. Screening of PAEs degrading organisms was carried out with Mineral Salt Medium (MSM) containing (g/L) MgSO</w:t>
      </w:r>
      <w:r w:rsidRPr="00C90CC5">
        <w:rPr>
          <w:rFonts w:ascii="Arial" w:hAnsi="Arial" w:cs="Arial"/>
          <w:vertAlign w:val="subscript"/>
        </w:rPr>
        <w:t>4</w:t>
      </w:r>
      <w:r w:rsidRPr="00C90CC5">
        <w:rPr>
          <w:rFonts w:ascii="Segoe UI Symbol" w:hAnsi="Segoe UI Symbol" w:cs="Segoe UI Symbol"/>
        </w:rPr>
        <w:t>⸳</w:t>
      </w:r>
      <w:r w:rsidRPr="00C90CC5">
        <w:rPr>
          <w:rFonts w:ascii="Arial" w:hAnsi="Arial" w:cs="Arial"/>
        </w:rPr>
        <w:t>7H</w:t>
      </w:r>
      <w:r w:rsidRPr="00C90CC5">
        <w:rPr>
          <w:rFonts w:ascii="Arial" w:hAnsi="Arial" w:cs="Arial"/>
          <w:vertAlign w:val="subscript"/>
        </w:rPr>
        <w:t>2</w:t>
      </w:r>
      <w:r w:rsidRPr="00C90CC5">
        <w:rPr>
          <w:rFonts w:ascii="Arial" w:hAnsi="Arial" w:cs="Arial"/>
        </w:rPr>
        <w:t>O 0.40, KH</w:t>
      </w:r>
      <w:r w:rsidRPr="00C90CC5">
        <w:rPr>
          <w:rFonts w:ascii="Arial" w:hAnsi="Arial" w:cs="Arial"/>
          <w:vertAlign w:val="subscript"/>
        </w:rPr>
        <w:t>2</w:t>
      </w:r>
      <w:r w:rsidRPr="00C90CC5">
        <w:rPr>
          <w:rFonts w:ascii="Arial" w:hAnsi="Arial" w:cs="Arial"/>
        </w:rPr>
        <w:t>PO</w:t>
      </w:r>
      <w:r w:rsidRPr="00C90CC5">
        <w:rPr>
          <w:rFonts w:ascii="Arial" w:hAnsi="Arial" w:cs="Arial"/>
          <w:vertAlign w:val="subscript"/>
        </w:rPr>
        <w:t xml:space="preserve">4 </w:t>
      </w:r>
      <w:r w:rsidRPr="00C90CC5">
        <w:rPr>
          <w:rFonts w:ascii="Arial" w:hAnsi="Arial" w:cs="Arial"/>
        </w:rPr>
        <w:t>1.0, NH</w:t>
      </w:r>
      <w:r w:rsidRPr="00C90CC5">
        <w:rPr>
          <w:rFonts w:ascii="Arial" w:hAnsi="Arial" w:cs="Arial"/>
          <w:vertAlign w:val="subscript"/>
        </w:rPr>
        <w:t>4</w:t>
      </w:r>
      <w:r w:rsidRPr="00C90CC5">
        <w:rPr>
          <w:rFonts w:ascii="Arial" w:hAnsi="Arial" w:cs="Arial"/>
        </w:rPr>
        <w:t>NO</w:t>
      </w:r>
      <w:r w:rsidRPr="00C90CC5">
        <w:rPr>
          <w:rFonts w:ascii="Arial" w:hAnsi="Arial" w:cs="Arial"/>
          <w:vertAlign w:val="subscript"/>
        </w:rPr>
        <w:t xml:space="preserve">3 </w:t>
      </w:r>
      <w:r w:rsidRPr="00C90CC5">
        <w:rPr>
          <w:rFonts w:ascii="Arial" w:hAnsi="Arial" w:cs="Arial"/>
        </w:rPr>
        <w:t>1.0, CaCl</w:t>
      </w:r>
      <w:r w:rsidRPr="00C90CC5">
        <w:rPr>
          <w:rFonts w:ascii="Arial" w:hAnsi="Arial" w:cs="Arial"/>
          <w:vertAlign w:val="subscript"/>
        </w:rPr>
        <w:t xml:space="preserve">2 </w:t>
      </w:r>
      <w:r w:rsidRPr="00C90CC5">
        <w:rPr>
          <w:rFonts w:ascii="Arial" w:hAnsi="Arial" w:cs="Arial"/>
        </w:rPr>
        <w:t>0.02, Na</w:t>
      </w:r>
      <w:r w:rsidRPr="00C90CC5">
        <w:rPr>
          <w:rFonts w:ascii="Arial" w:hAnsi="Arial" w:cs="Arial"/>
          <w:vertAlign w:val="subscript"/>
        </w:rPr>
        <w:t>2</w:t>
      </w:r>
      <w:r w:rsidRPr="00C90CC5">
        <w:rPr>
          <w:rFonts w:ascii="Arial" w:hAnsi="Arial" w:cs="Arial"/>
        </w:rPr>
        <w:t>HPO</w:t>
      </w:r>
      <w:r w:rsidRPr="00C90CC5">
        <w:rPr>
          <w:rFonts w:ascii="Arial" w:hAnsi="Arial" w:cs="Arial"/>
          <w:vertAlign w:val="subscript"/>
        </w:rPr>
        <w:t>4</w:t>
      </w:r>
      <w:r w:rsidRPr="00C90CC5">
        <w:rPr>
          <w:rFonts w:ascii="Segoe UI Symbol" w:hAnsi="Segoe UI Symbol" w:cs="Segoe UI Symbol"/>
        </w:rPr>
        <w:t>⸳</w:t>
      </w:r>
      <w:r w:rsidRPr="00C90CC5">
        <w:rPr>
          <w:rFonts w:ascii="Arial" w:hAnsi="Arial" w:cs="Arial"/>
        </w:rPr>
        <w:t>12H</w:t>
      </w:r>
      <w:r w:rsidRPr="00C90CC5">
        <w:rPr>
          <w:rFonts w:ascii="Arial" w:hAnsi="Arial" w:cs="Arial"/>
          <w:vertAlign w:val="subscript"/>
        </w:rPr>
        <w:t>2</w:t>
      </w:r>
      <w:r w:rsidRPr="00C90CC5">
        <w:rPr>
          <w:rFonts w:ascii="Arial" w:hAnsi="Arial" w:cs="Arial"/>
        </w:rPr>
        <w:t>O 6.0, FeCl</w:t>
      </w:r>
      <w:r w:rsidRPr="00C90CC5">
        <w:rPr>
          <w:rFonts w:ascii="Arial" w:hAnsi="Arial" w:cs="Arial"/>
          <w:vertAlign w:val="subscript"/>
        </w:rPr>
        <w:t>3</w:t>
      </w:r>
      <w:r w:rsidRPr="00C90CC5">
        <w:rPr>
          <w:rFonts w:ascii="Segoe UI Symbol" w:hAnsi="Segoe UI Symbol" w:cs="Segoe UI Symbol"/>
        </w:rPr>
        <w:t>⸳</w:t>
      </w:r>
      <w:r w:rsidRPr="00C90CC5">
        <w:rPr>
          <w:rFonts w:ascii="Arial" w:hAnsi="Arial" w:cs="Arial"/>
        </w:rPr>
        <w:t>6H</w:t>
      </w:r>
      <w:r w:rsidRPr="00C90CC5">
        <w:rPr>
          <w:rFonts w:ascii="Arial" w:hAnsi="Arial" w:cs="Arial"/>
          <w:vertAlign w:val="subscript"/>
        </w:rPr>
        <w:t>2</w:t>
      </w:r>
      <w:r w:rsidRPr="00C90CC5">
        <w:rPr>
          <w:rFonts w:ascii="Arial" w:hAnsi="Arial" w:cs="Arial"/>
        </w:rPr>
        <w:t xml:space="preserve">O 0.08 was prepared according to </w:t>
      </w:r>
      <w:r w:rsidRPr="00C90CC5">
        <w:rPr>
          <w:rFonts w:ascii="Arial" w:hAnsi="Arial" w:cs="Arial"/>
        </w:rPr>
        <w:fldChar w:fldCharType="begin" w:fldLock="1"/>
      </w:r>
      <w:r w:rsidRPr="00C90CC5">
        <w:rPr>
          <w:rFonts w:ascii="Arial" w:hAnsi="Arial" w:cs="Arial"/>
        </w:rPr>
        <w:instrText>ADDIN CSL_CITATION {"citationItems":[{"id":"ITEM-1","itemData":{"DOI":"10.2166/ws.2020.347","ISSN":"16070798","abstract":"Endocrine-disrupting chemicals (EDCs) like phthalates, mostly discharged in industrial effluents, cause detrimental effects to different life forms, and hence their removal from constituent wastewater is necessary. This study investigated the kinetics of biomass growth and biodegradation of benzyl butyl phthalate (BBP) and dibutyl phthalate (DBP) by Arthrobacter sp. in a surfactant-aided batch system. The effect of different surfactants on aqueous solubility of BBP and DBP was initially examined, which showed that Tween 80 resulted in maximum bioavailability and biodegradation efficiency of the phthalates by the bacterium and without inhibiting the biomass growth. Compared with BBP, DBP was found to be efficiently degraded and supported the bacterial growth within a short period of time over the entire concentration tested in the range 100–1,000 mg L-1. A maximum biomass concentration of 1.819 g L-1 was obtained at 120 h for a DBP concentration of 600 mg L-1 in the presence of Tween 80, which is 5.66-fold increase in biomass concentration as compared with only DBP as the sole substrate. For evaluating the biokinetic parameters involved in DBP biodegradation, the experimental data on DBP utilization were fitted to various kinetic models as reported in the literature.","author":[{"dropping-particle":"","family":"Nandi","given":"Moumita","non-dropping-particle":"","parse-names":false,"suffix":""},{"dropping-particle":"","family":"Kanaujiya","given":"Dipak Kumar","non-dropping-particle":"","parse-names":false,"suffix":""},{"dropping-particle":"","family":"Pakshirajan","given":"Kannan","non-dropping-particle":"","parse-names":false,"suffix":""},{"dropping-particle":"","family":"Paul","given":"Tanushree","non-dropping-particle":"","parse-names":false,"suffix":""},{"dropping-particle":"","family":"Pakshirajan","given":"Kannan","non-dropping-particle":"","parse-names":false,"suffix":""},{"dropping-particle":"","family":"Pugazhenthi","given":"G.","non-dropping-particle":"","parse-names":false,"suffix":""},{"dropping-particle":"","family":"Baskaran","given":"Divya","non-dropping-particle":"","parse-names":false,"suffix":""},{"dropping-particle":"","family":"Pugazhenthi","given":"G.","non-dropping-particle":"","parse-names":false,"suffix":""}],"container-title":"Water Supply","id":"ITEM-1","issue":"5","issued":{"date-parts":[["2021"]]},"page":"2084-2098","title":"Biodegradation of benzyl butyl phthalate and dibutyl phthalate by Arthrobacter sp. via micellar solubilization in a surfactant-aided system","type":"article-journal","volume":"21"},"uris":["http://www.mendeley.com/documents/?uuid=f73bc7e2-2308-4ef6-98d4-1d3f94636efd"]}],"mendeley":{"formattedCitation":"(Nandi et al. 2021)","plainTextFormattedCitation":"(Nandi et al. 2021)","previouslyFormattedCitation":"(Nandi et al., 2021)"},"properties":{"noteIndex":0},"schema":"https://github.com/citation-style-language/schema/raw/master/csl-citation.json"}</w:instrText>
      </w:r>
      <w:r w:rsidRPr="00C90CC5">
        <w:rPr>
          <w:rFonts w:ascii="Arial" w:hAnsi="Arial" w:cs="Arial"/>
        </w:rPr>
        <w:fldChar w:fldCharType="separate"/>
      </w:r>
      <w:r w:rsidRPr="00C90CC5">
        <w:rPr>
          <w:rFonts w:ascii="Arial" w:hAnsi="Arial" w:cs="Arial"/>
        </w:rPr>
        <w:t>(Nandi et al. 2021)</w:t>
      </w:r>
      <w:r w:rsidRPr="00C90CC5">
        <w:rPr>
          <w:rFonts w:ascii="Arial" w:hAnsi="Arial" w:cs="Arial"/>
        </w:rPr>
        <w:fldChar w:fldCharType="end"/>
      </w:r>
      <w:r w:rsidRPr="00C90CC5">
        <w:rPr>
          <w:rFonts w:ascii="Arial" w:hAnsi="Arial" w:cs="Arial"/>
        </w:rPr>
        <w:t xml:space="preserve"> with slight modifications. Tween 80 was added to the medium to increase the solubility of PAEs </w:t>
      </w:r>
      <w:r w:rsidRPr="00C90CC5">
        <w:rPr>
          <w:rFonts w:ascii="Arial" w:hAnsi="Arial" w:cs="Arial"/>
        </w:rPr>
        <w:fldChar w:fldCharType="begin" w:fldLock="1"/>
      </w:r>
      <w:r w:rsidRPr="00C90CC5">
        <w:rPr>
          <w:rFonts w:ascii="Arial" w:hAnsi="Arial" w:cs="Arial"/>
        </w:rPr>
        <w:instrText>ADDIN CSL_CITATION {"citationItems":[{"id":"ITEM-1","itemData":{"DOI":"10.1016/j.ibiod.2017.01.004","ISSN":"09648305","abstract":"A bacterial strain capable of degrading di(2-ethylhexyl) phthalate (DEHP) from the artificially contaminated water (with over 90% removal within 5 days of incubation) was isolated from the activated sludge obtained from a regional wastewater treatment plant in Macau Special Administrative Region, China. The isolate was identified as Acinetobacter sp. SN13 by the 16S rRNA gene sequence analysis. Two major experimental parameters, temperature (25, 30, 35 °C) and pH (3–9), were further optimized to enhance the biodegradation efficiency for DEHP. The optimal temperature was 30 °C while there were no significant differences for the pH range tested, 6–9 (p = 0.87). The growth kinetics of this indigenous isolate on DEHP followed the inhibition model, with the maximum degradation rate, the half saturation constant, and the inhibition constant of 124.8 mg l−1 day−1, 272.3 mg l−1, and 720.5 mg l−1, respectively. The inhibition model for the specific growth rate was also simulated using Matlab software, and the respective maximum specific growth rate, half saturation constant, and inhibition constant were 0.1192 day−1, 137.6 mg l−1, and 850.3 mg l−1. The highest degradation rate was achieved when the initial concentration of DEHP was 400 mg l−1. Ferric ion (Fe3+ at 100–1000 μg l−1) showed the stimulatory effect on the DEHP biodegradation, while Mn2+ stimulated the biodegradation at lower concentrations (100 μg l−1) but inhibited at higher concentrations (500–1000 μg l−1). The respective DEHP degradation pathway for the isolate is also proposed by the identification of the following intermediates: mono-(2-ethylhexyl) phthalate (MEHP), phthalic acid (PA), protocatechuate, β-carboxy-cis,cis-muconic acid, and 3-katoadipate.","author":[{"dropping-particle":"","family":"Xu","given":"Jiaming","non-dropping-particle":"","parse-names":false,"suffix":""},{"dropping-particle":"","family":"Lu","given":"Qihong","non-dropping-particle":"","parse-names":false,"suffix":""},{"dropping-particle":"","family":"Toledo","given":"Renata Alves","non-dropping-particle":"de","parse-names":false,"suffix":""},{"dropping-particle":"","family":"Shim","given":"Hojae","non-dropping-particle":"","parse-names":false,"suffix":""}],"container-title":"International Biodeterioration and Biodegradation","id":"ITEM-1","issued":{"date-parts":[["2017"]]},"page":"205-214","publisher":"Elsevier Ltd","title":"Degradation of di-2-ethylhexyl phthalate (DEHP) by an indigenous isolate Acinetobacter sp. SN13","type":"article-journal","volume":"117"},"uris":["http://www.mendeley.com/documents/?uuid=0e7e1242-8b7f-40ef-98fc-a68c87b0d2fe"]}],"mendeley":{"formattedCitation":"(Xu et al. 2017)","plainTextFormattedCitation":"(Xu et al. 2017)","previouslyFormattedCitation":"(J. Xu et al., 2017)"},"properties":{"noteIndex":0},"schema":"https://github.com/citation-style-language/schema/raw/master/csl-citation.json"}</w:instrText>
      </w:r>
      <w:r w:rsidRPr="00C90CC5">
        <w:rPr>
          <w:rFonts w:ascii="Arial" w:hAnsi="Arial" w:cs="Arial"/>
        </w:rPr>
        <w:fldChar w:fldCharType="separate"/>
      </w:r>
      <w:r w:rsidRPr="00C90CC5">
        <w:rPr>
          <w:rFonts w:ascii="Arial" w:hAnsi="Arial" w:cs="Arial"/>
        </w:rPr>
        <w:t>(Xu et al. 2017)</w:t>
      </w:r>
      <w:r w:rsidRPr="00C90CC5">
        <w:rPr>
          <w:rFonts w:ascii="Arial" w:hAnsi="Arial" w:cs="Arial"/>
        </w:rPr>
        <w:fldChar w:fldCharType="end"/>
      </w:r>
      <w:r w:rsidRPr="00C90CC5">
        <w:rPr>
          <w:rFonts w:ascii="Arial" w:hAnsi="Arial" w:cs="Arial"/>
        </w:rPr>
        <w:t xml:space="preserve">. For screening; 10 g of soil and 10 mL of water sample was added in 100 mL MSM containing 100 mg/L DBP and BBP individually. Flasks were incubated in shaking condition at 25˚C for 5 days. Culture was transferred into the fresh medium at regular time intervals for 3 months and maintained at 4˚C. Degradation was confirmed by HPLC analysis. </w:t>
      </w:r>
    </w:p>
    <w:p w14:paraId="64162145" w14:textId="4E76E640" w:rsidR="00C90CC5" w:rsidRPr="00C90CC5" w:rsidRDefault="00C90CC5" w:rsidP="002C248C">
      <w:pPr>
        <w:pStyle w:val="Body"/>
        <w:rPr>
          <w:rFonts w:ascii="Arial" w:hAnsi="Arial" w:cs="Arial"/>
          <w:b/>
          <w:bCs/>
          <w:sz w:val="22"/>
        </w:rPr>
      </w:pPr>
      <w:r>
        <w:rPr>
          <w:rFonts w:ascii="Arial" w:hAnsi="Arial" w:cs="Arial"/>
          <w:b/>
          <w:bCs/>
          <w:sz w:val="22"/>
        </w:rPr>
        <w:t xml:space="preserve">2.3 </w:t>
      </w:r>
      <w:r w:rsidRPr="00C90CC5">
        <w:rPr>
          <w:rFonts w:ascii="Arial" w:hAnsi="Arial" w:cs="Arial"/>
          <w:b/>
          <w:bCs/>
          <w:sz w:val="22"/>
        </w:rPr>
        <w:t>Identification of Potent Cultures</w:t>
      </w:r>
    </w:p>
    <w:p w14:paraId="4007413D" w14:textId="77777777" w:rsidR="00C90CC5" w:rsidRPr="00C90CC5" w:rsidRDefault="00C90CC5" w:rsidP="002C248C">
      <w:pPr>
        <w:pStyle w:val="Body"/>
        <w:rPr>
          <w:rFonts w:ascii="Arial" w:hAnsi="Arial" w:cs="Arial"/>
        </w:rPr>
      </w:pPr>
      <w:r w:rsidRPr="00C90CC5">
        <w:rPr>
          <w:rFonts w:ascii="Arial" w:hAnsi="Arial" w:cs="Arial"/>
        </w:rPr>
        <w:t>Identification of potent bacterial cultures was done by 16S rRNA gene sequencing. DNA quality was checked by 1% Agarose gel electrophoresis. 16S rRNA gene fragments were amplified by PCR and purified by column purification. This PCR amplicon was subjected to DNA Sequencing by 27F &amp; 1391R primers using BDT v3.1 Cycle Sequencing Kit on ABI 3500xl Genetic Analyzer. This sequence was used to carry out BLAST analysis with NCBI GenBank database.</w:t>
      </w:r>
    </w:p>
    <w:p w14:paraId="715E8D96" w14:textId="0F2F91D1" w:rsidR="00C90CC5" w:rsidRPr="00C90CC5" w:rsidRDefault="00C90CC5" w:rsidP="002C248C">
      <w:pPr>
        <w:pStyle w:val="Body"/>
        <w:rPr>
          <w:rFonts w:ascii="Arial" w:hAnsi="Arial" w:cs="Arial"/>
          <w:b/>
          <w:bCs/>
          <w:sz w:val="22"/>
        </w:rPr>
      </w:pPr>
      <w:r>
        <w:rPr>
          <w:rFonts w:ascii="Arial" w:hAnsi="Arial" w:cs="Arial"/>
          <w:b/>
          <w:bCs/>
          <w:sz w:val="22"/>
        </w:rPr>
        <w:t xml:space="preserve">2.4 </w:t>
      </w:r>
      <w:r w:rsidRPr="00C90CC5">
        <w:rPr>
          <w:rFonts w:ascii="Arial" w:hAnsi="Arial" w:cs="Arial"/>
          <w:b/>
          <w:bCs/>
          <w:sz w:val="22"/>
        </w:rPr>
        <w:t>Optimization and Statistical Study</w:t>
      </w:r>
    </w:p>
    <w:p w14:paraId="536A97D2" w14:textId="77777777" w:rsidR="00C90CC5" w:rsidRDefault="00C90CC5" w:rsidP="002C248C">
      <w:pPr>
        <w:pStyle w:val="Body"/>
        <w:rPr>
          <w:rFonts w:ascii="Arial" w:hAnsi="Arial" w:cs="Arial"/>
        </w:rPr>
      </w:pPr>
      <w:r w:rsidRPr="00C90CC5">
        <w:rPr>
          <w:rFonts w:ascii="Arial" w:hAnsi="Arial" w:cs="Arial"/>
        </w:rPr>
        <w:t xml:space="preserve">Effect of environmental parameters was checked on the degradation; DBP and BBP were employed as sole source of carbon for every parameter. These parameters included pH (3.0 to 11.0 with increment of 2.0 each), temperature (15 to 40˚C with the increment of 5˚C), inoculum size (2 to 14 % v/v with 2% v/v increase) and PAEs’s concentration (100 to 500 mg/L with the increase of 100 mg/L). For control; uncultured MSM with 100 mg/L DBP and BBP individually was used. Preliminary optimization study was carried out by one factor at time (OFAT) method. To validate these data, statistical analysis was accomplished by Response Surface Methodology employed with Box-Behnken design (BBD). Statistical tool used was Design Expert version 13.0 (Stat-Ease, Inc.). Three variables were chosen for statistical analysis- pH, temperature and inoculum size. Range of parameters considered for the study are mentioned in </w:t>
      </w:r>
      <w:r w:rsidRPr="00C90CC5">
        <w:rPr>
          <w:rFonts w:ascii="Arial" w:hAnsi="Arial" w:cs="Arial"/>
        </w:rPr>
        <w:fldChar w:fldCharType="begin"/>
      </w:r>
      <w:r w:rsidRPr="00C90CC5">
        <w:rPr>
          <w:rFonts w:ascii="Arial" w:hAnsi="Arial" w:cs="Arial"/>
        </w:rPr>
        <w:instrText xml:space="preserve"> REF _Ref216108285 \h  \* MERGEFORMAT </w:instrText>
      </w:r>
      <w:r w:rsidRPr="00C90CC5">
        <w:rPr>
          <w:rFonts w:ascii="Arial" w:hAnsi="Arial" w:cs="Arial"/>
        </w:rPr>
      </w:r>
      <w:r w:rsidRPr="00C90CC5">
        <w:rPr>
          <w:rFonts w:ascii="Arial" w:hAnsi="Arial" w:cs="Arial"/>
        </w:rPr>
        <w:fldChar w:fldCharType="separate"/>
      </w:r>
      <w:r w:rsidRPr="00C90CC5">
        <w:rPr>
          <w:rFonts w:ascii="Arial" w:hAnsi="Arial" w:cs="Arial"/>
          <w:lang w:val="en-IN"/>
        </w:rPr>
        <w:t>Table 1</w:t>
      </w:r>
      <w:r w:rsidRPr="00C90CC5">
        <w:rPr>
          <w:rFonts w:ascii="Arial" w:hAnsi="Arial" w:cs="Arial"/>
        </w:rPr>
        <w:fldChar w:fldCharType="end"/>
      </w:r>
      <w:r w:rsidRPr="00C90CC5">
        <w:rPr>
          <w:rFonts w:ascii="Arial" w:hAnsi="Arial" w:cs="Arial"/>
        </w:rPr>
        <w:t xml:space="preserve">. </w:t>
      </w:r>
    </w:p>
    <w:p w14:paraId="6A52389C" w14:textId="77777777" w:rsidR="00C90CC5" w:rsidRPr="00C90CC5" w:rsidRDefault="00C90CC5" w:rsidP="002C248C">
      <w:pPr>
        <w:pStyle w:val="Body"/>
        <w:spacing w:line="480" w:lineRule="auto"/>
        <w:jc w:val="center"/>
        <w:rPr>
          <w:rFonts w:ascii="Arial" w:hAnsi="Arial" w:cs="Arial"/>
          <w:b/>
          <w:bCs/>
          <w:i/>
          <w:iCs/>
          <w:lang w:val="en-IN"/>
        </w:rPr>
      </w:pPr>
      <w:r w:rsidRPr="00C90CC5">
        <w:rPr>
          <w:rFonts w:ascii="Arial" w:hAnsi="Arial" w:cs="Arial"/>
          <w:b/>
          <w:bCs/>
          <w:lang w:val="en-IN"/>
        </w:rPr>
        <w:t xml:space="preserve">Table </w:t>
      </w:r>
      <w:r w:rsidRPr="00C90CC5">
        <w:rPr>
          <w:rFonts w:ascii="Arial" w:hAnsi="Arial" w:cs="Arial"/>
          <w:b/>
          <w:bCs/>
          <w:lang w:val="en-IN"/>
        </w:rPr>
        <w:fldChar w:fldCharType="begin"/>
      </w:r>
      <w:r w:rsidRPr="00C90CC5">
        <w:rPr>
          <w:rFonts w:ascii="Arial" w:hAnsi="Arial" w:cs="Arial"/>
          <w:b/>
          <w:bCs/>
          <w:lang w:val="en-IN"/>
        </w:rPr>
        <w:instrText xml:space="preserve"> SEQ Table \* ARABIC </w:instrText>
      </w:r>
      <w:r w:rsidRPr="00C90CC5">
        <w:rPr>
          <w:rFonts w:ascii="Arial" w:hAnsi="Arial" w:cs="Arial"/>
          <w:b/>
          <w:bCs/>
          <w:lang w:val="en-IN"/>
        </w:rPr>
        <w:fldChar w:fldCharType="separate"/>
      </w:r>
      <w:r w:rsidRPr="00C90CC5">
        <w:rPr>
          <w:rFonts w:ascii="Arial" w:hAnsi="Arial" w:cs="Arial"/>
          <w:b/>
          <w:bCs/>
          <w:lang w:val="en-IN"/>
        </w:rPr>
        <w:t>1</w:t>
      </w:r>
      <w:r w:rsidRPr="00C90CC5">
        <w:rPr>
          <w:rFonts w:ascii="Arial" w:hAnsi="Arial" w:cs="Arial"/>
        </w:rPr>
        <w:fldChar w:fldCharType="end"/>
      </w:r>
      <w:r w:rsidRPr="00C90CC5">
        <w:rPr>
          <w:rFonts w:ascii="Arial" w:hAnsi="Arial" w:cs="Arial"/>
          <w:b/>
          <w:bCs/>
          <w:lang w:val="en-IN"/>
        </w:rPr>
        <w:t xml:space="preserve"> Range of Parameters</w:t>
      </w:r>
    </w:p>
    <w:tbl>
      <w:tblPr>
        <w:tblStyle w:val="TableGrid"/>
        <w:tblW w:w="8583" w:type="dxa"/>
        <w:jc w:val="center"/>
        <w:tblLook w:val="04A0" w:firstRow="1" w:lastRow="0" w:firstColumn="1" w:lastColumn="0" w:noHBand="0" w:noVBand="1"/>
      </w:tblPr>
      <w:tblGrid>
        <w:gridCol w:w="2182"/>
        <w:gridCol w:w="2274"/>
        <w:gridCol w:w="1369"/>
        <w:gridCol w:w="1368"/>
        <w:gridCol w:w="1390"/>
      </w:tblGrid>
      <w:tr w:rsidR="00C90CC5" w:rsidRPr="00C90CC5" w14:paraId="21B1B678" w14:textId="77777777" w:rsidTr="002C248C">
        <w:trPr>
          <w:trHeight w:val="274"/>
          <w:jc w:val="center"/>
        </w:trPr>
        <w:tc>
          <w:tcPr>
            <w:tcW w:w="2329" w:type="dxa"/>
          </w:tcPr>
          <w:p w14:paraId="6F529821"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Factors</w:t>
            </w:r>
          </w:p>
        </w:tc>
        <w:tc>
          <w:tcPr>
            <w:tcW w:w="1984" w:type="dxa"/>
          </w:tcPr>
          <w:p w14:paraId="4EA31390"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Range</w:t>
            </w:r>
          </w:p>
        </w:tc>
        <w:tc>
          <w:tcPr>
            <w:tcW w:w="1418" w:type="dxa"/>
          </w:tcPr>
          <w:p w14:paraId="6132529A"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Minimum (-1)</w:t>
            </w:r>
          </w:p>
        </w:tc>
        <w:tc>
          <w:tcPr>
            <w:tcW w:w="1417" w:type="dxa"/>
          </w:tcPr>
          <w:p w14:paraId="6297CF3C"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Optimum (0)</w:t>
            </w:r>
          </w:p>
        </w:tc>
        <w:tc>
          <w:tcPr>
            <w:tcW w:w="1435" w:type="dxa"/>
          </w:tcPr>
          <w:p w14:paraId="74F62336" w14:textId="77777777" w:rsidR="00C90CC5" w:rsidRPr="00C90CC5" w:rsidRDefault="00C90CC5" w:rsidP="002C248C">
            <w:pPr>
              <w:pStyle w:val="Body"/>
              <w:spacing w:line="480" w:lineRule="auto"/>
              <w:jc w:val="center"/>
              <w:rPr>
                <w:rFonts w:ascii="Arial" w:hAnsi="Arial" w:cs="Arial"/>
                <w:b/>
                <w:bCs/>
                <w:sz w:val="20"/>
                <w:szCs w:val="20"/>
              </w:rPr>
            </w:pPr>
            <w:r w:rsidRPr="00C90CC5">
              <w:rPr>
                <w:rFonts w:ascii="Arial" w:hAnsi="Arial" w:cs="Arial"/>
                <w:b/>
                <w:bCs/>
                <w:sz w:val="20"/>
                <w:szCs w:val="20"/>
              </w:rPr>
              <w:t>Maximum (+1)</w:t>
            </w:r>
          </w:p>
        </w:tc>
      </w:tr>
      <w:tr w:rsidR="00C90CC5" w:rsidRPr="00C90CC5" w14:paraId="770FD841" w14:textId="77777777" w:rsidTr="002C248C">
        <w:trPr>
          <w:trHeight w:val="158"/>
          <w:jc w:val="center"/>
        </w:trPr>
        <w:tc>
          <w:tcPr>
            <w:tcW w:w="2329" w:type="dxa"/>
          </w:tcPr>
          <w:p w14:paraId="39B1EA24" w14:textId="77777777" w:rsidR="00C90CC5" w:rsidRPr="00C90CC5" w:rsidRDefault="00C90CC5" w:rsidP="002C248C">
            <w:pPr>
              <w:pStyle w:val="Body"/>
              <w:spacing w:line="480" w:lineRule="auto"/>
              <w:jc w:val="left"/>
              <w:rPr>
                <w:rFonts w:ascii="Arial" w:hAnsi="Arial" w:cs="Arial"/>
                <w:sz w:val="20"/>
                <w:szCs w:val="20"/>
              </w:rPr>
            </w:pPr>
            <w:r w:rsidRPr="00C90CC5">
              <w:rPr>
                <w:rFonts w:ascii="Arial" w:hAnsi="Arial" w:cs="Arial"/>
                <w:sz w:val="20"/>
                <w:szCs w:val="20"/>
              </w:rPr>
              <w:t>pH</w:t>
            </w:r>
          </w:p>
        </w:tc>
        <w:tc>
          <w:tcPr>
            <w:tcW w:w="1984" w:type="dxa"/>
          </w:tcPr>
          <w:p w14:paraId="79704B07"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3.0,5.0,7.0,8.0,9.0,11.0</w:t>
            </w:r>
          </w:p>
        </w:tc>
        <w:tc>
          <w:tcPr>
            <w:tcW w:w="1418" w:type="dxa"/>
          </w:tcPr>
          <w:p w14:paraId="63FB5795"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7.0</w:t>
            </w:r>
          </w:p>
        </w:tc>
        <w:tc>
          <w:tcPr>
            <w:tcW w:w="1417" w:type="dxa"/>
          </w:tcPr>
          <w:p w14:paraId="3C5BDBB3"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8.0</w:t>
            </w:r>
          </w:p>
        </w:tc>
        <w:tc>
          <w:tcPr>
            <w:tcW w:w="1435" w:type="dxa"/>
          </w:tcPr>
          <w:p w14:paraId="2B084370"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9.0</w:t>
            </w:r>
          </w:p>
        </w:tc>
      </w:tr>
      <w:tr w:rsidR="00C90CC5" w:rsidRPr="00C90CC5" w14:paraId="13878097" w14:textId="77777777" w:rsidTr="002C248C">
        <w:trPr>
          <w:trHeight w:val="242"/>
          <w:jc w:val="center"/>
        </w:trPr>
        <w:tc>
          <w:tcPr>
            <w:tcW w:w="2329" w:type="dxa"/>
          </w:tcPr>
          <w:p w14:paraId="35E83B23" w14:textId="77777777" w:rsidR="00C90CC5" w:rsidRPr="00C90CC5" w:rsidRDefault="00C90CC5" w:rsidP="002C248C">
            <w:pPr>
              <w:pStyle w:val="Body"/>
              <w:spacing w:line="480" w:lineRule="auto"/>
              <w:jc w:val="left"/>
              <w:rPr>
                <w:rFonts w:ascii="Arial" w:hAnsi="Arial" w:cs="Arial"/>
                <w:sz w:val="20"/>
                <w:szCs w:val="20"/>
              </w:rPr>
            </w:pPr>
            <w:r w:rsidRPr="00C90CC5">
              <w:rPr>
                <w:rFonts w:ascii="Arial" w:hAnsi="Arial" w:cs="Arial"/>
                <w:sz w:val="20"/>
                <w:szCs w:val="20"/>
              </w:rPr>
              <w:t>Temperature (˚C)</w:t>
            </w:r>
          </w:p>
        </w:tc>
        <w:tc>
          <w:tcPr>
            <w:tcW w:w="1984" w:type="dxa"/>
          </w:tcPr>
          <w:p w14:paraId="29317B91"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15,20,25,30,35,40</w:t>
            </w:r>
          </w:p>
        </w:tc>
        <w:tc>
          <w:tcPr>
            <w:tcW w:w="1418" w:type="dxa"/>
          </w:tcPr>
          <w:p w14:paraId="6A5E38F3"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20</w:t>
            </w:r>
          </w:p>
        </w:tc>
        <w:tc>
          <w:tcPr>
            <w:tcW w:w="1417" w:type="dxa"/>
          </w:tcPr>
          <w:p w14:paraId="3BBBA2DC"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25</w:t>
            </w:r>
          </w:p>
        </w:tc>
        <w:tc>
          <w:tcPr>
            <w:tcW w:w="1435" w:type="dxa"/>
          </w:tcPr>
          <w:p w14:paraId="2863B0EF"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30</w:t>
            </w:r>
          </w:p>
        </w:tc>
      </w:tr>
      <w:tr w:rsidR="00C90CC5" w:rsidRPr="00C90CC5" w14:paraId="43D80D19" w14:textId="77777777" w:rsidTr="002C248C">
        <w:trPr>
          <w:trHeight w:val="42"/>
          <w:jc w:val="center"/>
        </w:trPr>
        <w:tc>
          <w:tcPr>
            <w:tcW w:w="2329" w:type="dxa"/>
          </w:tcPr>
          <w:p w14:paraId="505CEA6F" w14:textId="77777777" w:rsidR="00C90CC5" w:rsidRPr="00C90CC5" w:rsidRDefault="00C90CC5" w:rsidP="002C248C">
            <w:pPr>
              <w:pStyle w:val="Body"/>
              <w:spacing w:line="480" w:lineRule="auto"/>
              <w:jc w:val="left"/>
              <w:rPr>
                <w:rFonts w:ascii="Arial" w:hAnsi="Arial" w:cs="Arial"/>
                <w:sz w:val="20"/>
                <w:szCs w:val="20"/>
              </w:rPr>
            </w:pPr>
            <w:r w:rsidRPr="00C90CC5">
              <w:rPr>
                <w:rFonts w:ascii="Arial" w:hAnsi="Arial" w:cs="Arial"/>
                <w:sz w:val="20"/>
                <w:szCs w:val="20"/>
              </w:rPr>
              <w:t>Inoculum size (% v/v)</w:t>
            </w:r>
          </w:p>
        </w:tc>
        <w:tc>
          <w:tcPr>
            <w:tcW w:w="1984" w:type="dxa"/>
          </w:tcPr>
          <w:p w14:paraId="179A8C67"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2,4,6,8,10,12,14</w:t>
            </w:r>
          </w:p>
        </w:tc>
        <w:tc>
          <w:tcPr>
            <w:tcW w:w="1418" w:type="dxa"/>
          </w:tcPr>
          <w:p w14:paraId="1F090A5C"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8</w:t>
            </w:r>
          </w:p>
        </w:tc>
        <w:tc>
          <w:tcPr>
            <w:tcW w:w="1417" w:type="dxa"/>
          </w:tcPr>
          <w:p w14:paraId="38DF3514"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10</w:t>
            </w:r>
          </w:p>
        </w:tc>
        <w:tc>
          <w:tcPr>
            <w:tcW w:w="1435" w:type="dxa"/>
          </w:tcPr>
          <w:p w14:paraId="660408F2" w14:textId="77777777" w:rsidR="00C90CC5" w:rsidRPr="00C90CC5" w:rsidRDefault="00C90CC5" w:rsidP="002C248C">
            <w:pPr>
              <w:pStyle w:val="Body"/>
              <w:spacing w:line="480" w:lineRule="auto"/>
              <w:jc w:val="center"/>
              <w:rPr>
                <w:rFonts w:ascii="Arial" w:hAnsi="Arial" w:cs="Arial"/>
                <w:sz w:val="20"/>
                <w:szCs w:val="20"/>
              </w:rPr>
            </w:pPr>
            <w:r w:rsidRPr="00C90CC5">
              <w:rPr>
                <w:rFonts w:ascii="Arial" w:hAnsi="Arial" w:cs="Arial"/>
                <w:sz w:val="20"/>
                <w:szCs w:val="20"/>
              </w:rPr>
              <w:t>12</w:t>
            </w:r>
          </w:p>
        </w:tc>
      </w:tr>
    </w:tbl>
    <w:p w14:paraId="3A465F07" w14:textId="77777777" w:rsidR="00C90CC5" w:rsidRPr="00C90CC5" w:rsidRDefault="00C90CC5" w:rsidP="002C248C">
      <w:pPr>
        <w:pStyle w:val="Body"/>
        <w:jc w:val="center"/>
        <w:rPr>
          <w:rFonts w:ascii="Arial" w:hAnsi="Arial" w:cs="Arial"/>
        </w:rPr>
      </w:pPr>
    </w:p>
    <w:p w14:paraId="3B4F3585" w14:textId="641622E0" w:rsidR="00C90CC5" w:rsidRPr="00C90CC5" w:rsidRDefault="00C90CC5" w:rsidP="002C248C">
      <w:pPr>
        <w:pStyle w:val="Body"/>
        <w:rPr>
          <w:rFonts w:ascii="Arial" w:hAnsi="Arial" w:cs="Arial"/>
          <w:b/>
          <w:bCs/>
          <w:sz w:val="22"/>
        </w:rPr>
      </w:pPr>
      <w:r>
        <w:rPr>
          <w:rFonts w:ascii="Arial" w:hAnsi="Arial" w:cs="Arial"/>
          <w:b/>
          <w:bCs/>
          <w:sz w:val="22"/>
        </w:rPr>
        <w:t xml:space="preserve">2.5 </w:t>
      </w:r>
      <w:r w:rsidRPr="00C90CC5">
        <w:rPr>
          <w:rFonts w:ascii="Arial" w:hAnsi="Arial" w:cs="Arial"/>
          <w:b/>
          <w:bCs/>
          <w:sz w:val="22"/>
        </w:rPr>
        <w:t>Degradation Study</w:t>
      </w:r>
    </w:p>
    <w:p w14:paraId="68C50E2C" w14:textId="77777777" w:rsidR="00C90CC5" w:rsidRPr="00C90CC5" w:rsidRDefault="00C90CC5" w:rsidP="002C248C">
      <w:pPr>
        <w:pStyle w:val="Body"/>
        <w:rPr>
          <w:rFonts w:ascii="Arial" w:hAnsi="Arial" w:cs="Arial"/>
        </w:rPr>
      </w:pPr>
      <w:r w:rsidRPr="00C90CC5">
        <w:rPr>
          <w:rFonts w:ascii="Arial" w:hAnsi="Arial" w:cs="Arial"/>
        </w:rPr>
        <w:t>Degradation was analyzed by HPLC (Perkin Elmer series 200 pump and UV-vis detector). HPLC system, including wavelength, flow rate and mobile phase concentration was controlled by Total Chrome Navigator software. Separation was performed on C18 column (250 × 4.6 mm) and sample injection loop size of 10 µL was employed. Mobile phase contained methanol and water’s linear gradient in the ratio 90:10. Flow rate was set to 0.5 mL/min. Column effluents were detected at 228 nm by UV-Vis detector. Degradation amount was calculated by formula given below (1). Degradation was further studied by FTIR (scan from 4000 to 400 cm</w:t>
      </w:r>
      <w:r w:rsidRPr="00C90CC5">
        <w:rPr>
          <w:rFonts w:ascii="Arial" w:hAnsi="Arial" w:cs="Arial"/>
          <w:vertAlign w:val="superscript"/>
        </w:rPr>
        <w:t>-1</w:t>
      </w:r>
      <w:r w:rsidRPr="00C90CC5">
        <w:rPr>
          <w:rFonts w:ascii="Arial" w:hAnsi="Arial" w:cs="Arial"/>
        </w:rPr>
        <w:t>) analysis for prediction of pathway for the degradation.</w:t>
      </w:r>
    </w:p>
    <w:p w14:paraId="6ABDAC89" w14:textId="05A31BCA" w:rsidR="00C90CC5" w:rsidRPr="00C90CC5" w:rsidRDefault="00C90CC5" w:rsidP="002C248C">
      <w:pPr>
        <w:pStyle w:val="Body"/>
        <w:rPr>
          <w:rFonts w:ascii="Arial" w:hAnsi="Arial" w:cs="Arial"/>
        </w:rPr>
      </w:pPr>
      <w:r w:rsidRPr="00C90CC5">
        <w:rPr>
          <w:rFonts w:ascii="Arial" w:hAnsi="Arial" w:cs="Arial"/>
        </w:rPr>
        <w:t>Degradation (%) = (</w:t>
      </w:r>
      <w:r w:rsidRPr="00C90CC5">
        <w:rPr>
          <w:rFonts w:ascii="Arial" w:hAnsi="Arial" w:cs="Arial"/>
          <w:i/>
          <w:iCs/>
        </w:rPr>
        <w:t>Ci-Cf/Ci</w:t>
      </w:r>
      <w:r w:rsidRPr="00C90CC5">
        <w:rPr>
          <w:rFonts w:ascii="Arial" w:hAnsi="Arial" w:cs="Arial"/>
        </w:rPr>
        <w:t>) × 100 ……………………………………………………</w:t>
      </w:r>
      <w:r w:rsidR="002C248C">
        <w:rPr>
          <w:rFonts w:ascii="Arial" w:hAnsi="Arial" w:cs="Arial"/>
        </w:rPr>
        <w:t>………………………………………..</w:t>
      </w:r>
      <w:r w:rsidR="00C7145C">
        <w:rPr>
          <w:rFonts w:ascii="Arial" w:hAnsi="Arial" w:cs="Arial"/>
        </w:rPr>
        <w:t xml:space="preserve">Eq. </w:t>
      </w:r>
      <w:r w:rsidRPr="00C90CC5">
        <w:rPr>
          <w:rFonts w:ascii="Arial" w:hAnsi="Arial" w:cs="Arial"/>
        </w:rPr>
        <w:t>(1)</w:t>
      </w:r>
    </w:p>
    <w:p w14:paraId="131032E7" w14:textId="5A3B8B0F" w:rsidR="00790ADA" w:rsidRPr="002C248C" w:rsidRDefault="00C90CC5" w:rsidP="002C248C">
      <w:pPr>
        <w:pStyle w:val="Body"/>
        <w:rPr>
          <w:rFonts w:ascii="Arial" w:hAnsi="Arial" w:cs="Arial"/>
        </w:rPr>
      </w:pPr>
      <w:r w:rsidRPr="00C90CC5">
        <w:rPr>
          <w:rFonts w:ascii="Arial" w:hAnsi="Arial" w:cs="Arial"/>
        </w:rPr>
        <w:t xml:space="preserve">Where </w:t>
      </w:r>
      <w:r w:rsidRPr="00C90CC5">
        <w:rPr>
          <w:rFonts w:ascii="Arial" w:hAnsi="Arial" w:cs="Arial"/>
          <w:i/>
          <w:iCs/>
        </w:rPr>
        <w:t xml:space="preserve">Ci </w:t>
      </w:r>
      <w:r w:rsidRPr="00C90CC5">
        <w:rPr>
          <w:rFonts w:ascii="Arial" w:hAnsi="Arial" w:cs="Arial"/>
        </w:rPr>
        <w:t xml:space="preserve">and </w:t>
      </w:r>
      <w:r w:rsidRPr="00C90CC5">
        <w:rPr>
          <w:rFonts w:ascii="Arial" w:hAnsi="Arial" w:cs="Arial"/>
          <w:i/>
          <w:iCs/>
        </w:rPr>
        <w:t xml:space="preserve">Cf </w:t>
      </w:r>
      <w:r w:rsidRPr="00C90CC5">
        <w:rPr>
          <w:rFonts w:ascii="Arial" w:hAnsi="Arial" w:cs="Arial"/>
        </w:rPr>
        <w:t>are initial and final concentration of PAE respectively.</w:t>
      </w:r>
    </w:p>
    <w:p w14:paraId="6F7D8D26" w14:textId="77777777" w:rsidR="00902823" w:rsidRDefault="00000F8F" w:rsidP="002C248C">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643274BC" w14:textId="77777777" w:rsidR="00863BD3" w:rsidRPr="00FB3A86" w:rsidRDefault="00863BD3" w:rsidP="002C248C">
      <w:pPr>
        <w:pStyle w:val="Body"/>
        <w:spacing w:after="0"/>
        <w:rPr>
          <w:rFonts w:ascii="Arial" w:hAnsi="Arial" w:cs="Arial"/>
        </w:rPr>
      </w:pPr>
    </w:p>
    <w:p w14:paraId="75DC55A6" w14:textId="5473D99B" w:rsidR="00C7145C" w:rsidRPr="00C7145C" w:rsidRDefault="00C30A0F" w:rsidP="002C248C">
      <w:pPr>
        <w:pStyle w:val="Body"/>
        <w:rPr>
          <w:rFonts w:ascii="Arial" w:hAnsi="Arial" w:cs="Arial"/>
          <w:b/>
          <w:bCs/>
          <w:sz w:val="22"/>
        </w:rPr>
      </w:pPr>
      <w:r>
        <w:rPr>
          <w:rFonts w:ascii="Arial" w:hAnsi="Arial" w:cs="Arial"/>
          <w:b/>
          <w:caps/>
          <w:sz w:val="22"/>
        </w:rPr>
        <w:t>3</w:t>
      </w:r>
      <w:r w:rsidRPr="00C30A0F">
        <w:rPr>
          <w:rFonts w:ascii="Arial" w:hAnsi="Arial" w:cs="Arial"/>
          <w:b/>
          <w:caps/>
          <w:sz w:val="22"/>
        </w:rPr>
        <w:t xml:space="preserve">.1 </w:t>
      </w:r>
      <w:r w:rsidRPr="00C30A0F">
        <w:rPr>
          <w:rFonts w:ascii="Arial" w:hAnsi="Arial" w:cs="Arial"/>
          <w:b/>
          <w:sz w:val="22"/>
        </w:rPr>
        <w:t>Sub</w:t>
      </w:r>
      <w:r w:rsidR="00C7145C" w:rsidRPr="00C7145C">
        <w:rPr>
          <w:rFonts w:ascii="Times New Roman" w:eastAsiaTheme="minorHAnsi" w:hAnsi="Times New Roman"/>
          <w:b/>
          <w:bCs/>
          <w:kern w:val="2"/>
          <w:sz w:val="18"/>
          <w:szCs w:val="18"/>
          <w:lang w:bidi="gu-IN"/>
          <w14:ligatures w14:val="standardContextual"/>
        </w:rPr>
        <w:t xml:space="preserve"> </w:t>
      </w:r>
      <w:r w:rsidR="00C7145C" w:rsidRPr="00C7145C">
        <w:rPr>
          <w:rFonts w:ascii="Arial" w:hAnsi="Arial" w:cs="Arial"/>
          <w:b/>
          <w:bCs/>
          <w:sz w:val="22"/>
        </w:rPr>
        <w:t>Screening, Isolation and Identification</w:t>
      </w:r>
    </w:p>
    <w:p w14:paraId="7854843A" w14:textId="77777777" w:rsidR="00C7145C" w:rsidRDefault="00C7145C" w:rsidP="002C248C">
      <w:pPr>
        <w:pStyle w:val="Body"/>
        <w:spacing w:after="0"/>
        <w:rPr>
          <w:rFonts w:ascii="Arial" w:hAnsi="Arial" w:cs="Arial"/>
          <w:bCs/>
        </w:rPr>
      </w:pPr>
      <w:r w:rsidRPr="00C7145C">
        <w:rPr>
          <w:rFonts w:ascii="Arial" w:hAnsi="Arial" w:cs="Arial"/>
          <w:bCs/>
        </w:rPr>
        <w:t>Organisms were enriched from plastic-contaminated dumping sites with the objective of isolating strains that were environmentally adapted for degradation of phthalates. A robust four membered consortium, designated as JPN was screened. In which, two out of four strains were gram positive and two gram negative.</w:t>
      </w:r>
      <w:r w:rsidRPr="00C7145C">
        <w:rPr>
          <w:rFonts w:ascii="Arial" w:hAnsi="Arial" w:cs="Arial"/>
          <w:bCs/>
          <w:lang w:val="en-IN"/>
        </w:rPr>
        <w:t xml:space="preserve"> Identification by </w:t>
      </w:r>
      <w:r w:rsidRPr="00C7145C">
        <w:rPr>
          <w:rFonts w:ascii="Arial" w:hAnsi="Arial" w:cs="Arial"/>
          <w:bCs/>
        </w:rPr>
        <w:t xml:space="preserve">16S rRNA sequencing showed these four strains to be </w:t>
      </w:r>
      <w:r w:rsidRPr="00C7145C">
        <w:rPr>
          <w:rFonts w:ascii="Arial" w:hAnsi="Arial" w:cs="Arial"/>
          <w:bCs/>
          <w:i/>
          <w:iCs/>
        </w:rPr>
        <w:t>Bacillus infantis</w:t>
      </w:r>
      <w:r w:rsidRPr="00C7145C">
        <w:rPr>
          <w:rFonts w:ascii="Arial" w:hAnsi="Arial" w:cs="Arial"/>
          <w:bCs/>
        </w:rPr>
        <w:t xml:space="preserve"> JP_1 (NCBI Accession no. PX459930), </w:t>
      </w:r>
      <w:r w:rsidRPr="00C7145C">
        <w:rPr>
          <w:rFonts w:ascii="Arial" w:hAnsi="Arial" w:cs="Arial"/>
          <w:bCs/>
          <w:i/>
          <w:iCs/>
        </w:rPr>
        <w:t>Atlantibacter hermannii</w:t>
      </w:r>
      <w:r w:rsidRPr="00C7145C">
        <w:rPr>
          <w:rFonts w:ascii="Arial" w:hAnsi="Arial" w:cs="Arial"/>
          <w:bCs/>
        </w:rPr>
        <w:t xml:space="preserve"> JP_2 (NCBI Accession no. PX459933), </w:t>
      </w:r>
      <w:r w:rsidRPr="00C7145C">
        <w:rPr>
          <w:rFonts w:ascii="Arial" w:hAnsi="Arial" w:cs="Arial"/>
          <w:bCs/>
          <w:i/>
          <w:iCs/>
        </w:rPr>
        <w:t>Bacillus subtilis</w:t>
      </w:r>
      <w:r w:rsidRPr="00C7145C">
        <w:rPr>
          <w:rFonts w:ascii="Arial" w:hAnsi="Arial" w:cs="Arial"/>
          <w:bCs/>
        </w:rPr>
        <w:t xml:space="preserve"> JP_3 (NCBI Accession no. PX459936) and </w:t>
      </w:r>
      <w:r w:rsidRPr="00C7145C">
        <w:rPr>
          <w:rFonts w:ascii="Arial" w:hAnsi="Arial" w:cs="Arial"/>
          <w:bCs/>
          <w:i/>
          <w:iCs/>
        </w:rPr>
        <w:t>Stutzerimonas stutzeri</w:t>
      </w:r>
      <w:r w:rsidRPr="00C7145C">
        <w:rPr>
          <w:rFonts w:ascii="Arial" w:hAnsi="Arial" w:cs="Arial"/>
          <w:bCs/>
        </w:rPr>
        <w:t xml:space="preserve"> JP_4 (NCBI Accession no. PX459937). </w:t>
      </w:r>
      <w:r w:rsidRPr="00C7145C">
        <w:rPr>
          <w:rFonts w:ascii="Arial" w:hAnsi="Arial" w:cs="Arial"/>
          <w:bCs/>
          <w:i/>
          <w:iCs/>
        </w:rPr>
        <w:t>Bacillus subtilis</w:t>
      </w:r>
      <w:r w:rsidRPr="00C7145C">
        <w:rPr>
          <w:rFonts w:ascii="Arial" w:hAnsi="Arial" w:cs="Arial"/>
          <w:bCs/>
        </w:rPr>
        <w:t xml:space="preserve"> has been previously reported for phthalate degradation </w:t>
      </w:r>
      <w:r w:rsidRPr="00C7145C">
        <w:rPr>
          <w:rFonts w:ascii="Arial" w:hAnsi="Arial" w:cs="Arial"/>
          <w:bCs/>
        </w:rPr>
        <w:fldChar w:fldCharType="begin" w:fldLock="1"/>
      </w:r>
      <w:r w:rsidRPr="00C7145C">
        <w:rPr>
          <w:rFonts w:ascii="Arial" w:hAnsi="Arial" w:cs="Arial"/>
          <w:bCs/>
        </w:rPr>
        <w:instrText>ADDIN CSL_CITATION {"citationItems":[{"id":"ITEM-1","itemData":{"DOI":"10.1080/09593330.2020.1858181","ISSN":"1479487X","PMID":"33251967","abstract":"The environmental prevalence and potential toxicity of dibutyl phthalate (DBP) motivate the attempt to develop feasible strategies to deal with DBP contamination. In this study, a strain of endphytic bacteria HB-T2 was isolated from sorrel roots and identified as Bacillus sp. by analysing its morphology, physiology, biochemistry and 16S rDNA sequence. The degradation efficiency of DBP by HB-T2 was almost identical under the temperature of 30</w:instrText>
      </w:r>
      <w:r w:rsidRPr="00C7145C">
        <w:rPr>
          <w:rFonts w:ascii="Cambria Math" w:hAnsi="Cambria Math" w:cs="Cambria Math"/>
          <w:bCs/>
        </w:rPr>
        <w:instrText>∼</w:instrText>
      </w:r>
      <w:r w:rsidRPr="00C7145C">
        <w:rPr>
          <w:rFonts w:ascii="Arial" w:hAnsi="Arial" w:cs="Arial"/>
          <w:bCs/>
        </w:rPr>
        <w:instrText>40°C, but was significantly enhanced as the culture pH and inoculum size increases from 6.0 to 8.0, and 1% to 5% respectively. The degradation kinetics of DBP could be well described by the first-order kinetic model, with the degradation half-life ranging from 1.59 to 7.61 h when the initial concentrations of DBP were in the range of 5–20 mg/L. LC-MS analysis of the culture samples taken at varying intervals revealed monobutyl phthalate, phthalic acid and protocatechuic acid as the major metabolic intermediates during the degradation process. HB-T2 exhibited an excellent capability to degrade a wide range of phthalate esters (PAEs), especially butyl benzyl phthalate (BBP), dipentyl phthalate (DPP), and diisobutyl phthalate (DIBP). Inoculation of HB-T2 into Chinese cabbage (Brassica chinensis L.) growing in DBP-contaminated soils could significantly reduce the DBP levels in plant tissues and relieve the phytotoxic effects of DBP. Results of this study highlighted the great potential of this novel endophytic Bacillus subtilis strain HB-T2 for bioremediation of PAEs contamination and improvement of agricultural product safety by reducing PAEs accumulation in edible crops.","author":[{"dropping-particle":"","family":"Xu","given":"Wen Jun","non-dropping-particle":"","parse-names":false,"suffix":""},{"dropping-particle":"","family":"Wan","given":"Qun","non-dropping-particle":"","parse-names":false,"suffix":""},{"dropping-particle":"","family":"Wang","given":"Wen Feng","non-dropping-particle":"","parse-names":false,"suffix":""},{"dropping-particle":"","family":"Wang","given":"Ya","non-dropping-particle":"","parse-names":false,"suffix":""},{"dropping-particle":"","family":"Feng","given":"Fa yun","non-dropping-particle":"","parse-names":false,"suffix":""},{"dropping-particle":"","family":"Cheng","given":"Jin Jin","non-dropping-particle":"","parse-names":false,"suffix":""},{"dropping-particle":"","family":"Yuan","given":"Jian Jun","non-dropping-particle":"","parse-names":false,"suffix":""},{"dropping-particle":"","family":"Yu","given":"Xiang Yang","non-dropping-particle":"","parse-names":false,"suffix":""}],"container-title":"Environmental Technology","id":"ITEM-1","issue":"0","issued":{"date-parts":[["2020"]]},"page":"1-27","publisher":"Taylor &amp; Francis","title":"Biodegradation of dibutyl phthalate by a novel endophytic Bacillus subtilis strain HB-T2 under in-vitro and in-vivo conditions","type":"article-journal"},"uris":["http://www.mendeley.com/documents/?uuid=cb5d12da-f726-4307-804d-b013b8b24a84"]}],"mendeley":{"formattedCitation":"(Xu et al. 2020)","plainTextFormattedCitation":"(Xu et al. 2020)","previouslyFormattedCitation":"(W. J. Xu et al., 2020)"},"properties":{"noteIndex":0},"schema":"https://github.com/citation-style-language/schema/raw/master/csl-citation.json"}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(Xu et al. 2020)</w:t>
      </w:r>
      <w:r w:rsidRPr="00C7145C">
        <w:rPr>
          <w:rFonts w:ascii="Arial" w:hAnsi="Arial" w:cs="Arial"/>
          <w:bCs/>
        </w:rPr>
        <w:fldChar w:fldCharType="end"/>
      </w:r>
      <w:r w:rsidRPr="00C7145C">
        <w:rPr>
          <w:rFonts w:ascii="Arial" w:hAnsi="Arial" w:cs="Arial"/>
          <w:bCs/>
        </w:rPr>
        <w:t xml:space="preserve">. Phylogenetic tree has been given in fig. S1. This represents the first report documenting the involvement of </w:t>
      </w:r>
      <w:r w:rsidRPr="00C7145C">
        <w:rPr>
          <w:rFonts w:ascii="Arial" w:hAnsi="Arial" w:cs="Arial"/>
          <w:bCs/>
          <w:i/>
          <w:iCs/>
        </w:rPr>
        <w:t>Bacillus infantis</w:t>
      </w:r>
      <w:r w:rsidRPr="00C7145C">
        <w:rPr>
          <w:rFonts w:ascii="Arial" w:hAnsi="Arial" w:cs="Arial"/>
          <w:bCs/>
        </w:rPr>
        <w:t xml:space="preserve">, </w:t>
      </w:r>
      <w:r w:rsidRPr="00C7145C">
        <w:rPr>
          <w:rFonts w:ascii="Arial" w:hAnsi="Arial" w:cs="Arial"/>
          <w:bCs/>
          <w:i/>
          <w:iCs/>
        </w:rPr>
        <w:t>Atlantibacter hermannii</w:t>
      </w:r>
      <w:r w:rsidRPr="00C7145C">
        <w:rPr>
          <w:rFonts w:ascii="Arial" w:hAnsi="Arial" w:cs="Arial"/>
          <w:bCs/>
        </w:rPr>
        <w:t xml:space="preserve">, and </w:t>
      </w:r>
      <w:r w:rsidRPr="00C7145C">
        <w:rPr>
          <w:rFonts w:ascii="Arial" w:hAnsi="Arial" w:cs="Arial"/>
          <w:bCs/>
          <w:i/>
          <w:iCs/>
        </w:rPr>
        <w:t>Stutzerimonas stutzeri</w:t>
      </w:r>
      <w:r w:rsidRPr="00C7145C">
        <w:rPr>
          <w:rFonts w:ascii="Arial" w:hAnsi="Arial" w:cs="Arial"/>
          <w:bCs/>
        </w:rPr>
        <w:t xml:space="preserve"> in the biodegradation of phthalic acid ester derivatives. The identification of these previously unreported bacterial species highlights the potential novelty of the present study. It also suggests the existence of species which are still unexplored for phthalate biodegradation.</w:t>
      </w:r>
    </w:p>
    <w:p w14:paraId="20CEAAA8" w14:textId="5F95290B" w:rsidR="00C7145C" w:rsidRPr="00C7145C" w:rsidRDefault="00C7145C" w:rsidP="002C248C">
      <w:pPr>
        <w:pStyle w:val="Body"/>
        <w:spacing w:after="0"/>
        <w:rPr>
          <w:rFonts w:ascii="Arial" w:hAnsi="Arial" w:cs="Arial"/>
          <w:bCs/>
        </w:rPr>
      </w:pPr>
      <w:r w:rsidRPr="00C7145C">
        <w:rPr>
          <w:rFonts w:ascii="Arial" w:hAnsi="Arial" w:cs="Arial"/>
          <w:bCs/>
        </w:rPr>
        <w:t xml:space="preserve"> </w:t>
      </w:r>
    </w:p>
    <w:p w14:paraId="3375B17E" w14:textId="06B98CA1" w:rsidR="00C7145C" w:rsidRDefault="00C7145C" w:rsidP="002C248C">
      <w:pPr>
        <w:pStyle w:val="Body"/>
        <w:spacing w:after="0"/>
        <w:rPr>
          <w:rFonts w:ascii="Arial" w:hAnsi="Arial" w:cs="Arial"/>
          <w:b/>
          <w:bCs/>
          <w:sz w:val="22"/>
        </w:rPr>
      </w:pPr>
      <w:r>
        <w:rPr>
          <w:rFonts w:ascii="Arial" w:hAnsi="Arial" w:cs="Arial"/>
          <w:b/>
          <w:bCs/>
          <w:sz w:val="22"/>
        </w:rPr>
        <w:t xml:space="preserve">3.2 </w:t>
      </w:r>
      <w:r w:rsidRPr="00C7145C">
        <w:rPr>
          <w:rFonts w:ascii="Arial" w:hAnsi="Arial" w:cs="Arial"/>
          <w:b/>
          <w:bCs/>
          <w:sz w:val="22"/>
        </w:rPr>
        <w:t>Optimization and Statistical Study</w:t>
      </w:r>
    </w:p>
    <w:p w14:paraId="7CFA4251" w14:textId="77777777" w:rsidR="00C7145C" w:rsidRPr="00C7145C" w:rsidRDefault="00C7145C" w:rsidP="002C248C">
      <w:pPr>
        <w:pStyle w:val="Body"/>
        <w:spacing w:after="0"/>
        <w:rPr>
          <w:rFonts w:ascii="Arial" w:hAnsi="Arial" w:cs="Arial"/>
          <w:b/>
          <w:bCs/>
          <w:sz w:val="22"/>
        </w:rPr>
      </w:pPr>
    </w:p>
    <w:p w14:paraId="45270D09" w14:textId="77777777" w:rsidR="00C7145C" w:rsidRPr="00C7145C" w:rsidRDefault="00C7145C" w:rsidP="002C248C">
      <w:pPr>
        <w:pStyle w:val="Body"/>
        <w:spacing w:after="0"/>
        <w:rPr>
          <w:rFonts w:ascii="Arial" w:hAnsi="Arial" w:cs="Arial"/>
          <w:b/>
          <w:sz w:val="22"/>
        </w:rPr>
      </w:pPr>
      <w:r w:rsidRPr="00C7145C">
        <w:rPr>
          <w:rFonts w:ascii="Arial" w:hAnsi="Arial" w:cs="Arial"/>
          <w:bCs/>
        </w:rPr>
        <w:t xml:space="preserve">It is important to check the effect of environmental parameters. The capability of consortium JPN to degrade DBP and BBP was examined over a wide range of pH (3.0 – 11.0). The effect of pH on degradation of DBP and BBP by consortium JPN is shown in Fig. 2 (A). With the increase in pH from 3.0 to 9.0; the percentage of degradation increased from 11.21 % to 98.57 % and 22.54 % to 95.84 % for DBP and BBP respectively exhibiting pH 8.0 as optimum. Alkalinity was favored by consortium over acidity. These results are in association with </w:t>
      </w:r>
      <w:r w:rsidRPr="00C7145C">
        <w:rPr>
          <w:rFonts w:ascii="Arial" w:hAnsi="Arial" w:cs="Arial"/>
          <w:bCs/>
        </w:rPr>
        <w:fldChar w:fldCharType="begin" w:fldLock="1"/>
      </w:r>
      <w:r w:rsidRPr="00C7145C">
        <w:rPr>
          <w:rFonts w:ascii="Arial" w:hAnsi="Arial" w:cs="Arial"/>
          <w:bCs/>
        </w:rPr>
        <w:instrText>ADDIN CSL_CITATION {"citationItems":[{"id":"ITEM-1","itemData":{"DOI":"10.1080/09593330.2020.1858181","ISSN":"1479487X","PMID":"33251967","abstract":"The environmental prevalence and potential toxicity of dibutyl phthalate (DBP) motivate the attempt to develop feasible strategies to deal with DBP contamination. In this study, a strain of endphytic bacteria HB-T2 was isolated from sorrel roots and identified as Bacillus sp. by analysing its morphology, physiology, biochemistry and 16S rDNA sequence. The degradation efficiency of DBP by HB-T2 was almost identical under the temperature of 30</w:instrText>
      </w:r>
      <w:r w:rsidRPr="00C7145C">
        <w:rPr>
          <w:rFonts w:ascii="Cambria Math" w:hAnsi="Cambria Math" w:cs="Cambria Math"/>
          <w:bCs/>
        </w:rPr>
        <w:instrText>∼</w:instrText>
      </w:r>
      <w:r w:rsidRPr="00C7145C">
        <w:rPr>
          <w:rFonts w:ascii="Arial" w:hAnsi="Arial" w:cs="Arial"/>
          <w:bCs/>
        </w:rPr>
        <w:instrText>40°C, but was significantly enhanced as the culture pH and inoculum size increases from 6.0 to 8.0, and 1% to 5% respectively. The degradation kinetics of DBP could be well described by the first-order kinetic model, with the degradation half-life ranging from 1.59 to 7.61 h when the initial concentrations of DBP were in the range of 5–20 mg/L. LC-MS analysis of the culture samples taken at varying intervals revealed monobutyl phthalate, phthalic acid and protocatechuic acid as the major metabolic intermediates during the degradation process. HB-T2 exhibited an excellent capability to degrade a wide range of phthalate esters (PAEs), especially butyl benzyl phthalate (BBP), dipentyl phthalate (DPP), and diisobutyl phthalate (DIBP). Inoculation of HB-T2 into Chinese cabbage (Brassica chinensis L.) growing in DBP-contaminated soils could significantly reduce the DBP levels in plant tissues and relieve the phytotoxic effects of DBP. Results of this study highlighted the great potential of this novel endophytic Bacillus subtilis strain HB-T2 for bioremediation of PAEs contamination and improvement of agricultural product safety by reducing PAEs accumulation in edible crops.","author":[{"dropping-particle":"","family":"Xu","given":"Wen Jun","non-dropping-particle":"","parse-names":false,"suffix":""},{"dropping-particle":"","family":"Wan","given":"Qun","non-dropping-particle":"","parse-names":false,"suffix":""},{"dropping-particle":"","family":"Wang","given":"Wen Feng","non-dropping-particle":"","parse-names":false,"suffix":""},{"dropping-particle":"","family":"Wang","given":"Ya","non-dropping-particle":"","parse-names":false,"suffix":""},{"dropping-particle":"","family":"Feng","given":"Fa yun","non-dropping-particle":"","parse-names":false,"suffix":""},{"dropping-particle":"","family":"Cheng","given":"Jin Jin","non-dropping-particle":"","parse-names":false,"suffix":""},{"dropping-particle":"","family":"Yuan","given":"Jian Jun","non-dropping-particle":"","parse-names":false,"suffix":""},{"dropping-particle":"","family":"Yu","given":"Xiang Yang","non-dropping-particle":"","parse-names":false,"suffix":""}],"container-title":"Environmental Technology","id":"ITEM-1","issue":"0","issued":{"date-parts":[["2020"]]},"page":"1-27","publisher":"Taylor &amp; Francis","title":"Biodegradation of dibutyl phthalate by a novel endophytic Bacillus subtilis strain HB-T2 under in-vitro and in-vivo conditions","type":"article-journal"},"uris":["http://www.mendeley.com/documents/?uuid=cb5d12da-f726-4307-804d-b013b8b24a84"]}],"mendeley":{"formattedCitation":"(Xu et al. 2020)","plainTextFormattedCitation":"(Xu et al. 2020)","previouslyFormattedCitation":"(W. J. Xu et al., 2020)"},"properties":{"noteIndex":0},"schema":"https://github.com/citation-style-language/schema/raw/master/csl-citation.json"}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(Xu et al. 2020)</w:t>
      </w:r>
      <w:r w:rsidRPr="00C7145C">
        <w:rPr>
          <w:rFonts w:ascii="Arial" w:hAnsi="Arial" w:cs="Arial"/>
          <w:bCs/>
        </w:rPr>
        <w:fldChar w:fldCharType="end"/>
      </w:r>
      <w:r w:rsidRPr="00C7145C">
        <w:rPr>
          <w:rFonts w:ascii="Arial" w:hAnsi="Arial" w:cs="Arial"/>
          <w:bCs/>
        </w:rPr>
        <w:t xml:space="preserve"> </w:t>
      </w:r>
      <w:r w:rsidRPr="00C7145C">
        <w:rPr>
          <w:rFonts w:ascii="Arial" w:hAnsi="Arial" w:cs="Arial"/>
          <w:bCs/>
        </w:rPr>
        <w:fldChar w:fldCharType="begin" w:fldLock="1"/>
      </w:r>
      <w:r w:rsidRPr="00C7145C">
        <w:rPr>
          <w:rFonts w:ascii="Arial" w:hAnsi="Arial" w:cs="Arial"/>
          <w:bCs/>
        </w:rPr>
        <w:instrText>ADDIN CSL_CITATION {"citationItems":[{"id":"ITEM-1","itemData":{"DOI":"10.1016/j.biortech.2012.10.107","ISBN":"5718820627","ISSN":"18732976","PMID":"23201908","abstract":"HD-1, a stable microbial consortium capable of mineralizing di-. n-butyl phthalate (DBP), was developed from activated sludge. The dominant microorganisms in the consortium, Gordonia sp., Burkholderia sp. and Achromobacter sp., were identified by denaturing gradient gel electrophoresis (DGGE). The consortium could mineralize approximately 90% of 1200. mg/L DBP after 48. h of cultivation. The optimal DBP degradation conditions were 25-30°C and pH 8.0-9.0. The addition of yeast (0.5. g/L), sodium acetate (0.5. g/L, 1.0. g/L), Brij 35 (0.2%, 0.5%, 1.0%), or Triton X-100 (0.2%) enhanced DBP degradation. The DBP degradation rate was influenced by the presence of dimethyl phthalate (DMP) and diethyl phthalate (DEP). Only one main intermediate, phthalic acid, could be monitored by gas chromatography-mass spectrometry (GC-MS) during the degradation process. The HD-1 consortium also utilized phenol, o-dihydroxybenzene as the sole carbon and energy source. The results indicate the consortium may represent a promising application for DBP bioremediation. © 2012 Elsevier Ltd.","author":[{"dropping-particle":"","family":"He","given":"Zhixing","non-dropping-particle":"","parse-names":false,"suffix":""},{"dropping-particle":"","family":"Xiao","given":"Hailong","non-dropping-particle":"","parse-names":false,"suffix":""},{"dropping-particle":"","family":"Tang","given":"Lu","non-dropping-particle":"","parse-names":false,"suffix":""},{"dropping-particle":"","family":"Min","given":"Hang","non-dropping-particle":"","parse-names":false,"suffix":""},{"dropping-particle":"","family":"Lu","given":"Zhenmei","non-dropping-particle":"","parse-names":false,"suffix":""}],"container-title":"Bioresource Technology","id":"ITEM-1","issued":{"date-parts":[["2013"]]},"page":"526-532","publisher":"Elsevier Ltd","title":"Biodegradation of di-n-butyl phthalate by a stable bacterial consortium, HD-1, enriched from activated sludge","type":"article-journal","volume":"128"},"uris":["http://www.mendeley.com/documents/?uuid=4a5d3a2d-eb29-49f9-94e2-6ccec09c63d9"]}],"mendeley":{"formattedCitation":"(He et al. 2013)","plainTextFormattedCitation":"(He et al. 2013)","previouslyFormattedCitation":"(Z. He et al., 2013)"},"properties":{"noteIndex":0},"schema":"https://github.com/citation-style-language/schema/raw/master/csl-citation.json"}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(He et al. 2013)</w:t>
      </w:r>
      <w:r w:rsidRPr="00C7145C">
        <w:rPr>
          <w:rFonts w:ascii="Arial" w:hAnsi="Arial" w:cs="Arial"/>
          <w:bCs/>
        </w:rPr>
        <w:fldChar w:fldCharType="end"/>
      </w:r>
      <w:r w:rsidRPr="00C7145C">
        <w:rPr>
          <w:rFonts w:ascii="Arial" w:hAnsi="Arial" w:cs="Arial"/>
          <w:bCs/>
        </w:rPr>
        <w:t>. Hydrogen ion concentration</w:t>
      </w:r>
      <w:r w:rsidRPr="00C7145C">
        <w:rPr>
          <w:rFonts w:ascii="Arial" w:hAnsi="Arial" w:cs="Arial"/>
          <w:b/>
          <w:sz w:val="22"/>
        </w:rPr>
        <w:t xml:space="preserve"> </w:t>
      </w:r>
      <w:r w:rsidRPr="00C7145C">
        <w:rPr>
          <w:rFonts w:ascii="Arial" w:hAnsi="Arial" w:cs="Arial"/>
          <w:bCs/>
        </w:rPr>
        <w:t xml:space="preserve">plays a significant role in bacterial growth by limiting its enzyme activity, hence, lower pH decreases PAEs’s degradation </w:t>
      </w:r>
      <w:r w:rsidRPr="00C7145C">
        <w:rPr>
          <w:rFonts w:ascii="Arial" w:hAnsi="Arial" w:cs="Arial"/>
          <w:bCs/>
        </w:rPr>
        <w:fldChar w:fldCharType="begin" w:fldLock="1"/>
      </w:r>
      <w:r w:rsidRPr="00C7145C">
        <w:rPr>
          <w:rFonts w:ascii="Arial" w:hAnsi="Arial" w:cs="Arial"/>
          <w:bCs/>
        </w:rPr>
        <w:instrText>ADDIN CSL_CITATION {"citationItems":[{"id":"ITEM-1","itemData":{"DOI":"10.1016/j.ibiod.2010.04.010","ISSN":"09648305","abstract":"A bacterial strain capable of utilizing dibutyl phthalate (DBP) as its sole source of carbon and energy was isolated from municipal solid waste in a landfill bioreactor. Based on its morphology, physiochemical characteristics, and 16S rDNA sequence, the strain was identified as Enterobacter sp. T5. Microbial degradation of DBP was studied for several environmental factors. The optimal pH and temperature for its biodegradation activities were 7.0 and 35°C, respectively. The effect of initial DBP concentrations on the degradation was investigated between 100 and 1500mgl-1. The results showed that the degradation fit a first-order kinetic model, and the degradation half-life was about 20.9h when the concentration of DBP was lower than 1000mgl-1. The major DBP degradation products by Enterobacter sp. T5 were preliminarily identified as PA and MBP. Enterobacter sp. T5 also grew with dimethyl phthalate, diethyl phthalate or dioctyl phthalate solution as the sole source of carbon and energy, which suggested its ability to resist phthalic acid diester (PAE) toxicities. These results suggested that Enterobacter sp. T5 could be used as a candidate for remediating PAE-containing wastes. © 2010 Elsevier Ltd.","author":[{"dropping-particle":"","family":"Fang","given":"Cheng Ran","non-dropping-particle":"","parse-names":false,"suffix":""},{"dropping-particle":"","family":"Yao","given":"Jun","non-dropping-particle":"","parse-names":false,"suffix":""},{"dropping-particle":"","family":"Zheng","given":"Yuan Ge","non-dropping-particle":"","parse-names":false,"suffix":""},{"dropping-particle":"","family":"Jiang","given":"Chen Jing","non-dropping-particle":"","parse-names":false,"suffix":""},{"dropping-particle":"","family":"Hu","given":"Li Fang","non-dropping-particle":"","parse-names":false,"suffix":""},{"dropping-particle":"","family":"Wu","given":"Yu Yong","non-dropping-particle":"","parse-names":false,"suffix":""},{"dropping-particle":"","family":"Shen","given":"Dong Sheng","non-dropping-particle":"","parse-names":false,"suffix":""}],"container-title":"International Biodeterioration and Biodegradation","id":"ITEM-1","issue":"6","issued":{"date-parts":[["2010"]]},"page":"442-446","publisher":"Elsevier Ltd","title":"Dibutyl phthalate degradation by Enterobacter sp. T5 isolated from municipal solid waste in landfill bioreactor","type":"article-journal","volume":"64"},"uris":["http://www.mendeley.com/documents/?uuid=5eae6d61-2367-4541-be4e-7a5d7902d0d9"]}],"mendeley":{"formattedCitation":"(Fang et al. 2010)","plainTextFormattedCitation":"(Fang et al. 2010)","previouslyFormattedCitation":"(Fang et al., 2010)"},"properties":{"noteIndex":0},"schema":"https://github.com/citation-style-language/schema/raw/master/csl-citation.json"}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(Fang et al. 2010)</w:t>
      </w:r>
      <w:r w:rsidRPr="00C7145C">
        <w:rPr>
          <w:rFonts w:ascii="Arial" w:hAnsi="Arial" w:cs="Arial"/>
          <w:bCs/>
        </w:rPr>
        <w:fldChar w:fldCharType="end"/>
      </w:r>
      <w:r w:rsidRPr="00C7145C">
        <w:rPr>
          <w:rFonts w:ascii="Arial" w:hAnsi="Arial" w:cs="Arial"/>
          <w:bCs/>
        </w:rPr>
        <w:t xml:space="preserve">. Esterase enzyme which breaks the ester bonding in both the compounds also works efficiently at alkaline pH than acidic </w:t>
      </w:r>
      <w:r w:rsidRPr="00C7145C">
        <w:rPr>
          <w:rFonts w:ascii="Arial" w:hAnsi="Arial" w:cs="Arial"/>
          <w:bCs/>
        </w:rPr>
        <w:fldChar w:fldCharType="begin" w:fldLock="1"/>
      </w:r>
      <w:r w:rsidRPr="00C7145C">
        <w:rPr>
          <w:rFonts w:ascii="Arial" w:hAnsi="Arial" w:cs="Arial"/>
          <w:bCs/>
        </w:rPr>
        <w:instrText>ADDIN CSL_CITATION {"citationItems":[{"id":"ITEM-1","itemData":{"DOI":"10.7488/ds/1320","author":[{"dropping-particle":"V","family":"Jensen","given":"Mai-britt","non-dropping-particle":"","parse-names":false,"suffix":""},{"dropping-particle":"","family":"Horsfall","given":"Louise E","non-dropping-particle":"","parse-names":false,"suffix":""},{"dropping-particle":"","family":"Wardrope","given":"Caroline","non-dropping-particle":"","parse-names":false,"suffix":""},{"dropping-particle":"","family":"Togneri","given":"Peter D","non-dropping-particle":"","parse-names":false,"suffix":""},{"dropping-particle":"","family":"Marles-wright","given":"Jon","non-dropping-particle":"","parse-names":false,"suffix":""},{"dropping-particle":"","family":"Rosser","given":"Susan J","non-dropping-particle":"","parse-names":false,"suffix":""}],"container-title":"PLoS ONE","id":"ITEM-1","issued":{"date-parts":[["2016"]]},"page":"1-22","title":"Characterisation of a New Family of Carboxyl Esterases with an OsmC Domain","type":"article-journal"},"uris":["http://www.mendeley.com/documents/?uuid=73b2720c-a904-46f5-8858-fc446e2012ad"]}],"mendeley":{"formattedCitation":"(Jensen et al. 2016)","plainTextFormattedCitation":"(Jensen et al. 2016)","previouslyFormattedCitation":"(Jensen et al., 2016)"},"properties":{"noteIndex":0},"schema":"https://github.com/citation-style-language/schema/raw/master/csl-citation.json"}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(Jensen et al. 2016)</w:t>
      </w:r>
      <w:r w:rsidRPr="00C7145C">
        <w:rPr>
          <w:rFonts w:ascii="Arial" w:hAnsi="Arial" w:cs="Arial"/>
          <w:bCs/>
        </w:rPr>
        <w:fldChar w:fldCharType="end"/>
      </w:r>
      <w:r w:rsidRPr="00C7145C">
        <w:rPr>
          <w:rFonts w:ascii="Arial" w:hAnsi="Arial" w:cs="Arial"/>
          <w:bCs/>
        </w:rPr>
        <w:t xml:space="preserve">. Temperature is also considered an important factor as it affects growth and degradability by microorganisms </w:t>
      </w:r>
      <w:r w:rsidRPr="00C7145C">
        <w:rPr>
          <w:rFonts w:ascii="Arial" w:hAnsi="Arial" w:cs="Arial"/>
          <w:bCs/>
        </w:rPr>
        <w:fldChar w:fldCharType="begin" w:fldLock="1"/>
      </w:r>
      <w:r w:rsidRPr="00C7145C">
        <w:rPr>
          <w:rFonts w:ascii="Arial" w:hAnsi="Arial" w:cs="Arial"/>
          <w:bCs/>
        </w:rPr>
        <w:instrText>ADDIN CSL_CITATION {"citationItems":[{"id":"ITEM-1","itemData":{"DOI":"10.1016/j.biortech.2012.10.107","ISBN":"5718820627","ISSN":"18732976","PMID":"23201908","abstract":"HD-1, a stable microbial consortium capable of mineralizing di-. n-butyl phthalate (DBP), was developed from activated sludge. The dominant microorganisms in the consortium, Gordonia sp., Burkholderia sp. and Achromobacter sp., were identified by denaturing gradient gel electrophoresis (DGGE). The consortium could mineralize approximately 90% of 1200. mg/L DBP after 48. h of cultivation. The optimal DBP degradation conditions were 25-30°C and pH 8.0-9.0. The addition of yeast (0.5. g/L), sodium acetate (0.5. g/L, 1.0. g/L), Brij 35 (0.2%, 0.5%, 1.0%), or Triton X-100 (0.2%) enhanced DBP degradation. The DBP degradation rate was influenced by the presence of dimethyl phthalate (DMP) and diethyl phthalate (DEP). Only one main intermediate, phthalic acid, could be monitored by gas chromatography-mass spectrometry (GC-MS) during the degradation process. The HD-1 consortium also utilized phenol, o-dihydroxybenzene as the sole carbon and energy source. The results indicate the consortium may represent a promising application for DBP bioremediation. © 2012 Elsevier Ltd.","author":[{"dropping-particle":"","family":"He","given":"Zhixing","non-dropping-particle":"","parse-names":false,"suffix":""},{"dropping-particle":"","family":"Xiao","given":"Hailong","non-dropping-particle":"","parse-names":false,"suffix":""},{"dropping-particle":"","family":"Tang","given":"Lu","non-dropping-particle":"","parse-names":false,"suffix":""},{"dropping-particle":"","family":"Min","given":"Hang","non-dropping-particle":"","parse-names":false,"suffix":""},{"dropping-particle":"","family":"Lu","given":"Zhenmei","non-dropping-particle":"","parse-names":false,"suffix":""}],"container-title":"Bioresource Technology","id":"ITEM-1","issued":{"date-parts":[["2013"]]},"page":"526-532","publisher":"Elsevier Ltd","title":"Biodegradation of di-n-butyl phthalate by a stable bacterial consortium, HD-1, enriched from activated sludge","type":"article-journal","volume":"128"},"uris":["http://www.mendeley.com/documents/?uuid=4a5d3a2d-eb29-49f9-94e2-6ccec09c63d9"]}],"mendeley":{"formattedCitation":"(He et al. 2013)","plainTextFormattedCitation":"(He et al. 2013)","previouslyFormattedCitation":"(Z. He et al., 2013)"},"properties":{"noteIndex":0},"schema":"https://github.com/citation-style-language/schema/raw/master/csl-citation.json"}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(He et al. 2013)</w:t>
      </w:r>
      <w:r w:rsidRPr="00C7145C">
        <w:rPr>
          <w:rFonts w:ascii="Arial" w:hAnsi="Arial" w:cs="Arial"/>
          <w:bCs/>
        </w:rPr>
        <w:fldChar w:fldCharType="end"/>
      </w:r>
      <w:r w:rsidRPr="00C7145C">
        <w:rPr>
          <w:rFonts w:ascii="Arial" w:hAnsi="Arial" w:cs="Arial"/>
          <w:bCs/>
        </w:rPr>
        <w:t xml:space="preserve">. Fig. 2 (B) shows the effect of temperature on degradation. Results obtained indicated that consortium JPN was able to degrade DBP and BBP over the wide range of temperature (20 - 35˚C) with an optimum being 25˚C. At 40˚C the degradation efficiency of consortium JPN was observed decreased. This may be associated with enzyme denaturation due to higher temperature. Similar results were obtained by </w:t>
      </w:r>
      <w:r w:rsidRPr="00C7145C">
        <w:rPr>
          <w:rFonts w:ascii="Arial" w:hAnsi="Arial" w:cs="Arial"/>
          <w:bCs/>
        </w:rPr>
        <w:fldChar w:fldCharType="begin" w:fldLock="1"/>
      </w:r>
      <w:r w:rsidRPr="00C7145C">
        <w:rPr>
          <w:rFonts w:ascii="Arial" w:hAnsi="Arial" w:cs="Arial"/>
          <w:bCs/>
        </w:rPr>
        <w:instrText>ADDIN CSL_CITATION {"citationItems":[{"id":"ITEM-1","itemData":{"DOI":"10.1111/jam.15045","author":[{"dropping-particle":"","family":"Kaur","given":"R","non-dropping-particle":"","parse-names":false,"suffix":""},{"dropping-particle":"","family":"Kumari","given":"A","non-dropping-particle":"","parse-names":false,"suffix":""},{"dropping-particle":"","family":"Sharma","given":"G","non-dropping-particle":"","parse-names":false,"suffix":""},{"dropping-particle":"","family":"Singh","given":"D","non-dropping-particle":"","parse-names":false,"suffix":""},{"dropping-particle":"","family":"Kaur","given":"R","non-dropping-particle":"","parse-names":false,"suffix":""}],"container-title":"Journal of Applied Microbiology","id":"ITEM-1","issue":"Iarc 2000","issued":{"date-parts":[["2021"]]},"page":"1-15","title":"Biodegradation of endocrine disrupting chemicals benzyl butyl phthalate and dimethyl phthalate by Bacillus marisflavi RR014","type":"article-journal"},"uris":["http://www.mendeley.com/documents/?uuid=000d8235-0ca4-47f3-9776-db367a5006b9"]}],"mendeley":{"formattedCitation":"(Kaur et al. 2021)","plainTextFormattedCitation":"(Kaur et al. 2021)","previouslyFormattedCitation":"(Kaur et al., 2021)"},"properties":{"noteIndex":0},"schema":"https://github.com/citation-style-language/schema/raw/master/csl-citation.json"}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(Kaur et al. 2021)</w:t>
      </w:r>
      <w:r w:rsidRPr="00C7145C">
        <w:rPr>
          <w:rFonts w:ascii="Arial" w:hAnsi="Arial" w:cs="Arial"/>
          <w:bCs/>
        </w:rPr>
        <w:fldChar w:fldCharType="end"/>
      </w:r>
      <w:r w:rsidRPr="00C7145C">
        <w:rPr>
          <w:rFonts w:ascii="Arial" w:hAnsi="Arial" w:cs="Arial"/>
          <w:bCs/>
        </w:rPr>
        <w:t xml:space="preserve">. Increasing the inoculum size enhanced degradation; with optimum being 10 % (v/v). At 14 % (v/v) a substantial decline was observed which may be due to increased competition and accumulation of metabolic byproducts which caused cell death. Fig. 2 (C) shows the effect of inoculum size. Studies have shown that degradability of phthalates depends upon its side chain and molecular weight </w:t>
      </w:r>
      <w:r w:rsidRPr="00C7145C">
        <w:rPr>
          <w:rFonts w:ascii="Arial" w:hAnsi="Arial" w:cs="Arial"/>
          <w:bCs/>
        </w:rPr>
        <w:fldChar w:fldCharType="begin" w:fldLock="1"/>
      </w:r>
      <w:r w:rsidRPr="00C7145C">
        <w:rPr>
          <w:rFonts w:ascii="Arial" w:hAnsi="Arial" w:cs="Arial"/>
          <w:bCs/>
        </w:rPr>
        <w:instrText>ADDIN CSL_CITATION {"citationItems":[{"id":"ITEM-1","itemData":{"DOI":"10.1007/s00284-016-1159-9","ISBN":"0028401611","ISSN":"1432-0991","author":[{"dropping-particle":"","family":"Nahurira","given":"Ruth","non-dropping-particle":"","parse-names":false,"suffix":""},{"dropping-particle":"","family":"Ren","given":"Lei","non-dropping-particle":"","parse-names":false,"suffix":""},{"dropping-particle":"","family":"Song","given":"Jinlong","non-dropping-particle":"","parse-names":false,"suffix":""},{"dropping-particle":"","family":"Jia","given":"Yang","non-dropping-particle":"","parse-names":false,"suffix":""},{"dropping-particle":"","family":"Wang","given":"Junhuan","non-dropping-particle":"","parse-names":false,"suffix":""}],"container-title":"Current Microbiology","id":"ITEM-1","issued":{"date-parts":[["2017"]]},"publisher":"Springer US","title":"Degradation of Di ( 2-Ethylhexyl ) Phthalate by a Novel Gordonia alkanivorans Strain YC-RL2","type":"article-journal"},"uris":["http://www.mendeley.com/documents/?uuid=890b60db-66dd-448c-bcda-b7ff533a5fae"]}],"mendeley":{"formattedCitation":"(Nahurira et al. 2017)","plainTextFormattedCitation":"(Nahurira et al. 2017)","previouslyFormattedCitation":"(Nahurira et al., 2017)"},"properties":{"noteIndex":0},"schema":"https://github.com/citation-style-language/schema/raw/master/csl-citation.json"}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(Nahurira et al. 2017)</w:t>
      </w:r>
      <w:r w:rsidRPr="00C7145C">
        <w:rPr>
          <w:rFonts w:ascii="Arial" w:hAnsi="Arial" w:cs="Arial"/>
          <w:bCs/>
        </w:rPr>
        <w:fldChar w:fldCharType="end"/>
      </w:r>
      <w:r w:rsidRPr="00C7145C">
        <w:rPr>
          <w:rFonts w:ascii="Arial" w:hAnsi="Arial" w:cs="Arial"/>
          <w:bCs/>
        </w:rPr>
        <w:t xml:space="preserve">. Structural complexity and longer side chains of HMW limits the rate of degradation due to steric hindrance and enzyme accessibility </w:t>
      </w:r>
      <w:r w:rsidRPr="00C7145C">
        <w:rPr>
          <w:rFonts w:ascii="Arial" w:hAnsi="Arial" w:cs="Arial"/>
          <w:bCs/>
        </w:rPr>
        <w:fldChar w:fldCharType="begin" w:fldLock="1"/>
      </w:r>
      <w:r w:rsidRPr="00C7145C">
        <w:rPr>
          <w:rFonts w:ascii="Arial" w:hAnsi="Arial" w:cs="Arial"/>
          <w:bCs/>
        </w:rPr>
        <w:instrText>ADDIN CSL_CITATION {"citationItems":[{"id":"ITEM-1","itemData":{"DOI":"10.1016/j.envint.2021.106560","ISSN":"18736750","PMID":"33866059","abstract":"The extensive use of phthalic acid esters (PAEs) has led to their widespread distribution across various environments. As PAEs pose significant threats to human health, it is urgent to develop efficient strategies to eliminate them from environments. Bacteria-driven PAE biodegradation has been considered as an inexpensive yet effective strategy to restore the contaminated environments. Despite great advances in bacterial culturing and sequencing, the inherent complexity of indigenous microbial community hinders us to mechanistically understand in situ PAE biodegradation and efficiently harness the degrading power of bacteria. The synthetic microbial ecology provides us a simple and controllable model system to address this problem. In this review, we focus on the current progress of PAE biodegradation mediated by bacterial isolates and indigenous bacterial communities, and discuss the prospective of synthetic PAE-degrading bacterial communities in PAE biodegradation research. It is anticipated that the theories and approaches of synthetic microbial ecology will revolutionize the study of bacteria-driven PAE biodegradation and provide novel insights for developing effective bioremediation solutions.","author":[{"dropping-particle":"","family":"Hu","given":"Ruiwen","non-dropping-particle":"","parse-names":false,"suffix":""},{"dropping-particle":"","family":"Zhao","given":"Haiming","non-dropping-particle":"","parse-names":false,"suffix":""},{"dropping-particle":"","family":"Xu","given":"Xihui","non-dropping-particle":"","parse-names":false,"suffix":""},{"dropping-particle":"","family":"Wang","given":"Zhigang","non-dropping-particle":"","parse-names":false,"suffix":""},{"dropping-particle":"","family":"Yu","given":"Ke","non-dropping-particle":"","parse-names":false,"suffix":""},{"dropping-particle":"","family":"Shu","given":"Longfei","non-dropping-particle":"","parse-names":false,"suffix":""},{"dropping-particle":"","family":"Yan","given":"Qingyun","non-dropping-particle":"","parse-names":false,"suffix":""},{"dropping-particle":"","family":"Wu","given":"Bo","non-dropping-particle":"","parse-names":false,"suffix":""},{"dropping-particle":"","family":"Mo","given":"Cehui","non-dropping-particle":"","parse-names":false,"suffix":""},{"dropping-particle":"","family":"He","given":"Zhili","non-dropping-particle":"","parse-names":false,"suffix":""},{"dropping-particle":"","family":"Wang","given":"Cheng","non-dropping-particle":"","parse-names":false,"suffix":""}],"container-title":"Environment International","id":"ITEM-1","issued":{"date-parts":[["2021"]]},"title":"Bacteria-driven phthalic acid ester biodegradation: Current status and emerging opportunities","type":"article-journal","volume":"154"},"uris":["http://www.mendeley.com/documents/?uuid=a963f680-bb56-4286-9236-fafdd18e4bed"]}],"mendeley":{"formattedCitation":"(Hu et al. 2021)","plainTextFormattedCitation":"(Hu et al. 2021)","previouslyFormattedCitation":"(R. Hu et al., 2021)"},"properties":{"noteIndex":0},"schema":"https://github.com/citation-style-language/schema/raw/master/csl-citation.json"}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(Hu et al. 2021)</w:t>
      </w:r>
      <w:r w:rsidRPr="00C7145C">
        <w:rPr>
          <w:rFonts w:ascii="Arial" w:hAnsi="Arial" w:cs="Arial"/>
          <w:bCs/>
        </w:rPr>
        <w:fldChar w:fldCharType="end"/>
      </w:r>
      <w:r w:rsidRPr="00C7145C">
        <w:rPr>
          <w:rFonts w:ascii="Arial" w:hAnsi="Arial" w:cs="Arial"/>
          <w:bCs/>
        </w:rPr>
        <w:t xml:space="preserve"> </w:t>
      </w:r>
      <w:r w:rsidRPr="00C7145C">
        <w:rPr>
          <w:rFonts w:ascii="Arial" w:hAnsi="Arial" w:cs="Arial"/>
          <w:bCs/>
        </w:rPr>
        <w:fldChar w:fldCharType="begin" w:fldLock="1"/>
      </w:r>
      <w:r w:rsidRPr="00C7145C">
        <w:rPr>
          <w:rFonts w:ascii="Arial" w:hAnsi="Arial" w:cs="Arial"/>
          <w:bCs/>
        </w:rPr>
        <w:instrText>ADDIN CSL_CITATION {"citationItems":[{"id":"ITEM-1","itemData":{"DOI":"10.1080/21655979.2023.2229094","ISSN":"2165-5979","author":[{"dropping-particle":"","family":"Kanaujiya","given":"Dipak Kumar","non-dropping-particle":"","parse-names":false,"suffix":""},{"dropping-particle":"","family":"More","given":"Atharva","non-dropping-particle":"","parse-names":false,"suffix":""},{"dropping-particle":"","family":"Chhantyal","given":"Ajay Kumar","non-dropping-particle":"","parse-names":false,"suffix":""},{"dropping-particle":"","family":"Karn","given":"Rama","non-dropping-particle":"","parse-names":false,"suffix":""},{"dropping-particle":"","family":"Pakshirajan","given":"Kannan","non-dropping-particle":"","parse-names":false,"suffix":""}],"container-title":"Bioengineered","id":"ITEM-1","issue":"1","issued":{"date-parts":[["2023"]]},"page":"195-211","publisher":"Taylor &amp; Francis","title":"Biodegradation of low , medium and high molecular weight phthalate by Gordonia sp . in a batch system : Kinetics and phytotoxicity analyses","type":"article-journal","volume":"14"},"uris":["http://www.mendeley.com/documents/?uuid=b6e5aea0-ac77-4d94-adfd-65d6999cfb1f"]}],"mendeley":{"formattedCitation":"(Kanaujiya et al. 2023)","plainTextFormattedCitation":"(Kanaujiya et al. 2023)","previouslyFormattedCitation":"(Kanaujiya et al., 2023)"},"properties":{"noteIndex":0},"schema":"https://github.com/citation-style-language/schema/raw/master/csl-citation.json"}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(Kanaujiya et al. 2023)</w:t>
      </w:r>
      <w:r w:rsidRPr="00C7145C">
        <w:rPr>
          <w:rFonts w:ascii="Arial" w:hAnsi="Arial" w:cs="Arial"/>
          <w:bCs/>
        </w:rPr>
        <w:fldChar w:fldCharType="end"/>
      </w:r>
      <w:r w:rsidRPr="00C7145C">
        <w:rPr>
          <w:rFonts w:ascii="Arial" w:hAnsi="Arial" w:cs="Arial"/>
          <w:bCs/>
        </w:rPr>
        <w:t xml:space="preserve">. Numerous studies have reported that many bacterial strains exhibit substrate specificity toward a single type of phthalate ester. Strains which are capable of efficiently degrading short side chain &amp; LMW phthalates often demonstrate comparatively lower degradation efficiency toward long side chain &amp; HMW phthalates </w:t>
      </w:r>
      <w:r w:rsidRPr="00C7145C">
        <w:rPr>
          <w:rFonts w:ascii="Arial" w:hAnsi="Arial" w:cs="Arial"/>
          <w:bCs/>
        </w:rPr>
        <w:fldChar w:fldCharType="begin" w:fldLock="1"/>
      </w:r>
      <w:r w:rsidRPr="00C7145C">
        <w:rPr>
          <w:rFonts w:ascii="Arial" w:hAnsi="Arial" w:cs="Arial"/>
          <w:bCs/>
        </w:rPr>
        <w:instrText>ADDIN CSL_CITATION {"citationItems":[{"id":"ITEM-1","itemData":{"DOI":"10.1111/jam.15045","author":[{"dropping-particle":"","family":"Kaur","given":"R","non-dropping-particle":"","parse-names":false,"suffix":""},{"dropping-particle":"","family":"Kumari","given":"A","non-dropping-particle":"","parse-names":false,"suffix":""},{"dropping-particle":"","family":"Sharma","given":"G","non-dropping-particle":"","parse-names":false,"suffix":""},{"dropping-particle":"","family":"Singh","given":"D","non-dropping-particle":"","parse-names":false,"suffix":""},{"dropping-particle":"","family":"Kaur","given":"R","non-dropping-particle":"","parse-names":false,"suffix":""}],"container-title":"Journal of Applied Microbiology","id":"ITEM-1","issue":"Iarc 2000","issued":{"date-parts":[["2021"]]},"page":"1-15","title":"Biodegradation of endocrine disrupting chemicals benzyl butyl phthalate and dimethyl phthalate by Bacillus marisflavi RR014","type":"article-journal"},"uris":["http://www.mendeley.com/documents/?uuid=000d8235-0ca4-47f3-9776-db367a5006b9"]}],"mendeley":{"formattedCitation":"(Kaur et al. 2021)","plainTextFormattedCitation":"(Kaur et al. 2021)","previouslyFormattedCitation":"(Kaur et al., 2021)"},"properties":{"noteIndex":0},"schema":"https://github.com/citation-style-language/schema/raw/master/csl-citation.json"}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(Kaur et al. 2021)</w:t>
      </w:r>
      <w:r w:rsidRPr="00C7145C">
        <w:rPr>
          <w:rFonts w:ascii="Arial" w:hAnsi="Arial" w:cs="Arial"/>
          <w:bCs/>
        </w:rPr>
        <w:fldChar w:fldCharType="end"/>
      </w:r>
      <w:r w:rsidRPr="00C7145C">
        <w:rPr>
          <w:rFonts w:ascii="Arial" w:hAnsi="Arial" w:cs="Arial"/>
          <w:bCs/>
        </w:rPr>
        <w:t xml:space="preserve"> </w:t>
      </w:r>
      <w:r w:rsidRPr="00C7145C">
        <w:rPr>
          <w:rFonts w:ascii="Arial" w:hAnsi="Arial" w:cs="Arial"/>
          <w:bCs/>
        </w:rPr>
        <w:fldChar w:fldCharType="begin" w:fldLock="1"/>
      </w:r>
      <w:r w:rsidRPr="00C7145C">
        <w:rPr>
          <w:rFonts w:ascii="Arial" w:hAnsi="Arial" w:cs="Arial"/>
          <w:bCs/>
        </w:rPr>
        <w:instrText>ADDIN CSL_CITATION {"citationItems":[{"id":"ITEM-1","itemData":{"DOI":"10.1016/j.chemosphere.2019.02.194","ISSN":"0045-6535","author":[{"dropping-particle":"","family":"Li, Jinlong.; Zhang, Jingfan.; Yadav, P.; Li","given":"Xiuting.","non-dropping-particle":"","parse-names":false,"suffix":""}],"container-title":"Chemoshpere","id":"ITEM-1","issued":{"date-parts":[["2019"]]},"publisher":"Elsevier Ltd","title":"Biodegradability and biodegradation pathway of di-(2-ethylhexyl) phthalate by Burkholderia Pyrroci nia B1213","type":"article-journal"},"uris":["http://www.mendeley.com/documents/?uuid=679c93d7-9102-40f5-9f07-4e18e89f53ce"]}],"mendeley":{"formattedCitation":"(Li, Jinlong.; Zhang, Jingfan.; Yadav, P.; Li 2019)","plainTextFormattedCitation":"(Li, Jinlong.; Zhang, Jingfan.; Yadav, P.; Li 2019)","previouslyFormattedCitation":"(Li, Jinlong.; Zhang, Jingfan.; Yadav, P.; Li, 2019)"},"properties":{"noteIndex":0},"schema":"https://github.com/citation-style-language/schema/raw/master/csl-citation.json"}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(Li, Jinlong.; Zhang, Jingfan.; Yadav, P.; Li 2019)</w:t>
      </w:r>
      <w:r w:rsidRPr="00C7145C">
        <w:rPr>
          <w:rFonts w:ascii="Arial" w:hAnsi="Arial" w:cs="Arial"/>
          <w:bCs/>
        </w:rPr>
        <w:fldChar w:fldCharType="end"/>
      </w:r>
      <w:r w:rsidRPr="00C7145C">
        <w:rPr>
          <w:rFonts w:ascii="Arial" w:hAnsi="Arial" w:cs="Arial"/>
          <w:bCs/>
        </w:rPr>
        <w:t xml:space="preserve"> </w:t>
      </w:r>
      <w:r w:rsidRPr="00C7145C">
        <w:rPr>
          <w:rFonts w:ascii="Arial" w:hAnsi="Arial" w:cs="Arial"/>
          <w:bCs/>
        </w:rPr>
        <w:fldChar w:fldCharType="begin" w:fldLock="1"/>
      </w:r>
      <w:r w:rsidRPr="00C7145C">
        <w:rPr>
          <w:rFonts w:ascii="Arial" w:hAnsi="Arial" w:cs="Arial"/>
          <w:bCs/>
        </w:rPr>
        <w:instrText>ADDIN CSL_CITATION {"citationItems":[{"id":"ITEM-1","itemData":{"DOI":"10.1007/s13205-016-0524-5","ISBN":"1320501605245","ISSN":"2190-5738","author":[{"dropping-particle":"","family":"Maitra","given":"Vinay Kumar S S","non-dropping-particle":"","parse-names":false,"suffix":""}],"container-title":"3 Biotech","id":"ITEM-1","issue":"2","issued":{"date-parts":[["2016"]]},"page":"1-12","publisher":"Springer Berlin Heidelberg","title":"Biodegradation of endocrine disruptor dibutyl phthalate ( DBP ) by a newly isolated Methylobacillus sp . V29b and the DBP degradation pathway","type":"article-journal","volume":"6"},"uris":["http://www.mendeley.com/documents/?uuid=7f05d105-7749-4c1d-80ac-eba15dfa4cdb"]}],"mendeley":{"formattedCitation":"(Maitra 2016)","plainTextFormattedCitation":"(Maitra 2016)","previouslyFormattedCitation":"(Maitra, 2016)"},"properties":{"noteIndex":0},"schema":"https://github.com/citation-style-language/schema/raw/master/csl-citation.json"}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(Maitra 2016)</w:t>
      </w:r>
      <w:r w:rsidRPr="00C7145C">
        <w:rPr>
          <w:rFonts w:ascii="Arial" w:hAnsi="Arial" w:cs="Arial"/>
          <w:bCs/>
        </w:rPr>
        <w:fldChar w:fldCharType="end"/>
      </w:r>
      <w:r w:rsidRPr="00C7145C">
        <w:rPr>
          <w:rFonts w:ascii="Arial" w:hAnsi="Arial" w:cs="Arial"/>
          <w:bCs/>
        </w:rPr>
        <w:t xml:space="preserve">. Study reported by </w:t>
      </w:r>
      <w:r w:rsidRPr="00C7145C">
        <w:rPr>
          <w:rFonts w:ascii="Arial" w:hAnsi="Arial" w:cs="Arial"/>
          <w:bCs/>
        </w:rPr>
        <w:fldChar w:fldCharType="begin" w:fldLock="1"/>
      </w:r>
      <w:r w:rsidRPr="00C7145C">
        <w:rPr>
          <w:rFonts w:ascii="Arial" w:hAnsi="Arial" w:cs="Arial"/>
          <w:bCs/>
        </w:rPr>
        <w:instrText>ADDIN CSL_CITATION {"citationItems":[{"id":"ITEM-1","itemData":{"DOI":"10.1016/j.biortech.2012.10.107","ISBN":"5718820627","ISSN":"18732976","PMID":"23201908","abstract":"HD-1, a stable microbial consortium capable of mineralizing di-. n-butyl phthalate (DBP), was developed from activated sludge. The dominant microorganisms in the consortium, Gordonia sp., Burkholderia sp. and Achromobacter sp., were identified by denaturing gradient gel electrophoresis (DGGE). The consortium could mineralize approximately 90% of 1200. mg/L DBP after 48. h of cultivation. The optimal DBP degradation conditions were 25-30°C and pH 8.0-9.0. The addition of yeast (0.5. g/L), sodium acetate (0.5. g/L, 1.0. g/L), Brij 35 (0.2%, 0.5%, 1.0%), or Triton X-100 (0.2%) enhanced DBP degradation. The DBP degradation rate was influenced by the presence of dimethyl phthalate (DMP) and diethyl phthalate (DEP). Only one main intermediate, phthalic acid, could be monitored by gas chromatography-mass spectrometry (GC-MS) during the degradation process. The HD-1 consortium also utilized phenol, o-dihydroxybenzene as the sole carbon and energy source. The results indicate the consortium may represent a promising application for DBP bioremediation. © 2012 Elsevier Ltd.","author":[{"dropping-particle":"","family":"He","given":"Zhixing","non-dropping-particle":"","parse-names":false,"suffix":""},{"dropping-particle":"","family":"Xiao","given":"Hailong","non-dropping-particle":"","parse-names":false,"suffix":""},{"dropping-particle":"","family":"Tang","given":"Lu","non-dropping-particle":"","parse-names":false,"suffix":""},{"dropping-particle":"","family":"Min","given":"Hang","non-dropping-particle":"","parse-names":false,"suffix":""},{"dropping-particle":"","family":"Lu","given":"Zhenmei","non-dropping-particle":"","parse-names":false,"suffix":""}],"container-title":"Bioresource Technology","id":"ITEM-1","issued":{"date-parts":[["2013"]]},"page":"526-532","publisher":"Elsevier Ltd","title":"Biodegradation of di-n-butyl phthalate by a stable bacterial consortium, HD-1, enriched from activated sludge","type":"article-journal","volume":"128"},"uris":["http://www.mendeley.com/documents/?uuid=4a5d3a2d-eb29-49f9-94e2-6ccec09c63d9"]}],"mendeley":{"formattedCitation":"(He et al. 2013)","plainTextFormattedCitation":"(He et al. 2013)","previouslyFormattedCitation":"(Z. He et al., 2013)"},"properties":{"noteIndex":0},"schema":"https://github.com/citation-style-language/schema/raw/master/csl-citation.json"}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(He et al. 2013)</w:t>
      </w:r>
      <w:r w:rsidRPr="00C7145C">
        <w:rPr>
          <w:rFonts w:ascii="Arial" w:hAnsi="Arial" w:cs="Arial"/>
          <w:bCs/>
        </w:rPr>
        <w:fldChar w:fldCharType="end"/>
      </w:r>
      <w:r w:rsidRPr="00C7145C">
        <w:rPr>
          <w:rFonts w:ascii="Arial" w:hAnsi="Arial" w:cs="Arial"/>
          <w:bCs/>
        </w:rPr>
        <w:t xml:space="preserve"> showed that even the consortium was not able to degrade mixture of both types of phthalates efficiently. But it was observed that when different concentrations of DBP and BBP from 100 to 500 mg/L with the increment of 100 mg/L was subjected to degradation by consortium JPN, 100 mg/L DBP and BBP near-complete (99%) degradation was observed. For 200 mg/L; 85.62 % DBP and 98.87 % BBP was degraded. This reveals that novel strains could also degrade complex structured phthalate at higher concentration.  The consortium was also able to degrade more than 50 % of both phthalates up to 300 mg/L in 24 h. This robustness might be due to diversity in the strains of consortium. Gram positive bacteria are proved to be more efficient in degrading  HMW phthalates than gram negative which effectively degrades LMW phthalates </w:t>
      </w:r>
      <w:r w:rsidRPr="00C7145C">
        <w:rPr>
          <w:rFonts w:ascii="Arial" w:hAnsi="Arial" w:cs="Arial"/>
          <w:bCs/>
        </w:rPr>
        <w:fldChar w:fldCharType="begin" w:fldLock="1"/>
      </w:r>
      <w:r w:rsidRPr="00C7145C">
        <w:rPr>
          <w:rFonts w:ascii="Arial" w:hAnsi="Arial" w:cs="Arial"/>
          <w:bCs/>
        </w:rPr>
        <w:instrText>ADDIN CSL_CITATION {"citationItems":[{"id":"ITEM-1","itemData":{"DOI":"10.1007/s00253-024-13105-6","ISBN":"0025302413105","ISSN":"1432-0614","author":[{"dropping-particle":"","family":"Qiao","given":"Pei","non-dropping-particle":"","parse-names":false,"suffix":""},{"dropping-particle":"","family":"Ying","given":"Tongtong","non-dropping-particle":"","parse-names":false,"suffix":""},{"dropping-particle":"","family":"Gu","given":"Mengjie","non-dropping-particle":"","parse-names":false,"suffix":""},{"dropping-particle":"","family":"Zhu","given":"Jiahong","non-dropping-particle":"","parse-names":false,"suffix":""},{"dropping-particle":"","family":"Mei","given":"Chengyu","non-dropping-particle":"","parse-names":false,"suffix":""},{"dropping-particle":"","family":"Hu","given":"Tong","non-dropping-particle":"","parse-names":false,"suffix":""},{"dropping-particle":"","family":"Liu","given":"Tengfei","non-dropping-particle":"","parse-names":false,"suffix":""},{"dropping-particle":"","family":"Wang","given":"Haixia","non-dropping-particle":"","parse-names":false,"suffix":""}],"container-title":"Applied Microbiology and Biotechnology","id":"ITEM-1","issued":{"date-parts":[["2024"]]},"publisher":"Springer Berlin Heidelberg","title":"Assimilation of phthalate esters in bacteria","type":"article-journal"},"uris":["http://www.mendeley.com/documents/?uuid=74e5414d-3fa5-4279-9e7e-948a7aad78a7"]}],"mendeley":{"formattedCitation":"(Qiao et al. 2024)","plainTextFormattedCitation":"(Qiao et al. 2024)","previouslyFormattedCitation":"(Qiao et al., 2024)"},"properties":{"noteIndex":0},"schema":"https://github.com/citation-style-language/schema/raw/master/csl-citation.json"}</w:instrText>
      </w:r>
      <w:r w:rsidRPr="00C7145C">
        <w:rPr>
          <w:rFonts w:ascii="Arial" w:hAnsi="Arial" w:cs="Arial"/>
          <w:bCs/>
        </w:rPr>
        <w:fldChar w:fldCharType="separate"/>
      </w:r>
      <w:r w:rsidRPr="00C7145C">
        <w:rPr>
          <w:rFonts w:ascii="Arial" w:hAnsi="Arial" w:cs="Arial"/>
          <w:bCs/>
        </w:rPr>
        <w:t>(Qiao et al. 2024)</w:t>
      </w:r>
      <w:r w:rsidRPr="00C7145C">
        <w:rPr>
          <w:rFonts w:ascii="Arial" w:hAnsi="Arial" w:cs="Arial"/>
          <w:bCs/>
        </w:rPr>
        <w:fldChar w:fldCharType="end"/>
      </w:r>
      <w:r w:rsidRPr="00C7145C">
        <w:rPr>
          <w:rFonts w:ascii="Arial" w:hAnsi="Arial" w:cs="Arial"/>
          <w:bCs/>
        </w:rPr>
        <w:t xml:space="preserve">. Therefore, consortium JPN serves as an excellent system to optimally degrade both DBP (LMW) and BBP (HMW) simultaneously. Fig. 2 (D) graphically represents this data. </w:t>
      </w:r>
    </w:p>
    <w:p w14:paraId="062BD915" w14:textId="77777777" w:rsidR="00C7145C" w:rsidRPr="00C7145C" w:rsidRDefault="00C7145C" w:rsidP="002C248C">
      <w:pPr>
        <w:pStyle w:val="Body"/>
        <w:spacing w:after="0"/>
        <w:jc w:val="center"/>
        <w:rPr>
          <w:rFonts w:ascii="Arial" w:hAnsi="Arial" w:cs="Arial"/>
          <w:b/>
          <w:sz w:val="22"/>
        </w:rPr>
      </w:pPr>
      <w:r w:rsidRPr="00C7145C">
        <w:rPr>
          <w:rFonts w:ascii="Arial" w:hAnsi="Arial" w:cs="Arial"/>
          <w:b/>
          <w:noProof/>
          <w:sz w:val="22"/>
          <w:lang w:val="en-IN" w:eastAsia="en-IN"/>
        </w:rPr>
        <w:lastRenderedPageBreak/>
        <w:drawing>
          <wp:inline distT="0" distB="0" distL="0" distR="0" wp14:anchorId="2958EC2C" wp14:editId="53692D39">
            <wp:extent cx="5455920" cy="3703320"/>
            <wp:effectExtent l="0" t="0" r="0" b="0"/>
            <wp:docPr id="1102971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71721" name="Picture 1102971721"/>
                    <pic:cNvPicPr/>
                  </pic:nvPicPr>
                  <pic:blipFill rotWithShape="1">
                    <a:blip r:embed="rId16">
                      <a:extLst>
                        <a:ext uri="{28A0092B-C50C-407E-A947-70E740481C1C}">
                          <a14:useLocalDpi xmlns:a14="http://schemas.microsoft.com/office/drawing/2010/main" val="0"/>
                        </a:ext>
                      </a:extLst>
                    </a:blip>
                    <a:srcRect l="7375" t="2444" r="15461" b="3561"/>
                    <a:stretch>
                      <a:fillRect/>
                    </a:stretch>
                  </pic:blipFill>
                  <pic:spPr bwMode="auto">
                    <a:xfrm>
                      <a:off x="0" y="0"/>
                      <a:ext cx="5455920" cy="3703320"/>
                    </a:xfrm>
                    <a:prstGeom prst="rect">
                      <a:avLst/>
                    </a:prstGeom>
                    <a:ln>
                      <a:noFill/>
                    </a:ln>
                    <a:extLst>
                      <a:ext uri="{53640926-AAD7-44D8-BBD7-CCE9431645EC}">
                        <a14:shadowObscured xmlns:a14="http://schemas.microsoft.com/office/drawing/2010/main"/>
                      </a:ext>
                    </a:extLst>
                  </pic:spPr>
                </pic:pic>
              </a:graphicData>
            </a:graphic>
          </wp:inline>
        </w:drawing>
      </w:r>
    </w:p>
    <w:p w14:paraId="5B33A0B1" w14:textId="450E898B" w:rsidR="00C7145C" w:rsidRDefault="00C7145C" w:rsidP="002C248C">
      <w:pPr>
        <w:pStyle w:val="Body"/>
        <w:spacing w:after="0"/>
        <w:jc w:val="center"/>
        <w:rPr>
          <w:rFonts w:ascii="Arial" w:hAnsi="Arial" w:cs="Arial"/>
          <w:b/>
          <w:bCs/>
          <w:lang w:val="en-IN"/>
        </w:rPr>
      </w:pPr>
      <w:r w:rsidRPr="00C7145C">
        <w:rPr>
          <w:rFonts w:ascii="Arial" w:hAnsi="Arial" w:cs="Arial"/>
          <w:b/>
          <w:bCs/>
        </w:rPr>
        <w:t>Fig. 2</w:t>
      </w:r>
      <w:r>
        <w:rPr>
          <w:rFonts w:ascii="Arial" w:hAnsi="Arial" w:cs="Arial"/>
          <w:b/>
          <w:bCs/>
        </w:rPr>
        <w:t xml:space="preserve"> </w:t>
      </w:r>
      <w:r w:rsidRPr="00C7145C">
        <w:rPr>
          <w:rFonts w:ascii="Arial" w:hAnsi="Arial" w:cs="Arial"/>
          <w:b/>
          <w:bCs/>
          <w:lang w:val="en-IN"/>
        </w:rPr>
        <w:t>Optimization of environmental parameters by OFAT. Effect of pH (A), effect of temperature (B), effect of inoculum size (C), and Effect of substrate concentration (D)</w:t>
      </w:r>
    </w:p>
    <w:p w14:paraId="7A6DB5FA" w14:textId="77777777" w:rsidR="00C7145C" w:rsidRPr="00C7145C" w:rsidRDefault="00C7145C" w:rsidP="002C248C">
      <w:pPr>
        <w:pStyle w:val="Body"/>
        <w:spacing w:after="0"/>
        <w:jc w:val="center"/>
        <w:rPr>
          <w:rFonts w:ascii="Arial" w:hAnsi="Arial" w:cs="Arial"/>
          <w:b/>
          <w:bCs/>
        </w:rPr>
      </w:pPr>
    </w:p>
    <w:p w14:paraId="66A88AA1" w14:textId="77777777" w:rsidR="00C7145C" w:rsidRPr="00C7145C" w:rsidRDefault="00C7145C" w:rsidP="002C248C">
      <w:pPr>
        <w:pStyle w:val="Body"/>
        <w:spacing w:after="0"/>
        <w:rPr>
          <w:rFonts w:ascii="Arial" w:hAnsi="Arial" w:cs="Arial"/>
          <w:bCs/>
        </w:rPr>
      </w:pPr>
      <w:r w:rsidRPr="00C7145C">
        <w:rPr>
          <w:rFonts w:ascii="Arial" w:hAnsi="Arial" w:cs="Arial"/>
          <w:bCs/>
        </w:rPr>
        <w:t xml:space="preserve">The statistical analysis resulted in a valid model with significant </w:t>
      </w:r>
      <w:r w:rsidRPr="00C7145C">
        <w:rPr>
          <w:rFonts w:ascii="Arial" w:hAnsi="Arial" w:cs="Arial"/>
          <w:bCs/>
          <w:i/>
          <w:iCs/>
        </w:rPr>
        <w:t>p</w:t>
      </w:r>
      <w:r w:rsidRPr="00C7145C">
        <w:rPr>
          <w:rFonts w:ascii="Arial" w:hAnsi="Arial" w:cs="Arial"/>
          <w:bCs/>
        </w:rPr>
        <w:t xml:space="preserve"> value and non-significant lack of fit for DBP &amp; BBP. Final equations from ANOVA table for degradation (%) are mentioned below. </w:t>
      </w:r>
    </w:p>
    <w:p w14:paraId="6ADB24A4" w14:textId="48001EDC" w:rsidR="00C7145C" w:rsidRPr="00C7145C" w:rsidRDefault="00C7145C" w:rsidP="002C248C">
      <w:pPr>
        <w:pStyle w:val="Body"/>
        <w:spacing w:after="0"/>
        <w:rPr>
          <w:rFonts w:ascii="Arial" w:hAnsi="Arial" w:cs="Arial"/>
          <w:bCs/>
          <w:lang w:val="en-IN"/>
        </w:rPr>
      </w:pPr>
      <w:r w:rsidRPr="00C7145C">
        <w:rPr>
          <w:rFonts w:ascii="Arial" w:hAnsi="Arial" w:cs="Arial"/>
          <w:bCs/>
          <w:lang w:val="en-IN"/>
        </w:rPr>
        <w:t xml:space="preserve">DBP Degradation (%) Y = -84.99 + 15.57 </w:t>
      </w:r>
      <w:bookmarkStart w:id="0" w:name="_Hlk215076433"/>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lang w:val="en-IN"/>
        </w:rPr>
        <w:t xml:space="preserve"> + 4.86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lang w:val="en-IN"/>
        </w:rPr>
        <w:t xml:space="preserve"> </w:t>
      </w:r>
      <w:r w:rsidRPr="00C7145C">
        <w:rPr>
          <w:rFonts w:ascii="Arial" w:hAnsi="Arial" w:cs="Arial"/>
          <w:bCs/>
          <w:lang w:val="en-IN"/>
        </w:rPr>
        <w:t xml:space="preserve">+ 10.63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lang w:val="en-IN"/>
        </w:rPr>
        <w:t xml:space="preserve"> </w:t>
      </w:r>
      <w:bookmarkEnd w:id="0"/>
      <w:r w:rsidRPr="00C7145C">
        <w:rPr>
          <w:rFonts w:ascii="Arial" w:hAnsi="Arial" w:cs="Arial"/>
          <w:bCs/>
          <w:lang w:val="en-IN"/>
        </w:rPr>
        <w:t xml:space="preserve">- 0.01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lang w:val="en-IN"/>
        </w:rPr>
        <w:t xml:space="preserve"> X</w:t>
      </w:r>
      <w:r w:rsidRPr="00C7145C">
        <w:rPr>
          <w:rFonts w:ascii="Arial" w:hAnsi="Arial" w:cs="Arial"/>
          <w:bCs/>
          <w:i/>
          <w:iCs/>
          <w:vertAlign w:val="subscript"/>
          <w:lang w:val="en-IN"/>
        </w:rPr>
        <w:t xml:space="preserve">2 </w:t>
      </w:r>
      <w:r w:rsidRPr="00C7145C">
        <w:rPr>
          <w:rFonts w:ascii="Arial" w:hAnsi="Arial" w:cs="Arial"/>
          <w:bCs/>
          <w:lang w:val="en-IN"/>
        </w:rPr>
        <w:t xml:space="preserve">+ 0.17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lang w:val="en-IN"/>
        </w:rPr>
        <w:t xml:space="preserve"> X</w:t>
      </w:r>
      <w:r w:rsidRPr="00C7145C">
        <w:rPr>
          <w:rFonts w:ascii="Arial" w:hAnsi="Arial" w:cs="Arial"/>
          <w:bCs/>
          <w:i/>
          <w:iCs/>
          <w:vertAlign w:val="subscript"/>
          <w:lang w:val="en-IN"/>
        </w:rPr>
        <w:t xml:space="preserve">3 </w:t>
      </w:r>
      <w:r w:rsidRPr="00C7145C">
        <w:rPr>
          <w:rFonts w:ascii="Arial" w:hAnsi="Arial" w:cs="Arial"/>
          <w:bCs/>
          <w:lang w:val="en-IN"/>
        </w:rPr>
        <w:t xml:space="preserve">+ 0.29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lang w:val="en-IN"/>
        </w:rPr>
        <w:t xml:space="preserve"> X</w:t>
      </w:r>
      <w:r w:rsidRPr="00C7145C">
        <w:rPr>
          <w:rFonts w:ascii="Arial" w:hAnsi="Arial" w:cs="Arial"/>
          <w:bCs/>
          <w:i/>
          <w:iCs/>
          <w:vertAlign w:val="subscript"/>
          <w:lang w:val="en-IN"/>
        </w:rPr>
        <w:t>3</w:t>
      </w:r>
      <w:r w:rsidRPr="00C7145C">
        <w:rPr>
          <w:rFonts w:ascii="Arial" w:hAnsi="Arial" w:cs="Arial"/>
          <w:bCs/>
          <w:lang w:val="en-IN"/>
        </w:rPr>
        <w:t xml:space="preserve"> - 0.88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vertAlign w:val="superscript"/>
          <w:lang w:val="en-IN"/>
        </w:rPr>
        <w:t>2</w:t>
      </w:r>
      <w:r w:rsidRPr="00C7145C">
        <w:rPr>
          <w:rFonts w:ascii="Arial" w:hAnsi="Arial" w:cs="Arial"/>
          <w:bCs/>
          <w:lang w:val="en-IN"/>
        </w:rPr>
        <w:t xml:space="preserve"> - 0.16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vertAlign w:val="superscript"/>
          <w:lang w:val="en-IN"/>
        </w:rPr>
        <w:t>2</w:t>
      </w:r>
      <w:r w:rsidRPr="00C7145C">
        <w:rPr>
          <w:rFonts w:ascii="Arial" w:hAnsi="Arial" w:cs="Arial"/>
          <w:bCs/>
          <w:lang w:val="en-IN"/>
        </w:rPr>
        <w:t xml:space="preserve"> - 0.98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i/>
          <w:iCs/>
          <w:vertAlign w:val="superscript"/>
          <w:lang w:val="en-IN"/>
        </w:rPr>
        <w:t>2</w:t>
      </w:r>
      <w:r w:rsidRPr="00C7145C">
        <w:rPr>
          <w:rFonts w:ascii="Arial" w:hAnsi="Arial" w:cs="Arial"/>
          <w:bCs/>
          <w:vertAlign w:val="superscript"/>
          <w:lang w:val="en-IN"/>
        </w:rPr>
        <w:t xml:space="preserve"> </w:t>
      </w:r>
      <w:r w:rsidRPr="00C7145C">
        <w:rPr>
          <w:rFonts w:ascii="Arial" w:hAnsi="Arial" w:cs="Arial"/>
          <w:bCs/>
          <w:lang w:val="en-IN"/>
        </w:rPr>
        <w:t>……………………………………...…</w:t>
      </w:r>
      <w:r w:rsidR="002C248C">
        <w:rPr>
          <w:rFonts w:ascii="Arial" w:hAnsi="Arial" w:cs="Arial"/>
          <w:bCs/>
          <w:lang w:val="en-IN"/>
        </w:rPr>
        <w:t>…………………………………………………………………………………</w:t>
      </w:r>
      <w:r w:rsidRPr="00C7145C">
        <w:rPr>
          <w:rFonts w:ascii="Arial" w:hAnsi="Arial" w:cs="Arial"/>
          <w:bCs/>
          <w:lang w:val="en-IN"/>
        </w:rPr>
        <w:t>Eq. (2)</w:t>
      </w:r>
    </w:p>
    <w:p w14:paraId="7419A5D4" w14:textId="4225239E" w:rsidR="00C7145C" w:rsidRPr="00C7145C" w:rsidRDefault="00C7145C" w:rsidP="002C248C">
      <w:pPr>
        <w:pStyle w:val="Body"/>
        <w:spacing w:after="0"/>
        <w:rPr>
          <w:rFonts w:ascii="Arial" w:hAnsi="Arial" w:cs="Arial"/>
          <w:bCs/>
          <w:lang w:val="en-IN"/>
        </w:rPr>
      </w:pPr>
      <w:r w:rsidRPr="00C7145C">
        <w:rPr>
          <w:rFonts w:ascii="Arial" w:hAnsi="Arial" w:cs="Arial"/>
          <w:bCs/>
          <w:lang w:val="en-IN"/>
        </w:rPr>
        <w:t xml:space="preserve">BBP Degradation (%) Y = -8.39 + 5.56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lang w:val="en-IN"/>
        </w:rPr>
        <w:t xml:space="preserve"> + 2.74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lang w:val="en-IN"/>
        </w:rPr>
        <w:t xml:space="preserve"> + 9.33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lang w:val="en-IN"/>
        </w:rPr>
        <w:t xml:space="preserve"> + 0.04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lang w:val="en-IN"/>
        </w:rPr>
        <w:t xml:space="preserve"> X</w:t>
      </w:r>
      <w:r w:rsidRPr="00C7145C">
        <w:rPr>
          <w:rFonts w:ascii="Arial" w:hAnsi="Arial" w:cs="Arial"/>
          <w:bCs/>
          <w:i/>
          <w:iCs/>
          <w:vertAlign w:val="subscript"/>
          <w:lang w:val="en-IN"/>
        </w:rPr>
        <w:t>2</w:t>
      </w:r>
      <w:r w:rsidRPr="00C7145C">
        <w:rPr>
          <w:rFonts w:ascii="Arial" w:hAnsi="Arial" w:cs="Arial"/>
          <w:bCs/>
          <w:vertAlign w:val="subscript"/>
          <w:lang w:val="en-IN"/>
        </w:rPr>
        <w:t xml:space="preserve"> </w:t>
      </w:r>
      <w:r w:rsidRPr="00C7145C">
        <w:rPr>
          <w:rFonts w:ascii="Arial" w:hAnsi="Arial" w:cs="Arial"/>
          <w:bCs/>
          <w:lang w:val="en-IN"/>
        </w:rPr>
        <w:t xml:space="preserve">-0.03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lang w:val="en-IN"/>
        </w:rPr>
        <w:t xml:space="preserve"> X</w:t>
      </w:r>
      <w:r w:rsidRPr="00C7145C">
        <w:rPr>
          <w:rFonts w:ascii="Arial" w:hAnsi="Arial" w:cs="Arial"/>
          <w:bCs/>
          <w:i/>
          <w:iCs/>
          <w:vertAlign w:val="subscript"/>
          <w:lang w:val="en-IN"/>
        </w:rPr>
        <w:t>3</w:t>
      </w:r>
      <w:r w:rsidRPr="00C7145C">
        <w:rPr>
          <w:rFonts w:ascii="Arial" w:hAnsi="Arial" w:cs="Arial"/>
          <w:bCs/>
          <w:lang w:val="en-IN"/>
        </w:rPr>
        <w:t xml:space="preserve">+ 0.24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lang w:val="en-IN"/>
        </w:rPr>
        <w:t xml:space="preserve"> X</w:t>
      </w:r>
      <w:r w:rsidRPr="00C7145C">
        <w:rPr>
          <w:rFonts w:ascii="Arial" w:hAnsi="Arial" w:cs="Arial"/>
          <w:bCs/>
          <w:i/>
          <w:iCs/>
          <w:vertAlign w:val="subscript"/>
          <w:lang w:val="en-IN"/>
        </w:rPr>
        <w:t>3</w:t>
      </w:r>
      <w:r w:rsidRPr="00C7145C">
        <w:rPr>
          <w:rFonts w:ascii="Arial" w:hAnsi="Arial" w:cs="Arial"/>
          <w:bCs/>
          <w:lang w:val="en-IN"/>
        </w:rPr>
        <w:t xml:space="preserve"> - 0.28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i/>
          <w:iCs/>
          <w:vertAlign w:val="superscript"/>
          <w:lang w:val="en-IN"/>
        </w:rPr>
        <w:t>2</w:t>
      </w:r>
      <w:r w:rsidRPr="00C7145C">
        <w:rPr>
          <w:rFonts w:ascii="Arial" w:hAnsi="Arial" w:cs="Arial"/>
          <w:bCs/>
          <w:lang w:val="en-IN"/>
        </w:rPr>
        <w:t xml:space="preserve"> - 0.11</w:t>
      </w:r>
      <w:r w:rsidRPr="00C7145C">
        <w:rPr>
          <w:rFonts w:ascii="Arial" w:hAnsi="Arial" w:cs="Arial"/>
          <w:bCs/>
          <w:i/>
          <w:iCs/>
          <w:lang w:val="en-IN"/>
        </w:rPr>
        <w:t xml:space="preserve"> X</w:t>
      </w:r>
      <w:r w:rsidRPr="00C7145C">
        <w:rPr>
          <w:rFonts w:ascii="Arial" w:hAnsi="Arial" w:cs="Arial"/>
          <w:bCs/>
          <w:i/>
          <w:iCs/>
          <w:vertAlign w:val="subscript"/>
          <w:lang w:val="en-IN"/>
        </w:rPr>
        <w:t>2</w:t>
      </w:r>
      <w:r w:rsidRPr="00C7145C">
        <w:rPr>
          <w:rFonts w:ascii="Arial" w:hAnsi="Arial" w:cs="Arial"/>
          <w:bCs/>
          <w:i/>
          <w:iCs/>
          <w:vertAlign w:val="superscript"/>
          <w:lang w:val="en-IN"/>
        </w:rPr>
        <w:t>2</w:t>
      </w:r>
      <w:r w:rsidRPr="00C7145C">
        <w:rPr>
          <w:rFonts w:ascii="Arial" w:hAnsi="Arial" w:cs="Arial"/>
          <w:bCs/>
          <w:lang w:val="en-IN"/>
        </w:rPr>
        <w:t xml:space="preserve"> - 0.76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i/>
          <w:iCs/>
          <w:vertAlign w:val="superscript"/>
          <w:lang w:val="en-IN"/>
        </w:rPr>
        <w:t>2</w:t>
      </w:r>
      <w:r w:rsidRPr="00C7145C">
        <w:rPr>
          <w:rFonts w:ascii="Arial" w:hAnsi="Arial" w:cs="Arial"/>
          <w:bCs/>
          <w:vertAlign w:val="superscript"/>
          <w:lang w:val="en-IN"/>
        </w:rPr>
        <w:t xml:space="preserve"> </w:t>
      </w:r>
      <w:r w:rsidRPr="00C7145C">
        <w:rPr>
          <w:rFonts w:ascii="Arial" w:hAnsi="Arial" w:cs="Arial"/>
          <w:bCs/>
          <w:lang w:val="en-IN"/>
        </w:rPr>
        <w:t>….……………………………….………</w:t>
      </w:r>
      <w:r w:rsidR="002C248C">
        <w:rPr>
          <w:rFonts w:ascii="Arial" w:hAnsi="Arial" w:cs="Arial"/>
          <w:bCs/>
          <w:lang w:val="en-IN"/>
        </w:rPr>
        <w:t>………………………………………………………………………………..</w:t>
      </w:r>
      <w:r w:rsidRPr="00C7145C">
        <w:rPr>
          <w:rFonts w:ascii="Arial" w:hAnsi="Arial" w:cs="Arial"/>
          <w:bCs/>
          <w:lang w:val="en-IN"/>
        </w:rPr>
        <w:t>Eq. (3)</w:t>
      </w:r>
    </w:p>
    <w:p w14:paraId="16FBB8C5" w14:textId="77777777" w:rsidR="00C7145C" w:rsidRPr="00C7145C" w:rsidRDefault="00C7145C" w:rsidP="002C248C">
      <w:pPr>
        <w:pStyle w:val="Body"/>
        <w:spacing w:after="0"/>
        <w:rPr>
          <w:rFonts w:ascii="Arial" w:hAnsi="Arial" w:cs="Arial"/>
          <w:bCs/>
          <w:lang w:val="en-IN"/>
        </w:rPr>
      </w:pPr>
      <w:r w:rsidRPr="00C7145C">
        <w:rPr>
          <w:rFonts w:ascii="Arial" w:hAnsi="Arial" w:cs="Arial"/>
          <w:bCs/>
          <w:lang w:val="en-IN"/>
        </w:rPr>
        <w:t xml:space="preserve">Where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lang w:val="en-IN"/>
        </w:rPr>
        <w:t xml:space="preserve"> = pH,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lang w:val="en-IN"/>
        </w:rPr>
        <w:t xml:space="preserve"> = Temperature and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vertAlign w:val="subscript"/>
          <w:lang w:val="en-IN"/>
        </w:rPr>
        <w:t xml:space="preserve"> </w:t>
      </w:r>
      <w:r w:rsidRPr="00C7145C">
        <w:rPr>
          <w:rFonts w:ascii="Arial" w:hAnsi="Arial" w:cs="Arial"/>
          <w:bCs/>
          <w:lang w:val="en-IN"/>
        </w:rPr>
        <w:t xml:space="preserve">= Inoculum size </w:t>
      </w:r>
    </w:p>
    <w:p w14:paraId="51EC0FB1" w14:textId="77777777" w:rsidR="00C7145C" w:rsidRPr="00C7145C" w:rsidRDefault="00C7145C" w:rsidP="002C248C">
      <w:pPr>
        <w:pStyle w:val="Body"/>
        <w:spacing w:after="0"/>
        <w:rPr>
          <w:rFonts w:ascii="Arial" w:hAnsi="Arial" w:cs="Arial"/>
          <w:bCs/>
          <w:lang w:val="en-IN"/>
        </w:rPr>
      </w:pPr>
      <w:r w:rsidRPr="00C7145C">
        <w:rPr>
          <w:rFonts w:ascii="Arial" w:hAnsi="Arial" w:cs="Arial"/>
          <w:bCs/>
          <w:lang w:val="en-IN"/>
        </w:rPr>
        <w:t xml:space="preserve">Tables S1 and S2 are the ANOVA tables of DBP and BBP respectively. Analysing statistical data from ANOVA table and equation shows that </w:t>
      </w:r>
      <w:r w:rsidRPr="00C7145C">
        <w:rPr>
          <w:rFonts w:ascii="Arial" w:hAnsi="Arial" w:cs="Arial"/>
          <w:bCs/>
          <w:i/>
          <w:iCs/>
          <w:lang w:val="en-IN"/>
        </w:rPr>
        <w:t>X</w:t>
      </w:r>
      <w:r w:rsidRPr="00C7145C">
        <w:rPr>
          <w:rFonts w:ascii="Arial" w:hAnsi="Arial" w:cs="Arial"/>
          <w:bCs/>
          <w:i/>
          <w:iCs/>
          <w:vertAlign w:val="subscript"/>
          <w:lang w:val="en-IN"/>
        </w:rPr>
        <w:t>1</w:t>
      </w:r>
      <w:r w:rsidRPr="00C7145C">
        <w:rPr>
          <w:rFonts w:ascii="Arial" w:hAnsi="Arial" w:cs="Arial"/>
          <w:bCs/>
          <w:vertAlign w:val="subscript"/>
          <w:lang w:val="en-IN"/>
        </w:rPr>
        <w:t xml:space="preserve"> </w:t>
      </w:r>
      <w:r w:rsidRPr="00C7145C">
        <w:rPr>
          <w:rFonts w:ascii="Arial" w:hAnsi="Arial" w:cs="Arial"/>
          <w:bCs/>
          <w:lang w:val="en-IN"/>
        </w:rPr>
        <w:t xml:space="preserve">(pH) is serving as dominant linear factor, confirming the necessity of alkaline pH for optimum degradation which also correlates with the OFAT data. The consistent interaction between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vertAlign w:val="subscript"/>
          <w:lang w:val="en-IN"/>
        </w:rPr>
        <w:t xml:space="preserve"> </w:t>
      </w:r>
      <w:r w:rsidRPr="00C7145C">
        <w:rPr>
          <w:rFonts w:ascii="Arial" w:hAnsi="Arial" w:cs="Arial"/>
          <w:bCs/>
          <w:lang w:val="en-IN"/>
        </w:rPr>
        <w:t xml:space="preserve">validates the synergistic effect between temperature and biomass. The significant quadratic terms </w:t>
      </w:r>
      <w:r w:rsidRPr="00C7145C">
        <w:rPr>
          <w:rFonts w:ascii="Arial" w:hAnsi="Arial" w:cs="Arial"/>
          <w:bCs/>
          <w:i/>
          <w:iCs/>
          <w:lang w:val="en-IN"/>
        </w:rPr>
        <w:t>X</w:t>
      </w:r>
      <w:r w:rsidRPr="00C7145C">
        <w:rPr>
          <w:rFonts w:ascii="Arial" w:hAnsi="Arial" w:cs="Arial"/>
          <w:bCs/>
          <w:i/>
          <w:iCs/>
          <w:vertAlign w:val="subscript"/>
          <w:lang w:val="en-IN"/>
        </w:rPr>
        <w:t>2</w:t>
      </w:r>
      <w:r w:rsidRPr="00C7145C">
        <w:rPr>
          <w:rFonts w:ascii="Arial" w:hAnsi="Arial" w:cs="Arial"/>
          <w:bCs/>
          <w:i/>
          <w:iCs/>
          <w:vertAlign w:val="superscript"/>
          <w:lang w:val="en-IN"/>
        </w:rPr>
        <w:t>2</w:t>
      </w:r>
      <w:r w:rsidRPr="00C7145C">
        <w:rPr>
          <w:rFonts w:ascii="Arial" w:hAnsi="Arial" w:cs="Arial"/>
          <w:bCs/>
          <w:lang w:val="en-IN"/>
        </w:rPr>
        <w:t xml:space="preserve"> &amp; </w:t>
      </w:r>
      <w:r w:rsidRPr="00C7145C">
        <w:rPr>
          <w:rFonts w:ascii="Arial" w:hAnsi="Arial" w:cs="Arial"/>
          <w:bCs/>
          <w:i/>
          <w:iCs/>
          <w:lang w:val="en-IN"/>
        </w:rPr>
        <w:t>X</w:t>
      </w:r>
      <w:r w:rsidRPr="00C7145C">
        <w:rPr>
          <w:rFonts w:ascii="Arial" w:hAnsi="Arial" w:cs="Arial"/>
          <w:bCs/>
          <w:i/>
          <w:iCs/>
          <w:vertAlign w:val="subscript"/>
          <w:lang w:val="en-IN"/>
        </w:rPr>
        <w:t>3</w:t>
      </w:r>
      <w:r w:rsidRPr="00C7145C">
        <w:rPr>
          <w:rFonts w:ascii="Arial" w:hAnsi="Arial" w:cs="Arial"/>
          <w:bCs/>
          <w:i/>
          <w:iCs/>
          <w:vertAlign w:val="superscript"/>
          <w:lang w:val="en-IN"/>
        </w:rPr>
        <w:t>2</w:t>
      </w:r>
      <w:r w:rsidRPr="00C7145C">
        <w:rPr>
          <w:rFonts w:ascii="Arial" w:hAnsi="Arial" w:cs="Arial"/>
          <w:bCs/>
          <w:vertAlign w:val="superscript"/>
          <w:lang w:val="en-IN"/>
        </w:rPr>
        <w:t xml:space="preserve"> </w:t>
      </w:r>
      <w:r w:rsidRPr="00C7145C">
        <w:rPr>
          <w:rFonts w:ascii="Arial" w:hAnsi="Arial" w:cs="Arial"/>
          <w:bCs/>
          <w:lang w:val="en-IN"/>
        </w:rPr>
        <w:t xml:space="preserve">defines the peak limit, which indicates exceeding the value beyond limit will drastically decreases the amount of degradation. Fig. (3) &amp; (4). shows 3D relationship between different factors for optimization of DBP &amp; BBP respectively. </w:t>
      </w:r>
    </w:p>
    <w:p w14:paraId="6822E6FE" w14:textId="77777777" w:rsidR="00C7145C" w:rsidRDefault="00C7145C" w:rsidP="002C248C">
      <w:pPr>
        <w:pStyle w:val="Body"/>
        <w:spacing w:after="0"/>
        <w:jc w:val="center"/>
        <w:rPr>
          <w:rFonts w:ascii="Arial" w:hAnsi="Arial" w:cs="Arial"/>
          <w:b/>
          <w:sz w:val="22"/>
          <w:lang w:val="en-IN"/>
        </w:rPr>
      </w:pPr>
      <w:r w:rsidRPr="00C7145C">
        <w:rPr>
          <w:rFonts w:ascii="Arial" w:hAnsi="Arial" w:cs="Arial"/>
          <w:b/>
          <w:noProof/>
          <w:sz w:val="22"/>
          <w:lang w:val="en-IN" w:eastAsia="en-IN"/>
        </w:rPr>
        <w:lastRenderedPageBreak/>
        <w:drawing>
          <wp:inline distT="0" distB="0" distL="0" distR="0" wp14:anchorId="04F8CA5D" wp14:editId="5777FF6A">
            <wp:extent cx="5081918" cy="4175760"/>
            <wp:effectExtent l="0" t="0" r="4445" b="0"/>
            <wp:docPr id="18437858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85888" name="Picture 1843785888"/>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4756" r="13186"/>
                    <a:stretch>
                      <a:fillRect/>
                    </a:stretch>
                  </pic:blipFill>
                  <pic:spPr bwMode="auto">
                    <a:xfrm>
                      <a:off x="0" y="0"/>
                      <a:ext cx="5094494" cy="4186094"/>
                    </a:xfrm>
                    <a:prstGeom prst="rect">
                      <a:avLst/>
                    </a:prstGeom>
                    <a:ln>
                      <a:noFill/>
                    </a:ln>
                    <a:extLst>
                      <a:ext uri="{53640926-AAD7-44D8-BBD7-CCE9431645EC}">
                        <a14:shadowObscured xmlns:a14="http://schemas.microsoft.com/office/drawing/2010/main"/>
                      </a:ext>
                    </a:extLst>
                  </pic:spPr>
                </pic:pic>
              </a:graphicData>
            </a:graphic>
          </wp:inline>
        </w:drawing>
      </w:r>
    </w:p>
    <w:p w14:paraId="1031745B" w14:textId="77777777" w:rsidR="002C248C" w:rsidRPr="00C7145C" w:rsidRDefault="002C248C" w:rsidP="002C248C">
      <w:pPr>
        <w:pStyle w:val="Body"/>
        <w:spacing w:after="0"/>
        <w:jc w:val="center"/>
        <w:rPr>
          <w:rFonts w:ascii="Arial" w:hAnsi="Arial" w:cs="Arial"/>
          <w:b/>
          <w:sz w:val="22"/>
          <w:lang w:val="en-IN"/>
        </w:rPr>
      </w:pPr>
    </w:p>
    <w:p w14:paraId="1E049B7B" w14:textId="4C84B37E" w:rsidR="00C7145C" w:rsidRDefault="00C7145C" w:rsidP="002C248C">
      <w:pPr>
        <w:pStyle w:val="Body"/>
        <w:spacing w:after="0"/>
        <w:jc w:val="center"/>
        <w:rPr>
          <w:rFonts w:ascii="Arial" w:hAnsi="Arial" w:cs="Arial"/>
          <w:b/>
          <w:bCs/>
          <w:lang w:val="en-IN"/>
        </w:rPr>
      </w:pPr>
      <w:r w:rsidRPr="00C7145C">
        <w:rPr>
          <w:rFonts w:ascii="Arial" w:hAnsi="Arial" w:cs="Arial"/>
          <w:b/>
          <w:bCs/>
          <w:lang w:val="en-IN"/>
        </w:rPr>
        <w:t>Fig. 3 3D plots showing the relationship between pH, temperature and inoculum size for DBP optimization</w:t>
      </w:r>
    </w:p>
    <w:p w14:paraId="1F129B98" w14:textId="77777777" w:rsidR="002C248C" w:rsidRPr="00C7145C" w:rsidRDefault="002C248C" w:rsidP="002C248C">
      <w:pPr>
        <w:pStyle w:val="Body"/>
        <w:spacing w:after="0"/>
        <w:jc w:val="center"/>
        <w:rPr>
          <w:rFonts w:ascii="Arial" w:hAnsi="Arial" w:cs="Arial"/>
          <w:b/>
          <w:bCs/>
          <w:lang w:val="en-IN"/>
        </w:rPr>
      </w:pPr>
    </w:p>
    <w:p w14:paraId="31CD852B" w14:textId="77777777" w:rsidR="00C7145C" w:rsidRPr="00C7145C" w:rsidRDefault="00C7145C" w:rsidP="002C248C">
      <w:pPr>
        <w:pStyle w:val="Body"/>
        <w:spacing w:after="0"/>
        <w:jc w:val="center"/>
        <w:rPr>
          <w:rFonts w:ascii="Arial" w:hAnsi="Arial" w:cs="Arial"/>
          <w:b/>
          <w:sz w:val="22"/>
          <w:lang w:val="en-IN"/>
        </w:rPr>
      </w:pPr>
      <w:r w:rsidRPr="00C7145C">
        <w:rPr>
          <w:rFonts w:ascii="Arial" w:hAnsi="Arial" w:cs="Arial"/>
          <w:b/>
          <w:noProof/>
          <w:sz w:val="22"/>
          <w:lang w:val="en-IN" w:eastAsia="en-IN"/>
        </w:rPr>
        <w:drawing>
          <wp:inline distT="0" distB="0" distL="0" distR="0" wp14:anchorId="318E771A" wp14:editId="417BE202">
            <wp:extent cx="5097780" cy="4175125"/>
            <wp:effectExtent l="0" t="0" r="7620" b="0"/>
            <wp:docPr id="1482622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22208" name="Picture 1482622208"/>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4226" r="13184"/>
                    <a:stretch>
                      <a:fillRect/>
                    </a:stretch>
                  </pic:blipFill>
                  <pic:spPr bwMode="auto">
                    <a:xfrm>
                      <a:off x="0" y="0"/>
                      <a:ext cx="5101233" cy="4177953"/>
                    </a:xfrm>
                    <a:prstGeom prst="rect">
                      <a:avLst/>
                    </a:prstGeom>
                    <a:ln>
                      <a:noFill/>
                    </a:ln>
                    <a:extLst>
                      <a:ext uri="{53640926-AAD7-44D8-BBD7-CCE9431645EC}">
                        <a14:shadowObscured xmlns:a14="http://schemas.microsoft.com/office/drawing/2010/main"/>
                      </a:ext>
                    </a:extLst>
                  </pic:spPr>
                </pic:pic>
              </a:graphicData>
            </a:graphic>
          </wp:inline>
        </w:drawing>
      </w:r>
    </w:p>
    <w:p w14:paraId="12472D5B" w14:textId="5E76E762" w:rsidR="00C7145C" w:rsidRPr="00C7145C" w:rsidRDefault="004552B0" w:rsidP="002C248C">
      <w:pPr>
        <w:pStyle w:val="Body"/>
        <w:spacing w:after="0"/>
        <w:jc w:val="center"/>
        <w:rPr>
          <w:rFonts w:ascii="Arial" w:hAnsi="Arial" w:cs="Arial"/>
          <w:b/>
          <w:bCs/>
          <w:lang w:val="en-IN"/>
        </w:rPr>
      </w:pPr>
      <w:r>
        <w:rPr>
          <w:rFonts w:ascii="Arial" w:hAnsi="Arial" w:cs="Arial"/>
          <w:b/>
          <w:bCs/>
          <w:lang w:val="en-IN"/>
        </w:rPr>
        <w:lastRenderedPageBreak/>
        <w:t>Fig. 4</w:t>
      </w:r>
      <w:r w:rsidR="00C7145C" w:rsidRPr="00C7145C">
        <w:rPr>
          <w:rFonts w:ascii="Arial" w:hAnsi="Arial" w:cs="Arial"/>
          <w:b/>
          <w:bCs/>
          <w:lang w:val="en-IN"/>
        </w:rPr>
        <w:t xml:space="preserve"> 3D plots showing the relationship between pH, temperature and inoculum size for </w:t>
      </w:r>
      <w:r w:rsidR="00C7145C">
        <w:rPr>
          <w:rFonts w:ascii="Arial" w:hAnsi="Arial" w:cs="Arial"/>
          <w:b/>
          <w:bCs/>
          <w:lang w:val="en-IN"/>
        </w:rPr>
        <w:t>B</w:t>
      </w:r>
      <w:r w:rsidR="00C7145C" w:rsidRPr="00C7145C">
        <w:rPr>
          <w:rFonts w:ascii="Arial" w:hAnsi="Arial" w:cs="Arial"/>
          <w:b/>
          <w:bCs/>
          <w:lang w:val="en-IN"/>
        </w:rPr>
        <w:t>BP optimization</w:t>
      </w:r>
    </w:p>
    <w:p w14:paraId="06D36314" w14:textId="77777777" w:rsidR="00C7145C" w:rsidRPr="00C7145C" w:rsidRDefault="00C7145C" w:rsidP="002C248C">
      <w:pPr>
        <w:pStyle w:val="Body"/>
        <w:spacing w:after="0"/>
        <w:rPr>
          <w:rFonts w:ascii="Arial" w:hAnsi="Arial" w:cs="Arial"/>
          <w:b/>
          <w:bCs/>
          <w:sz w:val="22"/>
          <w:lang w:val="en-IN"/>
        </w:rPr>
      </w:pPr>
    </w:p>
    <w:p w14:paraId="5AB51BDF" w14:textId="48EF4232" w:rsidR="00C7145C" w:rsidRDefault="00C7145C" w:rsidP="002C248C">
      <w:pPr>
        <w:pStyle w:val="Body"/>
        <w:spacing w:after="0"/>
        <w:rPr>
          <w:rFonts w:ascii="Arial" w:hAnsi="Arial" w:cs="Arial"/>
          <w:b/>
          <w:bCs/>
          <w:sz w:val="22"/>
        </w:rPr>
      </w:pPr>
      <w:r>
        <w:rPr>
          <w:rFonts w:ascii="Arial" w:hAnsi="Arial" w:cs="Arial"/>
          <w:b/>
          <w:bCs/>
          <w:sz w:val="22"/>
        </w:rPr>
        <w:t xml:space="preserve">3.3 </w:t>
      </w:r>
      <w:r w:rsidRPr="00C7145C">
        <w:rPr>
          <w:rFonts w:ascii="Arial" w:hAnsi="Arial" w:cs="Arial"/>
          <w:b/>
          <w:bCs/>
          <w:sz w:val="22"/>
        </w:rPr>
        <w:t>Degradation Study</w:t>
      </w:r>
    </w:p>
    <w:p w14:paraId="7B10AD1F" w14:textId="77777777" w:rsidR="00C7145C" w:rsidRPr="00C7145C" w:rsidRDefault="00C7145C" w:rsidP="002C248C">
      <w:pPr>
        <w:pStyle w:val="Body"/>
        <w:spacing w:after="0"/>
        <w:rPr>
          <w:rFonts w:ascii="Arial" w:hAnsi="Arial" w:cs="Arial"/>
          <w:b/>
          <w:bCs/>
          <w:sz w:val="22"/>
        </w:rPr>
      </w:pPr>
    </w:p>
    <w:p w14:paraId="70FB1F89" w14:textId="77777777" w:rsidR="00C7145C" w:rsidRPr="00C7145C" w:rsidRDefault="00C7145C" w:rsidP="002C248C">
      <w:pPr>
        <w:pStyle w:val="Body"/>
        <w:spacing w:after="0"/>
        <w:rPr>
          <w:rFonts w:ascii="Arial" w:hAnsi="Arial" w:cs="Arial"/>
          <w:bCs/>
        </w:rPr>
      </w:pPr>
      <w:r w:rsidRPr="00C7145C">
        <w:rPr>
          <w:rFonts w:ascii="Arial" w:hAnsi="Arial" w:cs="Arial"/>
          <w:bCs/>
        </w:rPr>
        <w:t xml:space="preserve">Chromatographic analysis of control of DBP and BBP gave peak at retention time of 12.5 min. and 11.9 min. respectively. In treated samples, this peak area decreased substantially which indicates the reduction in the amount of PAEs. In both the treated sample appearance of peaks between 6 to 8 min. indicates generation of metabolites after degradation. Similar pattern of peak in treated samples suggests similar degradation pattern for DBP and BBP. </w:t>
      </w:r>
    </w:p>
    <w:p w14:paraId="6CF5CFB1" w14:textId="77777777" w:rsidR="00C7145C" w:rsidRPr="00C7145C" w:rsidRDefault="00C7145C" w:rsidP="002C248C">
      <w:pPr>
        <w:pStyle w:val="Body"/>
        <w:spacing w:after="0"/>
        <w:rPr>
          <w:rFonts w:ascii="Arial" w:hAnsi="Arial" w:cs="Arial"/>
          <w:bCs/>
          <w:lang w:val="en-IN"/>
        </w:rPr>
      </w:pPr>
      <w:r w:rsidRPr="00C7145C">
        <w:rPr>
          <w:rFonts w:ascii="Arial" w:hAnsi="Arial" w:cs="Arial"/>
          <w:bCs/>
          <w:lang w:val="en-IN"/>
        </w:rPr>
        <w:t>The FTIR spectrum of untreated DBP exhibited a characteristic ester carbonyl stretching vibration at 1728 cm</w:t>
      </w:r>
      <w:r w:rsidRPr="00C7145C">
        <w:rPr>
          <w:rFonts w:ascii="Cambria Math" w:hAnsi="Cambria Math" w:cs="Cambria Math"/>
          <w:bCs/>
          <w:lang w:val="en-IN"/>
        </w:rPr>
        <w:t>⁻</w:t>
      </w:r>
      <w:r w:rsidRPr="00C7145C">
        <w:rPr>
          <w:rFonts w:ascii="Arial" w:hAnsi="Arial" w:cs="Arial"/>
          <w:bCs/>
          <w:lang w:val="en-IN"/>
        </w:rPr>
        <w:t>¹, consistent with phthalate diester structures. After bacterial treatment, the carbonyl peak decreased which indicates substantial cleavage of ester linkages. Parallel reduction of ester C–O stretching vibrations in the 1280–1120 cm</w:t>
      </w:r>
      <w:r w:rsidRPr="00C7145C">
        <w:rPr>
          <w:rFonts w:ascii="Cambria Math" w:hAnsi="Cambria Math" w:cs="Cambria Math"/>
          <w:bCs/>
          <w:lang w:val="en-IN"/>
        </w:rPr>
        <w:t>⁻</w:t>
      </w:r>
      <w:r w:rsidRPr="00C7145C">
        <w:rPr>
          <w:rFonts w:ascii="Arial" w:hAnsi="Arial" w:cs="Arial"/>
          <w:bCs/>
          <w:lang w:val="en-IN"/>
        </w:rPr>
        <w:t>¹ region further confirms disruption of the carbonyl bond. The appearance of broad O–H stretching bands at 3300–2500 cm</w:t>
      </w:r>
      <w:r w:rsidRPr="00C7145C">
        <w:rPr>
          <w:rFonts w:ascii="Cambria Math" w:hAnsi="Cambria Math" w:cs="Cambria Math"/>
          <w:bCs/>
          <w:lang w:val="en-IN"/>
        </w:rPr>
        <w:t>⁻</w:t>
      </w:r>
      <w:r w:rsidRPr="00C7145C">
        <w:rPr>
          <w:rFonts w:ascii="Arial" w:hAnsi="Arial" w:cs="Arial"/>
          <w:bCs/>
          <w:lang w:val="en-IN"/>
        </w:rPr>
        <w:t>¹ and sharp hydroxyl signals near 3624 cm</w:t>
      </w:r>
      <w:r w:rsidRPr="00C7145C">
        <w:rPr>
          <w:rFonts w:ascii="Cambria Math" w:hAnsi="Cambria Math" w:cs="Cambria Math"/>
          <w:bCs/>
          <w:lang w:val="en-IN"/>
        </w:rPr>
        <w:t>⁻</w:t>
      </w:r>
      <w:r w:rsidRPr="00C7145C">
        <w:rPr>
          <w:rFonts w:ascii="Arial" w:hAnsi="Arial" w:cs="Arial"/>
          <w:bCs/>
          <w:lang w:val="en-IN"/>
        </w:rPr>
        <w:t xml:space="preserve">¹ supports the formation of alcohol and carboxylic acid intermediates. Mechanistically, DBP degradation proceeds via esterase-mediated hydrolysis reaction. This is due to nucleophilic attack of water on the electrophilic carbonyl carbon of the ester bond. The reaction forms a tetrahedral intermediate, which breaks down to release n-butanol and generate monobutyl phthalate (MBP). The second hydrolytic reaction yields phthalic acid. Such sequential hydrolysis has been reported as the primary pathway in bacterial degradation of phthalate esters </w:t>
      </w:r>
      <w:r w:rsidRPr="00C7145C">
        <w:rPr>
          <w:rFonts w:ascii="Arial" w:hAnsi="Arial" w:cs="Arial"/>
          <w:bCs/>
          <w:lang w:val="en-IN"/>
        </w:rPr>
        <w:fldChar w:fldCharType="begin" w:fldLock="1"/>
      </w:r>
      <w:r w:rsidRPr="00C7145C">
        <w:rPr>
          <w:rFonts w:ascii="Arial" w:hAnsi="Arial" w:cs="Arial"/>
          <w:bCs/>
          <w:lang w:val="en-IN"/>
        </w:rPr>
        <w:instrText>ADDIN CSL_CITATION {"citationItems":[{"id":"ITEM-1","itemData":{"DOI":"10.1016/j.scitotenv.2017.10.298","ISSN":"0048-9697","author":[{"dropping-particle":"","family":"Feng","given":"Nai-xian","non-dropping-particle":"","parse-names":false,"suffix":""},{"dropping-particle":"","family":"Yu","given":"Jiao","non-dropping-particle":"","parse-names":false,"suffix":""},{"dropping-particle":"","family":"Mo","given":"Ce-hui","non-dropping-particle":"","parse-names":false,"suffix":""},{"dropping-particle":"","family":"Zhao","given":"Hai-ming","non-dropping-particle":"","parse-names":false,"suffix":""},{"dropping-particle":"","family":"Li","given":"Yan-wen","non-dropping-particle":"","parse-names":false,"suffix":""},{"dropping-particle":"","family":"Wu","given":"Bing-xiao","non-dropping-particle":"","parse-names":false,"suffix":""},{"dropping-particle":"","family":"Cai","given":"Quan-ying","non-dropping-particle":"","parse-names":false,"suffix":""}],"container-title":"Science of the Total Environment","id":"ITEM-1","issued":{"date-parts":[["2018"]]},"page":"117-127","publisher":"Elsevier B.V.","title":"Science of the Total Environment Biodegradation of di-n-butyl phthalate ( DBP ) by a novel endophytic Bacillus megaterium strain YJB3","type":"article-journal","volume":"616-617"},"uris":["http://www.mendeley.com/documents/?uuid=7c306ffa-170e-4c3e-8cbe-d215267074c2"]}],"mendeley":{"formattedCitation":"(Feng et al. 2018)","plainTextFormattedCitation":"(Feng et al. 2018)","previouslyFormattedCitation":"(Feng et al., 2018)"},"properties":{"noteIndex":0},"schema":"https://github.com/citation-style-language/schema/raw/master/csl-citation.json"}</w:instrText>
      </w:r>
      <w:r w:rsidRPr="00C7145C">
        <w:rPr>
          <w:rFonts w:ascii="Arial" w:hAnsi="Arial" w:cs="Arial"/>
          <w:bCs/>
          <w:lang w:val="en-IN"/>
        </w:rPr>
        <w:fldChar w:fldCharType="separate"/>
      </w:r>
      <w:r w:rsidRPr="00C7145C">
        <w:rPr>
          <w:rFonts w:ascii="Arial" w:hAnsi="Arial" w:cs="Arial"/>
          <w:bCs/>
          <w:lang w:val="en-IN"/>
        </w:rPr>
        <w:t>(Feng et al. 2018)</w:t>
      </w:r>
      <w:r w:rsidRPr="00C7145C">
        <w:rPr>
          <w:rFonts w:ascii="Arial" w:hAnsi="Arial" w:cs="Arial"/>
          <w:bCs/>
        </w:rPr>
        <w:fldChar w:fldCharType="end"/>
      </w:r>
      <w:r w:rsidRPr="00C7145C">
        <w:rPr>
          <w:rFonts w:ascii="Arial" w:hAnsi="Arial" w:cs="Arial"/>
          <w:bCs/>
          <w:lang w:val="en-IN"/>
        </w:rPr>
        <w:t xml:space="preserve">. Subsequently, phthalic acid undergoes dioxygenase-mediated oxidation to protocatechuate and leads to complete mineralization via the TCA cycle </w:t>
      </w:r>
      <w:r w:rsidRPr="00C7145C">
        <w:rPr>
          <w:rFonts w:ascii="Arial" w:hAnsi="Arial" w:cs="Arial"/>
          <w:bCs/>
          <w:lang w:val="en-IN"/>
        </w:rPr>
        <w:fldChar w:fldCharType="begin" w:fldLock="1"/>
      </w:r>
      <w:r w:rsidRPr="00C7145C">
        <w:rPr>
          <w:rFonts w:ascii="Arial" w:hAnsi="Arial" w:cs="Arial"/>
          <w:bCs/>
          <w:lang w:val="en-IN"/>
        </w:rPr>
        <w:instrText>ADDIN CSL_CITATION {"citationItems":[{"id":"ITEM-1","itemData":{"DOI":"10.1038/nrmicro2652","ISSN":"1740-1526","author":[{"dropping-particle":"","family":"Fuchs","given":"Georg","non-dropping-particle":"","parse-names":false,"suffix":""},{"dropping-particle":"","family":"Boll","given":"Matthias","non-dropping-particle":"","parse-names":false,"suffix":""},{"dropping-particle":"","family":"Heider","given":"Johann","non-dropping-particle":"","parse-names":false,"suffix":""}],"container-title":"Nature Reviews Microbiology","id":"ITEM-1","issue":"11","issued":{"date-parts":[["2011"]]},"page":"803-816","publisher":"Nature Publishing Group","title":"Microbial degradation of aromatic compounds — from one strategy to four","type":"article-journal","volume":"9"},"uris":["http://www.mendeley.com/documents/?uuid=7ba606bb-f94f-4f33-94dc-54a532f18f06"]}],"mendeley":{"formattedCitation":"(Fuchs, Boll, and Heider 2011)","plainTextFormattedCitation":"(Fuchs, Boll, and Heider 2011)","previouslyFormattedCitation":"(Fuchs et al., 2011)"},"properties":{"noteIndex":0},"schema":"https://github.com/citation-style-language/schema/raw/master/csl-citation.json"}</w:instrText>
      </w:r>
      <w:r w:rsidRPr="00C7145C">
        <w:rPr>
          <w:rFonts w:ascii="Arial" w:hAnsi="Arial" w:cs="Arial"/>
          <w:bCs/>
          <w:lang w:val="en-IN"/>
        </w:rPr>
        <w:fldChar w:fldCharType="separate"/>
      </w:r>
      <w:r w:rsidRPr="00C7145C">
        <w:rPr>
          <w:rFonts w:ascii="Arial" w:hAnsi="Arial" w:cs="Arial"/>
          <w:bCs/>
          <w:lang w:val="en-IN"/>
        </w:rPr>
        <w:t>(Fuchs, Boll, and Heider 2011)</w:t>
      </w:r>
      <w:r w:rsidRPr="00C7145C">
        <w:rPr>
          <w:rFonts w:ascii="Arial" w:hAnsi="Arial" w:cs="Arial"/>
          <w:bCs/>
        </w:rPr>
        <w:fldChar w:fldCharType="end"/>
      </w:r>
      <w:r w:rsidRPr="00C7145C">
        <w:rPr>
          <w:rFonts w:ascii="Arial" w:hAnsi="Arial" w:cs="Arial"/>
          <w:bCs/>
          <w:lang w:val="en-IN"/>
        </w:rPr>
        <w:t>. Equation (4) represents the stoichiometric reaction of DBP</w:t>
      </w:r>
    </w:p>
    <w:p w14:paraId="2D2D9C22" w14:textId="3505D0EC" w:rsidR="00C7145C" w:rsidRPr="00C7145C" w:rsidRDefault="00CE7B7C" w:rsidP="002C248C">
      <w:pPr>
        <w:pStyle w:val="Body"/>
        <w:spacing w:after="0"/>
        <w:rPr>
          <w:rFonts w:ascii="Arial" w:hAnsi="Arial" w:cs="Arial"/>
          <w:bCs/>
          <w:lang w:val="en-IN"/>
        </w:rPr>
      </w:pPr>
      <m:oMath>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16</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22</m:t>
            </m:r>
          </m:sub>
        </m:sSub>
        <m:sSub>
          <m:sSubPr>
            <m:ctrlPr>
              <w:rPr>
                <w:rFonts w:ascii="Cambria Math" w:hAnsi="Cambria Math" w:cs="Arial"/>
                <w:bCs/>
                <w:lang w:val="en-IN"/>
              </w:rPr>
            </m:ctrlPr>
          </m:sSubPr>
          <m:e>
            <m:r>
              <w:rPr>
                <w:rFonts w:ascii="Cambria Math" w:hAnsi="Cambria Math" w:cs="Arial"/>
                <w:lang w:val="en-IN"/>
              </w:rPr>
              <m:t>O</m:t>
            </m:r>
          </m:e>
          <m:sub>
            <m:r>
              <w:rPr>
                <w:rFonts w:ascii="Cambria Math" w:hAnsi="Cambria Math" w:cs="Arial"/>
                <w:lang w:val="en-IN"/>
              </w:rPr>
              <m:t>4</m:t>
            </m:r>
          </m:sub>
        </m:sSub>
        <m:r>
          <w:rPr>
            <w:rFonts w:ascii="Cambria Math" w:hAnsi="Cambria Math" w:cs="Arial"/>
            <w:lang w:val="en-IN"/>
          </w:rPr>
          <m:t>+2</m:t>
        </m:r>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2</m:t>
            </m:r>
          </m:sub>
        </m:sSub>
        <m:r>
          <w:rPr>
            <w:rFonts w:ascii="Cambria Math" w:hAnsi="Cambria Math" w:cs="Arial"/>
            <w:lang w:val="en-IN"/>
          </w:rPr>
          <m:t>O→</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8</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6</m:t>
            </m:r>
          </m:sub>
        </m:sSub>
        <m:sSub>
          <m:sSubPr>
            <m:ctrlPr>
              <w:rPr>
                <w:rFonts w:ascii="Cambria Math" w:hAnsi="Cambria Math" w:cs="Arial"/>
                <w:bCs/>
                <w:lang w:val="en-IN"/>
              </w:rPr>
            </m:ctrlPr>
          </m:sSubPr>
          <m:e>
            <m:r>
              <w:rPr>
                <w:rFonts w:ascii="Cambria Math" w:hAnsi="Cambria Math" w:cs="Arial"/>
                <w:lang w:val="en-IN"/>
              </w:rPr>
              <m:t>O</m:t>
            </m:r>
          </m:e>
          <m:sub>
            <m:r>
              <w:rPr>
                <w:rFonts w:ascii="Cambria Math" w:hAnsi="Cambria Math" w:cs="Arial"/>
                <w:lang w:val="en-IN"/>
              </w:rPr>
              <m:t>4</m:t>
            </m:r>
          </m:sub>
        </m:sSub>
        <m:r>
          <w:rPr>
            <w:rFonts w:ascii="Cambria Math" w:hAnsi="Cambria Math" w:cs="Arial"/>
            <w:lang w:val="en-IN"/>
          </w:rPr>
          <m:t>+2</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4</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10</m:t>
            </m:r>
          </m:sub>
        </m:sSub>
        <m:r>
          <w:rPr>
            <w:rFonts w:ascii="Cambria Math" w:hAnsi="Cambria Math" w:cs="Arial"/>
            <w:lang w:val="en-IN"/>
          </w:rPr>
          <m:t>O</m:t>
        </m:r>
      </m:oMath>
      <w:r w:rsidR="00C7145C" w:rsidRPr="00C7145C">
        <w:rPr>
          <w:rFonts w:ascii="Arial" w:hAnsi="Arial" w:cs="Arial"/>
          <w:bCs/>
          <w:lang w:val="en-IN"/>
        </w:rPr>
        <w:t xml:space="preserve"> …………………………………………</w:t>
      </w:r>
      <w:r w:rsidR="002C248C">
        <w:rPr>
          <w:rFonts w:ascii="Arial" w:hAnsi="Arial" w:cs="Arial"/>
          <w:bCs/>
          <w:lang w:val="en-IN"/>
        </w:rPr>
        <w:t>……………………………………………...</w:t>
      </w:r>
      <w:r w:rsidR="00C7145C" w:rsidRPr="00C7145C">
        <w:rPr>
          <w:rFonts w:ascii="Arial" w:hAnsi="Arial" w:cs="Arial"/>
          <w:bCs/>
          <w:lang w:val="en-IN"/>
        </w:rPr>
        <w:t>Eq. (4)</w:t>
      </w:r>
    </w:p>
    <w:p w14:paraId="49CB8E4E" w14:textId="77777777" w:rsidR="00C7145C" w:rsidRPr="00C7145C" w:rsidRDefault="00C7145C" w:rsidP="002C248C">
      <w:pPr>
        <w:pStyle w:val="Body"/>
        <w:spacing w:after="0"/>
        <w:rPr>
          <w:rFonts w:ascii="Arial" w:hAnsi="Arial" w:cs="Arial"/>
          <w:bCs/>
          <w:lang w:val="en-IN"/>
        </w:rPr>
      </w:pPr>
      <w:r w:rsidRPr="00C7145C">
        <w:rPr>
          <w:rFonts w:ascii="Arial" w:hAnsi="Arial" w:cs="Arial"/>
          <w:bCs/>
          <w:lang w:val="en-IN"/>
        </w:rPr>
        <w:t>BBP showed a strong ester carbonyl band at 1724 cm</w:t>
      </w:r>
      <w:r w:rsidRPr="00C7145C">
        <w:rPr>
          <w:rFonts w:ascii="Cambria Math" w:hAnsi="Cambria Math" w:cs="Cambria Math"/>
          <w:bCs/>
          <w:lang w:val="en-IN"/>
        </w:rPr>
        <w:t>⁻</w:t>
      </w:r>
      <w:r w:rsidRPr="00C7145C">
        <w:rPr>
          <w:rFonts w:ascii="Arial" w:hAnsi="Arial" w:cs="Arial"/>
          <w:bCs/>
          <w:lang w:val="en-IN"/>
        </w:rPr>
        <w:t>¹ which represents asymmetric phthalate diesters containing benzyl and butyl substituents. Post-treatment, the carbonyl peak decreased, this confirms cleavage of ester bonds. Significant decreases in the ester C–O stretching region (1280–1040 cm</w:t>
      </w:r>
      <w:r w:rsidRPr="00C7145C">
        <w:rPr>
          <w:rFonts w:ascii="Cambria Math" w:hAnsi="Cambria Math" w:cs="Cambria Math"/>
          <w:bCs/>
          <w:lang w:val="en-IN"/>
        </w:rPr>
        <w:t>⁻</w:t>
      </w:r>
      <w:r w:rsidRPr="00C7145C">
        <w:rPr>
          <w:rFonts w:ascii="Arial" w:hAnsi="Arial" w:cs="Arial"/>
          <w:bCs/>
          <w:lang w:val="en-IN"/>
        </w:rPr>
        <w:t>¹) also validate hydrolytic bond cleavage. Aromatic skeletal vibrations around 1550–1600 cm</w:t>
      </w:r>
      <w:r w:rsidRPr="00C7145C">
        <w:rPr>
          <w:rFonts w:ascii="Cambria Math" w:hAnsi="Cambria Math" w:cs="Cambria Math"/>
          <w:bCs/>
          <w:lang w:val="en-IN"/>
        </w:rPr>
        <w:t>⁻</w:t>
      </w:r>
      <w:r w:rsidRPr="00C7145C">
        <w:rPr>
          <w:rFonts w:ascii="Arial" w:hAnsi="Arial" w:cs="Arial"/>
          <w:bCs/>
          <w:lang w:val="en-IN"/>
        </w:rPr>
        <w:t>¹ were reduced which indicates structural destabilization or oxidative transformation of the aromatic core. Emergence of O–H stretching bands near 3813 and 3624 cm</w:t>
      </w:r>
      <w:r w:rsidRPr="00C7145C">
        <w:rPr>
          <w:rFonts w:ascii="Cambria Math" w:hAnsi="Cambria Math" w:cs="Cambria Math"/>
          <w:bCs/>
          <w:lang w:val="en-IN"/>
        </w:rPr>
        <w:t>⁻</w:t>
      </w:r>
      <w:r w:rsidRPr="00C7145C">
        <w:rPr>
          <w:rFonts w:ascii="Arial" w:hAnsi="Arial" w:cs="Arial"/>
          <w:bCs/>
          <w:lang w:val="en-IN"/>
        </w:rPr>
        <w:t xml:space="preserve">¹ indicates generation of benzyl alcohol, butanol, and phthalic acid metabolites. Similar to DBP, BBP degradation also initiated via nucleophilic attack of water on the ester carbonyl carbon which is catalysed by microbial esterases. Due to its asymmetric structure, sequential hydrolysis liberates benzyl alcohol and butanol and forms phthalic acid. Reduction in aromatic ring vibrations observed suggests subsequent oxidative metabolism, this could be due to phthalate 4,5-dioxygenase activity leading to protocatechuate formation </w:t>
      </w:r>
      <w:r w:rsidRPr="00C7145C">
        <w:rPr>
          <w:rFonts w:ascii="Arial" w:hAnsi="Arial" w:cs="Arial"/>
          <w:bCs/>
          <w:lang w:val="en-IN"/>
        </w:rPr>
        <w:fldChar w:fldCharType="begin" w:fldLock="1"/>
      </w:r>
      <w:r w:rsidRPr="00C7145C">
        <w:rPr>
          <w:rFonts w:ascii="Arial" w:hAnsi="Arial" w:cs="Arial"/>
          <w:bCs/>
          <w:lang w:val="en-IN"/>
        </w:rPr>
        <w:instrText>ADDIN CSL_CITATION {"citationItems":[{"id":"ITEM-1","itemData":{"DOI":"10.1007/s00253-008-1548-5","author":[{"dropping-particle":"","family":"Liang","given":"Da-wei","non-dropping-particle":"","parse-names":false,"suffix":""},{"dropping-particle":"","family":"Zhang","given":"Tong","non-dropping-particle":"","parse-names":false,"suffix":""},{"dropping-particle":"","family":"Fang","given":"Herbert H P","non-dropping-particle":"","parse-names":false,"suffix":""}],"container-title":"Applied Microbial Thechnology","id":"ITEM-1","issued":{"date-parts":[["2008"]]},"page":"183-198","title":"Phthalates biodegradation in the environment","type":"article-journal"},"uris":["http://www.mendeley.com/documents/?uuid=9735df5d-c1b0-48d5-9204-0e16144b655d"]}],"mendeley":{"formattedCitation":"(Liang, Zhang, and Fang 2008)","plainTextFormattedCitation":"(Liang, Zhang, and Fang 2008)","previouslyFormattedCitation":"(Liang et al., 2008)"},"properties":{"noteIndex":0},"schema":"https://github.com/citation-style-language/schema/raw/master/csl-citation.json"}</w:instrText>
      </w:r>
      <w:r w:rsidRPr="00C7145C">
        <w:rPr>
          <w:rFonts w:ascii="Arial" w:hAnsi="Arial" w:cs="Arial"/>
          <w:bCs/>
          <w:lang w:val="en-IN"/>
        </w:rPr>
        <w:fldChar w:fldCharType="separate"/>
      </w:r>
      <w:r w:rsidRPr="00C7145C">
        <w:rPr>
          <w:rFonts w:ascii="Arial" w:hAnsi="Arial" w:cs="Arial"/>
          <w:bCs/>
          <w:lang w:val="en-IN"/>
        </w:rPr>
        <w:t>(Liang, Zhang, and Fang 2008)</w:t>
      </w:r>
      <w:r w:rsidRPr="00C7145C">
        <w:rPr>
          <w:rFonts w:ascii="Arial" w:hAnsi="Arial" w:cs="Arial"/>
          <w:bCs/>
        </w:rPr>
        <w:fldChar w:fldCharType="end"/>
      </w:r>
      <w:r w:rsidRPr="00C7145C">
        <w:rPr>
          <w:rFonts w:ascii="Arial" w:hAnsi="Arial" w:cs="Arial"/>
          <w:bCs/>
          <w:lang w:val="en-IN"/>
        </w:rPr>
        <w:t>. Equation (5) represents the stoichiometric reaction of DBP</w:t>
      </w:r>
    </w:p>
    <w:p w14:paraId="211F2AE4" w14:textId="29018015" w:rsidR="00C7145C" w:rsidRPr="00C7145C" w:rsidRDefault="00CE7B7C" w:rsidP="002C248C">
      <w:pPr>
        <w:pStyle w:val="Body"/>
        <w:spacing w:after="0"/>
        <w:rPr>
          <w:rFonts w:ascii="Arial" w:hAnsi="Arial" w:cs="Arial"/>
          <w:bCs/>
          <w:lang w:val="en-IN"/>
        </w:rPr>
      </w:pPr>
      <m:oMath>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19</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20</m:t>
            </m:r>
          </m:sub>
        </m:sSub>
        <m:sSub>
          <m:sSubPr>
            <m:ctrlPr>
              <w:rPr>
                <w:rFonts w:ascii="Cambria Math" w:hAnsi="Cambria Math" w:cs="Arial"/>
                <w:bCs/>
                <w:lang w:val="en-IN"/>
              </w:rPr>
            </m:ctrlPr>
          </m:sSubPr>
          <m:e>
            <m:r>
              <w:rPr>
                <w:rFonts w:ascii="Cambria Math" w:hAnsi="Cambria Math" w:cs="Arial"/>
                <w:lang w:val="en-IN"/>
              </w:rPr>
              <m:t>O</m:t>
            </m:r>
          </m:e>
          <m:sub>
            <m:r>
              <w:rPr>
                <w:rFonts w:ascii="Cambria Math" w:hAnsi="Cambria Math" w:cs="Arial"/>
                <w:lang w:val="en-IN"/>
              </w:rPr>
              <m:t>4</m:t>
            </m:r>
          </m:sub>
        </m:sSub>
        <m:r>
          <w:rPr>
            <w:rFonts w:ascii="Cambria Math" w:hAnsi="Cambria Math" w:cs="Arial"/>
            <w:lang w:val="en-IN"/>
          </w:rPr>
          <m:t>+2</m:t>
        </m:r>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2</m:t>
            </m:r>
          </m:sub>
        </m:sSub>
        <m:r>
          <w:rPr>
            <w:rFonts w:ascii="Cambria Math" w:hAnsi="Cambria Math" w:cs="Arial"/>
            <w:lang w:val="en-IN"/>
          </w:rPr>
          <m:t>O→</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8</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6</m:t>
            </m:r>
          </m:sub>
        </m:sSub>
        <m:sSub>
          <m:sSubPr>
            <m:ctrlPr>
              <w:rPr>
                <w:rFonts w:ascii="Cambria Math" w:hAnsi="Cambria Math" w:cs="Arial"/>
                <w:bCs/>
                <w:lang w:val="en-IN"/>
              </w:rPr>
            </m:ctrlPr>
          </m:sSubPr>
          <m:e>
            <m:r>
              <w:rPr>
                <w:rFonts w:ascii="Cambria Math" w:hAnsi="Cambria Math" w:cs="Arial"/>
                <w:lang w:val="en-IN"/>
              </w:rPr>
              <m:t>O</m:t>
            </m:r>
          </m:e>
          <m:sub>
            <m:r>
              <w:rPr>
                <w:rFonts w:ascii="Cambria Math" w:hAnsi="Cambria Math" w:cs="Arial"/>
                <w:lang w:val="en-IN"/>
              </w:rPr>
              <m:t>4</m:t>
            </m:r>
          </m:sub>
        </m:sSub>
        <m:r>
          <w:rPr>
            <w:rFonts w:ascii="Cambria Math" w:hAnsi="Cambria Math" w:cs="Arial"/>
            <w:lang w:val="en-IN"/>
          </w:rPr>
          <m:t>+</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7</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8</m:t>
            </m:r>
          </m:sub>
        </m:sSub>
        <m:r>
          <w:rPr>
            <w:rFonts w:ascii="Cambria Math" w:hAnsi="Cambria Math" w:cs="Arial"/>
            <w:lang w:val="en-IN"/>
          </w:rPr>
          <m:t>O+</m:t>
        </m:r>
        <m:sSub>
          <m:sSubPr>
            <m:ctrlPr>
              <w:rPr>
                <w:rFonts w:ascii="Cambria Math" w:hAnsi="Cambria Math" w:cs="Arial"/>
                <w:bCs/>
                <w:lang w:val="en-IN"/>
              </w:rPr>
            </m:ctrlPr>
          </m:sSubPr>
          <m:e>
            <m:r>
              <w:rPr>
                <w:rFonts w:ascii="Cambria Math" w:hAnsi="Cambria Math" w:cs="Arial"/>
                <w:lang w:val="en-IN"/>
              </w:rPr>
              <m:t>C</m:t>
            </m:r>
          </m:e>
          <m:sub>
            <m:r>
              <w:rPr>
                <w:rFonts w:ascii="Cambria Math" w:hAnsi="Cambria Math" w:cs="Arial"/>
                <w:lang w:val="en-IN"/>
              </w:rPr>
              <m:t>4</m:t>
            </m:r>
          </m:sub>
        </m:sSub>
        <m:sSub>
          <m:sSubPr>
            <m:ctrlPr>
              <w:rPr>
                <w:rFonts w:ascii="Cambria Math" w:hAnsi="Cambria Math" w:cs="Arial"/>
                <w:bCs/>
                <w:lang w:val="en-IN"/>
              </w:rPr>
            </m:ctrlPr>
          </m:sSubPr>
          <m:e>
            <m:r>
              <w:rPr>
                <w:rFonts w:ascii="Cambria Math" w:hAnsi="Cambria Math" w:cs="Arial"/>
                <w:lang w:val="en-IN"/>
              </w:rPr>
              <m:t>H</m:t>
            </m:r>
          </m:e>
          <m:sub>
            <m:r>
              <w:rPr>
                <w:rFonts w:ascii="Cambria Math" w:hAnsi="Cambria Math" w:cs="Arial"/>
                <w:lang w:val="en-IN"/>
              </w:rPr>
              <m:t>10</m:t>
            </m:r>
          </m:sub>
        </m:sSub>
        <m:r>
          <w:rPr>
            <w:rFonts w:ascii="Cambria Math" w:hAnsi="Cambria Math" w:cs="Arial"/>
            <w:lang w:val="en-IN"/>
          </w:rPr>
          <m:t>O</m:t>
        </m:r>
      </m:oMath>
      <w:r w:rsidR="00C7145C" w:rsidRPr="00C7145C">
        <w:rPr>
          <w:rFonts w:ascii="Arial" w:hAnsi="Arial" w:cs="Arial"/>
          <w:bCs/>
          <w:lang w:val="en-IN"/>
        </w:rPr>
        <w:t>…………………………...…</w:t>
      </w:r>
      <w:r w:rsidR="002C248C">
        <w:rPr>
          <w:rFonts w:ascii="Arial" w:hAnsi="Arial" w:cs="Arial"/>
          <w:bCs/>
          <w:lang w:val="en-IN"/>
        </w:rPr>
        <w:t>……………………………………………...</w:t>
      </w:r>
      <w:r w:rsidR="00C7145C" w:rsidRPr="00C7145C">
        <w:rPr>
          <w:rFonts w:ascii="Arial" w:hAnsi="Arial" w:cs="Arial"/>
          <w:bCs/>
          <w:lang w:val="en-IN"/>
        </w:rPr>
        <w:t>…Eq. (5)</w:t>
      </w:r>
    </w:p>
    <w:p w14:paraId="25070D3C" w14:textId="77777777" w:rsidR="00C7145C" w:rsidRPr="00C7145C" w:rsidRDefault="00C7145C" w:rsidP="002C248C">
      <w:pPr>
        <w:pStyle w:val="Body"/>
        <w:spacing w:after="0"/>
        <w:rPr>
          <w:rFonts w:ascii="Arial" w:hAnsi="Arial" w:cs="Arial"/>
          <w:bCs/>
        </w:rPr>
      </w:pPr>
      <w:r w:rsidRPr="00C7145C">
        <w:rPr>
          <w:rFonts w:ascii="Arial" w:hAnsi="Arial" w:cs="Arial"/>
          <w:bCs/>
        </w:rPr>
        <w:t>Fig. (5) shows the FTIR graph.</w:t>
      </w:r>
      <w:r>
        <w:rPr>
          <w:rFonts w:ascii="Arial" w:hAnsi="Arial" w:cs="Arial"/>
          <w:bCs/>
        </w:rPr>
        <w:t xml:space="preserve"> </w:t>
      </w:r>
      <w:r w:rsidRPr="00C7145C">
        <w:rPr>
          <w:rFonts w:ascii="Arial" w:hAnsi="Arial" w:cs="Arial"/>
          <w:bCs/>
        </w:rPr>
        <w:t>Proposed degradation pathway of DBP and BBP are displayed in fig (6) and (7) respectively.</w:t>
      </w:r>
    </w:p>
    <w:p w14:paraId="43BD3D87" w14:textId="1A93749E" w:rsidR="00C7145C" w:rsidRPr="00C7145C" w:rsidRDefault="00C7145C" w:rsidP="002C248C">
      <w:pPr>
        <w:pStyle w:val="Body"/>
        <w:spacing w:after="0"/>
        <w:rPr>
          <w:rFonts w:ascii="Arial" w:hAnsi="Arial" w:cs="Arial"/>
          <w:bCs/>
        </w:rPr>
      </w:pPr>
      <w:r w:rsidRPr="00C7145C">
        <w:rPr>
          <w:rFonts w:ascii="Arial" w:hAnsi="Arial" w:cs="Arial"/>
          <w:bCs/>
        </w:rPr>
        <w:t xml:space="preserve"> </w:t>
      </w:r>
    </w:p>
    <w:p w14:paraId="4DEE2F92" w14:textId="77777777" w:rsidR="00C7145C" w:rsidRPr="00C7145C" w:rsidRDefault="00C7145C" w:rsidP="002C248C">
      <w:pPr>
        <w:pStyle w:val="Body"/>
        <w:spacing w:after="0"/>
        <w:jc w:val="center"/>
        <w:rPr>
          <w:rFonts w:ascii="Arial" w:hAnsi="Arial" w:cs="Arial"/>
          <w:b/>
          <w:sz w:val="22"/>
        </w:rPr>
      </w:pPr>
      <w:r w:rsidRPr="00C7145C">
        <w:rPr>
          <w:rFonts w:ascii="Arial" w:hAnsi="Arial" w:cs="Arial"/>
          <w:b/>
          <w:bCs/>
          <w:noProof/>
          <w:sz w:val="22"/>
          <w:lang w:val="en-IN" w:eastAsia="en-IN"/>
        </w:rPr>
        <w:lastRenderedPageBreak/>
        <w:drawing>
          <wp:inline distT="0" distB="0" distL="0" distR="0" wp14:anchorId="489A3E18" wp14:editId="604CF09D">
            <wp:extent cx="4777740" cy="3699153"/>
            <wp:effectExtent l="0" t="0" r="3810" b="0"/>
            <wp:docPr id="15657334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33400" name="Picture 1565733400"/>
                    <pic:cNvPicPr/>
                  </pic:nvPicPr>
                  <pic:blipFill>
                    <a:blip r:embed="rId21">
                      <a:extLst>
                        <a:ext uri="{28A0092B-C50C-407E-A947-70E740481C1C}">
                          <a14:useLocalDpi xmlns:a14="http://schemas.microsoft.com/office/drawing/2010/main" val="0"/>
                        </a:ext>
                      </a:extLst>
                    </a:blip>
                    <a:stretch>
                      <a:fillRect/>
                    </a:stretch>
                  </pic:blipFill>
                  <pic:spPr>
                    <a:xfrm>
                      <a:off x="0" y="0"/>
                      <a:ext cx="4795391" cy="3712819"/>
                    </a:xfrm>
                    <a:prstGeom prst="rect">
                      <a:avLst/>
                    </a:prstGeom>
                  </pic:spPr>
                </pic:pic>
              </a:graphicData>
            </a:graphic>
          </wp:inline>
        </w:drawing>
      </w:r>
    </w:p>
    <w:p w14:paraId="45A3D17A" w14:textId="1F281C02" w:rsidR="00C7145C" w:rsidRPr="00C7145C" w:rsidRDefault="00C7145C" w:rsidP="002C248C">
      <w:pPr>
        <w:pStyle w:val="Body"/>
        <w:spacing w:after="0"/>
        <w:jc w:val="center"/>
        <w:rPr>
          <w:rFonts w:ascii="Arial" w:hAnsi="Arial" w:cs="Arial"/>
          <w:b/>
          <w:bCs/>
        </w:rPr>
      </w:pPr>
      <w:r w:rsidRPr="00C7145C">
        <w:rPr>
          <w:rFonts w:ascii="Arial" w:hAnsi="Arial" w:cs="Arial"/>
          <w:b/>
          <w:bCs/>
        </w:rPr>
        <w:t>Fig. 5</w:t>
      </w:r>
      <w:r>
        <w:rPr>
          <w:rFonts w:ascii="Arial" w:hAnsi="Arial" w:cs="Arial"/>
          <w:b/>
          <w:bCs/>
        </w:rPr>
        <w:t xml:space="preserve"> </w:t>
      </w:r>
      <w:r w:rsidRPr="00C7145C">
        <w:rPr>
          <w:rFonts w:ascii="Arial" w:hAnsi="Arial" w:cs="Arial"/>
          <w:b/>
          <w:bCs/>
          <w:lang w:val="en-IN"/>
        </w:rPr>
        <w:t>FTIR analysis of DBP control (A), DBP treated (B), BBP control (C) and BBP treated (D)</w:t>
      </w:r>
    </w:p>
    <w:p w14:paraId="1F832A4A" w14:textId="77777777" w:rsidR="00C7145C" w:rsidRPr="00C7145C" w:rsidRDefault="00C7145C" w:rsidP="002C248C">
      <w:pPr>
        <w:pStyle w:val="Body"/>
        <w:spacing w:after="0"/>
        <w:jc w:val="center"/>
        <w:rPr>
          <w:rFonts w:ascii="Arial" w:hAnsi="Arial" w:cs="Arial"/>
          <w:b/>
          <w:sz w:val="22"/>
        </w:rPr>
      </w:pPr>
      <w:r w:rsidRPr="00C7145C">
        <w:rPr>
          <w:rFonts w:ascii="Arial" w:hAnsi="Arial" w:cs="Arial"/>
          <w:b/>
          <w:bCs/>
          <w:noProof/>
          <w:sz w:val="22"/>
          <w:lang w:val="en-IN" w:eastAsia="en-IN"/>
        </w:rPr>
        <w:lastRenderedPageBreak/>
        <w:drawing>
          <wp:inline distT="0" distB="0" distL="0" distR="0" wp14:anchorId="02B7A555" wp14:editId="5A4E6FBD">
            <wp:extent cx="3240000" cy="5400000"/>
            <wp:effectExtent l="0" t="0" r="0" b="0"/>
            <wp:docPr id="1577163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63698" name="Picture 1577163698"/>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40000" cy="5400000"/>
                    </a:xfrm>
                    <a:prstGeom prst="rect">
                      <a:avLst/>
                    </a:prstGeom>
                  </pic:spPr>
                </pic:pic>
              </a:graphicData>
            </a:graphic>
          </wp:inline>
        </w:drawing>
      </w:r>
      <w:r w:rsidRPr="00C7145C">
        <w:rPr>
          <w:rFonts w:ascii="Arial" w:hAnsi="Arial" w:cs="Arial"/>
          <w:b/>
          <w:sz w:val="22"/>
        </w:rPr>
        <w:t>`</w:t>
      </w:r>
    </w:p>
    <w:p w14:paraId="05FA12BB" w14:textId="3948F09B" w:rsidR="00C7145C" w:rsidRPr="00BA5B8D" w:rsidRDefault="00C7145C" w:rsidP="002C248C">
      <w:pPr>
        <w:pStyle w:val="Body"/>
        <w:spacing w:after="0"/>
        <w:jc w:val="center"/>
        <w:rPr>
          <w:rFonts w:ascii="Arial" w:hAnsi="Arial" w:cs="Arial"/>
          <w:b/>
          <w:bCs/>
          <w:lang w:val="en-IN"/>
        </w:rPr>
      </w:pPr>
      <w:r w:rsidRPr="00BA5B8D">
        <w:rPr>
          <w:rFonts w:ascii="Arial" w:hAnsi="Arial" w:cs="Arial"/>
          <w:b/>
          <w:bCs/>
          <w:lang w:val="en-IN"/>
        </w:rPr>
        <w:t>Fig. 6</w:t>
      </w:r>
      <w:r w:rsidR="00BA5B8D">
        <w:rPr>
          <w:rFonts w:ascii="Arial" w:hAnsi="Arial" w:cs="Arial"/>
          <w:b/>
          <w:bCs/>
          <w:lang w:val="en-IN"/>
        </w:rPr>
        <w:t xml:space="preserve"> </w:t>
      </w:r>
      <w:r w:rsidR="00BA5B8D" w:rsidRPr="00BA5B8D">
        <w:rPr>
          <w:rFonts w:ascii="Arial" w:hAnsi="Arial" w:cs="Arial"/>
          <w:b/>
          <w:bCs/>
          <w:lang w:val="en-IN"/>
        </w:rPr>
        <w:t>Proposed Pathway for DBP degradation by consortium JPN by FTIR analysis. a- Hydrolysis, b- Decarboxylation, c- Ring Cleavage</w:t>
      </w:r>
    </w:p>
    <w:p w14:paraId="65AD4C19" w14:textId="77777777" w:rsidR="00C7145C" w:rsidRPr="00C7145C" w:rsidRDefault="00C7145C" w:rsidP="002C248C">
      <w:pPr>
        <w:pStyle w:val="Body"/>
        <w:spacing w:after="0"/>
        <w:jc w:val="center"/>
        <w:rPr>
          <w:rFonts w:ascii="Arial" w:hAnsi="Arial" w:cs="Arial"/>
          <w:b/>
          <w:sz w:val="22"/>
        </w:rPr>
      </w:pPr>
      <w:r w:rsidRPr="00C7145C">
        <w:rPr>
          <w:rFonts w:ascii="Arial" w:hAnsi="Arial" w:cs="Arial"/>
          <w:b/>
          <w:bCs/>
          <w:noProof/>
          <w:sz w:val="22"/>
          <w:lang w:val="en-IN" w:eastAsia="en-IN"/>
        </w:rPr>
        <w:lastRenderedPageBreak/>
        <w:drawing>
          <wp:inline distT="0" distB="0" distL="0" distR="0" wp14:anchorId="0E2198E8" wp14:editId="39F3AE56">
            <wp:extent cx="3239770" cy="4419600"/>
            <wp:effectExtent l="0" t="0" r="0" b="0"/>
            <wp:docPr id="1843023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23562" name="Picture 1843023562"/>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40000" cy="4419914"/>
                    </a:xfrm>
                    <a:prstGeom prst="rect">
                      <a:avLst/>
                    </a:prstGeom>
                  </pic:spPr>
                </pic:pic>
              </a:graphicData>
            </a:graphic>
          </wp:inline>
        </w:drawing>
      </w:r>
    </w:p>
    <w:p w14:paraId="444D55D1" w14:textId="110C9640" w:rsidR="00C7145C" w:rsidRPr="00BA5B8D" w:rsidRDefault="00C7145C" w:rsidP="002C248C">
      <w:pPr>
        <w:pStyle w:val="Body"/>
        <w:spacing w:after="0"/>
        <w:jc w:val="center"/>
        <w:rPr>
          <w:rFonts w:ascii="Arial" w:hAnsi="Arial" w:cs="Arial"/>
          <w:b/>
          <w:bCs/>
        </w:rPr>
      </w:pPr>
      <w:r w:rsidRPr="00BA5B8D">
        <w:rPr>
          <w:rFonts w:ascii="Arial" w:hAnsi="Arial" w:cs="Arial"/>
          <w:b/>
          <w:bCs/>
        </w:rPr>
        <w:t>Fig. 7</w:t>
      </w:r>
      <w:r w:rsidR="00BA5B8D">
        <w:rPr>
          <w:rFonts w:ascii="Arial" w:hAnsi="Arial" w:cs="Arial"/>
          <w:b/>
          <w:bCs/>
        </w:rPr>
        <w:t xml:space="preserve"> </w:t>
      </w:r>
      <w:r w:rsidR="00BA5B8D" w:rsidRPr="00BA5B8D">
        <w:rPr>
          <w:rFonts w:ascii="Arial" w:hAnsi="Arial" w:cs="Arial"/>
          <w:b/>
          <w:bCs/>
          <w:lang w:val="en-IN"/>
        </w:rPr>
        <w:t xml:space="preserve">Proposed Pathway for </w:t>
      </w:r>
      <w:r w:rsidR="00BA5B8D">
        <w:rPr>
          <w:rFonts w:ascii="Arial" w:hAnsi="Arial" w:cs="Arial"/>
          <w:b/>
          <w:bCs/>
          <w:lang w:val="en-IN"/>
        </w:rPr>
        <w:t>B</w:t>
      </w:r>
      <w:r w:rsidR="00BA5B8D" w:rsidRPr="00BA5B8D">
        <w:rPr>
          <w:rFonts w:ascii="Arial" w:hAnsi="Arial" w:cs="Arial"/>
          <w:b/>
          <w:bCs/>
          <w:lang w:val="en-IN"/>
        </w:rPr>
        <w:t xml:space="preserve">BP degradation by consortium JPN by FTIR analysis. a- Hydrolysis, b- Decarboxylation, c- Ring Cleavage  </w:t>
      </w:r>
    </w:p>
    <w:p w14:paraId="46C7EC70" w14:textId="77777777" w:rsidR="00E053D0" w:rsidRDefault="00E053D0" w:rsidP="002C248C">
      <w:pPr>
        <w:pStyle w:val="Body"/>
        <w:spacing w:after="0"/>
        <w:rPr>
          <w:rFonts w:ascii="Arial" w:hAnsi="Arial" w:cs="Arial"/>
        </w:rPr>
      </w:pPr>
    </w:p>
    <w:p w14:paraId="7EC651A3" w14:textId="77777777" w:rsidR="00790ADA" w:rsidRPr="00FB3A86" w:rsidRDefault="00790ADA" w:rsidP="002C248C">
      <w:pPr>
        <w:pStyle w:val="Body"/>
        <w:spacing w:after="0"/>
        <w:rPr>
          <w:rFonts w:ascii="Arial" w:hAnsi="Arial" w:cs="Arial"/>
        </w:rPr>
      </w:pPr>
    </w:p>
    <w:p w14:paraId="1936C8F6" w14:textId="77777777" w:rsidR="00B01FCD" w:rsidRDefault="00000F8F" w:rsidP="002C248C">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5C84AD3" w14:textId="77777777" w:rsidR="00790ADA" w:rsidRPr="00FB3A86" w:rsidRDefault="00790ADA" w:rsidP="002C248C">
      <w:pPr>
        <w:pStyle w:val="ConcHead"/>
        <w:spacing w:after="0"/>
        <w:jc w:val="both"/>
        <w:rPr>
          <w:rFonts w:ascii="Arial" w:hAnsi="Arial" w:cs="Arial"/>
        </w:rPr>
      </w:pPr>
    </w:p>
    <w:p w14:paraId="128F9B0E" w14:textId="77777777" w:rsidR="00C7145C" w:rsidRPr="00C7145C" w:rsidRDefault="00C7145C" w:rsidP="002C248C">
      <w:pPr>
        <w:pStyle w:val="Body"/>
        <w:spacing w:after="0"/>
        <w:rPr>
          <w:rFonts w:ascii="Arial" w:hAnsi="Arial" w:cs="Arial"/>
          <w:lang w:val="en-IN"/>
        </w:rPr>
      </w:pPr>
      <w:r w:rsidRPr="00C7145C">
        <w:rPr>
          <w:rFonts w:ascii="Arial" w:hAnsi="Arial" w:cs="Arial"/>
          <w:lang w:val="en-IN"/>
        </w:rPr>
        <w:t xml:space="preserve">DBP and BBP are derivatives of Phthalic acid esters used in the manufacturing of plastic to provide it flexibility. These are not covalently bonded to its matrix and hence are leached out due to external pressure polluting water, and soil. Considering the toxicity of the compounds; they are listed amongst the 6 priority pollutants by </w:t>
      </w:r>
      <w:r w:rsidRPr="00C7145C">
        <w:rPr>
          <w:rFonts w:ascii="Arial" w:hAnsi="Arial" w:cs="Arial"/>
        </w:rPr>
        <w:t xml:space="preserve">various international environmental agencies. Therefore, it becomes essential to remove it from the environment. This study aimed to </w:t>
      </w:r>
      <w:r w:rsidRPr="00C7145C">
        <w:rPr>
          <w:rFonts w:ascii="Arial" w:hAnsi="Arial" w:cs="Arial"/>
          <w:lang w:val="en-IN"/>
        </w:rPr>
        <w:t xml:space="preserve">degrade the derivatives </w:t>
      </w:r>
      <w:r w:rsidRPr="00C7145C">
        <w:rPr>
          <w:rFonts w:ascii="Arial" w:hAnsi="Arial" w:cs="Arial"/>
        </w:rPr>
        <w:t>microbially,</w:t>
      </w:r>
      <w:r w:rsidRPr="00C7145C">
        <w:rPr>
          <w:rFonts w:ascii="Arial" w:hAnsi="Arial" w:cs="Arial"/>
          <w:lang w:val="en-IN"/>
        </w:rPr>
        <w:t xml:space="preserve"> rather than physically or chemically; a step towards sustainable treatment of xenobiotic pollutants. Consortium JPN capable of degradation consisted four bacterial species, </w:t>
      </w:r>
      <w:r w:rsidRPr="00C7145C">
        <w:rPr>
          <w:rFonts w:ascii="Arial" w:hAnsi="Arial" w:cs="Arial"/>
          <w:i/>
          <w:iCs/>
          <w:lang w:val="en-IN"/>
        </w:rPr>
        <w:t xml:space="preserve">Bacillus infantis, Atlantibacter hermanii, Bacillus subtilis </w:t>
      </w:r>
      <w:r w:rsidRPr="00C7145C">
        <w:rPr>
          <w:rFonts w:ascii="Arial" w:hAnsi="Arial" w:cs="Arial"/>
          <w:lang w:val="en-IN"/>
        </w:rPr>
        <w:t xml:space="preserve">and </w:t>
      </w:r>
      <w:r w:rsidRPr="00C7145C">
        <w:rPr>
          <w:rFonts w:ascii="Arial" w:hAnsi="Arial" w:cs="Arial"/>
          <w:i/>
          <w:iCs/>
          <w:lang w:val="en-IN"/>
        </w:rPr>
        <w:t xml:space="preserve">Stutzerimonas stutzeri. </w:t>
      </w:r>
      <w:r w:rsidRPr="00C7145C">
        <w:rPr>
          <w:rFonts w:ascii="Arial" w:hAnsi="Arial" w:cs="Arial"/>
          <w:lang w:val="en-IN"/>
        </w:rPr>
        <w:t>HPLC and FTIR analysis was performed to check degraded metabolites. It confirmed the degradation of the compounds and predicted pathway was also revealed by FTIR analysis. Consortium JPN proved to be efficient in degrading both LMW and HMW exhibiting its robustness towards biodegradation.</w:t>
      </w:r>
    </w:p>
    <w:p w14:paraId="152BEC3B" w14:textId="77777777" w:rsidR="00790ADA" w:rsidRPr="00FB3A86" w:rsidRDefault="00790ADA" w:rsidP="002C248C">
      <w:pPr>
        <w:pStyle w:val="Body"/>
        <w:spacing w:after="0"/>
        <w:rPr>
          <w:rFonts w:ascii="Arial" w:hAnsi="Arial" w:cs="Arial"/>
        </w:rPr>
      </w:pPr>
    </w:p>
    <w:p w14:paraId="7A407221" w14:textId="77777777" w:rsidR="00315186" w:rsidRPr="00315186" w:rsidRDefault="00315186" w:rsidP="002C248C">
      <w:bookmarkStart w:id="1" w:name="_GoBack"/>
      <w:bookmarkEnd w:id="1"/>
    </w:p>
    <w:p w14:paraId="1567651C" w14:textId="77777777" w:rsidR="00860000" w:rsidRPr="00786D36" w:rsidRDefault="00860000" w:rsidP="002C248C">
      <w:pPr>
        <w:pStyle w:val="ReferHead"/>
        <w:spacing w:after="0"/>
        <w:jc w:val="both"/>
        <w:rPr>
          <w:rFonts w:ascii="Arial" w:hAnsi="Arial" w:cs="Arial"/>
          <w:bCs/>
        </w:rPr>
      </w:pPr>
      <w:r w:rsidRPr="00786D36">
        <w:rPr>
          <w:rFonts w:ascii="Arial" w:hAnsi="Arial" w:cs="Arial"/>
          <w:bCs/>
        </w:rPr>
        <w:t>Competing interests</w:t>
      </w:r>
    </w:p>
    <w:p w14:paraId="3A9EA63C" w14:textId="77777777" w:rsidR="00860000" w:rsidRPr="00786D36" w:rsidRDefault="00860000" w:rsidP="002C248C">
      <w:pPr>
        <w:pStyle w:val="ReferHead"/>
        <w:spacing w:after="0"/>
        <w:jc w:val="both"/>
        <w:rPr>
          <w:rFonts w:ascii="Arial" w:hAnsi="Arial" w:cs="Arial"/>
        </w:rPr>
      </w:pPr>
    </w:p>
    <w:p w14:paraId="4B1AFAB5" w14:textId="1C46C1DE" w:rsidR="00BA5B8D" w:rsidRPr="00BA5B8D" w:rsidRDefault="00BA5B8D" w:rsidP="002C248C">
      <w:pPr>
        <w:pStyle w:val="ReferHead"/>
        <w:spacing w:after="0"/>
        <w:jc w:val="both"/>
        <w:rPr>
          <w:rFonts w:ascii="Arial" w:hAnsi="Arial" w:cs="Arial"/>
          <w:b w:val="0"/>
          <w:bCs/>
          <w:sz w:val="20"/>
          <w:lang w:val="en-IN"/>
        </w:rPr>
      </w:pPr>
      <w:r w:rsidRPr="00BA5B8D">
        <w:rPr>
          <w:rFonts w:ascii="Arial" w:hAnsi="Arial" w:cs="Arial"/>
          <w:b w:val="0"/>
          <w:bCs/>
          <w:caps w:val="0"/>
          <w:sz w:val="20"/>
          <w:lang w:val="en-IN"/>
        </w:rPr>
        <w:t>The authors declare that they have no known competing financial interests or personal relationships that could have appeared to influence the work reported in this paper.</w:t>
      </w:r>
    </w:p>
    <w:p w14:paraId="2EA16C78" w14:textId="77777777" w:rsidR="00371FB6" w:rsidRPr="00BA5B8D" w:rsidRDefault="00371FB6" w:rsidP="002C248C">
      <w:pPr>
        <w:pStyle w:val="ReferHead"/>
        <w:spacing w:after="0"/>
        <w:jc w:val="both"/>
        <w:rPr>
          <w:rFonts w:ascii="Arial" w:hAnsi="Arial" w:cs="Arial"/>
          <w:b w:val="0"/>
          <w:bCs/>
          <w:caps w:val="0"/>
          <w:sz w:val="20"/>
        </w:rPr>
      </w:pPr>
    </w:p>
    <w:p w14:paraId="3742667E" w14:textId="77777777" w:rsidR="00860000" w:rsidRDefault="00860000" w:rsidP="002C248C">
      <w:pPr>
        <w:pStyle w:val="ReferHead"/>
        <w:spacing w:after="0"/>
        <w:jc w:val="both"/>
        <w:rPr>
          <w:rFonts w:ascii="Arial" w:hAnsi="Arial" w:cs="Arial"/>
        </w:rPr>
      </w:pPr>
    </w:p>
    <w:p w14:paraId="0962CD4A" w14:textId="77777777" w:rsidR="00B01FCD" w:rsidRDefault="00B01FCD" w:rsidP="002C248C">
      <w:pPr>
        <w:pStyle w:val="ReferHead"/>
        <w:spacing w:after="0"/>
        <w:jc w:val="both"/>
        <w:rPr>
          <w:rFonts w:ascii="Arial" w:hAnsi="Arial" w:cs="Arial"/>
        </w:rPr>
      </w:pPr>
      <w:r w:rsidRPr="00FB3A86">
        <w:rPr>
          <w:rFonts w:ascii="Arial" w:hAnsi="Arial" w:cs="Arial"/>
        </w:rPr>
        <w:t>References</w:t>
      </w:r>
    </w:p>
    <w:p w14:paraId="2E6A375F" w14:textId="77777777" w:rsidR="00790ADA" w:rsidRPr="00FB3A86" w:rsidRDefault="00790ADA" w:rsidP="002C248C">
      <w:pPr>
        <w:pStyle w:val="ReferHead"/>
        <w:spacing w:after="0"/>
        <w:jc w:val="both"/>
        <w:rPr>
          <w:rFonts w:ascii="Arial" w:hAnsi="Arial" w:cs="Arial"/>
        </w:rPr>
      </w:pPr>
    </w:p>
    <w:p w14:paraId="74D07722" w14:textId="77777777" w:rsidR="002C248C" w:rsidRDefault="002C248C" w:rsidP="002C248C">
      <w:pPr>
        <w:pStyle w:val="Body"/>
      </w:pPr>
      <w:r>
        <w:t xml:space="preserve">Fang, Cheng Ran, Jun Yao, Yuan Ge Zheng, Chen Jing Jiang, Li Fang Hu, Yu Yong Wu, and Dong Sheng Shen. 2010. “Dibutyl Phthalate Degradation by Enterobacter Sp. T5 Isolated from Municipal Solid Waste in Landfill Bioreactor.” International Biodeterioration and Biodegradation 64(6):442–46. </w:t>
      </w:r>
      <w:proofErr w:type="spellStart"/>
      <w:r>
        <w:t>doi</w:t>
      </w:r>
      <w:proofErr w:type="spellEnd"/>
      <w:r>
        <w:t>: 10.1016/j.ibiod.2010.04.010.</w:t>
      </w:r>
    </w:p>
    <w:p w14:paraId="7C773C06" w14:textId="77777777" w:rsidR="002C248C" w:rsidRDefault="002C248C" w:rsidP="002C248C">
      <w:pPr>
        <w:pStyle w:val="Body"/>
      </w:pPr>
      <w:r>
        <w:lastRenderedPageBreak/>
        <w:t xml:space="preserve">Feng, Nai-xian, Jiao Yu, Ce-hui Mo, Hai-ming Zhao, Yan-wen Li, Bing-xiao Wu, and Quan-ying Cai. 2018. “Science of the Total Environment Biodegradation of Di-n-Butyl Phthalate </w:t>
      </w:r>
      <w:proofErr w:type="gramStart"/>
      <w:r>
        <w:t>( DBP</w:t>
      </w:r>
      <w:proofErr w:type="gramEnd"/>
      <w:r>
        <w:t xml:space="preserve"> ) by a Novel Endophytic Bacillus Megaterium Strain YJB3.” Science of the Total Environment 616–617:117–27. </w:t>
      </w:r>
      <w:proofErr w:type="spellStart"/>
      <w:r>
        <w:t>doi</w:t>
      </w:r>
      <w:proofErr w:type="spellEnd"/>
      <w:r>
        <w:t>: 10.1016/j.scitotenv.2017.10.298.</w:t>
      </w:r>
    </w:p>
    <w:p w14:paraId="0546BFDF" w14:textId="77777777" w:rsidR="002C248C" w:rsidRDefault="002C248C" w:rsidP="002C248C">
      <w:pPr>
        <w:pStyle w:val="Body"/>
      </w:pPr>
      <w:r>
        <w:t xml:space="preserve">Fuchs, Georg, Matthias Boll, and Johann Heider. 2011. “Microbial Degradation of Aromatic Compounds — from One Strategy to Four.” Nature Reviews Microbiology 9(11):803–16. </w:t>
      </w:r>
      <w:proofErr w:type="spellStart"/>
      <w:r>
        <w:t>doi</w:t>
      </w:r>
      <w:proofErr w:type="spellEnd"/>
      <w:r>
        <w:t>: 10.1038/nrmicro2652.</w:t>
      </w:r>
    </w:p>
    <w:p w14:paraId="063B9413" w14:textId="77777777" w:rsidR="002C248C" w:rsidRDefault="002C248C" w:rsidP="002C248C">
      <w:pPr>
        <w:pStyle w:val="Body"/>
      </w:pPr>
      <w:r>
        <w:t xml:space="preserve">Gani, Khalid Muzamil, Vinay Kumar Tyagi, and Absar Ahmad Kazmi. 2017. “Occurrence of Phthalates in Aquatic Environment and Their Removal during Wastewater Treatment Processes: A Review.” </w:t>
      </w:r>
      <w:proofErr w:type="spellStart"/>
      <w:r>
        <w:t>Ience</w:t>
      </w:r>
      <w:proofErr w:type="spellEnd"/>
      <w:r>
        <w:t xml:space="preserve"> and Pollution </w:t>
      </w:r>
      <w:proofErr w:type="spellStart"/>
      <w:r>
        <w:t>ResearchEnvironmental</w:t>
      </w:r>
      <w:proofErr w:type="spellEnd"/>
      <w:r>
        <w:t xml:space="preserve"> Science and Pollution Research 24(21):17267–84. </w:t>
      </w:r>
      <w:proofErr w:type="spellStart"/>
      <w:r>
        <w:t>doi</w:t>
      </w:r>
      <w:proofErr w:type="spellEnd"/>
      <w:r>
        <w:t>: 10.1007/s11356-017-9182-3.</w:t>
      </w:r>
    </w:p>
    <w:p w14:paraId="36AC4A03" w14:textId="77777777" w:rsidR="002C248C" w:rsidRDefault="002C248C" w:rsidP="002C248C">
      <w:pPr>
        <w:pStyle w:val="Body"/>
      </w:pPr>
      <w:r>
        <w:t xml:space="preserve">Gao, Hai Tao, Run Xu, Wei Xin Cao, Liang </w:t>
      </w:r>
      <w:proofErr w:type="spellStart"/>
      <w:r>
        <w:t>Liang</w:t>
      </w:r>
      <w:proofErr w:type="spellEnd"/>
      <w:r>
        <w:t xml:space="preserve"> Qian, Min Wang, </w:t>
      </w:r>
      <w:proofErr w:type="spellStart"/>
      <w:r>
        <w:t>Lingeng</w:t>
      </w:r>
      <w:proofErr w:type="spellEnd"/>
      <w:r>
        <w:t xml:space="preserve"> Lu, Qian Xu, and Shu Qin Yu. 2017. “Effects of Six Priority Controlled Phthalate Esters with Long-Term Low-Dose Integrated Exposure on Male Reproductive Toxicity in Rats.” Food and Chemical Toxicology 101:94–104. </w:t>
      </w:r>
      <w:proofErr w:type="spellStart"/>
      <w:r>
        <w:t>doi</w:t>
      </w:r>
      <w:proofErr w:type="spellEnd"/>
      <w:r>
        <w:t>: 10.1016/j.fct.2017.01.011.</w:t>
      </w:r>
    </w:p>
    <w:p w14:paraId="0AA015E8" w14:textId="77777777" w:rsidR="002C248C" w:rsidRDefault="002C248C" w:rsidP="002C248C">
      <w:pPr>
        <w:pStyle w:val="Body"/>
      </w:pPr>
      <w:r>
        <w:t xml:space="preserve">He, </w:t>
      </w:r>
      <w:proofErr w:type="spellStart"/>
      <w:r>
        <w:t>Lizhi</w:t>
      </w:r>
      <w:proofErr w:type="spellEnd"/>
      <w:r>
        <w:t xml:space="preserve">, </w:t>
      </w:r>
      <w:proofErr w:type="spellStart"/>
      <w:r>
        <w:t>Gerty</w:t>
      </w:r>
      <w:proofErr w:type="spellEnd"/>
      <w:r>
        <w:t xml:space="preserve"> </w:t>
      </w:r>
      <w:proofErr w:type="spellStart"/>
      <w:r>
        <w:t>Gielen</w:t>
      </w:r>
      <w:proofErr w:type="spellEnd"/>
      <w:r>
        <w:t xml:space="preserve">, </w:t>
      </w:r>
      <w:proofErr w:type="spellStart"/>
      <w:r>
        <w:t>Nanthi</w:t>
      </w:r>
      <w:proofErr w:type="spellEnd"/>
      <w:r>
        <w:t xml:space="preserve"> S. Bolan, </w:t>
      </w:r>
      <w:proofErr w:type="spellStart"/>
      <w:r>
        <w:t>Xiaokai</w:t>
      </w:r>
      <w:proofErr w:type="spellEnd"/>
      <w:r>
        <w:t xml:space="preserve"> Zhang, Hua Qin, </w:t>
      </w:r>
      <w:proofErr w:type="spellStart"/>
      <w:r>
        <w:t>Huagang</w:t>
      </w:r>
      <w:proofErr w:type="spellEnd"/>
      <w:r>
        <w:t xml:space="preserve"> Huang, and </w:t>
      </w:r>
      <w:proofErr w:type="spellStart"/>
      <w:r>
        <w:t>Hailong</w:t>
      </w:r>
      <w:proofErr w:type="spellEnd"/>
      <w:r>
        <w:t xml:space="preserve"> Wang. 2015. “Contamination and Remediation of Phthalic Acid Esters in Agricultural Soils in China: A Review.” Agronomy for Sustainable Development 35(2):519–34. </w:t>
      </w:r>
      <w:proofErr w:type="spellStart"/>
      <w:r>
        <w:t>doi</w:t>
      </w:r>
      <w:proofErr w:type="spellEnd"/>
      <w:r>
        <w:t>: 10.1007/s13593-014-0270-1.</w:t>
      </w:r>
    </w:p>
    <w:p w14:paraId="3A751D54" w14:textId="77777777" w:rsidR="002C248C" w:rsidRDefault="002C248C" w:rsidP="002C248C">
      <w:pPr>
        <w:pStyle w:val="Body"/>
      </w:pPr>
      <w:r>
        <w:t xml:space="preserve">He, </w:t>
      </w:r>
      <w:proofErr w:type="spellStart"/>
      <w:r>
        <w:t>Zhixing</w:t>
      </w:r>
      <w:proofErr w:type="spellEnd"/>
      <w:r>
        <w:t xml:space="preserve">, </w:t>
      </w:r>
      <w:proofErr w:type="spellStart"/>
      <w:r>
        <w:t>Hailong</w:t>
      </w:r>
      <w:proofErr w:type="spellEnd"/>
      <w:r>
        <w:t xml:space="preserve"> Xiao, Lu Tang, Hang Min, and </w:t>
      </w:r>
      <w:proofErr w:type="spellStart"/>
      <w:r>
        <w:t>Zhenmei</w:t>
      </w:r>
      <w:proofErr w:type="spellEnd"/>
      <w:r>
        <w:t xml:space="preserve"> Lu. 2013. “Biodegradation of Di-n-Butyl Phthalate by a Stable Bacterial Consortium, HD-1, Enriched from Activated Sludge.” Bioresource Technology 128:526–32. </w:t>
      </w:r>
      <w:proofErr w:type="spellStart"/>
      <w:r>
        <w:t>doi</w:t>
      </w:r>
      <w:proofErr w:type="spellEnd"/>
      <w:r>
        <w:t>: 10.1016/j.biortech.2012.10.107.</w:t>
      </w:r>
    </w:p>
    <w:p w14:paraId="39F2F443" w14:textId="77777777" w:rsidR="002C248C" w:rsidRDefault="002C248C" w:rsidP="002C248C">
      <w:pPr>
        <w:pStyle w:val="Body"/>
      </w:pPr>
      <w:r>
        <w:t xml:space="preserve">Hu, </w:t>
      </w:r>
      <w:proofErr w:type="spellStart"/>
      <w:r>
        <w:t>Hongmei</w:t>
      </w:r>
      <w:proofErr w:type="spellEnd"/>
      <w:r>
        <w:t xml:space="preserve">, </w:t>
      </w:r>
      <w:proofErr w:type="spellStart"/>
      <w:r>
        <w:t>Lingling</w:t>
      </w:r>
      <w:proofErr w:type="spellEnd"/>
      <w:r>
        <w:t xml:space="preserve"> Mao, </w:t>
      </w:r>
      <w:proofErr w:type="spellStart"/>
      <w:r>
        <w:t>Shuhong</w:t>
      </w:r>
      <w:proofErr w:type="spellEnd"/>
      <w:r>
        <w:t xml:space="preserve"> Fang, </w:t>
      </w:r>
      <w:proofErr w:type="spellStart"/>
      <w:r>
        <w:t>Jiahui</w:t>
      </w:r>
      <w:proofErr w:type="spellEnd"/>
      <w:r>
        <w:t xml:space="preserve"> </w:t>
      </w:r>
      <w:proofErr w:type="spellStart"/>
      <w:r>
        <w:t>Xie</w:t>
      </w:r>
      <w:proofErr w:type="spellEnd"/>
      <w:r>
        <w:t xml:space="preserve">, </w:t>
      </w:r>
      <w:proofErr w:type="spellStart"/>
      <w:r>
        <w:t>Meirong</w:t>
      </w:r>
      <w:proofErr w:type="spellEnd"/>
      <w:r>
        <w:t xml:space="preserve"> Zhao, and </w:t>
      </w:r>
      <w:proofErr w:type="spellStart"/>
      <w:r>
        <w:t>Hangbiao</w:t>
      </w:r>
      <w:proofErr w:type="spellEnd"/>
      <w:r>
        <w:t xml:space="preserve"> </w:t>
      </w:r>
      <w:proofErr w:type="spellStart"/>
      <w:r>
        <w:t>Jin</w:t>
      </w:r>
      <w:proofErr w:type="spellEnd"/>
      <w:r>
        <w:t xml:space="preserve">. 2020. “Occurrence of Phthalic Acid Esters in Marine Organisms from Hangzhou Bay, China: Implications for Human Exposure.” Science of the Total Environment 721:137605. </w:t>
      </w:r>
      <w:proofErr w:type="spellStart"/>
      <w:r>
        <w:t>doi</w:t>
      </w:r>
      <w:proofErr w:type="spellEnd"/>
      <w:r>
        <w:t>: 10.1016/j.scitotenv.2020.137605.</w:t>
      </w:r>
    </w:p>
    <w:p w14:paraId="38917286" w14:textId="77777777" w:rsidR="002C248C" w:rsidRDefault="002C248C" w:rsidP="002C248C">
      <w:pPr>
        <w:pStyle w:val="Body"/>
      </w:pPr>
      <w:r>
        <w:t xml:space="preserve">Hu, </w:t>
      </w:r>
      <w:proofErr w:type="spellStart"/>
      <w:r>
        <w:t>Ruiwen</w:t>
      </w:r>
      <w:proofErr w:type="spellEnd"/>
      <w:r>
        <w:t xml:space="preserve">, </w:t>
      </w:r>
      <w:proofErr w:type="spellStart"/>
      <w:r>
        <w:t>Haiming</w:t>
      </w:r>
      <w:proofErr w:type="spellEnd"/>
      <w:r>
        <w:t xml:space="preserve"> Zhao, </w:t>
      </w:r>
      <w:proofErr w:type="spellStart"/>
      <w:r>
        <w:t>Xihui</w:t>
      </w:r>
      <w:proofErr w:type="spellEnd"/>
      <w:r>
        <w:t xml:space="preserve"> Xu, </w:t>
      </w:r>
      <w:proofErr w:type="spellStart"/>
      <w:r>
        <w:t>Zhigang</w:t>
      </w:r>
      <w:proofErr w:type="spellEnd"/>
      <w:r>
        <w:t xml:space="preserve"> Wang, </w:t>
      </w:r>
      <w:proofErr w:type="spellStart"/>
      <w:r>
        <w:t>Ke</w:t>
      </w:r>
      <w:proofErr w:type="spellEnd"/>
      <w:r>
        <w:t xml:space="preserve"> Yu, </w:t>
      </w:r>
      <w:proofErr w:type="spellStart"/>
      <w:r>
        <w:t>Longfei</w:t>
      </w:r>
      <w:proofErr w:type="spellEnd"/>
      <w:r>
        <w:t xml:space="preserve"> Shu, </w:t>
      </w:r>
      <w:proofErr w:type="spellStart"/>
      <w:r>
        <w:t>Qingyun</w:t>
      </w:r>
      <w:proofErr w:type="spellEnd"/>
      <w:r>
        <w:t xml:space="preserve"> Yan, Bo Wu, </w:t>
      </w:r>
      <w:proofErr w:type="spellStart"/>
      <w:r>
        <w:t>Cehui</w:t>
      </w:r>
      <w:proofErr w:type="spellEnd"/>
      <w:r>
        <w:t xml:space="preserve"> Mo, </w:t>
      </w:r>
      <w:proofErr w:type="spellStart"/>
      <w:r>
        <w:t>Zhili</w:t>
      </w:r>
      <w:proofErr w:type="spellEnd"/>
      <w:r>
        <w:t xml:space="preserve"> He, and Cheng Wang. 2021. “Bacteria-Driven Phthalic Acid Ester Biodegradation: Current Status and Emerging Opportunities.” Environment International 154. </w:t>
      </w:r>
      <w:proofErr w:type="spellStart"/>
      <w:r>
        <w:t>doi</w:t>
      </w:r>
      <w:proofErr w:type="spellEnd"/>
      <w:r>
        <w:t>: 10.1016/j.envint.2021.106560.</w:t>
      </w:r>
    </w:p>
    <w:p w14:paraId="3EE363C2" w14:textId="77777777" w:rsidR="002C248C" w:rsidRDefault="002C248C" w:rsidP="002C248C">
      <w:pPr>
        <w:pStyle w:val="Body"/>
      </w:pPr>
      <w:r>
        <w:t xml:space="preserve">Huang, Ling, </w:t>
      </w:r>
      <w:proofErr w:type="spellStart"/>
      <w:r>
        <w:t>Xunzhi</w:t>
      </w:r>
      <w:proofErr w:type="spellEnd"/>
      <w:r>
        <w:t xml:space="preserve"> Zhu, </w:t>
      </w:r>
      <w:proofErr w:type="spellStart"/>
      <w:r>
        <w:t>Shixing</w:t>
      </w:r>
      <w:proofErr w:type="spellEnd"/>
      <w:r>
        <w:t xml:space="preserve"> Zhou, </w:t>
      </w:r>
      <w:proofErr w:type="spellStart"/>
      <w:r>
        <w:t>Zhenrui</w:t>
      </w:r>
      <w:proofErr w:type="spellEnd"/>
      <w:r>
        <w:t xml:space="preserve"> Cheng, Kai Shi, Chi Zhang, and Hua Shao. 2021. “Phthalic Acid Esters: Natural Sources and Biological Activities.” Toxins 13(7):495. </w:t>
      </w:r>
      <w:proofErr w:type="spellStart"/>
      <w:r>
        <w:t>doi</w:t>
      </w:r>
      <w:proofErr w:type="spellEnd"/>
      <w:r>
        <w:t>: 10.3390/toxins13070495.</w:t>
      </w:r>
    </w:p>
    <w:p w14:paraId="3476E497" w14:textId="77777777" w:rsidR="002C248C" w:rsidRDefault="002C248C" w:rsidP="002C248C">
      <w:pPr>
        <w:pStyle w:val="Body"/>
      </w:pPr>
      <w:r>
        <w:t>Jensen, Mai-britt V, Louise E. Horsfall, Caroline Wardrope, Peter D. Togneri, Jon Marles-wright, and Susan J. Rosser. 2016. “</w:t>
      </w:r>
      <w:proofErr w:type="spellStart"/>
      <w:r>
        <w:t>Characterisation</w:t>
      </w:r>
      <w:proofErr w:type="spellEnd"/>
      <w:r>
        <w:t xml:space="preserve"> of a New Family of Carboxyl </w:t>
      </w:r>
      <w:proofErr w:type="spellStart"/>
      <w:r>
        <w:t>Esterases</w:t>
      </w:r>
      <w:proofErr w:type="spellEnd"/>
      <w:r>
        <w:t xml:space="preserve"> with an </w:t>
      </w:r>
      <w:proofErr w:type="spellStart"/>
      <w:r>
        <w:t>OsmC</w:t>
      </w:r>
      <w:proofErr w:type="spellEnd"/>
      <w:r>
        <w:t xml:space="preserve"> Domain.” </w:t>
      </w:r>
      <w:proofErr w:type="spellStart"/>
      <w:r>
        <w:t>PLoS</w:t>
      </w:r>
      <w:proofErr w:type="spellEnd"/>
      <w:r>
        <w:t xml:space="preserve"> ONE 1–22. </w:t>
      </w:r>
      <w:proofErr w:type="spellStart"/>
      <w:r>
        <w:t>doi</w:t>
      </w:r>
      <w:proofErr w:type="spellEnd"/>
      <w:r>
        <w:t>: 10.7488/ds/1320.</w:t>
      </w:r>
    </w:p>
    <w:p w14:paraId="502C49E6" w14:textId="77777777" w:rsidR="002C248C" w:rsidRDefault="002C248C" w:rsidP="002C248C">
      <w:pPr>
        <w:pStyle w:val="Body"/>
      </w:pPr>
      <w:proofErr w:type="spellStart"/>
      <w:r>
        <w:t>Kanaujiya</w:t>
      </w:r>
      <w:proofErr w:type="spellEnd"/>
      <w:r>
        <w:t xml:space="preserve">, Dipak Kumar, Atharva More, Ajay Kumar </w:t>
      </w:r>
      <w:proofErr w:type="spellStart"/>
      <w:r>
        <w:t>Chhantyal</w:t>
      </w:r>
      <w:proofErr w:type="spellEnd"/>
      <w:r>
        <w:t xml:space="preserve">, Rama </w:t>
      </w:r>
      <w:proofErr w:type="spellStart"/>
      <w:r>
        <w:t>Karn</w:t>
      </w:r>
      <w:proofErr w:type="spellEnd"/>
      <w:r>
        <w:t xml:space="preserve">, and Kannan </w:t>
      </w:r>
      <w:proofErr w:type="spellStart"/>
      <w:r>
        <w:t>Pakshirajan</w:t>
      </w:r>
      <w:proofErr w:type="spellEnd"/>
      <w:r>
        <w:t xml:space="preserve">. 2023. “Biodegradation of </w:t>
      </w:r>
      <w:proofErr w:type="gramStart"/>
      <w:r>
        <w:t>Low ,</w:t>
      </w:r>
      <w:proofErr w:type="gramEnd"/>
      <w:r>
        <w:t xml:space="preserve"> Medium and High Molecular Weight Phthalate by </w:t>
      </w:r>
      <w:proofErr w:type="spellStart"/>
      <w:r>
        <w:t>Gordonia</w:t>
      </w:r>
      <w:proofErr w:type="spellEnd"/>
      <w:r>
        <w:t xml:space="preserve"> </w:t>
      </w:r>
      <w:proofErr w:type="spellStart"/>
      <w:r>
        <w:t>Sp</w:t>
      </w:r>
      <w:proofErr w:type="spellEnd"/>
      <w:r>
        <w:t xml:space="preserve"> . in a Batch </w:t>
      </w:r>
      <w:proofErr w:type="gramStart"/>
      <w:r>
        <w:t>System :</w:t>
      </w:r>
      <w:proofErr w:type="gramEnd"/>
      <w:r>
        <w:t xml:space="preserve"> Kinetics and Phytotoxicity Analyses.” Bioengineered 14(1):195–211. </w:t>
      </w:r>
      <w:proofErr w:type="spellStart"/>
      <w:r>
        <w:t>doi</w:t>
      </w:r>
      <w:proofErr w:type="spellEnd"/>
      <w:r>
        <w:t>: 10.1080/21655979.2023.2229094.</w:t>
      </w:r>
    </w:p>
    <w:p w14:paraId="4E1BDC9D" w14:textId="77777777" w:rsidR="002C248C" w:rsidRDefault="002C248C" w:rsidP="002C248C">
      <w:pPr>
        <w:pStyle w:val="Body"/>
      </w:pPr>
      <w:r>
        <w:t xml:space="preserve">Kaur, R., A. Kumari, G. Sharma, D. Singh, and R. Kaur. 2021. “Biodegradation of Endocrine Disrupting Chemicals Benzyl Butyl Phthalate and Dimethyl Phthalate by Bacillus </w:t>
      </w:r>
      <w:proofErr w:type="spellStart"/>
      <w:r>
        <w:t>Marisflavi</w:t>
      </w:r>
      <w:proofErr w:type="spellEnd"/>
      <w:r>
        <w:t xml:space="preserve"> RR014.” Journal of Applied Microbiology (</w:t>
      </w:r>
      <w:proofErr w:type="spellStart"/>
      <w:r>
        <w:t>Iarc</w:t>
      </w:r>
      <w:proofErr w:type="spellEnd"/>
      <w:r>
        <w:t xml:space="preserve"> 2000):1–15. </w:t>
      </w:r>
      <w:proofErr w:type="spellStart"/>
      <w:r>
        <w:t>doi</w:t>
      </w:r>
      <w:proofErr w:type="spellEnd"/>
      <w:r>
        <w:t>: 10.1111/jam.15045.</w:t>
      </w:r>
    </w:p>
    <w:p w14:paraId="1DEB47A2" w14:textId="77777777" w:rsidR="002C248C" w:rsidRDefault="002C248C" w:rsidP="002C248C">
      <w:pPr>
        <w:pStyle w:val="Body"/>
      </w:pPr>
      <w:r>
        <w:t xml:space="preserve">Li, Jinlong.; Zhang, </w:t>
      </w:r>
      <w:proofErr w:type="spellStart"/>
      <w:r>
        <w:t>Jingfan</w:t>
      </w:r>
      <w:proofErr w:type="spellEnd"/>
      <w:r>
        <w:t xml:space="preserve">.; Yadav, P.; Li, </w:t>
      </w:r>
      <w:proofErr w:type="spellStart"/>
      <w:r>
        <w:t>Xiuting</w:t>
      </w:r>
      <w:proofErr w:type="spellEnd"/>
      <w:r>
        <w:t xml:space="preserve">. 2019. “Biodegradability and Biodegradation Pathway of Di-(2-Ethylhexyl) Phthalate by </w:t>
      </w:r>
      <w:proofErr w:type="spellStart"/>
      <w:r>
        <w:t>Burkholderia</w:t>
      </w:r>
      <w:proofErr w:type="spellEnd"/>
      <w:r>
        <w:t xml:space="preserve"> </w:t>
      </w:r>
      <w:proofErr w:type="spellStart"/>
      <w:r>
        <w:t>Pyrroci</w:t>
      </w:r>
      <w:proofErr w:type="spellEnd"/>
      <w:r>
        <w:t xml:space="preserve"> Nia B1213.” </w:t>
      </w:r>
      <w:proofErr w:type="spellStart"/>
      <w:r>
        <w:t>Chemoshpere</w:t>
      </w:r>
      <w:proofErr w:type="spellEnd"/>
      <w:r>
        <w:t xml:space="preserve">. </w:t>
      </w:r>
      <w:proofErr w:type="spellStart"/>
      <w:r>
        <w:t>doi</w:t>
      </w:r>
      <w:proofErr w:type="spellEnd"/>
      <w:r>
        <w:t>: 10.1016/j.chemosphere.2019.02.194.</w:t>
      </w:r>
    </w:p>
    <w:p w14:paraId="6627C819" w14:textId="77777777" w:rsidR="002C248C" w:rsidRDefault="002C248C" w:rsidP="002C248C">
      <w:pPr>
        <w:pStyle w:val="Body"/>
      </w:pPr>
      <w:r>
        <w:t>Liang, Da-</w:t>
      </w:r>
      <w:proofErr w:type="spellStart"/>
      <w:r>
        <w:t>wei</w:t>
      </w:r>
      <w:proofErr w:type="spellEnd"/>
      <w:r>
        <w:t xml:space="preserve">, Tong Zhang, and Herbert H. P. Fang. 2008. “Phthalates Biodegradation in the Environment.” Applied Microbial </w:t>
      </w:r>
      <w:proofErr w:type="spellStart"/>
      <w:r>
        <w:t>Thechnology</w:t>
      </w:r>
      <w:proofErr w:type="spellEnd"/>
      <w:r>
        <w:t xml:space="preserve"> 183–98. </w:t>
      </w:r>
      <w:proofErr w:type="spellStart"/>
      <w:r>
        <w:t>doi</w:t>
      </w:r>
      <w:proofErr w:type="spellEnd"/>
      <w:r>
        <w:t>: 10.1007/s00253-008-1548-5.</w:t>
      </w:r>
    </w:p>
    <w:p w14:paraId="1F345468" w14:textId="77777777" w:rsidR="002C248C" w:rsidRDefault="002C248C" w:rsidP="002C248C">
      <w:pPr>
        <w:pStyle w:val="Body"/>
      </w:pPr>
      <w:r>
        <w:t xml:space="preserve">Long, </w:t>
      </w:r>
      <w:proofErr w:type="spellStart"/>
      <w:r>
        <w:t>Fangyun</w:t>
      </w:r>
      <w:proofErr w:type="spellEnd"/>
      <w:r>
        <w:t xml:space="preserve">, </w:t>
      </w:r>
      <w:proofErr w:type="spellStart"/>
      <w:r>
        <w:t>Yanqin</w:t>
      </w:r>
      <w:proofErr w:type="spellEnd"/>
      <w:r>
        <w:t xml:space="preserve"> Ren, Yuanyuan Ji, </w:t>
      </w:r>
      <w:proofErr w:type="spellStart"/>
      <w:r>
        <w:t>Junling</w:t>
      </w:r>
      <w:proofErr w:type="spellEnd"/>
      <w:r>
        <w:t xml:space="preserve"> Li, </w:t>
      </w:r>
      <w:proofErr w:type="spellStart"/>
      <w:r>
        <w:t>Haijie</w:t>
      </w:r>
      <w:proofErr w:type="spellEnd"/>
      <w:r>
        <w:t xml:space="preserve"> Zhang, </w:t>
      </w:r>
      <w:proofErr w:type="spellStart"/>
      <w:r>
        <w:t>Zhenhai</w:t>
      </w:r>
      <w:proofErr w:type="spellEnd"/>
      <w:r>
        <w:t xml:space="preserve"> Wu, Rui Gao, Fang Bi, </w:t>
      </w:r>
      <w:proofErr w:type="spellStart"/>
      <w:r>
        <w:t>Zhengyang</w:t>
      </w:r>
      <w:proofErr w:type="spellEnd"/>
      <w:r>
        <w:t xml:space="preserve"> Liu, and Hong Li. 2024. “Pollution Characteristics, Toxicological Properties, and Health Risk Assessment of Phthalic Acid Esters in Water, Soil, and Atmosphere.” Atmosphere 15(9):1071. </w:t>
      </w:r>
      <w:proofErr w:type="spellStart"/>
      <w:r>
        <w:t>doi</w:t>
      </w:r>
      <w:proofErr w:type="spellEnd"/>
      <w:r>
        <w:t>: 10.3390/atmos15091071.</w:t>
      </w:r>
    </w:p>
    <w:p w14:paraId="3596CDC8" w14:textId="77777777" w:rsidR="002C248C" w:rsidRDefault="002C248C" w:rsidP="002C248C">
      <w:pPr>
        <w:pStyle w:val="Body"/>
      </w:pPr>
      <w:r>
        <w:t xml:space="preserve">Luo, Xin, Shu </w:t>
      </w:r>
      <w:proofErr w:type="spellStart"/>
      <w:r>
        <w:t>Shu</w:t>
      </w:r>
      <w:proofErr w:type="spellEnd"/>
      <w:r>
        <w:t xml:space="preserve">, Hui Feng, Hua Zou, and Yun Zhang. 2021. “Seasonal Distribution and Ecological Risks of Phthalic Acid Esters in Surface Water of </w:t>
      </w:r>
      <w:proofErr w:type="spellStart"/>
      <w:r>
        <w:t>Taihu</w:t>
      </w:r>
      <w:proofErr w:type="spellEnd"/>
      <w:r>
        <w:t xml:space="preserve"> Lake, China.” Science of the Total Environment 768:144517. </w:t>
      </w:r>
      <w:proofErr w:type="spellStart"/>
      <w:r>
        <w:t>doi</w:t>
      </w:r>
      <w:proofErr w:type="spellEnd"/>
      <w:r>
        <w:t>: 10.1016/j.scitotenv.2020.144517.</w:t>
      </w:r>
    </w:p>
    <w:p w14:paraId="75614DBD" w14:textId="77777777" w:rsidR="002C248C" w:rsidRDefault="002C248C" w:rsidP="002C248C">
      <w:pPr>
        <w:pStyle w:val="Body"/>
      </w:pPr>
      <w:r>
        <w:lastRenderedPageBreak/>
        <w:t xml:space="preserve">Maitra, Vinay Kumar S. S. 2016. “Biodegradation of Endocrine Disruptor Dibutyl Phthalate </w:t>
      </w:r>
      <w:proofErr w:type="gramStart"/>
      <w:r>
        <w:t>( DBP</w:t>
      </w:r>
      <w:proofErr w:type="gramEnd"/>
      <w:r>
        <w:t xml:space="preserve"> ) by a Newly Isolated </w:t>
      </w:r>
      <w:proofErr w:type="spellStart"/>
      <w:r>
        <w:t>Methylobacillus</w:t>
      </w:r>
      <w:proofErr w:type="spellEnd"/>
      <w:r>
        <w:t xml:space="preserve"> </w:t>
      </w:r>
      <w:proofErr w:type="spellStart"/>
      <w:r>
        <w:t>Sp</w:t>
      </w:r>
      <w:proofErr w:type="spellEnd"/>
      <w:r>
        <w:t xml:space="preserve"> . V29b and the DBP Degradation Pathway.” 3 Biotech 6(2):1–12. </w:t>
      </w:r>
      <w:proofErr w:type="spellStart"/>
      <w:r>
        <w:t>doi</w:t>
      </w:r>
      <w:proofErr w:type="spellEnd"/>
      <w:r>
        <w:t>: 10.1007/s13205-016-0524-5.</w:t>
      </w:r>
    </w:p>
    <w:p w14:paraId="30F054EE" w14:textId="77777777" w:rsidR="002C248C" w:rsidRDefault="002C248C" w:rsidP="002C248C">
      <w:pPr>
        <w:pStyle w:val="Body"/>
      </w:pPr>
      <w:proofErr w:type="spellStart"/>
      <w:r>
        <w:t>Nahurira</w:t>
      </w:r>
      <w:proofErr w:type="spellEnd"/>
      <w:r>
        <w:t xml:space="preserve">, Ruth, Lei Ren, </w:t>
      </w:r>
      <w:proofErr w:type="spellStart"/>
      <w:r>
        <w:t>Jinlong</w:t>
      </w:r>
      <w:proofErr w:type="spellEnd"/>
      <w:r>
        <w:t xml:space="preserve"> Song, Yang Jia, and </w:t>
      </w:r>
      <w:proofErr w:type="spellStart"/>
      <w:r>
        <w:t>Junhuan</w:t>
      </w:r>
      <w:proofErr w:type="spellEnd"/>
      <w:r>
        <w:t xml:space="preserve"> Wang. 2017. “Degradation of Di </w:t>
      </w:r>
      <w:proofErr w:type="gramStart"/>
      <w:r>
        <w:t>( 2</w:t>
      </w:r>
      <w:proofErr w:type="gramEnd"/>
      <w:r>
        <w:t xml:space="preserve">-Ethylhexyl ) Phthalate by a Novel </w:t>
      </w:r>
      <w:proofErr w:type="spellStart"/>
      <w:r>
        <w:t>Gordonia</w:t>
      </w:r>
      <w:proofErr w:type="spellEnd"/>
      <w:r>
        <w:t xml:space="preserve"> </w:t>
      </w:r>
      <w:proofErr w:type="spellStart"/>
      <w:r>
        <w:t>Alkanivorans</w:t>
      </w:r>
      <w:proofErr w:type="spellEnd"/>
      <w:r>
        <w:t xml:space="preserve"> Strain YC-RL2.” Current Microbiology. </w:t>
      </w:r>
      <w:proofErr w:type="spellStart"/>
      <w:r>
        <w:t>doi</w:t>
      </w:r>
      <w:proofErr w:type="spellEnd"/>
      <w:r>
        <w:t>: 10.1007/s00284-016-1159-9.</w:t>
      </w:r>
    </w:p>
    <w:p w14:paraId="0EF6FF50" w14:textId="77777777" w:rsidR="002C248C" w:rsidRDefault="002C248C" w:rsidP="002C248C">
      <w:pPr>
        <w:pStyle w:val="Body"/>
      </w:pPr>
      <w:r>
        <w:t xml:space="preserve">Nandi, </w:t>
      </w:r>
      <w:proofErr w:type="spellStart"/>
      <w:r>
        <w:t>Moumita</w:t>
      </w:r>
      <w:proofErr w:type="spellEnd"/>
      <w:r>
        <w:t xml:space="preserve">, Dipak Kumar </w:t>
      </w:r>
      <w:proofErr w:type="spellStart"/>
      <w:r>
        <w:t>Kanaujiya</w:t>
      </w:r>
      <w:proofErr w:type="spellEnd"/>
      <w:r>
        <w:t xml:space="preserve">, Kannan </w:t>
      </w:r>
      <w:proofErr w:type="spellStart"/>
      <w:r>
        <w:t>Pakshirajan</w:t>
      </w:r>
      <w:proofErr w:type="spellEnd"/>
      <w:r>
        <w:t xml:space="preserve">, </w:t>
      </w:r>
      <w:proofErr w:type="spellStart"/>
      <w:r>
        <w:t>Tanushree</w:t>
      </w:r>
      <w:proofErr w:type="spellEnd"/>
      <w:r>
        <w:t xml:space="preserve"> Paul, Kannan </w:t>
      </w:r>
      <w:proofErr w:type="spellStart"/>
      <w:r>
        <w:t>Pakshirajan</w:t>
      </w:r>
      <w:proofErr w:type="spellEnd"/>
      <w:r>
        <w:t xml:space="preserve">, G. Pugazhenthi, Divya Baskaran, and G. Pugazhenthi. 2021. “Biodegradation of Benzyl Butyl Phthalate and Dibutyl Phthalate by Arthrobacter Sp. via Micellar Solubilization in a Surfactant-Aided System.” Water Supply 21(5):2084–98. </w:t>
      </w:r>
      <w:proofErr w:type="spellStart"/>
      <w:r>
        <w:t>doi</w:t>
      </w:r>
      <w:proofErr w:type="spellEnd"/>
      <w:r>
        <w:t>: 10.2166/ws.2020.347.</w:t>
      </w:r>
    </w:p>
    <w:p w14:paraId="34AD532A" w14:textId="77777777" w:rsidR="002C248C" w:rsidRDefault="002C248C" w:rsidP="002C248C">
      <w:pPr>
        <w:pStyle w:val="Body"/>
      </w:pPr>
      <w:proofErr w:type="spellStart"/>
      <w:r>
        <w:t>Proshad</w:t>
      </w:r>
      <w:proofErr w:type="spellEnd"/>
      <w:r>
        <w:t xml:space="preserve">, Ram, </w:t>
      </w:r>
      <w:proofErr w:type="spellStart"/>
      <w:r>
        <w:t>Tapos</w:t>
      </w:r>
      <w:proofErr w:type="spellEnd"/>
      <w:r>
        <w:t xml:space="preserve"> </w:t>
      </w:r>
      <w:proofErr w:type="spellStart"/>
      <w:r>
        <w:t>Kormoker</w:t>
      </w:r>
      <w:proofErr w:type="spellEnd"/>
      <w:r>
        <w:t xml:space="preserve">, Md. Saiful Islam, Mohammad Asadul Haque, Md. Mahfuzur Rahman, and Md. </w:t>
      </w:r>
      <w:proofErr w:type="spellStart"/>
      <w:r>
        <w:t>Mahabubur</w:t>
      </w:r>
      <w:proofErr w:type="spellEnd"/>
      <w:r>
        <w:t xml:space="preserve"> Rahman </w:t>
      </w:r>
      <w:proofErr w:type="spellStart"/>
      <w:r>
        <w:t>Mithu</w:t>
      </w:r>
      <w:proofErr w:type="spellEnd"/>
      <w:r>
        <w:t xml:space="preserve">. 2018. “Toxic Effects of Plastic on Human Health and </w:t>
      </w:r>
      <w:proofErr w:type="gramStart"/>
      <w:r>
        <w:t>Environment :</w:t>
      </w:r>
      <w:proofErr w:type="gramEnd"/>
      <w:r>
        <w:t xml:space="preserve"> A Consequences of Health Risk Assessment in Bangladesh.” International Journal of Health 6(1):1. </w:t>
      </w:r>
      <w:proofErr w:type="spellStart"/>
      <w:r>
        <w:t>doi</w:t>
      </w:r>
      <w:proofErr w:type="spellEnd"/>
      <w:r>
        <w:t>: 10.14419/</w:t>
      </w:r>
      <w:proofErr w:type="gramStart"/>
      <w:r>
        <w:t>ijh.v</w:t>
      </w:r>
      <w:proofErr w:type="gramEnd"/>
      <w:r>
        <w:t>6i1.8655.</w:t>
      </w:r>
    </w:p>
    <w:p w14:paraId="785C4773" w14:textId="77777777" w:rsidR="002C248C" w:rsidRDefault="002C248C" w:rsidP="002C248C">
      <w:pPr>
        <w:pStyle w:val="Body"/>
      </w:pPr>
      <w:proofErr w:type="spellStart"/>
      <w:r>
        <w:t>Qiao</w:t>
      </w:r>
      <w:proofErr w:type="spellEnd"/>
      <w:r>
        <w:t xml:space="preserve">, Pei, </w:t>
      </w:r>
      <w:proofErr w:type="spellStart"/>
      <w:r>
        <w:t>Tongtong</w:t>
      </w:r>
      <w:proofErr w:type="spellEnd"/>
      <w:r>
        <w:t xml:space="preserve"> Ying, </w:t>
      </w:r>
      <w:proofErr w:type="spellStart"/>
      <w:r>
        <w:t>Mengjie</w:t>
      </w:r>
      <w:proofErr w:type="spellEnd"/>
      <w:r>
        <w:t xml:space="preserve"> Gu, </w:t>
      </w:r>
      <w:proofErr w:type="spellStart"/>
      <w:r>
        <w:t>Jiahong</w:t>
      </w:r>
      <w:proofErr w:type="spellEnd"/>
      <w:r>
        <w:t xml:space="preserve"> Zhu, Chengyu Mei, Tong Hu, Tengfei Liu, and Haixia Wang. 2024. “Assimilation of Phthalate Esters in Bacteria.” Applied Microbiology and Biotechnology. </w:t>
      </w:r>
      <w:proofErr w:type="spellStart"/>
      <w:r>
        <w:t>doi</w:t>
      </w:r>
      <w:proofErr w:type="spellEnd"/>
      <w:r>
        <w:t>: 10.1007/s00253-024-13105-6.</w:t>
      </w:r>
    </w:p>
    <w:p w14:paraId="072DF4C7" w14:textId="77777777" w:rsidR="002C248C" w:rsidRDefault="002C248C" w:rsidP="002C248C">
      <w:pPr>
        <w:pStyle w:val="Body"/>
      </w:pPr>
      <w:r>
        <w:t xml:space="preserve">Ramzi, A., T. R. </w:t>
      </w:r>
      <w:proofErr w:type="spellStart"/>
      <w:r>
        <w:t>Gireeshkumar</w:t>
      </w:r>
      <w:proofErr w:type="spellEnd"/>
      <w:r>
        <w:t xml:space="preserve">, K. Habeeb Rahman, K. K. Balachandran, K. Shameem, Jacob Chacko, and N. </w:t>
      </w:r>
      <w:proofErr w:type="spellStart"/>
      <w:r>
        <w:t>Chandramohanakumar</w:t>
      </w:r>
      <w:proofErr w:type="spellEnd"/>
      <w:r>
        <w:t xml:space="preserve">. 2020. “Phthalic Acid Esters – A Grave Ecological Hazard in Cochin Estuary, India.” Marine Pollution Bulletin 152(January):110899. </w:t>
      </w:r>
      <w:proofErr w:type="spellStart"/>
      <w:r>
        <w:t>doi</w:t>
      </w:r>
      <w:proofErr w:type="spellEnd"/>
      <w:r>
        <w:t>: 10.1016/j.marpolbul.2020.110899.</w:t>
      </w:r>
    </w:p>
    <w:p w14:paraId="09141C49" w14:textId="77777777" w:rsidR="002C248C" w:rsidRDefault="002C248C" w:rsidP="002C248C">
      <w:pPr>
        <w:pStyle w:val="Body"/>
      </w:pPr>
      <w:r>
        <w:t xml:space="preserve">Sheikh, Ishfaq A., and Mohd A. Beg. 2019. “Structural Characterization of Potential Endocrine Disrupting Activity of Alternate Plasticizers Di-(2-Ethylhexyl) Adipate (DEHA), Acetyl Tributyl Citrate (ATBC) and 2,2,4-Trimethyl 1,3-Pentanediol </w:t>
      </w:r>
      <w:proofErr w:type="spellStart"/>
      <w:r>
        <w:t>Diisobutyrate</w:t>
      </w:r>
      <w:proofErr w:type="spellEnd"/>
      <w:r>
        <w:t xml:space="preserve"> (TPIB) with Human Sex Hormone-Binding </w:t>
      </w:r>
      <w:proofErr w:type="spellStart"/>
      <w:r>
        <w:t>Globu</w:t>
      </w:r>
      <w:proofErr w:type="spellEnd"/>
      <w:r>
        <w:t xml:space="preserve">.” Reproductive Toxicology 83:46–53. </w:t>
      </w:r>
      <w:proofErr w:type="spellStart"/>
      <w:r>
        <w:t>doi</w:t>
      </w:r>
      <w:proofErr w:type="spellEnd"/>
      <w:r>
        <w:t>: 10.1016/j.reprotox.2018.11.003.</w:t>
      </w:r>
    </w:p>
    <w:p w14:paraId="638DD384" w14:textId="77777777" w:rsidR="002C248C" w:rsidRDefault="002C248C" w:rsidP="002C248C">
      <w:pPr>
        <w:pStyle w:val="Body"/>
      </w:pPr>
      <w:r>
        <w:t xml:space="preserve">Shi, Huijing, Yang Cao, Qing Shen, Yan Zhao, </w:t>
      </w:r>
      <w:proofErr w:type="spellStart"/>
      <w:r>
        <w:t>Zhe</w:t>
      </w:r>
      <w:proofErr w:type="spellEnd"/>
      <w:r>
        <w:t xml:space="preserve"> Zhang, and </w:t>
      </w:r>
      <w:proofErr w:type="spellStart"/>
      <w:r>
        <w:t>Yunhui</w:t>
      </w:r>
      <w:proofErr w:type="spellEnd"/>
      <w:r>
        <w:t xml:space="preserve"> Zhang. 2015. “Association between Urinary Phthalates and Pubertal Timing in Chinese Adolescents.” Journal of Epidemiology 25(9):574–82. </w:t>
      </w:r>
      <w:proofErr w:type="spellStart"/>
      <w:r>
        <w:t>doi</w:t>
      </w:r>
      <w:proofErr w:type="spellEnd"/>
      <w:r>
        <w:t>: 10.2188/jea.JE20140205.</w:t>
      </w:r>
    </w:p>
    <w:p w14:paraId="52F8553B" w14:textId="77777777" w:rsidR="002C248C" w:rsidRDefault="002C248C" w:rsidP="002C248C">
      <w:pPr>
        <w:pStyle w:val="Body"/>
      </w:pPr>
      <w:proofErr w:type="spellStart"/>
      <w:r>
        <w:t>Xie</w:t>
      </w:r>
      <w:proofErr w:type="spellEnd"/>
      <w:r>
        <w:t xml:space="preserve">, </w:t>
      </w:r>
      <w:proofErr w:type="spellStart"/>
      <w:r>
        <w:t>Changming</w:t>
      </w:r>
      <w:proofErr w:type="spellEnd"/>
      <w:r>
        <w:t xml:space="preserve">, Yan Zhao, </w:t>
      </w:r>
      <w:proofErr w:type="spellStart"/>
      <w:r>
        <w:t>Lianlian</w:t>
      </w:r>
      <w:proofErr w:type="spellEnd"/>
      <w:r>
        <w:t xml:space="preserve"> Gao, Jiao Chen, </w:t>
      </w:r>
      <w:proofErr w:type="spellStart"/>
      <w:r>
        <w:t>Depei</w:t>
      </w:r>
      <w:proofErr w:type="spellEnd"/>
      <w:r>
        <w:t xml:space="preserve"> Cai, and </w:t>
      </w:r>
      <w:proofErr w:type="spellStart"/>
      <w:r>
        <w:t>Yunhui</w:t>
      </w:r>
      <w:proofErr w:type="spellEnd"/>
      <w:r>
        <w:t xml:space="preserve"> Zhang. 2015. “Elevated Phthalates’ Exposure in Children with Constitutional Delay of Growth and Puberty.” Molecular and Cellular Endocrinology 407:67–73. </w:t>
      </w:r>
      <w:proofErr w:type="spellStart"/>
      <w:r>
        <w:t>doi</w:t>
      </w:r>
      <w:proofErr w:type="spellEnd"/>
      <w:r>
        <w:t>: 10.1016/j.mce.2015.03.006.</w:t>
      </w:r>
    </w:p>
    <w:p w14:paraId="1BEA8FF4" w14:textId="77777777" w:rsidR="002C248C" w:rsidRDefault="002C248C" w:rsidP="002C248C">
      <w:pPr>
        <w:pStyle w:val="Body"/>
      </w:pPr>
      <w:r>
        <w:t xml:space="preserve">Xiong, Yang-hui, and De-sheng Pei. 2021. “A Review on Ef Fi Cient Removal of Phthalic Acid Esters via </w:t>
      </w:r>
      <w:proofErr w:type="spellStart"/>
      <w:r>
        <w:t>Biochars</w:t>
      </w:r>
      <w:proofErr w:type="spellEnd"/>
      <w:r>
        <w:t xml:space="preserve"> and Transition Metals-Activated Persulfate Systems.” Chemosphere 277:130256.</w:t>
      </w:r>
    </w:p>
    <w:p w14:paraId="10A13D1D" w14:textId="77777777" w:rsidR="002C248C" w:rsidRDefault="002C248C" w:rsidP="002C248C">
      <w:pPr>
        <w:pStyle w:val="Body"/>
      </w:pPr>
      <w:r>
        <w:t xml:space="preserve">Xu, Jiaming, </w:t>
      </w:r>
      <w:proofErr w:type="spellStart"/>
      <w:r>
        <w:t>Qihong</w:t>
      </w:r>
      <w:proofErr w:type="spellEnd"/>
      <w:r>
        <w:t xml:space="preserve"> Lu, Renata Alves de Toledo, and </w:t>
      </w:r>
      <w:proofErr w:type="spellStart"/>
      <w:r>
        <w:t>Hojae</w:t>
      </w:r>
      <w:proofErr w:type="spellEnd"/>
      <w:r>
        <w:t xml:space="preserve"> Shim. 2017. “Degradation of Di-2-Ethylhexyl Phthalate (DEHP) by an Indigenous Isolate Acinetobacter Sp. SN13.” International Biodeterioration and Biodegradation 117:205–14. </w:t>
      </w:r>
      <w:proofErr w:type="spellStart"/>
      <w:r>
        <w:t>doi</w:t>
      </w:r>
      <w:proofErr w:type="spellEnd"/>
      <w:r>
        <w:t>: 10.1016/j.ibiod.2017.01.004.</w:t>
      </w:r>
    </w:p>
    <w:p w14:paraId="2FE7A6A7" w14:textId="44A61A93" w:rsidR="00B01FCD" w:rsidRPr="002C248C" w:rsidRDefault="002C248C" w:rsidP="002C248C">
      <w:pPr>
        <w:pStyle w:val="Body"/>
      </w:pPr>
      <w:r>
        <w:t xml:space="preserve">Xu, Wen Jun, </w:t>
      </w:r>
      <w:proofErr w:type="spellStart"/>
      <w:r>
        <w:t>Qun</w:t>
      </w:r>
      <w:proofErr w:type="spellEnd"/>
      <w:r>
        <w:t xml:space="preserve"> Wan, Wen Feng Wang, </w:t>
      </w:r>
      <w:proofErr w:type="spellStart"/>
      <w:r>
        <w:t>Ya</w:t>
      </w:r>
      <w:proofErr w:type="spellEnd"/>
      <w:r>
        <w:t xml:space="preserve"> Wang, Fa </w:t>
      </w:r>
      <w:proofErr w:type="spellStart"/>
      <w:r>
        <w:t>yun</w:t>
      </w:r>
      <w:proofErr w:type="spellEnd"/>
      <w:r>
        <w:t xml:space="preserve"> Feng, </w:t>
      </w:r>
      <w:proofErr w:type="spellStart"/>
      <w:r>
        <w:t>Jin</w:t>
      </w:r>
      <w:proofErr w:type="spellEnd"/>
      <w:r>
        <w:t xml:space="preserve"> </w:t>
      </w:r>
      <w:proofErr w:type="spellStart"/>
      <w:r>
        <w:t>Jin</w:t>
      </w:r>
      <w:proofErr w:type="spellEnd"/>
      <w:r>
        <w:t xml:space="preserve"> Cheng, Jian Jun Yuan, and Xiang Yang Yu. 2020. “Biodegradation of Dibutyl Phthalate by a Novel Endophytic Bacillus Subtilis Strain HB-T2 under in-Vitro and in-Vivo Conditions.” Environmental Technology (0):1–27. </w:t>
      </w:r>
      <w:proofErr w:type="spellStart"/>
      <w:r>
        <w:t>doi</w:t>
      </w:r>
      <w:proofErr w:type="spellEnd"/>
      <w:r>
        <w:t>: 10.1080/09593330.2020.1858181.</w:t>
      </w:r>
    </w:p>
    <w:sectPr w:rsidR="00B01FCD" w:rsidRPr="002C248C" w:rsidSect="008E6ECB">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B0556" w14:textId="77777777" w:rsidR="00CE7B7C" w:rsidRDefault="00CE7B7C" w:rsidP="00C37E61">
      <w:r>
        <w:separator/>
      </w:r>
    </w:p>
  </w:endnote>
  <w:endnote w:type="continuationSeparator" w:id="0">
    <w:p w14:paraId="08F95B96" w14:textId="77777777" w:rsidR="00CE7B7C" w:rsidRDefault="00CE7B7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6C129" w14:textId="77777777" w:rsidR="002300AD" w:rsidRDefault="002300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63F06" w14:textId="3727ED29" w:rsidR="00C37E61" w:rsidRPr="002300AD" w:rsidRDefault="00C37E61" w:rsidP="002300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3DFC" w14:textId="77777777" w:rsidR="009E048A" w:rsidRDefault="009E048A">
    <w:pPr>
      <w:pStyle w:val="Footer"/>
      <w:rPr>
        <w:rFonts w:ascii="Arial" w:hAnsi="Arial" w:cs="Arial"/>
        <w:sz w:val="16"/>
      </w:rPr>
    </w:pPr>
  </w:p>
  <w:p w14:paraId="4B5DC8C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7ECA880" w14:textId="77777777" w:rsidR="009E048A" w:rsidRDefault="009E048A">
    <w:pPr>
      <w:pStyle w:val="Footer"/>
      <w:rPr>
        <w:rFonts w:ascii="Arial" w:hAnsi="Arial" w:cs="Arial"/>
        <w:sz w:val="16"/>
      </w:rPr>
    </w:pPr>
  </w:p>
  <w:p w14:paraId="7D091C6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434A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07D61" w14:textId="77777777" w:rsidR="00CE7B7C" w:rsidRDefault="00CE7B7C" w:rsidP="00C37E61">
      <w:r>
        <w:separator/>
      </w:r>
    </w:p>
  </w:footnote>
  <w:footnote w:type="continuationSeparator" w:id="0">
    <w:p w14:paraId="78CB21B3" w14:textId="77777777" w:rsidR="00CE7B7C" w:rsidRDefault="00CE7B7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AECA" w14:textId="057352AD" w:rsidR="002300AD" w:rsidRDefault="008E6ECB">
    <w:pPr>
      <w:pStyle w:val="Header"/>
    </w:pPr>
    <w:r>
      <w:rPr>
        <w:noProof/>
      </w:rPr>
      <w:pict w14:anchorId="1785D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6"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21B2F" w14:textId="2D880339" w:rsidR="002300AD" w:rsidRDefault="008E6ECB">
    <w:pPr>
      <w:pStyle w:val="Header"/>
    </w:pPr>
    <w:r>
      <w:rPr>
        <w:noProof/>
      </w:rPr>
      <w:pict w14:anchorId="2D9AF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7"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737C" w14:textId="6F821479" w:rsidR="00296529" w:rsidRPr="00296529" w:rsidRDefault="008E6ECB" w:rsidP="00296529">
    <w:pPr>
      <w:ind w:left="2160"/>
      <w:jc w:val="center"/>
      <w:rPr>
        <w:rFonts w:ascii="Times New Roman" w:eastAsia="Calibri" w:hAnsi="Times New Roman"/>
        <w:i/>
        <w:sz w:val="18"/>
        <w:szCs w:val="22"/>
      </w:rPr>
    </w:pPr>
    <w:r>
      <w:rPr>
        <w:noProof/>
      </w:rPr>
      <w:pict w14:anchorId="60386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5"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775141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190B17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6F4FD6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AACDE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6A9330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17DB9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237B5" w14:textId="128BC47A" w:rsidR="008E6ECB" w:rsidRDefault="008E6ECB">
    <w:pPr>
      <w:pStyle w:val="Header"/>
    </w:pPr>
    <w:r>
      <w:rPr>
        <w:noProof/>
      </w:rPr>
      <w:pict w14:anchorId="78AFF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9"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37AEC" w14:textId="1A02DC7B" w:rsidR="008E6ECB" w:rsidRDefault="008E6ECB">
    <w:pPr>
      <w:pStyle w:val="Header"/>
    </w:pPr>
    <w:r>
      <w:rPr>
        <w:noProof/>
      </w:rPr>
      <w:pict w14:anchorId="26760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80"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5AA18" w14:textId="77747929" w:rsidR="008E6ECB" w:rsidRDefault="008E6ECB">
    <w:pPr>
      <w:pStyle w:val="Header"/>
    </w:pPr>
    <w:r>
      <w:rPr>
        <w:noProof/>
      </w:rPr>
      <w:pict w14:anchorId="7A71B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279878"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81BC2"/>
    <w:rsid w:val="000A47FA"/>
    <w:rsid w:val="000A65D3"/>
    <w:rsid w:val="000B1E33"/>
    <w:rsid w:val="000D689F"/>
    <w:rsid w:val="000E7B7B"/>
    <w:rsid w:val="000E7D62"/>
    <w:rsid w:val="00103357"/>
    <w:rsid w:val="00123C9F"/>
    <w:rsid w:val="00126190"/>
    <w:rsid w:val="00130F17"/>
    <w:rsid w:val="001320BF"/>
    <w:rsid w:val="00161D68"/>
    <w:rsid w:val="00163BC4"/>
    <w:rsid w:val="00191062"/>
    <w:rsid w:val="00192B72"/>
    <w:rsid w:val="001A29D8"/>
    <w:rsid w:val="001A5CAA"/>
    <w:rsid w:val="001B0427"/>
    <w:rsid w:val="001D3A51"/>
    <w:rsid w:val="001E10D2"/>
    <w:rsid w:val="001E25B4"/>
    <w:rsid w:val="001E44FE"/>
    <w:rsid w:val="00200595"/>
    <w:rsid w:val="00204835"/>
    <w:rsid w:val="002300AD"/>
    <w:rsid w:val="00231920"/>
    <w:rsid w:val="0023195C"/>
    <w:rsid w:val="0024282C"/>
    <w:rsid w:val="002460DC"/>
    <w:rsid w:val="00250985"/>
    <w:rsid w:val="002556F6"/>
    <w:rsid w:val="00283105"/>
    <w:rsid w:val="00284C4C"/>
    <w:rsid w:val="00287E68"/>
    <w:rsid w:val="00296529"/>
    <w:rsid w:val="002B27FB"/>
    <w:rsid w:val="002B685A"/>
    <w:rsid w:val="002C248C"/>
    <w:rsid w:val="002C57D2"/>
    <w:rsid w:val="002E0D56"/>
    <w:rsid w:val="00315186"/>
    <w:rsid w:val="00330D6F"/>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52B0"/>
    <w:rsid w:val="00471A80"/>
    <w:rsid w:val="004D305E"/>
    <w:rsid w:val="004D4277"/>
    <w:rsid w:val="00502516"/>
    <w:rsid w:val="00505F06"/>
    <w:rsid w:val="00506828"/>
    <w:rsid w:val="0053056E"/>
    <w:rsid w:val="00551F7F"/>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B5C78"/>
    <w:rsid w:val="007C41EC"/>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6ECB"/>
    <w:rsid w:val="008E710C"/>
    <w:rsid w:val="008F69D6"/>
    <w:rsid w:val="008F7CA3"/>
    <w:rsid w:val="00902823"/>
    <w:rsid w:val="00915CA6"/>
    <w:rsid w:val="00927834"/>
    <w:rsid w:val="00930FD6"/>
    <w:rsid w:val="009500A6"/>
    <w:rsid w:val="00957C18"/>
    <w:rsid w:val="009659BA"/>
    <w:rsid w:val="00983040"/>
    <w:rsid w:val="009B3FB9"/>
    <w:rsid w:val="009C2465"/>
    <w:rsid w:val="009D35A0"/>
    <w:rsid w:val="009D7EB7"/>
    <w:rsid w:val="009E048A"/>
    <w:rsid w:val="009E08E9"/>
    <w:rsid w:val="009E3DB9"/>
    <w:rsid w:val="009E6E35"/>
    <w:rsid w:val="009F0EDA"/>
    <w:rsid w:val="009F5459"/>
    <w:rsid w:val="00A03B96"/>
    <w:rsid w:val="00A05B19"/>
    <w:rsid w:val="00A1134E"/>
    <w:rsid w:val="00A24E7E"/>
    <w:rsid w:val="00A258C3"/>
    <w:rsid w:val="00A347C0"/>
    <w:rsid w:val="00A51431"/>
    <w:rsid w:val="00A539AD"/>
    <w:rsid w:val="00A93444"/>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A5B8D"/>
    <w:rsid w:val="00BB37AA"/>
    <w:rsid w:val="00BC53A0"/>
    <w:rsid w:val="00BE62AD"/>
    <w:rsid w:val="00BF121F"/>
    <w:rsid w:val="00BF1F80"/>
    <w:rsid w:val="00C166EF"/>
    <w:rsid w:val="00C17EB0"/>
    <w:rsid w:val="00C27F5F"/>
    <w:rsid w:val="00C30A0F"/>
    <w:rsid w:val="00C37E61"/>
    <w:rsid w:val="00C70F1B"/>
    <w:rsid w:val="00C7145C"/>
    <w:rsid w:val="00C71A47"/>
    <w:rsid w:val="00C7464C"/>
    <w:rsid w:val="00C85588"/>
    <w:rsid w:val="00C90CC5"/>
    <w:rsid w:val="00CD6755"/>
    <w:rsid w:val="00CD6856"/>
    <w:rsid w:val="00CE0089"/>
    <w:rsid w:val="00CE793C"/>
    <w:rsid w:val="00CE7B7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51BA"/>
    <w:rsid w:val="00F06F59"/>
    <w:rsid w:val="00F17988"/>
    <w:rsid w:val="00F469F0"/>
    <w:rsid w:val="00F53273"/>
    <w:rsid w:val="00F7350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B6CB4A1"/>
  <w15:docId w15:val="{7F836259-7462-40D4-B645-265093E6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1.wdp"/><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2.JPG"/><Relationship Id="rId20" Type="http://schemas.microsoft.com/office/2007/relationships/hdphoto" Target="media/hdphoto2.wdp"/><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BioRender.com" TargetMode="External"/><Relationship Id="rId23" Type="http://schemas.microsoft.com/office/2007/relationships/hdphoto" Target="media/hdphoto3.wdp"/><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14DCD-2DF1-43B6-9DA2-725254B96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12</Pages>
  <Words>18834</Words>
  <Characters>107355</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125938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2026-05-03T09:42:00Z</dcterms:created>
  <dcterms:modified xsi:type="dcterms:W3CDTF">2026-05-05T06:15:00Z</dcterms:modified>
</cp:coreProperties>
</file>