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0DF3" w14:textId="77777777" w:rsidR="00C44073" w:rsidRPr="00C44073" w:rsidRDefault="00C44073" w:rsidP="00C44073">
      <w:pPr>
        <w:spacing w:line="360" w:lineRule="auto"/>
        <w:jc w:val="right"/>
        <w:rPr>
          <w:rFonts w:ascii="Times New Roman" w:eastAsia="Times New Roman" w:hAnsi="Times New Roman" w:cs="Times New Roman"/>
          <w:b/>
          <w:bCs/>
          <w:i/>
          <w:sz w:val="28"/>
          <w:szCs w:val="24"/>
          <w:u w:val="single"/>
        </w:rPr>
      </w:pPr>
      <w:r w:rsidRPr="00C44073">
        <w:rPr>
          <w:rFonts w:ascii="Times New Roman" w:eastAsia="Times New Roman" w:hAnsi="Times New Roman" w:cs="Times New Roman"/>
          <w:b/>
          <w:bCs/>
          <w:i/>
          <w:sz w:val="28"/>
          <w:szCs w:val="24"/>
          <w:u w:val="single"/>
        </w:rPr>
        <w:t>Original Research Article</w:t>
      </w:r>
    </w:p>
    <w:p w14:paraId="6B215543" w14:textId="346DAEF7" w:rsidR="0034508E" w:rsidRPr="00BD36C9" w:rsidRDefault="0034508E" w:rsidP="00BD36C9">
      <w:pPr>
        <w:spacing w:line="360" w:lineRule="auto"/>
        <w:rPr>
          <w:rFonts w:ascii="Times New Roman" w:hAnsi="Times New Roman" w:cs="Times New Roman"/>
          <w:b/>
          <w:sz w:val="24"/>
          <w:szCs w:val="24"/>
        </w:rPr>
      </w:pPr>
      <w:r w:rsidRPr="00BD36C9">
        <w:rPr>
          <w:rFonts w:ascii="Times New Roman" w:eastAsia="Times New Roman" w:hAnsi="Times New Roman" w:cs="Times New Roman"/>
          <w:b/>
          <w:bCs/>
          <w:sz w:val="24"/>
          <w:szCs w:val="24"/>
        </w:rPr>
        <w:t xml:space="preserve">Comparative Analysis of Community-Based Forest Resource Management Strategies in the </w:t>
      </w:r>
      <w:proofErr w:type="spellStart"/>
      <w:r w:rsidRPr="00BD36C9">
        <w:rPr>
          <w:rFonts w:ascii="Times New Roman" w:eastAsia="Times New Roman" w:hAnsi="Times New Roman" w:cs="Times New Roman"/>
          <w:b/>
          <w:bCs/>
          <w:sz w:val="24"/>
          <w:szCs w:val="24"/>
        </w:rPr>
        <w:t>Nchumuru</w:t>
      </w:r>
      <w:proofErr w:type="spellEnd"/>
      <w:r w:rsidRPr="00BD36C9">
        <w:rPr>
          <w:rFonts w:ascii="Times New Roman" w:eastAsia="Times New Roman" w:hAnsi="Times New Roman" w:cs="Times New Roman"/>
          <w:b/>
          <w:bCs/>
          <w:sz w:val="24"/>
          <w:szCs w:val="24"/>
        </w:rPr>
        <w:t xml:space="preserve"> and Adele Communities of the </w:t>
      </w:r>
      <w:proofErr w:type="spellStart"/>
      <w:r w:rsidRPr="00BD36C9">
        <w:rPr>
          <w:rFonts w:ascii="Times New Roman" w:eastAsia="Times New Roman" w:hAnsi="Times New Roman" w:cs="Times New Roman"/>
          <w:b/>
          <w:bCs/>
          <w:sz w:val="24"/>
          <w:szCs w:val="24"/>
        </w:rPr>
        <w:t>Oti</w:t>
      </w:r>
      <w:proofErr w:type="spellEnd"/>
      <w:r w:rsidRPr="00BD36C9">
        <w:rPr>
          <w:rFonts w:ascii="Times New Roman" w:eastAsia="Times New Roman" w:hAnsi="Times New Roman" w:cs="Times New Roman"/>
          <w:b/>
          <w:bCs/>
          <w:sz w:val="24"/>
          <w:szCs w:val="24"/>
        </w:rPr>
        <w:t xml:space="preserve"> Region, Ghana </w:t>
      </w:r>
    </w:p>
    <w:p w14:paraId="263D753C" w14:textId="77777777" w:rsidR="003B495D" w:rsidRDefault="003B495D" w:rsidP="00BD36C9">
      <w:pPr>
        <w:spacing w:before="100" w:beforeAutospacing="1" w:after="100" w:afterAutospacing="1" w:line="360" w:lineRule="auto"/>
        <w:outlineLvl w:val="1"/>
        <w:rPr>
          <w:rFonts w:ascii="Times New Roman" w:eastAsia="Times New Roman" w:hAnsi="Times New Roman" w:cs="Times New Roman"/>
          <w:b/>
          <w:bCs/>
          <w:sz w:val="24"/>
          <w:szCs w:val="24"/>
        </w:rPr>
      </w:pPr>
    </w:p>
    <w:p w14:paraId="0025B9A0" w14:textId="39A5BC81" w:rsidR="009119CA" w:rsidRPr="00BD36C9" w:rsidRDefault="009119CA" w:rsidP="00BD36C9">
      <w:pPr>
        <w:spacing w:before="100" w:beforeAutospacing="1" w:after="100" w:afterAutospacing="1" w:line="360" w:lineRule="auto"/>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Abstract</w:t>
      </w:r>
      <w:r w:rsidR="009B4E88" w:rsidRPr="00BD36C9">
        <w:rPr>
          <w:rFonts w:ascii="Times New Roman" w:eastAsia="Times New Roman" w:hAnsi="Times New Roman" w:cs="Times New Roman"/>
          <w:b/>
          <w:bCs/>
          <w:sz w:val="24"/>
          <w:szCs w:val="24"/>
        </w:rPr>
        <w:t xml:space="preserve">    </w:t>
      </w:r>
    </w:p>
    <w:p w14:paraId="74C48BED" w14:textId="217D1835" w:rsidR="009119CA" w:rsidRPr="00BD36C9" w:rsidRDefault="009119CA"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Community-Based Forest Resource Management (CBFRM) has emerged as a critical approach for promoting sustainable forest use and conservation in forest-dependent rural communities. This study compares the forest resource management strategies adopted by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in the </w:t>
      </w:r>
      <w:proofErr w:type="spellStart"/>
      <w:r w:rsidRPr="00BD36C9">
        <w:rPr>
          <w:rFonts w:ascii="Times New Roman" w:eastAsia="Times New Roman" w:hAnsi="Times New Roman" w:cs="Times New Roman"/>
          <w:sz w:val="24"/>
          <w:szCs w:val="24"/>
        </w:rPr>
        <w:t>Oti</w:t>
      </w:r>
      <w:proofErr w:type="spellEnd"/>
      <w:r w:rsidRPr="00BD36C9">
        <w:rPr>
          <w:rFonts w:ascii="Times New Roman" w:eastAsia="Times New Roman" w:hAnsi="Times New Roman" w:cs="Times New Roman"/>
          <w:sz w:val="24"/>
          <w:szCs w:val="24"/>
        </w:rPr>
        <w:t xml:space="preserve"> Region of Ghana, with particular attention to </w:t>
      </w:r>
      <w:r w:rsidRPr="00EC5C25">
        <w:rPr>
          <w:rFonts w:ascii="Times New Roman" w:eastAsia="Times New Roman" w:hAnsi="Times New Roman" w:cs="Times New Roman"/>
          <w:sz w:val="24"/>
          <w:szCs w:val="24"/>
        </w:rPr>
        <w:t>governance structures, traditional institutions, sanctions, and livelihood strategies</w:t>
      </w:r>
      <w:r w:rsidRPr="002D2E58">
        <w:rPr>
          <w:rFonts w:ascii="Times New Roman" w:eastAsia="Times New Roman" w:hAnsi="Times New Roman" w:cs="Times New Roman"/>
          <w:sz w:val="24"/>
          <w:szCs w:val="24"/>
        </w:rPr>
        <w:t xml:space="preserve">. A </w:t>
      </w:r>
      <w:r w:rsidRPr="00EC5C25">
        <w:rPr>
          <w:rFonts w:ascii="Times New Roman" w:eastAsia="Times New Roman" w:hAnsi="Times New Roman" w:cs="Times New Roman"/>
          <w:sz w:val="24"/>
          <w:szCs w:val="24"/>
        </w:rPr>
        <w:t>comparative case study design</w:t>
      </w:r>
      <w:r w:rsidRPr="00BD36C9">
        <w:rPr>
          <w:rFonts w:ascii="Times New Roman" w:eastAsia="Times New Roman" w:hAnsi="Times New Roman" w:cs="Times New Roman"/>
          <w:sz w:val="24"/>
          <w:szCs w:val="24"/>
        </w:rPr>
        <w:t xml:space="preserve"> was employed, integrating quantitative and qualit</w:t>
      </w:r>
      <w:r w:rsidR="002358B8">
        <w:rPr>
          <w:rFonts w:ascii="Times New Roman" w:eastAsia="Times New Roman" w:hAnsi="Times New Roman" w:cs="Times New Roman"/>
          <w:sz w:val="24"/>
          <w:szCs w:val="24"/>
        </w:rPr>
        <w:t xml:space="preserve">ative methods. Data were </w:t>
      </w:r>
      <w:r w:rsidRPr="00BD36C9">
        <w:rPr>
          <w:rFonts w:ascii="Times New Roman" w:eastAsia="Times New Roman" w:hAnsi="Times New Roman" w:cs="Times New Roman"/>
          <w:sz w:val="24"/>
          <w:szCs w:val="24"/>
        </w:rPr>
        <w:t>collected through household surveys administered to 344 respondents, key informant interviews, and focus group discussions. Quantitative data were analyzed using descriptive statistics and Chi-square tests, while qualitative data were examined through thematic analysis.</w:t>
      </w:r>
      <w:r w:rsid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 xml:space="preserve">The findings reveal significant differences in how CBFRM strategies operate across the two communities. While awareness of forest management practices is relatively high in both communities, the </w:t>
      </w:r>
      <w:r w:rsidRPr="00EC5C25">
        <w:rPr>
          <w:rFonts w:ascii="Times New Roman" w:eastAsia="Times New Roman" w:hAnsi="Times New Roman" w:cs="Times New Roman"/>
          <w:sz w:val="24"/>
          <w:szCs w:val="24"/>
        </w:rPr>
        <w:t>pathways through which awareness is generated differ</w:t>
      </w:r>
      <w:r w:rsidRPr="002D2E58">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xml:space="preserve">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forest governance is strongly rooted in traditional ecological knowledge, credible sanctions, and culturally regulated livelihoods, resulting in cohesive and self-enforcing management practices. In contrast, the Adele community exhibits weakened traditional authority, uneven enforcement of sanctions, and greater reliance on external actors </w:t>
      </w:r>
      <w:r w:rsidRPr="00EC5C25">
        <w:rPr>
          <w:rFonts w:ascii="Times New Roman" w:eastAsia="Times New Roman" w:hAnsi="Times New Roman" w:cs="Times New Roman"/>
          <w:sz w:val="24"/>
          <w:szCs w:val="24"/>
        </w:rPr>
        <w:t>and livelihood interventions such as bee-keeping</w:t>
      </w:r>
      <w:r w:rsidRPr="002D2E58">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xml:space="preserve"> These differences highlight the importance of institutional legitimacy, social embeddedness, and livelihood alignment in shaping forest governance outcomes. The study concludes that effective community-based forest management is context-specific and </w:t>
      </w:r>
      <w:r w:rsidR="00687F41" w:rsidRPr="00BD36C9">
        <w:rPr>
          <w:rFonts w:ascii="Times New Roman" w:eastAsia="Times New Roman" w:hAnsi="Times New Roman" w:cs="Times New Roman"/>
          <w:sz w:val="24"/>
          <w:szCs w:val="24"/>
        </w:rPr>
        <w:t>must integrate</w:t>
      </w:r>
      <w:r w:rsidRPr="00BD36C9">
        <w:rPr>
          <w:rFonts w:ascii="Times New Roman" w:eastAsia="Times New Roman" w:hAnsi="Times New Roman" w:cs="Times New Roman"/>
          <w:sz w:val="24"/>
          <w:szCs w:val="24"/>
        </w:rPr>
        <w:t xml:space="preserve"> local institutions with appropriate external support to achieve long-term sustainability</w:t>
      </w:r>
      <w:r w:rsidR="00BD36C9">
        <w:rPr>
          <w:rFonts w:ascii="Times New Roman" w:eastAsia="Times New Roman" w:hAnsi="Times New Roman" w:cs="Times New Roman"/>
          <w:sz w:val="24"/>
          <w:szCs w:val="24"/>
        </w:rPr>
        <w:t>.</w:t>
      </w:r>
    </w:p>
    <w:p w14:paraId="169ABE2A" w14:textId="4F946F27" w:rsidR="00AD2315" w:rsidRPr="00BD36C9" w:rsidRDefault="0034508E" w:rsidP="00BD36C9">
      <w:pPr>
        <w:spacing w:before="100" w:beforeAutospacing="1" w:after="100" w:afterAutospacing="1" w:line="360" w:lineRule="auto"/>
        <w:rPr>
          <w:rFonts w:ascii="Times New Roman" w:eastAsia="Times New Roman" w:hAnsi="Times New Roman" w:cs="Times New Roman"/>
          <w:sz w:val="24"/>
          <w:szCs w:val="24"/>
        </w:rPr>
      </w:pPr>
      <w:r w:rsidRPr="00BD36C9">
        <w:rPr>
          <w:rFonts w:ascii="Times New Roman" w:eastAsia="Times New Roman" w:hAnsi="Times New Roman" w:cs="Times New Roman"/>
          <w:b/>
          <w:bCs/>
          <w:sz w:val="24"/>
          <w:szCs w:val="24"/>
        </w:rPr>
        <w:t>Keywords:</w:t>
      </w:r>
      <w:r w:rsidRPr="00BD36C9">
        <w:rPr>
          <w:rFonts w:ascii="Times New Roman" w:eastAsia="Times New Roman" w:hAnsi="Times New Roman" w:cs="Times New Roman"/>
          <w:sz w:val="24"/>
          <w:szCs w:val="24"/>
        </w:rPr>
        <w:t xml:space="preserve"> Community-Based Forest Resource Management; Forest Management Strategies; Comparative Analysis;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Adele  </w:t>
      </w:r>
    </w:p>
    <w:p w14:paraId="497E05B5" w14:textId="3AB24E6C" w:rsidR="0034508E" w:rsidRPr="00BD36C9" w:rsidRDefault="002A1DF9"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34508E" w:rsidRPr="00BD36C9">
        <w:rPr>
          <w:rFonts w:ascii="Times New Roman" w:eastAsia="Times New Roman" w:hAnsi="Times New Roman" w:cs="Times New Roman"/>
          <w:b/>
          <w:bCs/>
          <w:sz w:val="24"/>
          <w:szCs w:val="24"/>
        </w:rPr>
        <w:t>Introduction</w:t>
      </w:r>
    </w:p>
    <w:p w14:paraId="02ADD04B" w14:textId="4DC4BBD9"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Community-Based Forest Resource Management (CBFRM) has emerged as a vital approach for promoting sustainable forest use and conservation in Ghana, particularly in rural areas where livelihoods are closely linked to forest resources</w:t>
      </w:r>
      <w:r w:rsidR="00FE6DEF">
        <w:rPr>
          <w:rFonts w:ascii="Times New Roman" w:eastAsia="Times New Roman" w:hAnsi="Times New Roman" w:cs="Times New Roman"/>
          <w:sz w:val="24"/>
          <w:szCs w:val="24"/>
        </w:rPr>
        <w:t xml:space="preserve"> </w:t>
      </w:r>
      <w:r w:rsidR="00FE6DEF" w:rsidRPr="00716F9B">
        <w:rPr>
          <w:rFonts w:ascii="Times New Roman" w:eastAsia="Times New Roman" w:hAnsi="Times New Roman" w:cs="Times New Roman"/>
          <w:sz w:val="24"/>
          <w:szCs w:val="24"/>
        </w:rPr>
        <w:t>(</w:t>
      </w:r>
      <w:proofErr w:type="spellStart"/>
      <w:r w:rsidR="00FE6DEF" w:rsidRPr="00716F9B">
        <w:rPr>
          <w:rFonts w:ascii="Times New Roman" w:eastAsia="Times New Roman" w:hAnsi="Times New Roman" w:cs="Times New Roman"/>
          <w:sz w:val="24"/>
          <w:szCs w:val="24"/>
        </w:rPr>
        <w:t>Ampadu</w:t>
      </w:r>
      <w:proofErr w:type="spellEnd"/>
      <w:r w:rsidR="00FE6DEF" w:rsidRPr="00716F9B">
        <w:rPr>
          <w:rFonts w:ascii="Times New Roman" w:eastAsia="Times New Roman" w:hAnsi="Times New Roman" w:cs="Times New Roman"/>
          <w:sz w:val="24"/>
          <w:szCs w:val="24"/>
        </w:rPr>
        <w:t xml:space="preserve"> &amp; Yang, 2024</w:t>
      </w:r>
      <w:r w:rsidR="00FE6DEF">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xml:space="preserve">. In the </w:t>
      </w:r>
      <w:proofErr w:type="spellStart"/>
      <w:r w:rsidRPr="00BD36C9">
        <w:rPr>
          <w:rFonts w:ascii="Times New Roman" w:eastAsia="Times New Roman" w:hAnsi="Times New Roman" w:cs="Times New Roman"/>
          <w:sz w:val="24"/>
          <w:szCs w:val="24"/>
        </w:rPr>
        <w:t>Oti</w:t>
      </w:r>
      <w:proofErr w:type="spellEnd"/>
      <w:r w:rsidRPr="00BD36C9">
        <w:rPr>
          <w:rFonts w:ascii="Times New Roman" w:eastAsia="Times New Roman" w:hAnsi="Times New Roman" w:cs="Times New Roman"/>
          <w:sz w:val="24"/>
          <w:szCs w:val="24"/>
        </w:rPr>
        <w:t xml:space="preserve"> Region,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provide two distinct yet comparable cases of localized forest governance shaped by ecological conditions and socio-cultural contexts.</w:t>
      </w:r>
    </w:p>
    <w:p w14:paraId="611C710F" w14:textId="6425252C" w:rsidR="0034508E" w:rsidRPr="00BD36C9" w:rsidRDefault="0034508E" w:rsidP="00EC5C25">
      <w:pPr>
        <w:spacing w:after="0" w:line="360" w:lineRule="auto"/>
        <w:jc w:val="both"/>
        <w:rPr>
          <w:rFonts w:ascii="Times New Roman" w:eastAsia="Times New Roman" w:hAnsi="Times New Roman" w:cs="Times New Roman"/>
          <w:sz w:val="24"/>
          <w:szCs w:val="24"/>
        </w:rPr>
      </w:pPr>
      <w:r w:rsidRPr="00EC5C25">
        <w:rPr>
          <w:rFonts w:ascii="Times New Roman" w:eastAsia="Times New Roman" w:hAnsi="Times New Roman" w:cs="Times New Roman"/>
          <w:sz w:val="24"/>
          <w:szCs w:val="24"/>
        </w:rPr>
        <w:t>This study undertakes a comparative analysis</w:t>
      </w:r>
      <w:r w:rsidRPr="00BD36C9">
        <w:rPr>
          <w:rFonts w:ascii="Times New Roman" w:eastAsia="Times New Roman" w:hAnsi="Times New Roman" w:cs="Times New Roman"/>
          <w:sz w:val="24"/>
          <w:szCs w:val="24"/>
        </w:rPr>
        <w:t xml:space="preserve"> of the forest resource management strategies adopted by these two communities. Although both communities operate within the same ecological zone and under Ghana’s national forest governance framework</w:t>
      </w:r>
      <w:r w:rsidR="00FE6DEF">
        <w:rPr>
          <w:rFonts w:ascii="Times New Roman" w:eastAsia="Times New Roman" w:hAnsi="Times New Roman" w:cs="Times New Roman"/>
          <w:sz w:val="24"/>
          <w:szCs w:val="24"/>
        </w:rPr>
        <w:t xml:space="preserve"> (</w:t>
      </w:r>
      <w:r w:rsidR="00FE6DEF" w:rsidRPr="00716F9B">
        <w:rPr>
          <w:rFonts w:ascii="Times New Roman" w:eastAsia="Times New Roman" w:hAnsi="Times New Roman" w:cs="Times New Roman"/>
          <w:sz w:val="24"/>
          <w:szCs w:val="24"/>
        </w:rPr>
        <w:t>Osei, 2024</w:t>
      </w:r>
      <w:r w:rsidR="00FE6DEF">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their approaches</w:t>
      </w:r>
      <w:r w:rsidR="00320816">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differ markedly in governance structures, institutional arrangements, and customary practices</w:t>
      </w:r>
      <w:r w:rsidR="00FE6DEF">
        <w:rPr>
          <w:rFonts w:ascii="Times New Roman" w:eastAsia="Times New Roman" w:hAnsi="Times New Roman" w:cs="Times New Roman"/>
          <w:sz w:val="24"/>
          <w:szCs w:val="24"/>
        </w:rPr>
        <w:t xml:space="preserve"> </w:t>
      </w:r>
      <w:hyperlink r:id="rId7" w:history="1">
        <w:r w:rsidR="00FE6DEF" w:rsidRPr="00716F9B">
          <w:rPr>
            <w:rStyle w:val="Hyperlink"/>
            <w:rFonts w:ascii="Times New Roman" w:hAnsi="Times New Roman" w:cs="Times New Roman"/>
            <w:color w:val="000000" w:themeColor="text1"/>
            <w:sz w:val="24"/>
            <w:szCs w:val="24"/>
            <w:u w:val="none"/>
          </w:rPr>
          <w:t>(Amoako et al., 2015)</w:t>
        </w:r>
      </w:hyperlink>
      <w:r w:rsidRPr="00BD36C9">
        <w:rPr>
          <w:rFonts w:ascii="Times New Roman" w:eastAsia="Times New Roman" w:hAnsi="Times New Roman" w:cs="Times New Roman"/>
          <w:sz w:val="24"/>
          <w:szCs w:val="24"/>
        </w:rPr>
        <w:t xml:space="preserve">.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is characterized by a relatively centralized chieftaincy system, where forest protection is reinforced through culturally embedded norms</w:t>
      </w:r>
      <w:r w:rsidR="00FE6DEF">
        <w:rPr>
          <w:rFonts w:ascii="Times New Roman" w:eastAsia="Times New Roman" w:hAnsi="Times New Roman" w:cs="Times New Roman"/>
          <w:sz w:val="24"/>
          <w:szCs w:val="24"/>
        </w:rPr>
        <w:t xml:space="preserve"> and traditional beliefs </w:t>
      </w:r>
      <w:r w:rsidR="00FE6DEF" w:rsidRPr="00716F9B">
        <w:rPr>
          <w:rFonts w:ascii="Times New Roman" w:eastAsia="Times New Roman" w:hAnsi="Times New Roman" w:cs="Times New Roman"/>
          <w:sz w:val="24"/>
          <w:szCs w:val="24"/>
        </w:rPr>
        <w:t>(Asante et al., 2017</w:t>
      </w:r>
      <w:r w:rsidR="00FE6DEF">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 In contrast, the Adele community employs a decentralized, clan-based governance structure that distributes authority across multiple lineages and often relies on periodic external support</w:t>
      </w:r>
      <w:r w:rsidR="00FE6DEF">
        <w:rPr>
          <w:rFonts w:ascii="Times New Roman" w:eastAsia="Times New Roman" w:hAnsi="Times New Roman" w:cs="Times New Roman"/>
          <w:sz w:val="24"/>
          <w:szCs w:val="24"/>
        </w:rPr>
        <w:t xml:space="preserve"> </w:t>
      </w:r>
      <w:r w:rsidR="00FE6DEF" w:rsidRPr="00716F9B">
        <w:rPr>
          <w:rFonts w:ascii="Times New Roman" w:hAnsi="Times New Roman" w:cs="Times New Roman"/>
        </w:rPr>
        <w:t>from non-governmental organizations and state institutions to enhance local management capacity</w:t>
      </w:r>
      <w:r w:rsidR="00FE6DEF">
        <w:rPr>
          <w:rFonts w:ascii="Times New Roman" w:eastAsia="Times New Roman" w:hAnsi="Times New Roman" w:cs="Times New Roman"/>
          <w:sz w:val="24"/>
          <w:szCs w:val="24"/>
        </w:rPr>
        <w:t xml:space="preserve"> (</w:t>
      </w:r>
      <w:r w:rsidR="00FE6DEF" w:rsidRPr="00716F9B">
        <w:rPr>
          <w:rFonts w:ascii="Times New Roman" w:eastAsia="Times New Roman" w:hAnsi="Times New Roman" w:cs="Times New Roman"/>
          <w:sz w:val="24"/>
          <w:szCs w:val="24"/>
        </w:rPr>
        <w:t>Baruah, 2017</w:t>
      </w:r>
      <w:r w:rsidR="00FE6DEF">
        <w:rPr>
          <w:rFonts w:ascii="Times New Roman" w:eastAsia="Times New Roman" w:hAnsi="Times New Roman" w:cs="Times New Roman"/>
          <w:sz w:val="24"/>
          <w:szCs w:val="24"/>
        </w:rPr>
        <w:t>)</w:t>
      </w:r>
      <w:r w:rsidRPr="00BD36C9">
        <w:rPr>
          <w:rFonts w:ascii="Times New Roman" w:eastAsia="Times New Roman" w:hAnsi="Times New Roman" w:cs="Times New Roman"/>
          <w:sz w:val="24"/>
          <w:szCs w:val="24"/>
        </w:rPr>
        <w:t>.</w:t>
      </w:r>
      <w:r w:rsidR="00FE6DEF">
        <w:rPr>
          <w:rFonts w:ascii="Times New Roman" w:eastAsia="Times New Roman" w:hAnsi="Times New Roman" w:cs="Times New Roman"/>
          <w:sz w:val="24"/>
          <w:szCs w:val="24"/>
        </w:rPr>
        <w:t xml:space="preserve"> </w:t>
      </w:r>
    </w:p>
    <w:p w14:paraId="3FC8D6FC" w14:textId="0C78F846" w:rsidR="0034508E" w:rsidRPr="00BD36C9" w:rsidRDefault="0034508E" w:rsidP="00EC5C25">
      <w:pPr>
        <w:spacing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analysis seeks to examine </w:t>
      </w:r>
      <w:r w:rsidRPr="002D2E58">
        <w:rPr>
          <w:rFonts w:ascii="Times New Roman" w:eastAsia="Times New Roman" w:hAnsi="Times New Roman" w:cs="Times New Roman"/>
          <w:sz w:val="24"/>
          <w:szCs w:val="24"/>
        </w:rPr>
        <w:t>how these differing community-based strategies influence forest governance outcomes, levels of participation, and long-term sustainability</w:t>
      </w:r>
      <w:r w:rsidRPr="00BD36C9">
        <w:rPr>
          <w:rFonts w:ascii="Times New Roman" w:eastAsia="Times New Roman" w:hAnsi="Times New Roman" w:cs="Times New Roman"/>
          <w:sz w:val="24"/>
          <w:szCs w:val="24"/>
        </w:rPr>
        <w:t>. By identifying the strengths and limitations of each approach, this study contributes to broader discussions on context-specific forest governance and offers insights for designing more inclusive and effective community-based forest management strategies in Ghana and similar settings.</w:t>
      </w:r>
    </w:p>
    <w:p w14:paraId="16EC4523" w14:textId="1DCC4401" w:rsidR="0034508E" w:rsidRPr="00BD36C9" w:rsidRDefault="00BA7278"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34508E" w:rsidRPr="00BD36C9">
        <w:rPr>
          <w:rFonts w:ascii="Times New Roman" w:eastAsia="Times New Roman" w:hAnsi="Times New Roman" w:cs="Times New Roman"/>
          <w:b/>
          <w:bCs/>
          <w:sz w:val="24"/>
          <w:szCs w:val="24"/>
        </w:rPr>
        <w:t>Literature Review</w:t>
      </w:r>
    </w:p>
    <w:p w14:paraId="4961706E" w14:textId="186D0032" w:rsidR="0034508E" w:rsidRPr="00BD36C9" w:rsidRDefault="00BA7278"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34508E" w:rsidRPr="00BD36C9">
        <w:rPr>
          <w:rFonts w:ascii="Times New Roman" w:eastAsia="Times New Roman" w:hAnsi="Times New Roman" w:cs="Times New Roman"/>
          <w:b/>
          <w:bCs/>
          <w:sz w:val="24"/>
          <w:szCs w:val="24"/>
        </w:rPr>
        <w:t xml:space="preserve">Conceptual </w:t>
      </w:r>
      <w:r w:rsidR="007F3D73">
        <w:rPr>
          <w:rFonts w:ascii="Times New Roman" w:eastAsia="Times New Roman" w:hAnsi="Times New Roman" w:cs="Times New Roman"/>
          <w:b/>
          <w:bCs/>
          <w:sz w:val="24"/>
          <w:szCs w:val="24"/>
        </w:rPr>
        <w:t>f</w:t>
      </w:r>
      <w:r w:rsidR="0034508E" w:rsidRPr="00BD36C9">
        <w:rPr>
          <w:rFonts w:ascii="Times New Roman" w:eastAsia="Times New Roman" w:hAnsi="Times New Roman" w:cs="Times New Roman"/>
          <w:b/>
          <w:bCs/>
          <w:sz w:val="24"/>
          <w:szCs w:val="24"/>
        </w:rPr>
        <w:t>oundation of</w:t>
      </w:r>
      <w:r w:rsidR="0034508E" w:rsidRPr="00FE7D62">
        <w:rPr>
          <w:rFonts w:ascii="Times New Roman" w:eastAsia="Times New Roman" w:hAnsi="Times New Roman" w:cs="Times New Roman"/>
          <w:b/>
          <w:bCs/>
          <w:sz w:val="24"/>
          <w:szCs w:val="24"/>
        </w:rPr>
        <w:t xml:space="preserve"> </w:t>
      </w:r>
      <w:r w:rsidR="00FE7D62" w:rsidRPr="00EC5C25">
        <w:rPr>
          <w:rFonts w:ascii="Times New Roman" w:eastAsia="Times New Roman" w:hAnsi="Times New Roman" w:cs="Times New Roman"/>
          <w:b/>
          <w:bCs/>
          <w:sz w:val="24"/>
          <w:szCs w:val="24"/>
        </w:rPr>
        <w:t>CBFRM</w:t>
      </w:r>
      <w:r w:rsidR="00FE7D62" w:rsidRPr="00BD36C9" w:rsidDel="00FE7D62">
        <w:rPr>
          <w:rFonts w:ascii="Times New Roman" w:eastAsia="Times New Roman" w:hAnsi="Times New Roman" w:cs="Times New Roman"/>
          <w:b/>
          <w:bCs/>
          <w:sz w:val="24"/>
          <w:szCs w:val="24"/>
        </w:rPr>
        <w:t xml:space="preserve"> </w:t>
      </w:r>
    </w:p>
    <w:p w14:paraId="31B84296" w14:textId="0608F68E" w:rsidR="00811007" w:rsidRPr="001A5A0A" w:rsidRDefault="0034508E" w:rsidP="00752EC0">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CBFRM refers to governance arrangements in which local communities play an active role in the planning, decision-making, implementation, and monitoring of forest resource use and conservation (Larson &amp; Soto, 2020). </w:t>
      </w:r>
      <w:r w:rsidR="00752EC0" w:rsidRPr="00EC5C25">
        <w:rPr>
          <w:rFonts w:ascii="Times New Roman" w:hAnsi="Times New Roman" w:cs="Times New Roman"/>
          <w:sz w:val="24"/>
          <w:szCs w:val="24"/>
        </w:rPr>
        <w:t>This approach responds to the recognition that centralized or top-down forest management often fails due to lack of local engagement, legitimacy, or consideration of local social-ecological dynamics (Tole, 2010).</w:t>
      </w:r>
      <w:r w:rsidR="00752EC0" w:rsidRPr="001A5A0A">
        <w:rPr>
          <w:rFonts w:ascii="Times New Roman" w:eastAsia="Times New Roman" w:hAnsi="Times New Roman" w:cs="Times New Roman"/>
          <w:sz w:val="24"/>
          <w:szCs w:val="24"/>
        </w:rPr>
        <w:t xml:space="preserve"> </w:t>
      </w:r>
      <w:r w:rsidR="00C25CA3" w:rsidRPr="001A5A0A">
        <w:rPr>
          <w:rFonts w:ascii="Times New Roman" w:eastAsia="Times New Roman" w:hAnsi="Times New Roman" w:cs="Times New Roman"/>
          <w:sz w:val="24"/>
          <w:szCs w:val="24"/>
        </w:rPr>
        <w:t xml:space="preserve">Scholars argue that the historical </w:t>
      </w:r>
      <w:r w:rsidR="00C25CA3" w:rsidRPr="001A5A0A">
        <w:rPr>
          <w:rFonts w:ascii="Times New Roman" w:eastAsia="Times New Roman" w:hAnsi="Times New Roman" w:cs="Times New Roman"/>
          <w:sz w:val="24"/>
          <w:szCs w:val="24"/>
        </w:rPr>
        <w:lastRenderedPageBreak/>
        <w:t>exclusion of local users from forest governance has contributed to forest degradation, conflict, and weak enforcement (</w:t>
      </w:r>
      <w:proofErr w:type="spellStart"/>
      <w:r w:rsidR="00C25CA3" w:rsidRPr="001A5A0A">
        <w:rPr>
          <w:rFonts w:ascii="Times New Roman" w:eastAsia="Times New Roman" w:hAnsi="Times New Roman" w:cs="Times New Roman"/>
          <w:sz w:val="24"/>
          <w:szCs w:val="24"/>
        </w:rPr>
        <w:t>Ribot</w:t>
      </w:r>
      <w:proofErr w:type="spellEnd"/>
      <w:r w:rsidR="00C25CA3" w:rsidRPr="001A5A0A">
        <w:rPr>
          <w:rFonts w:ascii="Times New Roman" w:eastAsia="Times New Roman" w:hAnsi="Times New Roman" w:cs="Times New Roman"/>
          <w:sz w:val="24"/>
          <w:szCs w:val="24"/>
        </w:rPr>
        <w:t xml:space="preserve"> et al., 2006). </w:t>
      </w:r>
      <w:r w:rsidRPr="001A5A0A">
        <w:rPr>
          <w:rFonts w:ascii="Times New Roman" w:eastAsia="Times New Roman" w:hAnsi="Times New Roman" w:cs="Times New Roman"/>
          <w:sz w:val="24"/>
          <w:szCs w:val="24"/>
        </w:rPr>
        <w:t xml:space="preserve">Unlike centralized forest management systems, CBFRM emphasizes decentralization, collective responsibility, </w:t>
      </w:r>
      <w:r w:rsidR="00811007" w:rsidRPr="00EC5C25">
        <w:rPr>
          <w:rFonts w:ascii="Times New Roman" w:hAnsi="Times New Roman" w:cs="Times New Roman"/>
          <w:sz w:val="24"/>
          <w:szCs w:val="24"/>
        </w:rPr>
        <w:t>integrat</w:t>
      </w:r>
      <w:r w:rsidR="00752EC0" w:rsidRPr="00EC5C25">
        <w:rPr>
          <w:rFonts w:ascii="Times New Roman" w:hAnsi="Times New Roman" w:cs="Times New Roman"/>
          <w:sz w:val="24"/>
          <w:szCs w:val="24"/>
        </w:rPr>
        <w:t>ion of</w:t>
      </w:r>
      <w:r w:rsidR="00811007" w:rsidRPr="00EC5C25">
        <w:rPr>
          <w:rFonts w:ascii="Times New Roman" w:hAnsi="Times New Roman" w:cs="Times New Roman"/>
          <w:sz w:val="24"/>
          <w:szCs w:val="24"/>
        </w:rPr>
        <w:t xml:space="preserve"> local </w:t>
      </w:r>
      <w:r w:rsidR="00811007" w:rsidRPr="001A5A0A">
        <w:rPr>
          <w:rFonts w:ascii="Times New Roman" w:eastAsia="Times New Roman" w:hAnsi="Times New Roman" w:cs="Times New Roman"/>
          <w:sz w:val="24"/>
          <w:szCs w:val="24"/>
        </w:rPr>
        <w:t>ecological</w:t>
      </w:r>
      <w:r w:rsidR="00811007" w:rsidRPr="00EC5C25">
        <w:rPr>
          <w:rFonts w:ascii="Times New Roman" w:hAnsi="Times New Roman" w:cs="Times New Roman"/>
          <w:sz w:val="24"/>
          <w:szCs w:val="24"/>
        </w:rPr>
        <w:t xml:space="preserve"> knowledge, and livelihoods within forest conservation, aiming to balance ecological sustainability with community equity, participation, and well-being</w:t>
      </w:r>
      <w:r w:rsidR="00BA7278">
        <w:rPr>
          <w:rFonts w:ascii="Times New Roman" w:hAnsi="Times New Roman" w:cs="Times New Roman"/>
          <w:sz w:val="24"/>
          <w:szCs w:val="24"/>
        </w:rPr>
        <w:t xml:space="preserve"> (</w:t>
      </w:r>
      <w:r w:rsidR="00BA7278" w:rsidRPr="00BA7278">
        <w:rPr>
          <w:rFonts w:ascii="Times New Roman" w:hAnsi="Times New Roman" w:cs="Times New Roman"/>
          <w:sz w:val="24"/>
          <w:szCs w:val="24"/>
        </w:rPr>
        <w:t>Agrawal &amp; Gibson, 1999</w:t>
      </w:r>
      <w:r w:rsidR="00BA7278">
        <w:rPr>
          <w:rFonts w:ascii="Times New Roman" w:hAnsi="Times New Roman" w:cs="Times New Roman"/>
          <w:sz w:val="24"/>
          <w:szCs w:val="24"/>
        </w:rPr>
        <w:t>)</w:t>
      </w:r>
      <w:r w:rsidR="00811007" w:rsidRPr="00EC5C25">
        <w:rPr>
          <w:rFonts w:ascii="Times New Roman" w:hAnsi="Times New Roman" w:cs="Times New Roman"/>
          <w:sz w:val="24"/>
          <w:szCs w:val="24"/>
        </w:rPr>
        <w:t>.</w:t>
      </w:r>
      <w:r w:rsidR="00811007" w:rsidRPr="001A5A0A">
        <w:rPr>
          <w:rFonts w:ascii="Times New Roman" w:eastAsia="Times New Roman" w:hAnsi="Times New Roman" w:cs="Times New Roman"/>
          <w:sz w:val="24"/>
          <w:szCs w:val="24"/>
        </w:rPr>
        <w:t xml:space="preserve"> </w:t>
      </w:r>
      <w:r w:rsidR="00811007" w:rsidRPr="00EC5C25">
        <w:rPr>
          <w:rFonts w:ascii="Times New Roman" w:hAnsi="Times New Roman" w:cs="Times New Roman"/>
          <w:sz w:val="24"/>
          <w:szCs w:val="24"/>
        </w:rPr>
        <w:t>At its foundation, CBFRM operates on the premise that local communities, by virtue of living in or near forest areas, are best positioned to manage forest resources sustainably if they have clear rights, authority, and institutional support</w:t>
      </w:r>
      <w:r w:rsidR="00BA7278" w:rsidRPr="00BA7278">
        <w:rPr>
          <w:rFonts w:ascii="Times New Roman" w:hAnsi="Times New Roman" w:cs="Times New Roman"/>
          <w:sz w:val="24"/>
          <w:szCs w:val="24"/>
        </w:rPr>
        <w:t xml:space="preserve"> </w:t>
      </w:r>
      <w:r w:rsidR="00BA7278">
        <w:rPr>
          <w:rFonts w:ascii="Times New Roman" w:hAnsi="Times New Roman" w:cs="Times New Roman"/>
          <w:sz w:val="24"/>
          <w:szCs w:val="24"/>
        </w:rPr>
        <w:t>(</w:t>
      </w:r>
      <w:proofErr w:type="spellStart"/>
      <w:r w:rsidR="00BA7278" w:rsidRPr="00BA7278">
        <w:rPr>
          <w:rFonts w:ascii="Times New Roman" w:hAnsi="Times New Roman" w:cs="Times New Roman"/>
          <w:sz w:val="24"/>
          <w:szCs w:val="24"/>
        </w:rPr>
        <w:t>Ribot</w:t>
      </w:r>
      <w:proofErr w:type="spellEnd"/>
      <w:r w:rsidR="00BA7278" w:rsidRPr="00BA7278">
        <w:rPr>
          <w:rFonts w:ascii="Times New Roman" w:hAnsi="Times New Roman" w:cs="Times New Roman"/>
          <w:sz w:val="24"/>
          <w:szCs w:val="24"/>
        </w:rPr>
        <w:t>, 2002</w:t>
      </w:r>
      <w:r w:rsidR="00BA7278">
        <w:rPr>
          <w:rFonts w:ascii="Times New Roman" w:hAnsi="Times New Roman" w:cs="Times New Roman"/>
          <w:sz w:val="24"/>
          <w:szCs w:val="24"/>
        </w:rPr>
        <w:t>)</w:t>
      </w:r>
      <w:r w:rsidR="00811007" w:rsidRPr="00EC5C25">
        <w:rPr>
          <w:rFonts w:ascii="Times New Roman" w:hAnsi="Times New Roman" w:cs="Times New Roman"/>
          <w:sz w:val="24"/>
          <w:szCs w:val="24"/>
        </w:rPr>
        <w:t xml:space="preserve">. </w:t>
      </w:r>
    </w:p>
    <w:p w14:paraId="6ACAF05A" w14:textId="3DE55095" w:rsidR="0034508E" w:rsidRPr="00EC5C25" w:rsidRDefault="0034508E" w:rsidP="00BD36C9">
      <w:pPr>
        <w:spacing w:before="100" w:beforeAutospacing="1" w:after="100" w:afterAutospacing="1" w:line="360" w:lineRule="auto"/>
        <w:jc w:val="both"/>
        <w:rPr>
          <w:rFonts w:ascii="Times New Roman" w:hAnsi="Times New Roman" w:cs="Times New Roman"/>
          <w:sz w:val="24"/>
          <w:szCs w:val="24"/>
        </w:rPr>
      </w:pPr>
      <w:r w:rsidRPr="001A5A0A">
        <w:rPr>
          <w:rFonts w:ascii="Times New Roman" w:eastAsia="Times New Roman" w:hAnsi="Times New Roman" w:cs="Times New Roman"/>
          <w:sz w:val="24"/>
          <w:szCs w:val="24"/>
        </w:rPr>
        <w:t>However, the effectiveness of CBFRM varies across contexts, depending on factors such as tenure security, institutional capacity, governance structures, and socio-cultural dynamics (Agrawal &amp; Gibson, 1999).</w:t>
      </w:r>
      <w:r w:rsidR="00C25CA3" w:rsidRPr="001A5A0A">
        <w:rPr>
          <w:rFonts w:ascii="Times New Roman" w:eastAsia="Times New Roman" w:hAnsi="Times New Roman" w:cs="Times New Roman"/>
          <w:sz w:val="24"/>
          <w:szCs w:val="24"/>
        </w:rPr>
        <w:t xml:space="preserve"> Consequently, issues of </w:t>
      </w:r>
      <w:r w:rsidR="00C25CA3" w:rsidRPr="00EC5C25">
        <w:rPr>
          <w:rFonts w:ascii="Times New Roman" w:hAnsi="Times New Roman" w:cs="Times New Roman"/>
          <w:sz w:val="24"/>
          <w:szCs w:val="24"/>
        </w:rPr>
        <w:t>persistent challenges in ensuring genuine inclusion of marginalized groups and preventing elite capture of benefits exist. Thus, sometimes formal representation exists without real influence or access (</w:t>
      </w:r>
      <w:proofErr w:type="spellStart"/>
      <w:r w:rsidR="00C25CA3" w:rsidRPr="00EC5C25">
        <w:rPr>
          <w:rFonts w:ascii="Times New Roman" w:hAnsi="Times New Roman" w:cs="Times New Roman"/>
          <w:sz w:val="24"/>
          <w:szCs w:val="24"/>
        </w:rPr>
        <w:t>Essougong</w:t>
      </w:r>
      <w:proofErr w:type="spellEnd"/>
      <w:r w:rsidR="00C25CA3" w:rsidRPr="00EC5C25">
        <w:rPr>
          <w:rFonts w:ascii="Times New Roman" w:hAnsi="Times New Roman" w:cs="Times New Roman"/>
          <w:sz w:val="24"/>
          <w:szCs w:val="24"/>
        </w:rPr>
        <w:t xml:space="preserve"> et al., 2019; Acharya, 2006).</w:t>
      </w:r>
    </w:p>
    <w:p w14:paraId="561601E1" w14:textId="77777777" w:rsidR="00D75740" w:rsidRPr="00EC5C25" w:rsidRDefault="00D75740" w:rsidP="00D75740">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The key conceptual pillars of CBFRM include:</w:t>
      </w:r>
    </w:p>
    <w:p w14:paraId="2552F699" w14:textId="56BC6EF9" w:rsidR="00D75740" w:rsidRPr="00EC5C25" w:rsidRDefault="00D75740" w:rsidP="00D75740">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 xml:space="preserve">Local </w:t>
      </w:r>
      <w:r w:rsidR="008C1B1B" w:rsidRPr="00EC5C25">
        <w:rPr>
          <w:rFonts w:ascii="Times New Roman" w:hAnsi="Times New Roman" w:cs="Times New Roman"/>
          <w:sz w:val="24"/>
          <w:szCs w:val="24"/>
        </w:rPr>
        <w:t xml:space="preserve">participation and decision-making: </w:t>
      </w:r>
      <w:r w:rsidRPr="00EC5C25">
        <w:rPr>
          <w:rFonts w:ascii="Times New Roman" w:hAnsi="Times New Roman" w:cs="Times New Roman"/>
          <w:sz w:val="24"/>
          <w:szCs w:val="24"/>
        </w:rPr>
        <w:t>Forest user groups or communities hold the authority to make forest management decisions, including utilization and benefit-sharing. For example, in Nepal, Community Forest User Groups legally manage large forest areas and independently decide on forest use strategies, although challenges remain regarding inclusion, especially of women (Acharya, 2006). However, studies highlight that participation must transcend formal membership to genuine influence in decisions, as social-demographic factors such as wealth and leadership roles significantly affect participation and conservation support (Friedman et al., 2020).</w:t>
      </w:r>
    </w:p>
    <w:p w14:paraId="7ACB130F" w14:textId="5912AC20" w:rsidR="00D75740" w:rsidRPr="00EC5C25" w:rsidRDefault="00D75740" w:rsidP="00D75740">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 xml:space="preserve">Equity in </w:t>
      </w:r>
      <w:r w:rsidR="008C1B1B" w:rsidRPr="00EC5C25">
        <w:rPr>
          <w:rFonts w:ascii="Times New Roman" w:hAnsi="Times New Roman" w:cs="Times New Roman"/>
          <w:sz w:val="24"/>
          <w:szCs w:val="24"/>
        </w:rPr>
        <w:t>benefit sharing</w:t>
      </w:r>
      <w:r w:rsidRPr="00EC5C25">
        <w:rPr>
          <w:rFonts w:ascii="Times New Roman" w:hAnsi="Times New Roman" w:cs="Times New Roman"/>
          <w:sz w:val="24"/>
          <w:szCs w:val="24"/>
        </w:rPr>
        <w:t>: Ensuring that forest benefits are fairly distributed, including among vulnerable and marginalized groups such as women and the poor, is crucial. Evidence from Cameroon shows persistent equity challenges due to elite capture, insecure tenure, and limited inclusion of women in governance and information flows. CBFRM efforts must address distributive, procedural, and contextual equity to realize the social justice objectives of community forestry (</w:t>
      </w:r>
      <w:proofErr w:type="spellStart"/>
      <w:r w:rsidRPr="00EC5C25">
        <w:rPr>
          <w:rFonts w:ascii="Times New Roman" w:hAnsi="Times New Roman" w:cs="Times New Roman"/>
          <w:sz w:val="24"/>
          <w:szCs w:val="24"/>
        </w:rPr>
        <w:t>Essougong</w:t>
      </w:r>
      <w:proofErr w:type="spellEnd"/>
      <w:r w:rsidRPr="00EC5C25">
        <w:rPr>
          <w:rFonts w:ascii="Times New Roman" w:hAnsi="Times New Roman" w:cs="Times New Roman"/>
          <w:sz w:val="24"/>
          <w:szCs w:val="24"/>
        </w:rPr>
        <w:t xml:space="preserve"> et al., 2019).</w:t>
      </w:r>
    </w:p>
    <w:p w14:paraId="5BA73197" w14:textId="63BDC0B3" w:rsidR="00D75740" w:rsidRPr="00EC5C25" w:rsidRDefault="00D75740" w:rsidP="00D75740">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 xml:space="preserve">Institutional </w:t>
      </w:r>
      <w:r w:rsidR="008C1B1B" w:rsidRPr="00EC5C25">
        <w:rPr>
          <w:rFonts w:ascii="Times New Roman" w:hAnsi="Times New Roman" w:cs="Times New Roman"/>
          <w:sz w:val="24"/>
          <w:szCs w:val="24"/>
        </w:rPr>
        <w:t>robustness and capacity building</w:t>
      </w:r>
      <w:r w:rsidRPr="00EC5C25">
        <w:rPr>
          <w:rFonts w:ascii="Times New Roman" w:hAnsi="Times New Roman" w:cs="Times New Roman"/>
          <w:sz w:val="24"/>
          <w:szCs w:val="24"/>
        </w:rPr>
        <w:t xml:space="preserve">: Effective CBFRM </w:t>
      </w:r>
      <w:proofErr w:type="gramStart"/>
      <w:r w:rsidRPr="00EC5C25">
        <w:rPr>
          <w:rFonts w:ascii="Times New Roman" w:hAnsi="Times New Roman" w:cs="Times New Roman"/>
          <w:sz w:val="24"/>
          <w:szCs w:val="24"/>
        </w:rPr>
        <w:t>requires</w:t>
      </w:r>
      <w:proofErr w:type="gramEnd"/>
      <w:r w:rsidRPr="00EC5C25">
        <w:rPr>
          <w:rFonts w:ascii="Times New Roman" w:hAnsi="Times New Roman" w:cs="Times New Roman"/>
          <w:sz w:val="24"/>
          <w:szCs w:val="24"/>
        </w:rPr>
        <w:t xml:space="preserve"> strong local institutions capable of managing conflicts, enforcing rules, and adapting to changing ecological and social </w:t>
      </w:r>
      <w:r w:rsidRPr="00EC5C25">
        <w:rPr>
          <w:rFonts w:ascii="Times New Roman" w:hAnsi="Times New Roman" w:cs="Times New Roman"/>
          <w:sz w:val="24"/>
          <w:szCs w:val="24"/>
        </w:rPr>
        <w:lastRenderedPageBreak/>
        <w:t>conditions. Building community capacities—financial, technical, and leadership—and forming enabling environments for marginalized groups strengthen governance and equitable outcomes (</w:t>
      </w:r>
      <w:proofErr w:type="spellStart"/>
      <w:r w:rsidRPr="00EC5C25">
        <w:rPr>
          <w:rFonts w:ascii="Times New Roman" w:hAnsi="Times New Roman" w:cs="Times New Roman"/>
          <w:sz w:val="24"/>
          <w:szCs w:val="24"/>
        </w:rPr>
        <w:t>Essougong</w:t>
      </w:r>
      <w:proofErr w:type="spellEnd"/>
      <w:r w:rsidRPr="00EC5C25">
        <w:rPr>
          <w:rFonts w:ascii="Times New Roman" w:hAnsi="Times New Roman" w:cs="Times New Roman"/>
          <w:sz w:val="24"/>
          <w:szCs w:val="24"/>
        </w:rPr>
        <w:t xml:space="preserve"> et al., 2019; Acharya, 2006). Institutional frameworks must also reconcile local approaches with wider legal and political contexts, including negotiating partial transfers of forest rights through co-management systems that sometimes limit community agency (</w:t>
      </w:r>
      <w:proofErr w:type="spellStart"/>
      <w:r w:rsidRPr="00EC5C25">
        <w:rPr>
          <w:rFonts w:ascii="Times New Roman" w:hAnsi="Times New Roman" w:cs="Times New Roman"/>
          <w:sz w:val="24"/>
          <w:szCs w:val="24"/>
        </w:rPr>
        <w:t>Cronkleton</w:t>
      </w:r>
      <w:proofErr w:type="spellEnd"/>
      <w:r w:rsidRPr="00EC5C25">
        <w:rPr>
          <w:rFonts w:ascii="Times New Roman" w:hAnsi="Times New Roman" w:cs="Times New Roman"/>
          <w:sz w:val="24"/>
          <w:szCs w:val="24"/>
        </w:rPr>
        <w:t xml:space="preserve"> et al., 2012).</w:t>
      </w:r>
    </w:p>
    <w:p w14:paraId="38265389" w14:textId="2912E63F" w:rsidR="00D75740" w:rsidRPr="00EC5C25" w:rsidRDefault="00D75740" w:rsidP="00D75740">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 xml:space="preserve">Sustainable </w:t>
      </w:r>
      <w:r w:rsidR="008C1B1B" w:rsidRPr="00EC5C25">
        <w:rPr>
          <w:rFonts w:ascii="Times New Roman" w:hAnsi="Times New Roman" w:cs="Times New Roman"/>
          <w:sz w:val="24"/>
          <w:szCs w:val="24"/>
        </w:rPr>
        <w:t>livelihoods and economic development</w:t>
      </w:r>
      <w:r w:rsidRPr="00EC5C25">
        <w:rPr>
          <w:rFonts w:ascii="Times New Roman" w:hAnsi="Times New Roman" w:cs="Times New Roman"/>
          <w:sz w:val="24"/>
          <w:szCs w:val="24"/>
        </w:rPr>
        <w:t xml:space="preserve">: CBFRM links forest conservation with the goal of achieving sustainable livelihoods. This includes supporting diversified forest-based enterprises, agroforestry, and other forest-relevant economic activities. Programs promoting integrated </w:t>
      </w:r>
      <w:proofErr w:type="spellStart"/>
      <w:r w:rsidRPr="00EC5C25">
        <w:rPr>
          <w:rFonts w:ascii="Times New Roman" w:hAnsi="Times New Roman" w:cs="Times New Roman"/>
          <w:sz w:val="24"/>
          <w:szCs w:val="24"/>
        </w:rPr>
        <w:t>agro-silvopastoral</w:t>
      </w:r>
      <w:proofErr w:type="spellEnd"/>
      <w:r w:rsidRPr="00EC5C25">
        <w:rPr>
          <w:rFonts w:ascii="Times New Roman" w:hAnsi="Times New Roman" w:cs="Times New Roman"/>
          <w:sz w:val="24"/>
          <w:szCs w:val="24"/>
        </w:rPr>
        <w:t xml:space="preserve"> systems enhance rural development and economic resilience by blending forestry, agriculture, and livestock under community stewardship (</w:t>
      </w:r>
      <w:proofErr w:type="spellStart"/>
      <w:r w:rsidRPr="00EC5C25">
        <w:rPr>
          <w:rFonts w:ascii="Times New Roman" w:hAnsi="Times New Roman" w:cs="Times New Roman"/>
          <w:sz w:val="24"/>
          <w:szCs w:val="24"/>
        </w:rPr>
        <w:t>Sunariyo</w:t>
      </w:r>
      <w:proofErr w:type="spellEnd"/>
      <w:r w:rsidRPr="00EC5C25">
        <w:rPr>
          <w:rFonts w:ascii="Times New Roman" w:hAnsi="Times New Roman" w:cs="Times New Roman"/>
          <w:sz w:val="24"/>
          <w:szCs w:val="24"/>
        </w:rPr>
        <w:t xml:space="preserve"> and Firdausi, 2024). Furthermore, community forest enterprises can scale up sustainably through long-term management plans and legal frameworks, although challenges such as access to finance and markets remain barriers (Solís-Mendoza et al., 2024).</w:t>
      </w:r>
    </w:p>
    <w:p w14:paraId="315F74E7" w14:textId="3C9126F5" w:rsidR="00D75740" w:rsidRPr="00EC5C25" w:rsidRDefault="00D75740" w:rsidP="00D75740">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 xml:space="preserve">Adaptive </w:t>
      </w:r>
      <w:r w:rsidR="008C1B1B" w:rsidRPr="00EC5C25">
        <w:rPr>
          <w:rFonts w:ascii="Times New Roman" w:hAnsi="Times New Roman" w:cs="Times New Roman"/>
          <w:sz w:val="24"/>
          <w:szCs w:val="24"/>
        </w:rPr>
        <w:t>governance and co-management</w:t>
      </w:r>
      <w:r w:rsidRPr="00EC5C25">
        <w:rPr>
          <w:rFonts w:ascii="Times New Roman" w:hAnsi="Times New Roman" w:cs="Times New Roman"/>
          <w:sz w:val="24"/>
          <w:szCs w:val="24"/>
        </w:rPr>
        <w:t>: Forest governance must be flexible and responsive, as CBFRM faces complex ecological and social changes. Partial devolution of rights often results in shared responsibilities between communities and states, creating co-management arrangements. While co-management can promote local participation and equitable benefit sharing, it sometimes burdens communities with responsibilities without full rights or benefits, highlighting the need for legal and institutional reforms to enhance community autonomy (</w:t>
      </w:r>
      <w:proofErr w:type="spellStart"/>
      <w:r w:rsidRPr="00EC5C25">
        <w:rPr>
          <w:rFonts w:ascii="Times New Roman" w:hAnsi="Times New Roman" w:cs="Times New Roman"/>
          <w:sz w:val="24"/>
          <w:szCs w:val="24"/>
        </w:rPr>
        <w:t>Cronkleton</w:t>
      </w:r>
      <w:proofErr w:type="spellEnd"/>
      <w:r w:rsidRPr="00EC5C25">
        <w:rPr>
          <w:rFonts w:ascii="Times New Roman" w:hAnsi="Times New Roman" w:cs="Times New Roman"/>
          <w:sz w:val="24"/>
          <w:szCs w:val="24"/>
        </w:rPr>
        <w:t xml:space="preserve"> et al., 2012).</w:t>
      </w:r>
    </w:p>
    <w:p w14:paraId="6011A880" w14:textId="29D11768" w:rsidR="00D75740" w:rsidRPr="00EC5C25" w:rsidRDefault="00D75740" w:rsidP="00EC5C25">
      <w:pPr>
        <w:spacing w:line="360" w:lineRule="auto"/>
        <w:jc w:val="both"/>
        <w:rPr>
          <w:rFonts w:ascii="Times New Roman" w:hAnsi="Times New Roman" w:cs="Times New Roman"/>
          <w:sz w:val="24"/>
          <w:szCs w:val="24"/>
        </w:rPr>
      </w:pPr>
      <w:r w:rsidRPr="00EC5C25">
        <w:rPr>
          <w:rFonts w:ascii="Times New Roman" w:hAnsi="Times New Roman" w:cs="Times New Roman"/>
          <w:sz w:val="24"/>
          <w:szCs w:val="24"/>
        </w:rPr>
        <w:t xml:space="preserve">Integration with </w:t>
      </w:r>
      <w:r w:rsidR="008C1B1B" w:rsidRPr="00EC5C25">
        <w:rPr>
          <w:rFonts w:ascii="Times New Roman" w:hAnsi="Times New Roman" w:cs="Times New Roman"/>
          <w:sz w:val="24"/>
          <w:szCs w:val="24"/>
        </w:rPr>
        <w:t>broader conservation and market processes</w:t>
      </w:r>
      <w:r w:rsidRPr="00EC5C25">
        <w:rPr>
          <w:rFonts w:ascii="Times New Roman" w:hAnsi="Times New Roman" w:cs="Times New Roman"/>
          <w:sz w:val="24"/>
          <w:szCs w:val="24"/>
        </w:rPr>
        <w:t>: CBFRM is increasingly linked to global initiatives such as Forest Stewardship Council (FSC) certification and climate mitigation programs (e.g., REDD+). These connections expand community forestry from strictly local practices into international governance and market systems, requiring adaptation of global standards to local realities and attention to community needs and capacities (</w:t>
      </w:r>
      <w:proofErr w:type="spellStart"/>
      <w:r w:rsidRPr="00EC5C25">
        <w:rPr>
          <w:rFonts w:ascii="Times New Roman" w:hAnsi="Times New Roman" w:cs="Times New Roman"/>
          <w:sz w:val="24"/>
          <w:szCs w:val="24"/>
        </w:rPr>
        <w:t>Wiersum</w:t>
      </w:r>
      <w:proofErr w:type="spellEnd"/>
      <w:r w:rsidRPr="00EC5C25">
        <w:rPr>
          <w:rFonts w:ascii="Times New Roman" w:hAnsi="Times New Roman" w:cs="Times New Roman"/>
          <w:sz w:val="24"/>
          <w:szCs w:val="24"/>
        </w:rPr>
        <w:t xml:space="preserve"> et al., 2011; Poudel et al., 2014).</w:t>
      </w:r>
    </w:p>
    <w:p w14:paraId="06739DC4" w14:textId="7DF24AE6" w:rsidR="0034508E" w:rsidRPr="00BD36C9" w:rsidRDefault="00115EFA"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34508E" w:rsidRPr="00BD36C9">
        <w:rPr>
          <w:rFonts w:ascii="Times New Roman" w:eastAsia="Times New Roman" w:hAnsi="Times New Roman" w:cs="Times New Roman"/>
          <w:b/>
          <w:bCs/>
          <w:sz w:val="24"/>
          <w:szCs w:val="24"/>
        </w:rPr>
        <w:t xml:space="preserve">Global Perspectives on </w:t>
      </w:r>
      <w:r w:rsidR="007F3D73" w:rsidRPr="00BD36C9">
        <w:rPr>
          <w:rFonts w:ascii="Times New Roman" w:eastAsia="Times New Roman" w:hAnsi="Times New Roman" w:cs="Times New Roman"/>
          <w:b/>
          <w:bCs/>
          <w:sz w:val="24"/>
          <w:szCs w:val="24"/>
        </w:rPr>
        <w:t>community-based forest management</w:t>
      </w:r>
    </w:p>
    <w:p w14:paraId="1C781F6E" w14:textId="77777777"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Globally, CBFRM initiatives have been implemented across Asia, Latin America, and Africa with varying outcomes. In Nepal, community forestry programs are widely regarded as successful due </w:t>
      </w:r>
      <w:r w:rsidRPr="00BD36C9">
        <w:rPr>
          <w:rFonts w:ascii="Times New Roman" w:eastAsia="Times New Roman" w:hAnsi="Times New Roman" w:cs="Times New Roman"/>
          <w:sz w:val="24"/>
          <w:szCs w:val="24"/>
        </w:rPr>
        <w:lastRenderedPageBreak/>
        <w:t xml:space="preserve">to strong legal frameworks, secure tenure arrangements, and effective local institutions (Ojha et al., 2016). Similarly, in Mexico, community-managed forests have demonstrated both ecological sustainability and economic viability through collective forest </w:t>
      </w:r>
      <w:r w:rsidR="009119CA" w:rsidRPr="00BD36C9">
        <w:rPr>
          <w:rFonts w:ascii="Times New Roman" w:eastAsia="Times New Roman" w:hAnsi="Times New Roman" w:cs="Times New Roman"/>
          <w:sz w:val="24"/>
          <w:szCs w:val="24"/>
        </w:rPr>
        <w:t>enterprises (Bray et al., 2005)</w:t>
      </w:r>
    </w:p>
    <w:p w14:paraId="3AFD2717" w14:textId="465F2A26" w:rsidR="006B3DAF"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Despite these positive examples, scholars caution that community participation alone does not guarantee successful outcomes. Challenges such as elite capture, internal inequalities, weak enforcement mechanisms, and external market pressures often undermine collective action (Agrawal et al., 2008). Comparative studies emphasize that institutional design and governance capacity are more critical determinants of success than participation per se (Ostrom, 1990).</w:t>
      </w:r>
    </w:p>
    <w:p w14:paraId="73246D05" w14:textId="6D2E3A69" w:rsidR="0034508E" w:rsidRPr="00BD36C9" w:rsidRDefault="00115EFA"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BD36C9">
        <w:rPr>
          <w:rFonts w:ascii="Times New Roman" w:eastAsia="Times New Roman" w:hAnsi="Times New Roman" w:cs="Times New Roman"/>
          <w:b/>
          <w:bCs/>
          <w:sz w:val="24"/>
          <w:szCs w:val="24"/>
        </w:rPr>
        <w:t>Community-</w:t>
      </w:r>
      <w:r>
        <w:rPr>
          <w:rFonts w:ascii="Times New Roman" w:eastAsia="Times New Roman" w:hAnsi="Times New Roman" w:cs="Times New Roman"/>
          <w:b/>
          <w:bCs/>
          <w:sz w:val="24"/>
          <w:szCs w:val="24"/>
        </w:rPr>
        <w:t>b</w:t>
      </w:r>
      <w:r w:rsidRPr="00BD36C9">
        <w:rPr>
          <w:rFonts w:ascii="Times New Roman" w:eastAsia="Times New Roman" w:hAnsi="Times New Roman" w:cs="Times New Roman"/>
          <w:b/>
          <w:bCs/>
          <w:sz w:val="24"/>
          <w:szCs w:val="24"/>
        </w:rPr>
        <w:t xml:space="preserve">ased </w:t>
      </w:r>
      <w:r>
        <w:rPr>
          <w:rFonts w:ascii="Times New Roman" w:eastAsia="Times New Roman" w:hAnsi="Times New Roman" w:cs="Times New Roman"/>
          <w:b/>
          <w:bCs/>
          <w:sz w:val="24"/>
          <w:szCs w:val="24"/>
        </w:rPr>
        <w:t>Forest</w:t>
      </w:r>
      <w:r w:rsidR="007F3D73" w:rsidRPr="00BD36C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w:t>
      </w:r>
      <w:r w:rsidR="007F3D73" w:rsidRPr="00BD36C9">
        <w:rPr>
          <w:rFonts w:ascii="Times New Roman" w:eastAsia="Times New Roman" w:hAnsi="Times New Roman" w:cs="Times New Roman"/>
          <w:b/>
          <w:bCs/>
          <w:sz w:val="24"/>
          <w:szCs w:val="24"/>
        </w:rPr>
        <w:t xml:space="preserve">esource </w:t>
      </w:r>
      <w:r>
        <w:rPr>
          <w:rFonts w:ascii="Times New Roman" w:eastAsia="Times New Roman" w:hAnsi="Times New Roman" w:cs="Times New Roman"/>
          <w:b/>
          <w:bCs/>
          <w:sz w:val="24"/>
          <w:szCs w:val="24"/>
        </w:rPr>
        <w:t>M</w:t>
      </w:r>
      <w:r w:rsidR="007F3D73" w:rsidRPr="00BD36C9">
        <w:rPr>
          <w:rFonts w:ascii="Times New Roman" w:eastAsia="Times New Roman" w:hAnsi="Times New Roman" w:cs="Times New Roman"/>
          <w:b/>
          <w:bCs/>
          <w:sz w:val="24"/>
          <w:szCs w:val="24"/>
        </w:rPr>
        <w:t xml:space="preserve">anagement </w:t>
      </w:r>
      <w:r w:rsidR="0034508E" w:rsidRPr="00BD36C9">
        <w:rPr>
          <w:rFonts w:ascii="Times New Roman" w:eastAsia="Times New Roman" w:hAnsi="Times New Roman" w:cs="Times New Roman"/>
          <w:b/>
          <w:bCs/>
          <w:sz w:val="24"/>
          <w:szCs w:val="24"/>
        </w:rPr>
        <w:t>in Africa</w:t>
      </w:r>
    </w:p>
    <w:p w14:paraId="57776023" w14:textId="77777777"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Africa, CBFRM emerged largely as a response to colonial and post-colonial forest policies that centralized control and marginalized local forest users. Countries such as Tanzania, Kenya, and Uganda have adopted community forestry and joint forest management schemes aimed at devolving authority to local institutions.</w:t>
      </w:r>
    </w:p>
    <w:p w14:paraId="19AFFA5B" w14:textId="77777777"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Empirical studies suggest that CBFRM initiatives in Africa are most effective where communities possess secure tenure rights, strong traditional institutions, and sustained external support (Larson et al., 2023). However, weak state capacity, limited funding, and political interference often constrain the effectiveness of these initiatives. Scholars also highlight the importance of aligning formal governance arrangements with customary institutions, noting that forest governance tends to be more effective where traditional authorities retain legitimacy (Cleaver, 2012).</w:t>
      </w:r>
    </w:p>
    <w:p w14:paraId="0F242E28" w14:textId="265DB9C2" w:rsidR="0034508E" w:rsidRPr="00BD36C9" w:rsidRDefault="00115EFA"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BD36C9">
        <w:rPr>
          <w:rFonts w:ascii="Times New Roman" w:eastAsia="Times New Roman" w:hAnsi="Times New Roman" w:cs="Times New Roman"/>
          <w:b/>
          <w:bCs/>
          <w:sz w:val="24"/>
          <w:szCs w:val="24"/>
        </w:rPr>
        <w:t>Community-</w:t>
      </w:r>
      <w:r>
        <w:rPr>
          <w:rFonts w:ascii="Times New Roman" w:eastAsia="Times New Roman" w:hAnsi="Times New Roman" w:cs="Times New Roman"/>
          <w:b/>
          <w:bCs/>
          <w:sz w:val="24"/>
          <w:szCs w:val="24"/>
        </w:rPr>
        <w:t>b</w:t>
      </w:r>
      <w:r w:rsidRPr="00BD36C9">
        <w:rPr>
          <w:rFonts w:ascii="Times New Roman" w:eastAsia="Times New Roman" w:hAnsi="Times New Roman" w:cs="Times New Roman"/>
          <w:b/>
          <w:bCs/>
          <w:sz w:val="24"/>
          <w:szCs w:val="24"/>
        </w:rPr>
        <w:t xml:space="preserve">ased </w:t>
      </w:r>
      <w:r>
        <w:rPr>
          <w:rFonts w:ascii="Times New Roman" w:eastAsia="Times New Roman" w:hAnsi="Times New Roman" w:cs="Times New Roman"/>
          <w:b/>
          <w:bCs/>
          <w:sz w:val="24"/>
          <w:szCs w:val="24"/>
        </w:rPr>
        <w:t>F</w:t>
      </w:r>
      <w:r w:rsidRPr="00BD36C9">
        <w:rPr>
          <w:rFonts w:ascii="Times New Roman" w:eastAsia="Times New Roman" w:hAnsi="Times New Roman" w:cs="Times New Roman"/>
          <w:b/>
          <w:bCs/>
          <w:sz w:val="24"/>
          <w:szCs w:val="24"/>
        </w:rPr>
        <w:t>orest</w:t>
      </w:r>
      <w:r w:rsidR="007F3D73" w:rsidRPr="00BD36C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w:t>
      </w:r>
      <w:r w:rsidR="007F3D73" w:rsidRPr="00BD36C9">
        <w:rPr>
          <w:rFonts w:ascii="Times New Roman" w:eastAsia="Times New Roman" w:hAnsi="Times New Roman" w:cs="Times New Roman"/>
          <w:b/>
          <w:bCs/>
          <w:sz w:val="24"/>
          <w:szCs w:val="24"/>
        </w:rPr>
        <w:t xml:space="preserve">esource </w:t>
      </w:r>
      <w:r>
        <w:rPr>
          <w:rFonts w:ascii="Times New Roman" w:eastAsia="Times New Roman" w:hAnsi="Times New Roman" w:cs="Times New Roman"/>
          <w:b/>
          <w:bCs/>
          <w:sz w:val="24"/>
          <w:szCs w:val="24"/>
        </w:rPr>
        <w:t>M</w:t>
      </w:r>
      <w:r w:rsidR="007F3D73" w:rsidRPr="00BD36C9">
        <w:rPr>
          <w:rFonts w:ascii="Times New Roman" w:eastAsia="Times New Roman" w:hAnsi="Times New Roman" w:cs="Times New Roman"/>
          <w:b/>
          <w:bCs/>
          <w:sz w:val="24"/>
          <w:szCs w:val="24"/>
        </w:rPr>
        <w:t xml:space="preserve">anagement </w:t>
      </w:r>
      <w:r w:rsidR="0034508E" w:rsidRPr="00BD36C9">
        <w:rPr>
          <w:rFonts w:ascii="Times New Roman" w:eastAsia="Times New Roman" w:hAnsi="Times New Roman" w:cs="Times New Roman"/>
          <w:b/>
          <w:bCs/>
          <w:sz w:val="24"/>
          <w:szCs w:val="24"/>
        </w:rPr>
        <w:t>in Ghana</w:t>
      </w:r>
    </w:p>
    <w:p w14:paraId="7A0B77BD" w14:textId="77777777"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Ghana represents one of the more structured CBFRM contexts in West Africa, largely through the Community Resource Management Area (CREMA) framework. CREMAs are legally recognized community institutions mandated to manage forest and wildlife resources on off-reserve lands (Forestry Commission of Ghana, 2023).</w:t>
      </w:r>
    </w:p>
    <w:p w14:paraId="3DCF8EFA" w14:textId="45EA9998" w:rsidR="0048125F" w:rsidRDefault="000F155C" w:rsidP="00BD36C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Studies</w:t>
      </w:r>
      <w:r w:rsidR="0034508E" w:rsidRP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w:t>
      </w:r>
      <w:proofErr w:type="spellStart"/>
      <w:r w:rsidRPr="00BD36C9">
        <w:rPr>
          <w:rFonts w:ascii="Times New Roman" w:eastAsia="Times New Roman" w:hAnsi="Times New Roman" w:cs="Times New Roman"/>
          <w:sz w:val="24"/>
          <w:szCs w:val="24"/>
        </w:rPr>
        <w:t>Agyare</w:t>
      </w:r>
      <w:proofErr w:type="spellEnd"/>
      <w:r w:rsidRPr="00BD36C9">
        <w:rPr>
          <w:rFonts w:ascii="Times New Roman" w:eastAsia="Times New Roman" w:hAnsi="Times New Roman" w:cs="Times New Roman"/>
          <w:sz w:val="24"/>
          <w:szCs w:val="24"/>
        </w:rPr>
        <w:t xml:space="preserve"> et al., 2020) </w:t>
      </w:r>
      <w:r w:rsidR="0034508E" w:rsidRPr="00BD36C9">
        <w:rPr>
          <w:rFonts w:ascii="Times New Roman" w:eastAsia="Times New Roman" w:hAnsi="Times New Roman" w:cs="Times New Roman"/>
          <w:sz w:val="24"/>
          <w:szCs w:val="24"/>
        </w:rPr>
        <w:t>indicates that CREMAs have contributed to improved conservation outcomes, livelihood diversification, and community empowerment in some areas</w:t>
      </w:r>
      <w:r>
        <w:rPr>
          <w:rFonts w:ascii="Times New Roman" w:eastAsia="Times New Roman" w:hAnsi="Times New Roman" w:cs="Times New Roman"/>
          <w:sz w:val="24"/>
          <w:szCs w:val="24"/>
        </w:rPr>
        <w:t>.</w:t>
      </w:r>
      <w:r w:rsidR="0034508E" w:rsidRPr="00BD36C9">
        <w:rPr>
          <w:rFonts w:ascii="Times New Roman" w:eastAsia="Times New Roman" w:hAnsi="Times New Roman" w:cs="Times New Roman"/>
          <w:sz w:val="24"/>
          <w:szCs w:val="24"/>
        </w:rPr>
        <w:t xml:space="preserve"> Nonetheless, </w:t>
      </w:r>
      <w:r w:rsidR="0034508E" w:rsidRPr="00BD36C9">
        <w:rPr>
          <w:rFonts w:ascii="Times New Roman" w:eastAsia="Times New Roman" w:hAnsi="Times New Roman" w:cs="Times New Roman"/>
          <w:sz w:val="24"/>
          <w:szCs w:val="24"/>
        </w:rPr>
        <w:lastRenderedPageBreak/>
        <w:t>performance remains uneven, with challenges including financial sustainability, weak enforcement, and limited participation by women and youth (</w:t>
      </w:r>
      <w:proofErr w:type="spellStart"/>
      <w:r w:rsidR="0034508E" w:rsidRPr="00BD36C9">
        <w:rPr>
          <w:rFonts w:ascii="Times New Roman" w:eastAsia="Times New Roman" w:hAnsi="Times New Roman" w:cs="Times New Roman"/>
          <w:sz w:val="24"/>
          <w:szCs w:val="24"/>
        </w:rPr>
        <w:t>Mawutor</w:t>
      </w:r>
      <w:proofErr w:type="spellEnd"/>
      <w:r w:rsidR="0034508E" w:rsidRPr="00BD36C9">
        <w:rPr>
          <w:rFonts w:ascii="Times New Roman" w:eastAsia="Times New Roman" w:hAnsi="Times New Roman" w:cs="Times New Roman"/>
          <w:sz w:val="24"/>
          <w:szCs w:val="24"/>
        </w:rPr>
        <w:t xml:space="preserve"> &amp; Hajjar, 2022). Recent legal reforms, particularly the Wildlife Resources Management Act, 2024 (Act 1115), have strengthened the statutory basis for community forestry. However, scholars argue that legal recognition must be complemented by institutional capacity building and equitable benefit-sharing mechanisms to achieve meaningful outcomes (World Bank, 2024).</w:t>
      </w:r>
    </w:p>
    <w:p w14:paraId="2DD38D7C" w14:textId="39529143" w:rsidR="0034508E" w:rsidRPr="00BD36C9" w:rsidRDefault="00115EFA" w:rsidP="00BD36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34508E" w:rsidRPr="00BD36C9">
        <w:rPr>
          <w:rFonts w:ascii="Times New Roman" w:eastAsia="Times New Roman" w:hAnsi="Times New Roman" w:cs="Times New Roman"/>
          <w:b/>
          <w:bCs/>
          <w:sz w:val="24"/>
          <w:szCs w:val="24"/>
        </w:rPr>
        <w:t xml:space="preserve">Role of </w:t>
      </w:r>
      <w:r w:rsidR="007F3D73" w:rsidRPr="00BD36C9">
        <w:rPr>
          <w:rFonts w:ascii="Times New Roman" w:eastAsia="Times New Roman" w:hAnsi="Times New Roman" w:cs="Times New Roman"/>
          <w:b/>
          <w:bCs/>
          <w:sz w:val="24"/>
          <w:szCs w:val="24"/>
        </w:rPr>
        <w:t>traditional institutions and indigenous knowledge</w:t>
      </w:r>
    </w:p>
    <w:p w14:paraId="27E79E39" w14:textId="77777777" w:rsidR="0034508E" w:rsidRPr="00BD36C9" w:rsidRDefault="0034508E"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Traditional institutions such as chieftaincies, councils o</w:t>
      </w:r>
      <w:r w:rsidR="00AD2315" w:rsidRPr="00BD36C9">
        <w:rPr>
          <w:rFonts w:ascii="Times New Roman" w:eastAsia="Times New Roman" w:hAnsi="Times New Roman" w:cs="Times New Roman"/>
          <w:sz w:val="24"/>
          <w:szCs w:val="24"/>
        </w:rPr>
        <w:t xml:space="preserve">f elders, and customary norms </w:t>
      </w:r>
      <w:r w:rsidRPr="00BD36C9">
        <w:rPr>
          <w:rFonts w:ascii="Times New Roman" w:eastAsia="Times New Roman" w:hAnsi="Times New Roman" w:cs="Times New Roman"/>
          <w:sz w:val="24"/>
          <w:szCs w:val="24"/>
        </w:rPr>
        <w:t>play a central role in forest governance in many Ghanaian communities. These institutions regulate access to forest resources, enforce sanctions, and embed conservation practices within culturally grounded belief systems (Yahaya, 2016).</w:t>
      </w:r>
    </w:p>
    <w:p w14:paraId="518B9935" w14:textId="5EACDDF7" w:rsidR="006E1127" w:rsidRPr="0048125F" w:rsidRDefault="0034508E" w:rsidP="0048125F">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Practices such as sacred groves, taboos, and seasonal restrictions often function as informal yet effective conservation mechanisms. Empirical studies in Ghana demonstrate that sacred groves are frequently preserved through culturally enforced prohibitions on tree felling, farming, and hunting, thereby contributing to biodiversity conservation (Sarfo-Mensah et al., 2010; Sarfo-</w:t>
      </w:r>
      <w:proofErr w:type="spellStart"/>
      <w:r w:rsidRPr="00BD36C9">
        <w:rPr>
          <w:rFonts w:ascii="Times New Roman" w:eastAsia="Times New Roman" w:hAnsi="Times New Roman" w:cs="Times New Roman"/>
          <w:sz w:val="24"/>
          <w:szCs w:val="24"/>
        </w:rPr>
        <w:t>Adu</w:t>
      </w:r>
      <w:proofErr w:type="spellEnd"/>
      <w:r w:rsidRPr="00BD36C9">
        <w:rPr>
          <w:rFonts w:ascii="Times New Roman" w:eastAsia="Times New Roman" w:hAnsi="Times New Roman" w:cs="Times New Roman"/>
          <w:sz w:val="24"/>
          <w:szCs w:val="24"/>
        </w:rPr>
        <w:t xml:space="preserve"> et al., 2022). However, the effectiveness of these institutions varies across communities. Modernization, weakening kinship ties, and declining respect for traditional authority have eroded compliance in some areas, leading to increased pressure on forest resources (Forest Policy and Economics, 2017).</w:t>
      </w:r>
    </w:p>
    <w:p w14:paraId="738170E0" w14:textId="3141ABA4" w:rsidR="0034508E" w:rsidRPr="00BD36C9" w:rsidRDefault="00115EFA"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34508E" w:rsidRPr="00BD36C9">
        <w:rPr>
          <w:rFonts w:ascii="Times New Roman" w:eastAsia="Times New Roman" w:hAnsi="Times New Roman" w:cs="Times New Roman"/>
          <w:b/>
          <w:bCs/>
          <w:sz w:val="24"/>
          <w:szCs w:val="24"/>
        </w:rPr>
        <w:t xml:space="preserve">Theoretical </w:t>
      </w:r>
      <w:r>
        <w:rPr>
          <w:rFonts w:ascii="Times New Roman" w:eastAsia="Times New Roman" w:hAnsi="Times New Roman" w:cs="Times New Roman"/>
          <w:b/>
          <w:bCs/>
          <w:sz w:val="24"/>
          <w:szCs w:val="24"/>
        </w:rPr>
        <w:t>U</w:t>
      </w:r>
      <w:r w:rsidR="0038306C">
        <w:rPr>
          <w:rFonts w:ascii="Times New Roman" w:eastAsia="Times New Roman" w:hAnsi="Times New Roman" w:cs="Times New Roman"/>
          <w:b/>
          <w:bCs/>
          <w:sz w:val="24"/>
          <w:szCs w:val="24"/>
        </w:rPr>
        <w:t>nderpinning</w:t>
      </w:r>
    </w:p>
    <w:p w14:paraId="5D6ABBED" w14:textId="28CC4212" w:rsidR="006E1127" w:rsidRPr="00BD36C9" w:rsidRDefault="0034508E" w:rsidP="0048125F">
      <w:pPr>
        <w:spacing w:after="0"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study is anchored in Common Property Theory (CPT) and Comparative Institutionalism, which together provide a robust analytical framework for examining and comparing community-based forest resource management strategies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w:t>
      </w:r>
    </w:p>
    <w:p w14:paraId="62B84BF6" w14:textId="77777777" w:rsidR="0034508E" w:rsidRPr="00BD36C9" w:rsidRDefault="0034508E" w:rsidP="0048125F">
      <w:pPr>
        <w:spacing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CPT, most notably articulated by Ostrom (1990), challenges the notion that common-pool resources are inevitably degraded. Instead, it demonstrates that communities can sustainably manage shared resources when appropriate institutional arrangements are in place. Ostrom identified several design principles associated with successful common property regimes, including clearly defined boundaries, collective-choice arrangements, effective monitoring, </w:t>
      </w:r>
      <w:r w:rsidRPr="00BD36C9">
        <w:rPr>
          <w:rFonts w:ascii="Times New Roman" w:eastAsia="Times New Roman" w:hAnsi="Times New Roman" w:cs="Times New Roman"/>
          <w:sz w:val="24"/>
          <w:szCs w:val="24"/>
        </w:rPr>
        <w:lastRenderedPageBreak/>
        <w:t>graduated sanctions, conflict-resolution mechanisms, and recognition of local rights by external authorities (Ostrom, 1990; Ostrom et al., 1994).</w:t>
      </w:r>
    </w:p>
    <w:p w14:paraId="66D2C4BB" w14:textId="3236AC71" w:rsidR="004666AB" w:rsidRPr="0048125F" w:rsidRDefault="0034508E" w:rsidP="0048125F">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While CPT emphasizes internal community governance, Comparative Institutionalism extends the analysis by focusing on how institutional diversity, historical trajectories, and governance structures shape outcomes across contexts (Hall &amp; Taylor, 1996; North, 1990). This perspective is particularly relevant to the present study, as it facilitates a systematic comparison of forest management strategies in communities operating under similar ecological and policy conditions but with differing local institutions.</w:t>
      </w:r>
    </w:p>
    <w:p w14:paraId="3ED229A7" w14:textId="40D77201" w:rsidR="0034508E" w:rsidRPr="00BD36C9" w:rsidRDefault="00115EFA"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38306C">
        <w:rPr>
          <w:rFonts w:ascii="Times New Roman" w:eastAsia="Times New Roman" w:hAnsi="Times New Roman" w:cs="Times New Roman"/>
          <w:b/>
          <w:bCs/>
          <w:sz w:val="24"/>
          <w:szCs w:val="24"/>
        </w:rPr>
        <w:t xml:space="preserve">Materials and </w:t>
      </w:r>
      <w:r w:rsidR="0034508E" w:rsidRPr="00BD36C9">
        <w:rPr>
          <w:rFonts w:ascii="Times New Roman" w:eastAsia="Times New Roman" w:hAnsi="Times New Roman" w:cs="Times New Roman"/>
          <w:b/>
          <w:bCs/>
          <w:sz w:val="24"/>
          <w:szCs w:val="24"/>
        </w:rPr>
        <w:t>Method</w:t>
      </w:r>
      <w:r w:rsidR="0038306C">
        <w:rPr>
          <w:rFonts w:ascii="Times New Roman" w:eastAsia="Times New Roman" w:hAnsi="Times New Roman" w:cs="Times New Roman"/>
          <w:b/>
          <w:bCs/>
          <w:sz w:val="24"/>
          <w:szCs w:val="24"/>
        </w:rPr>
        <w:t>s</w:t>
      </w:r>
    </w:p>
    <w:p w14:paraId="286A0969" w14:textId="1716909C" w:rsidR="0034508E" w:rsidRPr="00BD36C9" w:rsidRDefault="00115EFA"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0231D">
        <w:rPr>
          <w:rFonts w:ascii="Times New Roman" w:eastAsia="Times New Roman" w:hAnsi="Times New Roman" w:cs="Times New Roman"/>
          <w:b/>
          <w:bCs/>
          <w:sz w:val="24"/>
          <w:szCs w:val="24"/>
        </w:rPr>
        <w:t xml:space="preserve">Description of </w:t>
      </w:r>
      <w:r w:rsidR="00636FFC">
        <w:rPr>
          <w:rFonts w:ascii="Times New Roman" w:eastAsia="Times New Roman" w:hAnsi="Times New Roman" w:cs="Times New Roman"/>
          <w:b/>
          <w:bCs/>
          <w:sz w:val="24"/>
          <w:szCs w:val="24"/>
        </w:rPr>
        <w:t>S</w:t>
      </w:r>
      <w:r w:rsidR="0034508E" w:rsidRPr="00BD36C9">
        <w:rPr>
          <w:rFonts w:ascii="Times New Roman" w:eastAsia="Times New Roman" w:hAnsi="Times New Roman" w:cs="Times New Roman"/>
          <w:b/>
          <w:bCs/>
          <w:sz w:val="24"/>
          <w:szCs w:val="24"/>
        </w:rPr>
        <w:t xml:space="preserve">tudy </w:t>
      </w:r>
      <w:r w:rsidR="00636FFC">
        <w:rPr>
          <w:rFonts w:ascii="Times New Roman" w:eastAsia="Times New Roman" w:hAnsi="Times New Roman" w:cs="Times New Roman"/>
          <w:b/>
          <w:bCs/>
          <w:sz w:val="24"/>
          <w:szCs w:val="24"/>
        </w:rPr>
        <w:t>A</w:t>
      </w:r>
      <w:r w:rsidR="0034508E" w:rsidRPr="00BD36C9">
        <w:rPr>
          <w:rFonts w:ascii="Times New Roman" w:eastAsia="Times New Roman" w:hAnsi="Times New Roman" w:cs="Times New Roman"/>
          <w:b/>
          <w:bCs/>
          <w:sz w:val="24"/>
          <w:szCs w:val="24"/>
        </w:rPr>
        <w:t>rea</w:t>
      </w:r>
    </w:p>
    <w:p w14:paraId="7DB1C314" w14:textId="77777777" w:rsidR="00D446BE" w:rsidRPr="00396252" w:rsidRDefault="00D446BE" w:rsidP="00D446BE">
      <w:pPr>
        <w:pStyle w:val="NormalWeb"/>
        <w:spacing w:line="360" w:lineRule="auto"/>
        <w:jc w:val="both"/>
      </w:pPr>
      <w:r w:rsidRPr="00396252">
        <w:t xml:space="preserve">The study was conducted in the </w:t>
      </w:r>
      <w:proofErr w:type="spellStart"/>
      <w:r w:rsidRPr="00396252">
        <w:t>Oti</w:t>
      </w:r>
      <w:proofErr w:type="spellEnd"/>
      <w:r w:rsidRPr="00396252">
        <w:t xml:space="preserve"> Region of Ghana, focusing on two forest-dependent communities: the </w:t>
      </w:r>
      <w:proofErr w:type="spellStart"/>
      <w:r w:rsidRPr="00396252">
        <w:t>Nchumuru</w:t>
      </w:r>
      <w:proofErr w:type="spellEnd"/>
      <w:r w:rsidRPr="00396252">
        <w:t xml:space="preserve"> and Adele communities. These areas were selected based on their ecological similarities, shared exposure to national forest management policies, and distinct socio-institutional contexts, which make them suitable for a comparative analysis of Community-Based Forest Resource Management (CBFRM).</w:t>
      </w:r>
    </w:p>
    <w:p w14:paraId="2795DEC9" w14:textId="77777777" w:rsidR="00D446BE" w:rsidRPr="00396252" w:rsidRDefault="00D446BE" w:rsidP="00D446BE">
      <w:pPr>
        <w:spacing w:before="100" w:beforeAutospacing="1" w:after="100" w:afterAutospacing="1" w:line="360" w:lineRule="auto"/>
        <w:jc w:val="both"/>
        <w:rPr>
          <w:rFonts w:ascii="Times New Roman" w:eastAsia="Times New Roman" w:hAnsi="Times New Roman" w:cs="Times New Roman"/>
          <w:sz w:val="24"/>
          <w:szCs w:val="24"/>
        </w:rPr>
      </w:pPr>
      <w:r w:rsidRPr="00396252">
        <w:rPr>
          <w:rFonts w:ascii="Times New Roman" w:eastAsia="Times New Roman" w:hAnsi="Times New Roman" w:cs="Times New Roman"/>
          <w:sz w:val="24"/>
          <w:szCs w:val="24"/>
        </w:rPr>
        <w:t xml:space="preserve">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communities</w:t>
      </w:r>
      <w:r>
        <w:rPr>
          <w:rFonts w:ascii="Times New Roman" w:eastAsia="Times New Roman" w:hAnsi="Times New Roman" w:cs="Times New Roman"/>
          <w:sz w:val="24"/>
          <w:szCs w:val="24"/>
        </w:rPr>
        <w:t xml:space="preserve"> (Banda, </w:t>
      </w:r>
      <w:proofErr w:type="spellStart"/>
      <w:r>
        <w:rPr>
          <w:rFonts w:ascii="Times New Roman" w:eastAsia="Times New Roman" w:hAnsi="Times New Roman" w:cs="Times New Roman"/>
          <w:sz w:val="24"/>
          <w:szCs w:val="24"/>
        </w:rPr>
        <w:t>Borae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Anyabor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Chamba</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geographically situated across two administrative jurisdictions: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District and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Municipality.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spans an estimated 2,393 square kilometers, while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covers approximately 4,402 square kilometers, making it one of the largest municipalities in the </w:t>
      </w:r>
      <w:proofErr w:type="spellStart"/>
      <w:r w:rsidRPr="00396252">
        <w:rPr>
          <w:rFonts w:ascii="Times New Roman" w:eastAsia="Times New Roman" w:hAnsi="Times New Roman" w:cs="Times New Roman"/>
          <w:sz w:val="24"/>
          <w:szCs w:val="24"/>
        </w:rPr>
        <w:t>Oti</w:t>
      </w:r>
      <w:proofErr w:type="spellEnd"/>
      <w:r w:rsidRPr="00396252">
        <w:rPr>
          <w:rFonts w:ascii="Times New Roman" w:eastAsia="Times New Roman" w:hAnsi="Times New Roman" w:cs="Times New Roman"/>
          <w:sz w:val="24"/>
          <w:szCs w:val="24"/>
        </w:rPr>
        <w:t xml:space="preserve"> Region. These areas are predominantly rural, and agriculture is the principal livelihood activity. The presence of the Volta Lake along the western and southern boundaries further supports fishing and irrigation farming. The terrain is largely flat and conducive for staple crops such as yam and maize. According to the Ghana Statistical Service (2021), more than 80% of households in this region rely on agriculture as their primary source of income.</w:t>
      </w:r>
    </w:p>
    <w:p w14:paraId="1FBB4644" w14:textId="5E4DC236" w:rsidR="00CE61EB" w:rsidRDefault="00D446BE" w:rsidP="00CE61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Adele communities (Ofosu, </w:t>
      </w:r>
      <w:proofErr w:type="spellStart"/>
      <w:r>
        <w:rPr>
          <w:rFonts w:ascii="Times New Roman" w:eastAsia="Times New Roman" w:hAnsi="Times New Roman" w:cs="Times New Roman"/>
          <w:sz w:val="24"/>
          <w:szCs w:val="24"/>
        </w:rPr>
        <w:t>Totokpene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Kachebi</w:t>
      </w:r>
      <w:proofErr w:type="spellEnd"/>
      <w:r>
        <w:rPr>
          <w:rFonts w:ascii="Times New Roman" w:eastAsia="Times New Roman" w:hAnsi="Times New Roman" w:cs="Times New Roman"/>
          <w:sz w:val="24"/>
          <w:szCs w:val="24"/>
        </w:rPr>
        <w:t>)</w:t>
      </w:r>
      <w:r w:rsidRPr="00396252">
        <w:rPr>
          <w:rFonts w:ascii="Times New Roman" w:eastAsia="Times New Roman" w:hAnsi="Times New Roman" w:cs="Times New Roman"/>
          <w:sz w:val="24"/>
          <w:szCs w:val="24"/>
        </w:rPr>
        <w:t xml:space="preserve"> are located in Nkwanta South Municipality, which occupies about 2,706 square kilometers. It is bordered to the south by the Volta Region and to the west by </w:t>
      </w:r>
      <w:proofErr w:type="spellStart"/>
      <w:r w:rsidRPr="00396252">
        <w:rPr>
          <w:rFonts w:ascii="Times New Roman" w:eastAsia="Times New Roman" w:hAnsi="Times New Roman" w:cs="Times New Roman"/>
          <w:sz w:val="24"/>
          <w:szCs w:val="24"/>
        </w:rPr>
        <w:t>Krachi</w:t>
      </w:r>
      <w:proofErr w:type="spellEnd"/>
      <w:r w:rsidRPr="00396252">
        <w:rPr>
          <w:rFonts w:ascii="Times New Roman" w:eastAsia="Times New Roman" w:hAnsi="Times New Roman" w:cs="Times New Roman"/>
          <w:sz w:val="24"/>
          <w:szCs w:val="24"/>
        </w:rPr>
        <w:t xml:space="preserve"> East. The municipality is characterized by a mix of </w:t>
      </w:r>
      <w:r w:rsidRPr="00396252">
        <w:rPr>
          <w:rFonts w:ascii="Times New Roman" w:eastAsia="Times New Roman" w:hAnsi="Times New Roman" w:cs="Times New Roman"/>
          <w:sz w:val="24"/>
          <w:szCs w:val="24"/>
        </w:rPr>
        <w:lastRenderedPageBreak/>
        <w:t>savannah and semi-deciduous forest, hilly terrain, and dispersed rural settlements. Agriculture also dominates local livelihoods, with a focus on crops such as yam, cassava, and maize.</w:t>
      </w:r>
      <w:r w:rsidR="00CC1F05">
        <w:rPr>
          <w:rFonts w:ascii="Times New Roman" w:eastAsia="Times New Roman" w:hAnsi="Times New Roman" w:cs="Times New Roman"/>
          <w:sz w:val="24"/>
          <w:szCs w:val="24"/>
        </w:rPr>
        <w:t xml:space="preserve"> </w:t>
      </w:r>
      <w:r w:rsidR="005A3912" w:rsidRPr="00BD36C9">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w:t>
      </w:r>
      <w:r w:rsidR="005A3912">
        <w:rPr>
          <w:rFonts w:ascii="Times New Roman" w:eastAsia="Times New Roman" w:hAnsi="Times New Roman" w:cs="Times New Roman"/>
          <w:sz w:val="24"/>
          <w:szCs w:val="24"/>
        </w:rPr>
        <w:t xml:space="preserve"> </w:t>
      </w:r>
      <w:r w:rsidRPr="00396252">
        <w:rPr>
          <w:rFonts w:ascii="Times New Roman" w:eastAsia="Times New Roman" w:hAnsi="Times New Roman" w:cs="Times New Roman"/>
          <w:sz w:val="24"/>
          <w:szCs w:val="24"/>
        </w:rPr>
        <w:t xml:space="preserve">Despite being under the same national forest policy regime and situated within the same ecological zone,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and Adele communities exhibit markedly different forest governance outcomes. The </w:t>
      </w:r>
      <w:proofErr w:type="spellStart"/>
      <w:r w:rsidRPr="00396252">
        <w:rPr>
          <w:rFonts w:ascii="Times New Roman" w:eastAsia="Times New Roman" w:hAnsi="Times New Roman" w:cs="Times New Roman"/>
          <w:sz w:val="24"/>
          <w:szCs w:val="24"/>
        </w:rPr>
        <w:t>Nchumuru</w:t>
      </w:r>
      <w:proofErr w:type="spellEnd"/>
      <w:r w:rsidRPr="00396252">
        <w:rPr>
          <w:rFonts w:ascii="Times New Roman" w:eastAsia="Times New Roman" w:hAnsi="Times New Roman" w:cs="Times New Roman"/>
          <w:sz w:val="24"/>
          <w:szCs w:val="24"/>
        </w:rPr>
        <w:t xml:space="preserve"> area demonstrates relative success in preserving forest cover, while the Adele community faces severe environmental degradation. These distinctions are rooted in differences in traditional leadership structures, community cohesion, institutional support, and external partnerships.</w:t>
      </w:r>
      <w:r w:rsidR="00CE61EB">
        <w:rPr>
          <w:rFonts w:ascii="Times New Roman" w:eastAsia="Times New Roman" w:hAnsi="Times New Roman" w:cs="Times New Roman"/>
          <w:sz w:val="24"/>
          <w:szCs w:val="24"/>
        </w:rPr>
        <w:t xml:space="preserve"> </w:t>
      </w:r>
    </w:p>
    <w:p w14:paraId="3A659BEA" w14:textId="7380654E" w:rsidR="00CE61EB" w:rsidRDefault="00CE61EB" w:rsidP="00CE61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shows the map of the study areas.</w:t>
      </w:r>
    </w:p>
    <w:p w14:paraId="6F78AFB7" w14:textId="12E0AB76" w:rsidR="00CE61EB" w:rsidRDefault="00CE61EB" w:rsidP="00CE61E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D5458A" wp14:editId="009FF0AC">
            <wp:extent cx="5913755" cy="4596765"/>
            <wp:effectExtent l="0" t="0" r="0" b="0"/>
            <wp:docPr id="5587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3755" cy="4596765"/>
                    </a:xfrm>
                    <a:prstGeom prst="rect">
                      <a:avLst/>
                    </a:prstGeom>
                    <a:noFill/>
                  </pic:spPr>
                </pic:pic>
              </a:graphicData>
            </a:graphic>
          </wp:inline>
        </w:drawing>
      </w:r>
    </w:p>
    <w:p w14:paraId="5D22B9AA" w14:textId="77506C87" w:rsidR="00CE61EB" w:rsidRPr="00396252" w:rsidRDefault="00CE61EB" w:rsidP="00CE61EB">
      <w:pPr>
        <w:pStyle w:val="Caption"/>
        <w:rPr>
          <w:rFonts w:eastAsia="Calibri"/>
          <w:b w:val="0"/>
          <w:bCs w:val="0"/>
          <w:shd w:val="clear" w:color="auto" w:fill="FFFFFF"/>
        </w:rPr>
      </w:pPr>
      <w:bookmarkStart w:id="0" w:name="_Toc206959598"/>
      <w:r>
        <w:t xml:space="preserve">Figure </w:t>
      </w:r>
      <w:fldSimple w:instr=" SEQ Figure_3. \* ARABIC ">
        <w:r>
          <w:rPr>
            <w:noProof/>
          </w:rPr>
          <w:t>1</w:t>
        </w:r>
      </w:fldSimple>
      <w:r w:rsidRPr="00396252">
        <w:t xml:space="preserve">: </w:t>
      </w:r>
      <w:r w:rsidRPr="00396252">
        <w:rPr>
          <w:rFonts w:eastAsia="Calibri"/>
          <w:shd w:val="clear" w:color="auto" w:fill="FFFFFF"/>
        </w:rPr>
        <w:t xml:space="preserve">Map of </w:t>
      </w:r>
      <w:proofErr w:type="spellStart"/>
      <w:r w:rsidRPr="00396252">
        <w:rPr>
          <w:rFonts w:eastAsia="Calibri"/>
          <w:shd w:val="clear" w:color="auto" w:fill="FFFFFF"/>
        </w:rPr>
        <w:t>Oti</w:t>
      </w:r>
      <w:proofErr w:type="spellEnd"/>
      <w:r w:rsidRPr="00396252">
        <w:rPr>
          <w:rFonts w:eastAsia="Calibri"/>
          <w:shd w:val="clear" w:color="auto" w:fill="FFFFFF"/>
        </w:rPr>
        <w:t xml:space="preserve"> Region with Selected Municipalities Showing the Study Communities</w:t>
      </w:r>
      <w:bookmarkEnd w:id="0"/>
    </w:p>
    <w:p w14:paraId="16F6C64C" w14:textId="1BA83BA6" w:rsidR="00CE61EB" w:rsidRPr="00EC5C25" w:rsidRDefault="00CE61EB" w:rsidP="00EC5C25">
      <w:pPr>
        <w:spacing w:before="240" w:after="240" w:line="360" w:lineRule="auto"/>
        <w:jc w:val="both"/>
        <w:rPr>
          <w:rFonts w:ascii="Times New Roman" w:eastAsia="Calibri" w:hAnsi="Times New Roman" w:cs="Times New Roman"/>
          <w:b/>
          <w:bCs/>
          <w:sz w:val="24"/>
          <w:szCs w:val="24"/>
          <w:shd w:val="clear" w:color="auto" w:fill="FFFFFF"/>
        </w:rPr>
      </w:pPr>
      <w:r w:rsidRPr="00396252">
        <w:rPr>
          <w:rFonts w:ascii="Times New Roman" w:eastAsia="Calibri" w:hAnsi="Times New Roman" w:cs="Times New Roman"/>
          <w:b/>
          <w:bCs/>
          <w:sz w:val="24"/>
          <w:szCs w:val="24"/>
          <w:shd w:val="clear" w:color="auto" w:fill="FFFFFF"/>
        </w:rPr>
        <w:t>Source: Author’s Construct, 202</w:t>
      </w:r>
      <w:r w:rsidR="008E2C3B">
        <w:rPr>
          <w:rFonts w:ascii="Times New Roman" w:eastAsia="Calibri" w:hAnsi="Times New Roman" w:cs="Times New Roman"/>
          <w:b/>
          <w:bCs/>
          <w:sz w:val="24"/>
          <w:szCs w:val="24"/>
          <w:shd w:val="clear" w:color="auto" w:fill="FFFFFF"/>
        </w:rPr>
        <w:t>6</w:t>
      </w:r>
    </w:p>
    <w:p w14:paraId="6B00C517" w14:textId="58DDA68C" w:rsidR="0034508E" w:rsidRPr="00BD36C9" w:rsidRDefault="00115EFA"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34508E" w:rsidRPr="00BD36C9">
        <w:rPr>
          <w:rFonts w:ascii="Times New Roman" w:eastAsia="Times New Roman" w:hAnsi="Times New Roman" w:cs="Times New Roman"/>
          <w:b/>
          <w:bCs/>
          <w:sz w:val="24"/>
          <w:szCs w:val="24"/>
        </w:rPr>
        <w:t xml:space="preserve">Research </w:t>
      </w:r>
      <w:r w:rsidR="00636FFC">
        <w:rPr>
          <w:rFonts w:ascii="Times New Roman" w:eastAsia="Times New Roman" w:hAnsi="Times New Roman" w:cs="Times New Roman"/>
          <w:b/>
          <w:bCs/>
          <w:sz w:val="24"/>
          <w:szCs w:val="24"/>
        </w:rPr>
        <w:t>D</w:t>
      </w:r>
      <w:r w:rsidR="0034508E" w:rsidRPr="00BD36C9">
        <w:rPr>
          <w:rFonts w:ascii="Times New Roman" w:eastAsia="Times New Roman" w:hAnsi="Times New Roman" w:cs="Times New Roman"/>
          <w:b/>
          <w:bCs/>
          <w:sz w:val="24"/>
          <w:szCs w:val="24"/>
        </w:rPr>
        <w:t>esign a</w:t>
      </w:r>
      <w:r w:rsidR="00F0231D">
        <w:rPr>
          <w:rFonts w:ascii="Times New Roman" w:eastAsia="Times New Roman" w:hAnsi="Times New Roman" w:cs="Times New Roman"/>
          <w:b/>
          <w:bCs/>
          <w:sz w:val="24"/>
          <w:szCs w:val="24"/>
        </w:rPr>
        <w:t xml:space="preserve">nd </w:t>
      </w:r>
      <w:r w:rsidR="00636FFC">
        <w:rPr>
          <w:rFonts w:ascii="Times New Roman" w:eastAsia="Times New Roman" w:hAnsi="Times New Roman" w:cs="Times New Roman"/>
          <w:b/>
          <w:bCs/>
          <w:sz w:val="24"/>
          <w:szCs w:val="24"/>
        </w:rPr>
        <w:t>S</w:t>
      </w:r>
      <w:r w:rsidR="00F0231D">
        <w:rPr>
          <w:rFonts w:ascii="Times New Roman" w:eastAsia="Times New Roman" w:hAnsi="Times New Roman" w:cs="Times New Roman"/>
          <w:b/>
          <w:bCs/>
          <w:sz w:val="24"/>
          <w:szCs w:val="24"/>
        </w:rPr>
        <w:t>ampling</w:t>
      </w:r>
      <w:r w:rsidR="008E2C3B">
        <w:rPr>
          <w:rFonts w:ascii="Times New Roman" w:eastAsia="Times New Roman" w:hAnsi="Times New Roman" w:cs="Times New Roman"/>
          <w:b/>
          <w:bCs/>
          <w:sz w:val="24"/>
          <w:szCs w:val="24"/>
        </w:rPr>
        <w:t xml:space="preserve"> </w:t>
      </w:r>
      <w:r w:rsidR="00636FFC">
        <w:rPr>
          <w:rFonts w:ascii="Times New Roman" w:eastAsia="Times New Roman" w:hAnsi="Times New Roman" w:cs="Times New Roman"/>
          <w:b/>
          <w:bCs/>
          <w:sz w:val="24"/>
          <w:szCs w:val="24"/>
        </w:rPr>
        <w:t>T</w:t>
      </w:r>
      <w:r w:rsidR="008E2C3B">
        <w:rPr>
          <w:rFonts w:ascii="Times New Roman" w:eastAsia="Times New Roman" w:hAnsi="Times New Roman" w:cs="Times New Roman"/>
          <w:b/>
          <w:bCs/>
          <w:sz w:val="24"/>
          <w:szCs w:val="24"/>
        </w:rPr>
        <w:t>echniques</w:t>
      </w:r>
    </w:p>
    <w:p w14:paraId="29BBADE2" w14:textId="5D4AF7C5" w:rsidR="00E07B13" w:rsidRDefault="00F0231D" w:rsidP="00EC5C25">
      <w:pPr>
        <w:pStyle w:val="NormalWeb"/>
        <w:spacing w:before="0" w:beforeAutospacing="0" w:after="0" w:afterAutospacing="0" w:line="360" w:lineRule="auto"/>
        <w:jc w:val="both"/>
      </w:pPr>
      <w:r w:rsidRPr="00BD36C9">
        <w:t xml:space="preserve">A mixed-methods approach </w:t>
      </w:r>
      <w:r>
        <w:t xml:space="preserve">with </w:t>
      </w:r>
      <w:r w:rsidRPr="00BD36C9">
        <w:t xml:space="preserve">comparative case study design was employed to examine </w:t>
      </w:r>
      <w:r>
        <w:t xml:space="preserve">the </w:t>
      </w:r>
      <w:r w:rsidRPr="00BD36C9">
        <w:t xml:space="preserve">community-based forest resource management strategies in the </w:t>
      </w:r>
      <w:r>
        <w:t xml:space="preserve">study communities. </w:t>
      </w:r>
      <w:r w:rsidRPr="00BD36C9">
        <w:t xml:space="preserve">This </w:t>
      </w:r>
      <w:r>
        <w:t>design</w:t>
      </w:r>
      <w:r w:rsidRPr="00BD36C9">
        <w:t xml:space="preserve"> </w:t>
      </w:r>
      <w:r>
        <w:t>allowed for</w:t>
      </w:r>
      <w:r w:rsidRPr="00BD36C9">
        <w:t xml:space="preserve"> </w:t>
      </w:r>
      <w:r>
        <w:t>a nuanced investigation</w:t>
      </w:r>
      <w:r w:rsidRPr="00BD36C9">
        <w:t xml:space="preserve"> of how variations in governance structures, cultural norms, and local practices influence forest management outcomes</w:t>
      </w:r>
      <w:r w:rsidR="00CE2806">
        <w:t xml:space="preserve"> in the individual communities</w:t>
      </w:r>
      <w:r w:rsidRPr="00BD36C9">
        <w:t>.</w:t>
      </w:r>
      <w:r w:rsidR="00CE2806">
        <w:t xml:space="preserve"> The design also facilitated triangulation, enabling findings from one method to validate and complement those from the other, while providing a more comprehensive understanding of the research problem (Demir &amp; </w:t>
      </w:r>
      <w:proofErr w:type="spellStart"/>
      <w:r w:rsidR="00CE2806">
        <w:t>Pismek</w:t>
      </w:r>
      <w:proofErr w:type="spellEnd"/>
      <w:r w:rsidR="00CE2806">
        <w:t>, 2018).</w:t>
      </w:r>
    </w:p>
    <w:p w14:paraId="313134D9" w14:textId="38B74001" w:rsidR="006E1127" w:rsidRPr="0048125F" w:rsidRDefault="00E07B13" w:rsidP="00EC5C25">
      <w:pPr>
        <w:pStyle w:val="NormalWeb"/>
        <w:spacing w:line="360" w:lineRule="auto"/>
        <w:jc w:val="both"/>
      </w:pPr>
      <w:r>
        <w:t xml:space="preserve">The sampling process combined both probability and non-probability techniques to ensure methodological </w:t>
      </w:r>
      <w:proofErr w:type="spellStart"/>
      <w:r>
        <w:t>rigour</w:t>
      </w:r>
      <w:proofErr w:type="spellEnd"/>
      <w:r>
        <w:t xml:space="preserve"> and relevance. Purposive sampling was first employed to select the study communities across the different zones of the municipality, relevant institutions, and key informants for in-depth interviews. This approach was considered appropriate for identifying information-rich cases that could meaningfully address the study objectives (Kumar, 2011; </w:t>
      </w:r>
      <w:proofErr w:type="spellStart"/>
      <w:r>
        <w:t>Rahi</w:t>
      </w:r>
      <w:proofErr w:type="spellEnd"/>
      <w:r>
        <w:t xml:space="preserve">, 2017). Subsequently, a simple random sampling technique, using the lottery method, was applied to select household heads for the questionnaire </w:t>
      </w:r>
      <w:r w:rsidR="00D21AA6">
        <w:t>administration</w:t>
      </w:r>
      <w:r>
        <w:t xml:space="preserve">. This ensured that each household within the sampling frame had an equal chance of selection, thereby </w:t>
      </w:r>
      <w:proofErr w:type="spellStart"/>
      <w:r>
        <w:t>minimising</w:t>
      </w:r>
      <w:proofErr w:type="spellEnd"/>
      <w:r>
        <w:t xml:space="preserve"> selection bias.</w:t>
      </w:r>
    </w:p>
    <w:p w14:paraId="47C52752" w14:textId="2CA5950D" w:rsidR="0034508E" w:rsidRPr="00BD36C9" w:rsidRDefault="0034508E"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 xml:space="preserve">Data </w:t>
      </w:r>
      <w:r w:rsidR="00F0231D">
        <w:rPr>
          <w:rFonts w:ascii="Times New Roman" w:eastAsia="Times New Roman" w:hAnsi="Times New Roman" w:cs="Times New Roman"/>
          <w:b/>
          <w:bCs/>
          <w:sz w:val="24"/>
          <w:szCs w:val="24"/>
        </w:rPr>
        <w:t>c</w:t>
      </w:r>
      <w:r w:rsidR="00F0231D" w:rsidRPr="00BD36C9">
        <w:rPr>
          <w:rFonts w:ascii="Times New Roman" w:eastAsia="Times New Roman" w:hAnsi="Times New Roman" w:cs="Times New Roman"/>
          <w:b/>
          <w:bCs/>
          <w:sz w:val="24"/>
          <w:szCs w:val="24"/>
        </w:rPr>
        <w:t xml:space="preserve">ollection </w:t>
      </w:r>
      <w:r w:rsidR="00F0231D">
        <w:rPr>
          <w:rFonts w:ascii="Times New Roman" w:eastAsia="Times New Roman" w:hAnsi="Times New Roman" w:cs="Times New Roman"/>
          <w:b/>
          <w:bCs/>
          <w:sz w:val="24"/>
          <w:szCs w:val="24"/>
        </w:rPr>
        <w:t xml:space="preserve">and </w:t>
      </w:r>
      <w:r w:rsidR="00636FFC">
        <w:rPr>
          <w:rFonts w:ascii="Times New Roman" w:eastAsia="Times New Roman" w:hAnsi="Times New Roman" w:cs="Times New Roman"/>
          <w:b/>
          <w:bCs/>
          <w:sz w:val="24"/>
          <w:szCs w:val="24"/>
        </w:rPr>
        <w:t>A</w:t>
      </w:r>
      <w:r w:rsidRPr="00BD36C9">
        <w:rPr>
          <w:rFonts w:ascii="Times New Roman" w:eastAsia="Times New Roman" w:hAnsi="Times New Roman" w:cs="Times New Roman"/>
          <w:b/>
          <w:bCs/>
          <w:sz w:val="24"/>
          <w:szCs w:val="24"/>
        </w:rPr>
        <w:t>nalysis</w:t>
      </w:r>
    </w:p>
    <w:p w14:paraId="31DDE7D4" w14:textId="5E7BB31F" w:rsidR="0034508E" w:rsidRPr="00BD36C9" w:rsidRDefault="00F0231D" w:rsidP="00EC5C25">
      <w:pPr>
        <w:spacing w:before="100" w:beforeAutospacing="1" w:after="100" w:afterAutospacing="1" w:line="360" w:lineRule="auto"/>
        <w:jc w:val="both"/>
        <w:rPr>
          <w:rFonts w:ascii="Times New Roman" w:eastAsia="Times New Roman" w:hAnsi="Times New Roman" w:cs="Times New Roman"/>
          <w:b/>
          <w:bCs/>
          <w:sz w:val="24"/>
          <w:szCs w:val="24"/>
        </w:rPr>
      </w:pPr>
      <w:r w:rsidRPr="00BD36C9">
        <w:rPr>
          <w:rFonts w:ascii="Times New Roman" w:eastAsia="Times New Roman" w:hAnsi="Times New Roman" w:cs="Times New Roman"/>
          <w:sz w:val="24"/>
          <w:szCs w:val="24"/>
        </w:rPr>
        <w:t xml:space="preserve">Data were collected through household surveys, key informant interviews, and focus group discussions. Structured questionnaires were administered to 344 households across both communities, while semi-structured interviews and </w:t>
      </w:r>
      <w:r w:rsidR="00D21AA6">
        <w:rPr>
          <w:rFonts w:ascii="Times New Roman" w:eastAsia="Times New Roman" w:hAnsi="Times New Roman" w:cs="Times New Roman"/>
          <w:sz w:val="24"/>
          <w:szCs w:val="24"/>
        </w:rPr>
        <w:t xml:space="preserve">focused </w:t>
      </w:r>
      <w:r w:rsidRPr="00BD36C9">
        <w:rPr>
          <w:rFonts w:ascii="Times New Roman" w:eastAsia="Times New Roman" w:hAnsi="Times New Roman" w:cs="Times New Roman"/>
          <w:sz w:val="24"/>
          <w:szCs w:val="24"/>
        </w:rPr>
        <w:t>group discussions provided deeper insights into institutional practices and community perceptions.</w:t>
      </w:r>
      <w:r>
        <w:rPr>
          <w:rFonts w:ascii="Times New Roman" w:eastAsia="Times New Roman" w:hAnsi="Times New Roman" w:cs="Times New Roman"/>
          <w:sz w:val="24"/>
          <w:szCs w:val="24"/>
        </w:rPr>
        <w:t xml:space="preserve"> </w:t>
      </w:r>
      <w:r w:rsidR="0034508E" w:rsidRPr="00BD36C9">
        <w:rPr>
          <w:rFonts w:ascii="Times New Roman" w:eastAsia="Times New Roman" w:hAnsi="Times New Roman" w:cs="Times New Roman"/>
          <w:sz w:val="24"/>
          <w:szCs w:val="24"/>
        </w:rPr>
        <w:t>Quantitative data were analyzed using SPSS Version 23.0, employing descriptive statistics and Chi-square tests. Qualitative data were analyzed thematically through manual coding and iterative review, with emphasis on governance structures, enforcement mechanisms, and perceived effectiveness.</w:t>
      </w:r>
    </w:p>
    <w:p w14:paraId="6E5FDF6F" w14:textId="5DEF407A" w:rsidR="004666AB" w:rsidRPr="00BD36C9" w:rsidRDefault="00115EFA"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666AB" w:rsidRPr="00BD36C9">
        <w:rPr>
          <w:rFonts w:ascii="Times New Roman" w:eastAsia="Times New Roman" w:hAnsi="Times New Roman" w:cs="Times New Roman"/>
          <w:b/>
          <w:bCs/>
          <w:sz w:val="24"/>
          <w:szCs w:val="24"/>
        </w:rPr>
        <w:t xml:space="preserve">Descriptive </w:t>
      </w:r>
      <w:r w:rsidR="007F3D73">
        <w:rPr>
          <w:rFonts w:ascii="Times New Roman" w:eastAsia="Times New Roman" w:hAnsi="Times New Roman" w:cs="Times New Roman"/>
          <w:b/>
          <w:bCs/>
          <w:sz w:val="24"/>
          <w:szCs w:val="24"/>
        </w:rPr>
        <w:t>a</w:t>
      </w:r>
      <w:r w:rsidR="004666AB" w:rsidRPr="00BD36C9">
        <w:rPr>
          <w:rFonts w:ascii="Times New Roman" w:eastAsia="Times New Roman" w:hAnsi="Times New Roman" w:cs="Times New Roman"/>
          <w:b/>
          <w:bCs/>
          <w:sz w:val="24"/>
          <w:szCs w:val="24"/>
        </w:rPr>
        <w:t>nalysis</w:t>
      </w:r>
    </w:p>
    <w:p w14:paraId="272749F4" w14:textId="32D6506A" w:rsidR="00D21AA6" w:rsidRPr="00EC5C25" w:rsidRDefault="00D21AA6" w:rsidP="00BD36C9">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This analysis </w:t>
      </w:r>
      <w:r w:rsidR="004D70A4" w:rsidRPr="00BD36C9">
        <w:rPr>
          <w:rFonts w:ascii="Times New Roman" w:hAnsi="Times New Roman" w:cs="Times New Roman"/>
          <w:sz w:val="24"/>
          <w:szCs w:val="24"/>
        </w:rPr>
        <w:t xml:space="preserve">presents a comparative descriptive analysis of community awareness of forest resource management strategies in the </w:t>
      </w:r>
      <w:proofErr w:type="spellStart"/>
      <w:r w:rsidR="004D70A4" w:rsidRPr="00BD36C9">
        <w:rPr>
          <w:rFonts w:ascii="Times New Roman" w:hAnsi="Times New Roman" w:cs="Times New Roman"/>
          <w:sz w:val="24"/>
          <w:szCs w:val="24"/>
        </w:rPr>
        <w:t>Nchumuru</w:t>
      </w:r>
      <w:proofErr w:type="spellEnd"/>
      <w:r w:rsidR="004D70A4" w:rsidRPr="00BD36C9">
        <w:rPr>
          <w:rFonts w:ascii="Times New Roman" w:hAnsi="Times New Roman" w:cs="Times New Roman"/>
          <w:sz w:val="24"/>
          <w:szCs w:val="24"/>
        </w:rPr>
        <w:t xml:space="preserve"> and Adele communities. The figure illustrates </w:t>
      </w:r>
      <w:r w:rsidR="004D70A4" w:rsidRPr="00BD36C9">
        <w:rPr>
          <w:rFonts w:ascii="Times New Roman" w:hAnsi="Times New Roman" w:cs="Times New Roman"/>
          <w:sz w:val="24"/>
          <w:szCs w:val="24"/>
        </w:rPr>
        <w:lastRenderedPageBreak/>
        <w:t xml:space="preserve">the proportion of respondents in each community who reported being aware of local forest management practices, thereby providing an initial overview of awareness levels across the two study sites. This descriptive comparison is important for understanding baseline differences in knowledge dissemination and engagement with community-based forest management initiatives prior to inferential statistical analysis. </w:t>
      </w:r>
    </w:p>
    <w:p w14:paraId="795B0C86" w14:textId="77777777" w:rsidR="004666AB" w:rsidRPr="00BD36C9" w:rsidRDefault="001A58FB"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BD36C9">
        <w:rPr>
          <w:rFonts w:ascii="Times New Roman" w:hAnsi="Times New Roman" w:cs="Times New Roman"/>
          <w:noProof/>
        </w:rPr>
        <w:drawing>
          <wp:inline distT="0" distB="0" distL="0" distR="0" wp14:anchorId="1CAB49A9" wp14:editId="1C6F8837">
            <wp:extent cx="5128591" cy="3522428"/>
            <wp:effectExtent l="0" t="0" r="1524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D36C9">
        <w:rPr>
          <w:rFonts w:ascii="Times New Roman" w:eastAsia="Times New Roman" w:hAnsi="Times New Roman" w:cs="Times New Roman"/>
          <w:b/>
          <w:bCs/>
          <w:sz w:val="24"/>
          <w:szCs w:val="24"/>
        </w:rPr>
        <w:t xml:space="preserve"> </w:t>
      </w:r>
    </w:p>
    <w:p w14:paraId="549A333A" w14:textId="7B441D86" w:rsidR="00744C1E" w:rsidRDefault="004D70A4" w:rsidP="0048125F">
      <w:pPr>
        <w:pStyle w:val="Caption"/>
        <w:spacing w:line="360" w:lineRule="auto"/>
      </w:pPr>
      <w:bookmarkStart w:id="1" w:name="_Toc206960209"/>
      <w:bookmarkStart w:id="2" w:name="_Toc202870229"/>
      <w:r w:rsidRPr="00BD36C9">
        <w:t xml:space="preserve">Figure </w:t>
      </w:r>
      <w:r w:rsidR="00227DB6">
        <w:t>2</w:t>
      </w:r>
      <w:r w:rsidR="001A58FB" w:rsidRPr="00BD36C9">
        <w:t xml:space="preserve">: Comparative analysis of Communities Awareness within the </w:t>
      </w:r>
      <w:proofErr w:type="spellStart"/>
      <w:r w:rsidR="001A58FB" w:rsidRPr="00BD36C9">
        <w:t>Nchumuru</w:t>
      </w:r>
      <w:proofErr w:type="spellEnd"/>
      <w:r w:rsidR="001A58FB" w:rsidRPr="00BD36C9">
        <w:t xml:space="preserve"> and Adele Communities</w:t>
      </w:r>
      <w:bookmarkEnd w:id="1"/>
      <w:bookmarkEnd w:id="2"/>
    </w:p>
    <w:p w14:paraId="30AFAC78" w14:textId="77777777" w:rsidR="0048125F" w:rsidRDefault="0048125F" w:rsidP="0048125F"/>
    <w:p w14:paraId="35CD1679" w14:textId="51E84845" w:rsidR="0048125F"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hAnsi="Times New Roman" w:cs="Times New Roman"/>
          <w:b/>
          <w:sz w:val="24"/>
          <w:szCs w:val="24"/>
        </w:rPr>
        <w:t xml:space="preserve"> </w:t>
      </w:r>
      <w:r w:rsidR="00744C1E" w:rsidRPr="00BD36C9">
        <w:rPr>
          <w:rFonts w:ascii="Times New Roman" w:hAnsi="Times New Roman" w:cs="Times New Roman"/>
          <w:b/>
          <w:sz w:val="24"/>
          <w:szCs w:val="24"/>
        </w:rPr>
        <w:t xml:space="preserve">Chi-Square test on </w:t>
      </w:r>
      <w:r w:rsidR="007F3D73" w:rsidRPr="00BD36C9">
        <w:rPr>
          <w:rFonts w:ascii="Times New Roman" w:hAnsi="Times New Roman" w:cs="Times New Roman"/>
          <w:b/>
          <w:sz w:val="24"/>
          <w:szCs w:val="24"/>
        </w:rPr>
        <w:t>duration</w:t>
      </w:r>
      <w:r w:rsidR="00227DB6">
        <w:rPr>
          <w:rFonts w:ascii="Times New Roman" w:hAnsi="Times New Roman" w:cs="Times New Roman"/>
          <w:b/>
          <w:sz w:val="24"/>
          <w:szCs w:val="24"/>
        </w:rPr>
        <w:t xml:space="preserve"> of residence</w:t>
      </w:r>
      <w:r w:rsidR="007F3D73" w:rsidRPr="00BD36C9">
        <w:rPr>
          <w:rFonts w:ascii="Times New Roman" w:hAnsi="Times New Roman" w:cs="Times New Roman"/>
          <w:b/>
          <w:sz w:val="24"/>
          <w:szCs w:val="24"/>
        </w:rPr>
        <w:t xml:space="preserve"> and awareness </w:t>
      </w:r>
      <w:r w:rsidR="00744C1E" w:rsidRPr="00BD36C9">
        <w:rPr>
          <w:rFonts w:ascii="Times New Roman" w:hAnsi="Times New Roman" w:cs="Times New Roman"/>
          <w:b/>
          <w:sz w:val="24"/>
          <w:szCs w:val="24"/>
        </w:rPr>
        <w:t xml:space="preserve">in </w:t>
      </w:r>
      <w:proofErr w:type="spellStart"/>
      <w:r w:rsidR="00744C1E" w:rsidRPr="00BD36C9">
        <w:rPr>
          <w:rFonts w:ascii="Times New Roman" w:hAnsi="Times New Roman" w:cs="Times New Roman"/>
          <w:b/>
          <w:sz w:val="24"/>
          <w:szCs w:val="24"/>
        </w:rPr>
        <w:t>Nchumuru</w:t>
      </w:r>
      <w:proofErr w:type="spellEnd"/>
      <w:r w:rsidR="00744C1E" w:rsidRPr="00BD36C9">
        <w:rPr>
          <w:rFonts w:ascii="Times New Roman" w:hAnsi="Times New Roman" w:cs="Times New Roman"/>
          <w:b/>
          <w:sz w:val="24"/>
          <w:szCs w:val="24"/>
        </w:rPr>
        <w:t xml:space="preserve"> </w:t>
      </w:r>
      <w:r w:rsidR="007F3D73">
        <w:rPr>
          <w:rFonts w:ascii="Times New Roman" w:hAnsi="Times New Roman" w:cs="Times New Roman"/>
          <w:b/>
          <w:sz w:val="24"/>
          <w:szCs w:val="24"/>
        </w:rPr>
        <w:t>c</w:t>
      </w:r>
      <w:r w:rsidR="00744C1E" w:rsidRPr="00BD36C9">
        <w:rPr>
          <w:rFonts w:ascii="Times New Roman" w:hAnsi="Times New Roman" w:cs="Times New Roman"/>
          <w:b/>
          <w:sz w:val="24"/>
          <w:szCs w:val="24"/>
        </w:rPr>
        <w:t xml:space="preserve">ommunities </w:t>
      </w:r>
    </w:p>
    <w:p w14:paraId="769CAEAE" w14:textId="7A34D6B7" w:rsidR="00D21AA6" w:rsidRDefault="00744C1E" w:rsidP="00EC5C25">
      <w:pPr>
        <w:spacing w:before="100" w:beforeAutospacing="1" w:after="100" w:afterAutospacing="1" w:line="360" w:lineRule="auto"/>
        <w:jc w:val="both"/>
        <w:outlineLvl w:val="1"/>
      </w:pPr>
      <w:r w:rsidRPr="00BD36C9">
        <w:rPr>
          <w:rFonts w:ascii="Times New Roman" w:hAnsi="Times New Roman" w:cs="Times New Roman"/>
          <w:sz w:val="24"/>
          <w:szCs w:val="24"/>
        </w:rPr>
        <w:t xml:space="preserve">To further examine the relationship between the duration of residence in the community and awareness of forest resource management strategies, Chi-square tests of independence were conducted separately for the </w:t>
      </w:r>
      <w:proofErr w:type="spellStart"/>
      <w:r w:rsidRPr="00BD36C9">
        <w:rPr>
          <w:rFonts w:ascii="Times New Roman" w:hAnsi="Times New Roman" w:cs="Times New Roman"/>
          <w:sz w:val="24"/>
          <w:szCs w:val="24"/>
        </w:rPr>
        <w:t>Nchumuru</w:t>
      </w:r>
      <w:proofErr w:type="spellEnd"/>
      <w:r w:rsidRPr="00BD36C9">
        <w:rPr>
          <w:rFonts w:ascii="Times New Roman" w:hAnsi="Times New Roman" w:cs="Times New Roman"/>
          <w:sz w:val="24"/>
          <w:szCs w:val="24"/>
        </w:rPr>
        <w:t xml:space="preserve"> and Adele communities. The Chi-square analysis was employed to determine whether awareness levels are significantly associated with how long respondents have lived in the community. This inferential approach allows for an assessment of </w:t>
      </w:r>
      <w:r w:rsidRPr="00BD36C9">
        <w:rPr>
          <w:rFonts w:ascii="Times New Roman" w:hAnsi="Times New Roman" w:cs="Times New Roman"/>
          <w:sz w:val="24"/>
          <w:szCs w:val="24"/>
        </w:rPr>
        <w:lastRenderedPageBreak/>
        <w:t>whether prolonged exposure to community institutions and practices influences awareness of</w:t>
      </w:r>
      <w:r w:rsidR="007F3D73">
        <w:rPr>
          <w:rFonts w:ascii="Times New Roman" w:hAnsi="Times New Roman" w:cs="Times New Roman"/>
          <w:sz w:val="24"/>
          <w:szCs w:val="24"/>
        </w:rPr>
        <w:t xml:space="preserve"> </w:t>
      </w:r>
      <w:r w:rsidRPr="00BD36C9">
        <w:rPr>
          <w:rFonts w:ascii="Times New Roman" w:hAnsi="Times New Roman" w:cs="Times New Roman"/>
          <w:sz w:val="24"/>
          <w:szCs w:val="24"/>
        </w:rPr>
        <w:t>forest management initiatives within each community context.</w:t>
      </w:r>
      <w:bookmarkStart w:id="3" w:name="_Toc206960280"/>
    </w:p>
    <w:p w14:paraId="43F14B7C" w14:textId="77777777" w:rsidR="003F7DAE" w:rsidRDefault="003F7DAE" w:rsidP="0048125F">
      <w:pPr>
        <w:pStyle w:val="Caption"/>
        <w:spacing w:line="360" w:lineRule="auto"/>
      </w:pPr>
    </w:p>
    <w:p w14:paraId="1455D165" w14:textId="77777777" w:rsidR="003F7DAE" w:rsidRDefault="003F7DAE" w:rsidP="0048125F">
      <w:pPr>
        <w:pStyle w:val="Caption"/>
        <w:spacing w:line="360" w:lineRule="auto"/>
      </w:pPr>
    </w:p>
    <w:p w14:paraId="594007AB" w14:textId="77777777" w:rsidR="003F7DAE" w:rsidRDefault="003F7DAE" w:rsidP="0048125F">
      <w:pPr>
        <w:pStyle w:val="Caption"/>
        <w:spacing w:line="360" w:lineRule="auto"/>
      </w:pPr>
    </w:p>
    <w:p w14:paraId="2D6BB37D" w14:textId="3B4ECDF5" w:rsidR="007428D9" w:rsidRPr="0048125F" w:rsidRDefault="007428D9" w:rsidP="0048125F">
      <w:pPr>
        <w:pStyle w:val="Caption"/>
        <w:spacing w:line="360" w:lineRule="auto"/>
        <w:rPr>
          <w:b w:val="0"/>
        </w:rPr>
      </w:pPr>
      <w:r w:rsidRPr="00BD36C9">
        <w:t xml:space="preserve">Table 1: Chi-Square test on Duration in the and Awareness in </w:t>
      </w:r>
      <w:proofErr w:type="spellStart"/>
      <w:r w:rsidRPr="00BD36C9">
        <w:t>Nchumuru</w:t>
      </w:r>
      <w:proofErr w:type="spellEnd"/>
      <w:r w:rsidRPr="00BD36C9">
        <w:t xml:space="preserve"> Communities</w:t>
      </w:r>
      <w:bookmarkEnd w:id="3"/>
    </w:p>
    <w:tbl>
      <w:tblPr>
        <w:tblStyle w:val="TableGrid"/>
        <w:tblW w:w="8412" w:type="dxa"/>
        <w:tblInd w:w="0" w:type="dxa"/>
        <w:tblLook w:val="04A0" w:firstRow="1" w:lastRow="0" w:firstColumn="1" w:lastColumn="0" w:noHBand="0" w:noVBand="1"/>
      </w:tblPr>
      <w:tblGrid>
        <w:gridCol w:w="2425"/>
        <w:gridCol w:w="1779"/>
        <w:gridCol w:w="2104"/>
        <w:gridCol w:w="2104"/>
      </w:tblGrid>
      <w:tr w:rsidR="007428D9" w:rsidRPr="00BD36C9" w14:paraId="02ECFB32" w14:textId="77777777" w:rsidTr="00077AFA">
        <w:trPr>
          <w:trHeight w:val="475"/>
        </w:trPr>
        <w:tc>
          <w:tcPr>
            <w:tcW w:w="2425" w:type="dxa"/>
            <w:tcBorders>
              <w:top w:val="single" w:sz="4" w:space="0" w:color="auto"/>
              <w:left w:val="single" w:sz="4" w:space="0" w:color="auto"/>
              <w:bottom w:val="single" w:sz="4" w:space="0" w:color="auto"/>
              <w:right w:val="single" w:sz="4" w:space="0" w:color="auto"/>
            </w:tcBorders>
          </w:tcPr>
          <w:p w14:paraId="17D184F3" w14:textId="77777777" w:rsidR="007428D9" w:rsidRPr="00BD36C9" w:rsidRDefault="007428D9" w:rsidP="00BD36C9">
            <w:pPr>
              <w:spacing w:line="360" w:lineRule="auto"/>
              <w:rPr>
                <w:rFonts w:ascii="Times New Roman" w:hAnsi="Times New Roman" w:cs="Times New Roman"/>
                <w:sz w:val="24"/>
                <w:szCs w:val="24"/>
              </w:rPr>
            </w:pPr>
          </w:p>
        </w:tc>
        <w:tc>
          <w:tcPr>
            <w:tcW w:w="1779" w:type="dxa"/>
            <w:tcBorders>
              <w:top w:val="single" w:sz="4" w:space="0" w:color="auto"/>
              <w:left w:val="single" w:sz="4" w:space="0" w:color="auto"/>
              <w:bottom w:val="single" w:sz="4" w:space="0" w:color="auto"/>
              <w:right w:val="single" w:sz="4" w:space="0" w:color="auto"/>
            </w:tcBorders>
            <w:hideMark/>
          </w:tcPr>
          <w:p w14:paraId="5BE61D2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Values</w:t>
            </w:r>
          </w:p>
        </w:tc>
        <w:tc>
          <w:tcPr>
            <w:tcW w:w="2104" w:type="dxa"/>
            <w:tcBorders>
              <w:top w:val="single" w:sz="4" w:space="0" w:color="auto"/>
              <w:left w:val="single" w:sz="4" w:space="0" w:color="auto"/>
              <w:bottom w:val="single" w:sz="4" w:space="0" w:color="auto"/>
              <w:right w:val="single" w:sz="4" w:space="0" w:color="auto"/>
            </w:tcBorders>
            <w:hideMark/>
          </w:tcPr>
          <w:p w14:paraId="25F8D72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df</w:t>
            </w:r>
          </w:p>
        </w:tc>
        <w:tc>
          <w:tcPr>
            <w:tcW w:w="2104" w:type="dxa"/>
            <w:tcBorders>
              <w:top w:val="single" w:sz="4" w:space="0" w:color="auto"/>
              <w:left w:val="single" w:sz="4" w:space="0" w:color="auto"/>
              <w:bottom w:val="single" w:sz="4" w:space="0" w:color="auto"/>
              <w:right w:val="single" w:sz="4" w:space="0" w:color="auto"/>
            </w:tcBorders>
            <w:hideMark/>
          </w:tcPr>
          <w:p w14:paraId="5661D9CA" w14:textId="77777777" w:rsidR="007428D9" w:rsidRPr="00BD36C9" w:rsidRDefault="007428D9" w:rsidP="00077AFA">
            <w:pPr>
              <w:rPr>
                <w:rFonts w:ascii="Times New Roman" w:hAnsi="Times New Roman" w:cs="Times New Roman"/>
                <w:sz w:val="24"/>
                <w:szCs w:val="24"/>
              </w:rPr>
            </w:pPr>
            <w:r w:rsidRPr="00BD36C9">
              <w:rPr>
                <w:rFonts w:ascii="Times New Roman" w:hAnsi="Times New Roman" w:cs="Times New Roman"/>
                <w:sz w:val="24"/>
                <w:szCs w:val="24"/>
              </w:rPr>
              <w:t>Asymptotic Significance</w:t>
            </w:r>
          </w:p>
        </w:tc>
      </w:tr>
      <w:tr w:rsidR="007428D9" w:rsidRPr="00BD36C9" w14:paraId="19693482" w14:textId="77777777" w:rsidTr="00077AFA">
        <w:trPr>
          <w:trHeight w:val="448"/>
        </w:trPr>
        <w:tc>
          <w:tcPr>
            <w:tcW w:w="2425" w:type="dxa"/>
            <w:tcBorders>
              <w:top w:val="single" w:sz="4" w:space="0" w:color="auto"/>
              <w:left w:val="single" w:sz="4" w:space="0" w:color="auto"/>
              <w:bottom w:val="single" w:sz="4" w:space="0" w:color="auto"/>
              <w:right w:val="single" w:sz="4" w:space="0" w:color="auto"/>
            </w:tcBorders>
            <w:hideMark/>
          </w:tcPr>
          <w:p w14:paraId="586D545A" w14:textId="77777777" w:rsidR="007428D9" w:rsidRPr="00BD36C9" w:rsidRDefault="007428D9" w:rsidP="00077AFA">
            <w:pPr>
              <w:spacing w:line="276" w:lineRule="auto"/>
              <w:rPr>
                <w:rFonts w:ascii="Times New Roman" w:hAnsi="Times New Roman" w:cs="Times New Roman"/>
                <w:sz w:val="24"/>
                <w:szCs w:val="24"/>
              </w:rPr>
            </w:pPr>
            <w:r w:rsidRPr="00BD36C9">
              <w:rPr>
                <w:rFonts w:ascii="Times New Roman" w:hAnsi="Times New Roman" w:cs="Times New Roman"/>
                <w:sz w:val="24"/>
                <w:szCs w:val="24"/>
              </w:rPr>
              <w:t>Pearson Chi-Square</w:t>
            </w:r>
          </w:p>
        </w:tc>
        <w:tc>
          <w:tcPr>
            <w:tcW w:w="1779" w:type="dxa"/>
            <w:tcBorders>
              <w:top w:val="single" w:sz="4" w:space="0" w:color="auto"/>
              <w:left w:val="single" w:sz="4" w:space="0" w:color="auto"/>
              <w:bottom w:val="single" w:sz="4" w:space="0" w:color="auto"/>
              <w:right w:val="single" w:sz="4" w:space="0" w:color="auto"/>
            </w:tcBorders>
            <w:hideMark/>
          </w:tcPr>
          <w:p w14:paraId="7549DA75"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15.47</w:t>
            </w:r>
          </w:p>
        </w:tc>
        <w:tc>
          <w:tcPr>
            <w:tcW w:w="2104" w:type="dxa"/>
            <w:tcBorders>
              <w:top w:val="single" w:sz="4" w:space="0" w:color="auto"/>
              <w:left w:val="single" w:sz="4" w:space="0" w:color="auto"/>
              <w:bottom w:val="single" w:sz="4" w:space="0" w:color="auto"/>
              <w:right w:val="single" w:sz="4" w:space="0" w:color="auto"/>
            </w:tcBorders>
            <w:hideMark/>
          </w:tcPr>
          <w:p w14:paraId="2D4EC293"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104" w:type="dxa"/>
            <w:tcBorders>
              <w:top w:val="single" w:sz="4" w:space="0" w:color="auto"/>
              <w:left w:val="single" w:sz="4" w:space="0" w:color="auto"/>
              <w:bottom w:val="single" w:sz="4" w:space="0" w:color="auto"/>
              <w:right w:val="single" w:sz="4" w:space="0" w:color="auto"/>
            </w:tcBorders>
            <w:hideMark/>
          </w:tcPr>
          <w:p w14:paraId="418B55D9"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0.0001</w:t>
            </w:r>
          </w:p>
        </w:tc>
      </w:tr>
      <w:tr w:rsidR="007428D9" w:rsidRPr="00BD36C9" w14:paraId="7DF1462D" w14:textId="77777777" w:rsidTr="00077AFA">
        <w:trPr>
          <w:trHeight w:val="475"/>
        </w:trPr>
        <w:tc>
          <w:tcPr>
            <w:tcW w:w="2425" w:type="dxa"/>
            <w:tcBorders>
              <w:top w:val="single" w:sz="4" w:space="0" w:color="auto"/>
              <w:left w:val="single" w:sz="4" w:space="0" w:color="auto"/>
              <w:bottom w:val="single" w:sz="4" w:space="0" w:color="auto"/>
              <w:right w:val="single" w:sz="4" w:space="0" w:color="auto"/>
            </w:tcBorders>
            <w:hideMark/>
          </w:tcPr>
          <w:p w14:paraId="74102E6C"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Livelihood Ratio</w:t>
            </w:r>
          </w:p>
        </w:tc>
        <w:tc>
          <w:tcPr>
            <w:tcW w:w="1779" w:type="dxa"/>
            <w:tcBorders>
              <w:top w:val="single" w:sz="4" w:space="0" w:color="auto"/>
              <w:left w:val="single" w:sz="4" w:space="0" w:color="auto"/>
              <w:bottom w:val="single" w:sz="4" w:space="0" w:color="auto"/>
              <w:right w:val="single" w:sz="4" w:space="0" w:color="auto"/>
            </w:tcBorders>
            <w:hideMark/>
          </w:tcPr>
          <w:p w14:paraId="2BD1E537"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16.12</w:t>
            </w:r>
          </w:p>
        </w:tc>
        <w:tc>
          <w:tcPr>
            <w:tcW w:w="2104" w:type="dxa"/>
            <w:tcBorders>
              <w:top w:val="single" w:sz="4" w:space="0" w:color="auto"/>
              <w:left w:val="single" w:sz="4" w:space="0" w:color="auto"/>
              <w:bottom w:val="single" w:sz="4" w:space="0" w:color="auto"/>
              <w:right w:val="single" w:sz="4" w:space="0" w:color="auto"/>
            </w:tcBorders>
            <w:hideMark/>
          </w:tcPr>
          <w:p w14:paraId="2E532BC0"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104" w:type="dxa"/>
            <w:tcBorders>
              <w:top w:val="single" w:sz="4" w:space="0" w:color="auto"/>
              <w:left w:val="single" w:sz="4" w:space="0" w:color="auto"/>
              <w:bottom w:val="single" w:sz="4" w:space="0" w:color="auto"/>
              <w:right w:val="single" w:sz="4" w:space="0" w:color="auto"/>
            </w:tcBorders>
            <w:hideMark/>
          </w:tcPr>
          <w:p w14:paraId="47C2242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0.0001</w:t>
            </w:r>
          </w:p>
        </w:tc>
      </w:tr>
      <w:tr w:rsidR="007428D9" w:rsidRPr="00BD36C9" w14:paraId="281556E2" w14:textId="77777777" w:rsidTr="00077AFA">
        <w:trPr>
          <w:trHeight w:val="448"/>
        </w:trPr>
        <w:tc>
          <w:tcPr>
            <w:tcW w:w="2425" w:type="dxa"/>
            <w:tcBorders>
              <w:top w:val="single" w:sz="4" w:space="0" w:color="auto"/>
              <w:left w:val="single" w:sz="4" w:space="0" w:color="auto"/>
              <w:bottom w:val="single" w:sz="4" w:space="0" w:color="auto"/>
              <w:right w:val="single" w:sz="4" w:space="0" w:color="auto"/>
            </w:tcBorders>
            <w:hideMark/>
          </w:tcPr>
          <w:p w14:paraId="2C1E290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 xml:space="preserve">Linear-by Linear </w:t>
            </w:r>
          </w:p>
          <w:p w14:paraId="1C18D4FA"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Association</w:t>
            </w:r>
          </w:p>
        </w:tc>
        <w:tc>
          <w:tcPr>
            <w:tcW w:w="1779" w:type="dxa"/>
            <w:tcBorders>
              <w:top w:val="single" w:sz="4" w:space="0" w:color="auto"/>
              <w:left w:val="single" w:sz="4" w:space="0" w:color="auto"/>
              <w:bottom w:val="single" w:sz="4" w:space="0" w:color="auto"/>
              <w:right w:val="single" w:sz="4" w:space="0" w:color="auto"/>
            </w:tcBorders>
            <w:hideMark/>
          </w:tcPr>
          <w:p w14:paraId="7FAF2FB7"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14.95</w:t>
            </w:r>
          </w:p>
        </w:tc>
        <w:tc>
          <w:tcPr>
            <w:tcW w:w="2104" w:type="dxa"/>
            <w:tcBorders>
              <w:top w:val="single" w:sz="4" w:space="0" w:color="auto"/>
              <w:left w:val="single" w:sz="4" w:space="0" w:color="auto"/>
              <w:bottom w:val="single" w:sz="4" w:space="0" w:color="auto"/>
              <w:right w:val="single" w:sz="4" w:space="0" w:color="auto"/>
            </w:tcBorders>
            <w:hideMark/>
          </w:tcPr>
          <w:p w14:paraId="7EC688D2"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w:t>
            </w:r>
          </w:p>
        </w:tc>
        <w:tc>
          <w:tcPr>
            <w:tcW w:w="2104" w:type="dxa"/>
            <w:tcBorders>
              <w:top w:val="single" w:sz="4" w:space="0" w:color="auto"/>
              <w:left w:val="single" w:sz="4" w:space="0" w:color="auto"/>
              <w:bottom w:val="single" w:sz="4" w:space="0" w:color="auto"/>
              <w:right w:val="single" w:sz="4" w:space="0" w:color="auto"/>
            </w:tcBorders>
            <w:hideMark/>
          </w:tcPr>
          <w:p w14:paraId="217BDE8C"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0.001</w:t>
            </w:r>
          </w:p>
        </w:tc>
      </w:tr>
      <w:tr w:rsidR="007428D9" w:rsidRPr="00BD36C9" w14:paraId="69131370" w14:textId="77777777" w:rsidTr="00077AFA">
        <w:trPr>
          <w:trHeight w:val="448"/>
        </w:trPr>
        <w:tc>
          <w:tcPr>
            <w:tcW w:w="2425" w:type="dxa"/>
            <w:tcBorders>
              <w:top w:val="single" w:sz="4" w:space="0" w:color="auto"/>
              <w:left w:val="single" w:sz="4" w:space="0" w:color="auto"/>
              <w:bottom w:val="single" w:sz="4" w:space="0" w:color="auto"/>
              <w:right w:val="single" w:sz="4" w:space="0" w:color="auto"/>
            </w:tcBorders>
            <w:hideMark/>
          </w:tcPr>
          <w:p w14:paraId="55B2F48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No. of Valid Cases</w:t>
            </w:r>
          </w:p>
        </w:tc>
        <w:tc>
          <w:tcPr>
            <w:tcW w:w="1779" w:type="dxa"/>
            <w:tcBorders>
              <w:top w:val="single" w:sz="4" w:space="0" w:color="auto"/>
              <w:left w:val="single" w:sz="4" w:space="0" w:color="auto"/>
              <w:bottom w:val="single" w:sz="4" w:space="0" w:color="auto"/>
              <w:right w:val="single" w:sz="4" w:space="0" w:color="auto"/>
            </w:tcBorders>
            <w:hideMark/>
          </w:tcPr>
          <w:p w14:paraId="4D5B52AE"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174</w:t>
            </w:r>
          </w:p>
        </w:tc>
        <w:tc>
          <w:tcPr>
            <w:tcW w:w="2104" w:type="dxa"/>
            <w:tcBorders>
              <w:top w:val="single" w:sz="4" w:space="0" w:color="auto"/>
              <w:left w:val="single" w:sz="4" w:space="0" w:color="auto"/>
              <w:bottom w:val="single" w:sz="4" w:space="0" w:color="auto"/>
              <w:right w:val="single" w:sz="4" w:space="0" w:color="auto"/>
            </w:tcBorders>
          </w:tcPr>
          <w:p w14:paraId="437FB82D" w14:textId="77777777" w:rsidR="007428D9" w:rsidRPr="00BD36C9" w:rsidRDefault="007428D9" w:rsidP="00BD36C9">
            <w:pPr>
              <w:spacing w:line="360" w:lineRule="auto"/>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14:paraId="15C95D75" w14:textId="77777777" w:rsidR="007428D9" w:rsidRPr="00BD36C9" w:rsidRDefault="007428D9" w:rsidP="00BD36C9">
            <w:pPr>
              <w:spacing w:line="360" w:lineRule="auto"/>
              <w:rPr>
                <w:rFonts w:ascii="Times New Roman" w:hAnsi="Times New Roman" w:cs="Times New Roman"/>
                <w:sz w:val="24"/>
                <w:szCs w:val="24"/>
              </w:rPr>
            </w:pPr>
          </w:p>
        </w:tc>
      </w:tr>
    </w:tbl>
    <w:p w14:paraId="1BDDA9E6" w14:textId="77777777" w:rsidR="007428D9" w:rsidRPr="00BD36C9" w:rsidRDefault="007428D9" w:rsidP="00BD36C9">
      <w:pPr>
        <w:spacing w:line="360" w:lineRule="auto"/>
        <w:rPr>
          <w:rFonts w:ascii="Times New Roman" w:hAnsi="Times New Roman" w:cs="Times New Roman"/>
        </w:rPr>
      </w:pPr>
      <w:r w:rsidRPr="00BD36C9">
        <w:rPr>
          <w:rFonts w:ascii="Times New Roman" w:hAnsi="Times New Roman" w:cs="Times New Roman"/>
        </w:rPr>
        <w:t xml:space="preserve">a.1 cell (16.7%) has an expected count less than 5. Minimum expected count is 3.12 </w:t>
      </w:r>
    </w:p>
    <w:p w14:paraId="1AD9E3A4" w14:textId="197B4CB9" w:rsidR="007428D9" w:rsidRPr="00BD36C9" w:rsidRDefault="007428D9" w:rsidP="0048125F">
      <w:pPr>
        <w:pStyle w:val="Caption"/>
        <w:spacing w:line="360" w:lineRule="auto"/>
        <w:rPr>
          <w:b w:val="0"/>
        </w:rPr>
      </w:pPr>
      <w:bookmarkStart w:id="4" w:name="_Toc206960281"/>
      <w:r w:rsidRPr="00BD36C9">
        <w:t>Table 2: Chi-Square test on Duration in the and Awareness in Adele Communities</w:t>
      </w:r>
      <w:bookmarkEnd w:id="4"/>
      <w:r w:rsidRPr="00BD36C9">
        <w:t xml:space="preserve"> </w:t>
      </w:r>
    </w:p>
    <w:tbl>
      <w:tblPr>
        <w:tblStyle w:val="TableGrid"/>
        <w:tblW w:w="8486" w:type="dxa"/>
        <w:tblInd w:w="0" w:type="dxa"/>
        <w:tblLook w:val="04A0" w:firstRow="1" w:lastRow="0" w:firstColumn="1" w:lastColumn="0" w:noHBand="0" w:noVBand="1"/>
      </w:tblPr>
      <w:tblGrid>
        <w:gridCol w:w="2313"/>
        <w:gridCol w:w="1929"/>
        <w:gridCol w:w="1872"/>
        <w:gridCol w:w="2372"/>
      </w:tblGrid>
      <w:tr w:rsidR="007428D9" w:rsidRPr="00BD36C9" w14:paraId="0D80ED44" w14:textId="77777777" w:rsidTr="00133A35">
        <w:trPr>
          <w:trHeight w:val="513"/>
        </w:trPr>
        <w:tc>
          <w:tcPr>
            <w:tcW w:w="2313" w:type="dxa"/>
            <w:tcBorders>
              <w:top w:val="single" w:sz="4" w:space="0" w:color="auto"/>
              <w:left w:val="single" w:sz="4" w:space="0" w:color="auto"/>
              <w:bottom w:val="single" w:sz="4" w:space="0" w:color="auto"/>
              <w:right w:val="single" w:sz="4" w:space="0" w:color="auto"/>
            </w:tcBorders>
          </w:tcPr>
          <w:p w14:paraId="33FEBAD5" w14:textId="77777777" w:rsidR="007428D9" w:rsidRPr="00BD36C9" w:rsidRDefault="007428D9" w:rsidP="00BD36C9">
            <w:pPr>
              <w:spacing w:line="360" w:lineRule="auto"/>
              <w:rPr>
                <w:rFonts w:ascii="Times New Roman"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hideMark/>
          </w:tcPr>
          <w:p w14:paraId="4E52565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Values</w:t>
            </w:r>
          </w:p>
        </w:tc>
        <w:tc>
          <w:tcPr>
            <w:tcW w:w="1872" w:type="dxa"/>
            <w:tcBorders>
              <w:top w:val="single" w:sz="4" w:space="0" w:color="auto"/>
              <w:left w:val="single" w:sz="4" w:space="0" w:color="auto"/>
              <w:bottom w:val="single" w:sz="4" w:space="0" w:color="auto"/>
              <w:right w:val="single" w:sz="4" w:space="0" w:color="auto"/>
            </w:tcBorders>
            <w:hideMark/>
          </w:tcPr>
          <w:p w14:paraId="47C6529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df</w:t>
            </w:r>
          </w:p>
        </w:tc>
        <w:tc>
          <w:tcPr>
            <w:tcW w:w="2372" w:type="dxa"/>
            <w:tcBorders>
              <w:top w:val="single" w:sz="4" w:space="0" w:color="auto"/>
              <w:left w:val="single" w:sz="4" w:space="0" w:color="auto"/>
              <w:bottom w:val="single" w:sz="4" w:space="0" w:color="auto"/>
              <w:right w:val="single" w:sz="4" w:space="0" w:color="auto"/>
            </w:tcBorders>
            <w:hideMark/>
          </w:tcPr>
          <w:p w14:paraId="1E5A692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Asymptotic Significance</w:t>
            </w:r>
          </w:p>
        </w:tc>
      </w:tr>
      <w:tr w:rsidR="007428D9" w:rsidRPr="00BD36C9" w14:paraId="1F8AF8F1" w14:textId="77777777" w:rsidTr="00133A35">
        <w:trPr>
          <w:trHeight w:val="484"/>
        </w:trPr>
        <w:tc>
          <w:tcPr>
            <w:tcW w:w="2313" w:type="dxa"/>
            <w:tcBorders>
              <w:top w:val="single" w:sz="4" w:space="0" w:color="auto"/>
              <w:left w:val="single" w:sz="4" w:space="0" w:color="auto"/>
              <w:bottom w:val="single" w:sz="4" w:space="0" w:color="auto"/>
              <w:right w:val="single" w:sz="4" w:space="0" w:color="auto"/>
            </w:tcBorders>
            <w:hideMark/>
          </w:tcPr>
          <w:p w14:paraId="261AF2FE"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Pearson Chi-Square</w:t>
            </w:r>
          </w:p>
        </w:tc>
        <w:tc>
          <w:tcPr>
            <w:tcW w:w="1929" w:type="dxa"/>
            <w:tcBorders>
              <w:top w:val="single" w:sz="4" w:space="0" w:color="auto"/>
              <w:left w:val="single" w:sz="4" w:space="0" w:color="auto"/>
              <w:bottom w:val="single" w:sz="4" w:space="0" w:color="auto"/>
              <w:right w:val="single" w:sz="4" w:space="0" w:color="auto"/>
            </w:tcBorders>
            <w:hideMark/>
          </w:tcPr>
          <w:p w14:paraId="72E8B0F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11.32</w:t>
            </w:r>
          </w:p>
        </w:tc>
        <w:tc>
          <w:tcPr>
            <w:tcW w:w="1872" w:type="dxa"/>
            <w:tcBorders>
              <w:top w:val="single" w:sz="4" w:space="0" w:color="auto"/>
              <w:left w:val="single" w:sz="4" w:space="0" w:color="auto"/>
              <w:bottom w:val="single" w:sz="4" w:space="0" w:color="auto"/>
              <w:right w:val="single" w:sz="4" w:space="0" w:color="auto"/>
            </w:tcBorders>
            <w:hideMark/>
          </w:tcPr>
          <w:p w14:paraId="63DA0ADC"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372" w:type="dxa"/>
            <w:tcBorders>
              <w:top w:val="single" w:sz="4" w:space="0" w:color="auto"/>
              <w:left w:val="single" w:sz="4" w:space="0" w:color="auto"/>
              <w:bottom w:val="single" w:sz="4" w:space="0" w:color="auto"/>
              <w:right w:val="single" w:sz="4" w:space="0" w:color="auto"/>
            </w:tcBorders>
            <w:hideMark/>
          </w:tcPr>
          <w:p w14:paraId="3EDF81FF"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0.0035</w:t>
            </w:r>
          </w:p>
        </w:tc>
      </w:tr>
      <w:tr w:rsidR="007428D9" w:rsidRPr="00BD36C9" w14:paraId="3F6963A3" w14:textId="77777777" w:rsidTr="00133A35">
        <w:trPr>
          <w:trHeight w:val="513"/>
        </w:trPr>
        <w:tc>
          <w:tcPr>
            <w:tcW w:w="2313" w:type="dxa"/>
            <w:tcBorders>
              <w:top w:val="single" w:sz="4" w:space="0" w:color="auto"/>
              <w:left w:val="single" w:sz="4" w:space="0" w:color="auto"/>
              <w:bottom w:val="single" w:sz="4" w:space="0" w:color="auto"/>
              <w:right w:val="single" w:sz="4" w:space="0" w:color="auto"/>
            </w:tcBorders>
            <w:hideMark/>
          </w:tcPr>
          <w:p w14:paraId="317CFF35"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Livelihood Ratio</w:t>
            </w:r>
          </w:p>
        </w:tc>
        <w:tc>
          <w:tcPr>
            <w:tcW w:w="1929" w:type="dxa"/>
            <w:tcBorders>
              <w:top w:val="single" w:sz="4" w:space="0" w:color="auto"/>
              <w:left w:val="single" w:sz="4" w:space="0" w:color="auto"/>
              <w:bottom w:val="single" w:sz="4" w:space="0" w:color="auto"/>
              <w:right w:val="single" w:sz="4" w:space="0" w:color="auto"/>
            </w:tcBorders>
            <w:hideMark/>
          </w:tcPr>
          <w:p w14:paraId="23575CF0"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11.68</w:t>
            </w:r>
          </w:p>
        </w:tc>
        <w:tc>
          <w:tcPr>
            <w:tcW w:w="1872" w:type="dxa"/>
            <w:tcBorders>
              <w:top w:val="single" w:sz="4" w:space="0" w:color="auto"/>
              <w:left w:val="single" w:sz="4" w:space="0" w:color="auto"/>
              <w:bottom w:val="single" w:sz="4" w:space="0" w:color="auto"/>
              <w:right w:val="single" w:sz="4" w:space="0" w:color="auto"/>
            </w:tcBorders>
            <w:hideMark/>
          </w:tcPr>
          <w:p w14:paraId="69951E0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2</w:t>
            </w:r>
          </w:p>
        </w:tc>
        <w:tc>
          <w:tcPr>
            <w:tcW w:w="2372" w:type="dxa"/>
            <w:tcBorders>
              <w:top w:val="single" w:sz="4" w:space="0" w:color="auto"/>
              <w:left w:val="single" w:sz="4" w:space="0" w:color="auto"/>
              <w:bottom w:val="single" w:sz="4" w:space="0" w:color="auto"/>
              <w:right w:val="single" w:sz="4" w:space="0" w:color="auto"/>
            </w:tcBorders>
            <w:hideMark/>
          </w:tcPr>
          <w:p w14:paraId="18ACFCC2"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0.0029</w:t>
            </w:r>
          </w:p>
        </w:tc>
      </w:tr>
      <w:tr w:rsidR="007428D9" w:rsidRPr="00BD36C9" w14:paraId="6A976DAC" w14:textId="77777777" w:rsidTr="00133A35">
        <w:trPr>
          <w:trHeight w:val="484"/>
        </w:trPr>
        <w:tc>
          <w:tcPr>
            <w:tcW w:w="2313" w:type="dxa"/>
            <w:tcBorders>
              <w:top w:val="single" w:sz="4" w:space="0" w:color="auto"/>
              <w:left w:val="single" w:sz="4" w:space="0" w:color="auto"/>
              <w:bottom w:val="single" w:sz="4" w:space="0" w:color="auto"/>
              <w:right w:val="single" w:sz="4" w:space="0" w:color="auto"/>
            </w:tcBorders>
            <w:hideMark/>
          </w:tcPr>
          <w:p w14:paraId="492030CB"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 xml:space="preserve">Linear-by Linear </w:t>
            </w:r>
          </w:p>
          <w:p w14:paraId="72FCA7A5"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Association</w:t>
            </w:r>
          </w:p>
        </w:tc>
        <w:tc>
          <w:tcPr>
            <w:tcW w:w="1929" w:type="dxa"/>
            <w:tcBorders>
              <w:top w:val="single" w:sz="4" w:space="0" w:color="auto"/>
              <w:left w:val="single" w:sz="4" w:space="0" w:color="auto"/>
              <w:bottom w:val="single" w:sz="4" w:space="0" w:color="auto"/>
              <w:right w:val="single" w:sz="4" w:space="0" w:color="auto"/>
            </w:tcBorders>
            <w:hideMark/>
          </w:tcPr>
          <w:p w14:paraId="61B86538"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10.85</w:t>
            </w:r>
          </w:p>
        </w:tc>
        <w:tc>
          <w:tcPr>
            <w:tcW w:w="1872" w:type="dxa"/>
            <w:tcBorders>
              <w:top w:val="single" w:sz="4" w:space="0" w:color="auto"/>
              <w:left w:val="single" w:sz="4" w:space="0" w:color="auto"/>
              <w:bottom w:val="single" w:sz="4" w:space="0" w:color="auto"/>
              <w:right w:val="single" w:sz="4" w:space="0" w:color="auto"/>
            </w:tcBorders>
            <w:hideMark/>
          </w:tcPr>
          <w:p w14:paraId="7A0FEDFB"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w:t>
            </w:r>
          </w:p>
        </w:tc>
        <w:tc>
          <w:tcPr>
            <w:tcW w:w="2372" w:type="dxa"/>
            <w:tcBorders>
              <w:top w:val="single" w:sz="4" w:space="0" w:color="auto"/>
              <w:left w:val="single" w:sz="4" w:space="0" w:color="auto"/>
              <w:bottom w:val="single" w:sz="4" w:space="0" w:color="auto"/>
              <w:right w:val="single" w:sz="4" w:space="0" w:color="auto"/>
            </w:tcBorders>
            <w:hideMark/>
          </w:tcPr>
          <w:p w14:paraId="5029B1D1"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0.0010</w:t>
            </w:r>
          </w:p>
        </w:tc>
      </w:tr>
      <w:tr w:rsidR="007428D9" w:rsidRPr="00BD36C9" w14:paraId="4660044E" w14:textId="77777777" w:rsidTr="00133A35">
        <w:trPr>
          <w:trHeight w:val="484"/>
        </w:trPr>
        <w:tc>
          <w:tcPr>
            <w:tcW w:w="2313" w:type="dxa"/>
            <w:tcBorders>
              <w:top w:val="single" w:sz="4" w:space="0" w:color="auto"/>
              <w:left w:val="single" w:sz="4" w:space="0" w:color="auto"/>
              <w:bottom w:val="single" w:sz="4" w:space="0" w:color="auto"/>
              <w:right w:val="single" w:sz="4" w:space="0" w:color="auto"/>
            </w:tcBorders>
            <w:hideMark/>
          </w:tcPr>
          <w:p w14:paraId="4E575C04"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 xml:space="preserve"> No. of Valid Cases</w:t>
            </w:r>
          </w:p>
        </w:tc>
        <w:tc>
          <w:tcPr>
            <w:tcW w:w="1929" w:type="dxa"/>
            <w:tcBorders>
              <w:top w:val="single" w:sz="4" w:space="0" w:color="auto"/>
              <w:left w:val="single" w:sz="4" w:space="0" w:color="auto"/>
              <w:bottom w:val="single" w:sz="4" w:space="0" w:color="auto"/>
              <w:right w:val="single" w:sz="4" w:space="0" w:color="auto"/>
            </w:tcBorders>
            <w:hideMark/>
          </w:tcPr>
          <w:p w14:paraId="0871DAF3" w14:textId="77777777" w:rsidR="007428D9" w:rsidRPr="00BD36C9" w:rsidRDefault="007428D9" w:rsidP="00BD36C9">
            <w:pPr>
              <w:spacing w:line="360" w:lineRule="auto"/>
              <w:rPr>
                <w:rFonts w:ascii="Times New Roman" w:hAnsi="Times New Roman" w:cs="Times New Roman"/>
                <w:sz w:val="24"/>
                <w:szCs w:val="24"/>
              </w:rPr>
            </w:pPr>
            <w:r w:rsidRPr="00BD36C9">
              <w:rPr>
                <w:rFonts w:ascii="Times New Roman" w:hAnsi="Times New Roman" w:cs="Times New Roman"/>
                <w:sz w:val="24"/>
                <w:szCs w:val="24"/>
              </w:rPr>
              <w:t>170</w:t>
            </w:r>
          </w:p>
        </w:tc>
        <w:tc>
          <w:tcPr>
            <w:tcW w:w="1872" w:type="dxa"/>
            <w:tcBorders>
              <w:top w:val="single" w:sz="4" w:space="0" w:color="auto"/>
              <w:left w:val="single" w:sz="4" w:space="0" w:color="auto"/>
              <w:bottom w:val="single" w:sz="4" w:space="0" w:color="auto"/>
              <w:right w:val="single" w:sz="4" w:space="0" w:color="auto"/>
            </w:tcBorders>
          </w:tcPr>
          <w:p w14:paraId="12E9596C" w14:textId="77777777" w:rsidR="007428D9" w:rsidRPr="00BD36C9" w:rsidRDefault="007428D9" w:rsidP="00BD36C9">
            <w:pPr>
              <w:spacing w:line="360" w:lineRule="auto"/>
              <w:rPr>
                <w:rFonts w:ascii="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14:paraId="1D18401B" w14:textId="77777777" w:rsidR="007428D9" w:rsidRPr="00BD36C9" w:rsidRDefault="007428D9" w:rsidP="00BD36C9">
            <w:pPr>
              <w:spacing w:line="360" w:lineRule="auto"/>
              <w:rPr>
                <w:rFonts w:ascii="Times New Roman" w:hAnsi="Times New Roman" w:cs="Times New Roman"/>
                <w:sz w:val="24"/>
                <w:szCs w:val="24"/>
              </w:rPr>
            </w:pPr>
          </w:p>
        </w:tc>
      </w:tr>
    </w:tbl>
    <w:p w14:paraId="379198DE" w14:textId="131E1049" w:rsidR="007428D9" w:rsidRPr="00BD36C9" w:rsidRDefault="007428D9" w:rsidP="00EC5C25">
      <w:pPr>
        <w:spacing w:line="360" w:lineRule="auto"/>
        <w:rPr>
          <w:rFonts w:ascii="Times New Roman" w:eastAsia="Times New Roman" w:hAnsi="Times New Roman" w:cs="Times New Roman"/>
          <w:b/>
          <w:bCs/>
          <w:sz w:val="24"/>
          <w:szCs w:val="24"/>
        </w:rPr>
      </w:pPr>
      <w:r w:rsidRPr="00BD36C9">
        <w:rPr>
          <w:rFonts w:ascii="Times New Roman" w:hAnsi="Times New Roman" w:cs="Times New Roman"/>
        </w:rPr>
        <w:t xml:space="preserve">a.1 cell (16.7%) has expected count less than 5. Minimum expected count is 3.22.  </w:t>
      </w:r>
    </w:p>
    <w:p w14:paraId="03166A52" w14:textId="4AF96C1D" w:rsidR="0011695C" w:rsidRPr="00BD36C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w:t>
      </w:r>
      <w:r w:rsidR="007F3D73" w:rsidRPr="00BD36C9">
        <w:rPr>
          <w:rFonts w:ascii="Times New Roman" w:eastAsia="Times New Roman" w:hAnsi="Times New Roman" w:cs="Times New Roman"/>
          <w:b/>
          <w:bCs/>
          <w:sz w:val="24"/>
          <w:szCs w:val="24"/>
        </w:rPr>
        <w:t>hematic analysis</w:t>
      </w:r>
    </w:p>
    <w:p w14:paraId="0DF990BA" w14:textId="1157FACD" w:rsidR="007428D9" w:rsidRPr="00BD36C9" w:rsidRDefault="002D0540" w:rsidP="00BD36C9">
      <w:pPr>
        <w:pStyle w:val="Heading2"/>
        <w:numPr>
          <w:ilvl w:val="0"/>
          <w:numId w:val="0"/>
        </w:numPr>
        <w:rPr>
          <w:sz w:val="27"/>
          <w:szCs w:val="27"/>
        </w:rPr>
      </w:pPr>
      <w:bookmarkStart w:id="5" w:name="_Toc207012608"/>
      <w:r>
        <w:lastRenderedPageBreak/>
        <w:t xml:space="preserve"> </w:t>
      </w:r>
      <w:r w:rsidR="007428D9" w:rsidRPr="00BD36C9">
        <w:t>Traditional</w:t>
      </w:r>
      <w:r w:rsidR="007428D9" w:rsidRPr="00BD36C9">
        <w:rPr>
          <w:sz w:val="27"/>
          <w:szCs w:val="27"/>
        </w:rPr>
        <w:t xml:space="preserve"> </w:t>
      </w:r>
      <w:r w:rsidR="007F3D73" w:rsidRPr="00BD36C9">
        <w:t>knowledge and practices as a strategy for forest resource management</w:t>
      </w:r>
      <w:bookmarkEnd w:id="5"/>
    </w:p>
    <w:p w14:paraId="3A31E73F"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Traditional ecological knowledge (TEK) functions not merely as cultural heritage but as a strategic mechanism for regulating human interaction with the environment. In both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traditional beliefs and practices serve as informal yet powerful governance systems that supplement or, in some cases, substitute formal conservation strategies. These practices encode ecological knowledge in rituals, taboos, and oral instruction, shaping forest behavior and decision-making. However, their application and effectiveness as strategies differ markedly between the two communities, yielding distinct conservation outcomes.</w:t>
      </w:r>
    </w:p>
    <w:p w14:paraId="278124CB"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traditional knowledge is applied strategically through an integrated system of taboos, oral transmission, and sacred forest zoning. For instance, certain tree species are avoided not because of formal environmental law, but due to beliefs about spiritual guardianship and ancestral disapproval. These restrictions are strategic in function: they limit overharvesting, preserve biodiversity hotspots, and ensure ecosystem regeneration through rotational harvesting and s</w:t>
      </w:r>
      <w:r w:rsidR="00CD4F78" w:rsidRPr="00BD36C9">
        <w:rPr>
          <w:rFonts w:ascii="Times New Roman" w:eastAsia="Times New Roman" w:hAnsi="Times New Roman" w:cs="Times New Roman"/>
          <w:sz w:val="24"/>
          <w:szCs w:val="24"/>
        </w:rPr>
        <w:t>easonal observance. As one Informant</w:t>
      </w:r>
      <w:r w:rsidRPr="00BD36C9">
        <w:rPr>
          <w:rFonts w:ascii="Times New Roman" w:eastAsia="Times New Roman" w:hAnsi="Times New Roman" w:cs="Times New Roman"/>
          <w:sz w:val="24"/>
          <w:szCs w:val="24"/>
        </w:rPr>
        <w:t xml:space="preserve"> explained, </w:t>
      </w:r>
      <w:r w:rsidRPr="00BD36C9">
        <w:rPr>
          <w:rFonts w:ascii="Times New Roman" w:eastAsia="Times New Roman" w:hAnsi="Times New Roman" w:cs="Times New Roman"/>
          <w:i/>
          <w:iCs/>
          <w:sz w:val="24"/>
          <w:szCs w:val="24"/>
        </w:rPr>
        <w:t>“We don’t need a forest officer to tell us what to do. Our ancestors already taught us.”</w:t>
      </w:r>
      <w:r w:rsidRPr="00BD36C9">
        <w:rPr>
          <w:rFonts w:ascii="Times New Roman" w:eastAsia="Times New Roman" w:hAnsi="Times New Roman" w:cs="Times New Roman"/>
          <w:sz w:val="24"/>
          <w:szCs w:val="24"/>
        </w:rPr>
        <w:t xml:space="preserve"> This reflects the concept of embedded governance, where cultural norms act as institutional substitutes for formal policy enforcement a phenomenon also noted by </w:t>
      </w:r>
      <w:proofErr w:type="spellStart"/>
      <w:r w:rsidRPr="00BD36C9">
        <w:rPr>
          <w:rFonts w:ascii="Times New Roman" w:eastAsia="Times New Roman" w:hAnsi="Times New Roman" w:cs="Times New Roman"/>
          <w:sz w:val="24"/>
          <w:szCs w:val="24"/>
        </w:rPr>
        <w:t>Berkes</w:t>
      </w:r>
      <w:proofErr w:type="spellEnd"/>
      <w:r w:rsidRPr="00BD36C9">
        <w:rPr>
          <w:rFonts w:ascii="Times New Roman" w:eastAsia="Times New Roman" w:hAnsi="Times New Roman" w:cs="Times New Roman"/>
          <w:sz w:val="24"/>
          <w:szCs w:val="24"/>
        </w:rPr>
        <w:t xml:space="preserve"> (2018) in his analysis of community-based resource management systems globally.</w:t>
      </w:r>
    </w:p>
    <w:p w14:paraId="1C8E92A0" w14:textId="2EB3C776"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Moreover, </w:t>
      </w:r>
      <w:proofErr w:type="spellStart"/>
      <w:r w:rsidRPr="00BD36C9">
        <w:rPr>
          <w:rFonts w:ascii="Times New Roman" w:eastAsia="Times New Roman" w:hAnsi="Times New Roman" w:cs="Times New Roman"/>
          <w:sz w:val="24"/>
          <w:szCs w:val="24"/>
        </w:rPr>
        <w:t>Nchumuru’s</w:t>
      </w:r>
      <w:proofErr w:type="spellEnd"/>
      <w:r w:rsidRPr="00BD36C9">
        <w:rPr>
          <w:rFonts w:ascii="Times New Roman" w:eastAsia="Times New Roman" w:hAnsi="Times New Roman" w:cs="Times New Roman"/>
          <w:sz w:val="24"/>
          <w:szCs w:val="24"/>
        </w:rPr>
        <w:t xml:space="preserve"> use of traditional practices is cohesively enforced through social sanctions and spiritual fear. Violating forest taboos can result in illness, ostracism, or rituals of appeasement mechanisms that collectively reduce rule-breaking.</w:t>
      </w:r>
      <w:r w:rsidR="00077AFA">
        <w:rPr>
          <w:rFonts w:ascii="Times New Roman" w:eastAsia="Times New Roman" w:hAnsi="Times New Roman" w:cs="Times New Roman"/>
          <w:sz w:val="24"/>
          <w:szCs w:val="24"/>
        </w:rPr>
        <w:t xml:space="preserve"> </w:t>
      </w:r>
      <w:r w:rsidRPr="00BD36C9">
        <w:rPr>
          <w:rFonts w:ascii="Times New Roman" w:eastAsia="Times New Roman" w:hAnsi="Times New Roman" w:cs="Times New Roman"/>
          <w:sz w:val="24"/>
          <w:szCs w:val="24"/>
        </w:rPr>
        <w:t>In strategic terms, this approach reduces enforcement costs and enhances compliance, offering a self-policing system that functions without the need for constant surveillance. This aligns with findings by Ormsby (2021), who highlights sacred groves as de facto conservation zones due to their embedded cultural significance.</w:t>
      </w:r>
    </w:p>
    <w:p w14:paraId="7D49A03D" w14:textId="41F7D308" w:rsidR="00744C1E"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contrast, the Adele community employs traditional knowledge more selectively and in a weakened strategic capacity. While sacred groves and forest taboos still exist, their role as regulatory tools is increasingly symbolic rather than functional. </w:t>
      </w:r>
    </w:p>
    <w:p w14:paraId="0C953CCC" w14:textId="77777777" w:rsidR="00744C1E"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lastRenderedPageBreak/>
        <w:t>Many younger community members do not internalize these practices as authoritative, thereby reducing their efficacy. As one young adult shared</w:t>
      </w:r>
      <w:r w:rsidR="00CD4F78" w:rsidRPr="00BD36C9">
        <w:rPr>
          <w:rFonts w:ascii="Times New Roman" w:eastAsia="Times New Roman" w:hAnsi="Times New Roman" w:cs="Times New Roman"/>
          <w:sz w:val="24"/>
          <w:szCs w:val="24"/>
        </w:rPr>
        <w:t xml:space="preserve"> in a Focus group discussion</w:t>
      </w:r>
      <w:r w:rsidRP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i/>
          <w:iCs/>
          <w:sz w:val="24"/>
          <w:szCs w:val="24"/>
        </w:rPr>
        <w:t>“We know about the taboos, but people don’t take them seriously anymore. If someone needs land, they go in.”</w:t>
      </w:r>
      <w:r w:rsidRPr="00BD36C9">
        <w:rPr>
          <w:rFonts w:ascii="Times New Roman" w:eastAsia="Times New Roman" w:hAnsi="Times New Roman" w:cs="Times New Roman"/>
          <w:sz w:val="24"/>
          <w:szCs w:val="24"/>
        </w:rPr>
        <w:t xml:space="preserve"> Here, traditional knowledge lacks strategic enforcement power, especially in the face of livelihood pressures and shifting value systems.</w:t>
      </w:r>
    </w:p>
    <w:p w14:paraId="544A22AB"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difference suggests a strategic decoupling in Adele, where traditional norms exist alongside external conservation efforts, such as NGO programs, but are not tightly integrated into everyday forest management behavior. Adele’s approach thus leans toward hybrid governance, where modern techniques are introduced but not necessarily anchored in indigenous practices. The strategic function of tradition is contingent, often reactivated through external prompting rather than internal cultural momentum.  </w:t>
      </w:r>
    </w:p>
    <w:p w14:paraId="769868B7" w14:textId="6C55ECFA" w:rsidR="007428D9" w:rsidRPr="00BD36C9" w:rsidRDefault="002D0540" w:rsidP="00BD36C9">
      <w:pPr>
        <w:pStyle w:val="Heading2"/>
        <w:numPr>
          <w:ilvl w:val="0"/>
          <w:numId w:val="0"/>
        </w:numPr>
      </w:pPr>
      <w:bookmarkStart w:id="6" w:name="_Toc207012609"/>
      <w:r>
        <w:t xml:space="preserve"> </w:t>
      </w:r>
      <w:r w:rsidR="007428D9" w:rsidRPr="00BD36C9">
        <w:t xml:space="preserve">Sanctions and </w:t>
      </w:r>
      <w:r w:rsidR="007F3D73" w:rsidRPr="00BD36C9">
        <w:t>enforcement as strategies for forest governance</w:t>
      </w:r>
      <w:bookmarkEnd w:id="6"/>
    </w:p>
    <w:p w14:paraId="4FF631C3"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Sanctions are a fundamental </w:t>
      </w:r>
      <w:r w:rsidRPr="00BD36C9">
        <w:rPr>
          <w:rFonts w:ascii="Times New Roman" w:eastAsia="Times New Roman" w:hAnsi="Times New Roman" w:cs="Times New Roman"/>
          <w:bCs/>
          <w:sz w:val="24"/>
          <w:szCs w:val="24"/>
        </w:rPr>
        <w:t>governance strategy</w:t>
      </w:r>
      <w:r w:rsidRPr="00BD36C9">
        <w:rPr>
          <w:rFonts w:ascii="Times New Roman" w:eastAsia="Times New Roman" w:hAnsi="Times New Roman" w:cs="Times New Roman"/>
          <w:sz w:val="24"/>
          <w:szCs w:val="24"/>
        </w:rPr>
        <w:t xml:space="preserve"> in community-based forest management, serving as both deterrents and corrective mechanisms. In both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sanctions are present, but their </w:t>
      </w:r>
      <w:r w:rsidRPr="00BD36C9">
        <w:rPr>
          <w:rFonts w:ascii="Times New Roman" w:eastAsia="Times New Roman" w:hAnsi="Times New Roman" w:cs="Times New Roman"/>
          <w:bCs/>
          <w:sz w:val="24"/>
          <w:szCs w:val="24"/>
        </w:rPr>
        <w:t>credibility and enforcement power</w:t>
      </w:r>
      <w:r w:rsidRPr="00BD36C9">
        <w:rPr>
          <w:rFonts w:ascii="Times New Roman" w:eastAsia="Times New Roman" w:hAnsi="Times New Roman" w:cs="Times New Roman"/>
          <w:sz w:val="24"/>
          <w:szCs w:val="24"/>
        </w:rPr>
        <w:t xml:space="preserve"> vary. Field narratives show that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sanctions enjoy </w:t>
      </w:r>
      <w:r w:rsidRPr="00BD36C9">
        <w:rPr>
          <w:rFonts w:ascii="Times New Roman" w:eastAsia="Times New Roman" w:hAnsi="Times New Roman" w:cs="Times New Roman"/>
          <w:bCs/>
          <w:sz w:val="24"/>
          <w:szCs w:val="24"/>
        </w:rPr>
        <w:t>broad-based legitimacy</w:t>
      </w:r>
      <w:r w:rsidRPr="00BD36C9">
        <w:rPr>
          <w:rFonts w:ascii="Times New Roman" w:eastAsia="Times New Roman" w:hAnsi="Times New Roman" w:cs="Times New Roman"/>
          <w:sz w:val="24"/>
          <w:szCs w:val="24"/>
        </w:rPr>
        <w:t>, while in Adele they are increasingly contested, particularly among younger generations.</w:t>
      </w:r>
    </w:p>
    <w:p w14:paraId="32DFD44A" w14:textId="19E9F450"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w:t>
      </w:r>
      <w:proofErr w:type="spellStart"/>
      <w:r w:rsidRPr="00BD36C9">
        <w:rPr>
          <w:rFonts w:ascii="Times New Roman" w:eastAsia="Times New Roman" w:hAnsi="Times New Roman" w:cs="Times New Roman"/>
          <w:bCs/>
          <w:sz w:val="24"/>
          <w:szCs w:val="24"/>
        </w:rPr>
        <w:t>Nchumuru</w:t>
      </w:r>
      <w:proofErr w:type="spellEnd"/>
      <w:r w:rsidRPr="00BD36C9">
        <w:rPr>
          <w:rFonts w:ascii="Times New Roman" w:eastAsia="Times New Roman" w:hAnsi="Times New Roman" w:cs="Times New Roman"/>
          <w:bCs/>
          <w:sz w:val="24"/>
          <w:szCs w:val="24"/>
        </w:rPr>
        <w:t xml:space="preserve"> community</w:t>
      </w:r>
      <w:r w:rsidRPr="00BD36C9">
        <w:rPr>
          <w:rFonts w:ascii="Times New Roman" w:eastAsia="Times New Roman" w:hAnsi="Times New Roman" w:cs="Times New Roman"/>
          <w:sz w:val="24"/>
          <w:szCs w:val="24"/>
        </w:rPr>
        <w:t xml:space="preserve">, the </w:t>
      </w:r>
      <w:r w:rsidRPr="00BD36C9">
        <w:rPr>
          <w:rFonts w:ascii="Times New Roman" w:eastAsia="Times New Roman" w:hAnsi="Times New Roman" w:cs="Times New Roman"/>
          <w:bCs/>
          <w:sz w:val="24"/>
          <w:szCs w:val="24"/>
        </w:rPr>
        <w:t>majority of respondents strongly affirmed</w:t>
      </w:r>
      <w:r w:rsidRPr="00BD36C9">
        <w:rPr>
          <w:rFonts w:ascii="Times New Roman" w:eastAsia="Times New Roman" w:hAnsi="Times New Roman" w:cs="Times New Roman"/>
          <w:sz w:val="24"/>
          <w:szCs w:val="24"/>
        </w:rPr>
        <w:t xml:space="preserve"> that sanctions are effective because they combine spiritual fear with socia</w:t>
      </w:r>
      <w:r w:rsidR="006D297C" w:rsidRPr="00BD36C9">
        <w:rPr>
          <w:rFonts w:ascii="Times New Roman" w:eastAsia="Times New Roman" w:hAnsi="Times New Roman" w:cs="Times New Roman"/>
          <w:sz w:val="24"/>
          <w:szCs w:val="24"/>
        </w:rPr>
        <w:t xml:space="preserve">l enforcement. As several </w:t>
      </w:r>
      <w:r w:rsidR="00077AFA" w:rsidRPr="00BD36C9">
        <w:rPr>
          <w:rFonts w:ascii="Times New Roman" w:eastAsia="Times New Roman" w:hAnsi="Times New Roman" w:cs="Times New Roman"/>
          <w:sz w:val="24"/>
          <w:szCs w:val="24"/>
        </w:rPr>
        <w:t>elders expressed</w:t>
      </w:r>
      <w:r w:rsidR="006D297C" w:rsidRPr="00BD36C9">
        <w:rPr>
          <w:rFonts w:ascii="Times New Roman" w:eastAsia="Times New Roman" w:hAnsi="Times New Roman" w:cs="Times New Roman"/>
          <w:sz w:val="24"/>
          <w:szCs w:val="24"/>
        </w:rPr>
        <w:t xml:space="preserve"> in a Focus group discussion</w:t>
      </w:r>
      <w:r w:rsidRPr="00BD36C9">
        <w:rPr>
          <w:rFonts w:ascii="Times New Roman" w:eastAsia="Times New Roman" w:hAnsi="Times New Roman" w:cs="Times New Roman"/>
          <w:sz w:val="24"/>
          <w:szCs w:val="24"/>
        </w:rPr>
        <w:t xml:space="preserve">, </w:t>
      </w:r>
      <w:r w:rsidRPr="00BD36C9">
        <w:rPr>
          <w:rFonts w:ascii="Times New Roman" w:eastAsia="Times New Roman" w:hAnsi="Times New Roman" w:cs="Times New Roman"/>
          <w:i/>
          <w:iCs/>
          <w:sz w:val="24"/>
          <w:szCs w:val="24"/>
        </w:rPr>
        <w:t>“If you break the forest rules, the ancestors punish you even before the elders act.”</w:t>
      </w:r>
      <w:r w:rsidRPr="00BD36C9">
        <w:rPr>
          <w:rFonts w:ascii="Times New Roman" w:eastAsia="Times New Roman" w:hAnsi="Times New Roman" w:cs="Times New Roman"/>
          <w:sz w:val="24"/>
          <w:szCs w:val="24"/>
        </w:rPr>
        <w:t xml:space="preserve"> Others added, </w:t>
      </w:r>
      <w:r w:rsidRPr="00BD36C9">
        <w:rPr>
          <w:rFonts w:ascii="Times New Roman" w:eastAsia="Times New Roman" w:hAnsi="Times New Roman" w:cs="Times New Roman"/>
          <w:i/>
          <w:iCs/>
          <w:sz w:val="24"/>
          <w:szCs w:val="24"/>
        </w:rPr>
        <w:t>“No one wants to risk his or her life, so we all try obey.”</w:t>
      </w:r>
      <w:r w:rsidRPr="00BD36C9">
        <w:rPr>
          <w:rFonts w:ascii="Times New Roman" w:eastAsia="Times New Roman" w:hAnsi="Times New Roman" w:cs="Times New Roman"/>
          <w:sz w:val="24"/>
          <w:szCs w:val="24"/>
        </w:rPr>
        <w:t xml:space="preserve"> This majority view shows that sanctions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are not merely symbolic but are actively </w:t>
      </w:r>
      <w:r w:rsidRPr="00BD36C9">
        <w:rPr>
          <w:rFonts w:ascii="Times New Roman" w:eastAsia="Times New Roman" w:hAnsi="Times New Roman" w:cs="Times New Roman"/>
          <w:bCs/>
          <w:sz w:val="24"/>
          <w:szCs w:val="24"/>
        </w:rPr>
        <w:t>internalized as preventive strategies</w:t>
      </w:r>
      <w:r w:rsidRPr="00BD36C9">
        <w:rPr>
          <w:rFonts w:ascii="Times New Roman" w:eastAsia="Times New Roman" w:hAnsi="Times New Roman" w:cs="Times New Roman"/>
          <w:sz w:val="24"/>
          <w:szCs w:val="24"/>
        </w:rPr>
        <w:t xml:space="preserve">. Violations are rare precisely because most people believe consequences are both inevitable and severe. When breaches occur, the community enforces them through fines, ritual cleansing, or temporary ostracism. These collective accounts highlight that sanctions here function as </w:t>
      </w:r>
      <w:r w:rsidRPr="00BD36C9">
        <w:rPr>
          <w:rFonts w:ascii="Times New Roman" w:eastAsia="Times New Roman" w:hAnsi="Times New Roman" w:cs="Times New Roman"/>
          <w:bCs/>
          <w:sz w:val="24"/>
          <w:szCs w:val="24"/>
        </w:rPr>
        <w:t>self-enforcing institutions</w:t>
      </w:r>
      <w:r w:rsidRPr="00BD36C9">
        <w:rPr>
          <w:rFonts w:ascii="Times New Roman" w:eastAsia="Times New Roman" w:hAnsi="Times New Roman" w:cs="Times New Roman"/>
          <w:sz w:val="24"/>
          <w:szCs w:val="24"/>
        </w:rPr>
        <w:t>, confirming Ostrom’s (1990) principle that strong community norms reduce monitoring costs and increase compliance.</w:t>
      </w:r>
    </w:p>
    <w:p w14:paraId="528128C2" w14:textId="3F4E6626" w:rsidR="00744C1E" w:rsidRPr="00BD36C9" w:rsidRDefault="007428D9" w:rsidP="00BD36C9">
      <w:pPr>
        <w:spacing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lastRenderedPageBreak/>
        <w:t xml:space="preserve">In the </w:t>
      </w:r>
      <w:r w:rsidRPr="00BD36C9">
        <w:rPr>
          <w:rFonts w:ascii="Times New Roman" w:eastAsia="Times New Roman" w:hAnsi="Times New Roman" w:cs="Times New Roman"/>
          <w:bCs/>
          <w:sz w:val="24"/>
          <w:szCs w:val="24"/>
        </w:rPr>
        <w:t>Adele community</w:t>
      </w:r>
      <w:r w:rsidRPr="00BD36C9">
        <w:rPr>
          <w:rFonts w:ascii="Times New Roman" w:eastAsia="Times New Roman" w:hAnsi="Times New Roman" w:cs="Times New Roman"/>
          <w:sz w:val="24"/>
          <w:szCs w:val="24"/>
        </w:rPr>
        <w:t xml:space="preserve">, however, the </w:t>
      </w:r>
      <w:r w:rsidRPr="00BD36C9">
        <w:rPr>
          <w:rFonts w:ascii="Times New Roman" w:eastAsia="Times New Roman" w:hAnsi="Times New Roman" w:cs="Times New Roman"/>
          <w:bCs/>
          <w:sz w:val="24"/>
          <w:szCs w:val="24"/>
        </w:rPr>
        <w:t>majority opinion reflected skepticism</w:t>
      </w:r>
      <w:r w:rsidRPr="00BD36C9">
        <w:rPr>
          <w:rFonts w:ascii="Times New Roman" w:eastAsia="Times New Roman" w:hAnsi="Times New Roman" w:cs="Times New Roman"/>
          <w:sz w:val="24"/>
          <w:szCs w:val="24"/>
        </w:rPr>
        <w:t xml:space="preserve">, especially among youth and women, about the continuing power of sanctions. Many respondents emphasized that younger people no longer fear spiritual retribution. </w:t>
      </w:r>
    </w:p>
    <w:p w14:paraId="40058C5E" w14:textId="77777777" w:rsidR="00744C1E" w:rsidRPr="00BD36C9" w:rsidRDefault="007428D9" w:rsidP="00BD36C9">
      <w:pPr>
        <w:spacing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As one group of young men noted, </w:t>
      </w:r>
      <w:r w:rsidRPr="00BD36C9">
        <w:rPr>
          <w:rFonts w:ascii="Times New Roman" w:eastAsia="Times New Roman" w:hAnsi="Times New Roman" w:cs="Times New Roman"/>
          <w:i/>
          <w:iCs/>
          <w:sz w:val="24"/>
          <w:szCs w:val="24"/>
        </w:rPr>
        <w:t>“They used to say the gods will punish you, but have never witness since I was born.”</w:t>
      </w:r>
      <w:r w:rsidRPr="00BD36C9">
        <w:rPr>
          <w:rFonts w:ascii="Times New Roman" w:eastAsia="Times New Roman" w:hAnsi="Times New Roman" w:cs="Times New Roman"/>
          <w:sz w:val="24"/>
          <w:szCs w:val="24"/>
        </w:rPr>
        <w:t xml:space="preserve"> Similarly, a </w:t>
      </w:r>
      <w:proofErr w:type="gramStart"/>
      <w:r w:rsidRPr="00BD36C9">
        <w:rPr>
          <w:rFonts w:ascii="Times New Roman" w:eastAsia="Times New Roman" w:hAnsi="Times New Roman" w:cs="Times New Roman"/>
          <w:sz w:val="24"/>
          <w:szCs w:val="24"/>
        </w:rPr>
        <w:t>women</w:t>
      </w:r>
      <w:proofErr w:type="gramEnd"/>
      <w:r w:rsidRPr="00BD36C9">
        <w:rPr>
          <w:rFonts w:ascii="Times New Roman" w:eastAsia="Times New Roman" w:hAnsi="Times New Roman" w:cs="Times New Roman"/>
          <w:sz w:val="24"/>
          <w:szCs w:val="24"/>
        </w:rPr>
        <w:t xml:space="preserve"> echoed, </w:t>
      </w:r>
      <w:r w:rsidRPr="00BD36C9">
        <w:rPr>
          <w:rFonts w:ascii="Times New Roman" w:eastAsia="Times New Roman" w:hAnsi="Times New Roman" w:cs="Times New Roman"/>
          <w:i/>
          <w:iCs/>
          <w:sz w:val="24"/>
          <w:szCs w:val="24"/>
        </w:rPr>
        <w:t xml:space="preserve">“When someone breaks the rule, it depends on who they are. Sometimes fines are given, sometimes nothing happens.” </w:t>
      </w:r>
      <w:r w:rsidRPr="00BD36C9">
        <w:rPr>
          <w:rFonts w:ascii="Times New Roman" w:eastAsia="Times New Roman" w:hAnsi="Times New Roman" w:cs="Times New Roman"/>
          <w:sz w:val="24"/>
          <w:szCs w:val="24"/>
        </w:rPr>
        <w:t xml:space="preserve">These majority perspectives reveal that sanctions in Adele are perceived as </w:t>
      </w:r>
      <w:r w:rsidRPr="00BD36C9">
        <w:rPr>
          <w:rFonts w:ascii="Times New Roman" w:eastAsia="Times New Roman" w:hAnsi="Times New Roman" w:cs="Times New Roman"/>
          <w:bCs/>
          <w:sz w:val="24"/>
          <w:szCs w:val="24"/>
        </w:rPr>
        <w:t>unevenly applied and less legitimate</w:t>
      </w:r>
      <w:r w:rsidRPr="00BD36C9">
        <w:rPr>
          <w:rFonts w:ascii="Times New Roman" w:eastAsia="Times New Roman" w:hAnsi="Times New Roman" w:cs="Times New Roman"/>
          <w:sz w:val="24"/>
          <w:szCs w:val="24"/>
        </w:rPr>
        <w:t>, reducing their deterrent effect.</w:t>
      </w:r>
    </w:p>
    <w:p w14:paraId="44B67460" w14:textId="3DB1856A" w:rsidR="00744C1E" w:rsidRPr="00077AFA" w:rsidRDefault="007428D9" w:rsidP="00077AFA">
      <w:pPr>
        <w:spacing w:line="360" w:lineRule="auto"/>
        <w:jc w:val="both"/>
        <w:rPr>
          <w:rFonts w:ascii="Times New Roman" w:hAnsi="Times New Roman" w:cs="Times New Roman"/>
        </w:rPr>
      </w:pPr>
      <w:r w:rsidRPr="00BD36C9">
        <w:rPr>
          <w:rFonts w:ascii="Times New Roman" w:eastAsia="Times New Roman" w:hAnsi="Times New Roman" w:cs="Times New Roman"/>
          <w:sz w:val="24"/>
          <w:szCs w:val="24"/>
        </w:rPr>
        <w:t xml:space="preserve"> Elders acknowledged this erosion, though some pointed to external actors as a way forward:</w:t>
      </w:r>
      <w:r w:rsidRPr="00BD36C9">
        <w:rPr>
          <w:rFonts w:ascii="Times New Roman" w:eastAsia="Times New Roman" w:hAnsi="Times New Roman" w:cs="Times New Roman"/>
          <w:i/>
          <w:iCs/>
          <w:sz w:val="24"/>
          <w:szCs w:val="24"/>
        </w:rPr>
        <w:t xml:space="preserve"> “There are forest officers who have been visiting us, when one </w:t>
      </w:r>
      <w:proofErr w:type="gramStart"/>
      <w:r w:rsidRPr="00BD36C9">
        <w:rPr>
          <w:rFonts w:ascii="Times New Roman" w:eastAsia="Times New Roman" w:hAnsi="Times New Roman" w:cs="Times New Roman"/>
          <w:i/>
          <w:iCs/>
          <w:sz w:val="24"/>
          <w:szCs w:val="24"/>
        </w:rPr>
        <w:t>mismanage</w:t>
      </w:r>
      <w:proofErr w:type="gramEnd"/>
      <w:r w:rsidRPr="00BD36C9">
        <w:rPr>
          <w:rFonts w:ascii="Times New Roman" w:eastAsia="Times New Roman" w:hAnsi="Times New Roman" w:cs="Times New Roman"/>
          <w:i/>
          <w:iCs/>
          <w:sz w:val="24"/>
          <w:szCs w:val="24"/>
        </w:rPr>
        <w:t xml:space="preserve"> the forest we do inform them.”</w:t>
      </w:r>
      <w:r w:rsidRPr="00BD36C9">
        <w:rPr>
          <w:rFonts w:ascii="Times New Roman" w:eastAsia="Times New Roman" w:hAnsi="Times New Roman" w:cs="Times New Roman"/>
          <w:sz w:val="24"/>
          <w:szCs w:val="24"/>
        </w:rPr>
        <w:t xml:space="preserve"> This demonstrates a strategic shift toward </w:t>
      </w:r>
      <w:r w:rsidRPr="00BD36C9">
        <w:rPr>
          <w:rFonts w:ascii="Times New Roman" w:eastAsia="Times New Roman" w:hAnsi="Times New Roman" w:cs="Times New Roman"/>
          <w:bCs/>
          <w:sz w:val="24"/>
          <w:szCs w:val="24"/>
        </w:rPr>
        <w:t>hybrid enforcement</w:t>
      </w:r>
      <w:r w:rsidRPr="00BD36C9">
        <w:rPr>
          <w:rFonts w:ascii="Times New Roman" w:eastAsia="Times New Roman" w:hAnsi="Times New Roman" w:cs="Times New Roman"/>
          <w:sz w:val="24"/>
          <w:szCs w:val="24"/>
        </w:rPr>
        <w:t xml:space="preserve">, where NGOs and state institutions supplement weakened traditional sanctions.  </w:t>
      </w:r>
    </w:p>
    <w:p w14:paraId="269B5A46" w14:textId="288D2E00" w:rsidR="007428D9" w:rsidRPr="00BD36C9" w:rsidRDefault="002D0540" w:rsidP="00BD36C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7428D9" w:rsidRPr="00BD36C9">
        <w:rPr>
          <w:rFonts w:ascii="Times New Roman" w:hAnsi="Times New Roman" w:cs="Times New Roman"/>
          <w:b/>
          <w:sz w:val="24"/>
          <w:szCs w:val="24"/>
        </w:rPr>
        <w:t xml:space="preserve">Sustainable </w:t>
      </w:r>
      <w:r w:rsidR="007F3D73" w:rsidRPr="00BD36C9">
        <w:rPr>
          <w:rFonts w:ascii="Times New Roman" w:hAnsi="Times New Roman" w:cs="Times New Roman"/>
          <w:b/>
          <w:sz w:val="24"/>
          <w:szCs w:val="24"/>
        </w:rPr>
        <w:t xml:space="preserve">livelihood alternatives as strategic conservation tools </w:t>
      </w:r>
    </w:p>
    <w:p w14:paraId="30E2E947" w14:textId="77777777" w:rsidR="007428D9"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Sustainable livelihood alternatives represent a vital strategy for linking forest conservation with community well-being.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the majority of people described their livelihood activities as largely subsistence-based and shaped by traditional values of restraint. Gathering forest products such as mushrooms, honey, snails, medicinal plants, and firewood was repeatedly highlighted as central to survival, but these practices were not done at the expense forest conservation. Women emphasized the importance of careful use of forest resources, with on</w:t>
      </w:r>
      <w:r w:rsidR="006D297C" w:rsidRPr="00BD36C9">
        <w:rPr>
          <w:rFonts w:ascii="Times New Roman" w:eastAsia="Times New Roman" w:hAnsi="Times New Roman" w:cs="Times New Roman"/>
          <w:sz w:val="24"/>
          <w:szCs w:val="24"/>
        </w:rPr>
        <w:t>e Informant</w:t>
      </w:r>
      <w:r w:rsidRPr="00BD36C9">
        <w:rPr>
          <w:rFonts w:ascii="Times New Roman" w:eastAsia="Times New Roman" w:hAnsi="Times New Roman" w:cs="Times New Roman"/>
          <w:sz w:val="24"/>
          <w:szCs w:val="24"/>
        </w:rPr>
        <w:t xml:space="preserve"> remarking, </w:t>
      </w:r>
      <w:r w:rsidRPr="00BD36C9">
        <w:rPr>
          <w:rFonts w:ascii="Times New Roman" w:eastAsia="Times New Roman" w:hAnsi="Times New Roman" w:cs="Times New Roman"/>
          <w:i/>
          <w:iCs/>
          <w:sz w:val="24"/>
          <w:szCs w:val="24"/>
        </w:rPr>
        <w:t>“We collect snails and firewood carefully. We avoid cutting big trees. That helps protect the forest for the future.”</w:t>
      </w:r>
      <w:r w:rsidRPr="00BD36C9">
        <w:rPr>
          <w:rFonts w:ascii="Times New Roman" w:eastAsia="Times New Roman" w:hAnsi="Times New Roman" w:cs="Times New Roman"/>
          <w:sz w:val="24"/>
          <w:szCs w:val="24"/>
        </w:rPr>
        <w:t xml:space="preserve"> These majority perspectives reveal a culture of moderation, where forest-based livelihoods are embedded in local norms that safeguard long-term sustainability. This resonates with recent scholarship emphasizing that non-timber forest product use, when culturally regulated, can strengthen ecological resilience while meeting subsistence needs (Amoako et al., 2022; Shackleton et al., 2015).</w:t>
      </w:r>
    </w:p>
    <w:p w14:paraId="0C1C04F7" w14:textId="5EED8DC2" w:rsidR="00744C1E" w:rsidRPr="00BD36C9" w:rsidRDefault="007428D9"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the Adele community, a different trajectory is evident, one shaped by </w:t>
      </w:r>
      <w:r w:rsidRPr="00BD36C9">
        <w:rPr>
          <w:rFonts w:ascii="Times New Roman" w:eastAsia="Times New Roman" w:hAnsi="Times New Roman" w:cs="Times New Roman"/>
          <w:bCs/>
          <w:sz w:val="24"/>
          <w:szCs w:val="24"/>
        </w:rPr>
        <w:t>emerging livelihood innovations promoted through external partnerships</w:t>
      </w:r>
      <w:r w:rsidRPr="00BD36C9">
        <w:rPr>
          <w:rFonts w:ascii="Times New Roman" w:eastAsia="Times New Roman" w:hAnsi="Times New Roman" w:cs="Times New Roman"/>
          <w:sz w:val="24"/>
          <w:szCs w:val="24"/>
        </w:rPr>
        <w:t xml:space="preserve">. The majority of respondents pointed to bee-keeping as a promising alternative that both generates income and reinforces conservation. Elders and youth alike spoke positively of these interventions, with one participant noting, </w:t>
      </w:r>
      <w:r w:rsidRPr="00BD36C9">
        <w:rPr>
          <w:rFonts w:ascii="Times New Roman" w:eastAsia="Times New Roman" w:hAnsi="Times New Roman" w:cs="Times New Roman"/>
          <w:i/>
          <w:iCs/>
          <w:sz w:val="24"/>
          <w:szCs w:val="24"/>
        </w:rPr>
        <w:t xml:space="preserve">“They trained </w:t>
      </w:r>
      <w:r w:rsidRPr="00BD36C9">
        <w:rPr>
          <w:rFonts w:ascii="Times New Roman" w:eastAsia="Times New Roman" w:hAnsi="Times New Roman" w:cs="Times New Roman"/>
          <w:i/>
          <w:iCs/>
          <w:sz w:val="24"/>
          <w:szCs w:val="24"/>
        </w:rPr>
        <w:lastRenderedPageBreak/>
        <w:t>us how to keep bees. It gives us honey, money, and also prevent us from destroying the forest.”</w:t>
      </w:r>
      <w:r w:rsidRPr="00BD36C9">
        <w:rPr>
          <w:rFonts w:ascii="Times New Roman" w:eastAsia="Times New Roman" w:hAnsi="Times New Roman" w:cs="Times New Roman"/>
          <w:sz w:val="24"/>
          <w:szCs w:val="24"/>
        </w:rPr>
        <w:t xml:space="preserve"> Another added, </w:t>
      </w:r>
      <w:r w:rsidRPr="00BD36C9">
        <w:rPr>
          <w:rFonts w:ascii="Times New Roman" w:eastAsia="Times New Roman" w:hAnsi="Times New Roman" w:cs="Times New Roman"/>
          <w:i/>
          <w:iCs/>
          <w:sz w:val="24"/>
          <w:szCs w:val="24"/>
        </w:rPr>
        <w:t>“The bees need the forest to survive, so we cannot des</w:t>
      </w:r>
      <w:r w:rsidR="006D297C" w:rsidRPr="00BD36C9">
        <w:rPr>
          <w:rFonts w:ascii="Times New Roman" w:eastAsia="Times New Roman" w:hAnsi="Times New Roman" w:cs="Times New Roman"/>
          <w:i/>
          <w:iCs/>
          <w:sz w:val="24"/>
          <w:szCs w:val="24"/>
        </w:rPr>
        <w:t xml:space="preserve">troy it if we want to keep </w:t>
      </w:r>
      <w:r w:rsidR="00077AFA" w:rsidRPr="00BD36C9">
        <w:rPr>
          <w:rFonts w:ascii="Times New Roman" w:eastAsia="Times New Roman" w:hAnsi="Times New Roman" w:cs="Times New Roman"/>
          <w:i/>
          <w:iCs/>
          <w:sz w:val="24"/>
          <w:szCs w:val="24"/>
        </w:rPr>
        <w:t>them” (</w:t>
      </w:r>
      <w:r w:rsidR="006D297C" w:rsidRPr="00BD36C9">
        <w:rPr>
          <w:rFonts w:ascii="Times New Roman" w:eastAsia="Times New Roman" w:hAnsi="Times New Roman" w:cs="Times New Roman"/>
          <w:i/>
          <w:iCs/>
          <w:sz w:val="24"/>
          <w:szCs w:val="24"/>
        </w:rPr>
        <w:t>FGD).</w:t>
      </w:r>
      <w:r w:rsidR="00743F69" w:rsidRPr="00BD36C9">
        <w:rPr>
          <w:rFonts w:ascii="Times New Roman" w:eastAsia="Times New Roman" w:hAnsi="Times New Roman" w:cs="Times New Roman"/>
          <w:i/>
          <w:iCs/>
          <w:sz w:val="24"/>
          <w:szCs w:val="24"/>
        </w:rPr>
        <w:t xml:space="preserve">  </w:t>
      </w:r>
      <w:r w:rsidRPr="00BD36C9">
        <w:rPr>
          <w:rFonts w:ascii="Times New Roman" w:eastAsia="Times New Roman" w:hAnsi="Times New Roman" w:cs="Times New Roman"/>
          <w:sz w:val="24"/>
          <w:szCs w:val="24"/>
        </w:rPr>
        <w:t xml:space="preserve"> These narratives show that bee-keeping is not only an economic activity but also a conservation strategy that ties livelihoods directly to forest preservation. </w:t>
      </w:r>
    </w:p>
    <w:p w14:paraId="3190C24D" w14:textId="77777777" w:rsidR="00077AFA" w:rsidRDefault="007428D9"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The enthusiasm around bee-keeping reflects findings from recent studies which highlight how non-timber enterprises, especially apiculture, can diversify rural income while reducing destructive forest dependence (Mensah et al., 2024; Naughton-Treves et al., 2023).</w:t>
      </w:r>
    </w:p>
    <w:p w14:paraId="6AC37E07" w14:textId="5381B1D9" w:rsidR="007428D9" w:rsidRPr="00077AFA" w:rsidRDefault="007428D9"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Taken together, the two cases illustrate different ways in which sustainable livelihoods operate as forest governance strategies.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subsistence-based practices grounded in cultural norms provide a self-sustaining model of resource use. In Adele, newer alternatives such as bee-keeping demonstrate the potential of hybrid approaches, where traditional knowledge and modern livelihood projects are brought together to reinforce conservation. Both examples underscore the argument that sustainable livelihood strategies are effective when they are economically viable, socially meaningful, and ecologically grounded (</w:t>
      </w:r>
      <w:proofErr w:type="spellStart"/>
      <w:r w:rsidRPr="00BD36C9">
        <w:rPr>
          <w:rFonts w:ascii="Times New Roman" w:eastAsia="Times New Roman" w:hAnsi="Times New Roman" w:cs="Times New Roman"/>
          <w:sz w:val="24"/>
          <w:szCs w:val="24"/>
        </w:rPr>
        <w:t>Scoones</w:t>
      </w:r>
      <w:proofErr w:type="spellEnd"/>
      <w:r w:rsidRPr="00BD36C9">
        <w:rPr>
          <w:rFonts w:ascii="Times New Roman" w:eastAsia="Times New Roman" w:hAnsi="Times New Roman" w:cs="Times New Roman"/>
          <w:sz w:val="24"/>
          <w:szCs w:val="24"/>
        </w:rPr>
        <w:t xml:space="preserve">, 2015; </w:t>
      </w:r>
      <w:proofErr w:type="spellStart"/>
      <w:r w:rsidRPr="00BD36C9">
        <w:rPr>
          <w:rFonts w:ascii="Times New Roman" w:eastAsia="Times New Roman" w:hAnsi="Times New Roman" w:cs="Times New Roman"/>
          <w:sz w:val="24"/>
          <w:szCs w:val="24"/>
        </w:rPr>
        <w:t>Berkes</w:t>
      </w:r>
      <w:proofErr w:type="spellEnd"/>
      <w:r w:rsidRPr="00BD36C9">
        <w:rPr>
          <w:rFonts w:ascii="Times New Roman" w:eastAsia="Times New Roman" w:hAnsi="Times New Roman" w:cs="Times New Roman"/>
          <w:sz w:val="24"/>
          <w:szCs w:val="24"/>
        </w:rPr>
        <w:t>, 2018).</w:t>
      </w:r>
    </w:p>
    <w:p w14:paraId="2DAF8526" w14:textId="7B8838F8" w:rsidR="007428D9" w:rsidRPr="00BD36C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82014" w:rsidRPr="00BD36C9">
        <w:rPr>
          <w:rFonts w:ascii="Times New Roman" w:eastAsia="Times New Roman" w:hAnsi="Times New Roman" w:cs="Times New Roman"/>
          <w:b/>
          <w:bCs/>
          <w:sz w:val="24"/>
          <w:szCs w:val="24"/>
        </w:rPr>
        <w:t>Discussions of Results</w:t>
      </w:r>
    </w:p>
    <w:p w14:paraId="4193C45E" w14:textId="0EC3D034" w:rsidR="00082014" w:rsidRPr="00BD36C9" w:rsidRDefault="002D0540" w:rsidP="00BD36C9">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082014" w:rsidRPr="00BD36C9">
        <w:rPr>
          <w:rFonts w:ascii="Times New Roman" w:eastAsia="Times New Roman" w:hAnsi="Times New Roman" w:cs="Times New Roman"/>
          <w:b/>
          <w:bCs/>
          <w:sz w:val="24"/>
          <w:szCs w:val="24"/>
        </w:rPr>
        <w:t xml:space="preserve">Descriptive </w:t>
      </w:r>
      <w:r>
        <w:rPr>
          <w:rFonts w:ascii="Times New Roman" w:eastAsia="Times New Roman" w:hAnsi="Times New Roman" w:cs="Times New Roman"/>
          <w:b/>
          <w:bCs/>
          <w:sz w:val="24"/>
          <w:szCs w:val="24"/>
        </w:rPr>
        <w:t>A</w:t>
      </w:r>
      <w:r w:rsidR="00082014" w:rsidRPr="00BD36C9">
        <w:rPr>
          <w:rFonts w:ascii="Times New Roman" w:eastAsia="Times New Roman" w:hAnsi="Times New Roman" w:cs="Times New Roman"/>
          <w:b/>
          <w:bCs/>
          <w:sz w:val="24"/>
          <w:szCs w:val="24"/>
        </w:rPr>
        <w:t>nalysis</w:t>
      </w:r>
    </w:p>
    <w:p w14:paraId="5CE12183" w14:textId="77777777" w:rsidR="006E1E06" w:rsidRPr="00BD36C9" w:rsidRDefault="00082014" w:rsidP="00BD36C9">
      <w:pPr>
        <w:pStyle w:val="NormalWeb"/>
        <w:spacing w:line="360" w:lineRule="auto"/>
        <w:jc w:val="both"/>
      </w:pPr>
      <w:r w:rsidRPr="00BD36C9">
        <w:rPr>
          <w:b/>
          <w:bCs/>
        </w:rPr>
        <w:t xml:space="preserve"> </w:t>
      </w:r>
      <w:r w:rsidR="006E1E06" w:rsidRPr="00BD36C9">
        <w:t xml:space="preserve">The descriptive analysis reveals notable differences in awareness of community-based forest resource management strategies between the </w:t>
      </w:r>
      <w:proofErr w:type="spellStart"/>
      <w:r w:rsidR="006E1E06" w:rsidRPr="00BD36C9">
        <w:t>Nchumuru</w:t>
      </w:r>
      <w:proofErr w:type="spellEnd"/>
      <w:r w:rsidR="006E1E06" w:rsidRPr="00BD36C9">
        <w:t xml:space="preserve"> and Adele communities. Overall, awareness levels were relatively high in both communities, indicating that forest management is a recognized issue across the study area. However, the proportion of respondents who reported awareness was higher in the Adele communities than in the </w:t>
      </w:r>
      <w:proofErr w:type="spellStart"/>
      <w:r w:rsidR="006E1E06" w:rsidRPr="00BD36C9">
        <w:t>Nchumuru</w:t>
      </w:r>
      <w:proofErr w:type="spellEnd"/>
      <w:r w:rsidR="006E1E06" w:rsidRPr="00BD36C9">
        <w:t xml:space="preserve"> community, suggesting differences in exposure to forest-related information, sensitization efforts, or institutional engagement.</w:t>
      </w:r>
    </w:p>
    <w:p w14:paraId="43CF96DA" w14:textId="77777777" w:rsidR="006E1E06" w:rsidRPr="00BD36C9" w:rsidRDefault="006E1E06" w:rsidP="00BD36C9">
      <w:pPr>
        <w:pStyle w:val="NormalWeb"/>
        <w:spacing w:line="360" w:lineRule="auto"/>
        <w:jc w:val="both"/>
      </w:pPr>
      <w:r w:rsidRPr="00BD36C9">
        <w:t xml:space="preserve">The Chi-square analyses further demonstrate that duration of residence in the community is significantly associated with awareness of forest resource management strategies in both communities. In the </w:t>
      </w:r>
      <w:proofErr w:type="spellStart"/>
      <w:r w:rsidRPr="00BD36C9">
        <w:t>Nchumuru</w:t>
      </w:r>
      <w:proofErr w:type="spellEnd"/>
      <w:r w:rsidRPr="00BD36C9">
        <w:t xml:space="preserve"> community, the statistically significant Chi-square results indicate that respondents who had lived longer in the community were more likely to be aware of forest </w:t>
      </w:r>
      <w:r w:rsidRPr="00BD36C9">
        <w:lastRenderedPageBreak/>
        <w:t>management rules and practices. This finding reflects the role of long-term socialization, oral transmission of knowledge, and embedded cultural norms in shaping awareness. Long-standing residents are more deeply integrated into traditional institutions and are therefore more exposed to customary regulations governing forest use.</w:t>
      </w:r>
    </w:p>
    <w:p w14:paraId="1BD156DC" w14:textId="197AD01A" w:rsidR="0068321B" w:rsidRPr="00BD36C9" w:rsidRDefault="006E1E06" w:rsidP="00BD36C9">
      <w:pPr>
        <w:pStyle w:val="NormalWeb"/>
        <w:spacing w:line="360" w:lineRule="auto"/>
        <w:jc w:val="both"/>
      </w:pPr>
      <w:r w:rsidRPr="00BD36C9">
        <w:t>Similarly, in the Adele community, the Chi-square test also shows a significant relationship between duration of residence and awareness. However, the pattern of awareness appears to be influenced not only by length of residence but also by exposure to external interventions, such as NGO programs and visits by forestry officials. This suggests that awareness in Adele is shaped by a combination of community tenure and external engagement rather than solely by traditional knowledge transmission.</w:t>
      </w:r>
    </w:p>
    <w:p w14:paraId="48FDE9B2" w14:textId="77777777" w:rsidR="007428D9" w:rsidRPr="00BD36C9" w:rsidRDefault="006E1E06" w:rsidP="00BD36C9">
      <w:pPr>
        <w:pStyle w:val="NormalWeb"/>
        <w:spacing w:line="360" w:lineRule="auto"/>
        <w:jc w:val="both"/>
      </w:pPr>
      <w:r w:rsidRPr="00BD36C9">
        <w:t xml:space="preserve">Taken together, the descriptive results indicate that while awareness is present in both communities, the pathways through which awareness is generated differ. In </w:t>
      </w:r>
      <w:proofErr w:type="spellStart"/>
      <w:r w:rsidRPr="00BD36C9">
        <w:t>Nchumuru</w:t>
      </w:r>
      <w:proofErr w:type="spellEnd"/>
      <w:r w:rsidRPr="00BD36C9">
        <w:t>, awareness is largely endogenous, rooted in long-term residence and cultural embeddedness. In Adele, awareness appears more exogenous and intervention-driven, reflecting a hybrid governance context. These differences provide an important quantitative foundation for understanding the qualitative patterns identified in the thematic analysis.</w:t>
      </w:r>
    </w:p>
    <w:p w14:paraId="4FFB3F35" w14:textId="1C8917F4" w:rsidR="006E1E06" w:rsidRPr="00BD36C9" w:rsidRDefault="002D0540"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Thematic </w:t>
      </w:r>
      <w:r>
        <w:rPr>
          <w:rFonts w:ascii="Times New Roman" w:eastAsia="Times New Roman" w:hAnsi="Times New Roman" w:cs="Times New Roman"/>
          <w:b/>
          <w:bCs/>
          <w:sz w:val="24"/>
          <w:szCs w:val="24"/>
        </w:rPr>
        <w:t>A</w:t>
      </w:r>
      <w:r w:rsidR="006E1E06" w:rsidRPr="00BD36C9">
        <w:rPr>
          <w:rFonts w:ascii="Times New Roman" w:eastAsia="Times New Roman" w:hAnsi="Times New Roman" w:cs="Times New Roman"/>
          <w:b/>
          <w:bCs/>
          <w:sz w:val="24"/>
          <w:szCs w:val="24"/>
        </w:rPr>
        <w:t>nalysis</w:t>
      </w:r>
    </w:p>
    <w:p w14:paraId="74B4C385" w14:textId="68D207B4" w:rsidR="006E1E06" w:rsidRPr="00BD36C9" w:rsidRDefault="002D0540"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Traditional </w:t>
      </w:r>
      <w:r w:rsidR="007F3D73" w:rsidRPr="00BD36C9">
        <w:rPr>
          <w:rFonts w:ascii="Times New Roman" w:eastAsia="Times New Roman" w:hAnsi="Times New Roman" w:cs="Times New Roman"/>
          <w:b/>
          <w:bCs/>
          <w:sz w:val="24"/>
          <w:szCs w:val="24"/>
        </w:rPr>
        <w:t>knowledge and practices as forest management strategies</w:t>
      </w:r>
    </w:p>
    <w:p w14:paraId="55BDBB67"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thematic findings demonstrate that traditional ecological knowledge (TEK) plays a central but uneven role in forest governance across the two communities.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traditional knowledge functions as a coherent and strategically applied governance system. Forest-related taboos, sacred zones, and oral transmission of ecological rules are not merely symbolic but actively regulate behavior. The strong internalization of these norms, reinforced by spiritual beliefs and social sanctions, enables traditional practices to function as effective substitutes for formal enforcement mechanisms.</w:t>
      </w:r>
    </w:p>
    <w:p w14:paraId="6ACB4272" w14:textId="77777777" w:rsidR="006E1E06" w:rsidRPr="00BD36C9" w:rsidRDefault="006E1E06" w:rsidP="00BD36C9">
      <w:pPr>
        <w:spacing w:before="100" w:beforeAutospacing="1" w:after="100" w:afterAutospacing="1" w:line="360" w:lineRule="auto"/>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finding supports broader scholarship on embedded governance, which argues that culturally grounded institutions can deliver strong conservation outcomes when they retain legitimacy and </w:t>
      </w:r>
      <w:r w:rsidRPr="00BD36C9">
        <w:rPr>
          <w:rFonts w:ascii="Times New Roman" w:eastAsia="Times New Roman" w:hAnsi="Times New Roman" w:cs="Times New Roman"/>
          <w:sz w:val="24"/>
          <w:szCs w:val="24"/>
        </w:rPr>
        <w:lastRenderedPageBreak/>
        <w:t xml:space="preserve">social authority.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case aligns with arguments by </w:t>
      </w:r>
      <w:proofErr w:type="spellStart"/>
      <w:r w:rsidRPr="00BD36C9">
        <w:rPr>
          <w:rFonts w:ascii="Times New Roman" w:eastAsia="Times New Roman" w:hAnsi="Times New Roman" w:cs="Times New Roman"/>
          <w:sz w:val="24"/>
          <w:szCs w:val="24"/>
        </w:rPr>
        <w:t>Berkes</w:t>
      </w:r>
      <w:proofErr w:type="spellEnd"/>
      <w:r w:rsidRPr="00BD36C9">
        <w:rPr>
          <w:rFonts w:ascii="Times New Roman" w:eastAsia="Times New Roman" w:hAnsi="Times New Roman" w:cs="Times New Roman"/>
          <w:sz w:val="24"/>
          <w:szCs w:val="24"/>
        </w:rPr>
        <w:t xml:space="preserve"> and Ostrom that informal institutions can reduce enforcement costs, enhance compliance, and promote sustainable resource use through shared norms and belief systems.</w:t>
      </w:r>
    </w:p>
    <w:p w14:paraId="12C0FC10"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contrast, the Adele community exhibits a weakened strategic application of traditional knowledge. Although sacred groves and taboos still exist, they no longer command the same level of authority, particularly among younger community members. As a result, traditional knowledge in Adele functions more as cultural memory than as an enforceable governance mechanism. This erosion of traditional authority reflects broader processes of social change, including modernization, livelihood pressure, and shifting value systems.</w:t>
      </w:r>
    </w:p>
    <w:p w14:paraId="77188C3F" w14:textId="178E3DE7" w:rsidR="0068321B" w:rsidRPr="00077AFA" w:rsidRDefault="006E1E06"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The divergence between the two communities highlights that traditional knowledge is not inherently effective as a conservation strategy; rather, its effectiveness depends on the degree to which it is socially embedded, respected, and enforced. Where legitimacy declines, as in Adele, traditional norms require reinforcement through complementary governance arrangements.</w:t>
      </w:r>
    </w:p>
    <w:p w14:paraId="03C94AB2" w14:textId="55D432BF" w:rsidR="006E1E06" w:rsidRPr="00BD36C9" w:rsidRDefault="002D0540"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Sanctions and </w:t>
      </w:r>
      <w:r w:rsidR="007F3D73" w:rsidRPr="00BD36C9">
        <w:rPr>
          <w:rFonts w:ascii="Times New Roman" w:eastAsia="Times New Roman" w:hAnsi="Times New Roman" w:cs="Times New Roman"/>
          <w:b/>
          <w:bCs/>
          <w:sz w:val="24"/>
          <w:szCs w:val="24"/>
        </w:rPr>
        <w:t>enforcement as governance strategies</w:t>
      </w:r>
    </w:p>
    <w:p w14:paraId="5C43413D" w14:textId="77777777" w:rsidR="0068321B"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analysis of sanctions further underscores the contrast between the two communities.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sanctions are widely perceived as credible and effective because they combine spiritual fear with collective social enforcement. The belief that violations invite both supernatural and </w:t>
      </w:r>
    </w:p>
    <w:p w14:paraId="1B2AB24E" w14:textId="09C0BB8F"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social consequences </w:t>
      </w:r>
      <w:r w:rsidR="00077AFA" w:rsidRPr="00BD36C9">
        <w:rPr>
          <w:rFonts w:ascii="Times New Roman" w:eastAsia="Times New Roman" w:hAnsi="Times New Roman" w:cs="Times New Roman"/>
          <w:sz w:val="24"/>
          <w:szCs w:val="24"/>
        </w:rPr>
        <w:t>create</w:t>
      </w:r>
      <w:r w:rsidRPr="00BD36C9">
        <w:rPr>
          <w:rFonts w:ascii="Times New Roman" w:eastAsia="Times New Roman" w:hAnsi="Times New Roman" w:cs="Times New Roman"/>
          <w:sz w:val="24"/>
          <w:szCs w:val="24"/>
        </w:rPr>
        <w:t xml:space="preserve"> a strong deterrent effect, resulting in high levels of compliance and low monitoring costs. This finding is consistent with Common Property Theory, which emphasizes that shared norms and graduated sanctions enhance collective action and resource sustainability.</w:t>
      </w:r>
    </w:p>
    <w:p w14:paraId="50071873"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Adele, however, sanctions are increasingly contested and unevenly enforced. The perception that penalties depend on social status or personal connections undermines their legitimacy and weakens their deterrent effect. The declining fear of spiritual punishment among younger generations further erodes compliance. As a result, sanctions in Adele no longer function as a reliable internal governance strategy.</w:t>
      </w:r>
    </w:p>
    <w:p w14:paraId="3B41E3DF"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lastRenderedPageBreak/>
        <w:t>The shift toward involving forestry officers and external actors in enforcement reflects an adaptive but reactive strategy. While hybrid enforcement may compensate for weakened traditional sanctions, it also introduces dependency on external institutions and may reduce local ownership. This contrast illustrates how enforcement effectiveness is closely tied to social trust, perceived fairness, and institutional legitimacy.</w:t>
      </w:r>
    </w:p>
    <w:p w14:paraId="69CFB1A9" w14:textId="6B82B3D4" w:rsidR="006E1E06" w:rsidRPr="00BD36C9" w:rsidRDefault="002D0540" w:rsidP="00BD36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E1E06" w:rsidRPr="00BD36C9">
        <w:rPr>
          <w:rFonts w:ascii="Times New Roman" w:eastAsia="Times New Roman" w:hAnsi="Times New Roman" w:cs="Times New Roman"/>
          <w:b/>
          <w:bCs/>
          <w:sz w:val="24"/>
          <w:szCs w:val="24"/>
        </w:rPr>
        <w:t xml:space="preserve">Sustainable </w:t>
      </w:r>
      <w:r w:rsidR="007F3D73" w:rsidRPr="00BD36C9">
        <w:rPr>
          <w:rFonts w:ascii="Times New Roman" w:eastAsia="Times New Roman" w:hAnsi="Times New Roman" w:cs="Times New Roman"/>
          <w:b/>
          <w:bCs/>
          <w:sz w:val="24"/>
          <w:szCs w:val="24"/>
        </w:rPr>
        <w:t>livelihood alternatives as conservation strategies</w:t>
      </w:r>
    </w:p>
    <w:p w14:paraId="5FDF7D74"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thematic findings also reveal differing livelihood-based conservation strategies between the two communities.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forest-based livelihoods are largely subsistence-oriented and regulated by cultural norms of restraint. The careful harvesting of non-timber forest products reflects a long-term perspective in which livelihood security and conservation are mutually reinforcing. This model demonstrates how culturally moderated subsistence practices can sustain both ecosystems and household well-being.</w:t>
      </w:r>
    </w:p>
    <w:p w14:paraId="1BDCBBE9" w14:textId="77777777" w:rsidR="006E1E06"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In Adele, conservation is increasingly linked to externally promoted livelihood innovations, particularly bee-keeping. The strong community enthusiasm for apiculture reflects its dual function as an income-generating activity and a conservation incentive. By tying livelihoods directly to forest preservation, bee-keeping creates an economic rationale for conservation that compensates for the weakening of traditional norms.</w:t>
      </w:r>
    </w:p>
    <w:p w14:paraId="01463AB1" w14:textId="324400B8" w:rsidR="00077AFA" w:rsidRPr="00BD36C9" w:rsidRDefault="006E1E06"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comparison suggests that sustainable livelihood strategies are most effective when they align with local contexts.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cultural norms sustain moderation without external intervention. In Adele, hybrid strategies that integrate modern livelihood opportunities with conservation goals offer a viable pathway for reinforcing forest protection. These findings support the argument that livelihood-based conservation must be economically viable, socially acceptable, and institutionally supported to succeed.</w:t>
      </w:r>
    </w:p>
    <w:p w14:paraId="065D889F" w14:textId="1B006D63" w:rsidR="009119CA" w:rsidRPr="00BD36C9" w:rsidRDefault="002D0540"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119CA" w:rsidRPr="00BD36C9">
        <w:rPr>
          <w:rFonts w:ascii="Times New Roman" w:eastAsia="Times New Roman" w:hAnsi="Times New Roman" w:cs="Times New Roman"/>
          <w:b/>
          <w:bCs/>
          <w:sz w:val="24"/>
          <w:szCs w:val="24"/>
        </w:rPr>
        <w:t>Limitations of the Study</w:t>
      </w:r>
      <w:r w:rsidR="00E95530" w:rsidRPr="00BD36C9">
        <w:rPr>
          <w:rFonts w:ascii="Times New Roman" w:eastAsia="Times New Roman" w:hAnsi="Times New Roman" w:cs="Times New Roman"/>
          <w:b/>
          <w:bCs/>
          <w:sz w:val="24"/>
          <w:szCs w:val="24"/>
        </w:rPr>
        <w:t xml:space="preserve"> </w:t>
      </w:r>
    </w:p>
    <w:p w14:paraId="65E9C39A" w14:textId="7FEE249E" w:rsidR="009119CA" w:rsidRPr="00BD36C9" w:rsidRDefault="009119CA"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Despite its contributions, this study </w:t>
      </w:r>
      <w:r w:rsidR="00307E46">
        <w:rPr>
          <w:rFonts w:ascii="Times New Roman" w:eastAsia="Times New Roman" w:hAnsi="Times New Roman" w:cs="Times New Roman"/>
          <w:sz w:val="24"/>
          <w:szCs w:val="24"/>
        </w:rPr>
        <w:t>is not without</w:t>
      </w:r>
      <w:r w:rsidRPr="00BD36C9">
        <w:rPr>
          <w:rFonts w:ascii="Times New Roman" w:eastAsia="Times New Roman" w:hAnsi="Times New Roman" w:cs="Times New Roman"/>
          <w:sz w:val="24"/>
          <w:szCs w:val="24"/>
        </w:rPr>
        <w:t xml:space="preserve"> limitations. </w:t>
      </w:r>
      <w:r w:rsidR="00307E46">
        <w:rPr>
          <w:rFonts w:ascii="Times New Roman" w:eastAsia="Times New Roman" w:hAnsi="Times New Roman" w:cs="Times New Roman"/>
          <w:sz w:val="24"/>
          <w:szCs w:val="24"/>
        </w:rPr>
        <w:t>First and foremost</w:t>
      </w:r>
      <w:r w:rsidRPr="00BD36C9">
        <w:rPr>
          <w:rFonts w:ascii="Times New Roman" w:eastAsia="Times New Roman" w:hAnsi="Times New Roman" w:cs="Times New Roman"/>
          <w:sz w:val="24"/>
          <w:szCs w:val="24"/>
        </w:rPr>
        <w:t xml:space="preserve">, the study relied partly on self-reported data from household surveys, interviews, and focus group discussions. Such data may be influenced by recall bias, social desirability bias, or respondents’ willingness to </w:t>
      </w:r>
      <w:r w:rsidRPr="00BD36C9">
        <w:rPr>
          <w:rFonts w:ascii="Times New Roman" w:eastAsia="Times New Roman" w:hAnsi="Times New Roman" w:cs="Times New Roman"/>
          <w:sz w:val="24"/>
          <w:szCs w:val="24"/>
        </w:rPr>
        <w:lastRenderedPageBreak/>
        <w:t>disclose information about sensitive issues such as rule violations and enforcement practices. Although triangulation was used to enhance validity, these biases cannot be entirely eliminated.</w:t>
      </w:r>
    </w:p>
    <w:p w14:paraId="5401CD66" w14:textId="6DFFBEE7" w:rsidR="009119CA" w:rsidRPr="00BD36C9" w:rsidRDefault="00307E46" w:rsidP="00BD36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w:t>
      </w:r>
      <w:r w:rsidR="009119CA" w:rsidRPr="00BD36C9">
        <w:rPr>
          <w:rFonts w:ascii="Times New Roman" w:eastAsia="Times New Roman" w:hAnsi="Times New Roman" w:cs="Times New Roman"/>
          <w:sz w:val="24"/>
          <w:szCs w:val="24"/>
        </w:rPr>
        <w:t>, the cross-sectional nature of the study limits its ability to capture changes in forest management strategies over time. Community-based forest governance is dynamic, and longitudinal data would be better suited to assess how institutional changes, generational shifts, and external interventions influence forest outcomes in the long term.</w:t>
      </w:r>
    </w:p>
    <w:p w14:paraId="6431B5D1" w14:textId="77777777" w:rsidR="00BF3F79" w:rsidRPr="00BD36C9" w:rsidRDefault="009119CA"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Finally, the study did not include direct ecological measurements of forest condition, relying instead on community perceptions and reported practices. Future research could integrate biophysical data with social analysis to provide a more comprehensive assessment of the effectiveness of community-based forest management strategies.</w:t>
      </w:r>
    </w:p>
    <w:p w14:paraId="6219051D" w14:textId="68ED60FA" w:rsidR="00E95530" w:rsidRPr="00BD36C9" w:rsidRDefault="002D0540" w:rsidP="00BD36C9">
      <w:pPr>
        <w:spacing w:before="100" w:beforeAutospacing="1" w:after="100" w:afterAutospacing="1"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5530" w:rsidRPr="00BD36C9">
        <w:rPr>
          <w:rFonts w:ascii="Times New Roman" w:eastAsia="Times New Roman" w:hAnsi="Times New Roman" w:cs="Times New Roman"/>
          <w:b/>
          <w:bCs/>
          <w:sz w:val="24"/>
          <w:szCs w:val="24"/>
        </w:rPr>
        <w:t>Conclusion</w:t>
      </w:r>
    </w:p>
    <w:p w14:paraId="73E6DAD4" w14:textId="7E46554A" w:rsidR="0068321B" w:rsidRPr="00BD36C9" w:rsidRDefault="00E95530"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This study set out to compare community-based forest resource management strategies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and Adele communities of Ghana’s </w:t>
      </w:r>
      <w:proofErr w:type="spellStart"/>
      <w:r w:rsidRPr="00BD36C9">
        <w:rPr>
          <w:rFonts w:ascii="Times New Roman" w:eastAsia="Times New Roman" w:hAnsi="Times New Roman" w:cs="Times New Roman"/>
          <w:sz w:val="24"/>
          <w:szCs w:val="24"/>
        </w:rPr>
        <w:t>Oti</w:t>
      </w:r>
      <w:proofErr w:type="spellEnd"/>
      <w:r w:rsidRPr="00BD36C9">
        <w:rPr>
          <w:rFonts w:ascii="Times New Roman" w:eastAsia="Times New Roman" w:hAnsi="Times New Roman" w:cs="Times New Roman"/>
          <w:sz w:val="24"/>
          <w:szCs w:val="24"/>
        </w:rPr>
        <w:t xml:space="preserve"> Region. Drawing on Common Property Theory and Comparative Institutionalism, the study examined how differences in traditional knowledge systems, sanctions, enforcement mechanisms, and livelihood strategies influence forest governance outcomes under similar ecological and policy conditions.</w:t>
      </w:r>
    </w:p>
    <w:p w14:paraId="7A65F9FD" w14:textId="77777777" w:rsidR="00E95530" w:rsidRPr="00BD36C9" w:rsidRDefault="00E95530"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The findings demonstrate that while both communities exhibit awareness of forest management practices, the effectiveness of their strategies varies considerably. In the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community, forest management is anchored in strong traditional institutions, culturally embedded norms, and credible sanctions that promote high levels of compliance. Traditional ecological knowledge functions as an effective governance mechanism, reducing enforcement costs and fostering sustainable resource use. Livelihood activities in </w:t>
      </w:r>
      <w:proofErr w:type="spellStart"/>
      <w:r w:rsidRPr="00BD36C9">
        <w:rPr>
          <w:rFonts w:ascii="Times New Roman" w:eastAsia="Times New Roman" w:hAnsi="Times New Roman" w:cs="Times New Roman"/>
          <w:sz w:val="24"/>
          <w:szCs w:val="24"/>
        </w:rPr>
        <w:t>Nchumuru</w:t>
      </w:r>
      <w:proofErr w:type="spellEnd"/>
      <w:r w:rsidRPr="00BD36C9">
        <w:rPr>
          <w:rFonts w:ascii="Times New Roman" w:eastAsia="Times New Roman" w:hAnsi="Times New Roman" w:cs="Times New Roman"/>
          <w:sz w:val="24"/>
          <w:szCs w:val="24"/>
        </w:rPr>
        <w:t xml:space="preserve"> further reinforce conservation through culturally regulated subsistence practices.</w:t>
      </w:r>
    </w:p>
    <w:p w14:paraId="3534634F" w14:textId="025F8ADA" w:rsidR="00E95530" w:rsidRPr="00BD36C9" w:rsidRDefault="00E95530" w:rsidP="00BD36C9">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 xml:space="preserve">In contrast, the Adele community illustrates a more hybrid governance system characterized by weakened traditional authority and reliance on external </w:t>
      </w:r>
      <w:proofErr w:type="spellStart"/>
      <w:r w:rsidRPr="00BD36C9">
        <w:rPr>
          <w:rFonts w:ascii="Times New Roman" w:eastAsia="Times New Roman" w:hAnsi="Times New Roman" w:cs="Times New Roman"/>
          <w:sz w:val="24"/>
          <w:szCs w:val="24"/>
        </w:rPr>
        <w:t>act</w:t>
      </w:r>
      <w:r w:rsidR="00077AFA">
        <w:rPr>
          <w:rFonts w:ascii="Times New Roman" w:eastAsia="Times New Roman" w:hAnsi="Times New Roman" w:cs="Times New Roman"/>
          <w:sz w:val="24"/>
          <w:szCs w:val="24"/>
        </w:rPr>
        <w:t>e</w:t>
      </w:r>
      <w:r w:rsidRPr="00BD36C9">
        <w:rPr>
          <w:rFonts w:ascii="Times New Roman" w:eastAsia="Times New Roman" w:hAnsi="Times New Roman" w:cs="Times New Roman"/>
          <w:sz w:val="24"/>
          <w:szCs w:val="24"/>
        </w:rPr>
        <w:t>rs</w:t>
      </w:r>
      <w:proofErr w:type="spellEnd"/>
      <w:r w:rsidRPr="00BD36C9">
        <w:rPr>
          <w:rFonts w:ascii="Times New Roman" w:eastAsia="Times New Roman" w:hAnsi="Times New Roman" w:cs="Times New Roman"/>
          <w:sz w:val="24"/>
          <w:szCs w:val="24"/>
        </w:rPr>
        <w:t xml:space="preserve"> such as NGOs and forestry officials. Although innovative livelihood strategies, particularly bee-keeping, show promise in linking conservation with income generation, the erosion of traditional sanctions limits the effectiveness </w:t>
      </w:r>
      <w:r w:rsidRPr="00BD36C9">
        <w:rPr>
          <w:rFonts w:ascii="Times New Roman" w:eastAsia="Times New Roman" w:hAnsi="Times New Roman" w:cs="Times New Roman"/>
          <w:sz w:val="24"/>
          <w:szCs w:val="24"/>
        </w:rPr>
        <w:lastRenderedPageBreak/>
        <w:t>of internal governance mechanisms. As a result, forest management in Adele depends more heavily on external enforcement and project-based interventions.</w:t>
      </w:r>
    </w:p>
    <w:p w14:paraId="311CFFD5" w14:textId="60C4F8C7" w:rsidR="00077AFA" w:rsidRPr="00077AFA" w:rsidRDefault="00E95530" w:rsidP="00077AFA">
      <w:pPr>
        <w:spacing w:before="100" w:beforeAutospacing="1" w:after="100" w:afterAutospacing="1" w:line="360" w:lineRule="auto"/>
        <w:jc w:val="both"/>
        <w:rPr>
          <w:rFonts w:ascii="Times New Roman" w:eastAsia="Times New Roman" w:hAnsi="Times New Roman" w:cs="Times New Roman"/>
          <w:sz w:val="24"/>
          <w:szCs w:val="24"/>
        </w:rPr>
      </w:pPr>
      <w:r w:rsidRPr="00BD36C9">
        <w:rPr>
          <w:rFonts w:ascii="Times New Roman" w:eastAsia="Times New Roman" w:hAnsi="Times New Roman" w:cs="Times New Roman"/>
          <w:sz w:val="24"/>
          <w:szCs w:val="24"/>
        </w:rPr>
        <w:t>Overall, the study concludes that community-based forest resource management is not a uniform model but a context-dependent process. Sustainable outcomes are most likely where local institutions are legitimate, enforcement mechanisms are credible, and livelihood strategies align with conservation objectives. Policy efforts should therefore prioritize strengthening locally embedded institutions while supporting context-appropriate livelihood innovations rather than applying standardized CBFRM models across diverse communities.</w:t>
      </w:r>
    </w:p>
    <w:p w14:paraId="2FC6457C" w14:textId="77777777" w:rsidR="00BB7C50" w:rsidRDefault="00BB7C50" w:rsidP="00BB7C50">
      <w:pPr>
        <w:pStyle w:val="isselectedend"/>
      </w:pPr>
      <w:r>
        <w:rPr>
          <w:rStyle w:val="Strong"/>
        </w:rPr>
        <w:t>Declaration of Competing Interest</w:t>
      </w:r>
    </w:p>
    <w:p w14:paraId="29F88720" w14:textId="1C79084B" w:rsidR="00BB7C50" w:rsidRPr="007D3F14" w:rsidRDefault="00BB7C50" w:rsidP="007D3F14">
      <w:pPr>
        <w:pStyle w:val="NormalWeb"/>
      </w:pPr>
      <w:r>
        <w:t>The authors declare that there are no known competing financial interests, personal relationships, or affiliations that could have appeared to influence the work reported in this study.</w:t>
      </w:r>
    </w:p>
    <w:p w14:paraId="745C2876" w14:textId="77777777" w:rsidR="004338C0" w:rsidRDefault="004338C0" w:rsidP="00184C2F">
      <w:pPr>
        <w:spacing w:after="0" w:line="360" w:lineRule="auto"/>
        <w:jc w:val="both"/>
        <w:outlineLvl w:val="1"/>
        <w:rPr>
          <w:rFonts w:ascii="Times New Roman" w:eastAsia="Times New Roman" w:hAnsi="Times New Roman" w:cs="Times New Roman"/>
          <w:b/>
          <w:bCs/>
          <w:sz w:val="24"/>
          <w:szCs w:val="24"/>
        </w:rPr>
      </w:pPr>
      <w:bookmarkStart w:id="7" w:name="_GoBack"/>
      <w:bookmarkEnd w:id="7"/>
    </w:p>
    <w:p w14:paraId="3F0CED84" w14:textId="63594FED" w:rsidR="0034508E" w:rsidRPr="00BD36C9" w:rsidRDefault="0034508E" w:rsidP="00184C2F">
      <w:pPr>
        <w:spacing w:after="0" w:line="360" w:lineRule="auto"/>
        <w:jc w:val="both"/>
        <w:outlineLvl w:val="1"/>
        <w:rPr>
          <w:rFonts w:ascii="Times New Roman" w:eastAsia="Times New Roman" w:hAnsi="Times New Roman" w:cs="Times New Roman"/>
          <w:b/>
          <w:bCs/>
          <w:sz w:val="24"/>
          <w:szCs w:val="24"/>
        </w:rPr>
      </w:pPr>
      <w:r w:rsidRPr="00BD36C9">
        <w:rPr>
          <w:rFonts w:ascii="Times New Roman" w:eastAsia="Times New Roman" w:hAnsi="Times New Roman" w:cs="Times New Roman"/>
          <w:b/>
          <w:bCs/>
          <w:sz w:val="24"/>
          <w:szCs w:val="24"/>
        </w:rPr>
        <w:t>References</w:t>
      </w:r>
    </w:p>
    <w:p w14:paraId="3821AA8B" w14:textId="77777777" w:rsidR="00EC5C25" w:rsidRPr="00EC5C25" w:rsidRDefault="00EC5C25" w:rsidP="00EC5C25">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Acharya, K. P. (2006). Improving the effectiveness of collective action: Sharing experiences from </w:t>
      </w:r>
    </w:p>
    <w:p w14:paraId="402918A2" w14:textId="5F115CCA" w:rsidR="00EC5C25" w:rsidRPr="00031862" w:rsidRDefault="00EC5C25" w:rsidP="00EC5C25">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community forestry in Nepal. </w:t>
      </w:r>
      <w:r w:rsidRPr="00031862">
        <w:rPr>
          <w:rFonts w:ascii="Times New Roman" w:hAnsi="Times New Roman" w:cs="Times New Roman"/>
          <w:i/>
          <w:iCs/>
          <w:color w:val="000000" w:themeColor="text1"/>
          <w:sz w:val="24"/>
          <w:szCs w:val="24"/>
        </w:rPr>
        <w:t>Small-scale Forest Economics, Management and Policy, 5</w:t>
      </w:r>
      <w:r w:rsidRPr="00031862">
        <w:rPr>
          <w:rFonts w:ascii="Times New Roman" w:hAnsi="Times New Roman" w:cs="Times New Roman"/>
          <w:color w:val="000000" w:themeColor="text1"/>
          <w:sz w:val="24"/>
          <w:szCs w:val="24"/>
        </w:rPr>
        <w:t xml:space="preserve">(2), 131–144. </w:t>
      </w:r>
      <w:hyperlink r:id="rId10" w:tgtFrame="_new" w:history="1">
        <w:r w:rsidRPr="00031862">
          <w:rPr>
            <w:rStyle w:val="Hyperlink"/>
            <w:rFonts w:ascii="Times New Roman" w:hAnsi="Times New Roman" w:cs="Times New Roman"/>
            <w:color w:val="000000" w:themeColor="text1"/>
            <w:sz w:val="24"/>
            <w:szCs w:val="24"/>
            <w:u w:val="none"/>
          </w:rPr>
          <w:t>https://doi.org/10.1007/s11842-006-0009-2</w:t>
        </w:r>
      </w:hyperlink>
    </w:p>
    <w:p w14:paraId="6E00C2E2" w14:textId="36EF41F6" w:rsidR="004666AB" w:rsidRPr="00BD36C9" w:rsidRDefault="004666AB" w:rsidP="00184C2F">
      <w:pPr>
        <w:pStyle w:val="NormalWeb"/>
        <w:spacing w:before="0" w:beforeAutospacing="0" w:after="0" w:afterAutospacing="0" w:line="360" w:lineRule="auto"/>
        <w:ind w:left="720" w:hanging="720"/>
      </w:pPr>
      <w:r w:rsidRPr="00BD36C9">
        <w:t xml:space="preserve">Agrawal, A. (2001). Common property institutions and sustainable governance of resources. </w:t>
      </w:r>
      <w:r w:rsidRPr="00BD36C9">
        <w:rPr>
          <w:rStyle w:val="Emphasis"/>
        </w:rPr>
        <w:t>World Development, 29</w:t>
      </w:r>
      <w:r w:rsidRPr="00BD36C9">
        <w:t>(10),1649–1672. https://doi.org/10.1016/S0305-750X(01)00063-8</w:t>
      </w:r>
    </w:p>
    <w:p w14:paraId="2E414174" w14:textId="77777777" w:rsidR="004666AB" w:rsidRPr="00BD36C9" w:rsidRDefault="004666AB" w:rsidP="00184C2F">
      <w:pPr>
        <w:pStyle w:val="NormalWeb"/>
        <w:spacing w:before="0" w:beforeAutospacing="0" w:after="0" w:afterAutospacing="0" w:line="360" w:lineRule="auto"/>
        <w:ind w:left="720" w:hanging="720"/>
      </w:pPr>
      <w:r w:rsidRPr="00BD36C9">
        <w:t xml:space="preserve">Agrawal, A., &amp; Gibson, C. C. (1999). Enchantment and disenchantment: The role of community in natural resource conservation. </w:t>
      </w:r>
      <w:r w:rsidRPr="00BD36C9">
        <w:rPr>
          <w:rStyle w:val="Emphasis"/>
        </w:rPr>
        <w:t>World Development, 27</w:t>
      </w:r>
      <w:r w:rsidRPr="00BD36C9">
        <w:t>(4), 629–649. https://doi.org/10.1016/S0305-750X(98)00161-2</w:t>
      </w:r>
    </w:p>
    <w:p w14:paraId="1878C19B" w14:textId="77777777" w:rsidR="004666AB" w:rsidRPr="00BD36C9" w:rsidRDefault="004666AB" w:rsidP="00184C2F">
      <w:pPr>
        <w:pStyle w:val="NormalWeb"/>
        <w:spacing w:before="0" w:beforeAutospacing="0" w:after="0" w:afterAutospacing="0" w:line="360" w:lineRule="auto"/>
        <w:ind w:left="720" w:hanging="720"/>
      </w:pPr>
      <w:r w:rsidRPr="00BD36C9">
        <w:t xml:space="preserve">Agrawal, A., </w:t>
      </w:r>
      <w:proofErr w:type="spellStart"/>
      <w:r w:rsidRPr="00BD36C9">
        <w:t>Chhatre</w:t>
      </w:r>
      <w:proofErr w:type="spellEnd"/>
      <w:r w:rsidRPr="00BD36C9">
        <w:t xml:space="preserve">, A., &amp; Hardin, R. (2008). Changing governance of the world’s forests. </w:t>
      </w:r>
      <w:r w:rsidRPr="00BD36C9">
        <w:rPr>
          <w:rStyle w:val="Emphasis"/>
        </w:rPr>
        <w:t>Science, 320</w:t>
      </w:r>
      <w:r w:rsidRPr="00BD36C9">
        <w:t>(5882), 1460–1462. https://doi.org/10.1126/science.1155369</w:t>
      </w:r>
    </w:p>
    <w:p w14:paraId="6BA80F34" w14:textId="77777777" w:rsidR="004666AB" w:rsidRPr="00BD36C9" w:rsidRDefault="004666AB" w:rsidP="00184C2F">
      <w:pPr>
        <w:pStyle w:val="NormalWeb"/>
        <w:spacing w:before="0" w:beforeAutospacing="0" w:after="0" w:afterAutospacing="0" w:line="360" w:lineRule="auto"/>
        <w:ind w:left="720" w:hanging="720"/>
      </w:pPr>
      <w:proofErr w:type="spellStart"/>
      <w:r w:rsidRPr="00BD36C9">
        <w:t>Agyare</w:t>
      </w:r>
      <w:proofErr w:type="spellEnd"/>
      <w:r w:rsidRPr="00BD36C9">
        <w:t xml:space="preserve">, A. K., Murray, G., Dearden, P., &amp; Rollins, R. (2020). Community resource management areas and livelihood outcomes in Ghana. </w:t>
      </w:r>
      <w:r w:rsidRPr="00BD36C9">
        <w:rPr>
          <w:rStyle w:val="Emphasis"/>
        </w:rPr>
        <w:t>Forest Policy and Economics, 111</w:t>
      </w:r>
      <w:r w:rsidRPr="00BD36C9">
        <w:t>, 102078. https://doi.org/10.1016/j.forpol.2019.102078</w:t>
      </w:r>
    </w:p>
    <w:p w14:paraId="10B927D0" w14:textId="77777777" w:rsidR="00EC5C25" w:rsidRPr="00EC5C25" w:rsidRDefault="00EC5C25" w:rsidP="00EC5C25">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Amoako, E. E., Asante, W. J., </w:t>
      </w:r>
      <w:proofErr w:type="spellStart"/>
      <w:r w:rsidRPr="00031862">
        <w:rPr>
          <w:rFonts w:ascii="Times New Roman" w:hAnsi="Times New Roman" w:cs="Times New Roman"/>
          <w:color w:val="000000" w:themeColor="text1"/>
          <w:sz w:val="24"/>
          <w:szCs w:val="24"/>
        </w:rPr>
        <w:t>Cobbinah</w:t>
      </w:r>
      <w:proofErr w:type="spellEnd"/>
      <w:r w:rsidRPr="00031862">
        <w:rPr>
          <w:rFonts w:ascii="Times New Roman" w:hAnsi="Times New Roman" w:cs="Times New Roman"/>
          <w:color w:val="000000" w:themeColor="text1"/>
          <w:sz w:val="24"/>
          <w:szCs w:val="24"/>
        </w:rPr>
        <w:t xml:space="preserve">, S., et al. (2015). Tree tenure and its implications for </w:t>
      </w:r>
    </w:p>
    <w:p w14:paraId="2A390385" w14:textId="77777777" w:rsidR="00EC5C25" w:rsidRPr="00031862" w:rsidRDefault="00EC5C25" w:rsidP="00EC5C25">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sustainable land management: The case of </w:t>
      </w:r>
      <w:proofErr w:type="spellStart"/>
      <w:r w:rsidRPr="00031862">
        <w:rPr>
          <w:rFonts w:ascii="Times New Roman" w:hAnsi="Times New Roman" w:cs="Times New Roman"/>
          <w:i/>
          <w:iCs/>
          <w:color w:val="000000" w:themeColor="text1"/>
          <w:sz w:val="24"/>
          <w:szCs w:val="24"/>
        </w:rPr>
        <w:t>Parkia</w:t>
      </w:r>
      <w:proofErr w:type="spellEnd"/>
      <w:r w:rsidRPr="00031862">
        <w:rPr>
          <w:rFonts w:ascii="Times New Roman" w:hAnsi="Times New Roman" w:cs="Times New Roman"/>
          <w:i/>
          <w:iCs/>
          <w:color w:val="000000" w:themeColor="text1"/>
          <w:sz w:val="24"/>
          <w:szCs w:val="24"/>
        </w:rPr>
        <w:t xml:space="preserve"> </w:t>
      </w:r>
      <w:proofErr w:type="spellStart"/>
      <w:r w:rsidRPr="00031862">
        <w:rPr>
          <w:rFonts w:ascii="Times New Roman" w:hAnsi="Times New Roman" w:cs="Times New Roman"/>
          <w:i/>
          <w:iCs/>
          <w:color w:val="000000" w:themeColor="text1"/>
          <w:sz w:val="24"/>
          <w:szCs w:val="24"/>
        </w:rPr>
        <w:t>biglobosa</w:t>
      </w:r>
      <w:proofErr w:type="spellEnd"/>
      <w:r w:rsidRPr="00031862">
        <w:rPr>
          <w:rFonts w:ascii="Times New Roman" w:hAnsi="Times New Roman" w:cs="Times New Roman"/>
          <w:color w:val="000000" w:themeColor="text1"/>
          <w:sz w:val="24"/>
          <w:szCs w:val="24"/>
        </w:rPr>
        <w:t xml:space="preserve"> in the Northern Region of Ghana.</w:t>
      </w:r>
    </w:p>
    <w:p w14:paraId="6848DE8E" w14:textId="77777777" w:rsidR="00EC5C25" w:rsidRPr="00EC5C25" w:rsidRDefault="00EC5C25" w:rsidP="00EC5C25">
      <w:pPr>
        <w:spacing w:after="0" w:line="360" w:lineRule="auto"/>
        <w:jc w:val="both"/>
        <w:rPr>
          <w:rFonts w:ascii="Times New Roman" w:hAnsi="Times New Roman" w:cs="Times New Roman"/>
          <w:color w:val="000000" w:themeColor="text1"/>
          <w:sz w:val="24"/>
          <w:szCs w:val="24"/>
        </w:rPr>
      </w:pPr>
      <w:proofErr w:type="spellStart"/>
      <w:r w:rsidRPr="00031862">
        <w:rPr>
          <w:rFonts w:ascii="Times New Roman" w:hAnsi="Times New Roman" w:cs="Times New Roman"/>
          <w:color w:val="000000" w:themeColor="text1"/>
          <w:sz w:val="24"/>
          <w:szCs w:val="24"/>
        </w:rPr>
        <w:lastRenderedPageBreak/>
        <w:t>Ampadu</w:t>
      </w:r>
      <w:proofErr w:type="spellEnd"/>
      <w:r w:rsidRPr="00031862">
        <w:rPr>
          <w:rFonts w:ascii="Times New Roman" w:hAnsi="Times New Roman" w:cs="Times New Roman"/>
          <w:color w:val="000000" w:themeColor="text1"/>
          <w:sz w:val="24"/>
          <w:szCs w:val="24"/>
        </w:rPr>
        <w:t xml:space="preserve">, P. B., &amp; Yang, J. (2024). The impact of forestry management practices on regional </w:t>
      </w:r>
    </w:p>
    <w:p w14:paraId="4E8ED43D" w14:textId="77777777" w:rsidR="00EC5C25" w:rsidRPr="00031862" w:rsidRDefault="00EC5C25" w:rsidP="00EC5C25">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economic benefits and livelihood of the rural communities in Ghana: A case study of three forest reserves in the Ashanti region.</w:t>
      </w:r>
    </w:p>
    <w:p w14:paraId="5870FC27" w14:textId="77777777" w:rsidR="00EC5C25" w:rsidRPr="00EC5C25" w:rsidRDefault="00EC5C25" w:rsidP="00EC5C25">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Asante, E. A., </w:t>
      </w:r>
      <w:proofErr w:type="spellStart"/>
      <w:r w:rsidRPr="00031862">
        <w:rPr>
          <w:rFonts w:ascii="Times New Roman" w:hAnsi="Times New Roman" w:cs="Times New Roman"/>
          <w:color w:val="000000" w:themeColor="text1"/>
          <w:sz w:val="24"/>
          <w:szCs w:val="24"/>
        </w:rPr>
        <w:t>Ababio</w:t>
      </w:r>
      <w:proofErr w:type="spellEnd"/>
      <w:r w:rsidRPr="00031862">
        <w:rPr>
          <w:rFonts w:ascii="Times New Roman" w:hAnsi="Times New Roman" w:cs="Times New Roman"/>
          <w:color w:val="000000" w:themeColor="text1"/>
          <w:sz w:val="24"/>
          <w:szCs w:val="24"/>
        </w:rPr>
        <w:t xml:space="preserve">, S., &amp; </w:t>
      </w:r>
      <w:proofErr w:type="spellStart"/>
      <w:r w:rsidRPr="00031862">
        <w:rPr>
          <w:rFonts w:ascii="Times New Roman" w:hAnsi="Times New Roman" w:cs="Times New Roman"/>
          <w:color w:val="000000" w:themeColor="text1"/>
          <w:sz w:val="24"/>
          <w:szCs w:val="24"/>
        </w:rPr>
        <w:t>Boadu</w:t>
      </w:r>
      <w:proofErr w:type="spellEnd"/>
      <w:r w:rsidRPr="00031862">
        <w:rPr>
          <w:rFonts w:ascii="Times New Roman" w:hAnsi="Times New Roman" w:cs="Times New Roman"/>
          <w:color w:val="000000" w:themeColor="text1"/>
          <w:sz w:val="24"/>
          <w:szCs w:val="24"/>
        </w:rPr>
        <w:t xml:space="preserve">, K. B. (2017). The use of indigenous cultural practices by the </w:t>
      </w:r>
    </w:p>
    <w:p w14:paraId="018655C3" w14:textId="77777777" w:rsidR="00EC5C25" w:rsidRPr="00031862" w:rsidRDefault="00EC5C25" w:rsidP="00EC5C25">
      <w:pPr>
        <w:spacing w:after="0" w:line="360" w:lineRule="auto"/>
        <w:ind w:firstLine="720"/>
        <w:jc w:val="both"/>
        <w:rPr>
          <w:rFonts w:ascii="Times New Roman" w:hAnsi="Times New Roman" w:cs="Times New Roman"/>
          <w:color w:val="000000" w:themeColor="text1"/>
          <w:sz w:val="24"/>
          <w:szCs w:val="24"/>
        </w:rPr>
      </w:pPr>
      <w:proofErr w:type="spellStart"/>
      <w:r w:rsidRPr="00031862">
        <w:rPr>
          <w:rFonts w:ascii="Times New Roman" w:hAnsi="Times New Roman" w:cs="Times New Roman"/>
          <w:color w:val="000000" w:themeColor="text1"/>
          <w:sz w:val="24"/>
          <w:szCs w:val="24"/>
        </w:rPr>
        <w:t>Ashantis</w:t>
      </w:r>
      <w:proofErr w:type="spellEnd"/>
      <w:r w:rsidRPr="00031862">
        <w:rPr>
          <w:rFonts w:ascii="Times New Roman" w:hAnsi="Times New Roman" w:cs="Times New Roman"/>
          <w:color w:val="000000" w:themeColor="text1"/>
          <w:sz w:val="24"/>
          <w:szCs w:val="24"/>
        </w:rPr>
        <w:t xml:space="preserve"> for the conservation of forests in Ghana.</w:t>
      </w:r>
    </w:p>
    <w:p w14:paraId="55679A7F" w14:textId="77777777" w:rsidR="00CE0E49" w:rsidRPr="00CE0E49" w:rsidRDefault="00CE0E49" w:rsidP="00CE0E49">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Baruah, M. (2017). </w:t>
      </w:r>
      <w:proofErr w:type="spellStart"/>
      <w:r w:rsidRPr="00031862">
        <w:rPr>
          <w:rFonts w:ascii="Times New Roman" w:hAnsi="Times New Roman" w:cs="Times New Roman"/>
          <w:color w:val="000000" w:themeColor="text1"/>
          <w:sz w:val="24"/>
          <w:szCs w:val="24"/>
        </w:rPr>
        <w:t>Facipulation</w:t>
      </w:r>
      <w:proofErr w:type="spellEnd"/>
      <w:r w:rsidRPr="00031862">
        <w:rPr>
          <w:rFonts w:ascii="Times New Roman" w:hAnsi="Times New Roman" w:cs="Times New Roman"/>
          <w:color w:val="000000" w:themeColor="text1"/>
          <w:sz w:val="24"/>
          <w:szCs w:val="24"/>
        </w:rPr>
        <w:t xml:space="preserve"> and elite formation: Community resource management in </w:t>
      </w:r>
    </w:p>
    <w:p w14:paraId="258DE055" w14:textId="2931D5AB" w:rsidR="00CE0E49" w:rsidRPr="00CE0E49" w:rsidRDefault="00CE0E49" w:rsidP="00CE0E49">
      <w:pPr>
        <w:pStyle w:val="NormalWeb"/>
        <w:spacing w:before="0" w:beforeAutospacing="0" w:after="0" w:afterAutospacing="0" w:line="360" w:lineRule="auto"/>
        <w:ind w:left="720" w:hanging="720"/>
      </w:pPr>
      <w:r w:rsidRPr="00031862">
        <w:rPr>
          <w:color w:val="000000" w:themeColor="text1"/>
        </w:rPr>
        <w:t>Southwestern Ghana</w:t>
      </w:r>
      <w:r>
        <w:rPr>
          <w:color w:val="000000" w:themeColor="text1"/>
        </w:rPr>
        <w:t>.</w:t>
      </w:r>
      <w:r w:rsidRPr="00CE0E49">
        <w:t xml:space="preserve"> </w:t>
      </w:r>
    </w:p>
    <w:p w14:paraId="377DCF57" w14:textId="77777777" w:rsidR="00CE0E49" w:rsidRDefault="00CE0E49" w:rsidP="00CE0E49">
      <w:pPr>
        <w:pStyle w:val="NormalWeb"/>
        <w:spacing w:before="0" w:beforeAutospacing="0" w:after="0" w:afterAutospacing="0" w:line="360" w:lineRule="auto"/>
        <w:ind w:left="720" w:hanging="720"/>
      </w:pPr>
    </w:p>
    <w:p w14:paraId="295C2B10" w14:textId="77DEC022" w:rsidR="004666AB" w:rsidRPr="00BD36C9" w:rsidRDefault="004666AB" w:rsidP="00CE0E49">
      <w:pPr>
        <w:pStyle w:val="NormalWeb"/>
        <w:spacing w:before="0" w:beforeAutospacing="0" w:after="0" w:afterAutospacing="0" w:line="360" w:lineRule="auto"/>
        <w:ind w:left="720" w:hanging="720"/>
      </w:pPr>
      <w:r w:rsidRPr="00BD36C9">
        <w:t xml:space="preserve">Bray, D. B., Merino-Pérez, L., </w:t>
      </w:r>
      <w:proofErr w:type="spellStart"/>
      <w:r w:rsidRPr="00BD36C9">
        <w:t>Negreros</w:t>
      </w:r>
      <w:proofErr w:type="spellEnd"/>
      <w:r w:rsidRPr="00BD36C9">
        <w:t>-Castillo, P., Segura-</w:t>
      </w:r>
      <w:proofErr w:type="spellStart"/>
      <w:r w:rsidRPr="00BD36C9">
        <w:t>Warnholtz</w:t>
      </w:r>
      <w:proofErr w:type="spellEnd"/>
      <w:r w:rsidRPr="00BD36C9">
        <w:t>, G., Torres-</w:t>
      </w:r>
      <w:proofErr w:type="spellStart"/>
      <w:r w:rsidRPr="00BD36C9">
        <w:t>Rojo</w:t>
      </w:r>
      <w:proofErr w:type="spellEnd"/>
      <w:r w:rsidRPr="00BD36C9">
        <w:t xml:space="preserve">, J. M., &amp; </w:t>
      </w:r>
      <w:proofErr w:type="spellStart"/>
      <w:r w:rsidRPr="00BD36C9">
        <w:t>Vester</w:t>
      </w:r>
      <w:proofErr w:type="spellEnd"/>
      <w:r w:rsidRPr="00BD36C9">
        <w:t xml:space="preserve">, H. (2005). Community-managed forests in Mexico: Perspectives and challenges. </w:t>
      </w:r>
      <w:r w:rsidRPr="00BD36C9">
        <w:rPr>
          <w:rStyle w:val="Emphasis"/>
        </w:rPr>
        <w:t>Conservation Biology, 19</w:t>
      </w:r>
      <w:r w:rsidRPr="00BD36C9">
        <w:t>(3), 672–679. https://doi.org/10.1111/j.1523-1739.2005.01124.x</w:t>
      </w:r>
    </w:p>
    <w:p w14:paraId="4FECD150" w14:textId="77777777" w:rsidR="004666AB" w:rsidRPr="00BD36C9" w:rsidRDefault="004666AB" w:rsidP="00184C2F">
      <w:pPr>
        <w:pStyle w:val="NormalWeb"/>
        <w:spacing w:before="0" w:beforeAutospacing="0" w:after="0" w:afterAutospacing="0" w:line="360" w:lineRule="auto"/>
        <w:ind w:left="720" w:hanging="720"/>
      </w:pPr>
      <w:r w:rsidRPr="00BD36C9">
        <w:t xml:space="preserve">Cleaver, F. (2012). </w:t>
      </w:r>
      <w:r w:rsidRPr="00BD36C9">
        <w:rPr>
          <w:rStyle w:val="Emphasis"/>
        </w:rPr>
        <w:t>Development through bricolage: Rethinking institutions for natural resource management</w:t>
      </w:r>
      <w:r w:rsidRPr="00BD36C9">
        <w:t>. Routledge.</w:t>
      </w:r>
    </w:p>
    <w:p w14:paraId="09B181FC" w14:textId="77777777" w:rsidR="00CE0E49" w:rsidRPr="00CE0E49" w:rsidRDefault="00CE0E49" w:rsidP="00CE0E49">
      <w:pPr>
        <w:spacing w:after="0" w:line="360" w:lineRule="auto"/>
        <w:jc w:val="both"/>
        <w:rPr>
          <w:rFonts w:ascii="Times New Roman" w:hAnsi="Times New Roman" w:cs="Times New Roman"/>
          <w:color w:val="000000" w:themeColor="text1"/>
          <w:sz w:val="24"/>
          <w:szCs w:val="24"/>
        </w:rPr>
      </w:pPr>
      <w:proofErr w:type="spellStart"/>
      <w:r w:rsidRPr="00031862">
        <w:rPr>
          <w:rFonts w:ascii="Times New Roman" w:hAnsi="Times New Roman" w:cs="Times New Roman"/>
          <w:color w:val="000000" w:themeColor="text1"/>
          <w:sz w:val="24"/>
          <w:szCs w:val="24"/>
        </w:rPr>
        <w:t>Cronkleton</w:t>
      </w:r>
      <w:proofErr w:type="spellEnd"/>
      <w:r w:rsidRPr="00031862">
        <w:rPr>
          <w:rFonts w:ascii="Times New Roman" w:hAnsi="Times New Roman" w:cs="Times New Roman"/>
          <w:color w:val="000000" w:themeColor="text1"/>
          <w:sz w:val="24"/>
          <w:szCs w:val="24"/>
        </w:rPr>
        <w:t xml:space="preserve">, P., Bray, D. B., &amp; Medina, G. (2012). Community forest management and the </w:t>
      </w:r>
    </w:p>
    <w:p w14:paraId="79D466C0" w14:textId="77777777" w:rsidR="00CE0E49" w:rsidRPr="00031862" w:rsidRDefault="00CE0E49" w:rsidP="00CE0E49">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emergence of multi-scale governance institutions: Lessons for REDD+ development from Mexico, Brazil, and Bolivia. </w:t>
      </w:r>
      <w:r w:rsidRPr="00031862">
        <w:rPr>
          <w:rFonts w:ascii="Times New Roman" w:hAnsi="Times New Roman" w:cs="Times New Roman"/>
          <w:i/>
          <w:iCs/>
          <w:color w:val="000000" w:themeColor="text1"/>
          <w:sz w:val="24"/>
          <w:szCs w:val="24"/>
        </w:rPr>
        <w:t>Forests, 3</w:t>
      </w:r>
      <w:r w:rsidRPr="00031862">
        <w:rPr>
          <w:rFonts w:ascii="Times New Roman" w:hAnsi="Times New Roman" w:cs="Times New Roman"/>
          <w:color w:val="000000" w:themeColor="text1"/>
          <w:sz w:val="24"/>
          <w:szCs w:val="24"/>
        </w:rPr>
        <w:t xml:space="preserve">(2), 451–473. </w:t>
      </w:r>
      <w:hyperlink r:id="rId11" w:tgtFrame="_new" w:history="1">
        <w:r w:rsidRPr="00031862">
          <w:rPr>
            <w:rStyle w:val="Hyperlink"/>
            <w:rFonts w:ascii="Times New Roman" w:hAnsi="Times New Roman" w:cs="Times New Roman"/>
            <w:color w:val="000000" w:themeColor="text1"/>
            <w:sz w:val="24"/>
            <w:szCs w:val="24"/>
            <w:u w:val="none"/>
          </w:rPr>
          <w:t>https://doi.org/10.3390/f3020451</w:t>
        </w:r>
      </w:hyperlink>
    </w:p>
    <w:p w14:paraId="49A4C4DA" w14:textId="77777777" w:rsidR="00CE0E49" w:rsidRPr="00CE0E49" w:rsidRDefault="00CE0E49" w:rsidP="00CE0E49">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Demir, S. B., &amp; </w:t>
      </w:r>
      <w:proofErr w:type="spellStart"/>
      <w:r w:rsidRPr="00031862">
        <w:rPr>
          <w:rFonts w:ascii="Times New Roman" w:hAnsi="Times New Roman" w:cs="Times New Roman"/>
          <w:color w:val="000000" w:themeColor="text1"/>
          <w:sz w:val="24"/>
          <w:szCs w:val="24"/>
        </w:rPr>
        <w:t>Pismek</w:t>
      </w:r>
      <w:proofErr w:type="spellEnd"/>
      <w:r w:rsidRPr="00031862">
        <w:rPr>
          <w:rFonts w:ascii="Times New Roman" w:hAnsi="Times New Roman" w:cs="Times New Roman"/>
          <w:color w:val="000000" w:themeColor="text1"/>
          <w:sz w:val="24"/>
          <w:szCs w:val="24"/>
        </w:rPr>
        <w:t xml:space="preserve">, N. (2018). A convergent parallel mixed-methods study of controversial </w:t>
      </w:r>
    </w:p>
    <w:p w14:paraId="5120CCBD" w14:textId="77777777" w:rsidR="00CE0E49" w:rsidRPr="00031862" w:rsidRDefault="00CE0E49" w:rsidP="00CE0E49">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issues in social studies classes: A clash of ideologies, 119–149. </w:t>
      </w:r>
      <w:hyperlink r:id="rId12" w:history="1">
        <w:r w:rsidRPr="00031862">
          <w:rPr>
            <w:rStyle w:val="Hyperlink"/>
            <w:rFonts w:ascii="Times New Roman" w:hAnsi="Times New Roman" w:cs="Times New Roman"/>
            <w:sz w:val="24"/>
            <w:szCs w:val="24"/>
            <w:u w:val="none"/>
          </w:rPr>
          <w:t>https://doi.org/10.12738/estp.2018.1.0298</w:t>
        </w:r>
      </w:hyperlink>
    </w:p>
    <w:p w14:paraId="6DEF9D14" w14:textId="77777777" w:rsidR="00CE0E49" w:rsidRPr="00CE0E49" w:rsidRDefault="00CE0E49" w:rsidP="00CE0E49">
      <w:pPr>
        <w:spacing w:after="0" w:line="360" w:lineRule="auto"/>
        <w:jc w:val="both"/>
        <w:rPr>
          <w:rFonts w:ascii="Times New Roman" w:hAnsi="Times New Roman" w:cs="Times New Roman"/>
          <w:color w:val="000000" w:themeColor="text1"/>
          <w:sz w:val="24"/>
          <w:szCs w:val="24"/>
        </w:rPr>
      </w:pPr>
      <w:proofErr w:type="spellStart"/>
      <w:r w:rsidRPr="00031862">
        <w:rPr>
          <w:rFonts w:ascii="Times New Roman" w:hAnsi="Times New Roman" w:cs="Times New Roman"/>
          <w:color w:val="000000" w:themeColor="text1"/>
          <w:sz w:val="24"/>
          <w:szCs w:val="24"/>
        </w:rPr>
        <w:t>Essougong</w:t>
      </w:r>
      <w:proofErr w:type="spellEnd"/>
      <w:r w:rsidRPr="00031862">
        <w:rPr>
          <w:rFonts w:ascii="Times New Roman" w:hAnsi="Times New Roman" w:cs="Times New Roman"/>
          <w:color w:val="000000" w:themeColor="text1"/>
          <w:sz w:val="24"/>
          <w:szCs w:val="24"/>
        </w:rPr>
        <w:t xml:space="preserve">, U. P. K., </w:t>
      </w:r>
      <w:proofErr w:type="spellStart"/>
      <w:r w:rsidRPr="00031862">
        <w:rPr>
          <w:rFonts w:ascii="Times New Roman" w:hAnsi="Times New Roman" w:cs="Times New Roman"/>
          <w:color w:val="000000" w:themeColor="text1"/>
          <w:sz w:val="24"/>
          <w:szCs w:val="24"/>
        </w:rPr>
        <w:t>Foundjem-Tita</w:t>
      </w:r>
      <w:proofErr w:type="spellEnd"/>
      <w:r w:rsidRPr="00031862">
        <w:rPr>
          <w:rFonts w:ascii="Times New Roman" w:hAnsi="Times New Roman" w:cs="Times New Roman"/>
          <w:color w:val="000000" w:themeColor="text1"/>
          <w:sz w:val="24"/>
          <w:szCs w:val="24"/>
        </w:rPr>
        <w:t xml:space="preserve">, D., &amp; </w:t>
      </w:r>
      <w:proofErr w:type="spellStart"/>
      <w:r w:rsidRPr="00031862">
        <w:rPr>
          <w:rFonts w:ascii="Times New Roman" w:hAnsi="Times New Roman" w:cs="Times New Roman"/>
          <w:color w:val="000000" w:themeColor="text1"/>
          <w:sz w:val="24"/>
          <w:szCs w:val="24"/>
        </w:rPr>
        <w:t>Lescuyer</w:t>
      </w:r>
      <w:proofErr w:type="spellEnd"/>
      <w:r w:rsidRPr="00031862">
        <w:rPr>
          <w:rFonts w:ascii="Times New Roman" w:hAnsi="Times New Roman" w:cs="Times New Roman"/>
          <w:color w:val="000000" w:themeColor="text1"/>
          <w:sz w:val="24"/>
          <w:szCs w:val="24"/>
        </w:rPr>
        <w:t xml:space="preserve">, G. (2019). Participation, equity and benefit </w:t>
      </w:r>
    </w:p>
    <w:p w14:paraId="1C69F7B0" w14:textId="77777777" w:rsidR="00CE0E49" w:rsidRPr="00031862" w:rsidRDefault="00CE0E49" w:rsidP="00CE0E49">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sharing in community forestry in Cameroon: Issues and challenges. </w:t>
      </w:r>
      <w:r w:rsidRPr="00031862">
        <w:rPr>
          <w:rFonts w:ascii="Times New Roman" w:hAnsi="Times New Roman" w:cs="Times New Roman"/>
          <w:i/>
          <w:iCs/>
          <w:color w:val="000000" w:themeColor="text1"/>
          <w:sz w:val="24"/>
          <w:szCs w:val="24"/>
        </w:rPr>
        <w:t>Forest Policy and Economics, 101</w:t>
      </w:r>
      <w:r w:rsidRPr="00031862">
        <w:rPr>
          <w:rFonts w:ascii="Times New Roman" w:hAnsi="Times New Roman" w:cs="Times New Roman"/>
          <w:color w:val="000000" w:themeColor="text1"/>
          <w:sz w:val="24"/>
          <w:szCs w:val="24"/>
        </w:rPr>
        <w:t xml:space="preserve">, 1–11. </w:t>
      </w:r>
      <w:hyperlink r:id="rId13" w:tgtFrame="_new" w:history="1">
        <w:r w:rsidRPr="00031862">
          <w:rPr>
            <w:rStyle w:val="Hyperlink"/>
            <w:rFonts w:ascii="Times New Roman" w:hAnsi="Times New Roman" w:cs="Times New Roman"/>
            <w:color w:val="000000" w:themeColor="text1"/>
            <w:sz w:val="24"/>
            <w:szCs w:val="24"/>
            <w:u w:val="none"/>
          </w:rPr>
          <w:t>https://doi.org/10.1016/j.forpol.2019.01.002</w:t>
        </w:r>
      </w:hyperlink>
    </w:p>
    <w:p w14:paraId="4B26D55C" w14:textId="77777777" w:rsidR="004666AB" w:rsidRPr="00BD36C9" w:rsidRDefault="004666AB" w:rsidP="00184C2F">
      <w:pPr>
        <w:pStyle w:val="NormalWeb"/>
        <w:spacing w:before="0" w:beforeAutospacing="0" w:after="0" w:afterAutospacing="0" w:line="360" w:lineRule="auto"/>
        <w:ind w:left="720" w:hanging="720"/>
      </w:pPr>
      <w:r w:rsidRPr="00BD36C9">
        <w:t xml:space="preserve">Forestry Commission of Ghana. (2023). </w:t>
      </w:r>
      <w:r w:rsidRPr="00BD36C9">
        <w:rPr>
          <w:rStyle w:val="Emphasis"/>
        </w:rPr>
        <w:t>Community Resource Management Area (CREMA) framework and implementation guidelines</w:t>
      </w:r>
      <w:r w:rsidRPr="00BD36C9">
        <w:t>. Forestry Commission of Ghana.</w:t>
      </w:r>
    </w:p>
    <w:p w14:paraId="276D3177" w14:textId="77777777" w:rsidR="00CE0E49" w:rsidRPr="00CE0E49" w:rsidRDefault="00CE0E49" w:rsidP="00CE0E49">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Friedman, R. S., Law, E. A., Bennett, N. J., Ives, C. D., Thorn, J. P. R., &amp; Wilson, K. A. (2020). </w:t>
      </w:r>
    </w:p>
    <w:p w14:paraId="230F7C5F" w14:textId="77777777" w:rsidR="00CE0E49" w:rsidRPr="00031862" w:rsidRDefault="00CE0E49" w:rsidP="00CE0E49">
      <w:pPr>
        <w:spacing w:after="0" w:line="360" w:lineRule="auto"/>
        <w:ind w:left="720"/>
        <w:jc w:val="both"/>
        <w:rPr>
          <w:rFonts w:ascii="Times New Roman" w:hAnsi="Times New Roman" w:cs="Times New Roman"/>
          <w:color w:val="000000" w:themeColor="text1"/>
        </w:rPr>
      </w:pPr>
      <w:r w:rsidRPr="00031862">
        <w:rPr>
          <w:rFonts w:ascii="Times New Roman" w:hAnsi="Times New Roman" w:cs="Times New Roman"/>
          <w:color w:val="000000" w:themeColor="text1"/>
          <w:sz w:val="24"/>
          <w:szCs w:val="24"/>
        </w:rPr>
        <w:t xml:space="preserve">How just and just how? A systematic review of social equity in conservation research. </w:t>
      </w:r>
      <w:r w:rsidRPr="00031862">
        <w:rPr>
          <w:rFonts w:ascii="Times New Roman" w:hAnsi="Times New Roman" w:cs="Times New Roman"/>
          <w:i/>
          <w:iCs/>
          <w:color w:val="000000" w:themeColor="text1"/>
          <w:sz w:val="24"/>
          <w:szCs w:val="24"/>
        </w:rPr>
        <w:t>Environmental Research Letters, 15</w:t>
      </w:r>
      <w:r w:rsidRPr="00031862">
        <w:rPr>
          <w:rFonts w:ascii="Times New Roman" w:hAnsi="Times New Roman" w:cs="Times New Roman"/>
          <w:color w:val="000000" w:themeColor="text1"/>
          <w:sz w:val="24"/>
          <w:szCs w:val="24"/>
        </w:rPr>
        <w:t xml:space="preserve">(5), 053001. </w:t>
      </w:r>
      <w:hyperlink r:id="rId14" w:tgtFrame="_new" w:history="1">
        <w:r w:rsidRPr="00031862">
          <w:rPr>
            <w:rStyle w:val="Hyperlink"/>
            <w:rFonts w:ascii="Times New Roman" w:hAnsi="Times New Roman" w:cs="Times New Roman"/>
            <w:color w:val="000000" w:themeColor="text1"/>
            <w:sz w:val="24"/>
            <w:szCs w:val="24"/>
            <w:u w:val="none"/>
          </w:rPr>
          <w:t>https://doi.org/10.1088/1748-9326/ab7e5a</w:t>
        </w:r>
      </w:hyperlink>
    </w:p>
    <w:p w14:paraId="2BD40875" w14:textId="77777777" w:rsidR="004666AB" w:rsidRPr="00BD36C9" w:rsidRDefault="004666AB" w:rsidP="00184C2F">
      <w:pPr>
        <w:pStyle w:val="NormalWeb"/>
        <w:spacing w:before="0" w:beforeAutospacing="0" w:after="0" w:afterAutospacing="0" w:line="360" w:lineRule="auto"/>
        <w:ind w:left="720" w:hanging="720"/>
      </w:pPr>
      <w:r w:rsidRPr="00BD36C9">
        <w:t xml:space="preserve">Hall, P. A., &amp; Taylor, R. C. R. (1996). Political science and the three new institutionalisms. </w:t>
      </w:r>
      <w:r w:rsidRPr="00BD36C9">
        <w:rPr>
          <w:rStyle w:val="Emphasis"/>
        </w:rPr>
        <w:t>Political Studies, 44</w:t>
      </w:r>
      <w:r w:rsidRPr="00BD36C9">
        <w:t>(5), 936–957. https://doi.org/10.1111/j.1467-9248.1996.tb00343.x</w:t>
      </w:r>
    </w:p>
    <w:p w14:paraId="005548C6" w14:textId="77777777" w:rsidR="004666AB" w:rsidRPr="00BD36C9" w:rsidRDefault="004666AB" w:rsidP="00184C2F">
      <w:pPr>
        <w:pStyle w:val="NormalWeb"/>
        <w:spacing w:before="0" w:beforeAutospacing="0" w:after="0" w:afterAutospacing="0" w:line="360" w:lineRule="auto"/>
        <w:ind w:left="720" w:hanging="720"/>
      </w:pPr>
      <w:r w:rsidRPr="00BD36C9">
        <w:lastRenderedPageBreak/>
        <w:t xml:space="preserve">Hajjar, R., McGrath, D. G., Kozak, R. A., &amp; Innes, J. L. (2021). Framing community forestry challenges for research and practice. </w:t>
      </w:r>
      <w:r w:rsidRPr="00BD36C9">
        <w:rPr>
          <w:rStyle w:val="Emphasis"/>
        </w:rPr>
        <w:t>World Development, 138</w:t>
      </w:r>
      <w:r w:rsidRPr="00BD36C9">
        <w:t>, 105225. https://doi.org/10.1016/j.worlddev.2020.105225</w:t>
      </w:r>
    </w:p>
    <w:p w14:paraId="052EC02D" w14:textId="77777777" w:rsidR="00CE0E49" w:rsidRPr="00031862" w:rsidRDefault="00CE0E49" w:rsidP="00CE0E49">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Kumar, R. (2011). </w:t>
      </w:r>
      <w:r w:rsidRPr="00031862">
        <w:rPr>
          <w:rFonts w:ascii="Times New Roman" w:hAnsi="Times New Roman" w:cs="Times New Roman"/>
          <w:i/>
          <w:iCs/>
          <w:color w:val="000000" w:themeColor="text1"/>
          <w:sz w:val="24"/>
          <w:szCs w:val="24"/>
        </w:rPr>
        <w:t>Research methodology: A step-by-step guide for beginners</w:t>
      </w:r>
      <w:r w:rsidRPr="00031862">
        <w:rPr>
          <w:rFonts w:ascii="Times New Roman" w:hAnsi="Times New Roman" w:cs="Times New Roman"/>
          <w:color w:val="000000" w:themeColor="text1"/>
          <w:sz w:val="24"/>
          <w:szCs w:val="24"/>
        </w:rPr>
        <w:t xml:space="preserve">. </w:t>
      </w:r>
      <w:hyperlink r:id="rId15" w:tgtFrame="_new" w:history="1">
        <w:r w:rsidRPr="00031862">
          <w:rPr>
            <w:rStyle w:val="Hyperlink"/>
            <w:rFonts w:ascii="Times New Roman" w:hAnsi="Times New Roman" w:cs="Times New Roman"/>
            <w:color w:val="000000" w:themeColor="text1"/>
            <w:sz w:val="24"/>
            <w:szCs w:val="24"/>
            <w:u w:val="none"/>
          </w:rPr>
          <w:t>www.ijsom.com</w:t>
        </w:r>
      </w:hyperlink>
    </w:p>
    <w:p w14:paraId="62D5865B" w14:textId="77777777" w:rsidR="004666AB" w:rsidRPr="00BD36C9" w:rsidRDefault="004666AB" w:rsidP="00184C2F">
      <w:pPr>
        <w:pStyle w:val="NormalWeb"/>
        <w:spacing w:before="0" w:beforeAutospacing="0" w:after="0" w:afterAutospacing="0" w:line="360" w:lineRule="auto"/>
        <w:ind w:left="720" w:hanging="720"/>
      </w:pPr>
      <w:r w:rsidRPr="00BD36C9">
        <w:t xml:space="preserve">Larson, A. M., &amp; Soto, F. (2020). Decentralization of natural resource governance regimes. </w:t>
      </w:r>
      <w:r w:rsidRPr="00BD36C9">
        <w:rPr>
          <w:rStyle w:val="Emphasis"/>
        </w:rPr>
        <w:t>Annual Review of Environment and Resources, 45</w:t>
      </w:r>
      <w:r w:rsidRPr="00BD36C9">
        <w:t>, 581–604. https://doi.org/10.1146/annurev-environ-012220-011103</w:t>
      </w:r>
    </w:p>
    <w:p w14:paraId="64D5A4F6" w14:textId="408F655F" w:rsidR="004666AB" w:rsidRPr="00BD36C9" w:rsidRDefault="004666AB" w:rsidP="00184C2F">
      <w:pPr>
        <w:pStyle w:val="NormalWeb"/>
        <w:spacing w:before="0" w:beforeAutospacing="0" w:after="0" w:afterAutospacing="0" w:line="360" w:lineRule="auto"/>
        <w:ind w:left="720" w:hanging="720"/>
      </w:pPr>
      <w:r w:rsidRPr="00BD36C9">
        <w:t xml:space="preserve">Larson, A. M., Barry, D., </w:t>
      </w:r>
      <w:proofErr w:type="spellStart"/>
      <w:r w:rsidRPr="00BD36C9">
        <w:t>Dahal</w:t>
      </w:r>
      <w:proofErr w:type="spellEnd"/>
      <w:r w:rsidRPr="00BD36C9">
        <w:t xml:space="preserve">, G. R., &amp; </w:t>
      </w:r>
      <w:proofErr w:type="spellStart"/>
      <w:r w:rsidRPr="00BD36C9">
        <w:t>Colfer</w:t>
      </w:r>
      <w:proofErr w:type="spellEnd"/>
      <w:r w:rsidRPr="00BD36C9">
        <w:t xml:space="preserve">, C. J. P. (2010). Forest tenure reform: An orphan with only uncles. </w:t>
      </w:r>
      <w:r w:rsidRPr="00BD36C9">
        <w:rPr>
          <w:rStyle w:val="Emphasis"/>
        </w:rPr>
        <w:t>Global Environmental Change, 20</w:t>
      </w:r>
      <w:r w:rsidRPr="00BD36C9">
        <w:t>(2), 268–277. https://doi.org/10.1016/j.gloenvcha.2009.11.004</w:t>
      </w:r>
    </w:p>
    <w:p w14:paraId="73265671" w14:textId="77777777" w:rsidR="004666AB" w:rsidRPr="00BD36C9" w:rsidRDefault="004666AB" w:rsidP="00184C2F">
      <w:pPr>
        <w:pStyle w:val="NormalWeb"/>
        <w:spacing w:before="0" w:beforeAutospacing="0" w:after="0" w:afterAutospacing="0" w:line="360" w:lineRule="auto"/>
        <w:ind w:left="720" w:hanging="720"/>
      </w:pPr>
      <w:r w:rsidRPr="00BD36C9">
        <w:t xml:space="preserve">Larson, A. M., et al. (2023). Community forestry and tenure security in Africa. </w:t>
      </w:r>
      <w:r w:rsidRPr="00BD36C9">
        <w:rPr>
          <w:rStyle w:val="Emphasis"/>
        </w:rPr>
        <w:t>Forest Policy and Economics, 149</w:t>
      </w:r>
      <w:r w:rsidRPr="00BD36C9">
        <w:t>, 102930. https://doi.org/10.1016/j.forpol.2023.102930</w:t>
      </w:r>
    </w:p>
    <w:p w14:paraId="20CF2E87" w14:textId="77777777" w:rsidR="004666AB" w:rsidRPr="00BD36C9" w:rsidRDefault="004666AB" w:rsidP="00184C2F">
      <w:pPr>
        <w:pStyle w:val="NormalWeb"/>
        <w:spacing w:before="0" w:beforeAutospacing="0" w:after="0" w:afterAutospacing="0" w:line="360" w:lineRule="auto"/>
        <w:ind w:left="720" w:hanging="720"/>
      </w:pPr>
      <w:proofErr w:type="spellStart"/>
      <w:r w:rsidRPr="00BD36C9">
        <w:t>Mawutor</w:t>
      </w:r>
      <w:proofErr w:type="spellEnd"/>
      <w:r w:rsidRPr="00BD36C9">
        <w:t xml:space="preserve">, J. K., &amp; Hajjar, R. (2022). Participation and equity challenges in Ghana’s CREMA system. </w:t>
      </w:r>
      <w:r w:rsidRPr="00BD36C9">
        <w:rPr>
          <w:rStyle w:val="Emphasis"/>
        </w:rPr>
        <w:t>Forest Policy and Economics, 138</w:t>
      </w:r>
      <w:r w:rsidRPr="00BD36C9">
        <w:t>, 102720. https://doi.org/10.1016/j.forpol.2022.102720</w:t>
      </w:r>
    </w:p>
    <w:p w14:paraId="4738C616" w14:textId="77777777" w:rsidR="004666AB" w:rsidRPr="00BD36C9" w:rsidRDefault="004666AB" w:rsidP="00184C2F">
      <w:pPr>
        <w:pStyle w:val="NormalWeb"/>
        <w:spacing w:before="0" w:beforeAutospacing="0" w:after="0" w:afterAutospacing="0" w:line="360" w:lineRule="auto"/>
        <w:ind w:left="720" w:hanging="720"/>
      </w:pPr>
      <w:r w:rsidRPr="00BD36C9">
        <w:t xml:space="preserve">North, D. C. (1990). </w:t>
      </w:r>
      <w:r w:rsidRPr="00BD36C9">
        <w:rPr>
          <w:rStyle w:val="Emphasis"/>
        </w:rPr>
        <w:t>Institutions, institutional change and economic performance</w:t>
      </w:r>
      <w:r w:rsidRPr="00BD36C9">
        <w:t>. Cambridge University Press.</w:t>
      </w:r>
    </w:p>
    <w:p w14:paraId="68141A0C" w14:textId="77777777" w:rsidR="004666AB" w:rsidRPr="00BD36C9" w:rsidRDefault="004666AB" w:rsidP="00184C2F">
      <w:pPr>
        <w:pStyle w:val="NormalWeb"/>
        <w:spacing w:before="0" w:beforeAutospacing="0" w:after="0" w:afterAutospacing="0" w:line="360" w:lineRule="auto"/>
        <w:ind w:left="720" w:hanging="720"/>
      </w:pPr>
      <w:r w:rsidRPr="00BD36C9">
        <w:t xml:space="preserve">Ojha, H. R., </w:t>
      </w:r>
      <w:proofErr w:type="spellStart"/>
      <w:r w:rsidRPr="00BD36C9">
        <w:t>Persha</w:t>
      </w:r>
      <w:proofErr w:type="spellEnd"/>
      <w:r w:rsidRPr="00BD36C9">
        <w:t xml:space="preserve">, L., &amp; </w:t>
      </w:r>
      <w:proofErr w:type="spellStart"/>
      <w:r w:rsidRPr="00BD36C9">
        <w:t>Chhatre</w:t>
      </w:r>
      <w:proofErr w:type="spellEnd"/>
      <w:r w:rsidRPr="00BD36C9">
        <w:t xml:space="preserve">, A. (2016). Community forestry in Nepal: A policy innovation for local livelihoods. </w:t>
      </w:r>
      <w:r w:rsidRPr="00BD36C9">
        <w:rPr>
          <w:rStyle w:val="Emphasis"/>
        </w:rPr>
        <w:t>International Forestry Review, 18</w:t>
      </w:r>
      <w:r w:rsidRPr="00BD36C9">
        <w:t>(1), 1–14. https://doi.org/10.1505/146554816818206113</w:t>
      </w:r>
    </w:p>
    <w:p w14:paraId="5DCF2F44" w14:textId="77777777" w:rsidR="00CE0E49" w:rsidRPr="00CE0E49" w:rsidRDefault="00CE0E49" w:rsidP="00CE0E49">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Osei, M. K. (2024). Exploring system contexts contributing to emerging collaborative REDD+ </w:t>
      </w:r>
    </w:p>
    <w:p w14:paraId="7055391D" w14:textId="77777777" w:rsidR="00CE0E49" w:rsidRPr="00031862" w:rsidRDefault="00CE0E49" w:rsidP="00CE0E49">
      <w:pPr>
        <w:spacing w:after="0" w:line="360" w:lineRule="auto"/>
        <w:ind w:firstLine="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governance: Lessons from Ghana.</w:t>
      </w:r>
    </w:p>
    <w:p w14:paraId="66383951" w14:textId="77777777" w:rsidR="004666AB" w:rsidRPr="00BD36C9" w:rsidRDefault="004666AB" w:rsidP="00184C2F">
      <w:pPr>
        <w:pStyle w:val="NormalWeb"/>
        <w:spacing w:before="0" w:beforeAutospacing="0" w:after="0" w:afterAutospacing="0" w:line="360" w:lineRule="auto"/>
        <w:ind w:left="720" w:hanging="720"/>
      </w:pPr>
      <w:r w:rsidRPr="00BD36C9">
        <w:t xml:space="preserve">Ostrom, E. (1990). </w:t>
      </w:r>
      <w:r w:rsidRPr="00BD36C9">
        <w:rPr>
          <w:rStyle w:val="Emphasis"/>
        </w:rPr>
        <w:t>Governing the commons: The evolution of institutions for collective action</w:t>
      </w:r>
      <w:r w:rsidRPr="00BD36C9">
        <w:t>. Cambridge University Press.</w:t>
      </w:r>
    </w:p>
    <w:p w14:paraId="15FBB50A" w14:textId="77777777" w:rsidR="004666AB" w:rsidRPr="00BD36C9" w:rsidRDefault="004666AB" w:rsidP="00184C2F">
      <w:pPr>
        <w:pStyle w:val="NormalWeb"/>
        <w:spacing w:before="0" w:beforeAutospacing="0" w:after="0" w:afterAutospacing="0" w:line="360" w:lineRule="auto"/>
        <w:ind w:left="720" w:hanging="720"/>
      </w:pPr>
      <w:r w:rsidRPr="00BD36C9">
        <w:t xml:space="preserve">Ostrom, E., Gardner, R., &amp; Walker, J. (1994). </w:t>
      </w:r>
      <w:r w:rsidRPr="00BD36C9">
        <w:rPr>
          <w:rStyle w:val="Emphasis"/>
        </w:rPr>
        <w:t>Rules, games, and common-pool resources</w:t>
      </w:r>
      <w:r w:rsidRPr="00BD36C9">
        <w:t>. University of Michigan Press.</w:t>
      </w:r>
    </w:p>
    <w:p w14:paraId="1870DB1B" w14:textId="77777777" w:rsidR="00566AD2" w:rsidRPr="00CE0E49" w:rsidRDefault="00566AD2" w:rsidP="00566AD2">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Poudel, M., Thwaites, R., Race, D., &amp; </w:t>
      </w:r>
      <w:proofErr w:type="spellStart"/>
      <w:r w:rsidRPr="00031862">
        <w:rPr>
          <w:rFonts w:ascii="Times New Roman" w:hAnsi="Times New Roman" w:cs="Times New Roman"/>
          <w:color w:val="000000" w:themeColor="text1"/>
          <w:sz w:val="24"/>
          <w:szCs w:val="24"/>
        </w:rPr>
        <w:t>Dahal</w:t>
      </w:r>
      <w:proofErr w:type="spellEnd"/>
      <w:r w:rsidRPr="00031862">
        <w:rPr>
          <w:rFonts w:ascii="Times New Roman" w:hAnsi="Times New Roman" w:cs="Times New Roman"/>
          <w:color w:val="000000" w:themeColor="text1"/>
          <w:sz w:val="24"/>
          <w:szCs w:val="24"/>
        </w:rPr>
        <w:t xml:space="preserve">, G. R. (2014). REDD+ and community forestry: </w:t>
      </w:r>
    </w:p>
    <w:p w14:paraId="3C925866" w14:textId="77777777" w:rsidR="00566AD2" w:rsidRPr="00031862" w:rsidRDefault="00566AD2" w:rsidP="00566AD2">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Implications for local communities and forest management in Nepal. </w:t>
      </w:r>
      <w:r w:rsidRPr="00031862">
        <w:rPr>
          <w:rFonts w:ascii="Times New Roman" w:hAnsi="Times New Roman" w:cs="Times New Roman"/>
          <w:i/>
          <w:iCs/>
          <w:color w:val="000000" w:themeColor="text1"/>
          <w:sz w:val="24"/>
          <w:szCs w:val="24"/>
        </w:rPr>
        <w:t>Forest Policy and Economics, 38</w:t>
      </w:r>
      <w:r w:rsidRPr="00031862">
        <w:rPr>
          <w:rFonts w:ascii="Times New Roman" w:hAnsi="Times New Roman" w:cs="Times New Roman"/>
          <w:color w:val="000000" w:themeColor="text1"/>
          <w:sz w:val="24"/>
          <w:szCs w:val="24"/>
        </w:rPr>
        <w:t xml:space="preserve">, 1–8. </w:t>
      </w:r>
      <w:hyperlink r:id="rId16" w:tgtFrame="_new" w:history="1">
        <w:r w:rsidRPr="00031862">
          <w:rPr>
            <w:rStyle w:val="Hyperlink"/>
            <w:rFonts w:ascii="Times New Roman" w:hAnsi="Times New Roman" w:cs="Times New Roman"/>
            <w:color w:val="000000" w:themeColor="text1"/>
            <w:sz w:val="24"/>
            <w:szCs w:val="24"/>
            <w:u w:val="none"/>
          </w:rPr>
          <w:t>https://doi.org/10.1016/j.forpol.2013.07.004</w:t>
        </w:r>
      </w:hyperlink>
    </w:p>
    <w:p w14:paraId="4DA1F434" w14:textId="77777777" w:rsidR="00566AD2" w:rsidRPr="00566AD2" w:rsidRDefault="00566AD2" w:rsidP="00566AD2">
      <w:pPr>
        <w:spacing w:after="0" w:line="360" w:lineRule="auto"/>
        <w:jc w:val="both"/>
        <w:rPr>
          <w:rFonts w:ascii="Times New Roman" w:hAnsi="Times New Roman" w:cs="Times New Roman"/>
          <w:i/>
          <w:iCs/>
          <w:color w:val="000000" w:themeColor="text1"/>
          <w:sz w:val="24"/>
          <w:szCs w:val="24"/>
        </w:rPr>
      </w:pPr>
      <w:r w:rsidRPr="00031862">
        <w:rPr>
          <w:rFonts w:ascii="Times New Roman" w:hAnsi="Times New Roman" w:cs="Times New Roman"/>
          <w:color w:val="000000" w:themeColor="text1"/>
          <w:sz w:val="24"/>
          <w:szCs w:val="24"/>
        </w:rPr>
        <w:t xml:space="preserve">Ravi, B., Lea, S., &amp; Joseph, K. H. (2017). </w:t>
      </w:r>
      <w:r w:rsidRPr="00031862">
        <w:rPr>
          <w:rFonts w:ascii="Times New Roman" w:hAnsi="Times New Roman" w:cs="Times New Roman"/>
          <w:i/>
          <w:iCs/>
          <w:color w:val="000000" w:themeColor="text1"/>
          <w:sz w:val="24"/>
          <w:szCs w:val="24"/>
        </w:rPr>
        <w:t xml:space="preserve">Water, knowledge, and the environment in Asia: </w:t>
      </w:r>
    </w:p>
    <w:p w14:paraId="59224296" w14:textId="77777777" w:rsidR="00566AD2" w:rsidRPr="00031862" w:rsidRDefault="00566AD2" w:rsidP="00566AD2">
      <w:pPr>
        <w:spacing w:after="0" w:line="360" w:lineRule="auto"/>
        <w:ind w:firstLine="720"/>
        <w:jc w:val="both"/>
        <w:rPr>
          <w:rFonts w:ascii="Times New Roman" w:hAnsi="Times New Roman" w:cs="Times New Roman"/>
          <w:color w:val="000000" w:themeColor="text1"/>
          <w:sz w:val="24"/>
          <w:szCs w:val="24"/>
        </w:rPr>
      </w:pPr>
      <w:r w:rsidRPr="00031862">
        <w:rPr>
          <w:rFonts w:ascii="Times New Roman" w:hAnsi="Times New Roman" w:cs="Times New Roman"/>
          <w:i/>
          <w:iCs/>
          <w:color w:val="000000" w:themeColor="text1"/>
          <w:sz w:val="24"/>
          <w:szCs w:val="24"/>
        </w:rPr>
        <w:t>Epistemologies, practices and locales</w:t>
      </w:r>
      <w:r w:rsidRPr="00031862">
        <w:rPr>
          <w:rFonts w:ascii="Times New Roman" w:hAnsi="Times New Roman" w:cs="Times New Roman"/>
          <w:color w:val="000000" w:themeColor="text1"/>
          <w:sz w:val="24"/>
          <w:szCs w:val="24"/>
        </w:rPr>
        <w:t>.</w:t>
      </w:r>
    </w:p>
    <w:p w14:paraId="12614A37" w14:textId="77777777" w:rsidR="00566AD2" w:rsidRPr="00566AD2" w:rsidRDefault="00566AD2" w:rsidP="00566AD2">
      <w:pPr>
        <w:spacing w:after="0" w:line="360" w:lineRule="auto"/>
        <w:jc w:val="both"/>
        <w:rPr>
          <w:rFonts w:ascii="Times New Roman" w:hAnsi="Times New Roman" w:cs="Times New Roman"/>
          <w:i/>
          <w:iCs/>
          <w:color w:val="000000" w:themeColor="text1"/>
          <w:sz w:val="24"/>
          <w:szCs w:val="24"/>
        </w:rPr>
      </w:pPr>
      <w:proofErr w:type="spellStart"/>
      <w:r w:rsidRPr="00031862">
        <w:rPr>
          <w:rFonts w:ascii="Times New Roman" w:hAnsi="Times New Roman" w:cs="Times New Roman"/>
          <w:color w:val="000000" w:themeColor="text1"/>
          <w:sz w:val="24"/>
          <w:szCs w:val="24"/>
        </w:rPr>
        <w:lastRenderedPageBreak/>
        <w:t>Ribot</w:t>
      </w:r>
      <w:proofErr w:type="spellEnd"/>
      <w:r w:rsidRPr="00031862">
        <w:rPr>
          <w:rFonts w:ascii="Times New Roman" w:hAnsi="Times New Roman" w:cs="Times New Roman"/>
          <w:color w:val="000000" w:themeColor="text1"/>
          <w:sz w:val="24"/>
          <w:szCs w:val="24"/>
        </w:rPr>
        <w:t xml:space="preserve">, J. C. (2002). </w:t>
      </w:r>
      <w:r w:rsidRPr="00031862">
        <w:rPr>
          <w:rFonts w:ascii="Times New Roman" w:hAnsi="Times New Roman" w:cs="Times New Roman"/>
          <w:i/>
          <w:iCs/>
          <w:color w:val="000000" w:themeColor="text1"/>
          <w:sz w:val="24"/>
          <w:szCs w:val="24"/>
        </w:rPr>
        <w:t xml:space="preserve">Democratic decentralization of natural resources: Institutionalizing popular </w:t>
      </w:r>
    </w:p>
    <w:p w14:paraId="3968CBAA" w14:textId="77777777" w:rsidR="00566AD2" w:rsidRPr="00031862" w:rsidRDefault="00566AD2" w:rsidP="00566AD2">
      <w:pPr>
        <w:spacing w:after="0" w:line="360" w:lineRule="auto"/>
        <w:ind w:firstLine="720"/>
        <w:jc w:val="both"/>
        <w:rPr>
          <w:rFonts w:ascii="Times New Roman" w:hAnsi="Times New Roman" w:cs="Times New Roman"/>
          <w:color w:val="000000" w:themeColor="text1"/>
          <w:sz w:val="24"/>
          <w:szCs w:val="24"/>
        </w:rPr>
      </w:pPr>
      <w:r w:rsidRPr="00031862">
        <w:rPr>
          <w:rFonts w:ascii="Times New Roman" w:hAnsi="Times New Roman" w:cs="Times New Roman"/>
          <w:i/>
          <w:iCs/>
          <w:color w:val="000000" w:themeColor="text1"/>
          <w:sz w:val="24"/>
          <w:szCs w:val="24"/>
        </w:rPr>
        <w:t>participation</w:t>
      </w:r>
      <w:r w:rsidRPr="00031862">
        <w:rPr>
          <w:rFonts w:ascii="Times New Roman" w:hAnsi="Times New Roman" w:cs="Times New Roman"/>
          <w:color w:val="000000" w:themeColor="text1"/>
          <w:sz w:val="24"/>
          <w:szCs w:val="24"/>
        </w:rPr>
        <w:t>. World Resources Institute.</w:t>
      </w:r>
    </w:p>
    <w:p w14:paraId="745D0796" w14:textId="77777777" w:rsidR="004666AB" w:rsidRPr="00BD36C9" w:rsidRDefault="004666AB" w:rsidP="00184C2F">
      <w:pPr>
        <w:pStyle w:val="NormalWeb"/>
        <w:spacing w:before="0" w:beforeAutospacing="0" w:after="0" w:afterAutospacing="0" w:line="360" w:lineRule="auto"/>
        <w:ind w:left="720" w:hanging="720"/>
      </w:pPr>
      <w:proofErr w:type="spellStart"/>
      <w:r w:rsidRPr="00BD36C9">
        <w:t>Ribot</w:t>
      </w:r>
      <w:proofErr w:type="spellEnd"/>
      <w:r w:rsidRPr="00BD36C9">
        <w:t xml:space="preserve">, J. C., Agrawal, A., &amp; Larson, A. M. (2006). Recentralizing while decentralizing: How national governments </w:t>
      </w:r>
      <w:proofErr w:type="spellStart"/>
      <w:r w:rsidRPr="00BD36C9">
        <w:t>reappropriate</w:t>
      </w:r>
      <w:proofErr w:type="spellEnd"/>
      <w:r w:rsidRPr="00BD36C9">
        <w:t xml:space="preserve"> forest resources. </w:t>
      </w:r>
      <w:r w:rsidRPr="00BD36C9">
        <w:rPr>
          <w:rStyle w:val="Emphasis"/>
        </w:rPr>
        <w:t>World Development, 34</w:t>
      </w:r>
      <w:r w:rsidRPr="00BD36C9">
        <w:t>(11), 1864–1886. https://doi.org/10.1016/j.worlddev.2005.11.020</w:t>
      </w:r>
    </w:p>
    <w:p w14:paraId="2FF90638" w14:textId="77777777" w:rsidR="004666AB" w:rsidRPr="00BD36C9" w:rsidRDefault="004666AB" w:rsidP="00184C2F">
      <w:pPr>
        <w:pStyle w:val="NormalWeb"/>
        <w:spacing w:before="0" w:beforeAutospacing="0" w:after="0" w:afterAutospacing="0" w:line="360" w:lineRule="auto"/>
        <w:ind w:left="720" w:hanging="720"/>
      </w:pPr>
      <w:r w:rsidRPr="00BD36C9">
        <w:t xml:space="preserve">Sarfo-Mensah, P., &amp; Oduro, W. (2010). Indigenous knowledge systems and natural resource management in Ghana. </w:t>
      </w:r>
      <w:r w:rsidRPr="00BD36C9">
        <w:rPr>
          <w:rStyle w:val="Emphasis"/>
        </w:rPr>
        <w:t>African Journal of Environmental Science and Technology, 4</w:t>
      </w:r>
      <w:r w:rsidRPr="00BD36C9">
        <w:t>(7), 417–423.</w:t>
      </w:r>
    </w:p>
    <w:p w14:paraId="7F706E94" w14:textId="77777777" w:rsidR="004666AB" w:rsidRPr="00BD36C9" w:rsidRDefault="004666AB" w:rsidP="00184C2F">
      <w:pPr>
        <w:pStyle w:val="NormalWeb"/>
        <w:spacing w:before="0" w:beforeAutospacing="0" w:after="0" w:afterAutospacing="0" w:line="360" w:lineRule="auto"/>
        <w:ind w:left="720" w:hanging="720"/>
      </w:pPr>
      <w:r w:rsidRPr="00BD36C9">
        <w:t>Sarfo-</w:t>
      </w:r>
      <w:proofErr w:type="spellStart"/>
      <w:r w:rsidRPr="00BD36C9">
        <w:t>Adu</w:t>
      </w:r>
      <w:proofErr w:type="spellEnd"/>
      <w:r w:rsidRPr="00BD36C9">
        <w:t xml:space="preserve">, K., Acheampong, E., &amp; Boafo, Y. A. (2022). Sacred groves and biodiversity conservation in Ghana. </w:t>
      </w:r>
      <w:r w:rsidRPr="00BD36C9">
        <w:rPr>
          <w:rStyle w:val="Emphasis"/>
        </w:rPr>
        <w:t>Forest Policy and Economics, 141</w:t>
      </w:r>
      <w:r w:rsidRPr="00BD36C9">
        <w:t>, 102772. https://doi.org/10.1016/j.forpol.2022.102772</w:t>
      </w:r>
    </w:p>
    <w:p w14:paraId="06DA868A" w14:textId="77777777" w:rsidR="00566AD2" w:rsidRPr="00566AD2" w:rsidRDefault="00566AD2" w:rsidP="00566AD2">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Solís-Mendoza, B., Ferrer Velasco, R., &amp; Vargas-</w:t>
      </w:r>
      <w:proofErr w:type="spellStart"/>
      <w:r w:rsidRPr="00031862">
        <w:rPr>
          <w:rFonts w:ascii="Times New Roman" w:hAnsi="Times New Roman" w:cs="Times New Roman"/>
          <w:color w:val="000000" w:themeColor="text1"/>
          <w:sz w:val="24"/>
          <w:szCs w:val="24"/>
        </w:rPr>
        <w:t>Larreta</w:t>
      </w:r>
      <w:proofErr w:type="spellEnd"/>
      <w:r w:rsidRPr="00031862">
        <w:rPr>
          <w:rFonts w:ascii="Times New Roman" w:hAnsi="Times New Roman" w:cs="Times New Roman"/>
          <w:color w:val="000000" w:themeColor="text1"/>
          <w:sz w:val="24"/>
          <w:szCs w:val="24"/>
        </w:rPr>
        <w:t xml:space="preserve">, B. (2024). Scaling up community forest </w:t>
      </w:r>
    </w:p>
    <w:p w14:paraId="086817DB" w14:textId="77777777" w:rsidR="00566AD2" w:rsidRPr="00031862" w:rsidRDefault="00566AD2" w:rsidP="00566AD2">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enterprises: Opportunities and constraints for sustainable forest management. </w:t>
      </w:r>
      <w:r w:rsidRPr="00031862">
        <w:rPr>
          <w:rFonts w:ascii="Times New Roman" w:hAnsi="Times New Roman" w:cs="Times New Roman"/>
          <w:i/>
          <w:iCs/>
          <w:color w:val="000000" w:themeColor="text1"/>
          <w:sz w:val="24"/>
          <w:szCs w:val="24"/>
        </w:rPr>
        <w:t>Journal of Sustainable Forestry, 43</w:t>
      </w:r>
      <w:r w:rsidRPr="00031862">
        <w:rPr>
          <w:rFonts w:ascii="Times New Roman" w:hAnsi="Times New Roman" w:cs="Times New Roman"/>
          <w:color w:val="000000" w:themeColor="text1"/>
          <w:sz w:val="24"/>
          <w:szCs w:val="24"/>
        </w:rPr>
        <w:t>(1), 45–63.</w:t>
      </w:r>
    </w:p>
    <w:p w14:paraId="1C67D71F" w14:textId="77777777" w:rsidR="00566AD2" w:rsidRPr="00566AD2" w:rsidRDefault="00566AD2" w:rsidP="00566AD2">
      <w:pPr>
        <w:spacing w:after="0" w:line="360" w:lineRule="auto"/>
        <w:jc w:val="both"/>
        <w:rPr>
          <w:rFonts w:ascii="Times New Roman" w:hAnsi="Times New Roman" w:cs="Times New Roman"/>
          <w:color w:val="000000" w:themeColor="text1"/>
          <w:sz w:val="24"/>
          <w:szCs w:val="24"/>
        </w:rPr>
      </w:pPr>
      <w:proofErr w:type="spellStart"/>
      <w:r w:rsidRPr="00031862">
        <w:rPr>
          <w:rFonts w:ascii="Times New Roman" w:hAnsi="Times New Roman" w:cs="Times New Roman"/>
          <w:color w:val="000000" w:themeColor="text1"/>
          <w:sz w:val="24"/>
          <w:szCs w:val="24"/>
        </w:rPr>
        <w:t>Sunariyo</w:t>
      </w:r>
      <w:proofErr w:type="spellEnd"/>
      <w:r w:rsidRPr="00031862">
        <w:rPr>
          <w:rFonts w:ascii="Times New Roman" w:hAnsi="Times New Roman" w:cs="Times New Roman"/>
          <w:color w:val="000000" w:themeColor="text1"/>
          <w:sz w:val="24"/>
          <w:szCs w:val="24"/>
        </w:rPr>
        <w:t xml:space="preserve">, &amp; Firdausi, S. (2024). Integrated </w:t>
      </w:r>
      <w:proofErr w:type="spellStart"/>
      <w:r w:rsidRPr="00031862">
        <w:rPr>
          <w:rFonts w:ascii="Times New Roman" w:hAnsi="Times New Roman" w:cs="Times New Roman"/>
          <w:color w:val="000000" w:themeColor="text1"/>
          <w:sz w:val="24"/>
          <w:szCs w:val="24"/>
        </w:rPr>
        <w:t>agro-silvopastoral</w:t>
      </w:r>
      <w:proofErr w:type="spellEnd"/>
      <w:r w:rsidRPr="00031862">
        <w:rPr>
          <w:rFonts w:ascii="Times New Roman" w:hAnsi="Times New Roman" w:cs="Times New Roman"/>
          <w:color w:val="000000" w:themeColor="text1"/>
          <w:sz w:val="24"/>
          <w:szCs w:val="24"/>
        </w:rPr>
        <w:t xml:space="preserve"> systems in community-based forest </w:t>
      </w:r>
    </w:p>
    <w:p w14:paraId="56B47A55" w14:textId="77777777" w:rsidR="00566AD2" w:rsidRPr="00031862" w:rsidRDefault="00566AD2" w:rsidP="00566AD2">
      <w:pPr>
        <w:spacing w:after="0" w:line="360" w:lineRule="auto"/>
        <w:ind w:left="36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management: Enhancing rural livelihoods and sustainability. </w:t>
      </w:r>
      <w:r w:rsidRPr="00031862">
        <w:rPr>
          <w:rFonts w:ascii="Times New Roman" w:hAnsi="Times New Roman" w:cs="Times New Roman"/>
          <w:i/>
          <w:iCs/>
          <w:color w:val="000000" w:themeColor="text1"/>
          <w:sz w:val="24"/>
          <w:szCs w:val="24"/>
        </w:rPr>
        <w:t>Sustainability, 16</w:t>
      </w:r>
      <w:r w:rsidRPr="00031862">
        <w:rPr>
          <w:rFonts w:ascii="Times New Roman" w:hAnsi="Times New Roman" w:cs="Times New Roman"/>
          <w:color w:val="000000" w:themeColor="text1"/>
          <w:sz w:val="24"/>
          <w:szCs w:val="24"/>
        </w:rPr>
        <w:t xml:space="preserve">(3), 1120. </w:t>
      </w:r>
      <w:hyperlink r:id="rId17" w:history="1">
        <w:r w:rsidRPr="00031862">
          <w:rPr>
            <w:rStyle w:val="Hyperlink"/>
            <w:rFonts w:ascii="Times New Roman" w:hAnsi="Times New Roman" w:cs="Times New Roman"/>
            <w:color w:val="000000" w:themeColor="text1"/>
            <w:sz w:val="24"/>
            <w:szCs w:val="24"/>
            <w:u w:val="none"/>
          </w:rPr>
          <w:t>https://doi.org/10.3390/su16031120</w:t>
        </w:r>
      </w:hyperlink>
    </w:p>
    <w:p w14:paraId="0423519C" w14:textId="77777777" w:rsidR="00566AD2" w:rsidRPr="00566AD2" w:rsidRDefault="00566AD2" w:rsidP="00566AD2">
      <w:pPr>
        <w:spacing w:after="0" w:line="360" w:lineRule="auto"/>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Tole, L. (2010). Reforms from the ground up: A review of community-based forest management </w:t>
      </w:r>
    </w:p>
    <w:p w14:paraId="59FE886A" w14:textId="77777777" w:rsidR="00566AD2" w:rsidRPr="00031862" w:rsidRDefault="00566AD2" w:rsidP="00566AD2">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in tropical developing countries. </w:t>
      </w:r>
      <w:r w:rsidRPr="00031862">
        <w:rPr>
          <w:rFonts w:ascii="Times New Roman" w:hAnsi="Times New Roman" w:cs="Times New Roman"/>
          <w:i/>
          <w:iCs/>
          <w:color w:val="000000" w:themeColor="text1"/>
          <w:sz w:val="24"/>
          <w:szCs w:val="24"/>
        </w:rPr>
        <w:t>Environmental Management, 45</w:t>
      </w:r>
      <w:r w:rsidRPr="00031862">
        <w:rPr>
          <w:rFonts w:ascii="Times New Roman" w:hAnsi="Times New Roman" w:cs="Times New Roman"/>
          <w:color w:val="000000" w:themeColor="text1"/>
          <w:sz w:val="24"/>
          <w:szCs w:val="24"/>
        </w:rPr>
        <w:t xml:space="preserve">(6), 1312–1331. </w:t>
      </w:r>
      <w:hyperlink r:id="rId18" w:history="1">
        <w:r w:rsidRPr="00031862">
          <w:rPr>
            <w:rStyle w:val="Hyperlink"/>
            <w:rFonts w:ascii="Times New Roman" w:hAnsi="Times New Roman" w:cs="Times New Roman"/>
            <w:color w:val="000000" w:themeColor="text1"/>
            <w:sz w:val="24"/>
            <w:szCs w:val="24"/>
            <w:u w:val="none"/>
          </w:rPr>
          <w:t>https://doi.org/10.1007/s00267-010-9489-3</w:t>
        </w:r>
      </w:hyperlink>
    </w:p>
    <w:p w14:paraId="14C433EF" w14:textId="77777777" w:rsidR="00566AD2" w:rsidRPr="00566AD2" w:rsidRDefault="00566AD2" w:rsidP="00566AD2">
      <w:pPr>
        <w:spacing w:after="0" w:line="360" w:lineRule="auto"/>
        <w:jc w:val="both"/>
        <w:rPr>
          <w:rFonts w:ascii="Times New Roman" w:hAnsi="Times New Roman" w:cs="Times New Roman"/>
          <w:color w:val="000000" w:themeColor="text1"/>
          <w:sz w:val="24"/>
          <w:szCs w:val="24"/>
        </w:rPr>
      </w:pPr>
      <w:proofErr w:type="spellStart"/>
      <w:r w:rsidRPr="00031862">
        <w:rPr>
          <w:rFonts w:ascii="Times New Roman" w:hAnsi="Times New Roman" w:cs="Times New Roman"/>
          <w:color w:val="000000" w:themeColor="text1"/>
          <w:sz w:val="24"/>
          <w:szCs w:val="24"/>
        </w:rPr>
        <w:t>Wiersum</w:t>
      </w:r>
      <w:proofErr w:type="spellEnd"/>
      <w:r w:rsidRPr="00031862">
        <w:rPr>
          <w:rFonts w:ascii="Times New Roman" w:hAnsi="Times New Roman" w:cs="Times New Roman"/>
          <w:color w:val="000000" w:themeColor="text1"/>
          <w:sz w:val="24"/>
          <w:szCs w:val="24"/>
        </w:rPr>
        <w:t xml:space="preserve">, K. F., Humphries, S., &amp; van </w:t>
      </w:r>
      <w:proofErr w:type="spellStart"/>
      <w:r w:rsidRPr="00031862">
        <w:rPr>
          <w:rFonts w:ascii="Times New Roman" w:hAnsi="Times New Roman" w:cs="Times New Roman"/>
          <w:color w:val="000000" w:themeColor="text1"/>
          <w:sz w:val="24"/>
          <w:szCs w:val="24"/>
        </w:rPr>
        <w:t>Bommel</w:t>
      </w:r>
      <w:proofErr w:type="spellEnd"/>
      <w:r w:rsidRPr="00031862">
        <w:rPr>
          <w:rFonts w:ascii="Times New Roman" w:hAnsi="Times New Roman" w:cs="Times New Roman"/>
          <w:color w:val="000000" w:themeColor="text1"/>
          <w:sz w:val="24"/>
          <w:szCs w:val="24"/>
        </w:rPr>
        <w:t xml:space="preserve">, S. (2011). Certification of community forest </w:t>
      </w:r>
    </w:p>
    <w:p w14:paraId="4609211B" w14:textId="77777777" w:rsidR="00566AD2" w:rsidRPr="00031862" w:rsidRDefault="00566AD2" w:rsidP="00566AD2">
      <w:pPr>
        <w:spacing w:after="0" w:line="360" w:lineRule="auto"/>
        <w:ind w:left="720"/>
        <w:jc w:val="both"/>
        <w:rPr>
          <w:rFonts w:ascii="Times New Roman" w:hAnsi="Times New Roman" w:cs="Times New Roman"/>
          <w:color w:val="000000" w:themeColor="text1"/>
          <w:sz w:val="24"/>
          <w:szCs w:val="24"/>
        </w:rPr>
      </w:pPr>
      <w:r w:rsidRPr="00031862">
        <w:rPr>
          <w:rFonts w:ascii="Times New Roman" w:hAnsi="Times New Roman" w:cs="Times New Roman"/>
          <w:color w:val="000000" w:themeColor="text1"/>
          <w:sz w:val="24"/>
          <w:szCs w:val="24"/>
        </w:rPr>
        <w:t xml:space="preserve">management: The need for different standards. </w:t>
      </w:r>
      <w:r w:rsidRPr="00031862">
        <w:rPr>
          <w:rFonts w:ascii="Times New Roman" w:hAnsi="Times New Roman" w:cs="Times New Roman"/>
          <w:i/>
          <w:iCs/>
          <w:color w:val="000000" w:themeColor="text1"/>
          <w:sz w:val="24"/>
          <w:szCs w:val="24"/>
        </w:rPr>
        <w:t>Forest Policy and Economics, 13</w:t>
      </w:r>
      <w:r w:rsidRPr="00031862">
        <w:rPr>
          <w:rFonts w:ascii="Times New Roman" w:hAnsi="Times New Roman" w:cs="Times New Roman"/>
          <w:color w:val="000000" w:themeColor="text1"/>
          <w:sz w:val="24"/>
          <w:szCs w:val="24"/>
        </w:rPr>
        <w:t xml:space="preserve">(2), 103–111. </w:t>
      </w:r>
      <w:hyperlink r:id="rId19" w:tgtFrame="_new" w:history="1">
        <w:r w:rsidRPr="00031862">
          <w:rPr>
            <w:rStyle w:val="Hyperlink"/>
            <w:rFonts w:ascii="Times New Roman" w:hAnsi="Times New Roman" w:cs="Times New Roman"/>
            <w:color w:val="000000" w:themeColor="text1"/>
            <w:sz w:val="24"/>
            <w:szCs w:val="24"/>
            <w:u w:val="none"/>
          </w:rPr>
          <w:t>https://doi.org/10.1016/j.forpol.2010.08.002</w:t>
        </w:r>
      </w:hyperlink>
    </w:p>
    <w:p w14:paraId="174F149C" w14:textId="77777777" w:rsidR="004666AB" w:rsidRPr="00BD36C9" w:rsidRDefault="004666AB" w:rsidP="00184C2F">
      <w:pPr>
        <w:pStyle w:val="NormalWeb"/>
        <w:spacing w:before="0" w:beforeAutospacing="0" w:after="0" w:afterAutospacing="0" w:line="360" w:lineRule="auto"/>
        <w:ind w:left="720" w:hanging="720"/>
      </w:pPr>
      <w:r w:rsidRPr="00BD36C9">
        <w:t xml:space="preserve">World Bank. (2024). </w:t>
      </w:r>
      <w:r w:rsidRPr="00BD36C9">
        <w:rPr>
          <w:rStyle w:val="Emphasis"/>
        </w:rPr>
        <w:t>Strengthening community-based natural resource management in Ghana</w:t>
      </w:r>
      <w:r w:rsidRPr="00BD36C9">
        <w:t>. World Bank Group.</w:t>
      </w:r>
    </w:p>
    <w:p w14:paraId="4FD66D6D" w14:textId="77777777" w:rsidR="004666AB" w:rsidRPr="00BD36C9" w:rsidRDefault="004666AB" w:rsidP="00184C2F">
      <w:pPr>
        <w:pStyle w:val="NormalWeb"/>
        <w:spacing w:before="0" w:beforeAutospacing="0" w:after="0" w:afterAutospacing="0" w:line="360" w:lineRule="auto"/>
        <w:ind w:left="720" w:hanging="720"/>
      </w:pPr>
      <w:r w:rsidRPr="00BD36C9">
        <w:t xml:space="preserve">Yahaya, I. (2016). Traditional authority and natural resource governance in Ghana. </w:t>
      </w:r>
      <w:r w:rsidRPr="00BD36C9">
        <w:rPr>
          <w:rStyle w:val="Emphasis"/>
        </w:rPr>
        <w:t>Journal of African Studies and Development, 8</w:t>
      </w:r>
      <w:r w:rsidRPr="00BD36C9">
        <w:t xml:space="preserve">(3), 32–41. </w:t>
      </w:r>
    </w:p>
    <w:p w14:paraId="7030D6BF" w14:textId="0D661220" w:rsidR="00A21817" w:rsidRDefault="00A21817" w:rsidP="00BD36C9">
      <w:pPr>
        <w:spacing w:line="360" w:lineRule="auto"/>
        <w:rPr>
          <w:rFonts w:ascii="Times New Roman" w:hAnsi="Times New Roman" w:cs="Times New Roman"/>
          <w:b/>
          <w:sz w:val="24"/>
          <w:szCs w:val="24"/>
        </w:rPr>
      </w:pPr>
    </w:p>
    <w:p w14:paraId="1FD219BD" w14:textId="5A321F68" w:rsidR="00764F56" w:rsidRDefault="00764F56" w:rsidP="00BD36C9">
      <w:pPr>
        <w:spacing w:line="360" w:lineRule="auto"/>
        <w:rPr>
          <w:rFonts w:ascii="Times New Roman" w:hAnsi="Times New Roman" w:cs="Times New Roman"/>
          <w:b/>
          <w:sz w:val="24"/>
          <w:szCs w:val="24"/>
        </w:rPr>
      </w:pPr>
    </w:p>
    <w:p w14:paraId="4FEBB804" w14:textId="20FF4620" w:rsidR="00764F56" w:rsidRDefault="00764F56" w:rsidP="00BD36C9">
      <w:pPr>
        <w:spacing w:line="360" w:lineRule="auto"/>
        <w:rPr>
          <w:rFonts w:ascii="Times New Roman" w:hAnsi="Times New Roman" w:cs="Times New Roman"/>
          <w:b/>
          <w:sz w:val="24"/>
          <w:szCs w:val="24"/>
        </w:rPr>
      </w:pPr>
    </w:p>
    <w:p w14:paraId="7C31F6D7" w14:textId="23D77F4F" w:rsidR="00764F56" w:rsidRDefault="00764F56" w:rsidP="00BD36C9">
      <w:pPr>
        <w:spacing w:line="360" w:lineRule="auto"/>
        <w:rPr>
          <w:rFonts w:ascii="Times New Roman" w:hAnsi="Times New Roman" w:cs="Times New Roman"/>
          <w:b/>
          <w:sz w:val="24"/>
          <w:szCs w:val="24"/>
        </w:rPr>
      </w:pPr>
    </w:p>
    <w:p w14:paraId="27D8ED99" w14:textId="77777777" w:rsidR="00764F56" w:rsidRPr="00BD36C9" w:rsidRDefault="00764F56" w:rsidP="00BD36C9">
      <w:pPr>
        <w:spacing w:line="360" w:lineRule="auto"/>
        <w:rPr>
          <w:rFonts w:ascii="Times New Roman" w:hAnsi="Times New Roman" w:cs="Times New Roman"/>
          <w:b/>
          <w:sz w:val="24"/>
          <w:szCs w:val="24"/>
        </w:rPr>
      </w:pPr>
    </w:p>
    <w:sectPr w:rsidR="00764F56" w:rsidRPr="00BD36C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04749" w14:textId="77777777" w:rsidR="00C73089" w:rsidRDefault="00C73089" w:rsidP="007F3D73">
      <w:pPr>
        <w:spacing w:after="0" w:line="240" w:lineRule="auto"/>
      </w:pPr>
      <w:r>
        <w:separator/>
      </w:r>
    </w:p>
  </w:endnote>
  <w:endnote w:type="continuationSeparator" w:id="0">
    <w:p w14:paraId="6FF44F3B" w14:textId="77777777" w:rsidR="00C73089" w:rsidRDefault="00C73089" w:rsidP="007F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CDB2" w14:textId="77777777" w:rsidR="0035158D" w:rsidRDefault="00351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1000" w14:textId="77777777" w:rsidR="0035158D" w:rsidRDefault="00351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E9D9" w14:textId="77777777" w:rsidR="0035158D" w:rsidRDefault="0035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C814" w14:textId="77777777" w:rsidR="00C73089" w:rsidRDefault="00C73089" w:rsidP="007F3D73">
      <w:pPr>
        <w:spacing w:after="0" w:line="240" w:lineRule="auto"/>
      </w:pPr>
      <w:r>
        <w:separator/>
      </w:r>
    </w:p>
  </w:footnote>
  <w:footnote w:type="continuationSeparator" w:id="0">
    <w:p w14:paraId="3C26C5DD" w14:textId="77777777" w:rsidR="00C73089" w:rsidRDefault="00C73089" w:rsidP="007F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DC0F" w14:textId="40294FB6" w:rsidR="0035158D" w:rsidRDefault="0035158D">
    <w:pPr>
      <w:pStyle w:val="Header"/>
    </w:pPr>
    <w:r>
      <w:rPr>
        <w:noProof/>
      </w:rPr>
      <w:pict w14:anchorId="06067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895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B34A" w14:textId="78FACB7E" w:rsidR="0035158D" w:rsidRDefault="0035158D">
    <w:pPr>
      <w:pStyle w:val="Header"/>
    </w:pPr>
    <w:r>
      <w:rPr>
        <w:noProof/>
      </w:rPr>
      <w:pict w14:anchorId="7F9B0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895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56FC" w14:textId="55A206C1" w:rsidR="0035158D" w:rsidRDefault="0035158D">
    <w:pPr>
      <w:pStyle w:val="Header"/>
    </w:pPr>
    <w:r>
      <w:rPr>
        <w:noProof/>
      </w:rPr>
      <w:pict w14:anchorId="4EC0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895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B392B"/>
    <w:multiLevelType w:val="multilevel"/>
    <w:tmpl w:val="DD20CAD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AA11933"/>
    <w:multiLevelType w:val="multilevel"/>
    <w:tmpl w:val="BBB0D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CD"/>
    <w:rsid w:val="00077AFA"/>
    <w:rsid w:val="00082014"/>
    <w:rsid w:val="000A0B5F"/>
    <w:rsid w:val="000B3C8E"/>
    <w:rsid w:val="000B7D5E"/>
    <w:rsid w:val="000E2ACD"/>
    <w:rsid w:val="000F1234"/>
    <w:rsid w:val="000F155C"/>
    <w:rsid w:val="00115EFA"/>
    <w:rsid w:val="0011695C"/>
    <w:rsid w:val="00133A35"/>
    <w:rsid w:val="00133D52"/>
    <w:rsid w:val="0013504D"/>
    <w:rsid w:val="0015012D"/>
    <w:rsid w:val="00184C2F"/>
    <w:rsid w:val="001936F7"/>
    <w:rsid w:val="001A58FB"/>
    <w:rsid w:val="001A5A0A"/>
    <w:rsid w:val="001E1272"/>
    <w:rsid w:val="001F51E1"/>
    <w:rsid w:val="00227243"/>
    <w:rsid w:val="00227DB6"/>
    <w:rsid w:val="002358B8"/>
    <w:rsid w:val="00244B2B"/>
    <w:rsid w:val="00274E9B"/>
    <w:rsid w:val="002A1DF9"/>
    <w:rsid w:val="002D0540"/>
    <w:rsid w:val="002D2E58"/>
    <w:rsid w:val="002E3463"/>
    <w:rsid w:val="002F5B90"/>
    <w:rsid w:val="00307E46"/>
    <w:rsid w:val="003179FD"/>
    <w:rsid w:val="00320816"/>
    <w:rsid w:val="00323D70"/>
    <w:rsid w:val="003255B6"/>
    <w:rsid w:val="0034508E"/>
    <w:rsid w:val="0035158D"/>
    <w:rsid w:val="0038306C"/>
    <w:rsid w:val="003B495D"/>
    <w:rsid w:val="003F7DAE"/>
    <w:rsid w:val="004338C0"/>
    <w:rsid w:val="004666AB"/>
    <w:rsid w:val="0047161C"/>
    <w:rsid w:val="0048125F"/>
    <w:rsid w:val="004D70A4"/>
    <w:rsid w:val="00536947"/>
    <w:rsid w:val="00566AD2"/>
    <w:rsid w:val="005A3912"/>
    <w:rsid w:val="005B2757"/>
    <w:rsid w:val="006309E2"/>
    <w:rsid w:val="00636FFC"/>
    <w:rsid w:val="0068321B"/>
    <w:rsid w:val="006833D1"/>
    <w:rsid w:val="00687E79"/>
    <w:rsid w:val="00687F41"/>
    <w:rsid w:val="006B3DAF"/>
    <w:rsid w:val="006C0926"/>
    <w:rsid w:val="006D297C"/>
    <w:rsid w:val="006E1127"/>
    <w:rsid w:val="006E15F0"/>
    <w:rsid w:val="006E1E06"/>
    <w:rsid w:val="006F0D81"/>
    <w:rsid w:val="00731C1A"/>
    <w:rsid w:val="007428D9"/>
    <w:rsid w:val="00743F69"/>
    <w:rsid w:val="00744C1E"/>
    <w:rsid w:val="0074606F"/>
    <w:rsid w:val="00752EC0"/>
    <w:rsid w:val="00762844"/>
    <w:rsid w:val="00764F56"/>
    <w:rsid w:val="007A0CD1"/>
    <w:rsid w:val="007D3F14"/>
    <w:rsid w:val="007F3D73"/>
    <w:rsid w:val="008033C8"/>
    <w:rsid w:val="00811007"/>
    <w:rsid w:val="008769B9"/>
    <w:rsid w:val="008C1B1B"/>
    <w:rsid w:val="008C60A8"/>
    <w:rsid w:val="008E2C3B"/>
    <w:rsid w:val="008F3328"/>
    <w:rsid w:val="009119CA"/>
    <w:rsid w:val="00955AB6"/>
    <w:rsid w:val="0099479E"/>
    <w:rsid w:val="009A3C73"/>
    <w:rsid w:val="009B4E88"/>
    <w:rsid w:val="009C1734"/>
    <w:rsid w:val="00A02382"/>
    <w:rsid w:val="00A21817"/>
    <w:rsid w:val="00A52772"/>
    <w:rsid w:val="00A6344E"/>
    <w:rsid w:val="00AD2315"/>
    <w:rsid w:val="00BA7278"/>
    <w:rsid w:val="00BB7C50"/>
    <w:rsid w:val="00BD36C9"/>
    <w:rsid w:val="00BF3F79"/>
    <w:rsid w:val="00C25C26"/>
    <w:rsid w:val="00C25CA3"/>
    <w:rsid w:val="00C44073"/>
    <w:rsid w:val="00C73089"/>
    <w:rsid w:val="00CC1F05"/>
    <w:rsid w:val="00CD4F78"/>
    <w:rsid w:val="00CE0E49"/>
    <w:rsid w:val="00CE2806"/>
    <w:rsid w:val="00CE608A"/>
    <w:rsid w:val="00CE61EB"/>
    <w:rsid w:val="00D21AA6"/>
    <w:rsid w:val="00D321CC"/>
    <w:rsid w:val="00D446BE"/>
    <w:rsid w:val="00D75740"/>
    <w:rsid w:val="00E07B13"/>
    <w:rsid w:val="00E95530"/>
    <w:rsid w:val="00EC5C25"/>
    <w:rsid w:val="00EC5D6D"/>
    <w:rsid w:val="00EE0316"/>
    <w:rsid w:val="00F0231D"/>
    <w:rsid w:val="00F3064D"/>
    <w:rsid w:val="00F811C3"/>
    <w:rsid w:val="00FB7734"/>
    <w:rsid w:val="00FE6DEF"/>
    <w:rsid w:val="00FE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B85A2F"/>
  <w15:chartTrackingRefBased/>
  <w15:docId w15:val="{8E38EC2F-D520-456E-9271-7E5CAE1E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E4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autoRedefine/>
    <w:uiPriority w:val="9"/>
    <w:semiHidden/>
    <w:unhideWhenUsed/>
    <w:qFormat/>
    <w:rsid w:val="007428D9"/>
    <w:pPr>
      <w:keepNext/>
      <w:keepLines/>
      <w:numPr>
        <w:ilvl w:val="1"/>
        <w:numId w:val="2"/>
      </w:numPr>
      <w:spacing w:before="40" w:after="0" w:line="360" w:lineRule="auto"/>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semiHidden/>
    <w:unhideWhenUsed/>
    <w:qFormat/>
    <w:rsid w:val="007428D9"/>
    <w:pPr>
      <w:keepNext/>
      <w:keepLines/>
      <w:numPr>
        <w:ilvl w:val="2"/>
        <w:numId w:val="2"/>
      </w:numPr>
      <w:spacing w:before="40" w:after="0" w:line="360" w:lineRule="auto"/>
      <w:outlineLvl w:val="2"/>
    </w:pPr>
    <w:rPr>
      <w:rFonts w:ascii="Times New Roman" w:eastAsiaTheme="majorEastAsia" w:hAnsi="Times New Roman" w:cs="Times New Roman"/>
      <w:b/>
      <w:bCs/>
      <w:sz w:val="24"/>
      <w:szCs w:val="24"/>
    </w:rPr>
  </w:style>
  <w:style w:type="paragraph" w:styleId="Heading4">
    <w:name w:val="heading 4"/>
    <w:basedOn w:val="Normal"/>
    <w:next w:val="Normal"/>
    <w:link w:val="Heading4Char"/>
    <w:uiPriority w:val="9"/>
    <w:semiHidden/>
    <w:unhideWhenUsed/>
    <w:qFormat/>
    <w:rsid w:val="007428D9"/>
    <w:pPr>
      <w:keepNext/>
      <w:keepLines/>
      <w:numPr>
        <w:ilvl w:val="3"/>
        <w:numId w:val="2"/>
      </w:numPr>
      <w:spacing w:before="40" w:after="0" w:line="256" w:lineRule="auto"/>
      <w:outlineLvl w:val="3"/>
    </w:pPr>
    <w:rPr>
      <w:rFonts w:ascii="Times New Roman" w:eastAsiaTheme="majorEastAsia" w:hAnsi="Times New Roman" w:cs="Times New Roman"/>
      <w:b/>
      <w:bCs/>
      <w:sz w:val="24"/>
      <w:szCs w:val="24"/>
    </w:rPr>
  </w:style>
  <w:style w:type="paragraph" w:styleId="Heading5">
    <w:name w:val="heading 5"/>
    <w:basedOn w:val="Normal"/>
    <w:next w:val="Normal"/>
    <w:link w:val="Heading5Char"/>
    <w:uiPriority w:val="9"/>
    <w:semiHidden/>
    <w:unhideWhenUsed/>
    <w:qFormat/>
    <w:rsid w:val="007428D9"/>
    <w:pPr>
      <w:keepNext/>
      <w:keepLines/>
      <w:numPr>
        <w:ilvl w:val="4"/>
        <w:numId w:val="2"/>
      </w:numPr>
      <w:spacing w:before="40" w:after="0" w:line="25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28D9"/>
    <w:pPr>
      <w:keepNext/>
      <w:keepLines/>
      <w:numPr>
        <w:ilvl w:val="5"/>
        <w:numId w:val="2"/>
      </w:numPr>
      <w:spacing w:before="40" w:after="0" w:line="25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28D9"/>
    <w:pPr>
      <w:keepNext/>
      <w:keepLines/>
      <w:numPr>
        <w:ilvl w:val="6"/>
        <w:numId w:val="2"/>
      </w:numPr>
      <w:spacing w:before="40" w:after="0" w:line="25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28D9"/>
    <w:pPr>
      <w:keepNext/>
      <w:keepLines/>
      <w:numPr>
        <w:ilvl w:val="7"/>
        <w:numId w:val="2"/>
      </w:numPr>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28D9"/>
    <w:pPr>
      <w:keepNext/>
      <w:keepLines/>
      <w:numPr>
        <w:ilvl w:val="8"/>
        <w:numId w:val="2"/>
      </w:numPr>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23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344E"/>
    <w:rPr>
      <w:b/>
      <w:bCs/>
    </w:rPr>
  </w:style>
  <w:style w:type="character" w:styleId="Emphasis">
    <w:name w:val="Emphasis"/>
    <w:basedOn w:val="DefaultParagraphFont"/>
    <w:uiPriority w:val="20"/>
    <w:qFormat/>
    <w:rsid w:val="00F811C3"/>
    <w:rPr>
      <w:i/>
      <w:iCs/>
    </w:rPr>
  </w:style>
  <w:style w:type="paragraph" w:styleId="Caption">
    <w:name w:val="caption"/>
    <w:basedOn w:val="Normal"/>
    <w:next w:val="Normal"/>
    <w:uiPriority w:val="35"/>
    <w:unhideWhenUsed/>
    <w:qFormat/>
    <w:rsid w:val="001A58FB"/>
    <w:pPr>
      <w:spacing w:after="200" w:line="240" w:lineRule="auto"/>
    </w:pPr>
    <w:rPr>
      <w:rFonts w:ascii="Times New Roman" w:hAnsi="Times New Roman" w:cs="Times New Roman"/>
      <w:b/>
      <w:bCs/>
      <w:i/>
      <w:iCs/>
      <w:sz w:val="24"/>
      <w:szCs w:val="24"/>
    </w:rPr>
  </w:style>
  <w:style w:type="table" w:styleId="TableGrid">
    <w:name w:val="Table Grid"/>
    <w:basedOn w:val="TableNormal"/>
    <w:uiPriority w:val="39"/>
    <w:rsid w:val="007428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428D9"/>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7428D9"/>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semiHidden/>
    <w:rsid w:val="007428D9"/>
    <w:rPr>
      <w:rFonts w:ascii="Times New Roman" w:eastAsiaTheme="majorEastAsia" w:hAnsi="Times New Roman" w:cs="Times New Roman"/>
      <w:b/>
      <w:bCs/>
      <w:sz w:val="24"/>
      <w:szCs w:val="24"/>
    </w:rPr>
  </w:style>
  <w:style w:type="character" w:customStyle="1" w:styleId="Heading5Char">
    <w:name w:val="Heading 5 Char"/>
    <w:basedOn w:val="DefaultParagraphFont"/>
    <w:link w:val="Heading5"/>
    <w:uiPriority w:val="9"/>
    <w:semiHidden/>
    <w:rsid w:val="007428D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28D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428D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428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28D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7161C"/>
    <w:rPr>
      <w:color w:val="0563C1" w:themeColor="hyperlink"/>
      <w:u w:val="single"/>
    </w:rPr>
  </w:style>
  <w:style w:type="paragraph" w:styleId="Revision">
    <w:name w:val="Revision"/>
    <w:hidden/>
    <w:uiPriority w:val="99"/>
    <w:semiHidden/>
    <w:rsid w:val="008C60A8"/>
    <w:pPr>
      <w:spacing w:after="0" w:line="240" w:lineRule="auto"/>
    </w:pPr>
  </w:style>
  <w:style w:type="character" w:styleId="CommentReference">
    <w:name w:val="annotation reference"/>
    <w:basedOn w:val="DefaultParagraphFont"/>
    <w:uiPriority w:val="99"/>
    <w:semiHidden/>
    <w:unhideWhenUsed/>
    <w:rsid w:val="0015012D"/>
    <w:rPr>
      <w:sz w:val="16"/>
      <w:szCs w:val="16"/>
    </w:rPr>
  </w:style>
  <w:style w:type="paragraph" w:styleId="CommentText">
    <w:name w:val="annotation text"/>
    <w:basedOn w:val="Normal"/>
    <w:link w:val="CommentTextChar"/>
    <w:uiPriority w:val="99"/>
    <w:semiHidden/>
    <w:unhideWhenUsed/>
    <w:rsid w:val="0015012D"/>
    <w:pPr>
      <w:spacing w:line="240" w:lineRule="auto"/>
    </w:pPr>
    <w:rPr>
      <w:sz w:val="20"/>
      <w:szCs w:val="20"/>
    </w:rPr>
  </w:style>
  <w:style w:type="character" w:customStyle="1" w:styleId="CommentTextChar">
    <w:name w:val="Comment Text Char"/>
    <w:basedOn w:val="DefaultParagraphFont"/>
    <w:link w:val="CommentText"/>
    <w:uiPriority w:val="99"/>
    <w:semiHidden/>
    <w:rsid w:val="0015012D"/>
    <w:rPr>
      <w:sz w:val="20"/>
      <w:szCs w:val="20"/>
    </w:rPr>
  </w:style>
  <w:style w:type="paragraph" w:styleId="CommentSubject">
    <w:name w:val="annotation subject"/>
    <w:basedOn w:val="CommentText"/>
    <w:next w:val="CommentText"/>
    <w:link w:val="CommentSubjectChar"/>
    <w:uiPriority w:val="99"/>
    <w:semiHidden/>
    <w:unhideWhenUsed/>
    <w:rsid w:val="0015012D"/>
    <w:rPr>
      <w:b/>
      <w:bCs/>
    </w:rPr>
  </w:style>
  <w:style w:type="character" w:customStyle="1" w:styleId="CommentSubjectChar">
    <w:name w:val="Comment Subject Char"/>
    <w:basedOn w:val="CommentTextChar"/>
    <w:link w:val="CommentSubject"/>
    <w:uiPriority w:val="99"/>
    <w:semiHidden/>
    <w:rsid w:val="0015012D"/>
    <w:rPr>
      <w:b/>
      <w:bCs/>
      <w:sz w:val="20"/>
      <w:szCs w:val="20"/>
    </w:rPr>
  </w:style>
  <w:style w:type="paragraph" w:styleId="Header">
    <w:name w:val="header"/>
    <w:basedOn w:val="Normal"/>
    <w:link w:val="HeaderChar"/>
    <w:uiPriority w:val="99"/>
    <w:unhideWhenUsed/>
    <w:rsid w:val="007F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D73"/>
  </w:style>
  <w:style w:type="paragraph" w:styleId="Footer">
    <w:name w:val="footer"/>
    <w:basedOn w:val="Normal"/>
    <w:link w:val="FooterChar"/>
    <w:uiPriority w:val="99"/>
    <w:unhideWhenUsed/>
    <w:rsid w:val="007F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D73"/>
  </w:style>
  <w:style w:type="character" w:customStyle="1" w:styleId="Heading1Char">
    <w:name w:val="Heading 1 Char"/>
    <w:basedOn w:val="DefaultParagraphFont"/>
    <w:link w:val="Heading1"/>
    <w:uiPriority w:val="9"/>
    <w:rsid w:val="00CE0E49"/>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isselectedend">
    <w:name w:val="isselectedend"/>
    <w:basedOn w:val="Normal"/>
    <w:rsid w:val="00BB7C5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4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9130">
      <w:bodyDiv w:val="1"/>
      <w:marLeft w:val="0"/>
      <w:marRight w:val="0"/>
      <w:marTop w:val="0"/>
      <w:marBottom w:val="0"/>
      <w:divBdr>
        <w:top w:val="none" w:sz="0" w:space="0" w:color="auto"/>
        <w:left w:val="none" w:sz="0" w:space="0" w:color="auto"/>
        <w:bottom w:val="none" w:sz="0" w:space="0" w:color="auto"/>
        <w:right w:val="none" w:sz="0" w:space="0" w:color="auto"/>
      </w:divBdr>
    </w:div>
    <w:div w:id="387069675">
      <w:bodyDiv w:val="1"/>
      <w:marLeft w:val="0"/>
      <w:marRight w:val="0"/>
      <w:marTop w:val="0"/>
      <w:marBottom w:val="0"/>
      <w:divBdr>
        <w:top w:val="none" w:sz="0" w:space="0" w:color="auto"/>
        <w:left w:val="none" w:sz="0" w:space="0" w:color="auto"/>
        <w:bottom w:val="none" w:sz="0" w:space="0" w:color="auto"/>
        <w:right w:val="none" w:sz="0" w:space="0" w:color="auto"/>
      </w:divBdr>
    </w:div>
    <w:div w:id="435174995">
      <w:bodyDiv w:val="1"/>
      <w:marLeft w:val="0"/>
      <w:marRight w:val="0"/>
      <w:marTop w:val="0"/>
      <w:marBottom w:val="0"/>
      <w:divBdr>
        <w:top w:val="none" w:sz="0" w:space="0" w:color="auto"/>
        <w:left w:val="none" w:sz="0" w:space="0" w:color="auto"/>
        <w:bottom w:val="none" w:sz="0" w:space="0" w:color="auto"/>
        <w:right w:val="none" w:sz="0" w:space="0" w:color="auto"/>
      </w:divBdr>
    </w:div>
    <w:div w:id="455948289">
      <w:bodyDiv w:val="1"/>
      <w:marLeft w:val="0"/>
      <w:marRight w:val="0"/>
      <w:marTop w:val="0"/>
      <w:marBottom w:val="0"/>
      <w:divBdr>
        <w:top w:val="none" w:sz="0" w:space="0" w:color="auto"/>
        <w:left w:val="none" w:sz="0" w:space="0" w:color="auto"/>
        <w:bottom w:val="none" w:sz="0" w:space="0" w:color="auto"/>
        <w:right w:val="none" w:sz="0" w:space="0" w:color="auto"/>
      </w:divBdr>
    </w:div>
    <w:div w:id="505291411">
      <w:bodyDiv w:val="1"/>
      <w:marLeft w:val="0"/>
      <w:marRight w:val="0"/>
      <w:marTop w:val="0"/>
      <w:marBottom w:val="0"/>
      <w:divBdr>
        <w:top w:val="none" w:sz="0" w:space="0" w:color="auto"/>
        <w:left w:val="none" w:sz="0" w:space="0" w:color="auto"/>
        <w:bottom w:val="none" w:sz="0" w:space="0" w:color="auto"/>
        <w:right w:val="none" w:sz="0" w:space="0" w:color="auto"/>
      </w:divBdr>
    </w:div>
    <w:div w:id="630205618">
      <w:bodyDiv w:val="1"/>
      <w:marLeft w:val="0"/>
      <w:marRight w:val="0"/>
      <w:marTop w:val="0"/>
      <w:marBottom w:val="0"/>
      <w:divBdr>
        <w:top w:val="none" w:sz="0" w:space="0" w:color="auto"/>
        <w:left w:val="none" w:sz="0" w:space="0" w:color="auto"/>
        <w:bottom w:val="none" w:sz="0" w:space="0" w:color="auto"/>
        <w:right w:val="none" w:sz="0" w:space="0" w:color="auto"/>
      </w:divBdr>
    </w:div>
    <w:div w:id="634336701">
      <w:bodyDiv w:val="1"/>
      <w:marLeft w:val="0"/>
      <w:marRight w:val="0"/>
      <w:marTop w:val="0"/>
      <w:marBottom w:val="0"/>
      <w:divBdr>
        <w:top w:val="none" w:sz="0" w:space="0" w:color="auto"/>
        <w:left w:val="none" w:sz="0" w:space="0" w:color="auto"/>
        <w:bottom w:val="none" w:sz="0" w:space="0" w:color="auto"/>
        <w:right w:val="none" w:sz="0" w:space="0" w:color="auto"/>
      </w:divBdr>
    </w:div>
    <w:div w:id="640310595">
      <w:bodyDiv w:val="1"/>
      <w:marLeft w:val="0"/>
      <w:marRight w:val="0"/>
      <w:marTop w:val="0"/>
      <w:marBottom w:val="0"/>
      <w:divBdr>
        <w:top w:val="none" w:sz="0" w:space="0" w:color="auto"/>
        <w:left w:val="none" w:sz="0" w:space="0" w:color="auto"/>
        <w:bottom w:val="none" w:sz="0" w:space="0" w:color="auto"/>
        <w:right w:val="none" w:sz="0" w:space="0" w:color="auto"/>
      </w:divBdr>
    </w:div>
    <w:div w:id="845830760">
      <w:bodyDiv w:val="1"/>
      <w:marLeft w:val="0"/>
      <w:marRight w:val="0"/>
      <w:marTop w:val="0"/>
      <w:marBottom w:val="0"/>
      <w:divBdr>
        <w:top w:val="none" w:sz="0" w:space="0" w:color="auto"/>
        <w:left w:val="none" w:sz="0" w:space="0" w:color="auto"/>
        <w:bottom w:val="none" w:sz="0" w:space="0" w:color="auto"/>
        <w:right w:val="none" w:sz="0" w:space="0" w:color="auto"/>
      </w:divBdr>
    </w:div>
    <w:div w:id="846292999">
      <w:bodyDiv w:val="1"/>
      <w:marLeft w:val="0"/>
      <w:marRight w:val="0"/>
      <w:marTop w:val="0"/>
      <w:marBottom w:val="0"/>
      <w:divBdr>
        <w:top w:val="none" w:sz="0" w:space="0" w:color="auto"/>
        <w:left w:val="none" w:sz="0" w:space="0" w:color="auto"/>
        <w:bottom w:val="none" w:sz="0" w:space="0" w:color="auto"/>
        <w:right w:val="none" w:sz="0" w:space="0" w:color="auto"/>
      </w:divBdr>
    </w:div>
    <w:div w:id="908733810">
      <w:bodyDiv w:val="1"/>
      <w:marLeft w:val="0"/>
      <w:marRight w:val="0"/>
      <w:marTop w:val="0"/>
      <w:marBottom w:val="0"/>
      <w:divBdr>
        <w:top w:val="none" w:sz="0" w:space="0" w:color="auto"/>
        <w:left w:val="none" w:sz="0" w:space="0" w:color="auto"/>
        <w:bottom w:val="none" w:sz="0" w:space="0" w:color="auto"/>
        <w:right w:val="none" w:sz="0" w:space="0" w:color="auto"/>
      </w:divBdr>
    </w:div>
    <w:div w:id="1084033558">
      <w:bodyDiv w:val="1"/>
      <w:marLeft w:val="0"/>
      <w:marRight w:val="0"/>
      <w:marTop w:val="0"/>
      <w:marBottom w:val="0"/>
      <w:divBdr>
        <w:top w:val="none" w:sz="0" w:space="0" w:color="auto"/>
        <w:left w:val="none" w:sz="0" w:space="0" w:color="auto"/>
        <w:bottom w:val="none" w:sz="0" w:space="0" w:color="auto"/>
        <w:right w:val="none" w:sz="0" w:space="0" w:color="auto"/>
      </w:divBdr>
    </w:div>
    <w:div w:id="1122648310">
      <w:bodyDiv w:val="1"/>
      <w:marLeft w:val="0"/>
      <w:marRight w:val="0"/>
      <w:marTop w:val="0"/>
      <w:marBottom w:val="0"/>
      <w:divBdr>
        <w:top w:val="none" w:sz="0" w:space="0" w:color="auto"/>
        <w:left w:val="none" w:sz="0" w:space="0" w:color="auto"/>
        <w:bottom w:val="none" w:sz="0" w:space="0" w:color="auto"/>
        <w:right w:val="none" w:sz="0" w:space="0" w:color="auto"/>
      </w:divBdr>
    </w:div>
    <w:div w:id="1194610303">
      <w:bodyDiv w:val="1"/>
      <w:marLeft w:val="0"/>
      <w:marRight w:val="0"/>
      <w:marTop w:val="0"/>
      <w:marBottom w:val="0"/>
      <w:divBdr>
        <w:top w:val="none" w:sz="0" w:space="0" w:color="auto"/>
        <w:left w:val="none" w:sz="0" w:space="0" w:color="auto"/>
        <w:bottom w:val="none" w:sz="0" w:space="0" w:color="auto"/>
        <w:right w:val="none" w:sz="0" w:space="0" w:color="auto"/>
      </w:divBdr>
    </w:div>
    <w:div w:id="1227181390">
      <w:bodyDiv w:val="1"/>
      <w:marLeft w:val="0"/>
      <w:marRight w:val="0"/>
      <w:marTop w:val="0"/>
      <w:marBottom w:val="0"/>
      <w:divBdr>
        <w:top w:val="none" w:sz="0" w:space="0" w:color="auto"/>
        <w:left w:val="none" w:sz="0" w:space="0" w:color="auto"/>
        <w:bottom w:val="none" w:sz="0" w:space="0" w:color="auto"/>
        <w:right w:val="none" w:sz="0" w:space="0" w:color="auto"/>
      </w:divBdr>
    </w:div>
    <w:div w:id="1379282372">
      <w:bodyDiv w:val="1"/>
      <w:marLeft w:val="0"/>
      <w:marRight w:val="0"/>
      <w:marTop w:val="0"/>
      <w:marBottom w:val="0"/>
      <w:divBdr>
        <w:top w:val="none" w:sz="0" w:space="0" w:color="auto"/>
        <w:left w:val="none" w:sz="0" w:space="0" w:color="auto"/>
        <w:bottom w:val="none" w:sz="0" w:space="0" w:color="auto"/>
        <w:right w:val="none" w:sz="0" w:space="0" w:color="auto"/>
      </w:divBdr>
    </w:div>
    <w:div w:id="1517891546">
      <w:bodyDiv w:val="1"/>
      <w:marLeft w:val="0"/>
      <w:marRight w:val="0"/>
      <w:marTop w:val="0"/>
      <w:marBottom w:val="0"/>
      <w:divBdr>
        <w:top w:val="none" w:sz="0" w:space="0" w:color="auto"/>
        <w:left w:val="none" w:sz="0" w:space="0" w:color="auto"/>
        <w:bottom w:val="none" w:sz="0" w:space="0" w:color="auto"/>
        <w:right w:val="none" w:sz="0" w:space="0" w:color="auto"/>
      </w:divBdr>
    </w:div>
    <w:div w:id="1532495296">
      <w:bodyDiv w:val="1"/>
      <w:marLeft w:val="0"/>
      <w:marRight w:val="0"/>
      <w:marTop w:val="0"/>
      <w:marBottom w:val="0"/>
      <w:divBdr>
        <w:top w:val="none" w:sz="0" w:space="0" w:color="auto"/>
        <w:left w:val="none" w:sz="0" w:space="0" w:color="auto"/>
        <w:bottom w:val="none" w:sz="0" w:space="0" w:color="auto"/>
        <w:right w:val="none" w:sz="0" w:space="0" w:color="auto"/>
      </w:divBdr>
    </w:div>
    <w:div w:id="1673296348">
      <w:bodyDiv w:val="1"/>
      <w:marLeft w:val="0"/>
      <w:marRight w:val="0"/>
      <w:marTop w:val="0"/>
      <w:marBottom w:val="0"/>
      <w:divBdr>
        <w:top w:val="none" w:sz="0" w:space="0" w:color="auto"/>
        <w:left w:val="none" w:sz="0" w:space="0" w:color="auto"/>
        <w:bottom w:val="none" w:sz="0" w:space="0" w:color="auto"/>
        <w:right w:val="none" w:sz="0" w:space="0" w:color="auto"/>
      </w:divBdr>
    </w:div>
    <w:div w:id="1703242724">
      <w:bodyDiv w:val="1"/>
      <w:marLeft w:val="0"/>
      <w:marRight w:val="0"/>
      <w:marTop w:val="0"/>
      <w:marBottom w:val="0"/>
      <w:divBdr>
        <w:top w:val="none" w:sz="0" w:space="0" w:color="auto"/>
        <w:left w:val="none" w:sz="0" w:space="0" w:color="auto"/>
        <w:bottom w:val="none" w:sz="0" w:space="0" w:color="auto"/>
        <w:right w:val="none" w:sz="0" w:space="0" w:color="auto"/>
      </w:divBdr>
    </w:div>
    <w:div w:id="1875337774">
      <w:bodyDiv w:val="1"/>
      <w:marLeft w:val="0"/>
      <w:marRight w:val="0"/>
      <w:marTop w:val="0"/>
      <w:marBottom w:val="0"/>
      <w:divBdr>
        <w:top w:val="none" w:sz="0" w:space="0" w:color="auto"/>
        <w:left w:val="none" w:sz="0" w:space="0" w:color="auto"/>
        <w:bottom w:val="none" w:sz="0" w:space="0" w:color="auto"/>
        <w:right w:val="none" w:sz="0" w:space="0" w:color="auto"/>
      </w:divBdr>
    </w:div>
    <w:div w:id="1960918560">
      <w:bodyDiv w:val="1"/>
      <w:marLeft w:val="0"/>
      <w:marRight w:val="0"/>
      <w:marTop w:val="0"/>
      <w:marBottom w:val="0"/>
      <w:divBdr>
        <w:top w:val="none" w:sz="0" w:space="0" w:color="auto"/>
        <w:left w:val="none" w:sz="0" w:space="0" w:color="auto"/>
        <w:bottom w:val="none" w:sz="0" w:space="0" w:color="auto"/>
        <w:right w:val="none" w:sz="0" w:space="0" w:color="auto"/>
      </w:divBdr>
    </w:div>
    <w:div w:id="2038040349">
      <w:bodyDiv w:val="1"/>
      <w:marLeft w:val="0"/>
      <w:marRight w:val="0"/>
      <w:marTop w:val="0"/>
      <w:marBottom w:val="0"/>
      <w:divBdr>
        <w:top w:val="none" w:sz="0" w:space="0" w:color="auto"/>
        <w:left w:val="none" w:sz="0" w:space="0" w:color="auto"/>
        <w:bottom w:val="none" w:sz="0" w:space="0" w:color="auto"/>
        <w:right w:val="none" w:sz="0" w:space="0" w:color="auto"/>
      </w:divBdr>
    </w:div>
    <w:div w:id="2086343202">
      <w:bodyDiv w:val="1"/>
      <w:marLeft w:val="0"/>
      <w:marRight w:val="0"/>
      <w:marTop w:val="0"/>
      <w:marBottom w:val="0"/>
      <w:divBdr>
        <w:top w:val="none" w:sz="0" w:space="0" w:color="auto"/>
        <w:left w:val="none" w:sz="0" w:space="0" w:color="auto"/>
        <w:bottom w:val="none" w:sz="0" w:space="0" w:color="auto"/>
        <w:right w:val="none" w:sz="0" w:space="0" w:color="auto"/>
      </w:divBdr>
    </w:div>
    <w:div w:id="21283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rpol.2019.01.002" TargetMode="External"/><Relationship Id="rId18" Type="http://schemas.openxmlformats.org/officeDocument/2006/relationships/hyperlink" Target="https://doi.org/10.1007/s00267-010-948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ummy-citation.com/citation?d=z%3AvVdNb9xEGN5AWyGBEOLEqRoJDkU03o803WxBkCVJ2zRtSNOE3BBje2zP7njGzIyz2UvVcoDfwI0%2FwA%2BIxAGJC3BBSFy4lRt%2FAAmRC8%2BMN8luPtoCTaPdaG2%2F887zPu%2FzPrYf7tbOp0JF1Cq9W5vqFTRlq2UeMh3OdhKlecrlubyIk5s8zQS%2B1iCM%2BxVcSfPlbu2FOAzVzm7tXJIxF7D3wV83ezX8xYIldm%2F%2B9a3P53EUWVXszd995b1HOGADHttsb37%2Bh1%2B%2FxuHYtrUTEs5fXP7xu7GEqu2OqoSbN38aT3jphnSbPSHhUYTjCTfsmy7DfsKLP3%2F64CkQtqa%2FcqtGCd%2BXS4cJ7z56zR3sJ1zb%2FNMBfiLC4I%2FTSr70y99kLOH1tcUjCKf%2BZcJ3fvt2MmHTXfsfCYPf7zt6DxJ%2B5CPHE7LPSmXZ8HzaDY3VNLKkqy2PBCMZN9DikGwwWWpGzNBYlhtym8qY5FQiRc6kJRuaxtxJkApCNaMGZxgjUcZZYsiNDJFkhQ0HSseGrFHd55SEHFIPlaGEG0JJXgrLi1IXymCfgkWcGZKoEhtxSe7RbSolzQhNtcIkMOAckgKZBKAYohKyhXOkm2ge0YBsZIdJkJ7nhdKWAimgcUsKzbaBG%2FumlEusc1lIzFLU4UeJDDKO8guttnnMZQokKibERSmbMe2uxGVkjdsKGxhbxkMERaXBjlifqUGV1H2tI8NWFFKtqaxow%2FZJwsC2v04KVZSiGmRXss38qmPM%2BkuMrKIgAJFknaUOMBioeL60SFOVh%2FQyuaFkj3oA5A7NC10a%2FnaFB%2BtBiQBV1XY2o0CRMVA%2FgS%2Bj2wxVaWJKY8EUDUGKL%2Buw%2BQEh113dBJ0pCxJzgwPj07rAPhsCMnJghcUvy%2FQ2ZwNDBgxsZEz4%2FjpEVcGRyvNSomTwaBVY8S0A3iqHbw4%2BfoFj1PMyBhk8HBVYQLoVxRGTKIQMwGKkpOsfAzfYBdLhyO0wMMhAmmr%2FE3I5sJFWha8toUKgzwlHFV4JEJ0XgkH7R6yCEDRZMxk5KQL45CRN1H682b4BE61y3TgGakI7XnXCqCc3bhkN8VREooxBRSWDMRAjsAdoqVCYhQG3GdEsHe3oWmS9jF0hqAMgtcrBI4YUHLsQlKJCg9Zjl1HJI5lWQzWSqq8ZCsBgOzjKB6qCIUEE%2FjBnHgiBIKTl4N1nWykYbo2%2BNS5%2BX%2Bs%2BXUAWIUjNCiq9GYTMDhjyTYwkAHhuRseedLAC5qQVQ6xxACS4MiXgJP4aIGjPqqPPzeFRto%2FS7eD5CQ1IDCPs79ZezejIb4fnPnkOrng2pniCJz4rSzxDRzxLQzxDO3wWbvg4M3xWXniiFT4PJ%2FxPRvi0PniWNni2LiiqlSxeRGfTVqM1O93o5KjYccL0MuS0W3sxpaXNlDYPBIiGLV3HF49sjaDRYJZbwXYu31KldoxADqvUesGtM4OTrqmuhkWYiFCF47U4yH%2F74J2Gu8fOdSdQPMUCuzZ2DWfeeDcTdPRzXrh1mocllpgv3NOupLmLTxKaczFMurmifYUph1%2F1l4w3n6V%2BSWOtBPMP8EcXGEwbqxawrYDcCk4LzRZUGEImWRUc3js1MlkpIRb038VlCy4p2To9uhtDMyPM6Tod5pi504LZberswMf2luDdpBv3GK%2FCIx7jre9CFCtum41gttFq13tSx8H2LEen5uA4oXyA%2F0Y%2B5I12szPdujLbinKa9lqzrc7M1U57roUOMdn1mliObXNuZqbZmOnMzV2d6XSajautdiNzERQt728dLuv5W6AXUa%2FVaEJETXzyogwFN%2BhCpaMpX87O9BraiBZH0MgChbAwumRToigNTxk6CX1MBUROv%2F%2FGqD7uXl5Gm1rs3MmsLcy1er1Xyc0EZRjABqfRdSGDmNW5jNlOUGRF%2Fdbq%2BmKdVu8r9VgNpFA0rrebs%2F" TargetMode="External"/><Relationship Id="rId12" Type="http://schemas.openxmlformats.org/officeDocument/2006/relationships/hyperlink" Target="https://doi.org/10.12738/estp.2018.1.0298" TargetMode="External"/><Relationship Id="rId17" Type="http://schemas.openxmlformats.org/officeDocument/2006/relationships/hyperlink" Target="https://doi.org/10.3390/su1603112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forpol.2013.07.00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302045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jsom.com" TargetMode="External"/><Relationship Id="rId23" Type="http://schemas.openxmlformats.org/officeDocument/2006/relationships/footer" Target="footer2.xml"/><Relationship Id="rId10" Type="http://schemas.openxmlformats.org/officeDocument/2006/relationships/hyperlink" Target="https://doi.org/10.1007/s11842-006-0009-2" TargetMode="External"/><Relationship Id="rId19" Type="http://schemas.openxmlformats.org/officeDocument/2006/relationships/hyperlink" Target="https://doi.org/10.1016/j.forpol.2010.08.00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88/1748-9326/ab7e5a"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Sheet1!$E$43</c:f>
              <c:strCache>
                <c:ptCount val="1"/>
                <c:pt idx="0">
                  <c:v>Percentage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Sheet1!$D$44:$D$48</c:f>
              <c:strCache>
                <c:ptCount val="5"/>
                <c:pt idx="0">
                  <c:v>133</c:v>
                </c:pt>
                <c:pt idx="1">
                  <c:v>41</c:v>
                </c:pt>
                <c:pt idx="2">
                  <c:v>135</c:v>
                </c:pt>
                <c:pt idx="3">
                  <c:v>35</c:v>
                </c:pt>
                <c:pt idx="4">
                  <c:v>—</c:v>
                </c:pt>
              </c:strCache>
            </c:strRef>
          </c:cat>
          <c:val>
            <c:numRef>
              <c:f>Sheet1!$E$44:$E$48</c:f>
              <c:numCache>
                <c:formatCode>0.00%</c:formatCode>
                <c:ptCount val="5"/>
                <c:pt idx="0">
                  <c:v>0.76400000000000001</c:v>
                </c:pt>
                <c:pt idx="1">
                  <c:v>0.23599999999999999</c:v>
                </c:pt>
                <c:pt idx="2">
                  <c:v>0.79400000000000004</c:v>
                </c:pt>
                <c:pt idx="3">
                  <c:v>0.20599999999999999</c:v>
                </c:pt>
                <c:pt idx="4" formatCode="0%">
                  <c:v>1</c:v>
                </c:pt>
              </c:numCache>
            </c:numRef>
          </c:val>
          <c:extLst>
            <c:ext xmlns:c16="http://schemas.microsoft.com/office/drawing/2014/chart" uri="{C3380CC4-5D6E-409C-BE32-E72D297353CC}">
              <c16:uniqueId val="{00000000-2E41-4FEA-9DA6-B074DDE1B645}"/>
            </c:ext>
          </c:extLst>
        </c:ser>
        <c:dLbls>
          <c:dLblPos val="inEnd"/>
          <c:showLegendKey val="0"/>
          <c:showVal val="1"/>
          <c:showCatName val="0"/>
          <c:showSerName val="0"/>
          <c:showPercent val="0"/>
          <c:showBubbleSize val="0"/>
        </c:dLbls>
        <c:gapWidth val="41"/>
        <c:axId val="389303456"/>
        <c:axId val="389303128"/>
      </c:barChart>
      <c:catAx>
        <c:axId val="389303456"/>
        <c:scaling>
          <c:orientation val="minMax"/>
        </c:scaling>
        <c:delete val="1"/>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Nchumuru</a:t>
                </a:r>
                <a:r>
                  <a:rPr lang="en-US" baseline="0"/>
                  <a:t> Commu.                         Adele Communities      </a:t>
                </a:r>
                <a:endParaRPr lang="en-US"/>
              </a:p>
            </c:rich>
          </c:tx>
          <c:layout>
            <c:manualLayout>
              <c:xMode val="edge"/>
              <c:yMode val="edge"/>
              <c:x val="4.0129483814523186E-2"/>
              <c:y val="0.898217410323709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89303128"/>
        <c:crosses val="autoZero"/>
        <c:auto val="1"/>
        <c:lblAlgn val="ctr"/>
        <c:lblOffset val="100"/>
        <c:noMultiLvlLbl val="1"/>
      </c:catAx>
      <c:valAx>
        <c:axId val="389303128"/>
        <c:scaling>
          <c:orientation val="minMax"/>
        </c:scaling>
        <c:delete val="1"/>
        <c:axPos val="l"/>
        <c:numFmt formatCode="0.00%" sourceLinked="1"/>
        <c:majorTickMark val="none"/>
        <c:minorTickMark val="none"/>
        <c:tickLblPos val="nextTo"/>
        <c:crossAx val="389303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7625</Words>
  <Characters>43467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SDI 1166</cp:lastModifiedBy>
  <cp:revision>11</cp:revision>
  <dcterms:created xsi:type="dcterms:W3CDTF">2026-04-26T13:28:00Z</dcterms:created>
  <dcterms:modified xsi:type="dcterms:W3CDTF">2026-04-27T10:50:00Z</dcterms:modified>
</cp:coreProperties>
</file>