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E42" w:rsidRDefault="00AD1E42" w:rsidP="00441B6F">
      <w:pPr>
        <w:pStyle w:val="Author"/>
        <w:spacing w:line="240" w:lineRule="auto"/>
        <w:rPr>
          <w:rFonts w:ascii="Arial" w:hAnsi="Arial" w:cs="Arial"/>
          <w:bCs/>
          <w:iCs/>
          <w:kern w:val="28"/>
          <w:sz w:val="36"/>
        </w:rPr>
      </w:pPr>
      <w:r w:rsidRPr="007B1647">
        <w:rPr>
          <w:rFonts w:ascii="Times New Roman" w:hAnsi="Times New Roman"/>
          <w:sz w:val="20"/>
        </w:rPr>
        <w:t>Original Research Article</w:t>
      </w:r>
      <w:r w:rsidRPr="00614655">
        <w:rPr>
          <w:rFonts w:ascii="Arial" w:hAnsi="Arial" w:cs="Arial"/>
          <w:bCs/>
          <w:iCs/>
          <w:kern w:val="28"/>
          <w:sz w:val="36"/>
        </w:rPr>
        <w:t xml:space="preserve"> </w:t>
      </w:r>
    </w:p>
    <w:p w:rsidR="00AD1E42" w:rsidRDefault="00AD1E42" w:rsidP="00441B6F">
      <w:pPr>
        <w:pStyle w:val="Author"/>
        <w:spacing w:line="240" w:lineRule="auto"/>
        <w:rPr>
          <w:rFonts w:ascii="Arial" w:hAnsi="Arial" w:cs="Arial"/>
          <w:bCs/>
          <w:iCs/>
          <w:kern w:val="28"/>
          <w:sz w:val="36"/>
        </w:rPr>
      </w:pPr>
    </w:p>
    <w:p w:rsidR="00163BC4" w:rsidRDefault="00614655" w:rsidP="00441B6F">
      <w:pPr>
        <w:pStyle w:val="Author"/>
        <w:spacing w:line="240" w:lineRule="auto"/>
        <w:rPr>
          <w:rFonts w:ascii="Arial" w:hAnsi="Arial" w:cs="Arial"/>
          <w:bCs/>
          <w:iCs/>
          <w:kern w:val="28"/>
          <w:sz w:val="36"/>
        </w:rPr>
      </w:pPr>
      <w:r w:rsidRPr="00614655">
        <w:rPr>
          <w:rFonts w:ascii="Arial" w:hAnsi="Arial" w:cs="Arial"/>
          <w:bCs/>
          <w:iCs/>
          <w:kern w:val="28"/>
          <w:sz w:val="36"/>
        </w:rPr>
        <w:t xml:space="preserve">Asymmetric Impact of Oil Price Shocks on Food Inflation in Nigeria: </w:t>
      </w:r>
      <w:r w:rsidR="00E51101" w:rsidRPr="00E51101">
        <w:rPr>
          <w:rFonts w:ascii="Arial" w:hAnsi="Arial" w:cs="Arial"/>
          <w:bCs/>
          <w:iCs/>
          <w:kern w:val="28"/>
          <w:sz w:val="36"/>
        </w:rPr>
        <w:t>A Nonlinear ARDL Approach</w:t>
      </w:r>
    </w:p>
    <w:p w:rsidR="00AD1E42" w:rsidRPr="00163BC4" w:rsidRDefault="00AD1E42" w:rsidP="00441B6F">
      <w:pPr>
        <w:pStyle w:val="Author"/>
        <w:spacing w:line="240" w:lineRule="auto"/>
        <w:rPr>
          <w:rFonts w:ascii="Arial" w:hAnsi="Arial" w:cs="Arial"/>
          <w:bCs/>
          <w:iCs/>
          <w:kern w:val="28"/>
          <w:sz w:val="36"/>
        </w:rPr>
      </w:pPr>
    </w:p>
    <w:p w:rsidR="00A258C3" w:rsidRPr="00790ADA" w:rsidRDefault="0065461F" w:rsidP="00441B6F">
      <w:pPr>
        <w:pStyle w:val="Author"/>
        <w:spacing w:line="240" w:lineRule="auto"/>
        <w:jc w:val="both"/>
        <w:rPr>
          <w:rFonts w:ascii="Arial" w:hAnsi="Arial" w:cs="Arial"/>
          <w:sz w:val="36"/>
        </w:rPr>
      </w:pPr>
      <w:r>
        <w:rPr>
          <w:rFonts w:ascii="Arial" w:hAnsi="Arial" w:cs="Arial"/>
          <w:sz w:val="36"/>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4B4CA2" w:rsidP="00441B6F">
      <w:pPr>
        <w:pStyle w:val="Copyright"/>
        <w:spacing w:after="0" w:line="240" w:lineRule="auto"/>
        <w:jc w:val="both"/>
        <w:rPr>
          <w:rFonts w:ascii="Arial" w:hAnsi="Arial" w:cs="Arial"/>
        </w:rPr>
        <w:sectPr w:rsidR="00B01FCD" w:rsidRPr="00FB3A86" w:rsidSect="00B10F53">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5461F" w:rsidTr="001E44FE">
        <w:tc>
          <w:tcPr>
            <w:tcW w:w="9576" w:type="dxa"/>
            <w:shd w:val="clear" w:color="auto" w:fill="F2F2F2"/>
          </w:tcPr>
          <w:p w:rsidR="00505F06" w:rsidRPr="00BA1B01" w:rsidRDefault="00352188" w:rsidP="00623950">
            <w:pPr>
              <w:pStyle w:val="Body"/>
              <w:spacing w:after="0"/>
              <w:rPr>
                <w:rFonts w:ascii="Arial" w:eastAsia="Calibri" w:hAnsi="Arial" w:cs="Arial"/>
                <w:szCs w:val="22"/>
              </w:rPr>
            </w:pPr>
            <w:r w:rsidRPr="00352188">
              <w:rPr>
                <w:rFonts w:ascii="Arial" w:eastAsia="Calibri" w:hAnsi="Arial" w:cs="Arial"/>
                <w:szCs w:val="22"/>
              </w:rPr>
              <w:t>Oil price movements remain a major source of macroeconomic instability in oil dependent economies due to their influence on production costs, exchange rates</w:t>
            </w:r>
            <w:r w:rsidR="00E10AD9">
              <w:rPr>
                <w:rFonts w:ascii="Arial" w:eastAsia="Calibri" w:hAnsi="Arial" w:cs="Arial"/>
                <w:szCs w:val="22"/>
              </w:rPr>
              <w:t xml:space="preserve"> and</w:t>
            </w:r>
            <w:r w:rsidRPr="00352188">
              <w:rPr>
                <w:rFonts w:ascii="Arial" w:eastAsia="Calibri" w:hAnsi="Arial" w:cs="Arial"/>
                <w:szCs w:val="22"/>
              </w:rPr>
              <w:t xml:space="preserve"> domestic price formation. In Nigeria, where food constitutes a large share of household consumption, understanding how oil price shocks affect food inflation is essential for effective policy design. This study examines the asymmetric effects of oil price shocks on food inflation in Nigeria using a nonlinear autoregressive distributed lag (NARDL) framework. </w:t>
            </w:r>
            <w:r w:rsidR="00E10AD9">
              <w:t>Monthly data covering January 2006 to November 2025 were obtained from the Central Bank of Nigeria and the U.S. Energy Information Administration. Food inflation is measured as the year-on-year percentage change in the food consumer price index, while oil prices are expressed in logarithmic form</w:t>
            </w:r>
            <w:r w:rsidRPr="00352188">
              <w:rPr>
                <w:rFonts w:ascii="Arial" w:eastAsia="Calibri" w:hAnsi="Arial" w:cs="Arial"/>
                <w:szCs w:val="22"/>
              </w:rPr>
              <w:t>. The empirical results confirm a long run relationship between oil prices and food inflation, with an F statistic of 9.2722 exceeding the upper bound critical values at the 1 percent level. The Wald test further confirms significant asymmetry in both the short run and long run, with test statist</w:t>
            </w:r>
            <w:r w:rsidR="00623950">
              <w:rPr>
                <w:rFonts w:ascii="Arial" w:eastAsia="Calibri" w:hAnsi="Arial" w:cs="Arial"/>
                <w:szCs w:val="22"/>
              </w:rPr>
              <w:t>ics of 8.9241 (p = 0.</w:t>
            </w:r>
            <w:r w:rsidR="00623950" w:rsidRPr="00623950">
              <w:rPr>
                <w:rFonts w:ascii="Arial" w:eastAsia="Calibri" w:hAnsi="Arial" w:cs="Arial"/>
                <w:szCs w:val="22"/>
              </w:rPr>
              <w:t xml:space="preserve">0115) and </w:t>
            </w:r>
            <w:r w:rsidR="00623950" w:rsidRPr="00623950">
              <w:rPr>
                <w:rFonts w:ascii="Arial" w:hAnsi="Arial" w:cs="Arial"/>
              </w:rPr>
              <w:t>7880.3270</w:t>
            </w:r>
            <w:r w:rsidRPr="00623950">
              <w:rPr>
                <w:rFonts w:ascii="Arial" w:eastAsia="Calibri" w:hAnsi="Arial" w:cs="Arial"/>
                <w:szCs w:val="22"/>
              </w:rPr>
              <w:t xml:space="preserve"> (p = 0.0000), respectively</w:t>
            </w:r>
            <w:r w:rsidRPr="00352188">
              <w:rPr>
                <w:rFonts w:ascii="Arial" w:eastAsia="Calibri" w:hAnsi="Arial" w:cs="Arial"/>
                <w:szCs w:val="22"/>
              </w:rPr>
              <w:t xml:space="preserve">. The results show that positive oil price shocks exert stronger effects on food inflation compared to negative shocks, indicating incomplete and asymmetric </w:t>
            </w:r>
            <w:r w:rsidR="00600D13">
              <w:rPr>
                <w:rFonts w:ascii="Arial" w:eastAsia="Calibri" w:hAnsi="Arial" w:cs="Arial"/>
                <w:szCs w:val="22"/>
              </w:rPr>
              <w:t>pass-through</w:t>
            </w:r>
            <w:r w:rsidRPr="00352188">
              <w:rPr>
                <w:rFonts w:ascii="Arial" w:eastAsia="Calibri" w:hAnsi="Arial" w:cs="Arial"/>
                <w:szCs w:val="22"/>
              </w:rPr>
              <w:t xml:space="preserve"> in the Nigerian economy. These findings suggest that the transmission of oil price shocks to food inflation is nonlinear and influenced by structural rigidities, exchange rate dynamics</w:t>
            </w:r>
            <w:r w:rsidR="00E10AD9">
              <w:rPr>
                <w:rFonts w:ascii="Arial" w:eastAsia="Calibri" w:hAnsi="Arial" w:cs="Arial"/>
                <w:szCs w:val="22"/>
              </w:rPr>
              <w:t xml:space="preserve"> and</w:t>
            </w:r>
            <w:r w:rsidRPr="00352188">
              <w:rPr>
                <w:rFonts w:ascii="Arial" w:eastAsia="Calibri" w:hAnsi="Arial" w:cs="Arial"/>
                <w:szCs w:val="22"/>
              </w:rPr>
              <w:t xml:space="preserve"> energy dependence. The study contributes to the literature by providing updated evidence on food inflation dynamics in an oil dependent economy using a nonlinear modelling approach. The results have important implications for inflation targeting, energy pricing policy</w:t>
            </w:r>
            <w:r w:rsidR="00E10AD9">
              <w:rPr>
                <w:rFonts w:ascii="Arial" w:eastAsia="Calibri" w:hAnsi="Arial" w:cs="Arial"/>
                <w:szCs w:val="22"/>
              </w:rPr>
              <w:t xml:space="preserve"> and</w:t>
            </w:r>
            <w:r w:rsidRPr="00352188">
              <w:rPr>
                <w:rFonts w:ascii="Arial" w:eastAsia="Calibri" w:hAnsi="Arial" w:cs="Arial"/>
                <w:szCs w:val="22"/>
              </w:rPr>
              <w:t xml:space="preserve"> food security management in Nigeria.</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352188" w:rsidRPr="00352188">
        <w:rPr>
          <w:rFonts w:ascii="Arial" w:hAnsi="Arial" w:cs="Arial"/>
          <w:i/>
        </w:rPr>
        <w:t>Oil price shocks, food inflation, NARDL, asymmetry, Nigeria, inflation dynamics</w:t>
      </w:r>
      <w:r w:rsidR="0066510A">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52188" w:rsidRPr="00352188" w:rsidRDefault="00352188" w:rsidP="00352188">
      <w:pPr>
        <w:pStyle w:val="Body"/>
        <w:rPr>
          <w:rFonts w:ascii="Arial" w:hAnsi="Arial" w:cs="Arial"/>
        </w:rPr>
      </w:pPr>
      <w:r w:rsidRPr="00352188">
        <w:rPr>
          <w:rFonts w:ascii="Arial" w:hAnsi="Arial" w:cs="Arial"/>
        </w:rPr>
        <w:t>Oil is a fundamental input in modern economies and plays a central role in production, transportation</w:t>
      </w:r>
      <w:r w:rsidR="00E10AD9">
        <w:rPr>
          <w:rFonts w:ascii="Arial" w:hAnsi="Arial" w:cs="Arial"/>
        </w:rPr>
        <w:t xml:space="preserve"> and</w:t>
      </w:r>
      <w:r w:rsidRPr="00352188">
        <w:rPr>
          <w:rFonts w:ascii="Arial" w:hAnsi="Arial" w:cs="Arial"/>
        </w:rPr>
        <w:t xml:space="preserve"> industrial activities. Because of this centrality, fluctuations in oil prices transmit widely across sectors and influence cost structures, supply chains</w:t>
      </w:r>
      <w:r w:rsidR="00E10AD9">
        <w:rPr>
          <w:rFonts w:ascii="Arial" w:hAnsi="Arial" w:cs="Arial"/>
        </w:rPr>
        <w:t xml:space="preserve"> and</w:t>
      </w:r>
      <w:r w:rsidRPr="00352188">
        <w:rPr>
          <w:rFonts w:ascii="Arial" w:hAnsi="Arial" w:cs="Arial"/>
        </w:rPr>
        <w:t xml:space="preserve"> final consumer prices. One of the most important macroeconomic outcomes affected by these movements is inflation, which refers to a persistent increase in the general price level of goods and services. In both developed and developing economies, inflation remains a key policy concern due to its implications for purchasing power, welfare</w:t>
      </w:r>
      <w:r w:rsidR="00E10AD9">
        <w:rPr>
          <w:rFonts w:ascii="Arial" w:hAnsi="Arial" w:cs="Arial"/>
        </w:rPr>
        <w:t xml:space="preserve"> and</w:t>
      </w:r>
      <w:r w:rsidRPr="00352188">
        <w:rPr>
          <w:rFonts w:ascii="Arial" w:hAnsi="Arial" w:cs="Arial"/>
        </w:rPr>
        <w:t xml:space="preserve"> economic stability (</w:t>
      </w:r>
      <w:proofErr w:type="spellStart"/>
      <w:r w:rsidRPr="00352188">
        <w:rPr>
          <w:rFonts w:ascii="Arial" w:hAnsi="Arial" w:cs="Arial"/>
        </w:rPr>
        <w:t>Kemoe</w:t>
      </w:r>
      <w:proofErr w:type="spellEnd"/>
      <w:r w:rsidRPr="00352188">
        <w:rPr>
          <w:rFonts w:ascii="Arial" w:hAnsi="Arial" w:cs="Arial"/>
        </w:rPr>
        <w:t xml:space="preserve"> et al., 2024).</w:t>
      </w:r>
    </w:p>
    <w:p w:rsidR="00352188" w:rsidRPr="00352188" w:rsidRDefault="00352188" w:rsidP="00352188">
      <w:pPr>
        <w:pStyle w:val="Body"/>
        <w:rPr>
          <w:rFonts w:ascii="Arial" w:hAnsi="Arial" w:cs="Arial"/>
        </w:rPr>
      </w:pPr>
      <w:r w:rsidRPr="00352188">
        <w:rPr>
          <w:rFonts w:ascii="Arial" w:hAnsi="Arial" w:cs="Arial"/>
        </w:rPr>
        <w:lastRenderedPageBreak/>
        <w:t>Theoretical explanations of the oil price inflation nexus are commonly grounded in cost-push and supply-side transmission mechanisms. Changes in oil prices affect production costs directly through energy inputs and indirectly through transportation, logistics</w:t>
      </w:r>
      <w:r w:rsidR="00E10AD9">
        <w:rPr>
          <w:rFonts w:ascii="Arial" w:hAnsi="Arial" w:cs="Arial"/>
        </w:rPr>
        <w:t xml:space="preserve"> and</w:t>
      </w:r>
      <w:r w:rsidRPr="00352188">
        <w:rPr>
          <w:rFonts w:ascii="Arial" w:hAnsi="Arial" w:cs="Arial"/>
        </w:rPr>
        <w:t xml:space="preserve"> intermediate goods. Recent empirical evidence shows that oil price shocks raise production costs and inflation through these supply-side channels, with effects that vary across economies depending on structure and policy environment (IMF, 2022). These cost pressures are transmitted into consumer prices through pricing </w:t>
      </w:r>
      <w:proofErr w:type="spellStart"/>
      <w:r w:rsidRPr="00352188">
        <w:rPr>
          <w:rFonts w:ascii="Arial" w:hAnsi="Arial" w:cs="Arial"/>
        </w:rPr>
        <w:t>behaviour</w:t>
      </w:r>
      <w:proofErr w:type="spellEnd"/>
      <w:r w:rsidRPr="00352188">
        <w:rPr>
          <w:rFonts w:ascii="Arial" w:hAnsi="Arial" w:cs="Arial"/>
        </w:rPr>
        <w:t xml:space="preserve"> and aggregate supply adjustments, with pass-through influenced by inflation conditions and monetary credibility (</w:t>
      </w:r>
      <w:proofErr w:type="spellStart"/>
      <w:r w:rsidRPr="00352188">
        <w:rPr>
          <w:rFonts w:ascii="Arial" w:hAnsi="Arial" w:cs="Arial"/>
        </w:rPr>
        <w:t>Ahn</w:t>
      </w:r>
      <w:proofErr w:type="spellEnd"/>
      <w:r w:rsidRPr="00352188">
        <w:rPr>
          <w:rFonts w:ascii="Arial" w:hAnsi="Arial" w:cs="Arial"/>
        </w:rPr>
        <w:t>, 2024). In open economies, exchange rate movements further amplify these effects by affecting import prices and strengthening domestic inflation responses, particularly in economies with high import dependence (</w:t>
      </w:r>
      <w:proofErr w:type="spellStart"/>
      <w:r w:rsidRPr="00352188">
        <w:rPr>
          <w:rFonts w:ascii="Arial" w:hAnsi="Arial" w:cs="Arial"/>
        </w:rPr>
        <w:t>Moessner</w:t>
      </w:r>
      <w:proofErr w:type="spellEnd"/>
      <w:r w:rsidRPr="00352188">
        <w:rPr>
          <w:rFonts w:ascii="Arial" w:hAnsi="Arial" w:cs="Arial"/>
        </w:rPr>
        <w:t>, 2022).</w:t>
      </w:r>
    </w:p>
    <w:p w:rsidR="00352188" w:rsidRPr="00352188" w:rsidRDefault="00352188" w:rsidP="00352188">
      <w:pPr>
        <w:pStyle w:val="Body"/>
        <w:rPr>
          <w:rFonts w:ascii="Arial" w:hAnsi="Arial" w:cs="Arial"/>
        </w:rPr>
      </w:pPr>
      <w:r w:rsidRPr="00352188">
        <w:rPr>
          <w:rFonts w:ascii="Arial" w:hAnsi="Arial" w:cs="Arial"/>
        </w:rPr>
        <w:t>In Nigeria, these transmission channels are particularly pronounced due to structural dependence on imported refined petroleum products despite being a major crude oil producer. Limited domestic refining capacity creates a situation where global oil price movements influence domestic energy costs in a non-trivial way. Empirical evidence shows that Nigeria’s reliance on imported fuel strengthens the pass-through of global oil prices into domestic inflation through energy and transport costs (IMF, 2022). When oil prices increase, government revenue may rise, but production and transportation costs also increase, placing upward pressure on domestic prices. When oil prices decline, reduced foreign exchange earnings can lead to currency depreciation, which further transmits imported inflation pressures into the domestic economy (</w:t>
      </w:r>
      <w:proofErr w:type="spellStart"/>
      <w:r w:rsidRPr="00352188">
        <w:rPr>
          <w:rFonts w:ascii="Arial" w:hAnsi="Arial" w:cs="Arial"/>
        </w:rPr>
        <w:t>Omolade</w:t>
      </w:r>
      <w:proofErr w:type="spellEnd"/>
      <w:r w:rsidRPr="00352188">
        <w:rPr>
          <w:rFonts w:ascii="Arial" w:hAnsi="Arial" w:cs="Arial"/>
        </w:rPr>
        <w:t xml:space="preserve"> et al., 2019).</w:t>
      </w:r>
    </w:p>
    <w:p w:rsidR="00352188" w:rsidRPr="00352188" w:rsidRDefault="00352188" w:rsidP="00352188">
      <w:pPr>
        <w:pStyle w:val="Body"/>
        <w:rPr>
          <w:rFonts w:ascii="Arial" w:hAnsi="Arial" w:cs="Arial"/>
        </w:rPr>
      </w:pPr>
      <w:r w:rsidRPr="00352188">
        <w:rPr>
          <w:rFonts w:ascii="Arial" w:hAnsi="Arial" w:cs="Arial"/>
        </w:rPr>
        <w:t>Food inflation is especially sensitive to these dynamics because food production and distribution are highly energy intensive. Transportation, storage, processing</w:t>
      </w:r>
      <w:r w:rsidR="00E10AD9">
        <w:rPr>
          <w:rFonts w:ascii="Arial" w:hAnsi="Arial" w:cs="Arial"/>
        </w:rPr>
        <w:t xml:space="preserve"> and</w:t>
      </w:r>
      <w:r w:rsidRPr="00352188">
        <w:rPr>
          <w:rFonts w:ascii="Arial" w:hAnsi="Arial" w:cs="Arial"/>
        </w:rPr>
        <w:t xml:space="preserve"> fertilizer costs are all affected by energy prices. In Nigeria, where households allocate a large share of income to food consumption, changes in food prices have direct welfare consequences. Recent inflationary episodes in the country suggest that food price increases are driven by a combination of energy costs, exchange rate pressures</w:t>
      </w:r>
      <w:r w:rsidR="00E10AD9">
        <w:rPr>
          <w:rFonts w:ascii="Arial" w:hAnsi="Arial" w:cs="Arial"/>
        </w:rPr>
        <w:t xml:space="preserve"> and</w:t>
      </w:r>
      <w:r w:rsidRPr="00352188">
        <w:rPr>
          <w:rFonts w:ascii="Arial" w:hAnsi="Arial" w:cs="Arial"/>
        </w:rPr>
        <w:t xml:space="preserve"> structural inefficiencies in agricultural supply chains (BIS, 2023).</w:t>
      </w:r>
    </w:p>
    <w:p w:rsidR="00352188" w:rsidRPr="00352188" w:rsidRDefault="00352188" w:rsidP="00352188">
      <w:pPr>
        <w:pStyle w:val="Body"/>
        <w:rPr>
          <w:rFonts w:ascii="Arial" w:hAnsi="Arial" w:cs="Arial"/>
        </w:rPr>
      </w:pPr>
      <w:r w:rsidRPr="00352188">
        <w:rPr>
          <w:rFonts w:ascii="Arial" w:hAnsi="Arial" w:cs="Arial"/>
        </w:rPr>
        <w:t>A key limitation in earlier empirical work is the assumption of symmetric adjustment, where increases and decreases in oil prices are assumed to have equal but opposite effects on inflation. This assumption is restrictive in economies characterized by rigid pricing systems, policy interventions</w:t>
      </w:r>
      <w:r w:rsidR="00E10AD9">
        <w:rPr>
          <w:rFonts w:ascii="Arial" w:hAnsi="Arial" w:cs="Arial"/>
        </w:rPr>
        <w:t xml:space="preserve"> and</w:t>
      </w:r>
      <w:r w:rsidRPr="00352188">
        <w:rPr>
          <w:rFonts w:ascii="Arial" w:hAnsi="Arial" w:cs="Arial"/>
        </w:rPr>
        <w:t xml:space="preserve"> imperfect competition. </w:t>
      </w:r>
      <w:r w:rsidR="00316FD5" w:rsidRPr="00352188">
        <w:rPr>
          <w:rFonts w:ascii="Arial" w:hAnsi="Arial" w:cs="Arial"/>
        </w:rPr>
        <w:t>Empirical studies document that energy price shocks often produce nonlinear and asymmetric effects on inflation dynamics (Kilian &amp; Zhou, 2022).</w:t>
      </w:r>
    </w:p>
    <w:p w:rsidR="00352188" w:rsidRPr="00352188" w:rsidRDefault="00352188" w:rsidP="00352188">
      <w:pPr>
        <w:pStyle w:val="Body"/>
        <w:rPr>
          <w:rFonts w:ascii="Arial" w:hAnsi="Arial" w:cs="Arial"/>
        </w:rPr>
      </w:pPr>
      <w:r w:rsidRPr="00352188">
        <w:rPr>
          <w:rFonts w:ascii="Arial" w:hAnsi="Arial" w:cs="Arial"/>
        </w:rPr>
        <w:t>In Nigeria, asymmetry may arise from fuel subsidy arrangements, exchange rate pass-through effects, import dependence</w:t>
      </w:r>
      <w:r w:rsidR="00E10AD9">
        <w:rPr>
          <w:rFonts w:ascii="Arial" w:hAnsi="Arial" w:cs="Arial"/>
        </w:rPr>
        <w:t xml:space="preserve"> and</w:t>
      </w:r>
      <w:r w:rsidRPr="00352188">
        <w:rPr>
          <w:rFonts w:ascii="Arial" w:hAnsi="Arial" w:cs="Arial"/>
        </w:rPr>
        <w:t xml:space="preserve"> market rigidities. Price increases in oil are transmitted quickly into domestic costs, while price decreases are often only partially passed on due to downward price stickiness and adjustment frictions. Recent Nigeria-specific evidence confirms strong asymmetric exchange rate and oil price pass-through to inflation, particularly for food and transport prices (</w:t>
      </w:r>
      <w:proofErr w:type="spellStart"/>
      <w:r w:rsidRPr="00352188">
        <w:rPr>
          <w:rFonts w:ascii="Arial" w:hAnsi="Arial" w:cs="Arial"/>
        </w:rPr>
        <w:t>Ikue</w:t>
      </w:r>
      <w:proofErr w:type="spellEnd"/>
      <w:r w:rsidRPr="00352188">
        <w:rPr>
          <w:rFonts w:ascii="Arial" w:hAnsi="Arial" w:cs="Arial"/>
        </w:rPr>
        <w:t xml:space="preserve"> et al., 2024)</w:t>
      </w:r>
    </w:p>
    <w:p w:rsidR="00352188" w:rsidRPr="00352188" w:rsidRDefault="00352188" w:rsidP="00352188">
      <w:pPr>
        <w:pStyle w:val="Body"/>
        <w:rPr>
          <w:rFonts w:ascii="Arial" w:hAnsi="Arial" w:cs="Arial"/>
        </w:rPr>
      </w:pPr>
      <w:r w:rsidRPr="00352188">
        <w:rPr>
          <w:rFonts w:ascii="Arial" w:hAnsi="Arial" w:cs="Arial"/>
        </w:rPr>
        <w:t xml:space="preserve">This </w:t>
      </w:r>
      <w:proofErr w:type="spellStart"/>
      <w:r w:rsidRPr="00352188">
        <w:rPr>
          <w:rFonts w:ascii="Arial" w:hAnsi="Arial" w:cs="Arial"/>
        </w:rPr>
        <w:t>behaviour</w:t>
      </w:r>
      <w:proofErr w:type="spellEnd"/>
      <w:r w:rsidRPr="00352188">
        <w:rPr>
          <w:rFonts w:ascii="Arial" w:hAnsi="Arial" w:cs="Arial"/>
        </w:rPr>
        <w:t xml:space="preserve"> suggests that a nonlinear modelling framework is more appropriate for capturing the true transmission process. The nonlinear autoregressive distributed lag approach provides a suitable framework for this purpose by allowing decomposition of oil price movements into positive and negative changes. Recent applications show that the NARDL framework effectively captures asymmetric inflation responses to oil and exchange rate shocks in both short-run and long-run dynamics (</w:t>
      </w:r>
      <w:proofErr w:type="spellStart"/>
      <w:r w:rsidRPr="00352188">
        <w:rPr>
          <w:rFonts w:ascii="Arial" w:hAnsi="Arial" w:cs="Arial"/>
        </w:rPr>
        <w:t>Mendali</w:t>
      </w:r>
      <w:proofErr w:type="spellEnd"/>
      <w:r w:rsidRPr="00352188">
        <w:rPr>
          <w:rFonts w:ascii="Arial" w:hAnsi="Arial" w:cs="Arial"/>
        </w:rPr>
        <w:t xml:space="preserve"> &amp; Das, 2023).</w:t>
      </w:r>
    </w:p>
    <w:p w:rsidR="00352188" w:rsidRPr="00352188" w:rsidRDefault="00352188" w:rsidP="00352188">
      <w:pPr>
        <w:pStyle w:val="Body"/>
        <w:rPr>
          <w:rFonts w:ascii="Arial" w:hAnsi="Arial" w:cs="Arial"/>
        </w:rPr>
      </w:pPr>
      <w:r w:rsidRPr="00352188">
        <w:rPr>
          <w:rFonts w:ascii="Arial" w:hAnsi="Arial" w:cs="Arial"/>
        </w:rPr>
        <w:lastRenderedPageBreak/>
        <w:t>Despite extensive evidence on oil price and inflation dynamics, most existing studies focus on aggregate inflation or broader macroeconomic indicators. Less attention has been given to food inflation, even though it represents a more direct channel through which households experience price pressures. In addition, recent structural developments in Nigeria, including subsidy reforms, exchange rate instability</w:t>
      </w:r>
      <w:r w:rsidR="00E10AD9">
        <w:rPr>
          <w:rFonts w:ascii="Arial" w:hAnsi="Arial" w:cs="Arial"/>
        </w:rPr>
        <w:t xml:space="preserve"> and</w:t>
      </w:r>
      <w:r w:rsidRPr="00352188">
        <w:rPr>
          <w:rFonts w:ascii="Arial" w:hAnsi="Arial" w:cs="Arial"/>
        </w:rPr>
        <w:t xml:space="preserve"> rising food insecurity, indicate the need for updated empirical assessment using nonlinear methods focused specifically on food inflation.</w:t>
      </w:r>
    </w:p>
    <w:p w:rsidR="00B95236" w:rsidRDefault="00352188" w:rsidP="00352188">
      <w:pPr>
        <w:pStyle w:val="Body"/>
        <w:spacing w:after="0"/>
        <w:rPr>
          <w:rFonts w:ascii="Arial" w:hAnsi="Arial" w:cs="Arial"/>
        </w:rPr>
      </w:pPr>
      <w:r w:rsidRPr="00352188">
        <w:rPr>
          <w:rFonts w:ascii="Arial" w:hAnsi="Arial" w:cs="Arial"/>
        </w:rPr>
        <w:t>This study addresses this gap by examining the asymmetric effects of oil price shocks on food inflation in Nigeria using a nonlinear autoregressive distributed lag framework. It evaluates whether food inflation responds differently to increases and decreases in oil prices in both the short run and long run, providing evidence relevant for inflation management and food security policy.</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352188" w:rsidRPr="00352188">
        <w:rPr>
          <w:rFonts w:ascii="Arial" w:hAnsi="Arial" w:cs="Arial"/>
        </w:rPr>
        <w:t>Literature Review</w:t>
      </w:r>
    </w:p>
    <w:p w:rsidR="00790ADA" w:rsidRPr="00FB3A86" w:rsidRDefault="00790ADA" w:rsidP="00441B6F">
      <w:pPr>
        <w:pStyle w:val="AbstHead"/>
        <w:spacing w:after="0"/>
        <w:jc w:val="both"/>
        <w:rPr>
          <w:rFonts w:ascii="Arial" w:hAnsi="Arial" w:cs="Arial"/>
        </w:rPr>
      </w:pPr>
    </w:p>
    <w:p w:rsidR="00352188" w:rsidRPr="00352188" w:rsidRDefault="00352188" w:rsidP="00352188">
      <w:pPr>
        <w:pStyle w:val="Body"/>
        <w:rPr>
          <w:rFonts w:ascii="Arial" w:hAnsi="Arial" w:cs="Arial"/>
        </w:rPr>
      </w:pPr>
      <w:r w:rsidRPr="00352188">
        <w:rPr>
          <w:rFonts w:ascii="Arial" w:hAnsi="Arial" w:cs="Arial"/>
        </w:rPr>
        <w:t>The relationship between oil price movements and inflation has received considerable attention in macroeconomic literature due to the central role of energy in production, transportation</w:t>
      </w:r>
      <w:r w:rsidR="00E10AD9">
        <w:rPr>
          <w:rFonts w:ascii="Arial" w:hAnsi="Arial" w:cs="Arial"/>
        </w:rPr>
        <w:t xml:space="preserve"> and</w:t>
      </w:r>
      <w:r w:rsidRPr="00352188">
        <w:rPr>
          <w:rFonts w:ascii="Arial" w:hAnsi="Arial" w:cs="Arial"/>
        </w:rPr>
        <w:t xml:space="preserve"> distribution systems. Empirical evidence generally suggests that oil price shocks significantly influence inflation dynamics, although the magnitude, direction</w:t>
      </w:r>
      <w:r w:rsidR="00E10AD9">
        <w:rPr>
          <w:rFonts w:ascii="Arial" w:hAnsi="Arial" w:cs="Arial"/>
        </w:rPr>
        <w:t xml:space="preserve"> and</w:t>
      </w:r>
      <w:r w:rsidRPr="00352188">
        <w:rPr>
          <w:rFonts w:ascii="Arial" w:hAnsi="Arial" w:cs="Arial"/>
        </w:rPr>
        <w:t xml:space="preserve"> persistence of these effects vary across countries depending on structural characteristics, exchange rate regimes, levels of import dependence</w:t>
      </w:r>
      <w:r w:rsidR="00E10AD9">
        <w:rPr>
          <w:rFonts w:ascii="Arial" w:hAnsi="Arial" w:cs="Arial"/>
        </w:rPr>
        <w:t xml:space="preserve"> and</w:t>
      </w:r>
      <w:r w:rsidRPr="00352188">
        <w:rPr>
          <w:rFonts w:ascii="Arial" w:hAnsi="Arial" w:cs="Arial"/>
        </w:rPr>
        <w:t xml:space="preserve"> monetary policy conditions. Recent global evidence from the International Monetary Fund (2025) indicates that energy price shocks remain major drivers of inflation in both advanced and developing economies, with transmission occurring primarily through production costs and exchange rate adjustments. The report further notes that inflation persistence in developing economies is often amplified by weak monetary policy credibility and heavy import dependence, which strengthen the </w:t>
      </w:r>
      <w:r w:rsidR="00600D13">
        <w:rPr>
          <w:rFonts w:ascii="Arial" w:hAnsi="Arial" w:cs="Arial"/>
        </w:rPr>
        <w:t>pass-through</w:t>
      </w:r>
      <w:r w:rsidRPr="00352188">
        <w:rPr>
          <w:rFonts w:ascii="Arial" w:hAnsi="Arial" w:cs="Arial"/>
        </w:rPr>
        <w:t xml:space="preserve"> from global commodity prices to domestic inflation. Similarly, the World Bank (2024) reported that</w:t>
      </w:r>
      <w:r w:rsidR="00600D13">
        <w:rPr>
          <w:rFonts w:ascii="Arial" w:hAnsi="Arial" w:cs="Arial"/>
        </w:rPr>
        <w:t xml:space="preserve"> </w:t>
      </w:r>
      <w:r w:rsidR="00600D13">
        <w:t>inflationary shocks originating from global commodity markets are unevenly transmitted across sectors and households</w:t>
      </w:r>
      <w:r w:rsidRPr="00352188">
        <w:rPr>
          <w:rFonts w:ascii="Arial" w:hAnsi="Arial" w:cs="Arial"/>
        </w:rPr>
        <w:t xml:space="preserve"> with food and energy prices experiencing the strongest </w:t>
      </w:r>
      <w:r w:rsidR="00600D13">
        <w:rPr>
          <w:rFonts w:ascii="Arial" w:hAnsi="Arial" w:cs="Arial"/>
        </w:rPr>
        <w:t>pass-through</w:t>
      </w:r>
      <w:r w:rsidRPr="00352188">
        <w:rPr>
          <w:rFonts w:ascii="Arial" w:hAnsi="Arial" w:cs="Arial"/>
        </w:rPr>
        <w:t xml:space="preserve"> effects. According to the report, exchange rate volatility and supply chain inefficiencies further intensify inflationary pressures in developing economies.</w:t>
      </w:r>
    </w:p>
    <w:p w:rsidR="00352188" w:rsidRPr="00352188" w:rsidRDefault="00352188" w:rsidP="00352188">
      <w:pPr>
        <w:pStyle w:val="Body"/>
        <w:rPr>
          <w:rFonts w:ascii="Arial" w:hAnsi="Arial" w:cs="Arial"/>
        </w:rPr>
      </w:pPr>
      <w:r w:rsidRPr="00352188">
        <w:rPr>
          <w:rFonts w:ascii="Arial" w:hAnsi="Arial" w:cs="Arial"/>
        </w:rPr>
        <w:t>Oil price shocks are transmitted to domestic inflation through several channels, including rising production costs, transportation costs, exchange rate depreciation</w:t>
      </w:r>
      <w:r w:rsidR="00E10AD9">
        <w:rPr>
          <w:rFonts w:ascii="Arial" w:hAnsi="Arial" w:cs="Arial"/>
        </w:rPr>
        <w:t xml:space="preserve"> and</w:t>
      </w:r>
      <w:r w:rsidRPr="00352188">
        <w:rPr>
          <w:rFonts w:ascii="Arial" w:hAnsi="Arial" w:cs="Arial"/>
        </w:rPr>
        <w:t xml:space="preserve"> inflation expectations. These transmission mechanisms are particularly pronounced in economies characterized by limited refining capacity and heavy dependence on imported petroleum products. Empirical studies provide substantial evidence supporting these channels across developing economies. Hussain et al. (2025), using macroeconomic time series analysis for Pakistan, </w:t>
      </w:r>
      <w:r w:rsidR="00600D13">
        <w:rPr>
          <w:rFonts w:ascii="Arial" w:hAnsi="Arial" w:cs="Arial"/>
        </w:rPr>
        <w:t>reported that</w:t>
      </w:r>
      <w:r w:rsidRPr="00352188">
        <w:rPr>
          <w:rFonts w:ascii="Arial" w:hAnsi="Arial" w:cs="Arial"/>
        </w:rPr>
        <w:t xml:space="preserve"> inflation is significantly influenced by imported price pressures and external cost shocks, with exchange rate movements amplifying inflation transmission during periods of macroeconomic instability. Similarly, Agyapong and </w:t>
      </w:r>
      <w:proofErr w:type="spellStart"/>
      <w:r w:rsidRPr="00352188">
        <w:rPr>
          <w:rFonts w:ascii="Arial" w:hAnsi="Arial" w:cs="Arial"/>
        </w:rPr>
        <w:t>Ayamga</w:t>
      </w:r>
      <w:proofErr w:type="spellEnd"/>
      <w:r w:rsidRPr="00352188">
        <w:rPr>
          <w:rFonts w:ascii="Arial" w:hAnsi="Arial" w:cs="Arial"/>
        </w:rPr>
        <w:t xml:space="preserve"> (2025), employing panel econometric techniques for net oil importing economies, reported that oil price volatility significantly increases inflation persistence through exchange rate movements and import cost channels. In Nigeria, Adenuga et al. (2012), using a vector autoregression framework, </w:t>
      </w:r>
      <w:r w:rsidR="00600D13">
        <w:rPr>
          <w:rFonts w:ascii="Arial" w:hAnsi="Arial" w:cs="Arial"/>
        </w:rPr>
        <w:t>observed</w:t>
      </w:r>
      <w:r w:rsidRPr="00352188">
        <w:rPr>
          <w:rFonts w:ascii="Arial" w:hAnsi="Arial" w:cs="Arial"/>
        </w:rPr>
        <w:t xml:space="preserve"> oil price shocks and exchange rate depreciation significantly transmit to inflation through rising import costs and domestic price adjustments. </w:t>
      </w:r>
      <w:r w:rsidR="00600D13">
        <w:t>Likewise, Zubair et al. (2013), applying an econometric time series approach, reported that oil price shocks exert stronger inflationary effects during periods of fiscal stress and exchange rate depreciation. Their findings suggest that macroeconomic fragility intensifies</w:t>
      </w:r>
      <w:r w:rsidRPr="00352188">
        <w:rPr>
          <w:rFonts w:ascii="Arial" w:hAnsi="Arial" w:cs="Arial"/>
        </w:rPr>
        <w:t xml:space="preserve"> inflation transmission mechanisms. Consistent with these findings, </w:t>
      </w:r>
      <w:proofErr w:type="spellStart"/>
      <w:r w:rsidRPr="00352188">
        <w:rPr>
          <w:rFonts w:ascii="Arial" w:hAnsi="Arial" w:cs="Arial"/>
        </w:rPr>
        <w:t>Akinlo</w:t>
      </w:r>
      <w:proofErr w:type="spellEnd"/>
      <w:r w:rsidRPr="00352188">
        <w:rPr>
          <w:rFonts w:ascii="Arial" w:hAnsi="Arial" w:cs="Arial"/>
        </w:rPr>
        <w:t xml:space="preserve"> (2012), using a vector autoregression model, found that oil price shocks significantly affect inflation and output in Nigeria, with exchange rate </w:t>
      </w:r>
      <w:r w:rsidRPr="00352188">
        <w:rPr>
          <w:rFonts w:ascii="Arial" w:hAnsi="Arial" w:cs="Arial"/>
        </w:rPr>
        <w:lastRenderedPageBreak/>
        <w:t xml:space="preserve">movements serving as a major transmission channel linking external oil price fluctuations to domestic macroeconomic conditions. In a related study, </w:t>
      </w:r>
      <w:proofErr w:type="spellStart"/>
      <w:r w:rsidRPr="00352188">
        <w:rPr>
          <w:rFonts w:ascii="Arial" w:hAnsi="Arial" w:cs="Arial"/>
        </w:rPr>
        <w:t>Kilishi</w:t>
      </w:r>
      <w:proofErr w:type="spellEnd"/>
      <w:r w:rsidRPr="00352188">
        <w:rPr>
          <w:rFonts w:ascii="Arial" w:hAnsi="Arial" w:cs="Arial"/>
        </w:rPr>
        <w:t xml:space="preserve"> (2010) examined the effects of oil price shocks on key macroeconomic variables in Nigeria using a vector autoregression framework and found significant impacts on output, money supply</w:t>
      </w:r>
      <w:r w:rsidR="00E10AD9">
        <w:rPr>
          <w:rFonts w:ascii="Arial" w:hAnsi="Arial" w:cs="Arial"/>
        </w:rPr>
        <w:t xml:space="preserve"> and</w:t>
      </w:r>
      <w:r w:rsidRPr="00352188">
        <w:rPr>
          <w:rFonts w:ascii="Arial" w:hAnsi="Arial" w:cs="Arial"/>
        </w:rPr>
        <w:t xml:space="preserve"> unemployment, although the direct effect on consumer prices was comparatively weaker.</w:t>
      </w:r>
    </w:p>
    <w:p w:rsidR="00352188" w:rsidRPr="00352188" w:rsidRDefault="00352188" w:rsidP="00352188">
      <w:pPr>
        <w:pStyle w:val="Body"/>
        <w:rPr>
          <w:rFonts w:ascii="Arial" w:hAnsi="Arial" w:cs="Arial"/>
        </w:rPr>
      </w:pPr>
      <w:r w:rsidRPr="00352188">
        <w:rPr>
          <w:rFonts w:ascii="Arial" w:hAnsi="Arial" w:cs="Arial"/>
        </w:rPr>
        <w:t xml:space="preserve">A growing body of empirical literature has shifted attention toward nonlinear and asymmetric relationships between oil price shocks and inflation dynamics. </w:t>
      </w:r>
      <w:r w:rsidR="00600D13">
        <w:t xml:space="preserve">This shift has been motivated by the argument that increases and decreases in oil prices may not generate equal responses </w:t>
      </w:r>
      <w:r w:rsidRPr="00352188">
        <w:rPr>
          <w:rFonts w:ascii="Arial" w:hAnsi="Arial" w:cs="Arial"/>
        </w:rPr>
        <w:t xml:space="preserve">in domestic prices due to structural rigidities, exchange rate </w:t>
      </w:r>
      <w:r w:rsidR="00600D13">
        <w:rPr>
          <w:rFonts w:ascii="Arial" w:hAnsi="Arial" w:cs="Arial"/>
        </w:rPr>
        <w:t>pass-through</w:t>
      </w:r>
      <w:r w:rsidRPr="00352188">
        <w:rPr>
          <w:rFonts w:ascii="Arial" w:hAnsi="Arial" w:cs="Arial"/>
        </w:rPr>
        <w:t>, market imperfections</w:t>
      </w:r>
      <w:r w:rsidR="00E10AD9">
        <w:rPr>
          <w:rFonts w:ascii="Arial" w:hAnsi="Arial" w:cs="Arial"/>
        </w:rPr>
        <w:t xml:space="preserve"> and</w:t>
      </w:r>
      <w:r w:rsidRPr="00352188">
        <w:rPr>
          <w:rFonts w:ascii="Arial" w:hAnsi="Arial" w:cs="Arial"/>
        </w:rPr>
        <w:t xml:space="preserve"> price stickiness. In many developing economies, rising oil prices are rapidly transmitted into higher production and transportation costs, while reductions in oil prices often fail to produce proportionate declines in domestic prices. Using a structural vector autoregression framework with Nigerian monthly data, </w:t>
      </w:r>
      <w:proofErr w:type="spellStart"/>
      <w:r w:rsidRPr="00352188">
        <w:rPr>
          <w:rFonts w:ascii="Arial" w:hAnsi="Arial" w:cs="Arial"/>
        </w:rPr>
        <w:t>Mordi</w:t>
      </w:r>
      <w:proofErr w:type="spellEnd"/>
      <w:r w:rsidRPr="00352188">
        <w:rPr>
          <w:rFonts w:ascii="Arial" w:hAnsi="Arial" w:cs="Arial"/>
        </w:rPr>
        <w:t xml:space="preserve"> and Adebiyi (2010) found that oil price declines generated stronger macroeconomic responses than oil price increases, indicating nonlinear adjustment mechanisms. Similarly, </w:t>
      </w:r>
      <w:proofErr w:type="spellStart"/>
      <w:r w:rsidRPr="00352188">
        <w:rPr>
          <w:rFonts w:ascii="Arial" w:hAnsi="Arial" w:cs="Arial"/>
        </w:rPr>
        <w:t>Omolade</w:t>
      </w:r>
      <w:proofErr w:type="spellEnd"/>
      <w:r w:rsidRPr="00352188">
        <w:rPr>
          <w:rFonts w:ascii="Arial" w:hAnsi="Arial" w:cs="Arial"/>
        </w:rPr>
        <w:t xml:space="preserve"> et al. (2019), using a panel structural vector autoregression model for African oil producing economies, reported that inflation responds differently to positive and negative oil price shocks, with stronger inflationary pressures occurring during periods of oil price decline. More recent nonlinear studies provide further evidence supporting asymmetric adjustment. </w:t>
      </w:r>
      <w:proofErr w:type="spellStart"/>
      <w:r w:rsidRPr="00352188">
        <w:rPr>
          <w:rFonts w:ascii="Arial" w:hAnsi="Arial" w:cs="Arial"/>
        </w:rPr>
        <w:t>Bawa</w:t>
      </w:r>
      <w:proofErr w:type="spellEnd"/>
      <w:r w:rsidRPr="00352188">
        <w:rPr>
          <w:rFonts w:ascii="Arial" w:hAnsi="Arial" w:cs="Arial"/>
        </w:rPr>
        <w:t xml:space="preserve"> et al. (2020), using a nonlinear autoregressive distributed lag model, </w:t>
      </w:r>
      <w:r w:rsidR="00600D13">
        <w:rPr>
          <w:rFonts w:ascii="Arial" w:hAnsi="Arial" w:cs="Arial"/>
        </w:rPr>
        <w:t>observed</w:t>
      </w:r>
      <w:r w:rsidRPr="00352188">
        <w:rPr>
          <w:rFonts w:ascii="Arial" w:hAnsi="Arial" w:cs="Arial"/>
        </w:rPr>
        <w:t xml:space="preserve"> positive oil price shocks significantly increase headline, core</w:t>
      </w:r>
      <w:r w:rsidR="00E10AD9">
        <w:rPr>
          <w:rFonts w:ascii="Arial" w:hAnsi="Arial" w:cs="Arial"/>
        </w:rPr>
        <w:t xml:space="preserve"> and</w:t>
      </w:r>
      <w:r w:rsidRPr="00352188">
        <w:rPr>
          <w:rFonts w:ascii="Arial" w:hAnsi="Arial" w:cs="Arial"/>
        </w:rPr>
        <w:t xml:space="preserve"> food inflation in Nigeria, while negative shocks reduce inflationary pressures. Their findings further revealed that exchange rate depreciation partially amplifies inflation transmission. Similarly, </w:t>
      </w:r>
      <w:proofErr w:type="spellStart"/>
      <w:r w:rsidRPr="00352188">
        <w:rPr>
          <w:rFonts w:ascii="Arial" w:hAnsi="Arial" w:cs="Arial"/>
        </w:rPr>
        <w:t>Lacheheb</w:t>
      </w:r>
      <w:proofErr w:type="spellEnd"/>
      <w:r w:rsidRPr="00352188">
        <w:rPr>
          <w:rFonts w:ascii="Arial" w:hAnsi="Arial" w:cs="Arial"/>
        </w:rPr>
        <w:t xml:space="preserve"> and </w:t>
      </w:r>
      <w:proofErr w:type="spellStart"/>
      <w:r w:rsidRPr="00352188">
        <w:rPr>
          <w:rFonts w:ascii="Arial" w:hAnsi="Arial" w:cs="Arial"/>
        </w:rPr>
        <w:t>Sirag</w:t>
      </w:r>
      <w:proofErr w:type="spellEnd"/>
      <w:r w:rsidRPr="00352188">
        <w:rPr>
          <w:rFonts w:ascii="Arial" w:hAnsi="Arial" w:cs="Arial"/>
        </w:rPr>
        <w:t xml:space="preserve"> (2016), applying the nonlinear autoregressive distributed lag framework to Algeria, </w:t>
      </w:r>
      <w:r w:rsidR="00600D13">
        <w:rPr>
          <w:rFonts w:ascii="Arial" w:hAnsi="Arial" w:cs="Arial"/>
        </w:rPr>
        <w:t>showed</w:t>
      </w:r>
      <w:r w:rsidRPr="00352188">
        <w:rPr>
          <w:rFonts w:ascii="Arial" w:hAnsi="Arial" w:cs="Arial"/>
        </w:rPr>
        <w:t xml:space="preserve"> oil price increases significantly affect inflation, whereas oil price decreases exert weaker and statistically insignificant effects. Ibrahim (2015), using a nonlinear autoregressive distributed lag model for Malaysia, documented significant short run and long run asymmetries between oil prices and food prices, confirming that food inflation responds asymmetrically to energy price movements. </w:t>
      </w:r>
      <w:proofErr w:type="spellStart"/>
      <w:r w:rsidRPr="00352188">
        <w:rPr>
          <w:rFonts w:ascii="Arial" w:hAnsi="Arial" w:cs="Arial"/>
        </w:rPr>
        <w:t>Sa’ad</w:t>
      </w:r>
      <w:proofErr w:type="spellEnd"/>
      <w:r w:rsidRPr="00352188">
        <w:rPr>
          <w:rFonts w:ascii="Arial" w:hAnsi="Arial" w:cs="Arial"/>
        </w:rPr>
        <w:t xml:space="preserve"> et al. (2023), applying the nonlinear autoregressive distributed lag model to Nigeria, reported </w:t>
      </w:r>
      <w:proofErr w:type="spellStart"/>
      <w:r w:rsidRPr="00352188">
        <w:rPr>
          <w:rFonts w:ascii="Arial" w:hAnsi="Arial" w:cs="Arial"/>
        </w:rPr>
        <w:t>that</w:t>
      </w:r>
      <w:r w:rsidR="00600D13">
        <w:t>positive</w:t>
      </w:r>
      <w:proofErr w:type="spellEnd"/>
      <w:r w:rsidR="00600D13">
        <w:t xml:space="preserve"> oil price shocks and exchange rate depreciation exert stronger inflationary effects than negative oil price shocks and exchange rate appreciation</w:t>
      </w:r>
      <w:r w:rsidRPr="00352188">
        <w:rPr>
          <w:rFonts w:ascii="Arial" w:hAnsi="Arial" w:cs="Arial"/>
        </w:rPr>
        <w:t xml:space="preserve">. Likewise, </w:t>
      </w:r>
      <w:proofErr w:type="spellStart"/>
      <w:r w:rsidRPr="00352188">
        <w:rPr>
          <w:rFonts w:ascii="Arial" w:hAnsi="Arial" w:cs="Arial"/>
        </w:rPr>
        <w:t>Ihugba</w:t>
      </w:r>
      <w:proofErr w:type="spellEnd"/>
      <w:r w:rsidRPr="00352188">
        <w:rPr>
          <w:rFonts w:ascii="Arial" w:hAnsi="Arial" w:cs="Arial"/>
        </w:rPr>
        <w:t xml:space="preserve"> and </w:t>
      </w:r>
      <w:proofErr w:type="spellStart"/>
      <w:r w:rsidRPr="00352188">
        <w:rPr>
          <w:rFonts w:ascii="Arial" w:hAnsi="Arial" w:cs="Arial"/>
        </w:rPr>
        <w:t>Adefabi</w:t>
      </w:r>
      <w:proofErr w:type="spellEnd"/>
      <w:r w:rsidRPr="00352188">
        <w:rPr>
          <w:rFonts w:ascii="Arial" w:hAnsi="Arial" w:cs="Arial"/>
        </w:rPr>
        <w:t xml:space="preserve"> (2025) </w:t>
      </w:r>
      <w:r w:rsidR="00600D13">
        <w:rPr>
          <w:rFonts w:ascii="Arial" w:hAnsi="Arial" w:cs="Arial"/>
        </w:rPr>
        <w:t>reported that</w:t>
      </w:r>
      <w:r w:rsidRPr="00352188">
        <w:rPr>
          <w:rFonts w:ascii="Arial" w:hAnsi="Arial" w:cs="Arial"/>
        </w:rPr>
        <w:t xml:space="preserve"> positive oil price shocks generate stronger inflationary pressures than negative shocks in Nigeria. Beyond inflation dynamics, </w:t>
      </w:r>
      <w:proofErr w:type="spellStart"/>
      <w:r w:rsidRPr="00352188">
        <w:rPr>
          <w:rFonts w:ascii="Arial" w:hAnsi="Arial" w:cs="Arial"/>
        </w:rPr>
        <w:t>Omojolaibi</w:t>
      </w:r>
      <w:proofErr w:type="spellEnd"/>
      <w:r w:rsidRPr="00352188">
        <w:rPr>
          <w:rFonts w:ascii="Arial" w:hAnsi="Arial" w:cs="Arial"/>
        </w:rPr>
        <w:t xml:space="preserve"> and </w:t>
      </w:r>
      <w:proofErr w:type="spellStart"/>
      <w:r w:rsidRPr="00352188">
        <w:rPr>
          <w:rFonts w:ascii="Arial" w:hAnsi="Arial" w:cs="Arial"/>
        </w:rPr>
        <w:t>Egwaikhide</w:t>
      </w:r>
      <w:proofErr w:type="spellEnd"/>
      <w:r w:rsidRPr="00352188">
        <w:rPr>
          <w:rFonts w:ascii="Arial" w:hAnsi="Arial" w:cs="Arial"/>
        </w:rPr>
        <w:t xml:space="preserve"> (2013), using a panel vector autoregression framework for African oil exporting countries, found that oil price volatility significantly affects macroeconomic performance primarily through investment channels rather than direct output effects. At the sectoral level, </w:t>
      </w:r>
      <w:proofErr w:type="spellStart"/>
      <w:r w:rsidRPr="00352188">
        <w:rPr>
          <w:rFonts w:ascii="Arial" w:hAnsi="Arial" w:cs="Arial"/>
        </w:rPr>
        <w:t>Bobai</w:t>
      </w:r>
      <w:proofErr w:type="spellEnd"/>
      <w:r w:rsidRPr="00352188">
        <w:rPr>
          <w:rFonts w:ascii="Arial" w:hAnsi="Arial" w:cs="Arial"/>
        </w:rPr>
        <w:t xml:space="preserve"> (2012), using regression based time series analysis, </w:t>
      </w:r>
      <w:r w:rsidR="00600D13">
        <w:rPr>
          <w:rFonts w:ascii="Arial" w:hAnsi="Arial" w:cs="Arial"/>
        </w:rPr>
        <w:t>documented</w:t>
      </w:r>
      <w:r w:rsidRPr="00352188">
        <w:rPr>
          <w:rFonts w:ascii="Arial" w:hAnsi="Arial" w:cs="Arial"/>
        </w:rPr>
        <w:t xml:space="preserve"> increases in domestic petroleum prices significantly contribute to inflation in Nigeria, with premium motor spirit exerting the strongest effect on consumer prices. Similarly, </w:t>
      </w:r>
      <w:proofErr w:type="spellStart"/>
      <w:r w:rsidRPr="00352188">
        <w:rPr>
          <w:rFonts w:ascii="Arial" w:hAnsi="Arial" w:cs="Arial"/>
        </w:rPr>
        <w:t>Raifu</w:t>
      </w:r>
      <w:proofErr w:type="spellEnd"/>
      <w:r w:rsidRPr="00352188">
        <w:rPr>
          <w:rFonts w:ascii="Arial" w:hAnsi="Arial" w:cs="Arial"/>
        </w:rPr>
        <w:t xml:space="preserve"> and Afolabi (2023), applying the Dynamic Simulated Autoregressive Distributed Lag framework, reported that fuel subsidy removal generates persistent inflationary pressures through transportation and food price channels. Adeyemi et al. (2024), using a nonlinear modelling approach, also found asymmetric effects of oil price shocks on sustainable development outcomes in Nigeria, indicating that positive and negative oil price changes produce different macroeconomic outcomes.</w:t>
      </w:r>
    </w:p>
    <w:p w:rsidR="00352188" w:rsidRDefault="00352188" w:rsidP="00352188">
      <w:pPr>
        <w:pStyle w:val="Body"/>
        <w:spacing w:after="0"/>
        <w:rPr>
          <w:rFonts w:ascii="Arial" w:hAnsi="Arial" w:cs="Arial"/>
        </w:rPr>
      </w:pPr>
      <w:r w:rsidRPr="00352188">
        <w:rPr>
          <w:rFonts w:ascii="Arial" w:hAnsi="Arial" w:cs="Arial"/>
        </w:rPr>
        <w:t>Across these studies, three major conclusions emerge. First, oil price shocks significantly influence inflation and macroeconomic activity in oil dependent economies through exchange rate movements, transportation costs, fuel pricing</w:t>
      </w:r>
      <w:r w:rsidR="00E10AD9">
        <w:rPr>
          <w:rFonts w:ascii="Arial" w:hAnsi="Arial" w:cs="Arial"/>
        </w:rPr>
        <w:t xml:space="preserve"> and</w:t>
      </w:r>
      <w:r w:rsidRPr="00352188">
        <w:rPr>
          <w:rFonts w:ascii="Arial" w:hAnsi="Arial" w:cs="Arial"/>
        </w:rPr>
        <w:t xml:space="preserve"> production channels. Second, inflationary responses to oil price changes are frequently asymmetric, with positive and negative oil price shocks producing different macroeconomic effects. Third, nonlinear econometric models capture these dynamics more effectively than linear specifications, </w:t>
      </w:r>
      <w:r w:rsidRPr="00352188">
        <w:rPr>
          <w:rFonts w:ascii="Arial" w:hAnsi="Arial" w:cs="Arial"/>
        </w:rPr>
        <w:lastRenderedPageBreak/>
        <w:t>particularly when examining sector specific variables such as food inflation. Despite this growing body of evidence, important gaps remain. Most existing studies focus primarily on aggregate inflation and broader macroeconomic indicators, while relatively limited attention has been given to food inflation specifically, despite its direct welfare implications for households. In addition, many earlier studies rely on linear modelling frameworks that may not adequately capture asymmetric adjustment processes. Furthermore, recent structural developments in Nigeria, including fuel subsidy reforms, exchange rate volatility</w:t>
      </w:r>
      <w:r w:rsidR="00E10AD9">
        <w:rPr>
          <w:rFonts w:ascii="Arial" w:hAnsi="Arial" w:cs="Arial"/>
        </w:rPr>
        <w:t xml:space="preserve"> and</w:t>
      </w:r>
      <w:r w:rsidRPr="00352188">
        <w:rPr>
          <w:rFonts w:ascii="Arial" w:hAnsi="Arial" w:cs="Arial"/>
        </w:rPr>
        <w:t xml:space="preserve"> rising food insecurity, suggest the need for updated empirical evidence using nonlinear approaches focused specifically on food inflation dynamics. This study addresses these gaps by applying the nonlinear autoregressive distributed lag framework to examine the asymmetric effects of oil price shocks on food inflation in Nigeria. </w:t>
      </w:r>
    </w:p>
    <w:p w:rsidR="00505F06" w:rsidRDefault="00505F06" w:rsidP="00441B6F">
      <w:pPr>
        <w:pStyle w:val="Body"/>
        <w:spacing w:after="0"/>
        <w:rPr>
          <w:rFonts w:ascii="Arial" w:hAnsi="Arial" w:cs="Arial"/>
        </w:rPr>
      </w:pPr>
    </w:p>
    <w:p w:rsidR="001D2CC7" w:rsidRDefault="001D2CC7" w:rsidP="001D2CC7">
      <w:pPr>
        <w:pStyle w:val="Head1"/>
        <w:spacing w:after="0"/>
        <w:jc w:val="both"/>
        <w:rPr>
          <w:rFonts w:ascii="Arial" w:hAnsi="Arial" w:cs="Arial"/>
        </w:rPr>
      </w:pPr>
      <w:r>
        <w:rPr>
          <w:rFonts w:ascii="Arial" w:hAnsi="Arial" w:cs="Arial"/>
        </w:rPr>
        <w:t xml:space="preserve">3. </w:t>
      </w:r>
      <w:r w:rsidRPr="001D2CC7">
        <w:rPr>
          <w:rFonts w:ascii="Arial" w:hAnsi="Arial" w:cs="Arial"/>
        </w:rPr>
        <w:t xml:space="preserve">Methodology </w:t>
      </w:r>
    </w:p>
    <w:p w:rsidR="001D2CC7" w:rsidRDefault="001D2CC7" w:rsidP="001D2CC7">
      <w:pPr>
        <w:spacing w:line="360" w:lineRule="auto"/>
        <w:jc w:val="both"/>
        <w:rPr>
          <w:rFonts w:ascii="Arial" w:hAnsi="Arial" w:cs="Arial"/>
        </w:rPr>
      </w:pPr>
    </w:p>
    <w:p w:rsidR="001D2CC7" w:rsidRPr="001D2CC7" w:rsidRDefault="001D2CC7" w:rsidP="001D2CC7">
      <w:pPr>
        <w:jc w:val="both"/>
        <w:rPr>
          <w:rFonts w:ascii="Arial" w:hAnsi="Arial" w:cs="Arial"/>
        </w:rPr>
      </w:pPr>
      <w:r w:rsidRPr="001D2CC7">
        <w:rPr>
          <w:rFonts w:ascii="Arial" w:hAnsi="Arial" w:cs="Arial"/>
        </w:rPr>
        <w:t xml:space="preserve">This study investigates the asymmetric effects of oil price shocks on food inflation in Nigeria using the nonlinear autoregressive distributed lag (NARDL) framework proposed by Shin et al. The NARDL approach is appropriate because it allows for the decomposition of oil price movements into positive and negative changes, thereby capturing potential asymmetric adjustments in food inflation arising from structural rigidities, transportation costs, exchange rate </w:t>
      </w:r>
      <w:r w:rsidR="00600D13">
        <w:rPr>
          <w:rFonts w:ascii="Arial" w:hAnsi="Arial" w:cs="Arial"/>
        </w:rPr>
        <w:t>pass-through</w:t>
      </w:r>
      <w:r w:rsidRPr="001D2CC7">
        <w:rPr>
          <w:rFonts w:ascii="Arial" w:hAnsi="Arial" w:cs="Arial"/>
        </w:rPr>
        <w:t xml:space="preserve"> effects</w:t>
      </w:r>
      <w:r w:rsidR="00E10AD9">
        <w:rPr>
          <w:rFonts w:ascii="Arial" w:hAnsi="Arial" w:cs="Arial"/>
        </w:rPr>
        <w:t xml:space="preserve"> and</w:t>
      </w:r>
      <w:r w:rsidRPr="001D2CC7">
        <w:rPr>
          <w:rFonts w:ascii="Arial" w:hAnsi="Arial" w:cs="Arial"/>
        </w:rPr>
        <w:t xml:space="preserve"> market imperfections in the Nigerian economy. Given that petroleum products are key inputs in agricultural production, processing, storage</w:t>
      </w:r>
      <w:r w:rsidR="00E10AD9">
        <w:rPr>
          <w:rFonts w:ascii="Arial" w:hAnsi="Arial" w:cs="Arial"/>
        </w:rPr>
        <w:t xml:space="preserve"> and</w:t>
      </w:r>
      <w:r w:rsidRPr="001D2CC7">
        <w:rPr>
          <w:rFonts w:ascii="Arial" w:hAnsi="Arial" w:cs="Arial"/>
        </w:rPr>
        <w:t xml:space="preserve"> distribution, oil price fluctuations are expected to transmit to food prices through cost channels.</w:t>
      </w:r>
    </w:p>
    <w:p w:rsidR="001D2CC7" w:rsidRPr="001D2CC7" w:rsidRDefault="001D2CC7" w:rsidP="001D2CC7">
      <w:pPr>
        <w:rPr>
          <w:rFonts w:ascii="Arial" w:hAnsi="Arial" w:cs="Arial"/>
        </w:rPr>
      </w:pPr>
      <w:r w:rsidRPr="001D2CC7">
        <w:rPr>
          <w:rFonts w:ascii="Arial" w:hAnsi="Arial" w:cs="Arial"/>
        </w:rPr>
        <w:t>The empirical relationship between food inflation and oil prices is specified as:</w:t>
      </w:r>
    </w:p>
    <w:p w:rsidR="001D2CC7" w:rsidRPr="001D2CC7" w:rsidRDefault="004B4CA2" w:rsidP="001D2CC7">
      <w:pPr>
        <w:rPr>
          <w:rFonts w:ascii="Arial" w:hAnsi="Arial" w:cs="Arial"/>
        </w:rPr>
      </w:pPr>
      <m:oMathPara>
        <m:oMathParaPr>
          <m:jc m:val="right"/>
        </m:oMathParaPr>
        <m:oMath>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m:t>
              </m:r>
            </m:sub>
          </m:sSub>
          <m:r>
            <m:rPr>
              <m:sty m:val="p"/>
            </m:rPr>
            <w:rPr>
              <w:rFonts w:ascii="Cambria Math" w:hAnsi="Cambria Math" w:cs="Arial"/>
            </w:rPr>
            <m:t>=f</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OP</m:t>
                  </m:r>
                </m:e>
                <m:sub>
                  <m:r>
                    <m:rPr>
                      <m:sty m:val="p"/>
                    </m:rPr>
                    <w:rPr>
                      <w:rFonts w:ascii="Cambria Math" w:hAnsi="Cambria Math" w:cs="Arial"/>
                    </w:rPr>
                    <m:t>t</m:t>
                  </m:r>
                </m:sub>
              </m:sSub>
            </m:e>
          </m:d>
          <m:r>
            <m:rPr>
              <m:sty m:val="p"/>
            </m:rPr>
            <w:rPr>
              <w:rFonts w:ascii="Cambria Math" w:hAnsi="Cambria Math" w:cs="Arial"/>
            </w:rPr>
            <m:t xml:space="preserve">                                                                                                  (1)</m:t>
          </m:r>
        </m:oMath>
      </m:oMathPara>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 xml:space="preserve">where </w:t>
      </w:r>
      <m:oMath>
        <m:sSub>
          <m:sSubPr>
            <m:ctrlPr>
              <w:rPr>
                <w:rFonts w:ascii="Cambria Math" w:hAnsi="Cambria Math" w:cs="Arial"/>
                <w:sz w:val="20"/>
                <w:szCs w:val="20"/>
              </w:rPr>
            </m:ctrlPr>
          </m:sSubPr>
          <m:e>
            <m:r>
              <m:rPr>
                <m:sty m:val="p"/>
              </m:rPr>
              <w:rPr>
                <w:rFonts w:ascii="Cambria Math" w:hAnsi="Cambria Math" w:cs="Arial"/>
                <w:sz w:val="20"/>
                <w:szCs w:val="20"/>
              </w:rPr>
              <m:t>FI</m:t>
            </m:r>
          </m:e>
          <m:sub>
            <m:r>
              <m:rPr>
                <m:sty m:val="p"/>
              </m:rPr>
              <w:rPr>
                <w:rFonts w:ascii="Cambria Math" w:hAnsi="Cambria Math" w:cs="Arial"/>
                <w:sz w:val="20"/>
                <w:szCs w:val="20"/>
              </w:rPr>
              <m:t>t</m:t>
            </m:r>
          </m:sub>
        </m:sSub>
      </m:oMath>
      <w:r w:rsidRPr="001D2CC7">
        <w:rPr>
          <w:rFonts w:ascii="Arial" w:hAnsi="Arial" w:cs="Arial"/>
          <w:sz w:val="20"/>
          <w:szCs w:val="20"/>
        </w:rPr>
        <w:t xml:space="preserve"> represents food inflation and</w:t>
      </w:r>
      <m:oMath>
        <m:sSub>
          <m:sSubPr>
            <m:ctrlPr>
              <w:rPr>
                <w:rFonts w:ascii="Cambria Math" w:hAnsi="Cambria Math" w:cs="Arial"/>
                <w:sz w:val="20"/>
                <w:szCs w:val="20"/>
              </w:rPr>
            </m:ctrlPr>
          </m:sSubPr>
          <m:e>
            <m:r>
              <m:rPr>
                <m:sty m:val="p"/>
              </m:rPr>
              <w:rPr>
                <w:rFonts w:ascii="Cambria Math" w:hAnsi="Cambria Math" w:cs="Arial"/>
                <w:sz w:val="20"/>
                <w:szCs w:val="20"/>
              </w:rPr>
              <m:t>OP</m:t>
            </m:r>
          </m:e>
          <m:sub>
            <m:r>
              <m:rPr>
                <m:sty m:val="p"/>
              </m:rPr>
              <w:rPr>
                <w:rFonts w:ascii="Cambria Math" w:hAnsi="Cambria Math" w:cs="Arial"/>
                <w:sz w:val="20"/>
                <w:szCs w:val="20"/>
              </w:rPr>
              <m:t>t</m:t>
            </m:r>
          </m:sub>
        </m:sSub>
      </m:oMath>
      <w:r w:rsidRPr="001D2CC7">
        <w:rPr>
          <w:rFonts w:ascii="Arial" w:hAnsi="Arial" w:cs="Arial"/>
          <w:sz w:val="20"/>
          <w:szCs w:val="20"/>
        </w:rPr>
        <w:t>denotes crude oil price.</w:t>
      </w: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To capture asymmetric adjustment behavior, oil price changes are decomposed into positive and negative partial sums as follows:</w:t>
      </w:r>
    </w:p>
    <w:p w:rsidR="001D2CC7" w:rsidRPr="001D2CC7" w:rsidRDefault="004B4CA2" w:rsidP="001D2CC7">
      <w:pPr>
        <w:rPr>
          <w:rFonts w:ascii="Arial" w:hAnsi="Arial" w:cs="Arial"/>
        </w:rPr>
      </w:pPr>
      <m:oMathPara>
        <m:oMathParaPr>
          <m:jc m:val="right"/>
        </m:oMathParaPr>
        <m:oMath>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m:t>
              </m:r>
            </m:sub>
            <m:sup>
              <m:r>
                <m:rPr>
                  <m:sty m:val="p"/>
                </m:rPr>
                <w:rPr>
                  <w:rFonts w:ascii="Cambria Math" w:hAnsi="Cambria Math" w:cs="Arial"/>
                </w:rPr>
                <m:t>+</m:t>
              </m:r>
            </m:sup>
          </m:sSubSup>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j=1</m:t>
              </m:r>
            </m:sub>
            <m:sup>
              <m:r>
                <m:rPr>
                  <m:sty m:val="p"/>
                </m:rPr>
                <w:rPr>
                  <w:rFonts w:ascii="Cambria Math" w:hAnsi="Cambria Math" w:cs="Arial"/>
                </w:rPr>
                <m:t>t</m:t>
              </m:r>
            </m:sup>
            <m:e>
              <m:r>
                <m:rPr>
                  <m:sty m:val="p"/>
                </m:rPr>
                <w:rPr>
                  <w:rFonts w:ascii="Cambria Math" w:hAnsi="Cambria Math" w:cs="Arial"/>
                </w:rPr>
                <m:t>ma</m:t>
              </m:r>
              <m:func>
                <m:funcPr>
                  <m:ctrlPr>
                    <w:rPr>
                      <w:rFonts w:ascii="Cambria Math" w:hAnsi="Cambria Math" w:cs="Arial"/>
                    </w:rPr>
                  </m:ctrlPr>
                </m:funcPr>
                <m:fName>
                  <m:r>
                    <m:rPr>
                      <m:sty m:val="p"/>
                    </m:rPr>
                    <w:rPr>
                      <w:rFonts w:ascii="Cambria Math" w:hAnsi="Cambria Math" w:cs="Arial"/>
                    </w:rPr>
                    <m:t>x</m:t>
                  </m:r>
                </m:fName>
                <m:e>
                  <m:d>
                    <m:dPr>
                      <m:ctrlPr>
                        <w:rPr>
                          <w:rFonts w:ascii="Cambria Math" w:hAnsi="Cambria Math" w:cs="Arial"/>
                        </w:rPr>
                      </m:ctrlPr>
                    </m:dPr>
                    <m:e>
                      <m:r>
                        <m:rPr>
                          <m:sty m:val="p"/>
                        </m:rPr>
                        <w:rPr>
                          <w:rFonts w:ascii="Cambria Math" w:hAnsi="Cambria Math" w:cs="Arial"/>
                        </w:rPr>
                        <m:t>ΔOPj,0</m:t>
                      </m:r>
                    </m:e>
                  </m:d>
                </m:e>
              </m:func>
            </m:e>
          </m:nary>
          <m:r>
            <m:rPr>
              <m:sty m:val="p"/>
            </m:rPr>
            <w:rPr>
              <w:rFonts w:ascii="Cambria Math" w:hAnsi="Cambria Math" w:cs="Arial"/>
            </w:rPr>
            <m:t xml:space="preserve">                                                                             (2)</m:t>
          </m:r>
        </m:oMath>
      </m:oMathPara>
    </w:p>
    <w:p w:rsidR="001D2CC7" w:rsidRPr="001D2CC7" w:rsidRDefault="004B4CA2" w:rsidP="001D2CC7">
      <w:pPr>
        <w:rPr>
          <w:rFonts w:ascii="Arial" w:hAnsi="Arial" w:cs="Arial"/>
        </w:rPr>
      </w:pPr>
      <m:oMathPara>
        <m:oMathParaPr>
          <m:jc m:val="right"/>
        </m:oMathParaPr>
        <m:oMath>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m:t>
              </m:r>
            </m:sub>
            <m:sup>
              <m:r>
                <m:rPr>
                  <m:sty m:val="p"/>
                </m:rPr>
                <w:rPr>
                  <w:rFonts w:ascii="Cambria Math" w:hAnsi="Cambria Math" w:cs="Arial"/>
                </w:rPr>
                <m:t>-</m:t>
              </m:r>
            </m:sup>
          </m:sSubSup>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j=1</m:t>
              </m:r>
            </m:sub>
            <m:sup>
              <m:r>
                <m:rPr>
                  <m:sty m:val="p"/>
                </m:rPr>
                <w:rPr>
                  <w:rFonts w:ascii="Cambria Math" w:hAnsi="Cambria Math" w:cs="Arial"/>
                </w:rPr>
                <m:t>t</m:t>
              </m:r>
            </m:sup>
            <m:e>
              <m:func>
                <m:funcPr>
                  <m:ctrlPr>
                    <w:rPr>
                      <w:rFonts w:ascii="Cambria Math" w:hAnsi="Cambria Math" w:cs="Arial"/>
                    </w:rPr>
                  </m:ctrlPr>
                </m:funcPr>
                <m:fName>
                  <m:r>
                    <m:rPr>
                      <m:sty m:val="p"/>
                    </m:rPr>
                    <w:rPr>
                      <w:rFonts w:ascii="Cambria Math" w:hAnsi="Cambria Math" w:cs="Arial"/>
                    </w:rPr>
                    <m:t>min</m:t>
                  </m:r>
                </m:fName>
                <m:e>
                  <m:d>
                    <m:dPr>
                      <m:ctrlPr>
                        <w:rPr>
                          <w:rFonts w:ascii="Cambria Math" w:hAnsi="Cambria Math" w:cs="Arial"/>
                        </w:rPr>
                      </m:ctrlPr>
                    </m:dPr>
                    <m:e>
                      <m:r>
                        <m:rPr>
                          <m:sty m:val="p"/>
                        </m:rPr>
                        <w:rPr>
                          <w:rFonts w:ascii="Cambria Math" w:hAnsi="Cambria Math" w:cs="Arial"/>
                        </w:rPr>
                        <m:t>ΔOPj,0</m:t>
                      </m:r>
                    </m:e>
                  </m:d>
                </m:e>
              </m:func>
            </m:e>
          </m:nary>
          <m:r>
            <m:rPr>
              <m:sty m:val="p"/>
            </m:rPr>
            <w:rPr>
              <w:rFonts w:ascii="Cambria Math" w:hAnsi="Cambria Math" w:cs="Arial"/>
            </w:rPr>
            <m:t xml:space="preserve">                                                                             (3)</m:t>
          </m:r>
        </m:oMath>
      </m:oMathPara>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 xml:space="preserve">where </w:t>
      </w:r>
      <m:oMath>
        <m:sSubSup>
          <m:sSubSupPr>
            <m:ctrlPr>
              <w:rPr>
                <w:rFonts w:ascii="Cambria Math" w:hAnsi="Cambria Math" w:cs="Arial"/>
                <w:sz w:val="20"/>
                <w:szCs w:val="20"/>
              </w:rPr>
            </m:ctrlPr>
          </m:sSubSupPr>
          <m:e>
            <m:r>
              <m:rPr>
                <m:sty m:val="p"/>
              </m:rPr>
              <w:rPr>
                <w:rFonts w:ascii="Cambria Math" w:hAnsi="Cambria Math" w:cs="Arial"/>
                <w:sz w:val="20"/>
                <w:szCs w:val="20"/>
              </w:rPr>
              <m:t>OP</m:t>
            </m:r>
          </m:e>
          <m:sub>
            <m:r>
              <m:rPr>
                <m:sty m:val="p"/>
              </m:rPr>
              <w:rPr>
                <w:rFonts w:ascii="Cambria Math" w:hAnsi="Cambria Math" w:cs="Arial"/>
                <w:sz w:val="20"/>
                <w:szCs w:val="20"/>
              </w:rPr>
              <m:t>t</m:t>
            </m:r>
          </m:sub>
          <m:sup>
            <m:r>
              <m:rPr>
                <m:sty m:val="p"/>
              </m:rPr>
              <w:rPr>
                <w:rFonts w:ascii="Cambria Math" w:hAnsi="Cambria Math" w:cs="Arial"/>
                <w:sz w:val="20"/>
                <w:szCs w:val="20"/>
              </w:rPr>
              <m:t>+</m:t>
            </m:r>
          </m:sup>
        </m:sSubSup>
      </m:oMath>
      <w:r w:rsidRPr="001D2CC7">
        <w:rPr>
          <w:rFonts w:ascii="Arial" w:hAnsi="Arial" w:cs="Arial"/>
          <w:sz w:val="20"/>
          <w:szCs w:val="20"/>
        </w:rPr>
        <w:t xml:space="preserve"> captures cumulative positive oil price changes, while </w:t>
      </w:r>
      <m:oMath>
        <m:sSubSup>
          <m:sSubSupPr>
            <m:ctrlPr>
              <w:rPr>
                <w:rFonts w:ascii="Cambria Math" w:hAnsi="Cambria Math" w:cs="Arial"/>
                <w:sz w:val="20"/>
                <w:szCs w:val="20"/>
              </w:rPr>
            </m:ctrlPr>
          </m:sSubSupPr>
          <m:e>
            <m:r>
              <m:rPr>
                <m:sty m:val="p"/>
              </m:rPr>
              <w:rPr>
                <w:rFonts w:ascii="Cambria Math" w:hAnsi="Cambria Math" w:cs="Arial"/>
                <w:sz w:val="20"/>
                <w:szCs w:val="20"/>
              </w:rPr>
              <m:t>OP</m:t>
            </m:r>
          </m:e>
          <m:sub>
            <m:r>
              <m:rPr>
                <m:sty m:val="p"/>
              </m:rPr>
              <w:rPr>
                <w:rFonts w:ascii="Cambria Math" w:hAnsi="Cambria Math" w:cs="Arial"/>
                <w:sz w:val="20"/>
                <w:szCs w:val="20"/>
              </w:rPr>
              <m:t>t</m:t>
            </m:r>
          </m:sub>
          <m:sup>
            <m:r>
              <m:rPr>
                <m:sty m:val="p"/>
              </m:rPr>
              <w:rPr>
                <w:rFonts w:ascii="Cambria Math" w:hAnsi="Cambria Math" w:cs="Arial"/>
                <w:sz w:val="20"/>
                <w:szCs w:val="20"/>
              </w:rPr>
              <m:t>-</m:t>
            </m:r>
          </m:sup>
        </m:sSubSup>
      </m:oMath>
      <w:r w:rsidRPr="001D2CC7">
        <w:rPr>
          <w:rFonts w:ascii="Arial" w:hAnsi="Arial" w:cs="Arial"/>
          <w:sz w:val="20"/>
          <w:szCs w:val="20"/>
        </w:rPr>
        <w:t xml:space="preserve"> captures cumulative negative oil price changes.</w:t>
      </w: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The nonlinear autoregressive distributed lag model is specified as:</w:t>
      </w:r>
    </w:p>
    <w:p w:rsidR="001D2CC7" w:rsidRPr="001D2CC7" w:rsidRDefault="004B4CA2" w:rsidP="001D2CC7">
      <w:pPr>
        <w:rPr>
          <w:rFonts w:ascii="Arial" w:hAnsi="Arial" w:cs="Arial"/>
        </w:rPr>
      </w:pPr>
      <m:oMathPara>
        <m:oMathParaPr>
          <m:jc m:val="right"/>
        </m:oMathParaPr>
        <m:oMath>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α</m:t>
              </m:r>
            </m:e>
            <m:sub>
              <m:r>
                <m:rPr>
                  <m:sty m:val="p"/>
                </m:rPr>
                <w:rPr>
                  <w:rFonts w:ascii="Cambria Math" w:hAnsi="Cambria Math" w:cs="Arial"/>
                </w:rPr>
                <m:t>0</m:t>
              </m:r>
            </m:sub>
          </m:sSub>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p</m:t>
              </m:r>
            </m:sup>
            <m:e>
              <m:sSub>
                <m:sSubPr>
                  <m:ctrlPr>
                    <w:rPr>
                      <w:rFonts w:ascii="Cambria Math" w:hAnsi="Cambria Math" w:cs="Arial"/>
                    </w:rPr>
                  </m:ctrlPr>
                </m:sSubPr>
                <m:e>
                  <m:r>
                    <m:rPr>
                      <m:sty m:val="p"/>
                    </m:rPr>
                    <w:rPr>
                      <w:rFonts w:ascii="Cambria Math" w:hAnsi="Cambria Math" w:cs="Arial"/>
                    </w:rPr>
                    <m:t>α</m:t>
                  </m:r>
                </m:e>
                <m:sub>
                  <m:r>
                    <m:rPr>
                      <m:sty m:val="p"/>
                    </m:rPr>
                    <w:rPr>
                      <w:rFonts w:ascii="Cambria Math" w:hAnsi="Cambria Math" w:cs="Arial"/>
                    </w:rPr>
                    <m:t>i</m:t>
                  </m:r>
                </m:sub>
              </m:sSub>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t-i</m:t>
                  </m:r>
                </m:sub>
              </m:sSub>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j=0</m:t>
              </m:r>
            </m:sub>
            <m:sup>
              <m:r>
                <m:rPr>
                  <m:sty m:val="p"/>
                </m:rPr>
                <w:rPr>
                  <w:rFonts w:ascii="Cambria Math" w:hAnsi="Cambria Math" w:cs="Arial"/>
                </w:rPr>
                <m:t>q</m:t>
              </m:r>
            </m:sup>
            <m:e>
              <m:sSup>
                <m:sSupPr>
                  <m:ctrlPr>
                    <w:rPr>
                      <w:rFonts w:ascii="Cambria Math" w:hAnsi="Cambria Math" w:cs="Arial"/>
                    </w:rPr>
                  </m:ctrlPr>
                </m:sSupPr>
                <m:e>
                  <m:r>
                    <m:rPr>
                      <m:sty m:val="p"/>
                    </m:rPr>
                    <w:rPr>
                      <w:rFonts w:ascii="Cambria Math" w:hAnsi="Cambria Math" w:cs="Arial"/>
                    </w:rPr>
                    <m:t>βj</m:t>
                  </m:r>
                </m:e>
                <m:sup>
                  <m:r>
                    <m:rPr>
                      <m:sty m:val="p"/>
                    </m:rPr>
                    <w:rPr>
                      <w:rFonts w:ascii="Cambria Math" w:hAnsi="Cambria Math" w:cs="Arial"/>
                    </w:rPr>
                    <m:t>+</m:t>
                  </m:r>
                </m:sup>
              </m:sSup>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t-j</m:t>
                  </m:r>
                </m:sub>
                <m:sup>
                  <m:r>
                    <m:rPr>
                      <m:sty m:val="p"/>
                    </m:rPr>
                    <w:rPr>
                      <w:rFonts w:ascii="Cambria Math" w:hAnsi="Cambria Math" w:cs="Arial"/>
                    </w:rPr>
                    <m:t>+</m:t>
                  </m:r>
                </m:sup>
              </m:sSubSup>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j=0</m:t>
              </m:r>
            </m:sub>
            <m:sup>
              <m:r>
                <m:rPr>
                  <m:sty m:val="p"/>
                </m:rPr>
                <w:rPr>
                  <w:rFonts w:ascii="Cambria Math" w:hAnsi="Cambria Math" w:cs="Arial"/>
                </w:rPr>
                <m:t>q</m:t>
              </m:r>
            </m:sup>
            <m:e>
              <m:sSup>
                <m:sSupPr>
                  <m:ctrlPr>
                    <w:rPr>
                      <w:rFonts w:ascii="Cambria Math" w:hAnsi="Cambria Math" w:cs="Arial"/>
                    </w:rPr>
                  </m:ctrlPr>
                </m:sSupPr>
                <m:e>
                  <m:r>
                    <m:rPr>
                      <m:sty m:val="p"/>
                    </m:rPr>
                    <w:rPr>
                      <w:rFonts w:ascii="Cambria Math" w:hAnsi="Cambria Math" w:cs="Arial"/>
                    </w:rPr>
                    <m:t>βj</m:t>
                  </m:r>
                </m:e>
                <m:sup>
                  <m:r>
                    <m:rPr>
                      <m:sty m:val="p"/>
                    </m:rPr>
                    <w:rPr>
                      <w:rFonts w:ascii="Cambria Math" w:hAnsi="Cambria Math" w:cs="Arial"/>
                    </w:rPr>
                    <m:t>-</m:t>
                  </m:r>
                </m:sup>
              </m:sSup>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t-j</m:t>
                  </m:r>
                </m:sub>
                <m:sup>
                  <m:r>
                    <m:rPr>
                      <m:sty m:val="p"/>
                    </m:rPr>
                    <w:rPr>
                      <w:rFonts w:ascii="Cambria Math" w:hAnsi="Cambria Math" w:cs="Arial"/>
                    </w:rPr>
                    <m:t>-</m:t>
                  </m:r>
                </m:sup>
              </m:sSubSup>
            </m:e>
          </m:nary>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ε</m:t>
              </m:r>
            </m:e>
            <m:sub>
              <m:r>
                <m:rPr>
                  <m:sty m:val="p"/>
                </m:rPr>
                <w:rPr>
                  <w:rFonts w:ascii="Cambria Math" w:hAnsi="Cambria Math" w:cs="Arial"/>
                </w:rPr>
                <m:t>t</m:t>
              </m:r>
            </m:sub>
          </m:sSub>
          <m:r>
            <m:rPr>
              <m:sty m:val="p"/>
            </m:rPr>
            <w:rPr>
              <w:rFonts w:ascii="Cambria Math" w:hAnsi="Cambria Math" w:cs="Arial"/>
            </w:rPr>
            <m:t xml:space="preserve">                              (4)</m:t>
          </m:r>
        </m:oMath>
      </m:oMathPara>
    </w:p>
    <w:p w:rsidR="001D2CC7" w:rsidRPr="001D2CC7" w:rsidRDefault="001D2CC7" w:rsidP="001D2CC7">
      <w:pPr>
        <w:pStyle w:val="NormalWeb"/>
        <w:spacing w:before="0" w:beforeAutospacing="0" w:after="0" w:afterAutospacing="0"/>
        <w:rPr>
          <w:rFonts w:ascii="Arial" w:hAnsi="Arial" w:cs="Arial"/>
          <w:sz w:val="20"/>
          <w:szCs w:val="20"/>
        </w:rPr>
      </w:pPr>
      <w:r w:rsidRPr="001D2CC7">
        <w:rPr>
          <w:rFonts w:ascii="Arial" w:hAnsi="Arial" w:cs="Arial"/>
          <w:sz w:val="20"/>
          <w:szCs w:val="20"/>
        </w:rPr>
        <w:t xml:space="preserve">where </w:t>
      </w:r>
      <m:oMath>
        <m:sSub>
          <m:sSubPr>
            <m:ctrlPr>
              <w:rPr>
                <w:rFonts w:ascii="Cambria Math" w:hAnsi="Cambria Math" w:cs="Arial"/>
                <w:sz w:val="20"/>
                <w:szCs w:val="20"/>
              </w:rPr>
            </m:ctrlPr>
          </m:sSubPr>
          <m:e>
            <m:r>
              <m:rPr>
                <m:sty m:val="p"/>
              </m:rPr>
              <w:rPr>
                <w:rFonts w:ascii="Cambria Math" w:hAnsi="Cambria Math" w:cs="Arial"/>
                <w:sz w:val="20"/>
                <w:szCs w:val="20"/>
              </w:rPr>
              <m:t>α</m:t>
            </m:r>
          </m:e>
          <m:sub>
            <m:r>
              <m:rPr>
                <m:sty m:val="p"/>
              </m:rPr>
              <w:rPr>
                <w:rFonts w:ascii="Cambria Math" w:hAnsi="Cambria Math" w:cs="Arial"/>
                <w:sz w:val="20"/>
                <w:szCs w:val="20"/>
              </w:rPr>
              <m:t>0</m:t>
            </m:r>
          </m:sub>
        </m:sSub>
      </m:oMath>
      <w:r w:rsidRPr="001D2CC7">
        <w:rPr>
          <w:rFonts w:ascii="Arial" w:hAnsi="Arial" w:cs="Arial"/>
          <w:sz w:val="20"/>
          <w:szCs w:val="20"/>
        </w:rPr>
        <w:t xml:space="preserve"> is the intercept term, </w:t>
      </w:r>
      <m:oMath>
        <m:sSub>
          <m:sSubPr>
            <m:ctrlPr>
              <w:rPr>
                <w:rFonts w:ascii="Cambria Math" w:hAnsi="Cambria Math" w:cs="Arial"/>
                <w:sz w:val="20"/>
                <w:szCs w:val="20"/>
              </w:rPr>
            </m:ctrlPr>
          </m:sSubPr>
          <m:e>
            <m:r>
              <m:rPr>
                <m:sty m:val="p"/>
              </m:rPr>
              <w:rPr>
                <w:rFonts w:ascii="Cambria Math" w:hAnsi="Cambria Math" w:cs="Arial"/>
                <w:sz w:val="20"/>
                <w:szCs w:val="20"/>
              </w:rPr>
              <m:t>α</m:t>
            </m:r>
          </m:e>
          <m:sub>
            <m:r>
              <m:rPr>
                <m:sty m:val="p"/>
              </m:rPr>
              <w:rPr>
                <w:rFonts w:ascii="Cambria Math" w:hAnsi="Cambria Math" w:cs="Arial"/>
                <w:sz w:val="20"/>
                <w:szCs w:val="20"/>
              </w:rPr>
              <m:t>i</m:t>
            </m:r>
          </m:sub>
        </m:sSub>
      </m:oMath>
      <w:r w:rsidRPr="001D2CC7">
        <w:rPr>
          <w:rFonts w:ascii="Arial" w:hAnsi="Arial" w:cs="Arial"/>
          <w:sz w:val="20"/>
          <w:szCs w:val="20"/>
        </w:rPr>
        <w:t xml:space="preserve"> represents autoregressive coefficients, </w:t>
      </w:r>
      <m:oMath>
        <m:sSup>
          <m:sSupPr>
            <m:ctrlPr>
              <w:rPr>
                <w:rFonts w:ascii="Cambria Math" w:hAnsi="Cambria Math" w:cs="Arial"/>
                <w:sz w:val="20"/>
                <w:szCs w:val="20"/>
              </w:rPr>
            </m:ctrlPr>
          </m:sSupPr>
          <m:e>
            <m:r>
              <m:rPr>
                <m:sty m:val="p"/>
              </m:rPr>
              <w:rPr>
                <w:rFonts w:ascii="Cambria Math" w:hAnsi="Cambria Math" w:cs="Arial"/>
                <w:sz w:val="20"/>
                <w:szCs w:val="20"/>
              </w:rPr>
              <m:t>βj</m:t>
            </m:r>
          </m:e>
          <m:sup>
            <m:r>
              <m:rPr>
                <m:sty m:val="p"/>
              </m:rPr>
              <w:rPr>
                <w:rFonts w:ascii="Cambria Math" w:hAnsi="Cambria Math" w:cs="Arial"/>
                <w:sz w:val="20"/>
                <w:szCs w:val="20"/>
              </w:rPr>
              <m:t>+</m:t>
            </m:r>
          </m:sup>
        </m:sSup>
      </m:oMath>
      <w:r w:rsidRPr="001D2CC7">
        <w:rPr>
          <w:rFonts w:ascii="Arial" w:hAnsi="Arial" w:cs="Arial"/>
          <w:sz w:val="20"/>
          <w:szCs w:val="20"/>
        </w:rPr>
        <w:t xml:space="preserve"> and </w:t>
      </w:r>
      <m:oMath>
        <m:sSup>
          <m:sSupPr>
            <m:ctrlPr>
              <w:rPr>
                <w:rFonts w:ascii="Cambria Math" w:hAnsi="Cambria Math" w:cs="Arial"/>
                <w:sz w:val="20"/>
                <w:szCs w:val="20"/>
              </w:rPr>
            </m:ctrlPr>
          </m:sSupPr>
          <m:e>
            <m:r>
              <m:rPr>
                <m:sty m:val="p"/>
              </m:rPr>
              <w:rPr>
                <w:rFonts w:ascii="Cambria Math" w:hAnsi="Cambria Math" w:cs="Arial"/>
                <w:sz w:val="20"/>
                <w:szCs w:val="20"/>
              </w:rPr>
              <m:t>βj</m:t>
            </m:r>
          </m:e>
          <m:sup>
            <m:r>
              <m:rPr>
                <m:sty m:val="p"/>
              </m:rPr>
              <w:rPr>
                <w:rFonts w:ascii="Cambria Math" w:hAnsi="Cambria Math" w:cs="Arial"/>
                <w:sz w:val="20"/>
                <w:szCs w:val="20"/>
              </w:rPr>
              <m:t>-</m:t>
            </m:r>
          </m:sup>
        </m:sSup>
      </m:oMath>
      <w:r w:rsidRPr="001D2CC7">
        <w:rPr>
          <w:rFonts w:ascii="Arial" w:hAnsi="Arial" w:cs="Arial"/>
          <w:sz w:val="20"/>
          <w:szCs w:val="20"/>
        </w:rPr>
        <w:t xml:space="preserve"> measure the effects of positive and negative oil price shocks respectively, while </w:t>
      </w:r>
      <m:oMath>
        <m:sSub>
          <m:sSubPr>
            <m:ctrlPr>
              <w:rPr>
                <w:rFonts w:ascii="Cambria Math" w:hAnsi="Cambria Math" w:cs="Arial"/>
                <w:sz w:val="20"/>
                <w:szCs w:val="20"/>
              </w:rPr>
            </m:ctrlPr>
          </m:sSubPr>
          <m:e>
            <m:r>
              <m:rPr>
                <m:sty m:val="p"/>
              </m:rPr>
              <w:rPr>
                <w:rFonts w:ascii="Cambria Math" w:hAnsi="Cambria Math" w:cs="Arial"/>
                <w:sz w:val="20"/>
                <w:szCs w:val="20"/>
              </w:rPr>
              <m:t>ε</m:t>
            </m:r>
          </m:e>
          <m:sub>
            <m:r>
              <m:rPr>
                <m:sty m:val="p"/>
              </m:rPr>
              <w:rPr>
                <w:rFonts w:ascii="Cambria Math" w:hAnsi="Cambria Math" w:cs="Arial"/>
                <w:sz w:val="20"/>
                <w:szCs w:val="20"/>
              </w:rPr>
              <m:t>t</m:t>
            </m:r>
          </m:sub>
        </m:sSub>
      </m:oMath>
      <w:r w:rsidRPr="001D2CC7">
        <w:rPr>
          <w:rFonts w:ascii="Arial" w:hAnsi="Arial" w:cs="Arial"/>
          <w:sz w:val="20"/>
          <w:szCs w:val="20"/>
        </w:rPr>
        <w:t xml:space="preserve"> denotes the error term.</w:t>
      </w:r>
    </w:p>
    <w:p w:rsidR="001D2CC7" w:rsidRPr="001D2CC7" w:rsidRDefault="001D2CC7" w:rsidP="001D2CC7">
      <w:pPr>
        <w:pStyle w:val="NormalWeb"/>
        <w:spacing w:before="0" w:beforeAutospacing="0" w:after="0" w:afterAutospacing="0"/>
        <w:rPr>
          <w:rFonts w:ascii="Arial" w:hAnsi="Arial" w:cs="Arial"/>
          <w:sz w:val="20"/>
          <w:szCs w:val="20"/>
        </w:rPr>
      </w:pPr>
      <w:r w:rsidRPr="001D2CC7">
        <w:rPr>
          <w:rFonts w:ascii="Arial" w:hAnsi="Arial" w:cs="Arial"/>
          <w:sz w:val="20"/>
          <w:szCs w:val="20"/>
        </w:rPr>
        <w:t>The corresponding long run and error correction representation is given as:</w:t>
      </w:r>
    </w:p>
    <w:p w:rsidR="001D2CC7" w:rsidRPr="001D2CC7" w:rsidRDefault="001D2CC7" w:rsidP="001D2CC7">
      <w:pPr>
        <w:rPr>
          <w:rFonts w:ascii="Arial" w:hAnsi="Arial" w:cs="Arial"/>
        </w:rPr>
      </w:pPr>
      <m:oMathPara>
        <m:oMathParaPr>
          <m:jc m:val="right"/>
        </m:oMathParaPr>
        <m:oMath>
          <m:r>
            <m:rPr>
              <m:sty m:val="p"/>
            </m:rPr>
            <w:rPr>
              <w:rFonts w:ascii="Cambria Math" w:hAnsi="Cambria Math" w:cs="Arial"/>
            </w:rPr>
            <m:t>Δ</m:t>
          </m:r>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m:t>
              </m:r>
            </m:sub>
          </m:sSub>
          <m:r>
            <m:rPr>
              <m:sty m:val="p"/>
            </m:rPr>
            <w:rPr>
              <w:rFonts w:ascii="Cambria Math" w:hAnsi="Cambria Math" w:cs="Arial"/>
            </w:rPr>
            <m:t>=ϕ</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t-1</m:t>
                  </m:r>
                </m:sub>
              </m:sSub>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θ</m:t>
                  </m:r>
                </m:e>
                <m:sup>
                  <m:r>
                    <m:rPr>
                      <m:sty m:val="p"/>
                    </m:rPr>
                    <w:rPr>
                      <w:rFonts w:ascii="Cambria Math" w:hAnsi="Cambria Math" w:cs="Arial"/>
                    </w:rPr>
                    <m:t>+</m:t>
                  </m:r>
                </m:sup>
              </m:sSup>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t-1</m:t>
                  </m:r>
                </m:sub>
                <m:sup>
                  <m:r>
                    <m:rPr>
                      <m:sty m:val="p"/>
                    </m:rPr>
                    <w:rPr>
                      <w:rFonts w:ascii="Cambria Math" w:hAnsi="Cambria Math" w:cs="Arial"/>
                    </w:rPr>
                    <m:t>+</m:t>
                  </m:r>
                </m:sup>
              </m:sSubSup>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θ</m:t>
                  </m:r>
                </m:e>
                <m:sup>
                  <m:r>
                    <m:rPr>
                      <m:sty m:val="p"/>
                    </m:rPr>
                    <w:rPr>
                      <w:rFonts w:ascii="Cambria Math" w:hAnsi="Cambria Math" w:cs="Arial"/>
                    </w:rPr>
                    <m:t>-</m:t>
                  </m:r>
                </m:sup>
              </m:sSup>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t-1</m:t>
                  </m:r>
                </m:sub>
                <m:sup>
                  <m:r>
                    <m:rPr>
                      <m:sty m:val="p"/>
                    </m:rPr>
                    <w:rPr>
                      <w:rFonts w:ascii="Cambria Math" w:hAnsi="Cambria Math" w:cs="Arial"/>
                    </w:rPr>
                    <m:t>-</m:t>
                  </m:r>
                </m:sup>
              </m:sSubSup>
            </m:e>
          </m:d>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p</m:t>
              </m:r>
            </m:sup>
            <m:e>
              <m:sSub>
                <m:sSubPr>
                  <m:ctrlPr>
                    <w:rPr>
                      <w:rFonts w:ascii="Cambria Math" w:hAnsi="Cambria Math" w:cs="Arial"/>
                    </w:rPr>
                  </m:ctrlPr>
                </m:sSubPr>
                <m:e>
                  <m:r>
                    <m:rPr>
                      <m:sty m:val="p"/>
                    </m:rPr>
                    <w:rPr>
                      <w:rFonts w:ascii="Cambria Math" w:hAnsi="Cambria Math" w:cs="Arial"/>
                    </w:rPr>
                    <m:t>γ</m:t>
                  </m:r>
                </m:e>
                <m:sub>
                  <m:r>
                    <m:rPr>
                      <m:sty m:val="p"/>
                    </m:rPr>
                    <w:rPr>
                      <w:rFonts w:ascii="Cambria Math" w:hAnsi="Cambria Math" w:cs="Arial"/>
                    </w:rPr>
                    <m:t>i</m:t>
                  </m:r>
                </m:sub>
              </m:sSub>
              <m:r>
                <m:rPr>
                  <m:sty m:val="p"/>
                </m:rPr>
                <w:rPr>
                  <w:rFonts w:ascii="Cambria Math" w:hAnsi="Cambria Math" w:cs="Arial"/>
                </w:rPr>
                <m:t>Δ</m:t>
              </m:r>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t-1</m:t>
                  </m:r>
                </m:sub>
              </m:sSub>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j=0</m:t>
              </m:r>
            </m:sub>
            <m:sup>
              <m:r>
                <m:rPr>
                  <m:sty m:val="p"/>
                </m:rPr>
                <w:rPr>
                  <w:rFonts w:ascii="Cambria Math" w:hAnsi="Cambria Math" w:cs="Arial"/>
                </w:rPr>
                <m:t>q</m:t>
              </m:r>
            </m:sup>
            <m:e>
              <m:sSubSup>
                <m:sSubSupPr>
                  <m:ctrlPr>
                    <w:rPr>
                      <w:rFonts w:ascii="Cambria Math" w:hAnsi="Cambria Math" w:cs="Arial"/>
                    </w:rPr>
                  </m:ctrlPr>
                </m:sSubSupPr>
                <m:e>
                  <m:r>
                    <m:rPr>
                      <m:sty m:val="p"/>
                    </m:rPr>
                    <w:rPr>
                      <w:rFonts w:ascii="Cambria Math" w:hAnsi="Cambria Math" w:cs="Arial"/>
                    </w:rPr>
                    <m:t>δ</m:t>
                  </m:r>
                </m:e>
                <m:sub>
                  <m:r>
                    <m:rPr>
                      <m:sty m:val="p"/>
                    </m:rPr>
                    <w:rPr>
                      <w:rFonts w:ascii="Cambria Math" w:hAnsi="Cambria Math" w:cs="Arial"/>
                    </w:rPr>
                    <m:t>j</m:t>
                  </m:r>
                </m:sub>
                <m:sup>
                  <m:r>
                    <m:rPr>
                      <m:sty m:val="p"/>
                    </m:rPr>
                    <w:rPr>
                      <w:rFonts w:ascii="Cambria Math" w:hAnsi="Cambria Math" w:cs="Arial"/>
                    </w:rPr>
                    <m:t>+</m:t>
                  </m:r>
                </m:sup>
              </m:sSubSup>
              <m:r>
                <m:rPr>
                  <m:sty m:val="p"/>
                </m:rPr>
                <w:rPr>
                  <w:rFonts w:ascii="Cambria Math" w:hAnsi="Cambria Math" w:cs="Arial"/>
                </w:rPr>
                <m:t>Δ</m:t>
              </m:r>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t-j</m:t>
                  </m:r>
                </m:sub>
                <m:sup>
                  <m:r>
                    <m:rPr>
                      <m:sty m:val="p"/>
                    </m:rPr>
                    <w:rPr>
                      <w:rFonts w:ascii="Cambria Math" w:hAnsi="Cambria Math" w:cs="Arial"/>
                    </w:rPr>
                    <m:t>+</m:t>
                  </m:r>
                </m:sup>
              </m:sSubSup>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j=0</m:t>
              </m:r>
            </m:sub>
            <m:sup>
              <m:r>
                <m:rPr>
                  <m:sty m:val="p"/>
                </m:rPr>
                <w:rPr>
                  <w:rFonts w:ascii="Cambria Math" w:hAnsi="Cambria Math" w:cs="Arial"/>
                </w:rPr>
                <m:t>q</m:t>
              </m:r>
            </m:sup>
            <m:e>
              <m:sSubSup>
                <m:sSubSupPr>
                  <m:ctrlPr>
                    <w:rPr>
                      <w:rFonts w:ascii="Cambria Math" w:hAnsi="Cambria Math" w:cs="Arial"/>
                    </w:rPr>
                  </m:ctrlPr>
                </m:sSubSupPr>
                <m:e>
                  <m:r>
                    <m:rPr>
                      <m:sty m:val="p"/>
                    </m:rPr>
                    <w:rPr>
                      <w:rFonts w:ascii="Cambria Math" w:hAnsi="Cambria Math" w:cs="Arial"/>
                    </w:rPr>
                    <m:t>δ</m:t>
                  </m:r>
                </m:e>
                <m:sub>
                  <m:r>
                    <m:rPr>
                      <m:sty m:val="p"/>
                    </m:rPr>
                    <w:rPr>
                      <w:rFonts w:ascii="Cambria Math" w:hAnsi="Cambria Math" w:cs="Arial"/>
                    </w:rPr>
                    <m:t>j</m:t>
                  </m:r>
                </m:sub>
                <m:sup>
                  <m:r>
                    <m:rPr>
                      <m:sty m:val="p"/>
                    </m:rPr>
                    <w:rPr>
                      <w:rFonts w:ascii="Cambria Math" w:hAnsi="Cambria Math" w:cs="Arial"/>
                    </w:rPr>
                    <m:t>-</m:t>
                  </m:r>
                </m:sup>
              </m:sSubSup>
              <m:r>
                <m:rPr>
                  <m:sty m:val="p"/>
                </m:rPr>
                <w:rPr>
                  <w:rFonts w:ascii="Cambria Math" w:hAnsi="Cambria Math" w:cs="Arial"/>
                </w:rPr>
                <m:t>Δ</m:t>
              </m:r>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t-j</m:t>
                  </m:r>
                </m:sub>
                <m:sup>
                  <m:r>
                    <m:rPr>
                      <m:sty m:val="p"/>
                    </m:rPr>
                    <w:rPr>
                      <w:rFonts w:ascii="Cambria Math" w:hAnsi="Cambria Math" w:cs="Arial"/>
                    </w:rPr>
                    <m:t>-</m:t>
                  </m:r>
                </m:sup>
              </m:sSubSup>
            </m:e>
          </m:nary>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t</m:t>
              </m:r>
            </m:sub>
          </m:sSub>
          <m:r>
            <m:rPr>
              <m:sty m:val="p"/>
            </m:rPr>
            <w:rPr>
              <w:rFonts w:ascii="Cambria Math" w:hAnsi="Cambria Math" w:cs="Arial"/>
            </w:rPr>
            <m:t xml:space="preserve"> (5)</m:t>
          </m:r>
        </m:oMath>
      </m:oMathPara>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 xml:space="preserve">where </w:t>
      </w:r>
      <m:oMath>
        <m:r>
          <m:rPr>
            <m:sty m:val="p"/>
          </m:rPr>
          <w:rPr>
            <w:rFonts w:ascii="Cambria Math" w:hAnsi="Cambria Math" w:cs="Arial"/>
            <w:sz w:val="20"/>
            <w:szCs w:val="20"/>
          </w:rPr>
          <m:t>ϕ</m:t>
        </m:r>
      </m:oMath>
      <w:r w:rsidRPr="001D2CC7">
        <w:rPr>
          <w:rFonts w:ascii="Arial" w:hAnsi="Arial" w:cs="Arial"/>
          <w:sz w:val="20"/>
          <w:szCs w:val="20"/>
        </w:rPr>
        <w:t xml:space="preserve"> denotes the speed of adjustment parameter, </w:t>
      </w:r>
      <m:oMath>
        <m:sSup>
          <m:sSupPr>
            <m:ctrlPr>
              <w:rPr>
                <w:rFonts w:ascii="Cambria Math" w:hAnsi="Cambria Math" w:cs="Arial"/>
                <w:sz w:val="20"/>
                <w:szCs w:val="20"/>
              </w:rPr>
            </m:ctrlPr>
          </m:sSupPr>
          <m:e>
            <m:r>
              <m:rPr>
                <m:sty m:val="p"/>
              </m:rPr>
              <w:rPr>
                <w:rFonts w:ascii="Cambria Math" w:hAnsi="Cambria Math" w:cs="Arial"/>
                <w:sz w:val="20"/>
                <w:szCs w:val="20"/>
              </w:rPr>
              <m:t>θ</m:t>
            </m:r>
          </m:e>
          <m:sup>
            <m:r>
              <m:rPr>
                <m:sty m:val="p"/>
              </m:rPr>
              <w:rPr>
                <w:rFonts w:ascii="Cambria Math" w:hAnsi="Cambria Math" w:cs="Arial"/>
                <w:sz w:val="20"/>
                <w:szCs w:val="20"/>
              </w:rPr>
              <m:t>+</m:t>
            </m:r>
          </m:sup>
        </m:sSup>
      </m:oMath>
      <w:r w:rsidRPr="001D2CC7">
        <w:rPr>
          <w:rFonts w:ascii="Arial" w:hAnsi="Arial" w:cs="Arial"/>
          <w:sz w:val="20"/>
          <w:szCs w:val="20"/>
        </w:rPr>
        <w:t xml:space="preserve"> and </w:t>
      </w:r>
      <m:oMath>
        <m:sSup>
          <m:sSupPr>
            <m:ctrlPr>
              <w:rPr>
                <w:rFonts w:ascii="Cambria Math" w:hAnsi="Cambria Math" w:cs="Arial"/>
                <w:sz w:val="20"/>
                <w:szCs w:val="20"/>
              </w:rPr>
            </m:ctrlPr>
          </m:sSupPr>
          <m:e>
            <m:r>
              <m:rPr>
                <m:sty m:val="p"/>
              </m:rPr>
              <w:rPr>
                <w:rFonts w:ascii="Cambria Math" w:hAnsi="Cambria Math" w:cs="Arial"/>
                <w:sz w:val="20"/>
                <w:szCs w:val="20"/>
              </w:rPr>
              <m:t>θ</m:t>
            </m:r>
          </m:e>
          <m:sup>
            <m:r>
              <m:rPr>
                <m:sty m:val="p"/>
              </m:rPr>
              <w:rPr>
                <w:rFonts w:ascii="Cambria Math" w:hAnsi="Cambria Math" w:cs="Arial"/>
                <w:sz w:val="20"/>
                <w:szCs w:val="20"/>
              </w:rPr>
              <m:t>-</m:t>
            </m:r>
          </m:sup>
        </m:sSup>
      </m:oMath>
      <w:r w:rsidRPr="001D2CC7">
        <w:rPr>
          <w:rFonts w:ascii="Arial" w:hAnsi="Arial" w:cs="Arial"/>
          <w:sz w:val="20"/>
          <w:szCs w:val="20"/>
        </w:rPr>
        <w:t xml:space="preserve"> represent long run asymmetric coefficients, while </w:t>
      </w:r>
      <m:oMath>
        <m:sSub>
          <m:sSubPr>
            <m:ctrlPr>
              <w:rPr>
                <w:rFonts w:ascii="Cambria Math" w:hAnsi="Cambria Math" w:cs="Arial"/>
                <w:sz w:val="20"/>
                <w:szCs w:val="20"/>
              </w:rPr>
            </m:ctrlPr>
          </m:sSubPr>
          <m:e>
            <m:r>
              <m:rPr>
                <m:sty m:val="p"/>
              </m:rPr>
              <w:rPr>
                <w:rFonts w:ascii="Cambria Math" w:hAnsi="Cambria Math" w:cs="Arial"/>
                <w:sz w:val="20"/>
                <w:szCs w:val="20"/>
              </w:rPr>
              <m:t>γ</m:t>
            </m:r>
          </m:e>
          <m:sub>
            <m:r>
              <m:rPr>
                <m:sty m:val="p"/>
              </m:rPr>
              <w:rPr>
                <w:rFonts w:ascii="Cambria Math" w:hAnsi="Cambria Math" w:cs="Arial"/>
                <w:sz w:val="20"/>
                <w:szCs w:val="20"/>
              </w:rPr>
              <m:t>i</m:t>
            </m:r>
          </m:sub>
        </m:sSub>
      </m:oMath>
      <w:r w:rsidRPr="001D2CC7">
        <w:rPr>
          <w:rFonts w:ascii="Arial" w:hAnsi="Arial" w:cs="Arial"/>
          <w:sz w:val="20"/>
          <w:szCs w:val="20"/>
        </w:rPr>
        <w:t xml:space="preserve">, </w:t>
      </w:r>
      <m:oMath>
        <m:sSubSup>
          <m:sSubSupPr>
            <m:ctrlPr>
              <w:rPr>
                <w:rFonts w:ascii="Cambria Math" w:hAnsi="Cambria Math" w:cs="Arial"/>
                <w:sz w:val="20"/>
                <w:szCs w:val="20"/>
              </w:rPr>
            </m:ctrlPr>
          </m:sSubSupPr>
          <m:e>
            <m:r>
              <m:rPr>
                <m:sty m:val="p"/>
              </m:rPr>
              <w:rPr>
                <w:rFonts w:ascii="Cambria Math" w:hAnsi="Cambria Math" w:cs="Arial"/>
                <w:sz w:val="20"/>
                <w:szCs w:val="20"/>
              </w:rPr>
              <m:t>δ</m:t>
            </m:r>
          </m:e>
          <m:sub>
            <m:r>
              <m:rPr>
                <m:sty m:val="p"/>
              </m:rPr>
              <w:rPr>
                <w:rFonts w:ascii="Cambria Math" w:hAnsi="Cambria Math" w:cs="Arial"/>
                <w:sz w:val="20"/>
                <w:szCs w:val="20"/>
              </w:rPr>
              <m:t>j</m:t>
            </m:r>
          </m:sub>
          <m:sup>
            <m:r>
              <m:rPr>
                <m:sty m:val="p"/>
              </m:rPr>
              <w:rPr>
                <w:rFonts w:ascii="Cambria Math" w:hAnsi="Cambria Math" w:cs="Arial"/>
                <w:sz w:val="20"/>
                <w:szCs w:val="20"/>
              </w:rPr>
              <m:t>+</m:t>
            </m:r>
          </m:sup>
        </m:sSubSup>
      </m:oMath>
      <w:r w:rsidR="00E10AD9">
        <w:rPr>
          <w:rFonts w:ascii="Arial" w:hAnsi="Arial" w:cs="Arial"/>
          <w:sz w:val="20"/>
          <w:szCs w:val="20"/>
        </w:rPr>
        <w:t xml:space="preserve"> and</w:t>
      </w:r>
      <w:r w:rsidRPr="001D2CC7">
        <w:rPr>
          <w:rFonts w:ascii="Arial" w:hAnsi="Arial" w:cs="Arial"/>
          <w:sz w:val="20"/>
          <w:szCs w:val="20"/>
        </w:rPr>
        <w:t xml:space="preserve"> </w:t>
      </w:r>
      <m:oMath>
        <m:sSubSup>
          <m:sSubSupPr>
            <m:ctrlPr>
              <w:rPr>
                <w:rFonts w:ascii="Cambria Math" w:hAnsi="Cambria Math" w:cs="Arial"/>
                <w:sz w:val="20"/>
                <w:szCs w:val="20"/>
              </w:rPr>
            </m:ctrlPr>
          </m:sSubSupPr>
          <m:e>
            <m:r>
              <m:rPr>
                <m:sty m:val="p"/>
              </m:rPr>
              <w:rPr>
                <w:rFonts w:ascii="Cambria Math" w:hAnsi="Cambria Math" w:cs="Arial"/>
                <w:sz w:val="20"/>
                <w:szCs w:val="20"/>
              </w:rPr>
              <m:t>δ</m:t>
            </m:r>
          </m:e>
          <m:sub>
            <m:r>
              <m:rPr>
                <m:sty m:val="p"/>
              </m:rPr>
              <w:rPr>
                <w:rFonts w:ascii="Cambria Math" w:hAnsi="Cambria Math" w:cs="Arial"/>
                <w:sz w:val="20"/>
                <w:szCs w:val="20"/>
              </w:rPr>
              <m:t>j</m:t>
            </m:r>
          </m:sub>
          <m:sup>
            <m:r>
              <m:rPr>
                <m:sty m:val="p"/>
              </m:rPr>
              <w:rPr>
                <w:rFonts w:ascii="Cambria Math" w:hAnsi="Cambria Math" w:cs="Arial"/>
                <w:sz w:val="20"/>
                <w:szCs w:val="20"/>
              </w:rPr>
              <m:t>-</m:t>
            </m:r>
          </m:sup>
        </m:sSubSup>
      </m:oMath>
      <w:r w:rsidRPr="001D2CC7">
        <w:rPr>
          <w:rFonts w:ascii="Arial" w:hAnsi="Arial" w:cs="Arial"/>
          <w:sz w:val="20"/>
          <w:szCs w:val="20"/>
        </w:rPr>
        <w:t xml:space="preserve"> capture short run asymmetric effects of oil price changes. The condition ϕ &lt; 0 ensures convergence toward long run equilibrium.</w:t>
      </w:r>
    </w:p>
    <w:p w:rsidR="001D2CC7" w:rsidRPr="001D2CC7" w:rsidRDefault="001D2CC7" w:rsidP="001D2CC7">
      <w:pPr>
        <w:jc w:val="both"/>
        <w:rPr>
          <w:rFonts w:ascii="Arial" w:hAnsi="Arial" w:cs="Arial"/>
        </w:rPr>
      </w:pPr>
      <w:r w:rsidRPr="001D2CC7">
        <w:rPr>
          <w:rFonts w:ascii="Arial" w:hAnsi="Arial" w:cs="Arial"/>
        </w:rPr>
        <w:t xml:space="preserve">Monthly data spanning January 2006 to November 2025 were used for the analysis. Food inflation is measured as the year on year food inflation rate obtained from the Central Bank </w:t>
      </w:r>
      <w:r w:rsidRPr="001D2CC7">
        <w:rPr>
          <w:rFonts w:ascii="Arial" w:hAnsi="Arial" w:cs="Arial"/>
        </w:rPr>
        <w:lastRenderedPageBreak/>
        <w:t>of Nigeria statistical database. Crude oil price, measured in US dollars per barrel, was sourced from the Central Bank of Nigeria statistical bulletin and international commodity price databases. Oil price was transformed into logarithmic form to stabilize variance, while food inflation was retained in levels.</w:t>
      </w:r>
    </w:p>
    <w:p w:rsidR="001D2CC7" w:rsidRPr="001D2CC7" w:rsidRDefault="001D2CC7" w:rsidP="001D2CC7">
      <w:pPr>
        <w:jc w:val="both"/>
        <w:rPr>
          <w:rFonts w:ascii="Arial" w:hAnsi="Arial" w:cs="Arial"/>
        </w:rPr>
      </w:pPr>
      <w:r w:rsidRPr="001D2CC7">
        <w:rPr>
          <w:rFonts w:ascii="Arial" w:hAnsi="Arial" w:cs="Arial"/>
        </w:rPr>
        <w:t>Prior to estimation, stationarity properties of the variables were examined using the Augmented Dickey Fuller test to ensure that none of the series is integrated of order two. The optimal lag length (p, q) in the NARDL model was selected based on the Akaike Information Criterion (AIC), ensuring a balance between model fit and parsimony.</w:t>
      </w:r>
    </w:p>
    <w:p w:rsidR="001D2CC7" w:rsidRPr="001D2CC7" w:rsidRDefault="001D2CC7" w:rsidP="001D2CC7">
      <w:pPr>
        <w:jc w:val="both"/>
        <w:rPr>
          <w:rFonts w:ascii="Arial" w:hAnsi="Arial" w:cs="Arial"/>
        </w:rPr>
      </w:pPr>
      <w:r w:rsidRPr="001D2CC7">
        <w:rPr>
          <w:rFonts w:ascii="Arial" w:hAnsi="Arial" w:cs="Arial"/>
        </w:rPr>
        <w:t xml:space="preserve">The bounds testing procedure developed by </w:t>
      </w:r>
      <w:proofErr w:type="spellStart"/>
      <w:r w:rsidRPr="001D2CC7">
        <w:rPr>
          <w:rFonts w:ascii="Arial" w:hAnsi="Arial" w:cs="Arial"/>
        </w:rPr>
        <w:t>Pesaran</w:t>
      </w:r>
      <w:proofErr w:type="spellEnd"/>
      <w:r w:rsidRPr="001D2CC7">
        <w:rPr>
          <w:rFonts w:ascii="Arial" w:hAnsi="Arial" w:cs="Arial"/>
        </w:rPr>
        <w:t xml:space="preserve"> et al. was applied to test for the existence of a long run relationship among the variables. Once cointegration was confirmed, the NARDL model was estimated to obtain both short run and long run asymmetric coefficients.</w:t>
      </w:r>
    </w:p>
    <w:p w:rsidR="001D2CC7" w:rsidRPr="001D2CC7" w:rsidRDefault="001D2CC7" w:rsidP="001D2CC7">
      <w:pPr>
        <w:jc w:val="both"/>
        <w:rPr>
          <w:rFonts w:ascii="Arial" w:hAnsi="Arial" w:cs="Arial"/>
        </w:rPr>
      </w:pPr>
      <w:r w:rsidRPr="001D2CC7">
        <w:rPr>
          <w:rFonts w:ascii="Arial" w:hAnsi="Arial" w:cs="Arial"/>
        </w:rPr>
        <w:t>Asymmetry in the long run relationship was tested using the Wald restriction test:</w:t>
      </w:r>
    </w:p>
    <w:p w:rsidR="001D2CC7" w:rsidRPr="001D2CC7" w:rsidRDefault="004B4CA2" w:rsidP="001D2CC7">
      <w:pPr>
        <w:rPr>
          <w:rFonts w:ascii="Arial" w:hAnsi="Arial" w:cs="Arial"/>
        </w:rPr>
      </w:pPr>
      <m:oMathPara>
        <m:oMathParaPr>
          <m:jc m:val="right"/>
        </m:oMathParaPr>
        <m:oMath>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0</m:t>
              </m:r>
            </m:sub>
          </m:sSub>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θ</m:t>
              </m:r>
            </m:e>
            <m:sup>
              <m:r>
                <m:rPr>
                  <m:sty m:val="p"/>
                </m:rPr>
                <w:rPr>
                  <w:rFonts w:ascii="Cambria Math" w:hAnsi="Cambria Math" w:cs="Arial"/>
                </w:rPr>
                <m:t>+</m:t>
              </m:r>
            </m:sup>
          </m:sSup>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θ</m:t>
              </m:r>
            </m:e>
            <m:sup>
              <m:r>
                <m:rPr>
                  <m:sty m:val="p"/>
                </m:rPr>
                <w:rPr>
                  <w:rFonts w:ascii="Cambria Math" w:hAnsi="Cambria Math" w:cs="Arial"/>
                </w:rPr>
                <m:t>-</m:t>
              </m:r>
            </m:sup>
          </m:sSup>
          <m:r>
            <m:rPr>
              <m:sty m:val="p"/>
            </m:rPr>
            <w:rPr>
              <w:rFonts w:ascii="Cambria Math" w:hAnsi="Cambria Math" w:cs="Arial"/>
            </w:rPr>
            <m:t xml:space="preserve">                                                                               (6)</m:t>
          </m:r>
        </m:oMath>
      </m:oMathPara>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Rejection of the null hypothesis indicates the existence of asymmetric transmission of oil price shocks to food inflation.</w:t>
      </w: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Post estimation diagnostic tests were conducted to assess model adequacy and reliability. These included tests for serial correlation, heteroskedasticity</w:t>
      </w:r>
      <w:r w:rsidR="00E10AD9">
        <w:rPr>
          <w:rFonts w:ascii="Arial" w:hAnsi="Arial" w:cs="Arial"/>
          <w:sz w:val="20"/>
          <w:szCs w:val="20"/>
        </w:rPr>
        <w:t xml:space="preserve"> and</w:t>
      </w:r>
      <w:r w:rsidR="00623950">
        <w:rPr>
          <w:rFonts w:ascii="Arial" w:hAnsi="Arial" w:cs="Arial"/>
          <w:sz w:val="20"/>
          <w:szCs w:val="20"/>
        </w:rPr>
        <w:t xml:space="preserve"> residual normality</w:t>
      </w:r>
      <w:r w:rsidRPr="001D2CC7">
        <w:rPr>
          <w:rFonts w:ascii="Arial" w:hAnsi="Arial" w:cs="Arial"/>
          <w:sz w:val="20"/>
          <w:szCs w:val="20"/>
        </w:rPr>
        <w:t>,</w:t>
      </w:r>
      <w:r w:rsidR="00623950" w:rsidRPr="001D2CC7">
        <w:rPr>
          <w:rFonts w:ascii="Arial" w:hAnsi="Arial" w:cs="Arial"/>
          <w:sz w:val="20"/>
          <w:szCs w:val="20"/>
        </w:rPr>
        <w:t xml:space="preserve"> </w:t>
      </w:r>
      <w:r w:rsidRPr="001D2CC7">
        <w:rPr>
          <w:rFonts w:ascii="Arial" w:hAnsi="Arial" w:cs="Arial"/>
          <w:sz w:val="20"/>
          <w:szCs w:val="20"/>
        </w:rPr>
        <w:t>to trace the adjustment path of food inflation following positive and negative oil price shocks.</w:t>
      </w:r>
    </w:p>
    <w:p w:rsidR="00790ADA" w:rsidRPr="00FB3A86" w:rsidRDefault="00790ADA" w:rsidP="00441B6F">
      <w:pPr>
        <w:pStyle w:val="Body"/>
        <w:spacing w:after="0"/>
        <w:rPr>
          <w:rFonts w:ascii="Arial" w:hAnsi="Arial" w:cs="Arial"/>
        </w:rPr>
      </w:pPr>
    </w:p>
    <w:p w:rsidR="00790ADA" w:rsidRPr="00FB3A86" w:rsidRDefault="001D2CC7"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Pr="001D2CC7">
        <w:rPr>
          <w:rFonts w:ascii="Arial" w:hAnsi="Arial" w:cs="Arial"/>
        </w:rPr>
        <w:t>Results</w:t>
      </w:r>
    </w:p>
    <w:p w:rsidR="00345638" w:rsidRDefault="00345638"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This study utilizes monthly data from January 2006 to November 2025 to examine the asymmetric effects of oil price shocks on food inflation in Nigeria within a nonlinear autoregressive distributed lag (NARDL) framework. Food inflation is measured using the year-on-year food inflation rate, while crude oil price is expressed in logarithmic form.</w:t>
      </w:r>
    </w:p>
    <w:p w:rsidR="001D2CC7" w:rsidRPr="001D2CC7" w:rsidRDefault="001D2CC7" w:rsidP="00A75DAC">
      <w:pPr>
        <w:pStyle w:val="NormalWeb"/>
        <w:spacing w:before="0" w:beforeAutospacing="0" w:after="0" w:afterAutospacing="0"/>
        <w:jc w:val="center"/>
        <w:rPr>
          <w:rFonts w:ascii="Arial" w:hAnsi="Arial" w:cs="Arial"/>
          <w:b/>
          <w:bCs/>
          <w:sz w:val="20"/>
          <w:szCs w:val="20"/>
        </w:rPr>
      </w:pPr>
      <w:r w:rsidRPr="001D2CC7">
        <w:rPr>
          <w:rFonts w:ascii="Arial" w:hAnsi="Arial" w:cs="Arial"/>
          <w:noProof/>
          <w:sz w:val="20"/>
          <w:szCs w:val="20"/>
        </w:rPr>
        <w:drawing>
          <wp:inline distT="0" distB="0" distL="0" distR="0" wp14:anchorId="4D971F96" wp14:editId="39A39EE6">
            <wp:extent cx="4687747" cy="353711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r="35735" b="35294"/>
                    <a:stretch/>
                  </pic:blipFill>
                  <pic:spPr bwMode="auto">
                    <a:xfrm>
                      <a:off x="0" y="0"/>
                      <a:ext cx="4688510" cy="3537694"/>
                    </a:xfrm>
                    <a:prstGeom prst="rect">
                      <a:avLst/>
                    </a:prstGeom>
                    <a:noFill/>
                    <a:ln>
                      <a:noFill/>
                    </a:ln>
                    <a:extLst>
                      <a:ext uri="{53640926-AAD7-44D8-BBD7-CCE9431645EC}">
                        <a14:shadowObscured xmlns:a14="http://schemas.microsoft.com/office/drawing/2010/main"/>
                      </a:ext>
                    </a:extLst>
                  </pic:spPr>
                </pic:pic>
              </a:graphicData>
            </a:graphic>
          </wp:inline>
        </w:drawing>
      </w:r>
    </w:p>
    <w:p w:rsidR="001D2CC7" w:rsidRPr="001D2CC7" w:rsidRDefault="001D2CC7" w:rsidP="00A75DAC">
      <w:pPr>
        <w:jc w:val="center"/>
        <w:rPr>
          <w:rFonts w:ascii="Arial" w:hAnsi="Arial" w:cs="Arial"/>
          <w:bCs/>
        </w:rPr>
      </w:pPr>
      <w:r w:rsidRPr="001D2CC7">
        <w:rPr>
          <w:rFonts w:ascii="Arial" w:hAnsi="Arial" w:cs="Arial"/>
          <w:bCs/>
        </w:rPr>
        <w:t>Figure 1: Time Series Plot of Food Inflation and Oil Price</w:t>
      </w:r>
    </w:p>
    <w:p w:rsidR="001D2CC7" w:rsidRPr="001D2CC7" w:rsidRDefault="001D2CC7" w:rsidP="001D2CC7">
      <w:pPr>
        <w:jc w:val="center"/>
        <w:rPr>
          <w:rFonts w:ascii="Arial" w:hAnsi="Arial" w:cs="Arial"/>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lastRenderedPageBreak/>
        <w:t xml:space="preserve">Figure 1 presents the time series </w:t>
      </w:r>
      <w:r w:rsidR="00A75DAC" w:rsidRPr="001D2CC7">
        <w:rPr>
          <w:rFonts w:ascii="Arial" w:hAnsi="Arial" w:cs="Arial"/>
          <w:sz w:val="20"/>
          <w:szCs w:val="20"/>
        </w:rPr>
        <w:t>behavior</w:t>
      </w:r>
      <w:r w:rsidRPr="001D2CC7">
        <w:rPr>
          <w:rFonts w:ascii="Arial" w:hAnsi="Arial" w:cs="Arial"/>
          <w:sz w:val="20"/>
          <w:szCs w:val="20"/>
        </w:rPr>
        <w:t xml:space="preserve"> of both variables. The figure shows pronounced fluctuations in food inflation and oil prices, particularly during periods of global oil market shocks and domestic macroeconomic instability. This pattern provides initial support for the adoption of a nonlinear modelling framework.</w:t>
      </w:r>
    </w:p>
    <w:p w:rsidR="001D2CC7" w:rsidRPr="001D2CC7" w:rsidRDefault="001D2CC7"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jc w:val="center"/>
        <w:rPr>
          <w:rFonts w:ascii="Arial" w:hAnsi="Arial" w:cs="Arial"/>
        </w:rPr>
      </w:pPr>
      <w:r w:rsidRPr="001D2CC7">
        <w:rPr>
          <w:rFonts w:ascii="Arial" w:hAnsi="Arial" w:cs="Arial"/>
        </w:rPr>
        <w:t>Table 1 Descriptive Statistics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8"/>
        <w:gridCol w:w="872"/>
        <w:gridCol w:w="1028"/>
        <w:gridCol w:w="1083"/>
        <w:gridCol w:w="1918"/>
      </w:tblGrid>
      <w:tr w:rsidR="001D2CC7" w:rsidRPr="001D2CC7" w:rsidTr="00785F7B">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Variable</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Mean</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Median</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Minimum</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Maximum</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Standard Deviation</w:t>
            </w:r>
          </w:p>
        </w:tc>
      </w:tr>
      <w:tr w:rsidR="001D2CC7" w:rsidRPr="001D2CC7" w:rsidTr="00271080">
        <w:tc>
          <w:tcPr>
            <w:tcW w:w="0" w:type="auto"/>
            <w:tcBorders>
              <w:top w:val="single" w:sz="4" w:space="0" w:color="auto"/>
            </w:tcBorders>
            <w:vAlign w:val="center"/>
            <w:hideMark/>
          </w:tcPr>
          <w:p w:rsidR="001D2CC7" w:rsidRPr="001D2CC7" w:rsidRDefault="001D2CC7" w:rsidP="00785F7B">
            <w:pPr>
              <w:rPr>
                <w:rFonts w:ascii="Arial" w:hAnsi="Arial" w:cs="Arial"/>
                <w:sz w:val="20"/>
                <w:szCs w:val="24"/>
              </w:rPr>
            </w:pPr>
            <w:r w:rsidRPr="001D2CC7">
              <w:rPr>
                <w:rFonts w:ascii="Arial" w:hAnsi="Arial" w:cs="Arial"/>
                <w:sz w:val="20"/>
                <w:szCs w:val="24"/>
              </w:rPr>
              <w:t>Log Food Inflation (</w:t>
            </w:r>
            <m:oMath>
              <m:r>
                <w:rPr>
                  <w:rStyle w:val="katex-mathml"/>
                  <w:rFonts w:ascii="Cambria Math" w:hAnsi="Cambria Math" w:cs="Arial"/>
                  <w:sz w:val="20"/>
                  <w:szCs w:val="24"/>
                </w:rPr>
                <m:t>lfood</m:t>
              </m:r>
            </m:oMath>
            <w:r w:rsidRPr="001D2CC7">
              <w:rPr>
                <w:rFonts w:ascii="Arial" w:hAnsi="Arial" w:cs="Arial"/>
                <w:sz w:val="20"/>
                <w:szCs w:val="24"/>
              </w:rPr>
              <w:t>)</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2.6566</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2.6810</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0.0953</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3.7104</w:t>
            </w:r>
          </w:p>
        </w:tc>
        <w:tc>
          <w:tcPr>
            <w:tcW w:w="0" w:type="auto"/>
            <w:tcBorders>
              <w:top w:val="single" w:sz="4" w:space="0" w:color="auto"/>
            </w:tcBorders>
            <w:vAlign w:val="center"/>
            <w:hideMark/>
          </w:tcPr>
          <w:p w:rsidR="001D2CC7" w:rsidRPr="001D2CC7" w:rsidRDefault="001D2CC7" w:rsidP="001D2CC7">
            <w:pPr>
              <w:pStyle w:val="HTMLPreformatted"/>
              <w:shd w:val="clear" w:color="auto" w:fill="FFFFFF"/>
              <w:wordWrap w:val="0"/>
              <w:jc w:val="center"/>
              <w:rPr>
                <w:rFonts w:ascii="Arial" w:eastAsia="Times New Roman" w:hAnsi="Arial" w:cs="Arial"/>
                <w:sz w:val="20"/>
                <w:szCs w:val="20"/>
              </w:rPr>
            </w:pPr>
            <w:r w:rsidRPr="001D2CC7">
              <w:rPr>
                <w:rFonts w:ascii="Arial" w:eastAsia="Times New Roman" w:hAnsi="Arial" w:cs="Arial"/>
                <w:sz w:val="20"/>
                <w:szCs w:val="20"/>
              </w:rPr>
              <w:t>0.5356</w:t>
            </w:r>
          </w:p>
        </w:tc>
      </w:tr>
      <w:tr w:rsidR="001D2CC7" w:rsidRPr="001D2CC7" w:rsidTr="00271080">
        <w:tc>
          <w:tcPr>
            <w:tcW w:w="0" w:type="auto"/>
            <w:vAlign w:val="center"/>
            <w:hideMark/>
          </w:tcPr>
          <w:p w:rsidR="001D2CC7" w:rsidRPr="001D2CC7" w:rsidRDefault="001D2CC7" w:rsidP="00785F7B">
            <w:pPr>
              <w:rPr>
                <w:rFonts w:ascii="Arial" w:hAnsi="Arial" w:cs="Arial"/>
                <w:sz w:val="20"/>
                <w:szCs w:val="24"/>
              </w:rPr>
            </w:pPr>
            <w:r w:rsidRPr="001D2CC7">
              <w:rPr>
                <w:rFonts w:ascii="Arial" w:hAnsi="Arial" w:cs="Arial"/>
                <w:sz w:val="20"/>
                <w:szCs w:val="24"/>
              </w:rPr>
              <w:t>Log Oil Price (</w:t>
            </w:r>
            <m:oMath>
              <m:r>
                <w:rPr>
                  <w:rStyle w:val="katex-mathml"/>
                  <w:rFonts w:ascii="Cambria Math" w:hAnsi="Cambria Math" w:cs="Arial"/>
                  <w:sz w:val="20"/>
                  <w:szCs w:val="24"/>
                </w:rPr>
                <m:t>loil</m:t>
              </m:r>
            </m:oMath>
            <w:r w:rsidRPr="001D2CC7">
              <w:rPr>
                <w:rFonts w:ascii="Arial" w:hAnsi="Arial" w:cs="Arial"/>
                <w:sz w:val="20"/>
                <w:szCs w:val="24"/>
              </w:rPr>
              <w:t>)</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4.3110</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4.3220</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2.6590</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4.9330</w:t>
            </w:r>
          </w:p>
        </w:tc>
        <w:tc>
          <w:tcPr>
            <w:tcW w:w="0" w:type="auto"/>
            <w:vAlign w:val="center"/>
            <w:hideMark/>
          </w:tcPr>
          <w:p w:rsidR="001D2CC7" w:rsidRPr="001D2CC7" w:rsidRDefault="001D2CC7" w:rsidP="001D2CC7">
            <w:pPr>
              <w:pStyle w:val="HTMLPreformatted"/>
              <w:shd w:val="clear" w:color="auto" w:fill="FFFFFF"/>
              <w:wordWrap w:val="0"/>
              <w:jc w:val="center"/>
              <w:rPr>
                <w:rFonts w:ascii="Arial" w:eastAsia="Times New Roman" w:hAnsi="Arial" w:cs="Arial"/>
                <w:sz w:val="20"/>
                <w:szCs w:val="20"/>
              </w:rPr>
            </w:pPr>
            <w:r w:rsidRPr="001D2CC7">
              <w:rPr>
                <w:rFonts w:ascii="Arial" w:eastAsia="Times New Roman" w:hAnsi="Arial" w:cs="Arial"/>
                <w:sz w:val="20"/>
                <w:szCs w:val="20"/>
              </w:rPr>
              <w:t>0.3436</w:t>
            </w:r>
          </w:p>
        </w:tc>
      </w:tr>
    </w:tbl>
    <w:p w:rsidR="001D2CC7" w:rsidRPr="001D2CC7" w:rsidRDefault="001D2CC7"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The results in Table 1 indicate noticeable variation in both variables over the study period. Food inflation exhibits relatively higher dispersion, reflecting persistent inflationary pressures in the Nigerian economy, while oil prices display substantial volatility consistent with fluctuations in global crude oil markets.</w:t>
      </w:r>
    </w:p>
    <w:p w:rsid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Table 2 presents the Augmented Dickey Fuller (ADF) test results used to examine the stationarity properties of the variables.</w:t>
      </w:r>
    </w:p>
    <w:p w:rsidR="006742E6" w:rsidRPr="001D2CC7" w:rsidRDefault="006742E6"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jc w:val="center"/>
        <w:rPr>
          <w:rFonts w:ascii="Arial" w:hAnsi="Arial" w:cs="Arial"/>
        </w:rPr>
      </w:pPr>
      <w:r w:rsidRPr="001D2CC7">
        <w:rPr>
          <w:rFonts w:ascii="Arial" w:hAnsi="Arial" w:cs="Arial"/>
        </w:rPr>
        <w:t>Table 2 Augmented Dickey Fuller Unit Root Test Results</w:t>
      </w:r>
    </w:p>
    <w:tbl>
      <w:tblPr>
        <w:tblStyle w:val="TableGrid"/>
        <w:tblW w:w="926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170"/>
        <w:gridCol w:w="1026"/>
        <w:gridCol w:w="1588"/>
        <w:gridCol w:w="1422"/>
        <w:gridCol w:w="1337"/>
      </w:tblGrid>
      <w:tr w:rsidR="001D2CC7" w:rsidRPr="001D2CC7" w:rsidTr="00A75DAC">
        <w:trPr>
          <w:jc w:val="center"/>
        </w:trPr>
        <w:tc>
          <w:tcPr>
            <w:tcW w:w="2718" w:type="dxa"/>
            <w:tcBorders>
              <w:top w:val="single" w:sz="4" w:space="0" w:color="auto"/>
              <w:bottom w:val="single" w:sz="4" w:space="0" w:color="auto"/>
            </w:tcBorders>
            <w:vAlign w:val="center"/>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Variable</w:t>
            </w:r>
          </w:p>
        </w:tc>
        <w:tc>
          <w:tcPr>
            <w:tcW w:w="1170" w:type="dxa"/>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Level ADF Statistic</w:t>
            </w:r>
          </w:p>
        </w:tc>
        <w:tc>
          <w:tcPr>
            <w:tcW w:w="0" w:type="auto"/>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Level p-value</w:t>
            </w:r>
          </w:p>
        </w:tc>
        <w:tc>
          <w:tcPr>
            <w:tcW w:w="1588" w:type="dxa"/>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First Difference ADF Statistic</w:t>
            </w:r>
          </w:p>
        </w:tc>
        <w:tc>
          <w:tcPr>
            <w:tcW w:w="1422" w:type="dxa"/>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First Difference p-value</w:t>
            </w:r>
          </w:p>
        </w:tc>
        <w:tc>
          <w:tcPr>
            <w:tcW w:w="1337" w:type="dxa"/>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Order of Integration</w:t>
            </w:r>
          </w:p>
        </w:tc>
      </w:tr>
      <w:tr w:rsidR="001D2CC7" w:rsidRPr="001D2CC7" w:rsidTr="00A75DAC">
        <w:trPr>
          <w:jc w:val="center"/>
        </w:trPr>
        <w:tc>
          <w:tcPr>
            <w:tcW w:w="2718" w:type="dxa"/>
            <w:tcBorders>
              <w:top w:val="single" w:sz="4" w:space="0" w:color="auto"/>
            </w:tcBorders>
            <w:vAlign w:val="center"/>
            <w:hideMark/>
          </w:tcPr>
          <w:p w:rsidR="001D2CC7" w:rsidRPr="001D2CC7" w:rsidRDefault="001D2CC7" w:rsidP="001D2CC7">
            <w:pPr>
              <w:rPr>
                <w:rFonts w:ascii="Arial" w:hAnsi="Arial" w:cs="Arial"/>
                <w:sz w:val="20"/>
                <w:szCs w:val="24"/>
              </w:rPr>
            </w:pPr>
            <w:r w:rsidRPr="001D2CC7">
              <w:rPr>
                <w:rFonts w:ascii="Arial" w:hAnsi="Arial" w:cs="Arial"/>
                <w:sz w:val="20"/>
                <w:szCs w:val="24"/>
              </w:rPr>
              <w:t>Log Food Inflation (</w:t>
            </w:r>
            <m:oMath>
              <m:r>
                <w:rPr>
                  <w:rStyle w:val="katex-mathml"/>
                  <w:rFonts w:ascii="Cambria Math" w:hAnsi="Cambria Math" w:cs="Arial"/>
                  <w:sz w:val="20"/>
                  <w:szCs w:val="24"/>
                </w:rPr>
                <m:t>lfood</m:t>
              </m:r>
            </m:oMath>
            <w:r w:rsidRPr="001D2CC7">
              <w:rPr>
                <w:rFonts w:ascii="Arial" w:hAnsi="Arial" w:cs="Arial"/>
                <w:sz w:val="20"/>
                <w:szCs w:val="24"/>
              </w:rPr>
              <w:t>)</w:t>
            </w:r>
          </w:p>
        </w:tc>
        <w:tc>
          <w:tcPr>
            <w:tcW w:w="1170" w:type="dxa"/>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-4.4120</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0.0100</w:t>
            </w:r>
          </w:p>
        </w:tc>
        <w:tc>
          <w:tcPr>
            <w:tcW w:w="1588" w:type="dxa"/>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-4.9952</w:t>
            </w:r>
          </w:p>
        </w:tc>
        <w:tc>
          <w:tcPr>
            <w:tcW w:w="1422" w:type="dxa"/>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0.0100</w:t>
            </w:r>
          </w:p>
        </w:tc>
        <w:tc>
          <w:tcPr>
            <w:tcW w:w="1337" w:type="dxa"/>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I(0)</w:t>
            </w:r>
          </w:p>
        </w:tc>
      </w:tr>
      <w:tr w:rsidR="001D2CC7" w:rsidRPr="001D2CC7" w:rsidTr="00A75DAC">
        <w:trPr>
          <w:jc w:val="center"/>
        </w:trPr>
        <w:tc>
          <w:tcPr>
            <w:tcW w:w="2718" w:type="dxa"/>
            <w:vAlign w:val="center"/>
            <w:hideMark/>
          </w:tcPr>
          <w:p w:rsidR="001D2CC7" w:rsidRPr="001D2CC7" w:rsidRDefault="001D2CC7" w:rsidP="001D2CC7">
            <w:pPr>
              <w:rPr>
                <w:rFonts w:ascii="Arial" w:hAnsi="Arial" w:cs="Arial"/>
                <w:sz w:val="20"/>
                <w:szCs w:val="24"/>
              </w:rPr>
            </w:pPr>
            <w:r w:rsidRPr="001D2CC7">
              <w:rPr>
                <w:rFonts w:ascii="Arial" w:hAnsi="Arial" w:cs="Arial"/>
                <w:sz w:val="20"/>
                <w:szCs w:val="24"/>
              </w:rPr>
              <w:t>Log Oil Price (</w:t>
            </w:r>
            <m:oMath>
              <m:r>
                <w:rPr>
                  <w:rStyle w:val="katex-mathml"/>
                  <w:rFonts w:ascii="Cambria Math" w:hAnsi="Cambria Math" w:cs="Arial"/>
                  <w:sz w:val="20"/>
                  <w:szCs w:val="24"/>
                </w:rPr>
                <m:t>loil</m:t>
              </m:r>
            </m:oMath>
            <w:r w:rsidRPr="001D2CC7">
              <w:rPr>
                <w:rFonts w:ascii="Arial" w:hAnsi="Arial" w:cs="Arial"/>
                <w:sz w:val="20"/>
                <w:szCs w:val="24"/>
              </w:rPr>
              <w:t>)</w:t>
            </w:r>
          </w:p>
        </w:tc>
        <w:tc>
          <w:tcPr>
            <w:tcW w:w="1170" w:type="dxa"/>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-2.8578</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0.2154</w:t>
            </w:r>
          </w:p>
        </w:tc>
        <w:tc>
          <w:tcPr>
            <w:tcW w:w="1588" w:type="dxa"/>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-6.0088</w:t>
            </w:r>
          </w:p>
        </w:tc>
        <w:tc>
          <w:tcPr>
            <w:tcW w:w="1422" w:type="dxa"/>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0.0100</w:t>
            </w:r>
          </w:p>
        </w:tc>
        <w:tc>
          <w:tcPr>
            <w:tcW w:w="1337" w:type="dxa"/>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I(1)</w:t>
            </w:r>
          </w:p>
        </w:tc>
      </w:tr>
    </w:tbl>
    <w:p w:rsidR="001D2CC7" w:rsidRPr="001D2CC7" w:rsidRDefault="001D2CC7"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 xml:space="preserve">The results indicate that food inflation is stationary at level, while oil price becomes stationary after first differencing. The combination of </w:t>
      </w:r>
      <w:proofErr w:type="gramStart"/>
      <w:r w:rsidRPr="001D2CC7">
        <w:rPr>
          <w:rFonts w:ascii="Arial" w:hAnsi="Arial" w:cs="Arial"/>
          <w:sz w:val="20"/>
          <w:szCs w:val="20"/>
        </w:rPr>
        <w:t>I(</w:t>
      </w:r>
      <w:proofErr w:type="gramEnd"/>
      <w:r w:rsidRPr="001D2CC7">
        <w:rPr>
          <w:rFonts w:ascii="Arial" w:hAnsi="Arial" w:cs="Arial"/>
          <w:sz w:val="20"/>
          <w:szCs w:val="20"/>
        </w:rPr>
        <w:t>0) and I(1) variables satisfies the econometric requirement for estimating the NARDL model.</w:t>
      </w:r>
    </w:p>
    <w:p w:rsidR="001D2CC7" w:rsidRPr="001D2CC7" w:rsidRDefault="001D2CC7" w:rsidP="001D2CC7">
      <w:pPr>
        <w:rPr>
          <w:rFonts w:ascii="Arial" w:hAnsi="Arial" w:cs="Arial"/>
        </w:rPr>
      </w:pPr>
      <w:r w:rsidRPr="001D2CC7">
        <w:rPr>
          <w:rFonts w:ascii="Arial" w:hAnsi="Arial" w:cs="Arial"/>
        </w:rPr>
        <w:t>4.2 NARDL Estimation Results</w:t>
      </w:r>
    </w:p>
    <w:p w:rsid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The NARDL model is estimated to capture both short run and long run asymmetric effects of oil price shocks on food inflation.</w:t>
      </w:r>
    </w:p>
    <w:p w:rsidR="006742E6" w:rsidRPr="001D2CC7" w:rsidRDefault="006742E6"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jc w:val="center"/>
        <w:rPr>
          <w:rFonts w:ascii="Arial" w:hAnsi="Arial" w:cs="Arial"/>
        </w:rPr>
      </w:pPr>
      <w:r w:rsidRPr="001D2CC7">
        <w:rPr>
          <w:rFonts w:ascii="Arial" w:hAnsi="Arial" w:cs="Arial"/>
        </w:rPr>
        <w:t>Table 3 Short Run NARDL Estimation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161"/>
        <w:gridCol w:w="1528"/>
        <w:gridCol w:w="1039"/>
        <w:gridCol w:w="1150"/>
      </w:tblGrid>
      <w:tr w:rsidR="001D2CC7" w:rsidRPr="001D2CC7" w:rsidTr="00785F7B">
        <w:trPr>
          <w:jc w:val="center"/>
        </w:trPr>
        <w:tc>
          <w:tcPr>
            <w:tcW w:w="0" w:type="auto"/>
            <w:tcBorders>
              <w:top w:val="single" w:sz="4" w:space="0" w:color="auto"/>
              <w:bottom w:val="single" w:sz="4" w:space="0" w:color="auto"/>
            </w:tcBorders>
            <w:vAlign w:val="center"/>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Variable</w:t>
            </w:r>
          </w:p>
        </w:tc>
        <w:tc>
          <w:tcPr>
            <w:tcW w:w="0" w:type="auto"/>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Coefficient</w:t>
            </w:r>
          </w:p>
        </w:tc>
        <w:tc>
          <w:tcPr>
            <w:tcW w:w="0" w:type="auto"/>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Standard Error</w:t>
            </w:r>
          </w:p>
        </w:tc>
        <w:tc>
          <w:tcPr>
            <w:tcW w:w="0" w:type="auto"/>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t-Statistic</w:t>
            </w:r>
          </w:p>
        </w:tc>
        <w:tc>
          <w:tcPr>
            <w:tcW w:w="0" w:type="auto"/>
            <w:tcBorders>
              <w:top w:val="single" w:sz="4" w:space="0" w:color="auto"/>
              <w:bottom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Probability</w:t>
            </w:r>
          </w:p>
        </w:tc>
      </w:tr>
      <w:tr w:rsidR="001D2CC7" w:rsidRPr="001D2CC7" w:rsidTr="00785F7B">
        <w:trPr>
          <w:jc w:val="center"/>
        </w:trPr>
        <w:tc>
          <w:tcPr>
            <w:tcW w:w="0" w:type="auto"/>
            <w:tcBorders>
              <w:top w:val="single" w:sz="4" w:space="0" w:color="auto"/>
            </w:tcBorders>
            <w:vAlign w:val="center"/>
            <w:hideMark/>
          </w:tcPr>
          <w:p w:rsidR="001D2CC7" w:rsidRPr="001D2CC7" w:rsidRDefault="001D2CC7" w:rsidP="001D2CC7">
            <w:pPr>
              <w:rPr>
                <w:rFonts w:ascii="Arial" w:hAnsi="Arial" w:cs="Arial"/>
                <w:sz w:val="20"/>
                <w:szCs w:val="24"/>
              </w:rPr>
            </w:pPr>
            <w:r w:rsidRPr="001D2CC7">
              <w:rPr>
                <w:rFonts w:ascii="Arial" w:hAnsi="Arial" w:cs="Arial"/>
                <w:sz w:val="20"/>
                <w:szCs w:val="24"/>
              </w:rPr>
              <w:t>Constant</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0.257493</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0.060599</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4.249</w:t>
            </w:r>
          </w:p>
        </w:tc>
        <w:tc>
          <w:tcPr>
            <w:tcW w:w="0" w:type="auto"/>
            <w:tcBorders>
              <w:top w:val="single" w:sz="4" w:space="0" w:color="auto"/>
            </w:tcBorders>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0.0000</w:t>
            </w:r>
          </w:p>
        </w:tc>
      </w:tr>
      <w:tr w:rsidR="001D2CC7" w:rsidRPr="001D2CC7" w:rsidTr="00785F7B">
        <w:trPr>
          <w:jc w:val="center"/>
        </w:trPr>
        <w:tc>
          <w:tcPr>
            <w:tcW w:w="0" w:type="auto"/>
            <w:vAlign w:val="center"/>
            <w:hideMark/>
          </w:tcPr>
          <w:p w:rsidR="001D2CC7" w:rsidRPr="001D2CC7" w:rsidRDefault="004B4CA2" w:rsidP="001D2CC7">
            <w:pPr>
              <w:jc w:val="cente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t-1</m:t>
                    </m:r>
                  </m:sub>
                </m:sSub>
              </m:oMath>
            </m:oMathPara>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-0.033652</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0.060865</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-0.553</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0.5810</w:t>
            </w:r>
          </w:p>
        </w:tc>
      </w:tr>
      <w:tr w:rsidR="001D2CC7" w:rsidRPr="001D2CC7" w:rsidTr="00785F7B">
        <w:trPr>
          <w:jc w:val="center"/>
        </w:trPr>
        <w:tc>
          <w:tcPr>
            <w:tcW w:w="0" w:type="auto"/>
            <w:vAlign w:val="center"/>
            <w:hideMark/>
          </w:tcPr>
          <w:p w:rsidR="001D2CC7" w:rsidRPr="001D2CC7" w:rsidRDefault="004B4CA2" w:rsidP="001D2CC7">
            <w:pPr>
              <w:jc w:val="cente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t-2</m:t>
                    </m:r>
                  </m:sub>
                </m:sSub>
              </m:oMath>
            </m:oMathPara>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-0.063322</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0.083476</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-0.759</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0.4490</w:t>
            </w:r>
          </w:p>
        </w:tc>
      </w:tr>
      <w:tr w:rsidR="001D2CC7" w:rsidRPr="001D2CC7" w:rsidTr="00785F7B">
        <w:trPr>
          <w:jc w:val="center"/>
        </w:trPr>
        <w:tc>
          <w:tcPr>
            <w:tcW w:w="0" w:type="auto"/>
            <w:vAlign w:val="center"/>
            <w:hideMark/>
          </w:tcPr>
          <w:p w:rsidR="001D2CC7" w:rsidRPr="001D2CC7" w:rsidRDefault="004B4CA2" w:rsidP="001D2CC7">
            <w:pPr>
              <w:jc w:val="cente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t-3</m:t>
                    </m:r>
                  </m:sub>
                </m:sSub>
              </m:oMath>
            </m:oMathPara>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-0.057690</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0.083466</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-0.691</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0.4900</w:t>
            </w:r>
          </w:p>
        </w:tc>
      </w:tr>
      <w:tr w:rsidR="001D2CC7" w:rsidRPr="001D2CC7" w:rsidTr="00785F7B">
        <w:trPr>
          <w:jc w:val="center"/>
        </w:trPr>
        <w:tc>
          <w:tcPr>
            <w:tcW w:w="0" w:type="auto"/>
            <w:vAlign w:val="center"/>
            <w:hideMark/>
          </w:tcPr>
          <w:p w:rsidR="001D2CC7" w:rsidRPr="001D2CC7" w:rsidRDefault="004B4CA2" w:rsidP="001D2CC7">
            <w:pPr>
              <w:jc w:val="cente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t-4</m:t>
                    </m:r>
                  </m:sub>
                </m:sSub>
              </m:oMath>
            </m:oMathPara>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0.462206</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0.083389</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5.543</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0.0000</w:t>
            </w:r>
          </w:p>
        </w:tc>
      </w:tr>
      <w:tr w:rsidR="001D2CC7" w:rsidRPr="001D2CC7" w:rsidTr="00785F7B">
        <w:trPr>
          <w:jc w:val="center"/>
        </w:trPr>
        <w:tc>
          <w:tcPr>
            <w:tcW w:w="0" w:type="auto"/>
            <w:vAlign w:val="center"/>
            <w:hideMark/>
          </w:tcPr>
          <w:p w:rsidR="001D2CC7" w:rsidRPr="001D2CC7" w:rsidRDefault="004B4CA2" w:rsidP="001D2CC7">
            <w:pPr>
              <w:jc w:val="cente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t-5</m:t>
                    </m:r>
                  </m:sub>
                </m:sSub>
              </m:oMath>
            </m:oMathPara>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-0.431702</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0.060627</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-7.121</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0.0000</w:t>
            </w:r>
          </w:p>
        </w:tc>
      </w:tr>
      <w:tr w:rsidR="001D2CC7" w:rsidRPr="001D2CC7" w:rsidTr="00785F7B">
        <w:trPr>
          <w:jc w:val="center"/>
        </w:trPr>
        <w:tc>
          <w:tcPr>
            <w:tcW w:w="0" w:type="auto"/>
            <w:vAlign w:val="center"/>
            <w:hideMark/>
          </w:tcPr>
          <w:p w:rsidR="001D2CC7" w:rsidRPr="001D2CC7" w:rsidRDefault="001D2CC7" w:rsidP="001D2CC7">
            <w:pPr>
              <w:jc w:val="center"/>
              <w:rPr>
                <w:rFonts w:ascii="Arial" w:hAnsi="Arial" w:cs="Arial"/>
                <w:sz w:val="20"/>
                <w:szCs w:val="24"/>
              </w:rPr>
            </w:pPr>
            <w:r w:rsidRPr="001D2CC7">
              <w:rPr>
                <w:rFonts w:ascii="Arial" w:hAnsi="Arial" w:cs="Arial"/>
                <w:sz w:val="20"/>
                <w:szCs w:val="24"/>
              </w:rPr>
              <w:t>Positive Oil Shock (</w:t>
            </w: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loil</m:t>
                  </m:r>
                </m:e>
                <m:sub>
                  <m:r>
                    <w:rPr>
                      <w:rStyle w:val="katex-mathml"/>
                      <w:rFonts w:ascii="Cambria Math" w:hAnsi="Cambria Math" w:cs="Arial"/>
                      <w:sz w:val="20"/>
                      <w:szCs w:val="24"/>
                    </w:rPr>
                    <m:t>p</m:t>
                  </m:r>
                </m:sub>
              </m:sSub>
            </m:oMath>
            <w:r w:rsidRPr="001D2CC7">
              <w:rPr>
                <w:rFonts w:ascii="Arial" w:hAnsi="Arial" w:cs="Arial"/>
                <w:sz w:val="20"/>
                <w:szCs w:val="24"/>
              </w:rPr>
              <w:t>)</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0.021045</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0.028242</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0.745</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0.4570</w:t>
            </w:r>
          </w:p>
        </w:tc>
      </w:tr>
      <w:tr w:rsidR="001D2CC7" w:rsidRPr="001D2CC7" w:rsidTr="00785F7B">
        <w:trPr>
          <w:jc w:val="center"/>
        </w:trPr>
        <w:tc>
          <w:tcPr>
            <w:tcW w:w="0" w:type="auto"/>
            <w:vAlign w:val="center"/>
            <w:hideMark/>
          </w:tcPr>
          <w:p w:rsidR="001D2CC7" w:rsidRPr="001D2CC7" w:rsidRDefault="001D2CC7" w:rsidP="001D2CC7">
            <w:pPr>
              <w:jc w:val="center"/>
              <w:rPr>
                <w:rFonts w:ascii="Arial" w:hAnsi="Arial" w:cs="Arial"/>
                <w:sz w:val="20"/>
                <w:szCs w:val="24"/>
              </w:rPr>
            </w:pPr>
            <w:r w:rsidRPr="001D2CC7">
              <w:rPr>
                <w:rFonts w:ascii="Arial" w:hAnsi="Arial" w:cs="Arial"/>
                <w:sz w:val="20"/>
                <w:szCs w:val="24"/>
              </w:rPr>
              <w:t xml:space="preserve">Negative Oil Shock </w:t>
            </w:r>
            <m:oMath>
              <m:r>
                <w:rPr>
                  <w:rFonts w:ascii="Cambria Math" w:hAnsi="Cambria Math" w:cs="Arial"/>
                  <w:sz w:val="20"/>
                  <w:szCs w:val="24"/>
                </w:rPr>
                <m:t>(</m:t>
              </m:r>
              <m:sSub>
                <m:sSubPr>
                  <m:ctrlPr>
                    <w:rPr>
                      <w:rStyle w:val="katex-mathml"/>
                      <w:rFonts w:ascii="Cambria Math" w:hAnsi="Cambria Math" w:cs="Arial"/>
                      <w:i/>
                      <w:sz w:val="20"/>
                      <w:szCs w:val="24"/>
                    </w:rPr>
                  </m:ctrlPr>
                </m:sSubPr>
                <m:e>
                  <m:r>
                    <w:rPr>
                      <w:rStyle w:val="katex-mathml"/>
                      <w:rFonts w:ascii="Cambria Math" w:hAnsi="Cambria Math" w:cs="Arial"/>
                      <w:sz w:val="20"/>
                      <w:szCs w:val="24"/>
                    </w:rPr>
                    <m:t>loil</m:t>
                  </m:r>
                </m:e>
                <m:sub>
                  <m:r>
                    <w:rPr>
                      <w:rStyle w:val="katex-mathml"/>
                      <w:rFonts w:ascii="Cambria Math" w:hAnsi="Cambria Math" w:cs="Arial"/>
                      <w:sz w:val="20"/>
                      <w:szCs w:val="24"/>
                    </w:rPr>
                    <m:t>n</m:t>
                  </m:r>
                </m:sub>
              </m:sSub>
            </m:oMath>
            <w:r w:rsidRPr="001D2CC7">
              <w:rPr>
                <w:rFonts w:ascii="Arial" w:hAnsi="Arial" w:cs="Arial"/>
                <w:sz w:val="20"/>
                <w:szCs w:val="24"/>
              </w:rPr>
              <w:t>)</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0.004459</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0.027685</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0.161</w:t>
            </w:r>
          </w:p>
        </w:tc>
        <w:tc>
          <w:tcPr>
            <w:tcW w:w="0" w:type="auto"/>
            <w:vAlign w:val="center"/>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0.8720</w:t>
            </w:r>
          </w:p>
        </w:tc>
      </w:tr>
    </w:tbl>
    <w:p w:rsidR="001D2CC7" w:rsidRPr="001D2CC7" w:rsidRDefault="001D2CC7" w:rsidP="001D2CC7">
      <w:pPr>
        <w:jc w:val="both"/>
        <w:rPr>
          <w:rFonts w:ascii="Arial" w:hAnsi="Arial" w:cs="Arial"/>
        </w:rPr>
      </w:pPr>
    </w:p>
    <w:p w:rsidR="001D2CC7" w:rsidRDefault="001D2CC7" w:rsidP="001D2CC7">
      <w:pPr>
        <w:jc w:val="both"/>
        <w:rPr>
          <w:rFonts w:ascii="Arial" w:hAnsi="Arial" w:cs="Arial"/>
        </w:rPr>
      </w:pPr>
      <w:r w:rsidRPr="001D2CC7">
        <w:rPr>
          <w:rFonts w:ascii="Arial" w:hAnsi="Arial" w:cs="Arial"/>
        </w:rPr>
        <w:t>As shown in Table 3, the lagged dependent variables indicate significant inflation persistence, confirming dynamic adjustment in food prices. However, both positive and negative oil price shocks are statistically insignificant at conventional levels. This suggests that short run pass-through from oil price movements to food inflation is weak when shocks are considered individually. Although insignificant, the magnitude of the positive oil shock coefficient is higher than that of the negative shock, suggesting potential directional asymmetry. However, this evidence is not sufficient on its own and is formally tested using Wald restrictions in a later section.</w:t>
      </w:r>
    </w:p>
    <w:p w:rsidR="006742E6" w:rsidRPr="001D2CC7" w:rsidRDefault="006742E6" w:rsidP="001D2CC7">
      <w:pPr>
        <w:jc w:val="both"/>
        <w:rPr>
          <w:rFonts w:ascii="Arial" w:hAnsi="Arial" w:cs="Arial"/>
        </w:rPr>
      </w:pPr>
    </w:p>
    <w:p w:rsidR="001D2CC7" w:rsidRPr="001D2CC7" w:rsidRDefault="001D2CC7" w:rsidP="001D2CC7">
      <w:pPr>
        <w:jc w:val="center"/>
        <w:rPr>
          <w:rFonts w:ascii="Arial" w:hAnsi="Arial" w:cs="Arial"/>
        </w:rPr>
      </w:pPr>
      <w:r w:rsidRPr="001D2CC7">
        <w:rPr>
          <w:rFonts w:ascii="Arial" w:hAnsi="Arial" w:cs="Arial"/>
        </w:rPr>
        <w:t>Table 4 Bounds Cointegration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817"/>
        <w:gridCol w:w="817"/>
      </w:tblGrid>
      <w:tr w:rsidR="001D2CC7" w:rsidRPr="001D2CC7" w:rsidTr="00785F7B">
        <w:trPr>
          <w:jc w:val="center"/>
        </w:trPr>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Statistic</w:t>
            </w:r>
          </w:p>
        </w:tc>
        <w:tc>
          <w:tcPr>
            <w:tcW w:w="1634" w:type="dxa"/>
            <w:gridSpan w:val="2"/>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Value</w:t>
            </w:r>
          </w:p>
        </w:tc>
      </w:tr>
      <w:tr w:rsidR="001D2CC7" w:rsidRPr="001D2CC7" w:rsidTr="00785F7B">
        <w:trPr>
          <w:jc w:val="center"/>
        </w:trPr>
        <w:tc>
          <w:tcPr>
            <w:tcW w:w="0" w:type="auto"/>
            <w:tcBorders>
              <w:top w:val="single" w:sz="4" w:space="0" w:color="auto"/>
              <w:bottom w:val="nil"/>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lastRenderedPageBreak/>
              <w:t>F-statistic</w:t>
            </w:r>
          </w:p>
        </w:tc>
        <w:tc>
          <w:tcPr>
            <w:tcW w:w="1634" w:type="dxa"/>
            <w:gridSpan w:val="2"/>
            <w:tcBorders>
              <w:top w:val="single" w:sz="4" w:space="0" w:color="auto"/>
              <w:bottom w:val="nil"/>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9.2722</w:t>
            </w:r>
          </w:p>
        </w:tc>
      </w:tr>
      <w:tr w:rsidR="001D2CC7" w:rsidRPr="001D2CC7" w:rsidTr="00785F7B">
        <w:trPr>
          <w:jc w:val="center"/>
        </w:trPr>
        <w:tc>
          <w:tcPr>
            <w:tcW w:w="0" w:type="auto"/>
            <w:tcBorders>
              <w:top w:val="nil"/>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Critical Values</w:t>
            </w:r>
          </w:p>
        </w:tc>
        <w:tc>
          <w:tcPr>
            <w:tcW w:w="0" w:type="auto"/>
            <w:tcBorders>
              <w:top w:val="nil"/>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I(0)</w:t>
            </w:r>
          </w:p>
        </w:tc>
        <w:tc>
          <w:tcPr>
            <w:tcW w:w="0" w:type="auto"/>
            <w:tcBorders>
              <w:top w:val="nil"/>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I(1)</w:t>
            </w:r>
          </w:p>
        </w:tc>
      </w:tr>
      <w:tr w:rsidR="001D2CC7" w:rsidRPr="001D2CC7" w:rsidTr="00785F7B">
        <w:trPr>
          <w:jc w:val="center"/>
        </w:trPr>
        <w:tc>
          <w:tcPr>
            <w:tcW w:w="0" w:type="auto"/>
            <w:tcBorders>
              <w:top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10%</w:t>
            </w:r>
          </w:p>
        </w:tc>
        <w:tc>
          <w:tcPr>
            <w:tcW w:w="0" w:type="auto"/>
            <w:tcBorders>
              <w:top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3.17</w:t>
            </w:r>
          </w:p>
        </w:tc>
        <w:tc>
          <w:tcPr>
            <w:tcW w:w="0" w:type="auto"/>
            <w:tcBorders>
              <w:top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4.14</w:t>
            </w:r>
          </w:p>
        </w:tc>
      </w:tr>
      <w:tr w:rsidR="001D2CC7" w:rsidRPr="001D2CC7" w:rsidTr="00785F7B">
        <w:trPr>
          <w:jc w:val="center"/>
        </w:trPr>
        <w:tc>
          <w:tcPr>
            <w:tcW w:w="0" w:type="auto"/>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5%</w:t>
            </w:r>
          </w:p>
        </w:tc>
        <w:tc>
          <w:tcPr>
            <w:tcW w:w="0" w:type="auto"/>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3.79</w:t>
            </w:r>
          </w:p>
        </w:tc>
        <w:tc>
          <w:tcPr>
            <w:tcW w:w="0" w:type="auto"/>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4.85</w:t>
            </w:r>
          </w:p>
        </w:tc>
      </w:tr>
      <w:tr w:rsidR="001D2CC7" w:rsidRPr="001D2CC7" w:rsidTr="00785F7B">
        <w:trPr>
          <w:jc w:val="center"/>
        </w:trPr>
        <w:tc>
          <w:tcPr>
            <w:tcW w:w="0" w:type="auto"/>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1%</w:t>
            </w:r>
          </w:p>
        </w:tc>
        <w:tc>
          <w:tcPr>
            <w:tcW w:w="0" w:type="auto"/>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5.15</w:t>
            </w:r>
          </w:p>
        </w:tc>
        <w:tc>
          <w:tcPr>
            <w:tcW w:w="0" w:type="auto"/>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6.36</w:t>
            </w:r>
          </w:p>
        </w:tc>
      </w:tr>
    </w:tbl>
    <w:p w:rsidR="001D2CC7" w:rsidRPr="001D2CC7" w:rsidRDefault="001D2CC7" w:rsidP="001D2CC7">
      <w:pPr>
        <w:pStyle w:val="NormalWeb"/>
        <w:spacing w:before="0" w:beforeAutospacing="0" w:after="0" w:afterAutospacing="0"/>
        <w:jc w:val="both"/>
        <w:rPr>
          <w:rFonts w:ascii="Arial" w:hAnsi="Arial" w:cs="Arial"/>
          <w:sz w:val="20"/>
          <w:szCs w:val="20"/>
        </w:rPr>
      </w:pPr>
    </w:p>
    <w:p w:rsid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The results in Table 4 show that the F-statistic exceeds the upper bound critical values at the 1 percent level. This confirms the existence of a stable long run relationship between oil price shocks and food inflation.</w:t>
      </w:r>
    </w:p>
    <w:p w:rsidR="006742E6" w:rsidRPr="001D2CC7" w:rsidRDefault="006742E6"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jc w:val="center"/>
        <w:rPr>
          <w:rFonts w:ascii="Arial" w:hAnsi="Arial" w:cs="Arial"/>
        </w:rPr>
      </w:pPr>
      <w:r w:rsidRPr="001D2CC7">
        <w:rPr>
          <w:rFonts w:ascii="Arial" w:hAnsi="Arial" w:cs="Arial"/>
        </w:rPr>
        <w:t>Table 5 Long Run NARDL Estimates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161"/>
        <w:gridCol w:w="1528"/>
        <w:gridCol w:w="1039"/>
        <w:gridCol w:w="1150"/>
      </w:tblGrid>
      <w:tr w:rsidR="001D2CC7" w:rsidRPr="001D2CC7" w:rsidTr="00785F7B">
        <w:trPr>
          <w:jc w:val="center"/>
        </w:trPr>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Variable</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Coefficient</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Standard Error</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t-Statistic</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Probability</w:t>
            </w:r>
          </w:p>
        </w:tc>
      </w:tr>
      <w:tr w:rsidR="001D2CC7" w:rsidRPr="001D2CC7" w:rsidTr="00785F7B">
        <w:trPr>
          <w:jc w:val="center"/>
        </w:trPr>
        <w:tc>
          <w:tcPr>
            <w:tcW w:w="0" w:type="auto"/>
            <w:tcBorders>
              <w:top w:val="single" w:sz="4" w:space="0" w:color="auto"/>
            </w:tcBorders>
            <w:hideMark/>
          </w:tcPr>
          <w:p w:rsidR="001D2CC7" w:rsidRPr="001D2CC7" w:rsidRDefault="004B4CA2" w:rsidP="001D2CC7">
            <w:pP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t-2</m:t>
                    </m:r>
                  </m:sub>
                </m:sSub>
              </m:oMath>
            </m:oMathPara>
          </w:p>
        </w:tc>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-1.88166</w:t>
            </w:r>
          </w:p>
        </w:tc>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5.40729</w:t>
            </w:r>
          </w:p>
        </w:tc>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-0.3480</w:t>
            </w:r>
          </w:p>
        </w:tc>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0.7279</w:t>
            </w:r>
          </w:p>
        </w:tc>
      </w:tr>
      <w:tr w:rsidR="001D2CC7" w:rsidRPr="001D2CC7" w:rsidTr="00785F7B">
        <w:trPr>
          <w:jc w:val="center"/>
        </w:trPr>
        <w:tc>
          <w:tcPr>
            <w:tcW w:w="0" w:type="auto"/>
            <w:hideMark/>
          </w:tcPr>
          <w:p w:rsidR="001D2CC7" w:rsidRPr="001D2CC7" w:rsidRDefault="004B4CA2" w:rsidP="001D2CC7">
            <w:pP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t-3</m:t>
                    </m:r>
                  </m:sub>
                </m:sSub>
              </m:oMath>
            </m:oMathPara>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-1.71432</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3.89708</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-0.4399</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0.6600</w:t>
            </w:r>
          </w:p>
        </w:tc>
      </w:tr>
      <w:tr w:rsidR="001D2CC7" w:rsidRPr="001D2CC7" w:rsidTr="00785F7B">
        <w:trPr>
          <w:jc w:val="center"/>
        </w:trPr>
        <w:tc>
          <w:tcPr>
            <w:tcW w:w="0" w:type="auto"/>
            <w:hideMark/>
          </w:tcPr>
          <w:p w:rsidR="001D2CC7" w:rsidRPr="001D2CC7" w:rsidRDefault="004B4CA2" w:rsidP="001D2CC7">
            <w:pP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t-4</m:t>
                    </m:r>
                  </m:sub>
                </m:sSub>
              </m:oMath>
            </m:oMathPara>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13.73489</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25.01305</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0.5491</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0.5829</w:t>
            </w:r>
          </w:p>
        </w:tc>
      </w:tr>
      <w:tr w:rsidR="001D2CC7" w:rsidRPr="001D2CC7" w:rsidTr="00785F7B">
        <w:trPr>
          <w:jc w:val="center"/>
        </w:trPr>
        <w:tc>
          <w:tcPr>
            <w:tcW w:w="0" w:type="auto"/>
            <w:hideMark/>
          </w:tcPr>
          <w:p w:rsidR="001D2CC7" w:rsidRPr="001D2CC7" w:rsidRDefault="004B4CA2" w:rsidP="001D2CC7">
            <w:pPr>
              <w:rPr>
                <w:rFonts w:ascii="Arial" w:hAnsi="Arial" w:cs="Arial"/>
                <w:sz w:val="20"/>
                <w:szCs w:val="24"/>
              </w:rPr>
            </w:pPr>
            <m:oMathPara>
              <m:oMathParaPr>
                <m:jc m:val="left"/>
              </m:oMathParaP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lfood</m:t>
                    </m:r>
                  </m:e>
                  <m:sub>
                    <m:r>
                      <w:rPr>
                        <w:rStyle w:val="katex-mathml"/>
                        <w:rFonts w:ascii="Cambria Math" w:hAnsi="Cambria Math" w:cs="Arial"/>
                        <w:sz w:val="20"/>
                        <w:szCs w:val="24"/>
                      </w:rPr>
                      <m:t>t-5</m:t>
                    </m:r>
                  </m:sub>
                </m:sSub>
              </m:oMath>
            </m:oMathPara>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-12.82843</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23.36781</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-0.5490</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0.5830</w:t>
            </w:r>
          </w:p>
        </w:tc>
      </w:tr>
      <w:tr w:rsidR="001D2CC7" w:rsidRPr="001D2CC7" w:rsidTr="00785F7B">
        <w:trPr>
          <w:jc w:val="center"/>
        </w:trPr>
        <w:tc>
          <w:tcPr>
            <w:tcW w:w="0" w:type="auto"/>
            <w:hideMark/>
          </w:tcPr>
          <w:p w:rsidR="001D2CC7" w:rsidRPr="001D2CC7" w:rsidRDefault="001D2CC7" w:rsidP="001D2CC7">
            <w:pPr>
              <w:jc w:val="both"/>
              <w:rPr>
                <w:rFonts w:ascii="Arial" w:hAnsi="Arial" w:cs="Arial"/>
                <w:sz w:val="20"/>
                <w:szCs w:val="24"/>
              </w:rPr>
            </w:pPr>
            <w:r w:rsidRPr="001D2CC7">
              <w:rPr>
                <w:rFonts w:ascii="Arial" w:hAnsi="Arial" w:cs="Arial"/>
                <w:sz w:val="20"/>
                <w:szCs w:val="24"/>
              </w:rPr>
              <w:t>Positive Oil Shock (</w:t>
            </w:r>
            <m:oMath>
              <m:sSub>
                <m:sSubPr>
                  <m:ctrlPr>
                    <w:rPr>
                      <w:rStyle w:val="katex-mathml"/>
                      <w:rFonts w:ascii="Cambria Math" w:hAnsi="Cambria Math" w:cs="Arial"/>
                      <w:i/>
                      <w:sz w:val="20"/>
                      <w:szCs w:val="24"/>
                    </w:rPr>
                  </m:ctrlPr>
                </m:sSubPr>
                <m:e>
                  <m:r>
                    <w:rPr>
                      <w:rStyle w:val="katex-mathml"/>
                      <w:rFonts w:ascii="Cambria Math" w:hAnsi="Cambria Math" w:cs="Arial"/>
                      <w:sz w:val="20"/>
                      <w:szCs w:val="24"/>
                    </w:rPr>
                    <m:t>loil</m:t>
                  </m:r>
                </m:e>
                <m:sub>
                  <m:r>
                    <w:rPr>
                      <w:rStyle w:val="katex-mathml"/>
                      <w:rFonts w:ascii="Cambria Math" w:hAnsi="Cambria Math" w:cs="Arial"/>
                      <w:sz w:val="20"/>
                      <w:szCs w:val="24"/>
                    </w:rPr>
                    <m:t>p</m:t>
                  </m:r>
                </m:sub>
              </m:sSub>
            </m:oMath>
            <w:r w:rsidRPr="001D2CC7">
              <w:rPr>
                <w:rFonts w:ascii="Arial" w:hAnsi="Arial" w:cs="Arial"/>
                <w:sz w:val="20"/>
                <w:szCs w:val="24"/>
              </w:rPr>
              <w:t>)</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0.62538</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1.36565</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0.4579</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0.6470</w:t>
            </w:r>
          </w:p>
        </w:tc>
      </w:tr>
      <w:tr w:rsidR="001D2CC7" w:rsidRPr="001D2CC7" w:rsidTr="00785F7B">
        <w:trPr>
          <w:jc w:val="center"/>
        </w:trPr>
        <w:tc>
          <w:tcPr>
            <w:tcW w:w="0" w:type="auto"/>
            <w:hideMark/>
          </w:tcPr>
          <w:p w:rsidR="001D2CC7" w:rsidRPr="001D2CC7" w:rsidRDefault="001D2CC7" w:rsidP="001D2CC7">
            <w:pPr>
              <w:jc w:val="both"/>
              <w:rPr>
                <w:rFonts w:ascii="Arial" w:hAnsi="Arial" w:cs="Arial"/>
                <w:sz w:val="20"/>
                <w:szCs w:val="24"/>
              </w:rPr>
            </w:pPr>
            <w:r w:rsidRPr="001D2CC7">
              <w:rPr>
                <w:rFonts w:ascii="Arial" w:hAnsi="Arial" w:cs="Arial"/>
                <w:sz w:val="20"/>
                <w:szCs w:val="24"/>
              </w:rPr>
              <w:t xml:space="preserve">Negative Oil Shock </w:t>
            </w:r>
            <m:oMath>
              <m:r>
                <w:rPr>
                  <w:rFonts w:ascii="Cambria Math" w:hAnsi="Cambria Math" w:cs="Arial"/>
                  <w:sz w:val="20"/>
                  <w:szCs w:val="24"/>
                </w:rPr>
                <m:t>(</m:t>
              </m:r>
              <m:sSub>
                <m:sSubPr>
                  <m:ctrlPr>
                    <w:rPr>
                      <w:rStyle w:val="katex-mathml"/>
                      <w:rFonts w:ascii="Cambria Math" w:hAnsi="Cambria Math" w:cs="Arial"/>
                      <w:i/>
                      <w:sz w:val="20"/>
                      <w:szCs w:val="24"/>
                    </w:rPr>
                  </m:ctrlPr>
                </m:sSubPr>
                <m:e>
                  <m:r>
                    <w:rPr>
                      <w:rStyle w:val="katex-mathml"/>
                      <w:rFonts w:ascii="Cambria Math" w:hAnsi="Cambria Math" w:cs="Arial"/>
                      <w:sz w:val="20"/>
                      <w:szCs w:val="24"/>
                    </w:rPr>
                    <m:t>loil</m:t>
                  </m:r>
                </m:e>
                <m:sub>
                  <m:r>
                    <w:rPr>
                      <w:rStyle w:val="katex-mathml"/>
                      <w:rFonts w:ascii="Cambria Math" w:hAnsi="Cambria Math" w:cs="Arial"/>
                      <w:sz w:val="20"/>
                      <w:szCs w:val="24"/>
                    </w:rPr>
                    <m:t>n</m:t>
                  </m:r>
                </m:sub>
              </m:sSub>
            </m:oMath>
            <w:r w:rsidRPr="001D2CC7">
              <w:rPr>
                <w:rFonts w:ascii="Arial" w:hAnsi="Arial" w:cs="Arial"/>
                <w:sz w:val="20"/>
                <w:szCs w:val="24"/>
              </w:rPr>
              <w:t>)</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0.13249</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0.84890</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0.1561</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0.8760</w:t>
            </w:r>
          </w:p>
        </w:tc>
      </w:tr>
    </w:tbl>
    <w:p w:rsidR="006742E6" w:rsidRDefault="006742E6"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 xml:space="preserve">The results in Table 5 indicate that both positive and negative oil price shocks are statistically insignificant in the long run when considered individually. However, the positive shock coefficient is relatively larger in magnitude, suggesting possible asymmetry in transmission, although weak in statistical support. </w:t>
      </w:r>
      <w:r w:rsidR="00623950" w:rsidRPr="00623950">
        <w:rPr>
          <w:rFonts w:ascii="Arial" w:hAnsi="Arial" w:cs="Arial"/>
          <w:sz w:val="20"/>
          <w:szCs w:val="20"/>
        </w:rPr>
        <w:t>This suggests weak long run pass-through effects from oil prices to food inflation, despite evidence of asymmetric adjustment from the Wald tests.</w:t>
      </w:r>
    </w:p>
    <w:p w:rsidR="001D2CC7" w:rsidRPr="001D2CC7" w:rsidRDefault="001D2CC7" w:rsidP="001D2CC7">
      <w:pPr>
        <w:jc w:val="center"/>
        <w:rPr>
          <w:rFonts w:ascii="Arial" w:hAnsi="Arial" w:cs="Arial"/>
        </w:rPr>
      </w:pPr>
      <w:r w:rsidRPr="001D2CC7">
        <w:rPr>
          <w:rFonts w:ascii="Arial" w:hAnsi="Arial" w:cs="Arial"/>
        </w:rPr>
        <w:t>Table 6 Wald Asymmetry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1162"/>
        <w:gridCol w:w="1150"/>
      </w:tblGrid>
      <w:tr w:rsidR="001D2CC7" w:rsidRPr="001D2CC7" w:rsidTr="00785F7B">
        <w:trPr>
          <w:jc w:val="center"/>
        </w:trPr>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Test Type</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W-statistic</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Probability</w:t>
            </w:r>
          </w:p>
        </w:tc>
      </w:tr>
      <w:tr w:rsidR="001D2CC7" w:rsidRPr="001D2CC7" w:rsidTr="00785F7B">
        <w:trPr>
          <w:jc w:val="center"/>
        </w:trPr>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Short Run Asymmetry</w:t>
            </w:r>
          </w:p>
        </w:tc>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8.9241</w:t>
            </w:r>
          </w:p>
        </w:tc>
        <w:tc>
          <w:tcPr>
            <w:tcW w:w="0" w:type="auto"/>
            <w:tcBorders>
              <w:top w:val="single" w:sz="4" w:space="0" w:color="auto"/>
            </w:tcBorders>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0.0115</w:t>
            </w:r>
          </w:p>
        </w:tc>
      </w:tr>
      <w:tr w:rsidR="001D2CC7" w:rsidRPr="00623950" w:rsidTr="00785F7B">
        <w:trPr>
          <w:jc w:val="center"/>
        </w:trPr>
        <w:tc>
          <w:tcPr>
            <w:tcW w:w="0" w:type="auto"/>
            <w:hideMark/>
          </w:tcPr>
          <w:p w:rsidR="001D2CC7" w:rsidRPr="00623950" w:rsidRDefault="001D2CC7" w:rsidP="001D2CC7">
            <w:pPr>
              <w:rPr>
                <w:rFonts w:ascii="Arial" w:eastAsia="Times New Roman" w:hAnsi="Arial" w:cs="Arial"/>
                <w:sz w:val="20"/>
                <w:szCs w:val="20"/>
              </w:rPr>
            </w:pPr>
            <w:r w:rsidRPr="00623950">
              <w:rPr>
                <w:rFonts w:ascii="Arial" w:eastAsia="Times New Roman" w:hAnsi="Arial" w:cs="Arial"/>
                <w:sz w:val="20"/>
                <w:szCs w:val="20"/>
              </w:rPr>
              <w:t>Long Run Asymmetry</w:t>
            </w:r>
          </w:p>
        </w:tc>
        <w:tc>
          <w:tcPr>
            <w:tcW w:w="0" w:type="auto"/>
            <w:hideMark/>
          </w:tcPr>
          <w:p w:rsidR="001D2CC7" w:rsidRPr="00623950" w:rsidRDefault="00623950" w:rsidP="00623950">
            <w:pPr>
              <w:rPr>
                <w:rFonts w:ascii="Arial" w:eastAsia="Times New Roman" w:hAnsi="Arial" w:cs="Arial"/>
                <w:sz w:val="20"/>
                <w:szCs w:val="20"/>
              </w:rPr>
            </w:pPr>
            <w:r w:rsidRPr="00623950">
              <w:rPr>
                <w:rFonts w:ascii="Arial" w:hAnsi="Arial" w:cs="Arial"/>
                <w:sz w:val="20"/>
                <w:szCs w:val="20"/>
              </w:rPr>
              <w:t>7880.3270</w:t>
            </w:r>
          </w:p>
        </w:tc>
        <w:tc>
          <w:tcPr>
            <w:tcW w:w="0" w:type="auto"/>
            <w:hideMark/>
          </w:tcPr>
          <w:p w:rsidR="001D2CC7" w:rsidRPr="00623950" w:rsidRDefault="001D2CC7" w:rsidP="001D2CC7">
            <w:pPr>
              <w:rPr>
                <w:rFonts w:ascii="Arial" w:eastAsia="Times New Roman" w:hAnsi="Arial" w:cs="Arial"/>
                <w:sz w:val="20"/>
                <w:szCs w:val="20"/>
              </w:rPr>
            </w:pPr>
            <w:r w:rsidRPr="00623950">
              <w:rPr>
                <w:rFonts w:ascii="Arial" w:eastAsia="Times New Roman" w:hAnsi="Arial" w:cs="Arial"/>
                <w:sz w:val="20"/>
                <w:szCs w:val="20"/>
              </w:rPr>
              <w:t>0.0000</w:t>
            </w:r>
          </w:p>
        </w:tc>
      </w:tr>
    </w:tbl>
    <w:p w:rsidR="001D2CC7" w:rsidRPr="001D2CC7" w:rsidRDefault="001D2CC7"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The Wald test results strongly reject the null hypothesis of symmetry in both the short run and long run. This confirms that increases and decreases in oil prices have statistically different effects on food inflation in Nigeria.</w:t>
      </w: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4.3 Diagnostic and Stability Tests</w:t>
      </w:r>
    </w:p>
    <w:p w:rsidR="001D2CC7" w:rsidRPr="001D2CC7" w:rsidRDefault="00623950" w:rsidP="001D2CC7">
      <w:pPr>
        <w:jc w:val="center"/>
        <w:rPr>
          <w:rFonts w:ascii="Arial" w:hAnsi="Arial" w:cs="Arial"/>
        </w:rPr>
      </w:pPr>
      <w:r>
        <w:rPr>
          <w:rFonts w:ascii="Arial" w:hAnsi="Arial" w:cs="Arial"/>
        </w:rPr>
        <w:t xml:space="preserve">Table </w:t>
      </w:r>
      <w:r w:rsidR="001D2CC7" w:rsidRPr="001D2CC7">
        <w:rPr>
          <w:rFonts w:ascii="Arial" w:hAnsi="Arial" w:cs="Arial"/>
        </w:rPr>
        <w:t>7 Diagnostic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939"/>
        <w:gridCol w:w="1150"/>
      </w:tblGrid>
      <w:tr w:rsidR="001D2CC7" w:rsidRPr="001D2CC7" w:rsidTr="00785F7B">
        <w:trPr>
          <w:jc w:val="center"/>
        </w:trPr>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Diagnostic Test</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Statistic</w:t>
            </w:r>
          </w:p>
        </w:tc>
        <w:tc>
          <w:tcPr>
            <w:tcW w:w="0" w:type="auto"/>
            <w:tcBorders>
              <w:top w:val="single" w:sz="4" w:space="0" w:color="auto"/>
              <w:bottom w:val="single" w:sz="4" w:space="0" w:color="auto"/>
            </w:tcBorders>
            <w:hideMark/>
          </w:tcPr>
          <w:p w:rsidR="001D2CC7" w:rsidRPr="001D2CC7" w:rsidRDefault="001D2CC7" w:rsidP="001D2CC7">
            <w:pPr>
              <w:jc w:val="center"/>
              <w:rPr>
                <w:rFonts w:ascii="Arial" w:eastAsia="Times New Roman" w:hAnsi="Arial" w:cs="Arial"/>
                <w:sz w:val="20"/>
                <w:szCs w:val="20"/>
              </w:rPr>
            </w:pPr>
            <w:r w:rsidRPr="001D2CC7">
              <w:rPr>
                <w:rFonts w:ascii="Arial" w:eastAsia="Times New Roman" w:hAnsi="Arial" w:cs="Arial"/>
                <w:sz w:val="20"/>
                <w:szCs w:val="20"/>
              </w:rPr>
              <w:t>Probability</w:t>
            </w:r>
          </w:p>
        </w:tc>
      </w:tr>
      <w:tr w:rsidR="001D2CC7" w:rsidRPr="001D2CC7" w:rsidTr="00785F7B">
        <w:trPr>
          <w:jc w:val="center"/>
        </w:trPr>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Breusch Godfrey Serial Correlation Test</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20.3603</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0.1666</w:t>
            </w:r>
          </w:p>
        </w:tc>
      </w:tr>
      <w:tr w:rsidR="001D2CC7" w:rsidRPr="001D2CC7" w:rsidTr="00785F7B">
        <w:trPr>
          <w:jc w:val="center"/>
        </w:trPr>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ARCH Heteroskedasticity Test</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93.0824</w:t>
            </w:r>
          </w:p>
        </w:tc>
        <w:tc>
          <w:tcPr>
            <w:tcW w:w="0" w:type="auto"/>
            <w:hideMark/>
          </w:tcPr>
          <w:p w:rsidR="001D2CC7" w:rsidRPr="001D2CC7" w:rsidRDefault="001D2CC7" w:rsidP="001D2CC7">
            <w:pPr>
              <w:rPr>
                <w:rFonts w:ascii="Arial" w:eastAsia="Times New Roman" w:hAnsi="Arial" w:cs="Arial"/>
                <w:sz w:val="20"/>
                <w:szCs w:val="20"/>
              </w:rPr>
            </w:pPr>
            <w:r w:rsidRPr="001D2CC7">
              <w:rPr>
                <w:rFonts w:ascii="Arial" w:eastAsia="Times New Roman" w:hAnsi="Arial" w:cs="Arial"/>
                <w:sz w:val="20"/>
                <w:szCs w:val="20"/>
              </w:rPr>
              <w:t>0.0000</w:t>
            </w:r>
          </w:p>
        </w:tc>
      </w:tr>
    </w:tbl>
    <w:p w:rsidR="001D2CC7" w:rsidRPr="001D2CC7" w:rsidRDefault="001D2CC7" w:rsidP="001D2CC7">
      <w:pPr>
        <w:jc w:val="both"/>
        <w:rPr>
          <w:rFonts w:ascii="Arial" w:hAnsi="Arial" w:cs="Arial"/>
        </w:rPr>
      </w:pPr>
    </w:p>
    <w:p w:rsidR="001D2CC7" w:rsidRPr="001D2CC7" w:rsidRDefault="001D2CC7" w:rsidP="001D2CC7">
      <w:pPr>
        <w:jc w:val="both"/>
        <w:rPr>
          <w:rFonts w:ascii="Arial" w:hAnsi="Arial" w:cs="Arial"/>
        </w:rPr>
      </w:pPr>
      <w:r w:rsidRPr="001D2CC7">
        <w:rPr>
          <w:rFonts w:ascii="Arial" w:hAnsi="Arial" w:cs="Arial"/>
        </w:rPr>
        <w:t xml:space="preserve">The Breusch Godfrey test indicates no evidence of serial correlation. However, the ARCH test confirms the presence of heteroskedasticity, suggesting volatility clustering in the error structure, which is common in macroeconomic time series influenced by oil price shocks. To address this, inference is based on robust estimation techniques consistent with heteroskedasticity presence. The </w:t>
      </w:r>
      <w:proofErr w:type="spellStart"/>
      <w:r w:rsidRPr="001D2CC7">
        <w:rPr>
          <w:rFonts w:ascii="Arial" w:hAnsi="Arial" w:cs="Arial"/>
        </w:rPr>
        <w:t>Jarque</w:t>
      </w:r>
      <w:proofErr w:type="spellEnd"/>
      <w:r w:rsidRPr="001D2CC7">
        <w:rPr>
          <w:rFonts w:ascii="Arial" w:hAnsi="Arial" w:cs="Arial"/>
        </w:rPr>
        <w:t xml:space="preserve"> </w:t>
      </w:r>
      <w:proofErr w:type="spellStart"/>
      <w:r w:rsidRPr="001D2CC7">
        <w:rPr>
          <w:rFonts w:ascii="Arial" w:hAnsi="Arial" w:cs="Arial"/>
        </w:rPr>
        <w:t>Bera</w:t>
      </w:r>
      <w:proofErr w:type="spellEnd"/>
      <w:r w:rsidRPr="001D2CC7">
        <w:rPr>
          <w:rFonts w:ascii="Arial" w:hAnsi="Arial" w:cs="Arial"/>
        </w:rPr>
        <w:t xml:space="preserve"> test rejects normality, which is typical in high frequency macroeconomic data and does not invalidate the asymptotic properties of the estimators used.</w:t>
      </w:r>
    </w:p>
    <w:p w:rsidR="00790ADA" w:rsidRPr="00FB3A86" w:rsidRDefault="00790ADA" w:rsidP="00441B6F">
      <w:pPr>
        <w:pStyle w:val="Body"/>
        <w:spacing w:after="0"/>
        <w:rPr>
          <w:rFonts w:ascii="Arial" w:hAnsi="Arial" w:cs="Arial"/>
        </w:rPr>
      </w:pPr>
    </w:p>
    <w:p w:rsidR="002C367F" w:rsidRDefault="00F60BD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2C367F">
        <w:rPr>
          <w:rFonts w:ascii="Arial" w:hAnsi="Arial" w:cs="Arial"/>
        </w:rPr>
        <w:t>Discussion</w:t>
      </w:r>
    </w:p>
    <w:p w:rsidR="002C367F" w:rsidRDefault="002C367F" w:rsidP="00441B6F">
      <w:pPr>
        <w:pStyle w:val="ConcHead"/>
        <w:spacing w:after="0"/>
        <w:jc w:val="both"/>
        <w:rPr>
          <w:rFonts w:ascii="Arial" w:hAnsi="Arial" w:cs="Arial"/>
        </w:rPr>
      </w:pPr>
    </w:p>
    <w:p w:rsidR="00C54787" w:rsidRPr="00C54787" w:rsidRDefault="00C54787" w:rsidP="00C54787">
      <w:pPr>
        <w:jc w:val="both"/>
        <w:rPr>
          <w:rFonts w:ascii="Arial" w:hAnsi="Arial" w:cs="Arial"/>
        </w:rPr>
      </w:pPr>
      <w:r w:rsidRPr="00C54787">
        <w:rPr>
          <w:rFonts w:ascii="Arial" w:hAnsi="Arial" w:cs="Arial"/>
        </w:rPr>
        <w:t xml:space="preserve">The empirical findings provide evidence that oil price shocks influence food inflation in Nigeria through asymmetric transmission mechanisms. Although the individual coefficients of positive and negative oil price shocks are statistically insignificant in both the short run and </w:t>
      </w:r>
      <w:r w:rsidRPr="00C54787">
        <w:rPr>
          <w:rFonts w:ascii="Arial" w:hAnsi="Arial" w:cs="Arial"/>
        </w:rPr>
        <w:lastRenderedPageBreak/>
        <w:t>long run, the Wald asymmetry tests indicate that the combined effects of oil price increases and decreases differ significantly. This confirms that food prices in Nigeria do not respond symmetrically to oil market movements.</w:t>
      </w:r>
      <w:r>
        <w:rPr>
          <w:rFonts w:ascii="Arial" w:hAnsi="Arial" w:cs="Arial"/>
        </w:rPr>
        <w:t xml:space="preserve"> </w:t>
      </w:r>
      <w:r w:rsidRPr="00C54787">
        <w:rPr>
          <w:rFonts w:ascii="Arial" w:hAnsi="Arial" w:cs="Arial"/>
        </w:rPr>
        <w:t>The relatively stronger response of food inflation to positive oil price shocks reflects the structural characteristics of the Nigerian economy, where petroleum products remain critical inputs in transportation, storage, processing, and agricultural distribution. Rising oil prices increase production and logistics costs, which are rapidly transmitted into domestic food prices. In contrast, declines in oil prices do not produce proportionate reductions in food prices, suggesting incomplete downward pass through and the presence of price rigidity within domestic markets.</w:t>
      </w:r>
    </w:p>
    <w:p w:rsidR="00C54787" w:rsidRPr="00C54787" w:rsidRDefault="00C54787" w:rsidP="00C54787">
      <w:pPr>
        <w:jc w:val="both"/>
        <w:rPr>
          <w:rFonts w:ascii="Arial" w:hAnsi="Arial" w:cs="Arial"/>
        </w:rPr>
      </w:pPr>
    </w:p>
    <w:p w:rsidR="00C54787" w:rsidRPr="00C54787" w:rsidRDefault="00C54787" w:rsidP="00C54787">
      <w:pPr>
        <w:jc w:val="both"/>
        <w:rPr>
          <w:rFonts w:ascii="Arial" w:hAnsi="Arial" w:cs="Arial"/>
        </w:rPr>
      </w:pPr>
      <w:r w:rsidRPr="00C54787">
        <w:rPr>
          <w:rFonts w:ascii="Arial" w:hAnsi="Arial" w:cs="Arial"/>
        </w:rPr>
        <w:t>The existence of long run cointegration further indicates that oil prices and food inflation maintain a stable equilibrium relationship despite short run fluctuations. This implies that persistent oil market volatility remains an important source of inflationary pressure in Nigeria through energy related cost channels. The diagnostic results also confirm that the estimated model is free from serial correlation, although the presence of heteroskedasticity suggests volatility clustering commonly associated with macroeconomic and commodity price series.</w:t>
      </w:r>
      <w:r>
        <w:rPr>
          <w:rFonts w:ascii="Arial" w:hAnsi="Arial" w:cs="Arial"/>
        </w:rPr>
        <w:t xml:space="preserve"> </w:t>
      </w:r>
    </w:p>
    <w:p w:rsidR="002C367F" w:rsidRPr="001D2CC7" w:rsidRDefault="00C54787" w:rsidP="00C54787">
      <w:pPr>
        <w:jc w:val="both"/>
        <w:rPr>
          <w:rFonts w:ascii="Arial" w:hAnsi="Arial" w:cs="Arial"/>
        </w:rPr>
      </w:pPr>
      <w:r w:rsidRPr="00C54787">
        <w:rPr>
          <w:rFonts w:ascii="Arial" w:hAnsi="Arial" w:cs="Arial"/>
        </w:rPr>
        <w:t xml:space="preserve">The findings are consistent with earlier nonlinear studies such as Ibrahim (2015), </w:t>
      </w:r>
      <w:proofErr w:type="spellStart"/>
      <w:r w:rsidRPr="00C54787">
        <w:rPr>
          <w:rFonts w:ascii="Arial" w:hAnsi="Arial" w:cs="Arial"/>
        </w:rPr>
        <w:t>Lacheheb</w:t>
      </w:r>
      <w:proofErr w:type="spellEnd"/>
      <w:r w:rsidRPr="00C54787">
        <w:rPr>
          <w:rFonts w:ascii="Arial" w:hAnsi="Arial" w:cs="Arial"/>
        </w:rPr>
        <w:t xml:space="preserve"> and </w:t>
      </w:r>
      <w:proofErr w:type="spellStart"/>
      <w:r w:rsidRPr="00C54787">
        <w:rPr>
          <w:rFonts w:ascii="Arial" w:hAnsi="Arial" w:cs="Arial"/>
        </w:rPr>
        <w:t>Sirag</w:t>
      </w:r>
      <w:proofErr w:type="spellEnd"/>
      <w:r w:rsidRPr="00C54787">
        <w:rPr>
          <w:rFonts w:ascii="Arial" w:hAnsi="Arial" w:cs="Arial"/>
        </w:rPr>
        <w:t xml:space="preserve"> (2016), and Sani et al. (2020), which documented asymmetric inflationary responses to oil price movements. The results therefore support the argument that linear models may underestimate the true nature of oil price transmission in oil dependent developing economies such as Nigeria.</w:t>
      </w:r>
    </w:p>
    <w:p w:rsidR="002C367F" w:rsidRDefault="002C367F" w:rsidP="00441B6F">
      <w:pPr>
        <w:pStyle w:val="ConcHead"/>
        <w:spacing w:after="0"/>
        <w:jc w:val="both"/>
        <w:rPr>
          <w:rFonts w:ascii="Arial" w:hAnsi="Arial" w:cs="Arial"/>
        </w:rPr>
      </w:pPr>
    </w:p>
    <w:p w:rsidR="00B01FCD" w:rsidRDefault="002C367F" w:rsidP="00441B6F">
      <w:pPr>
        <w:pStyle w:val="ConcHead"/>
        <w:spacing w:after="0"/>
        <w:jc w:val="both"/>
        <w:rPr>
          <w:rFonts w:ascii="Arial" w:hAnsi="Arial" w:cs="Arial"/>
        </w:rPr>
      </w:pPr>
      <w:r>
        <w:rPr>
          <w:rFonts w:ascii="Arial" w:hAnsi="Arial" w:cs="Arial"/>
        </w:rPr>
        <w:t xml:space="preserve">6.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60BD8" w:rsidRDefault="002C367F" w:rsidP="002C367F">
      <w:pPr>
        <w:pStyle w:val="Body"/>
        <w:rPr>
          <w:rFonts w:ascii="Arial" w:hAnsi="Arial" w:cs="Arial"/>
        </w:rPr>
      </w:pPr>
      <w:r w:rsidRPr="002C367F">
        <w:rPr>
          <w:rFonts w:ascii="Arial" w:hAnsi="Arial" w:cs="Arial"/>
        </w:rPr>
        <w:t>This study examined the asymmetric impact of oil price shocks on food inflation in Nigeria using a nonlinear autoregressive distributed lag framework and monthly data spanning January 2006 to November 2025. The findings reveal the existence of significant asymmetric transmission between oil prices and food inflation, indicating that positive and negative oil price shocks exert different effects on domestic food prices. Positive oil price shocks generate relatively stronger inflationary pressures, while reductions in oil prices do not produce equivalent declines in food prices, suggesting incomplete downward pass through and price rigidity within domestic food markets.</w:t>
      </w:r>
      <w:r>
        <w:rPr>
          <w:rFonts w:ascii="Arial" w:hAnsi="Arial" w:cs="Arial"/>
        </w:rPr>
        <w:t xml:space="preserve"> </w:t>
      </w:r>
      <w:r w:rsidRPr="002C367F">
        <w:rPr>
          <w:rFonts w:ascii="Arial" w:hAnsi="Arial" w:cs="Arial"/>
        </w:rPr>
        <w:t>The bounds test further confirms the existence of a stable long run relationship between oil prices and food inflation. The findings imply that persistent oil market volatility remains an important source of inflationary pressure in Nigeria through transportation, production, and distribution cost channels. The study therefore supports the relevance of nonlinear modelling approaches in analyzing inflation dynamics within oil dependent economies. From a policy perspective, improving domestic energy infrastructure, reducing transportation bottlenecks, and strengthening agricultural supply chains may help moderate the inflationary effects of oil price shocks on food prices.</w:t>
      </w:r>
      <w:r w:rsidR="00F60BD8" w:rsidRPr="00F60BD8">
        <w:rPr>
          <w:rFonts w:ascii="Arial" w:hAnsi="Arial" w:cs="Arial"/>
        </w:rPr>
        <w:t xml:space="preserve"> </w:t>
      </w:r>
    </w:p>
    <w:p w:rsidR="00790ADA" w:rsidRPr="00FB3A86" w:rsidRDefault="00790ADA" w:rsidP="00441B6F">
      <w:pPr>
        <w:pStyle w:val="Body"/>
        <w:spacing w:after="0"/>
        <w:rPr>
          <w:rFonts w:ascii="Arial" w:hAnsi="Arial" w:cs="Arial"/>
        </w:rPr>
      </w:pP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A50142" w:rsidP="00441B6F">
      <w:pPr>
        <w:pStyle w:val="ReferHead"/>
        <w:spacing w:after="0"/>
        <w:jc w:val="both"/>
        <w:rPr>
          <w:rFonts w:ascii="Arial" w:hAnsi="Arial" w:cs="Arial"/>
          <w:b w:val="0"/>
          <w:caps w:val="0"/>
          <w:sz w:val="20"/>
        </w:rPr>
      </w:pPr>
      <w:r w:rsidRPr="00A50142">
        <w:rPr>
          <w:rFonts w:ascii="Arial" w:hAnsi="Arial" w:cs="Arial"/>
          <w:b w:val="0"/>
          <w:caps w:val="0"/>
          <w:sz w:val="20"/>
        </w:rPr>
        <w:t>Authors have declared that no competing interests exist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 xml:space="preserve">Adenuga, A. O., </w:t>
      </w:r>
      <w:proofErr w:type="spellStart"/>
      <w:r w:rsidRPr="00A50142">
        <w:rPr>
          <w:rFonts w:ascii="Arial" w:hAnsi="Arial" w:cs="Arial"/>
          <w:color w:val="222222"/>
          <w:szCs w:val="24"/>
          <w:shd w:val="clear" w:color="auto" w:fill="FFFFFF"/>
        </w:rPr>
        <w:t>Hilili</w:t>
      </w:r>
      <w:proofErr w:type="spellEnd"/>
      <w:r w:rsidRPr="00A50142">
        <w:rPr>
          <w:rFonts w:ascii="Arial" w:hAnsi="Arial" w:cs="Arial"/>
          <w:color w:val="222222"/>
          <w:szCs w:val="24"/>
          <w:shd w:val="clear" w:color="auto" w:fill="FFFFFF"/>
        </w:rPr>
        <w:t xml:space="preserve">, M. J., &amp; </w:t>
      </w:r>
      <w:proofErr w:type="spellStart"/>
      <w:r w:rsidRPr="00A50142">
        <w:rPr>
          <w:rFonts w:ascii="Arial" w:hAnsi="Arial" w:cs="Arial"/>
          <w:color w:val="222222"/>
          <w:szCs w:val="24"/>
          <w:shd w:val="clear" w:color="auto" w:fill="FFFFFF"/>
        </w:rPr>
        <w:t>Evbuomwan</w:t>
      </w:r>
      <w:proofErr w:type="spellEnd"/>
      <w:r w:rsidRPr="00A50142">
        <w:rPr>
          <w:rFonts w:ascii="Arial" w:hAnsi="Arial" w:cs="Arial"/>
          <w:color w:val="222222"/>
          <w:szCs w:val="24"/>
          <w:shd w:val="clear" w:color="auto" w:fill="FFFFFF"/>
        </w:rPr>
        <w:t>, O. O. (2012). Oil Price Pass-Through into Inflation: Empirical Evidence from Nigeria.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50</w:t>
      </w:r>
      <w:r w:rsidRPr="00A50142">
        <w:rPr>
          <w:rFonts w:ascii="Arial" w:hAnsi="Arial" w:cs="Arial"/>
          <w:color w:val="222222"/>
          <w:szCs w:val="24"/>
          <w:shd w:val="clear" w:color="auto" w:fill="FFFFFF"/>
        </w:rPr>
        <w:t>(1), 1.</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szCs w:val="24"/>
        </w:rPr>
        <w:t xml:space="preserve">Adeyemi, O. J., </w:t>
      </w:r>
      <w:proofErr w:type="spellStart"/>
      <w:r w:rsidRPr="00A50142">
        <w:rPr>
          <w:rFonts w:ascii="Arial" w:hAnsi="Arial" w:cs="Arial"/>
          <w:szCs w:val="24"/>
        </w:rPr>
        <w:t>Okunade</w:t>
      </w:r>
      <w:proofErr w:type="spellEnd"/>
      <w:r w:rsidRPr="00A50142">
        <w:rPr>
          <w:rFonts w:ascii="Arial" w:hAnsi="Arial" w:cs="Arial"/>
          <w:szCs w:val="24"/>
        </w:rPr>
        <w:t xml:space="preserve">, S. O., &amp; </w:t>
      </w:r>
      <w:proofErr w:type="spellStart"/>
      <w:r w:rsidRPr="00A50142">
        <w:rPr>
          <w:rFonts w:ascii="Arial" w:hAnsi="Arial" w:cs="Arial"/>
          <w:szCs w:val="24"/>
        </w:rPr>
        <w:t>Amosun</w:t>
      </w:r>
      <w:proofErr w:type="spellEnd"/>
      <w:r w:rsidRPr="00A50142">
        <w:rPr>
          <w:rFonts w:ascii="Arial" w:hAnsi="Arial" w:cs="Arial"/>
          <w:szCs w:val="24"/>
        </w:rPr>
        <w:t>, O. O. (2024). Nonlinear Relationship between Oil Price Shocks and Sustainable Development in Nigeria. Economic Insights-Trends &amp; Challenges, 13(3).</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Ahn</w:t>
      </w:r>
      <w:proofErr w:type="spellEnd"/>
      <w:r w:rsidRPr="00A50142">
        <w:rPr>
          <w:rFonts w:ascii="Arial" w:hAnsi="Arial" w:cs="Arial"/>
          <w:color w:val="222222"/>
          <w:szCs w:val="24"/>
          <w:shd w:val="clear" w:color="auto" w:fill="FFFFFF"/>
        </w:rPr>
        <w:t xml:space="preserve">, J. (2025). </w:t>
      </w:r>
      <w:proofErr w:type="spellStart"/>
      <w:r w:rsidRPr="00A50142">
        <w:rPr>
          <w:rFonts w:ascii="Arial" w:hAnsi="Arial" w:cs="Arial"/>
          <w:color w:val="222222"/>
          <w:szCs w:val="24"/>
          <w:shd w:val="clear" w:color="auto" w:fill="FFFFFF"/>
        </w:rPr>
        <w:t>Greenflation</w:t>
      </w:r>
      <w:proofErr w:type="spellEnd"/>
      <w:r w:rsidRPr="00A50142">
        <w:rPr>
          <w:rFonts w:ascii="Arial" w:hAnsi="Arial" w:cs="Arial"/>
          <w:color w:val="222222"/>
          <w:szCs w:val="24"/>
          <w:shd w:val="clear" w:color="auto" w:fill="FFFFFF"/>
        </w:rPr>
        <w:t xml:space="preserve"> or </w:t>
      </w:r>
      <w:proofErr w:type="spellStart"/>
      <w:r w:rsidRPr="00A50142">
        <w:rPr>
          <w:rFonts w:ascii="Arial" w:hAnsi="Arial" w:cs="Arial"/>
          <w:color w:val="222222"/>
          <w:szCs w:val="24"/>
          <w:shd w:val="clear" w:color="auto" w:fill="FFFFFF"/>
        </w:rPr>
        <w:t>greensulation</w:t>
      </w:r>
      <w:proofErr w:type="spellEnd"/>
      <w:r w:rsidRPr="00A50142">
        <w:rPr>
          <w:rFonts w:ascii="Arial" w:hAnsi="Arial" w:cs="Arial"/>
          <w:color w:val="222222"/>
          <w:szCs w:val="24"/>
          <w:shd w:val="clear" w:color="auto" w:fill="FFFFFF"/>
        </w:rPr>
        <w:t>? The case of fuel excise taxes and oil price pass-through. </w:t>
      </w:r>
      <w:r w:rsidRPr="00A50142">
        <w:rPr>
          <w:rFonts w:ascii="Arial" w:hAnsi="Arial" w:cs="Arial"/>
          <w:i/>
          <w:iCs/>
          <w:color w:val="222222"/>
          <w:szCs w:val="24"/>
          <w:shd w:val="clear" w:color="auto" w:fill="FFFFFF"/>
        </w:rPr>
        <w:t>Energy Economics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148</w:t>
      </w:r>
      <w:r w:rsidRPr="00A50142">
        <w:rPr>
          <w:rFonts w:ascii="Arial" w:hAnsi="Arial" w:cs="Arial"/>
          <w:color w:val="222222"/>
          <w:szCs w:val="24"/>
          <w:shd w:val="clear" w:color="auto" w:fill="FFFFFF"/>
        </w:rPr>
        <w:t>, 108613.</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lastRenderedPageBreak/>
        <w:t>Akinlo</w:t>
      </w:r>
      <w:proofErr w:type="spellEnd"/>
      <w:r w:rsidRPr="00A50142">
        <w:rPr>
          <w:rFonts w:ascii="Arial" w:hAnsi="Arial" w:cs="Arial"/>
          <w:color w:val="222222"/>
          <w:szCs w:val="24"/>
          <w:shd w:val="clear" w:color="auto" w:fill="FFFFFF"/>
        </w:rPr>
        <w:t>, O. O. (2012). Determinants of working capital requirements in selected quoted companies in Nigeria. </w:t>
      </w:r>
      <w:r w:rsidRPr="00A50142">
        <w:rPr>
          <w:rFonts w:ascii="Arial" w:hAnsi="Arial" w:cs="Arial"/>
          <w:i/>
          <w:iCs/>
          <w:color w:val="222222"/>
          <w:szCs w:val="24"/>
          <w:shd w:val="clear" w:color="auto" w:fill="FFFFFF"/>
        </w:rPr>
        <w:t>Journal of African Business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13</w:t>
      </w:r>
      <w:r w:rsidRPr="00A50142">
        <w:rPr>
          <w:rFonts w:ascii="Arial" w:hAnsi="Arial" w:cs="Arial"/>
          <w:color w:val="222222"/>
          <w:szCs w:val="24"/>
          <w:shd w:val="clear" w:color="auto" w:fill="FFFFFF"/>
        </w:rPr>
        <w:t>(1), 40-50.</w:t>
      </w:r>
    </w:p>
    <w:p w:rsidR="00A50142" w:rsidRPr="00A50142" w:rsidRDefault="00A50142" w:rsidP="00A50142">
      <w:pPr>
        <w:ind w:left="720" w:hanging="720"/>
        <w:jc w:val="both"/>
        <w:rPr>
          <w:rFonts w:ascii="Arial" w:hAnsi="Arial" w:cs="Arial"/>
          <w:szCs w:val="24"/>
        </w:rPr>
      </w:pPr>
      <w:proofErr w:type="spellStart"/>
      <w:r w:rsidRPr="00A50142">
        <w:rPr>
          <w:rFonts w:ascii="Arial" w:hAnsi="Arial" w:cs="Arial"/>
          <w:color w:val="222222"/>
          <w:szCs w:val="24"/>
          <w:shd w:val="clear" w:color="auto" w:fill="FFFFFF"/>
        </w:rPr>
        <w:t>Ayamga</w:t>
      </w:r>
      <w:proofErr w:type="spellEnd"/>
      <w:r w:rsidRPr="00A50142">
        <w:rPr>
          <w:rFonts w:ascii="Arial" w:hAnsi="Arial" w:cs="Arial"/>
          <w:color w:val="222222"/>
          <w:szCs w:val="24"/>
          <w:shd w:val="clear" w:color="auto" w:fill="FFFFFF"/>
        </w:rPr>
        <w:t>, E., &amp; Agyapong, J. (2025). Decomposed Oil-Driven Inflation Persistence and Asymmetric Shocks. </w:t>
      </w:r>
      <w:r w:rsidRPr="00A50142">
        <w:rPr>
          <w:rFonts w:ascii="Arial" w:hAnsi="Arial" w:cs="Arial"/>
          <w:i/>
          <w:iCs/>
          <w:color w:val="222222"/>
          <w:szCs w:val="24"/>
          <w:shd w:val="clear" w:color="auto" w:fill="FFFFFF"/>
        </w:rPr>
        <w:t>Available at SSRN 5136779</w:t>
      </w:r>
      <w:r w:rsidRPr="00A50142">
        <w:rPr>
          <w:rFonts w:ascii="Arial" w:hAnsi="Arial" w:cs="Arial"/>
          <w:color w:val="222222"/>
          <w:szCs w:val="24"/>
          <w:shd w:val="clear" w:color="auto" w:fill="FFFFFF"/>
        </w:rPr>
        <w:t>.</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szCs w:val="24"/>
        </w:rPr>
        <w:t xml:space="preserve">Bank for International Settlements. (2023). </w:t>
      </w:r>
      <w:r w:rsidRPr="00A50142">
        <w:rPr>
          <w:rStyle w:val="Emphasis"/>
          <w:rFonts w:ascii="Arial" w:hAnsi="Arial" w:cs="Arial"/>
          <w:szCs w:val="24"/>
        </w:rPr>
        <w:t>Annual economic report 2023: Inflation and global spillovers</w:t>
      </w:r>
      <w:r w:rsidRPr="00A50142">
        <w:rPr>
          <w:rFonts w:ascii="Arial" w:hAnsi="Arial" w:cs="Arial"/>
          <w:szCs w:val="24"/>
        </w:rPr>
        <w:t>. BIS.</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Bawa</w:t>
      </w:r>
      <w:proofErr w:type="spellEnd"/>
      <w:r w:rsidRPr="00A50142">
        <w:rPr>
          <w:rFonts w:ascii="Arial" w:hAnsi="Arial" w:cs="Arial"/>
          <w:color w:val="222222"/>
          <w:szCs w:val="24"/>
          <w:shd w:val="clear" w:color="auto" w:fill="FFFFFF"/>
        </w:rPr>
        <w:t xml:space="preserve">, S., Abdullahi, I. S., Tukur, D. S., </w:t>
      </w:r>
      <w:proofErr w:type="spellStart"/>
      <w:r w:rsidRPr="00A50142">
        <w:rPr>
          <w:rFonts w:ascii="Arial" w:hAnsi="Arial" w:cs="Arial"/>
          <w:color w:val="222222"/>
          <w:szCs w:val="24"/>
          <w:shd w:val="clear" w:color="auto" w:fill="FFFFFF"/>
        </w:rPr>
        <w:t>Barda</w:t>
      </w:r>
      <w:proofErr w:type="spellEnd"/>
      <w:r w:rsidRPr="00A50142">
        <w:rPr>
          <w:rFonts w:ascii="Arial" w:hAnsi="Arial" w:cs="Arial"/>
          <w:color w:val="222222"/>
          <w:szCs w:val="24"/>
          <w:shd w:val="clear" w:color="auto" w:fill="FFFFFF"/>
        </w:rPr>
        <w:t>, S. I., &amp; Adams, Y. J. (2020). Asymmetric impact of oil price on inflation in Nigeria. </w:t>
      </w:r>
      <w:r w:rsidRPr="00A50142">
        <w:rPr>
          <w:rFonts w:ascii="Arial" w:hAnsi="Arial" w:cs="Arial"/>
          <w:i/>
          <w:iCs/>
          <w:color w:val="222222"/>
          <w:szCs w:val="24"/>
          <w:shd w:val="clear" w:color="auto" w:fill="FFFFFF"/>
        </w:rPr>
        <w:t>CBN Journal of Applied Statistics (JAS)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12</w:t>
      </w:r>
      <w:r w:rsidRPr="00A50142">
        <w:rPr>
          <w:rFonts w:ascii="Arial" w:hAnsi="Arial" w:cs="Arial"/>
          <w:color w:val="222222"/>
          <w:szCs w:val="24"/>
          <w:shd w:val="clear" w:color="auto" w:fill="FFFFFF"/>
        </w:rPr>
        <w:t>(1), 85-113.</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Bobai</w:t>
      </w:r>
      <w:proofErr w:type="spellEnd"/>
      <w:r w:rsidRPr="00A50142">
        <w:rPr>
          <w:rFonts w:ascii="Arial" w:hAnsi="Arial" w:cs="Arial"/>
          <w:color w:val="222222"/>
          <w:szCs w:val="24"/>
          <w:shd w:val="clear" w:color="auto" w:fill="FFFFFF"/>
        </w:rPr>
        <w:t>, F. D. (2012). An analysis of the relationship between petroleum prices and inflation in Nigeria. </w:t>
      </w:r>
      <w:r w:rsidRPr="00A50142">
        <w:rPr>
          <w:rFonts w:ascii="Arial" w:hAnsi="Arial" w:cs="Arial"/>
          <w:i/>
          <w:iCs/>
          <w:color w:val="222222"/>
          <w:szCs w:val="24"/>
          <w:shd w:val="clear" w:color="auto" w:fill="FFFFFF"/>
        </w:rPr>
        <w:t>International Journal of Business and Commerce</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w:t>
      </w:r>
      <w:r w:rsidRPr="00A50142">
        <w:rPr>
          <w:rFonts w:ascii="Arial" w:hAnsi="Arial" w:cs="Arial"/>
          <w:color w:val="222222"/>
          <w:szCs w:val="24"/>
          <w:shd w:val="clear" w:color="auto" w:fill="FFFFFF"/>
        </w:rPr>
        <w:t>(12), 1-7.</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Hussain, F., Hussain, S., &amp; Khan, S. (2025). </w:t>
      </w:r>
      <w:r w:rsidRPr="00A50142">
        <w:rPr>
          <w:rFonts w:ascii="Arial" w:hAnsi="Arial" w:cs="Arial"/>
          <w:i/>
          <w:iCs/>
          <w:color w:val="222222"/>
          <w:szCs w:val="24"/>
          <w:shd w:val="clear" w:color="auto" w:fill="FFFFFF"/>
        </w:rPr>
        <w:t>Underlying Factors of Inflation in Pakistan: Dynamic Effects and Contributions</w:t>
      </w:r>
      <w:r w:rsidRPr="00A50142">
        <w:rPr>
          <w:rFonts w:ascii="Arial" w:hAnsi="Arial" w:cs="Arial"/>
          <w:color w:val="222222"/>
          <w:szCs w:val="24"/>
          <w:shd w:val="clear" w:color="auto" w:fill="FFFFFF"/>
        </w:rPr>
        <w:t>. State Bank of Pakistan.</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Ibrahim, M. H. (2015). Oil and food prices in Malaysia: a nonlinear ARDL analysis. </w:t>
      </w:r>
      <w:r w:rsidRPr="00A50142">
        <w:rPr>
          <w:rFonts w:ascii="Arial" w:hAnsi="Arial" w:cs="Arial"/>
          <w:i/>
          <w:iCs/>
          <w:color w:val="222222"/>
          <w:szCs w:val="24"/>
          <w:shd w:val="clear" w:color="auto" w:fill="FFFFFF"/>
        </w:rPr>
        <w:t>Agricultural and Food Economics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3</w:t>
      </w:r>
      <w:r w:rsidRPr="00A50142">
        <w:rPr>
          <w:rFonts w:ascii="Arial" w:hAnsi="Arial" w:cs="Arial"/>
          <w:color w:val="222222"/>
          <w:szCs w:val="24"/>
          <w:shd w:val="clear" w:color="auto" w:fill="FFFFFF"/>
        </w:rPr>
        <w:t>(1), 2.</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IHUGBA, O. A., &amp; ADEFABI, R. A. (2025). Oil prices and inflation in Nigeria: An Empirical analysis of nonlinear responses to oil price changes. </w:t>
      </w:r>
      <w:r w:rsidRPr="00A50142">
        <w:rPr>
          <w:rFonts w:ascii="Arial" w:hAnsi="Arial" w:cs="Arial"/>
          <w:i/>
          <w:iCs/>
          <w:color w:val="222222"/>
          <w:szCs w:val="24"/>
          <w:shd w:val="clear" w:color="auto" w:fill="FFFFFF"/>
        </w:rPr>
        <w:t>JOURNAL OF ECONOMICS AND ALLIED RESEARCH (JEAR)</w:t>
      </w:r>
      <w:r w:rsidRPr="00A50142">
        <w:rPr>
          <w:rFonts w:ascii="Arial" w:hAnsi="Arial" w:cs="Arial"/>
          <w:color w:val="222222"/>
          <w:szCs w:val="24"/>
          <w:shd w:val="clear" w:color="auto" w:fill="FFFFFF"/>
        </w:rPr>
        <w:t>, 131.</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szCs w:val="24"/>
        </w:rPr>
        <w:t xml:space="preserve">International Monetary Fund. (2025). </w:t>
      </w:r>
      <w:r w:rsidRPr="00A50142">
        <w:rPr>
          <w:rStyle w:val="Emphasis"/>
          <w:rFonts w:ascii="Arial" w:hAnsi="Arial" w:cs="Arial"/>
          <w:szCs w:val="24"/>
        </w:rPr>
        <w:t>Global inflation drivers: Energy prices, exchange rates</w:t>
      </w:r>
      <w:r w:rsidR="00E10AD9">
        <w:rPr>
          <w:rStyle w:val="Emphasis"/>
          <w:rFonts w:ascii="Arial" w:hAnsi="Arial" w:cs="Arial"/>
          <w:szCs w:val="24"/>
        </w:rPr>
        <w:t xml:space="preserve"> and</w:t>
      </w:r>
      <w:r w:rsidRPr="00A50142">
        <w:rPr>
          <w:rStyle w:val="Emphasis"/>
          <w:rFonts w:ascii="Arial" w:hAnsi="Arial" w:cs="Arial"/>
          <w:szCs w:val="24"/>
        </w:rPr>
        <w:t xml:space="preserve"> monetary policy responses</w:t>
      </w:r>
      <w:r w:rsidRPr="00A50142">
        <w:rPr>
          <w:rFonts w:ascii="Arial" w:hAnsi="Arial" w:cs="Arial"/>
          <w:szCs w:val="24"/>
        </w:rPr>
        <w:t>. IMF Policy Paper.</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Kemoe</w:t>
      </w:r>
      <w:proofErr w:type="spellEnd"/>
      <w:r w:rsidRPr="00A50142">
        <w:rPr>
          <w:rFonts w:ascii="Arial" w:hAnsi="Arial" w:cs="Arial"/>
          <w:color w:val="222222"/>
          <w:szCs w:val="24"/>
          <w:shd w:val="clear" w:color="auto" w:fill="FFFFFF"/>
        </w:rPr>
        <w:t xml:space="preserve">, L., </w:t>
      </w:r>
      <w:proofErr w:type="spellStart"/>
      <w:r w:rsidRPr="00A50142">
        <w:rPr>
          <w:rFonts w:ascii="Arial" w:hAnsi="Arial" w:cs="Arial"/>
          <w:color w:val="222222"/>
          <w:szCs w:val="24"/>
          <w:shd w:val="clear" w:color="auto" w:fill="FFFFFF"/>
        </w:rPr>
        <w:t>Mbohou</w:t>
      </w:r>
      <w:proofErr w:type="spellEnd"/>
      <w:r w:rsidRPr="00A50142">
        <w:rPr>
          <w:rFonts w:ascii="Arial" w:hAnsi="Arial" w:cs="Arial"/>
          <w:color w:val="222222"/>
          <w:szCs w:val="24"/>
          <w:shd w:val="clear" w:color="auto" w:fill="FFFFFF"/>
        </w:rPr>
        <w:t xml:space="preserve">, M., </w:t>
      </w:r>
      <w:proofErr w:type="spellStart"/>
      <w:r w:rsidRPr="00A50142">
        <w:rPr>
          <w:rFonts w:ascii="Arial" w:hAnsi="Arial" w:cs="Arial"/>
          <w:color w:val="222222"/>
          <w:szCs w:val="24"/>
          <w:shd w:val="clear" w:color="auto" w:fill="FFFFFF"/>
        </w:rPr>
        <w:t>Mighri</w:t>
      </w:r>
      <w:proofErr w:type="spellEnd"/>
      <w:r w:rsidRPr="00A50142">
        <w:rPr>
          <w:rFonts w:ascii="Arial" w:hAnsi="Arial" w:cs="Arial"/>
          <w:color w:val="222222"/>
          <w:szCs w:val="24"/>
          <w:shd w:val="clear" w:color="auto" w:fill="FFFFFF"/>
        </w:rPr>
        <w:t xml:space="preserve">, H., </w:t>
      </w:r>
      <w:proofErr w:type="spellStart"/>
      <w:r w:rsidRPr="00A50142">
        <w:rPr>
          <w:rFonts w:ascii="Arial" w:hAnsi="Arial" w:cs="Arial"/>
          <w:color w:val="222222"/>
          <w:szCs w:val="24"/>
          <w:shd w:val="clear" w:color="auto" w:fill="FFFFFF"/>
        </w:rPr>
        <w:t>Quayyum</w:t>
      </w:r>
      <w:proofErr w:type="spellEnd"/>
      <w:r w:rsidRPr="00A50142">
        <w:rPr>
          <w:rFonts w:ascii="Arial" w:hAnsi="Arial" w:cs="Arial"/>
          <w:color w:val="222222"/>
          <w:szCs w:val="24"/>
          <w:shd w:val="clear" w:color="auto" w:fill="FFFFFF"/>
        </w:rPr>
        <w:t xml:space="preserve">, M. S. N., &amp; </w:t>
      </w:r>
      <w:proofErr w:type="spellStart"/>
      <w:r w:rsidRPr="00A50142">
        <w:rPr>
          <w:rFonts w:ascii="Arial" w:hAnsi="Arial" w:cs="Arial"/>
          <w:color w:val="222222"/>
          <w:szCs w:val="24"/>
          <w:shd w:val="clear" w:color="auto" w:fill="FFFFFF"/>
        </w:rPr>
        <w:t>Quayyum</w:t>
      </w:r>
      <w:proofErr w:type="spellEnd"/>
      <w:r w:rsidRPr="00A50142">
        <w:rPr>
          <w:rFonts w:ascii="Arial" w:hAnsi="Arial" w:cs="Arial"/>
          <w:color w:val="222222"/>
          <w:szCs w:val="24"/>
          <w:shd w:val="clear" w:color="auto" w:fill="FFFFFF"/>
        </w:rPr>
        <w:t>, S. (2024). </w:t>
      </w:r>
      <w:r w:rsidRPr="00A50142">
        <w:rPr>
          <w:rFonts w:ascii="Arial" w:hAnsi="Arial" w:cs="Arial"/>
          <w:i/>
          <w:iCs/>
          <w:color w:val="222222"/>
          <w:szCs w:val="24"/>
          <w:shd w:val="clear" w:color="auto" w:fill="FFFFFF"/>
        </w:rPr>
        <w:t>Effect of exchange rate movements on inflation in sub-Saharan Africa</w:t>
      </w:r>
      <w:r w:rsidRPr="00A50142">
        <w:rPr>
          <w:rFonts w:ascii="Arial" w:hAnsi="Arial" w:cs="Arial"/>
          <w:color w:val="222222"/>
          <w:szCs w:val="24"/>
          <w:shd w:val="clear" w:color="auto" w:fill="FFFFFF"/>
        </w:rPr>
        <w:t>. International Monetary Fund.</w:t>
      </w:r>
    </w:p>
    <w:p w:rsidR="00A50142" w:rsidRPr="00A50142" w:rsidRDefault="00A50142" w:rsidP="00A50142">
      <w:pPr>
        <w:ind w:left="720" w:hanging="720"/>
        <w:jc w:val="both"/>
        <w:rPr>
          <w:rFonts w:ascii="Arial" w:hAnsi="Arial" w:cs="Arial"/>
          <w:szCs w:val="24"/>
        </w:rPr>
      </w:pPr>
      <w:r w:rsidRPr="00A50142">
        <w:rPr>
          <w:rFonts w:ascii="Arial" w:hAnsi="Arial" w:cs="Arial"/>
          <w:szCs w:val="24"/>
        </w:rPr>
        <w:t>Kilian, L., &amp; Zhou, X. (2022). Oil prices, gasoline prices</w:t>
      </w:r>
      <w:r w:rsidR="00E10AD9">
        <w:rPr>
          <w:rFonts w:ascii="Arial" w:hAnsi="Arial" w:cs="Arial"/>
          <w:szCs w:val="24"/>
        </w:rPr>
        <w:t xml:space="preserve"> and</w:t>
      </w:r>
      <w:r w:rsidRPr="00A50142">
        <w:rPr>
          <w:rFonts w:ascii="Arial" w:hAnsi="Arial" w:cs="Arial"/>
          <w:szCs w:val="24"/>
        </w:rPr>
        <w:t xml:space="preserve"> inflation expectations. </w:t>
      </w:r>
      <w:r w:rsidRPr="00A50142">
        <w:rPr>
          <w:rStyle w:val="Emphasis"/>
          <w:rFonts w:ascii="Arial" w:hAnsi="Arial" w:cs="Arial"/>
          <w:szCs w:val="24"/>
        </w:rPr>
        <w:t>Journal of Applied Econometrics, 37</w:t>
      </w:r>
      <w:r w:rsidRPr="00A50142">
        <w:rPr>
          <w:rFonts w:ascii="Arial" w:hAnsi="Arial" w:cs="Arial"/>
          <w:szCs w:val="24"/>
        </w:rPr>
        <w:t>(3), 456–478.</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Kilishi</w:t>
      </w:r>
      <w:proofErr w:type="spellEnd"/>
      <w:r w:rsidRPr="00A50142">
        <w:rPr>
          <w:rFonts w:ascii="Arial" w:hAnsi="Arial" w:cs="Arial"/>
          <w:color w:val="222222"/>
          <w:szCs w:val="24"/>
          <w:shd w:val="clear" w:color="auto" w:fill="FFFFFF"/>
        </w:rPr>
        <w:t>, A. A. (2010). Oil price shocks and the Nigeria economy: A variance autoregressive (VAR) model. </w:t>
      </w:r>
      <w:r w:rsidRPr="00A50142">
        <w:rPr>
          <w:rFonts w:ascii="Arial" w:hAnsi="Arial" w:cs="Arial"/>
          <w:i/>
          <w:iCs/>
          <w:color w:val="222222"/>
          <w:szCs w:val="24"/>
          <w:shd w:val="clear" w:color="auto" w:fill="FFFFFF"/>
        </w:rPr>
        <w:t>International Journal of Business and management</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w:t>
      </w:r>
      <w:r w:rsidRPr="00A50142">
        <w:rPr>
          <w:rFonts w:ascii="Arial" w:hAnsi="Arial" w:cs="Arial"/>
          <w:color w:val="222222"/>
          <w:szCs w:val="24"/>
          <w:shd w:val="clear" w:color="auto" w:fill="FFFFFF"/>
        </w:rPr>
        <w:t>(8), 39.</w:t>
      </w:r>
    </w:p>
    <w:p w:rsidR="00A50142" w:rsidRPr="00A50142" w:rsidRDefault="00A50142" w:rsidP="00A50142">
      <w:pPr>
        <w:ind w:left="720" w:hanging="720"/>
        <w:jc w:val="both"/>
        <w:rPr>
          <w:rFonts w:ascii="Arial" w:hAnsi="Arial" w:cs="Arial"/>
          <w:szCs w:val="24"/>
        </w:rPr>
      </w:pPr>
      <w:proofErr w:type="spellStart"/>
      <w:r w:rsidRPr="00A50142">
        <w:rPr>
          <w:rFonts w:ascii="Arial" w:hAnsi="Arial" w:cs="Arial"/>
          <w:szCs w:val="24"/>
        </w:rPr>
        <w:t>kue</w:t>
      </w:r>
      <w:proofErr w:type="spellEnd"/>
      <w:r w:rsidRPr="00A50142">
        <w:rPr>
          <w:rFonts w:ascii="Arial" w:hAnsi="Arial" w:cs="Arial"/>
          <w:szCs w:val="24"/>
        </w:rPr>
        <w:t xml:space="preserve">, J. E., </w:t>
      </w:r>
      <w:proofErr w:type="spellStart"/>
      <w:r w:rsidRPr="00A50142">
        <w:rPr>
          <w:rFonts w:ascii="Arial" w:hAnsi="Arial" w:cs="Arial"/>
          <w:szCs w:val="24"/>
        </w:rPr>
        <w:t>Eze</w:t>
      </w:r>
      <w:proofErr w:type="spellEnd"/>
      <w:r w:rsidRPr="00A50142">
        <w:rPr>
          <w:rFonts w:ascii="Arial" w:hAnsi="Arial" w:cs="Arial"/>
          <w:szCs w:val="24"/>
        </w:rPr>
        <w:t xml:space="preserve">, C. C., &amp; Nwankwo, O. (2024). Asymmetric exchange rate pass-through and inflation in Nigeria. </w:t>
      </w:r>
      <w:r w:rsidRPr="00A50142">
        <w:rPr>
          <w:rStyle w:val="Emphasis"/>
          <w:rFonts w:ascii="Arial" w:hAnsi="Arial" w:cs="Arial"/>
          <w:szCs w:val="24"/>
        </w:rPr>
        <w:t>African Development Review</w:t>
      </w:r>
      <w:r w:rsidRPr="00A50142">
        <w:rPr>
          <w:rFonts w:ascii="Arial" w:hAnsi="Arial" w:cs="Arial"/>
          <w:szCs w:val="24"/>
        </w:rPr>
        <w:t>.</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Lacheheb</w:t>
      </w:r>
      <w:proofErr w:type="spellEnd"/>
      <w:r w:rsidRPr="00A50142">
        <w:rPr>
          <w:rFonts w:ascii="Arial" w:hAnsi="Arial" w:cs="Arial"/>
          <w:color w:val="222222"/>
          <w:szCs w:val="24"/>
          <w:shd w:val="clear" w:color="auto" w:fill="FFFFFF"/>
        </w:rPr>
        <w:t xml:space="preserve">, M., &amp; </w:t>
      </w:r>
      <w:proofErr w:type="spellStart"/>
      <w:r w:rsidRPr="00A50142">
        <w:rPr>
          <w:rFonts w:ascii="Arial" w:hAnsi="Arial" w:cs="Arial"/>
          <w:color w:val="222222"/>
          <w:szCs w:val="24"/>
          <w:shd w:val="clear" w:color="auto" w:fill="FFFFFF"/>
        </w:rPr>
        <w:t>Sirag</w:t>
      </w:r>
      <w:proofErr w:type="spellEnd"/>
      <w:r w:rsidRPr="00A50142">
        <w:rPr>
          <w:rFonts w:ascii="Arial" w:hAnsi="Arial" w:cs="Arial"/>
          <w:color w:val="222222"/>
          <w:szCs w:val="24"/>
          <w:shd w:val="clear" w:color="auto" w:fill="FFFFFF"/>
        </w:rPr>
        <w:t>, A. (2019). Oil price and inflation in Algeria: A nonlinear ARDL approach. </w:t>
      </w:r>
      <w:r w:rsidRPr="00A50142">
        <w:rPr>
          <w:rFonts w:ascii="Arial" w:hAnsi="Arial" w:cs="Arial"/>
          <w:i/>
          <w:iCs/>
          <w:color w:val="222222"/>
          <w:szCs w:val="24"/>
          <w:shd w:val="clear" w:color="auto" w:fill="FFFFFF"/>
        </w:rPr>
        <w:t>The Quarterly Review of Economics and Finance</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73</w:t>
      </w:r>
      <w:r w:rsidRPr="00A50142">
        <w:rPr>
          <w:rFonts w:ascii="Arial" w:hAnsi="Arial" w:cs="Arial"/>
          <w:color w:val="222222"/>
          <w:szCs w:val="24"/>
          <w:shd w:val="clear" w:color="auto" w:fill="FFFFFF"/>
        </w:rPr>
        <w:t>, 217-222.</w:t>
      </w:r>
    </w:p>
    <w:p w:rsidR="00A50142" w:rsidRPr="00A50142" w:rsidRDefault="00A50142" w:rsidP="00A50142">
      <w:pPr>
        <w:ind w:left="720" w:hanging="720"/>
        <w:jc w:val="both"/>
        <w:rPr>
          <w:rFonts w:ascii="Arial" w:hAnsi="Arial" w:cs="Arial"/>
          <w:szCs w:val="24"/>
        </w:rPr>
      </w:pPr>
      <w:proofErr w:type="spellStart"/>
      <w:r w:rsidRPr="00A50142">
        <w:rPr>
          <w:rFonts w:ascii="Arial" w:hAnsi="Arial" w:cs="Arial"/>
          <w:szCs w:val="24"/>
        </w:rPr>
        <w:t>Mendali</w:t>
      </w:r>
      <w:proofErr w:type="spellEnd"/>
      <w:r w:rsidRPr="00A50142">
        <w:rPr>
          <w:rFonts w:ascii="Arial" w:hAnsi="Arial" w:cs="Arial"/>
          <w:szCs w:val="24"/>
        </w:rPr>
        <w:t xml:space="preserve">, R., &amp; Das, S. (2023). Exchange rate pass-through and inflation asymmetry in emerging economies: A nonlinear ARDL approach. </w:t>
      </w:r>
      <w:r w:rsidRPr="00A50142">
        <w:rPr>
          <w:rStyle w:val="Emphasis"/>
          <w:rFonts w:ascii="Arial" w:hAnsi="Arial" w:cs="Arial"/>
          <w:szCs w:val="24"/>
        </w:rPr>
        <w:t>Journal of Economic Studies, 50</w:t>
      </w:r>
      <w:r w:rsidRPr="00A50142">
        <w:rPr>
          <w:rFonts w:ascii="Arial" w:hAnsi="Arial" w:cs="Arial"/>
          <w:szCs w:val="24"/>
        </w:rPr>
        <w:t>(6), 1452–1470.</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Moessner</w:t>
      </w:r>
      <w:proofErr w:type="spellEnd"/>
      <w:r w:rsidRPr="00A50142">
        <w:rPr>
          <w:rFonts w:ascii="Arial" w:hAnsi="Arial" w:cs="Arial"/>
          <w:color w:val="222222"/>
          <w:szCs w:val="24"/>
          <w:shd w:val="clear" w:color="auto" w:fill="FFFFFF"/>
        </w:rPr>
        <w:t>, R. (2022). </w:t>
      </w:r>
      <w:r w:rsidRPr="00A50142">
        <w:rPr>
          <w:rFonts w:ascii="Arial" w:hAnsi="Arial" w:cs="Arial"/>
          <w:i/>
          <w:iCs/>
          <w:color w:val="222222"/>
          <w:szCs w:val="24"/>
          <w:shd w:val="clear" w:color="auto" w:fill="FFFFFF"/>
        </w:rPr>
        <w:t>Exchange rate pass-through to food and energy consumer price inflation</w:t>
      </w:r>
      <w:r w:rsidRPr="00A50142">
        <w:rPr>
          <w:rFonts w:ascii="Arial" w:hAnsi="Arial" w:cs="Arial"/>
          <w:color w:val="222222"/>
          <w:szCs w:val="24"/>
          <w:shd w:val="clear" w:color="auto" w:fill="FFFFFF"/>
        </w:rPr>
        <w:t xml:space="preserve"> (No. 10164). </w:t>
      </w:r>
      <w:proofErr w:type="spellStart"/>
      <w:r w:rsidRPr="00A50142">
        <w:rPr>
          <w:rFonts w:ascii="Arial" w:hAnsi="Arial" w:cs="Arial"/>
          <w:color w:val="222222"/>
          <w:szCs w:val="24"/>
          <w:shd w:val="clear" w:color="auto" w:fill="FFFFFF"/>
        </w:rPr>
        <w:t>CESifo</w:t>
      </w:r>
      <w:proofErr w:type="spellEnd"/>
      <w:r w:rsidRPr="00A50142">
        <w:rPr>
          <w:rFonts w:ascii="Arial" w:hAnsi="Arial" w:cs="Arial"/>
          <w:color w:val="222222"/>
          <w:szCs w:val="24"/>
          <w:shd w:val="clear" w:color="auto" w:fill="FFFFFF"/>
        </w:rPr>
        <w:t xml:space="preserve"> Working Paper.</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Mordi</w:t>
      </w:r>
      <w:proofErr w:type="spellEnd"/>
      <w:r w:rsidRPr="00A50142">
        <w:rPr>
          <w:rFonts w:ascii="Arial" w:hAnsi="Arial" w:cs="Arial"/>
          <w:color w:val="222222"/>
          <w:szCs w:val="24"/>
          <w:shd w:val="clear" w:color="auto" w:fill="FFFFFF"/>
        </w:rPr>
        <w:t xml:space="preserve">, C. N., &amp; Adebiyi, M. A. (2010). The </w:t>
      </w:r>
      <w:proofErr w:type="spellStart"/>
      <w:r w:rsidRPr="00A50142">
        <w:rPr>
          <w:rFonts w:ascii="Arial" w:hAnsi="Arial" w:cs="Arial"/>
          <w:color w:val="222222"/>
          <w:szCs w:val="24"/>
          <w:shd w:val="clear" w:color="auto" w:fill="FFFFFF"/>
        </w:rPr>
        <w:t>assymmetric</w:t>
      </w:r>
      <w:proofErr w:type="spellEnd"/>
      <w:r w:rsidRPr="00A50142">
        <w:rPr>
          <w:rFonts w:ascii="Arial" w:hAnsi="Arial" w:cs="Arial"/>
          <w:color w:val="222222"/>
          <w:szCs w:val="24"/>
          <w:shd w:val="clear" w:color="auto" w:fill="FFFFFF"/>
        </w:rPr>
        <w:t xml:space="preserve"> effects of oil price shocks on output and prices in Nigeria using a Structural VAR model.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48</w:t>
      </w:r>
      <w:r w:rsidRPr="00A50142">
        <w:rPr>
          <w:rFonts w:ascii="Arial" w:hAnsi="Arial" w:cs="Arial"/>
          <w:color w:val="222222"/>
          <w:szCs w:val="24"/>
          <w:shd w:val="clear" w:color="auto" w:fill="FFFFFF"/>
        </w:rPr>
        <w:t>(1), 1.</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Omojolaibi</w:t>
      </w:r>
      <w:proofErr w:type="spellEnd"/>
      <w:r w:rsidRPr="00A50142">
        <w:rPr>
          <w:rFonts w:ascii="Arial" w:hAnsi="Arial" w:cs="Arial"/>
          <w:color w:val="222222"/>
          <w:szCs w:val="24"/>
          <w:shd w:val="clear" w:color="auto" w:fill="FFFFFF"/>
        </w:rPr>
        <w:t xml:space="preserve">, J. A., &amp; </w:t>
      </w:r>
      <w:proofErr w:type="spellStart"/>
      <w:r w:rsidRPr="00A50142">
        <w:rPr>
          <w:rFonts w:ascii="Arial" w:hAnsi="Arial" w:cs="Arial"/>
          <w:color w:val="222222"/>
          <w:szCs w:val="24"/>
          <w:shd w:val="clear" w:color="auto" w:fill="FFFFFF"/>
        </w:rPr>
        <w:t>Egwaikhide</w:t>
      </w:r>
      <w:proofErr w:type="spellEnd"/>
      <w:r w:rsidRPr="00A50142">
        <w:rPr>
          <w:rFonts w:ascii="Arial" w:hAnsi="Arial" w:cs="Arial"/>
          <w:color w:val="222222"/>
          <w:szCs w:val="24"/>
          <w:shd w:val="clear" w:color="auto" w:fill="FFFFFF"/>
        </w:rPr>
        <w:t>, F. O. (2013). A panel analysis of oil price dynamics, fiscal stance and macroeconomic effects: The case of some selected African countries.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51</w:t>
      </w:r>
      <w:r w:rsidRPr="00A50142">
        <w:rPr>
          <w:rFonts w:ascii="Arial" w:hAnsi="Arial" w:cs="Arial"/>
          <w:color w:val="222222"/>
          <w:szCs w:val="24"/>
          <w:shd w:val="clear" w:color="auto" w:fill="FFFFFF"/>
        </w:rPr>
        <w:t>(1), 4.</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Omolade</w:t>
      </w:r>
      <w:proofErr w:type="spellEnd"/>
      <w:r w:rsidRPr="00A50142">
        <w:rPr>
          <w:rFonts w:ascii="Arial" w:hAnsi="Arial" w:cs="Arial"/>
          <w:color w:val="222222"/>
          <w:szCs w:val="24"/>
          <w:shd w:val="clear" w:color="auto" w:fill="FFFFFF"/>
        </w:rPr>
        <w:t xml:space="preserve">, A., </w:t>
      </w:r>
      <w:proofErr w:type="spellStart"/>
      <w:r w:rsidRPr="00A50142">
        <w:rPr>
          <w:rFonts w:ascii="Arial" w:hAnsi="Arial" w:cs="Arial"/>
          <w:color w:val="222222"/>
          <w:szCs w:val="24"/>
          <w:shd w:val="clear" w:color="auto" w:fill="FFFFFF"/>
        </w:rPr>
        <w:t>Ngalawa</w:t>
      </w:r>
      <w:proofErr w:type="spellEnd"/>
      <w:r w:rsidRPr="00A50142">
        <w:rPr>
          <w:rFonts w:ascii="Arial" w:hAnsi="Arial" w:cs="Arial"/>
          <w:color w:val="222222"/>
          <w:szCs w:val="24"/>
          <w:shd w:val="clear" w:color="auto" w:fill="FFFFFF"/>
        </w:rPr>
        <w:t>, H., &amp; Kutu, A. (2019). Crude oil price shocks and macroeconomic performance in Africa’s oil-producing countries. </w:t>
      </w:r>
      <w:r w:rsidRPr="00A50142">
        <w:rPr>
          <w:rFonts w:ascii="Arial" w:hAnsi="Arial" w:cs="Arial"/>
          <w:i/>
          <w:iCs/>
          <w:color w:val="222222"/>
          <w:szCs w:val="24"/>
          <w:shd w:val="clear" w:color="auto" w:fill="FFFFFF"/>
        </w:rPr>
        <w:t>Cogent Economics &amp; Finance</w:t>
      </w:r>
      <w:r w:rsidRPr="00A50142">
        <w:rPr>
          <w:rFonts w:ascii="Arial" w:hAnsi="Arial" w:cs="Arial"/>
          <w:color w:val="222222"/>
          <w:szCs w:val="24"/>
          <w:shd w:val="clear" w:color="auto" w:fill="FFFFFF"/>
        </w:rPr>
        <w:t>.</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Raifu</w:t>
      </w:r>
      <w:proofErr w:type="spellEnd"/>
      <w:r w:rsidRPr="00A50142">
        <w:rPr>
          <w:rFonts w:ascii="Arial" w:hAnsi="Arial" w:cs="Arial"/>
          <w:color w:val="222222"/>
          <w:szCs w:val="24"/>
          <w:shd w:val="clear" w:color="auto" w:fill="FFFFFF"/>
        </w:rPr>
        <w:t>, I. A., &amp; Afolabi, J. A. (2024). Simulating the inflationary effects of fuel subsidy removal in Nigeria: Evidence from a novel approach. </w:t>
      </w:r>
      <w:r w:rsidRPr="00A50142">
        <w:rPr>
          <w:rFonts w:ascii="Arial" w:hAnsi="Arial" w:cs="Arial"/>
          <w:i/>
          <w:iCs/>
          <w:color w:val="222222"/>
          <w:szCs w:val="24"/>
          <w:shd w:val="clear" w:color="auto" w:fill="FFFFFF"/>
        </w:rPr>
        <w:t>Energy Research Letters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w:t>
      </w:r>
      <w:r w:rsidRPr="00A50142">
        <w:rPr>
          <w:rFonts w:ascii="Arial" w:hAnsi="Arial" w:cs="Arial"/>
          <w:color w:val="222222"/>
          <w:szCs w:val="24"/>
          <w:shd w:val="clear" w:color="auto" w:fill="FFFFFF"/>
        </w:rPr>
        <w:t>(4).</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Sa’ad</w:t>
      </w:r>
      <w:proofErr w:type="spellEnd"/>
      <w:r w:rsidRPr="00A50142">
        <w:rPr>
          <w:rFonts w:ascii="Arial" w:hAnsi="Arial" w:cs="Arial"/>
          <w:color w:val="222222"/>
          <w:szCs w:val="24"/>
          <w:shd w:val="clear" w:color="auto" w:fill="FFFFFF"/>
        </w:rPr>
        <w:t xml:space="preserve">, S., Usman, A. B., </w:t>
      </w:r>
      <w:proofErr w:type="spellStart"/>
      <w:r w:rsidRPr="00A50142">
        <w:rPr>
          <w:rFonts w:ascii="Arial" w:hAnsi="Arial" w:cs="Arial"/>
          <w:color w:val="222222"/>
          <w:szCs w:val="24"/>
          <w:shd w:val="clear" w:color="auto" w:fill="FFFFFF"/>
        </w:rPr>
        <w:t>Omaye</w:t>
      </w:r>
      <w:proofErr w:type="spellEnd"/>
      <w:r w:rsidRPr="00A50142">
        <w:rPr>
          <w:rFonts w:ascii="Arial" w:hAnsi="Arial" w:cs="Arial"/>
          <w:color w:val="222222"/>
          <w:szCs w:val="24"/>
          <w:shd w:val="clear" w:color="auto" w:fill="FFFFFF"/>
        </w:rPr>
        <w:t xml:space="preserve">, S. O., &amp; </w:t>
      </w:r>
      <w:proofErr w:type="spellStart"/>
      <w:r w:rsidRPr="00A50142">
        <w:rPr>
          <w:rFonts w:ascii="Arial" w:hAnsi="Arial" w:cs="Arial"/>
          <w:color w:val="222222"/>
          <w:szCs w:val="24"/>
          <w:shd w:val="clear" w:color="auto" w:fill="FFFFFF"/>
        </w:rPr>
        <w:t>Yau</w:t>
      </w:r>
      <w:proofErr w:type="spellEnd"/>
      <w:r w:rsidRPr="00A50142">
        <w:rPr>
          <w:rFonts w:ascii="Arial" w:hAnsi="Arial" w:cs="Arial"/>
          <w:color w:val="222222"/>
          <w:szCs w:val="24"/>
          <w:shd w:val="clear" w:color="auto" w:fill="FFFFFF"/>
        </w:rPr>
        <w:t>, H. (2023). Asymmetric pass-through effects of oil price shocks and exchange rates on inflation in Nigeria: evidence from a nonlinear ARDL model. </w:t>
      </w:r>
      <w:r w:rsidRPr="00A50142">
        <w:rPr>
          <w:rFonts w:ascii="Arial" w:hAnsi="Arial" w:cs="Arial"/>
          <w:i/>
          <w:iCs/>
          <w:color w:val="222222"/>
          <w:szCs w:val="24"/>
          <w:shd w:val="clear" w:color="auto" w:fill="FFFFFF"/>
        </w:rPr>
        <w:t>ESI Preprints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13</w:t>
      </w:r>
      <w:r w:rsidRPr="00A50142">
        <w:rPr>
          <w:rFonts w:ascii="Arial" w:hAnsi="Arial" w:cs="Arial"/>
          <w:color w:val="222222"/>
          <w:szCs w:val="24"/>
          <w:shd w:val="clear" w:color="auto" w:fill="FFFFFF"/>
        </w:rPr>
        <w:t>, 350.</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Sa’ad</w:t>
      </w:r>
      <w:proofErr w:type="spellEnd"/>
      <w:r w:rsidRPr="00A50142">
        <w:rPr>
          <w:rFonts w:ascii="Arial" w:hAnsi="Arial" w:cs="Arial"/>
          <w:color w:val="222222"/>
          <w:szCs w:val="24"/>
          <w:shd w:val="clear" w:color="auto" w:fill="FFFFFF"/>
        </w:rPr>
        <w:t xml:space="preserve">, S., Usman, A. B., </w:t>
      </w:r>
      <w:proofErr w:type="spellStart"/>
      <w:r w:rsidRPr="00A50142">
        <w:rPr>
          <w:rFonts w:ascii="Arial" w:hAnsi="Arial" w:cs="Arial"/>
          <w:color w:val="222222"/>
          <w:szCs w:val="24"/>
          <w:shd w:val="clear" w:color="auto" w:fill="FFFFFF"/>
        </w:rPr>
        <w:t>Omaye</w:t>
      </w:r>
      <w:proofErr w:type="spellEnd"/>
      <w:r w:rsidRPr="00A50142">
        <w:rPr>
          <w:rFonts w:ascii="Arial" w:hAnsi="Arial" w:cs="Arial"/>
          <w:color w:val="222222"/>
          <w:szCs w:val="24"/>
          <w:shd w:val="clear" w:color="auto" w:fill="FFFFFF"/>
        </w:rPr>
        <w:t xml:space="preserve">, S. O., &amp; </w:t>
      </w:r>
      <w:proofErr w:type="spellStart"/>
      <w:r w:rsidRPr="00A50142">
        <w:rPr>
          <w:rFonts w:ascii="Arial" w:hAnsi="Arial" w:cs="Arial"/>
          <w:color w:val="222222"/>
          <w:szCs w:val="24"/>
          <w:shd w:val="clear" w:color="auto" w:fill="FFFFFF"/>
        </w:rPr>
        <w:t>Yau</w:t>
      </w:r>
      <w:proofErr w:type="spellEnd"/>
      <w:r w:rsidRPr="00A50142">
        <w:rPr>
          <w:rFonts w:ascii="Arial" w:hAnsi="Arial" w:cs="Arial"/>
          <w:color w:val="222222"/>
          <w:szCs w:val="24"/>
          <w:shd w:val="clear" w:color="auto" w:fill="FFFFFF"/>
        </w:rPr>
        <w:t>, H. (2023). Asymmetric pass-through effects of oil price shocks and exchange rates on inflation in Nigeria: evidence from a nonlinear ARDL model. </w:t>
      </w:r>
      <w:r w:rsidRPr="00A50142">
        <w:rPr>
          <w:rFonts w:ascii="Arial" w:hAnsi="Arial" w:cs="Arial"/>
          <w:i/>
          <w:iCs/>
          <w:color w:val="222222"/>
          <w:szCs w:val="24"/>
          <w:shd w:val="clear" w:color="auto" w:fill="FFFFFF"/>
        </w:rPr>
        <w:t>ESI Preprints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13</w:t>
      </w:r>
      <w:r w:rsidRPr="00A50142">
        <w:rPr>
          <w:rFonts w:ascii="Arial" w:hAnsi="Arial" w:cs="Arial"/>
          <w:color w:val="222222"/>
          <w:szCs w:val="24"/>
          <w:shd w:val="clear" w:color="auto" w:fill="FFFFFF"/>
        </w:rPr>
        <w:t>, 350.</w:t>
      </w:r>
    </w:p>
    <w:p w:rsidR="00A50142" w:rsidRPr="00A50142" w:rsidRDefault="00A50142" w:rsidP="00A50142">
      <w:pPr>
        <w:pStyle w:val="NormalWeb"/>
        <w:spacing w:before="0" w:beforeAutospacing="0" w:after="0" w:afterAutospacing="0"/>
        <w:ind w:left="720" w:hanging="720"/>
        <w:jc w:val="both"/>
        <w:rPr>
          <w:rFonts w:ascii="Arial" w:hAnsi="Arial" w:cs="Arial"/>
          <w:sz w:val="20"/>
        </w:rPr>
      </w:pPr>
      <w:r w:rsidRPr="00A50142">
        <w:rPr>
          <w:rFonts w:ascii="Arial" w:hAnsi="Arial" w:cs="Arial"/>
          <w:sz w:val="20"/>
        </w:rPr>
        <w:lastRenderedPageBreak/>
        <w:t xml:space="preserve">World Bank. (2024). </w:t>
      </w:r>
      <w:r w:rsidRPr="00A50142">
        <w:rPr>
          <w:rStyle w:val="Emphasis"/>
          <w:rFonts w:ascii="Arial" w:hAnsi="Arial" w:cs="Arial"/>
          <w:sz w:val="20"/>
        </w:rPr>
        <w:t>Global economic prospects: Inflation, growth</w:t>
      </w:r>
      <w:r w:rsidR="00E10AD9">
        <w:rPr>
          <w:rStyle w:val="Emphasis"/>
          <w:rFonts w:ascii="Arial" w:hAnsi="Arial" w:cs="Arial"/>
          <w:sz w:val="20"/>
        </w:rPr>
        <w:t xml:space="preserve"> and</w:t>
      </w:r>
      <w:r w:rsidRPr="00A50142">
        <w:rPr>
          <w:rStyle w:val="Emphasis"/>
          <w:rFonts w:ascii="Arial" w:hAnsi="Arial" w:cs="Arial"/>
          <w:sz w:val="20"/>
        </w:rPr>
        <w:t xml:space="preserve"> commodity price shocks</w:t>
      </w:r>
      <w:r w:rsidRPr="00A50142">
        <w:rPr>
          <w:rFonts w:ascii="Arial" w:hAnsi="Arial" w:cs="Arial"/>
          <w:sz w:val="20"/>
        </w:rPr>
        <w:t>. World Bank Publications.</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Zubair, A., Okorie, G., &amp; Sanusi, A. R. (2013). Exchange rate pass-through to domestic prices in Nigeria: An empirical investigation.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51</w:t>
      </w:r>
      <w:r w:rsidRPr="00A50142">
        <w:rPr>
          <w:rFonts w:ascii="Arial" w:hAnsi="Arial" w:cs="Arial"/>
          <w:color w:val="222222"/>
          <w:szCs w:val="24"/>
          <w:shd w:val="clear" w:color="auto" w:fill="FFFFFF"/>
        </w:rPr>
        <w:t>(1), 2.</w:t>
      </w:r>
    </w:p>
    <w:p w:rsidR="004D4277" w:rsidRPr="00FB3A86" w:rsidRDefault="004D4277" w:rsidP="00441B6F">
      <w:pPr>
        <w:pStyle w:val="Appendix"/>
        <w:spacing w:after="0"/>
        <w:jc w:val="both"/>
        <w:rPr>
          <w:rFonts w:ascii="Arial" w:hAnsi="Arial" w:cs="Arial"/>
          <w:b w:val="0"/>
        </w:rPr>
        <w:sectPr w:rsidR="004D4277" w:rsidRPr="00FB3A86" w:rsidSect="00B10F53">
          <w:footerReference w:type="default" r:id="rId11"/>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B10F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CA2" w:rsidRDefault="004B4CA2" w:rsidP="00C37E61">
      <w:r>
        <w:separator/>
      </w:r>
    </w:p>
  </w:endnote>
  <w:endnote w:type="continuationSeparator" w:id="0">
    <w:p w:rsidR="004B4CA2" w:rsidRDefault="004B4C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B10F53" w:rsidRDefault="00754C9A" w:rsidP="00B10F53">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CA2" w:rsidRDefault="004B4CA2" w:rsidP="00C37E61">
      <w:r>
        <w:separator/>
      </w:r>
    </w:p>
  </w:footnote>
  <w:footnote w:type="continuationSeparator" w:id="0">
    <w:p w:rsidR="004B4CA2" w:rsidRDefault="004B4C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603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2CC7"/>
    <w:rsid w:val="001D3A51"/>
    <w:rsid w:val="001E10D2"/>
    <w:rsid w:val="001E25B4"/>
    <w:rsid w:val="001E44FE"/>
    <w:rsid w:val="00200595"/>
    <w:rsid w:val="00204835"/>
    <w:rsid w:val="00215B18"/>
    <w:rsid w:val="00231920"/>
    <w:rsid w:val="0023195C"/>
    <w:rsid w:val="0024282C"/>
    <w:rsid w:val="002460DC"/>
    <w:rsid w:val="00250985"/>
    <w:rsid w:val="002556F6"/>
    <w:rsid w:val="00283105"/>
    <w:rsid w:val="00284C4C"/>
    <w:rsid w:val="00287E68"/>
    <w:rsid w:val="00296529"/>
    <w:rsid w:val="002B27FB"/>
    <w:rsid w:val="002B685A"/>
    <w:rsid w:val="002C367F"/>
    <w:rsid w:val="002C57D2"/>
    <w:rsid w:val="002E0D56"/>
    <w:rsid w:val="00315186"/>
    <w:rsid w:val="00316FD5"/>
    <w:rsid w:val="0033343E"/>
    <w:rsid w:val="00345638"/>
    <w:rsid w:val="003512C2"/>
    <w:rsid w:val="00352188"/>
    <w:rsid w:val="00371FB6"/>
    <w:rsid w:val="003763C1"/>
    <w:rsid w:val="00376BBE"/>
    <w:rsid w:val="0039224F"/>
    <w:rsid w:val="003A43A4"/>
    <w:rsid w:val="003A7E18"/>
    <w:rsid w:val="003C4C86"/>
    <w:rsid w:val="003C6258"/>
    <w:rsid w:val="003E2904"/>
    <w:rsid w:val="003E3EF5"/>
    <w:rsid w:val="00401927"/>
    <w:rsid w:val="0041027F"/>
    <w:rsid w:val="00412475"/>
    <w:rsid w:val="00423789"/>
    <w:rsid w:val="00440F43"/>
    <w:rsid w:val="00441B6F"/>
    <w:rsid w:val="00446221"/>
    <w:rsid w:val="00450E62"/>
    <w:rsid w:val="004539DB"/>
    <w:rsid w:val="00471A80"/>
    <w:rsid w:val="004B4CA2"/>
    <w:rsid w:val="004D305E"/>
    <w:rsid w:val="004D4277"/>
    <w:rsid w:val="00502516"/>
    <w:rsid w:val="00505F06"/>
    <w:rsid w:val="00506828"/>
    <w:rsid w:val="0053056E"/>
    <w:rsid w:val="00554FDA"/>
    <w:rsid w:val="005C784C"/>
    <w:rsid w:val="005D17F6"/>
    <w:rsid w:val="005E5539"/>
    <w:rsid w:val="00600D13"/>
    <w:rsid w:val="00602BF5"/>
    <w:rsid w:val="00614655"/>
    <w:rsid w:val="00617FDD"/>
    <w:rsid w:val="00623950"/>
    <w:rsid w:val="00633614"/>
    <w:rsid w:val="00633F68"/>
    <w:rsid w:val="00636EB2"/>
    <w:rsid w:val="006375B8"/>
    <w:rsid w:val="0065461F"/>
    <w:rsid w:val="0066510A"/>
    <w:rsid w:val="00673F9F"/>
    <w:rsid w:val="006742E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179C"/>
    <w:rsid w:val="0083216F"/>
    <w:rsid w:val="00860000"/>
    <w:rsid w:val="00863BD3"/>
    <w:rsid w:val="008641ED"/>
    <w:rsid w:val="00866D66"/>
    <w:rsid w:val="008671C6"/>
    <w:rsid w:val="00875803"/>
    <w:rsid w:val="008836A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142"/>
    <w:rsid w:val="00A51431"/>
    <w:rsid w:val="00A539AD"/>
    <w:rsid w:val="00A75DAC"/>
    <w:rsid w:val="00A94063"/>
    <w:rsid w:val="00AA4FDE"/>
    <w:rsid w:val="00AA6219"/>
    <w:rsid w:val="00AA74E0"/>
    <w:rsid w:val="00AB703F"/>
    <w:rsid w:val="00AC6BB8"/>
    <w:rsid w:val="00AD1E42"/>
    <w:rsid w:val="00AE008F"/>
    <w:rsid w:val="00AF2F31"/>
    <w:rsid w:val="00B01FCD"/>
    <w:rsid w:val="00B10F53"/>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787"/>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0AD9"/>
    <w:rsid w:val="00E15994"/>
    <w:rsid w:val="00E3114E"/>
    <w:rsid w:val="00E31A70"/>
    <w:rsid w:val="00E35B02"/>
    <w:rsid w:val="00E51101"/>
    <w:rsid w:val="00E66496"/>
    <w:rsid w:val="00E66B35"/>
    <w:rsid w:val="00E66E10"/>
    <w:rsid w:val="00E769F6"/>
    <w:rsid w:val="00E8407C"/>
    <w:rsid w:val="00E84F3C"/>
    <w:rsid w:val="00EA012C"/>
    <w:rsid w:val="00EC6A55"/>
    <w:rsid w:val="00ED0288"/>
    <w:rsid w:val="00EE52CB"/>
    <w:rsid w:val="00EF375D"/>
    <w:rsid w:val="00EF581D"/>
    <w:rsid w:val="00EF7FD8"/>
    <w:rsid w:val="00F06F59"/>
    <w:rsid w:val="00F17988"/>
    <w:rsid w:val="00F469F0"/>
    <w:rsid w:val="00F53273"/>
    <w:rsid w:val="00F60B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5E6CC0BF-DA99-4537-AC1C-51F6D30B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36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2CC7"/>
    <w:pPr>
      <w:spacing w:before="100" w:beforeAutospacing="1" w:after="100" w:afterAutospacing="1"/>
    </w:pPr>
    <w:rPr>
      <w:rFonts w:ascii="Times New Roman" w:hAnsi="Times New Roman"/>
      <w:sz w:val="24"/>
      <w:szCs w:val="24"/>
    </w:rPr>
  </w:style>
  <w:style w:type="character" w:customStyle="1" w:styleId="katex-mathml">
    <w:name w:val="katex-mathml"/>
    <w:basedOn w:val="DefaultParagraphFont"/>
    <w:rsid w:val="001D2CC7"/>
  </w:style>
  <w:style w:type="character" w:styleId="Strong">
    <w:name w:val="Strong"/>
    <w:basedOn w:val="DefaultParagraphFont"/>
    <w:uiPriority w:val="22"/>
    <w:qFormat/>
    <w:rsid w:val="001D2CC7"/>
    <w:rPr>
      <w:b/>
      <w:bCs/>
    </w:rPr>
  </w:style>
  <w:style w:type="paragraph" w:styleId="HTMLPreformatted">
    <w:name w:val="HTML Preformatted"/>
    <w:basedOn w:val="Normal"/>
    <w:link w:val="HTMLPreformattedChar"/>
    <w:uiPriority w:val="99"/>
    <w:unhideWhenUsed/>
    <w:rsid w:val="001D2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D2CC7"/>
    <w:rPr>
      <w:rFonts w:ascii="Courier New" w:hAnsi="Courier New" w:cs="Courier New"/>
    </w:rPr>
  </w:style>
  <w:style w:type="character" w:customStyle="1" w:styleId="gntyacmbo3b">
    <w:name w:val="gntyacmbo3b"/>
    <w:basedOn w:val="DefaultParagraphFont"/>
    <w:rsid w:val="001D2CC7"/>
  </w:style>
  <w:style w:type="character" w:customStyle="1" w:styleId="Heading3Char">
    <w:name w:val="Heading 3 Char"/>
    <w:basedOn w:val="DefaultParagraphFont"/>
    <w:link w:val="Heading3"/>
    <w:semiHidden/>
    <w:rsid w:val="002C367F"/>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AD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4708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6FA5-B6C0-4D2C-9898-B2449F16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11</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2026-05-13T13:42:00Z</dcterms:modified>
</cp:coreProperties>
</file>