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C597" w14:textId="79795470" w:rsidR="00E702BD" w:rsidRPr="00E702BD" w:rsidRDefault="00E702BD" w:rsidP="00E702BD">
      <w:pPr>
        <w:pStyle w:val="Author"/>
        <w:widowControl/>
        <w:spacing w:line="240" w:lineRule="auto"/>
        <w:jc w:val="left"/>
        <w:rPr>
          <w:rFonts w:eastAsia="Times New Roman"/>
          <w:bCs/>
          <w:iCs/>
          <w:kern w:val="28"/>
          <w:sz w:val="36"/>
          <w:szCs w:val="20"/>
          <w:u w:val="single"/>
          <w:lang w:eastAsia="zh-CN"/>
        </w:rPr>
      </w:pPr>
      <w:r w:rsidRPr="00E702BD">
        <w:rPr>
          <w:rFonts w:eastAsia="Times New Roman"/>
          <w:bCs/>
          <w:iCs/>
          <w:kern w:val="28"/>
          <w:sz w:val="36"/>
          <w:szCs w:val="20"/>
          <w:u w:val="single"/>
          <w:lang w:eastAsia="zh-CN"/>
        </w:rPr>
        <w:t>Original Research Article</w:t>
      </w:r>
    </w:p>
    <w:p w14:paraId="258F74F3" w14:textId="77777777" w:rsidR="00E702BD" w:rsidRDefault="00E702BD">
      <w:pPr>
        <w:pStyle w:val="Author"/>
        <w:widowControl/>
        <w:spacing w:line="240" w:lineRule="auto"/>
        <w:rPr>
          <w:rFonts w:eastAsia="Times New Roman"/>
          <w:bCs/>
          <w:iCs/>
          <w:kern w:val="28"/>
          <w:sz w:val="36"/>
          <w:szCs w:val="20"/>
          <w:lang w:eastAsia="zh-CN"/>
        </w:rPr>
      </w:pPr>
    </w:p>
    <w:p w14:paraId="36132055" w14:textId="7E8DEB79" w:rsidR="0008758D" w:rsidRPr="00E702BD" w:rsidRDefault="00127F5C">
      <w:pPr>
        <w:pStyle w:val="Author"/>
        <w:widowControl/>
        <w:spacing w:line="240" w:lineRule="auto"/>
        <w:rPr>
          <w:rFonts w:eastAsia="Times New Roman"/>
          <w:bCs/>
          <w:iCs/>
          <w:kern w:val="28"/>
          <w:sz w:val="32"/>
          <w:szCs w:val="18"/>
        </w:rPr>
      </w:pPr>
      <w:r w:rsidRPr="00E702BD">
        <w:rPr>
          <w:rFonts w:eastAsia="Times New Roman" w:hint="eastAsia"/>
          <w:bCs/>
          <w:iCs/>
          <w:kern w:val="28"/>
          <w:sz w:val="32"/>
          <w:szCs w:val="18"/>
          <w:lang w:eastAsia="zh-CN"/>
        </w:rPr>
        <w:t>Sustainable Development and Corporate Internationalization: How Does ESG Performance Affect Enterprises' Outward Foreign Direct Investment?</w:t>
      </w:r>
    </w:p>
    <w:p w14:paraId="16CC22A4" w14:textId="77777777" w:rsidR="0008758D" w:rsidRDefault="0008758D">
      <w:pPr>
        <w:spacing w:after="240" w:line="275" w:lineRule="auto"/>
        <w:rPr>
          <w:rFonts w:ascii="Google Sans" w:eastAsia="Google Sans" w:hAnsi="Google Sans" w:cs="Google Sans"/>
          <w:color w:val="1F1F1F"/>
        </w:rPr>
      </w:pPr>
    </w:p>
    <w:p w14:paraId="62203D2F" w14:textId="77777777" w:rsidR="0008758D" w:rsidRDefault="0008758D">
      <w:pPr>
        <w:pStyle w:val="Affiliation"/>
        <w:widowControl/>
        <w:spacing w:after="0" w:line="240" w:lineRule="auto"/>
        <w:rPr>
          <w:rFonts w:eastAsia="Times New Roman"/>
          <w:i/>
          <w:sz w:val="20"/>
          <w:szCs w:val="20"/>
        </w:rPr>
      </w:pPr>
    </w:p>
    <w:p w14:paraId="09D81689" w14:textId="77777777" w:rsidR="0008758D" w:rsidRDefault="00127F5C">
      <w:pPr>
        <w:spacing w:after="240" w:line="275" w:lineRule="auto"/>
        <w:jc w:val="center"/>
        <w:rPr>
          <w:rFonts w:ascii="Google Sans Text" w:eastAsia="Google Sans Text" w:hAnsi="Google Sans Text" w:cs="Google Sans Text"/>
          <w:color w:val="444746"/>
          <w:sz w:val="24"/>
          <w:szCs w:val="24"/>
          <w:vertAlign w:val="superscript"/>
        </w:rPr>
      </w:pPr>
      <w:r>
        <w:rPr>
          <w:noProof/>
        </w:rPr>
        <mc:AlternateContent>
          <mc:Choice Requires="wps">
            <w:drawing>
              <wp:inline distT="0" distB="0" distL="114300" distR="114300" wp14:anchorId="353CCFC7" wp14:editId="78FBDA8F">
                <wp:extent cx="5775325" cy="36195"/>
                <wp:effectExtent l="0" t="9525" r="3175" b="17780"/>
                <wp:docPr id="3" name="直接箭头连接符 3"/>
                <wp:cNvGraphicFramePr/>
                <a:graphic xmlns:a="http://schemas.openxmlformats.org/drawingml/2006/main">
                  <a:graphicData uri="http://schemas.microsoft.com/office/word/2010/wordprocessingShape">
                    <wps:wsp>
                      <wps:cNvCnPr/>
                      <wps:spPr>
                        <a:xfrm flipV="1">
                          <a:off x="0" y="0"/>
                          <a:ext cx="5775325" cy="3619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5CF1EC9" id="_x0000_t32" coordsize="21600,21600" o:spt="32" o:oned="t" path="m,l21600,21600e" filled="f">
                <v:path arrowok="t" fillok="f" o:connecttype="none"/>
                <o:lock v:ext="edit" shapetype="t"/>
              </v:shapetype>
              <v:shape id="直接箭头连接符 3" o:spid="_x0000_s1026" type="#_x0000_t32" style="width:454.75pt;height:2.8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" strokeweight="1.5pt">
                <w10:anchorlock/>
              </v:shape>
            </w:pict>
          </mc:Fallback>
        </mc:AlternateContent>
      </w:r>
    </w:p>
    <w:p w14:paraId="41E52CCF"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Abstract</w:t>
      </w:r>
    </w:p>
    <w:p w14:paraId="0FF4CD08" w14:textId="77777777" w:rsidR="0008758D" w:rsidRDefault="0008758D">
      <w:pPr>
        <w:pStyle w:val="a"/>
        <w:ind w:firstLineChars="0" w:firstLine="0"/>
        <w:rPr>
          <w:rFonts w:ascii="Arial" w:eastAsia="Calibri" w:hAnsi="Arial" w:cs="Arial"/>
          <w:bCs/>
          <w:kern w:val="0"/>
          <w:sz w:val="20"/>
          <w:szCs w:val="22"/>
          <w:lang w:eastAsia="zh-CN"/>
        </w:rPr>
      </w:pPr>
    </w:p>
    <w:p w14:paraId="3D6A587D" w14:textId="77777777" w:rsidR="0008758D" w:rsidRDefault="00127F5C">
      <w:pPr>
        <w:spacing w:line="312" w:lineRule="auto"/>
        <w:ind w:firstLineChars="200" w:firstLine="440"/>
        <w:rPr>
          <w:color w:val="0000FF"/>
          <w:lang w:eastAsia="zh-CN"/>
        </w:rPr>
      </w:pPr>
      <w:r>
        <w:rPr>
          <w:rFonts w:hint="eastAsia"/>
          <w:lang w:eastAsia="zh-CN"/>
        </w:rPr>
        <w:t xml:space="preserve">In the process of globalization, corporate social responsibility has gradually become a focal point of public concern, and corporate ESG performance has increasingly become one of the manifestations of a company's </w:t>
      </w:r>
      <w:proofErr w:type="spellStart"/>
      <w:r>
        <w:rPr>
          <w:rFonts w:hint="eastAsia"/>
          <w:lang w:eastAsia="zh-CN"/>
        </w:rPr>
        <w:t>competitiveness.This</w:t>
      </w:r>
      <w:proofErr w:type="spellEnd"/>
      <w:r>
        <w:rPr>
          <w:rFonts w:hint="eastAsia"/>
          <w:lang w:eastAsia="zh-CN"/>
        </w:rPr>
        <w:t xml:space="preserve"> paper is based </w:t>
      </w:r>
      <w:proofErr w:type="spellStart"/>
      <w:r>
        <w:rPr>
          <w:rFonts w:hint="eastAsia"/>
          <w:lang w:eastAsia="zh-CN"/>
        </w:rPr>
        <w:t>onthe</w:t>
      </w:r>
      <w:proofErr w:type="spellEnd"/>
      <w:r>
        <w:rPr>
          <w:rFonts w:hint="eastAsia"/>
          <w:lang w:eastAsia="zh-CN"/>
        </w:rPr>
        <w:t xml:space="preserve"> </w:t>
      </w:r>
      <w:r>
        <w:rPr>
          <w:rFonts w:hint="eastAsia"/>
          <w:lang w:eastAsia="zh-CN"/>
        </w:rPr>
        <w:t>data of A-share listed companies in Shanghai and Shenzhen from 2006 to 2024, using a fixed effects model for empirical analysis to explore the multidimensional impact mechanism of corporate ESG performance on its outward foreign direct investment (OFDI). T</w:t>
      </w:r>
      <w:r>
        <w:rPr>
          <w:rFonts w:hint="eastAsia"/>
          <w:lang w:eastAsia="zh-CN"/>
        </w:rPr>
        <w:t>he study finds that corporate ESG performance significantly affects its OFDI; good ESG performance reduces investment risks, helps enhance corporate social recognition and brand value, lowers operational risks, and expands new markets, thereby improving th</w:t>
      </w:r>
      <w:r>
        <w:rPr>
          <w:rFonts w:hint="eastAsia"/>
          <w:lang w:eastAsia="zh-CN"/>
        </w:rPr>
        <w:t>e company's capital acquisition capability. Finally, this paper combines the research results to propose relevant policy recommendations from multiple aspects, such as strengthening the construction of the ESG management system, enhancing policy guidance a</w:t>
      </w:r>
      <w:r>
        <w:rPr>
          <w:rFonts w:hint="eastAsia"/>
          <w:lang w:eastAsia="zh-CN"/>
        </w:rPr>
        <w:t>nd support, and improving the coordination of international ESG standards, providing references for companies to enhance their international competitiveness and achieve sustainable development.</w:t>
      </w:r>
    </w:p>
    <w:p w14:paraId="33D1902C" w14:textId="77777777" w:rsidR="0008758D" w:rsidRDefault="0008758D">
      <w:pPr>
        <w:pStyle w:val="a"/>
        <w:spacing w:line="240" w:lineRule="auto"/>
        <w:ind w:firstLineChars="0" w:firstLine="0"/>
        <w:rPr>
          <w:rFonts w:ascii="Arial" w:eastAsia="Calibri" w:hAnsi="Arial" w:cs="Arial"/>
          <w:bCs/>
          <w:kern w:val="0"/>
          <w:sz w:val="20"/>
          <w:szCs w:val="22"/>
          <w:lang w:eastAsia="zh-CN"/>
        </w:rPr>
      </w:pPr>
    </w:p>
    <w:p w14:paraId="0994BCE2" w14:textId="77777777" w:rsidR="0008758D" w:rsidRDefault="0008758D">
      <w:pPr>
        <w:rPr>
          <w:lang w:eastAsia="zh-CN"/>
        </w:rPr>
      </w:pPr>
    </w:p>
    <w:p w14:paraId="2A1ED5DD" w14:textId="77777777" w:rsidR="0008758D" w:rsidRDefault="00127F5C">
      <w:pPr>
        <w:pStyle w:val="Body"/>
        <w:widowControl/>
        <w:spacing w:after="0"/>
        <w:rPr>
          <w:rFonts w:eastAsia="Times New Roman"/>
          <w:i/>
          <w:sz w:val="20"/>
          <w:szCs w:val="20"/>
          <w:lang w:eastAsia="zh-CN"/>
        </w:rPr>
      </w:pPr>
      <w:r>
        <w:rPr>
          <w:rFonts w:eastAsia="Times New Roman" w:hint="eastAsia"/>
          <w:i/>
          <w:sz w:val="20"/>
          <w:szCs w:val="20"/>
          <w:lang w:eastAsia="zh-CN"/>
        </w:rPr>
        <w:t>Keywords: ESG performance; outward foreign direct investment</w:t>
      </w:r>
      <w:r>
        <w:rPr>
          <w:rFonts w:eastAsia="Times New Roman" w:hint="eastAsia"/>
          <w:i/>
          <w:sz w:val="20"/>
          <w:szCs w:val="20"/>
          <w:lang w:eastAsia="zh-CN"/>
        </w:rPr>
        <w:t>; empirical analysis; environment, social, and governance</w:t>
      </w:r>
    </w:p>
    <w:p w14:paraId="7BFF35C1" w14:textId="77777777" w:rsidR="0008758D" w:rsidRDefault="0008758D">
      <w:pPr>
        <w:pStyle w:val="Body"/>
        <w:widowControl/>
        <w:spacing w:after="0"/>
        <w:rPr>
          <w:rFonts w:eastAsia="Times New Roman"/>
          <w:i/>
          <w:sz w:val="20"/>
          <w:szCs w:val="20"/>
          <w:lang w:eastAsia="zh-CN"/>
        </w:rPr>
      </w:pPr>
    </w:p>
    <w:p w14:paraId="08BE2F58" w14:textId="77777777" w:rsidR="0008758D" w:rsidRDefault="00127F5C">
      <w:pPr>
        <w:pStyle w:val="Heading1"/>
        <w:keepNext/>
        <w:rPr>
          <w:rFonts w:eastAsia="Times New Roman" w:cs="Arial"/>
          <w:sz w:val="20"/>
          <w:szCs w:val="20"/>
          <w:lang w:eastAsia="zh-CN"/>
        </w:rPr>
      </w:pPr>
      <w:r>
        <w:rPr>
          <w:rFonts w:ascii="Arial" w:eastAsia="Times New Roman" w:hAnsi="Arial" w:cs="Arial"/>
          <w:b/>
          <w:caps/>
          <w:sz w:val="22"/>
          <w:szCs w:val="20"/>
          <w:lang w:eastAsia="zh-CN"/>
        </w:rPr>
        <w:t>1.</w:t>
      </w:r>
      <w:r>
        <w:rPr>
          <w:rFonts w:ascii="Arial" w:eastAsia="Times New Roman" w:hAnsi="Arial" w:cs="Arial" w:hint="eastAsia"/>
          <w:b/>
          <w:caps/>
          <w:sz w:val="22"/>
          <w:szCs w:val="20"/>
          <w:lang w:eastAsia="zh-CN"/>
        </w:rPr>
        <w:t xml:space="preserve"> </w:t>
      </w:r>
      <w:r>
        <w:rPr>
          <w:rFonts w:ascii="Arial" w:eastAsia="Times New Roman" w:hAnsi="Arial" w:cs="Arial" w:hint="eastAsia"/>
          <w:b/>
          <w:caps/>
          <w:kern w:val="0"/>
          <w:sz w:val="22"/>
          <w:szCs w:val="20"/>
          <w:lang w:eastAsia="zh-CN"/>
        </w:rPr>
        <w:t>Introduction</w:t>
      </w:r>
    </w:p>
    <w:p w14:paraId="032AEAC2"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In the context of deepening globalization and the widespread adoption of sustainable development concepts, corporate social responsibility has shifted from a marginal issue to a </w:t>
      </w:r>
      <w:r>
        <w:rPr>
          <w:rFonts w:eastAsia="Times New Roman" w:hint="eastAsia"/>
          <w:sz w:val="20"/>
          <w:szCs w:val="20"/>
          <w:lang w:eastAsia="zh-CN"/>
        </w:rPr>
        <w:t>core element affecting corporate international competitiveness, with environmental, social, and governance (ESG) performance gradually becoming an important standard for measuring a company's sustainable development capability. In 2018, China's "Guidelines</w:t>
      </w:r>
      <w:r>
        <w:rPr>
          <w:rFonts w:eastAsia="Times New Roman" w:hint="eastAsia"/>
          <w:sz w:val="20"/>
          <w:szCs w:val="20"/>
          <w:lang w:eastAsia="zh-CN"/>
        </w:rPr>
        <w:t xml:space="preserve"> for the Governance of Listed Companies" first incorporated ESG requirements into the governance framework of listed companies, marking the entry of China's ESG system construction into a standardized phase. By 2025, with the continuous promotion of the "d</w:t>
      </w:r>
      <w:r>
        <w:rPr>
          <w:rFonts w:eastAsia="Times New Roman" w:hint="eastAsia"/>
          <w:sz w:val="20"/>
          <w:szCs w:val="20"/>
          <w:lang w:eastAsia="zh-CN"/>
        </w:rPr>
        <w:t>ual carbon" goals and the deepening of capital market reforms, the requirements for ESG information disclosure have been continuously strengthened. As of May 1, 2025, the number of listed companies in the A-share market disclosing ESG reports has reached 2</w:t>
      </w:r>
      <w:r>
        <w:rPr>
          <w:rFonts w:eastAsia="Times New Roman" w:hint="eastAsia"/>
          <w:sz w:val="20"/>
          <w:szCs w:val="20"/>
          <w:lang w:eastAsia="zh-CN"/>
        </w:rPr>
        <w:t>,457, with a disclosure rate rising to 45.41%. ESG performance has become a key dimension in evaluating the comprehensive strength of listed companies. Meanwhile, Chinese enterprises are accelerating their "going out" efforts, with the scale of outward for</w:t>
      </w:r>
      <w:r>
        <w:rPr>
          <w:rFonts w:eastAsia="Times New Roman" w:hint="eastAsia"/>
          <w:sz w:val="20"/>
          <w:szCs w:val="20"/>
          <w:lang w:eastAsia="zh-CN"/>
        </w:rPr>
        <w:t xml:space="preserve">eign direct </w:t>
      </w:r>
      <w:r>
        <w:rPr>
          <w:rFonts w:eastAsia="Times New Roman" w:hint="eastAsia"/>
          <w:sz w:val="20"/>
          <w:szCs w:val="20"/>
          <w:lang w:eastAsia="zh-CN"/>
        </w:rPr>
        <w:lastRenderedPageBreak/>
        <w:t>investment (OFDI) continuously expanding. However, in the process of internationalization, companies face increasingly stringent international ESG regulations, community conflicts, and environmental compliance risks, making the impact of ESG pe</w:t>
      </w:r>
      <w:r>
        <w:rPr>
          <w:rFonts w:eastAsia="Times New Roman" w:hint="eastAsia"/>
          <w:sz w:val="20"/>
          <w:szCs w:val="20"/>
          <w:lang w:eastAsia="zh-CN"/>
        </w:rPr>
        <w:t>rformance on the success or failure of overseas investments more pronounced. In this context, exploring the relationship between corporate ESG performance and its OFDI has important theoretical value and practical significance.</w:t>
      </w:r>
    </w:p>
    <w:p w14:paraId="207CD943" w14:textId="77777777" w:rsidR="0008758D" w:rsidRDefault="0008758D">
      <w:pPr>
        <w:pStyle w:val="Body"/>
        <w:widowControl/>
        <w:spacing w:after="0"/>
        <w:rPr>
          <w:rFonts w:eastAsia="Times New Roman"/>
          <w:sz w:val="20"/>
          <w:szCs w:val="20"/>
          <w:lang w:eastAsia="zh-CN"/>
        </w:rPr>
      </w:pPr>
    </w:p>
    <w:p w14:paraId="70A7AF70"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From a theoretical perspect</w:t>
      </w:r>
      <w:r>
        <w:rPr>
          <w:rFonts w:eastAsia="Times New Roman" w:hint="eastAsia"/>
          <w:sz w:val="20"/>
          <w:szCs w:val="20"/>
          <w:lang w:eastAsia="zh-CN"/>
        </w:rPr>
        <w:t>ive, existing research on the economic consequences of ESG has largely focused on domestic market dimensions such as corporate value, financing costs, and innovation capabilities (Trinh, 2026), while research on its impact on corporate internationalization</w:t>
      </w:r>
      <w:r>
        <w:rPr>
          <w:rFonts w:eastAsia="Times New Roman" w:hint="eastAsia"/>
          <w:sz w:val="20"/>
          <w:szCs w:val="20"/>
          <w:lang w:eastAsia="zh-CN"/>
        </w:rPr>
        <w:t xml:space="preserve"> behavior remains relatively weak. At the same time, studies on the influencing factors of OFDI have long been based on traditional factors such as macro-institutional environment, labor costs, and natural resource endowments (</w:t>
      </w:r>
      <w:proofErr w:type="spellStart"/>
      <w:r>
        <w:rPr>
          <w:rFonts w:eastAsia="Times New Roman" w:hint="eastAsia"/>
          <w:sz w:val="20"/>
          <w:szCs w:val="20"/>
          <w:lang w:eastAsia="zh-CN"/>
        </w:rPr>
        <w:t>Kyrkilis</w:t>
      </w:r>
      <w:proofErr w:type="spellEnd"/>
      <w:r>
        <w:rPr>
          <w:rFonts w:eastAsia="Times New Roman" w:hint="eastAsia"/>
          <w:sz w:val="20"/>
          <w:szCs w:val="20"/>
          <w:lang w:eastAsia="zh-CN"/>
        </w:rPr>
        <w:t xml:space="preserve"> &amp; </w:t>
      </w:r>
      <w:proofErr w:type="spellStart"/>
      <w:r>
        <w:rPr>
          <w:rFonts w:eastAsia="Times New Roman" w:hint="eastAsia"/>
          <w:sz w:val="20"/>
          <w:szCs w:val="20"/>
          <w:lang w:eastAsia="zh-CN"/>
        </w:rPr>
        <w:t>Pantelidis</w:t>
      </w:r>
      <w:proofErr w:type="spellEnd"/>
      <w:r>
        <w:rPr>
          <w:rFonts w:eastAsia="Times New Roman" w:hint="eastAsia"/>
          <w:sz w:val="20"/>
          <w:szCs w:val="20"/>
          <w:lang w:eastAsia="zh-CN"/>
        </w:rPr>
        <w:t xml:space="preserve">, 2003; </w:t>
      </w:r>
      <w:r>
        <w:rPr>
          <w:rFonts w:eastAsia="Times New Roman" w:hint="eastAsia"/>
          <w:sz w:val="20"/>
          <w:szCs w:val="20"/>
          <w:lang w:eastAsia="zh-CN"/>
        </w:rPr>
        <w:t>Paul &amp; Benito, 2018), with insufficient attention to ESG as an emerging non-financial factor. From a practical perspective, there have been numerous cases where Chinese enterprises have faced investment obstacles or even failures due to poor ESG performanc</w:t>
      </w:r>
      <w:r>
        <w:rPr>
          <w:rFonts w:eastAsia="Times New Roman" w:hint="eastAsia"/>
          <w:sz w:val="20"/>
          <w:szCs w:val="20"/>
          <w:lang w:eastAsia="zh-CN"/>
        </w:rPr>
        <w:t>e during their "going out" process. How to enhance international competitiveness and reduce overseas investment risks by improving ESG performance has become a core issue in corporate internationalization strategies. Additionally, government departments ur</w:t>
      </w:r>
      <w:r>
        <w:rPr>
          <w:rFonts w:eastAsia="Times New Roman" w:hint="eastAsia"/>
          <w:sz w:val="20"/>
          <w:szCs w:val="20"/>
          <w:lang w:eastAsia="zh-CN"/>
        </w:rPr>
        <w:t>gently need relevant empirical evidence to improve the ESG policy system and guide enterprises in conducting high-quality outward foreign direct investment.</w:t>
      </w:r>
    </w:p>
    <w:p w14:paraId="6C025332" w14:textId="77777777" w:rsidR="0008758D" w:rsidRDefault="0008758D">
      <w:pPr>
        <w:pStyle w:val="Body"/>
        <w:widowControl/>
        <w:spacing w:after="0"/>
        <w:rPr>
          <w:rFonts w:eastAsia="Times New Roman"/>
          <w:sz w:val="20"/>
          <w:szCs w:val="20"/>
          <w:lang w:eastAsia="zh-CN"/>
        </w:rPr>
      </w:pPr>
    </w:p>
    <w:p w14:paraId="303E9A94"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Although existing literature has conducted preliminary explorations of the relationship between ES</w:t>
      </w:r>
      <w:r>
        <w:rPr>
          <w:rFonts w:eastAsia="Times New Roman" w:hint="eastAsia"/>
          <w:sz w:val="20"/>
          <w:szCs w:val="20"/>
          <w:lang w:eastAsia="zh-CN"/>
        </w:rPr>
        <w:t>G and international direct investment, there are still obvious shortcomings: First, there is a bias in research perspectives. Early studies have mainly focused on the impact of host country sovereign ESG levels on FDI inflows (</w:t>
      </w:r>
      <w:proofErr w:type="spellStart"/>
      <w:r>
        <w:rPr>
          <w:rFonts w:eastAsia="Times New Roman" w:hint="eastAsia"/>
          <w:sz w:val="20"/>
          <w:szCs w:val="20"/>
          <w:lang w:eastAsia="zh-CN"/>
        </w:rPr>
        <w:t>Bannour</w:t>
      </w:r>
      <w:proofErr w:type="spellEnd"/>
      <w:r>
        <w:rPr>
          <w:rFonts w:eastAsia="Times New Roman" w:hint="eastAsia"/>
          <w:sz w:val="20"/>
          <w:szCs w:val="20"/>
          <w:lang w:eastAsia="zh-CN"/>
        </w:rPr>
        <w:t xml:space="preserve"> &amp; </w:t>
      </w:r>
      <w:proofErr w:type="spellStart"/>
      <w:r>
        <w:rPr>
          <w:rFonts w:eastAsia="Times New Roman" w:hint="eastAsia"/>
          <w:sz w:val="20"/>
          <w:szCs w:val="20"/>
          <w:lang w:eastAsia="zh-CN"/>
        </w:rPr>
        <w:t>Abdelkawy</w:t>
      </w:r>
      <w:proofErr w:type="spellEnd"/>
      <w:r>
        <w:rPr>
          <w:rFonts w:eastAsia="Times New Roman" w:hint="eastAsia"/>
          <w:sz w:val="20"/>
          <w:szCs w:val="20"/>
          <w:lang w:eastAsia="zh-CN"/>
        </w:rPr>
        <w:t>, 2024; Qi</w:t>
      </w:r>
      <w:r>
        <w:rPr>
          <w:rFonts w:eastAsia="Times New Roman" w:hint="eastAsia"/>
          <w:sz w:val="20"/>
          <w:szCs w:val="20"/>
          <w:lang w:eastAsia="zh-CN"/>
        </w:rPr>
        <w:t>ng et al., 2024), while research on how the ESG performance of home country enterprises affects their OFDI has started relatively late and lacks systematic causal identification and mechanism analysis (Wang et al., 2026). Second, the exploration of the mec</w:t>
      </w:r>
      <w:r>
        <w:rPr>
          <w:rFonts w:eastAsia="Times New Roman" w:hint="eastAsia"/>
          <w:sz w:val="20"/>
          <w:szCs w:val="20"/>
          <w:lang w:eastAsia="zh-CN"/>
        </w:rPr>
        <w:t>hanisms is not in-depth. Although existing research has explained the impact of ESG on OFDI from the perspectives of risk reduction and resource acquisition, empirical testing of the two core pathways—financing constraints and technological spillovers—rema</w:t>
      </w:r>
      <w:r>
        <w:rPr>
          <w:rFonts w:eastAsia="Times New Roman" w:hint="eastAsia"/>
          <w:sz w:val="20"/>
          <w:szCs w:val="20"/>
          <w:lang w:eastAsia="zh-CN"/>
        </w:rPr>
        <w:t>ins insufficient, failing to clearly reveal the internal logic of how ESG affects OFDI. Third, the analysis of heterogeneity is not comprehensive enough. Existing studies have mostly focused on the moderating role of regional institutional environments, wi</w:t>
      </w:r>
      <w:r>
        <w:rPr>
          <w:rFonts w:eastAsia="Times New Roman" w:hint="eastAsia"/>
          <w:sz w:val="20"/>
          <w:szCs w:val="20"/>
          <w:lang w:eastAsia="zh-CN"/>
        </w:rPr>
        <w:t>th insufficient exploration of the heterogeneity in micro dimensions such as enterprise property rights, technological attributes, and geographical locations, which cannot provide differentiated decision-making references for different types of enterprises</w:t>
      </w:r>
      <w:r>
        <w:rPr>
          <w:rFonts w:eastAsia="Times New Roman" w:hint="eastAsia"/>
          <w:sz w:val="20"/>
          <w:szCs w:val="20"/>
          <w:lang w:eastAsia="zh-CN"/>
        </w:rPr>
        <w:t>. Fourth, the handling of endogeneity issues needs improvement. There may be a bidirectional causal relationship between ESG and OFDI, meaning that corporate OFDI can enhance its own ESG level through channels such as acquiring advanced management experien</w:t>
      </w:r>
      <w:r>
        <w:rPr>
          <w:rFonts w:eastAsia="Times New Roman" w:hint="eastAsia"/>
          <w:sz w:val="20"/>
          <w:szCs w:val="20"/>
          <w:lang w:eastAsia="zh-CN"/>
        </w:rPr>
        <w:t>ce overseas and meeting international market compliance requirements (Zhou et al., 2025). Some studies have not adequately addressed this endogeneity issue, affecting the reliability of their conclusions. Therefore, exploring the relationship between multi</w:t>
      </w:r>
      <w:r>
        <w:rPr>
          <w:rFonts w:eastAsia="Times New Roman" w:hint="eastAsia"/>
          <w:sz w:val="20"/>
          <w:szCs w:val="20"/>
          <w:lang w:eastAsia="zh-CN"/>
        </w:rPr>
        <w:t>national corporations' ESG performance and their OFDI has important theoretical value and practical significance.</w:t>
      </w:r>
    </w:p>
    <w:p w14:paraId="6CBCEB84" w14:textId="77777777" w:rsidR="0008758D" w:rsidRDefault="0008758D">
      <w:pPr>
        <w:pStyle w:val="Body"/>
        <w:widowControl/>
        <w:spacing w:after="0"/>
        <w:rPr>
          <w:rFonts w:eastAsia="Times New Roman"/>
          <w:sz w:val="20"/>
          <w:szCs w:val="20"/>
          <w:lang w:eastAsia="zh-CN"/>
        </w:rPr>
      </w:pPr>
    </w:p>
    <w:p w14:paraId="26A4194C"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In response to the above shortcomings, the marginal contributions of this paper are mainly reflected in the following three aspects: First, i</w:t>
      </w:r>
      <w:r>
        <w:rPr>
          <w:rFonts w:eastAsia="Times New Roman" w:hint="eastAsia"/>
          <w:sz w:val="20"/>
          <w:szCs w:val="20"/>
          <w:lang w:eastAsia="zh-CN"/>
        </w:rPr>
        <w:t>t expands the research scope of the economic consequences of ESG. This paper incorporates corporate ESG performance and its outward foreign direct investment (OFDI) behavior into a unified analytical framework, utilizing long panel data from Shanghai and S</w:t>
      </w:r>
      <w:r>
        <w:rPr>
          <w:rFonts w:eastAsia="Times New Roman" w:hint="eastAsia"/>
          <w:sz w:val="20"/>
          <w:szCs w:val="20"/>
          <w:lang w:eastAsia="zh-CN"/>
        </w:rPr>
        <w:t>henzhen A-share listed companies from 2006 to 2024 to systematically examine the impact of ESG on OFDI flow and investment frequency, providing empirical evidence from China on the relationship between ESG and corporate internationalization behavior. Secon</w:t>
      </w:r>
      <w:r>
        <w:rPr>
          <w:rFonts w:eastAsia="Times New Roman" w:hint="eastAsia"/>
          <w:sz w:val="20"/>
          <w:szCs w:val="20"/>
          <w:lang w:eastAsia="zh-CN"/>
        </w:rPr>
        <w:t>d, it reveals the core transmission mechanism through which ESG affects OFDI. This paper empirically tests the intrinsic pathways through which ESG influences OFDI from the dimensions of financing constraints and technological spillovers, clearly elucidati</w:t>
      </w:r>
      <w:r>
        <w:rPr>
          <w:rFonts w:eastAsia="Times New Roman" w:hint="eastAsia"/>
          <w:sz w:val="20"/>
          <w:szCs w:val="20"/>
          <w:lang w:eastAsia="zh-CN"/>
        </w:rPr>
        <w:t>ng the logical role of enhanced ESG performance in promoting OFDI expansion through alleviating financing constraints and enhancing technological innovation, thus addressing the shortcomings of existing mechanism research. Third, it enriches the dimensions</w:t>
      </w:r>
      <w:r>
        <w:rPr>
          <w:rFonts w:eastAsia="Times New Roman" w:hint="eastAsia"/>
          <w:sz w:val="20"/>
          <w:szCs w:val="20"/>
          <w:lang w:eastAsia="zh-CN"/>
        </w:rPr>
        <w:t xml:space="preserve"> of heterogeneity analysis. This paper conducts heterogeneity tests from three aspects: the nature of corporate ownership, technological attributes, and geographical location, revealing the differences in the impact of ESG on OFDI for different types of en</w:t>
      </w:r>
      <w:r>
        <w:rPr>
          <w:rFonts w:eastAsia="Times New Roman" w:hint="eastAsia"/>
          <w:sz w:val="20"/>
          <w:szCs w:val="20"/>
          <w:lang w:eastAsia="zh-CN"/>
        </w:rPr>
        <w:t xml:space="preserve">terprises, providing a basis for enterprises to formulate differentiated ESG strategies and for governments to implement precise policy support. In addition, this paper addresses endogeneity and robustness issues through various methods </w:t>
      </w:r>
      <w:r>
        <w:rPr>
          <w:rFonts w:eastAsia="Times New Roman" w:hint="eastAsia"/>
          <w:sz w:val="20"/>
          <w:szCs w:val="20"/>
          <w:lang w:eastAsia="zh-CN"/>
        </w:rPr>
        <w:lastRenderedPageBreak/>
        <w:t>such as instrumenta</w:t>
      </w:r>
      <w:r>
        <w:rPr>
          <w:rFonts w:eastAsia="Times New Roman" w:hint="eastAsia"/>
          <w:sz w:val="20"/>
          <w:szCs w:val="20"/>
          <w:lang w:eastAsia="zh-CN"/>
        </w:rPr>
        <w:t>l variable approach, changing sample scope, and adjusting control variables, ensuring the reliability of the research conclusions.</w:t>
      </w:r>
    </w:p>
    <w:p w14:paraId="006B3348" w14:textId="77777777" w:rsidR="0008758D" w:rsidRDefault="0008758D">
      <w:pPr>
        <w:pStyle w:val="Body"/>
        <w:widowControl/>
        <w:spacing w:after="0"/>
        <w:rPr>
          <w:rFonts w:eastAsia="Times New Roman"/>
          <w:sz w:val="20"/>
          <w:szCs w:val="20"/>
          <w:lang w:eastAsia="zh-CN"/>
        </w:rPr>
      </w:pPr>
    </w:p>
    <w:p w14:paraId="2B9B0D40"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2. Literature Review</w:t>
      </w:r>
    </w:p>
    <w:p w14:paraId="76581DA6" w14:textId="77777777" w:rsidR="0008758D" w:rsidRDefault="0008758D">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p>
    <w:p w14:paraId="2D766700"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2.1 Research on the Economic Consequences of ESG Performance</w:t>
      </w:r>
    </w:p>
    <w:p w14:paraId="325A2645" w14:textId="77777777" w:rsidR="0008758D" w:rsidRDefault="0008758D">
      <w:pPr>
        <w:pStyle w:val="Body"/>
        <w:widowControl/>
        <w:spacing w:after="0"/>
        <w:rPr>
          <w:rFonts w:eastAsia="Times New Roman"/>
          <w:sz w:val="20"/>
          <w:szCs w:val="20"/>
          <w:lang w:eastAsia="zh-CN"/>
        </w:rPr>
      </w:pPr>
    </w:p>
    <w:p w14:paraId="477AF28B"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The existing literature on the economic </w:t>
      </w:r>
      <w:r>
        <w:rPr>
          <w:rFonts w:eastAsia="Times New Roman" w:hint="eastAsia"/>
          <w:sz w:val="20"/>
          <w:szCs w:val="20"/>
          <w:lang w:eastAsia="zh-CN"/>
        </w:rPr>
        <w:t xml:space="preserve">consequences of ESG performance mainly focuses on multiple dimensions such as corporate value creation, investment and financing behavior, innovation capability, and risk management, with corporate value being the most core research direction. Wang Bo and </w:t>
      </w:r>
      <w:r>
        <w:rPr>
          <w:rFonts w:eastAsia="Times New Roman" w:hint="eastAsia"/>
          <w:sz w:val="20"/>
          <w:szCs w:val="20"/>
          <w:lang w:eastAsia="zh-CN"/>
        </w:rPr>
        <w:t>Yang Maojia (2022) used a sample of Chinese A-share listed companies from 2015 to 2019 to confirm that ESG performance significantly enhances both the book value and market value of enterprises, further revealing differentiated mechanisms: ESG promotes the</w:t>
      </w:r>
      <w:r>
        <w:rPr>
          <w:rFonts w:eastAsia="Times New Roman" w:hint="eastAsia"/>
          <w:sz w:val="20"/>
          <w:szCs w:val="20"/>
          <w:lang w:eastAsia="zh-CN"/>
        </w:rPr>
        <w:t xml:space="preserve"> increase in book value by reducing financing costs and achieves market value growth by enhancing market attention. This conclusion has been supported by a large number of subsequent studies, with Li Zhou and Wei Kai (2025) pointing out that the overall ES</w:t>
      </w:r>
      <w:r>
        <w:rPr>
          <w:rFonts w:eastAsia="Times New Roman" w:hint="eastAsia"/>
          <w:sz w:val="20"/>
          <w:szCs w:val="20"/>
          <w:lang w:eastAsia="zh-CN"/>
        </w:rPr>
        <w:t>G performance and its three sub-dimensions—environmental, social, and governance—have a significant positive impact on the long-term value of enterprises, although the degree of impact of different rating agencies' scores on market value varies (Zhao Weido</w:t>
      </w:r>
      <w:r>
        <w:rPr>
          <w:rFonts w:eastAsia="Times New Roman" w:hint="eastAsia"/>
          <w:sz w:val="20"/>
          <w:szCs w:val="20"/>
          <w:lang w:eastAsia="zh-CN"/>
        </w:rPr>
        <w:t>ng and Huang Xiaodan, 2022).</w:t>
      </w:r>
    </w:p>
    <w:p w14:paraId="52B7914B" w14:textId="77777777" w:rsidR="0008758D" w:rsidRDefault="0008758D">
      <w:pPr>
        <w:pStyle w:val="Body"/>
        <w:widowControl/>
        <w:spacing w:after="0"/>
        <w:rPr>
          <w:rFonts w:eastAsia="Times New Roman"/>
          <w:sz w:val="20"/>
          <w:szCs w:val="20"/>
          <w:lang w:eastAsia="zh-CN"/>
        </w:rPr>
      </w:pPr>
    </w:p>
    <w:p w14:paraId="674DB912"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In terms of investment and financing behavior, improvements in ESG performance can significantly reduce the debt financing costs and equity financing costs of enterprises, with this effect being more pronounced in companies wi</w:t>
      </w:r>
      <w:r>
        <w:rPr>
          <w:rFonts w:eastAsia="Times New Roman" w:hint="eastAsia"/>
          <w:sz w:val="20"/>
          <w:szCs w:val="20"/>
          <w:lang w:eastAsia="zh-CN"/>
        </w:rPr>
        <w:t>th high-quality information disclosure (</w:t>
      </w:r>
      <w:proofErr w:type="spellStart"/>
      <w:r>
        <w:rPr>
          <w:rFonts w:eastAsia="Times New Roman" w:hint="eastAsia"/>
          <w:sz w:val="20"/>
          <w:szCs w:val="20"/>
          <w:lang w:eastAsia="zh-CN"/>
        </w:rPr>
        <w:t>Qiu</w:t>
      </w:r>
      <w:proofErr w:type="spellEnd"/>
      <w:r>
        <w:rPr>
          <w:rFonts w:eastAsia="Times New Roman" w:hint="eastAsia"/>
          <w:sz w:val="20"/>
          <w:szCs w:val="20"/>
          <w:lang w:eastAsia="zh-CN"/>
        </w:rPr>
        <w:t xml:space="preserve"> </w:t>
      </w:r>
      <w:proofErr w:type="spellStart"/>
      <w:r>
        <w:rPr>
          <w:rFonts w:eastAsia="Times New Roman" w:hint="eastAsia"/>
          <w:sz w:val="20"/>
          <w:szCs w:val="20"/>
          <w:lang w:eastAsia="zh-CN"/>
        </w:rPr>
        <w:t>Muyaun</w:t>
      </w:r>
      <w:proofErr w:type="spellEnd"/>
      <w:r>
        <w:rPr>
          <w:rFonts w:eastAsia="Times New Roman" w:hint="eastAsia"/>
          <w:sz w:val="20"/>
          <w:szCs w:val="20"/>
          <w:lang w:eastAsia="zh-CN"/>
        </w:rPr>
        <w:t xml:space="preserve"> and Yin Hong, 2019). Gao </w:t>
      </w:r>
      <w:proofErr w:type="spellStart"/>
      <w:r>
        <w:rPr>
          <w:rFonts w:eastAsia="Times New Roman" w:hint="eastAsia"/>
          <w:sz w:val="20"/>
          <w:szCs w:val="20"/>
          <w:lang w:eastAsia="zh-CN"/>
        </w:rPr>
        <w:t>Jieying</w:t>
      </w:r>
      <w:proofErr w:type="spellEnd"/>
      <w:r>
        <w:rPr>
          <w:rFonts w:eastAsia="Times New Roman" w:hint="eastAsia"/>
          <w:sz w:val="20"/>
          <w:szCs w:val="20"/>
          <w:lang w:eastAsia="zh-CN"/>
        </w:rPr>
        <w:t xml:space="preserve"> et al. (2021) found that ESG performance significantly enhances corporate investment efficiency by reducing agency costs and alleviating financing constraints, providing fu</w:t>
      </w:r>
      <w:r>
        <w:rPr>
          <w:rFonts w:eastAsia="Times New Roman" w:hint="eastAsia"/>
          <w:sz w:val="20"/>
          <w:szCs w:val="20"/>
          <w:lang w:eastAsia="zh-CN"/>
        </w:rPr>
        <w:t xml:space="preserve">nding support for the expansionary investment activities of enterprises. In addition, ESG performance is closely related to corporate innovation investment; Mao and </w:t>
      </w:r>
      <w:proofErr w:type="spellStart"/>
      <w:r>
        <w:rPr>
          <w:rFonts w:eastAsia="Times New Roman" w:hint="eastAsia"/>
          <w:sz w:val="20"/>
          <w:szCs w:val="20"/>
          <w:lang w:eastAsia="zh-CN"/>
        </w:rPr>
        <w:t>Kongkaew</w:t>
      </w:r>
      <w:proofErr w:type="spellEnd"/>
      <w:r>
        <w:rPr>
          <w:rFonts w:eastAsia="Times New Roman" w:hint="eastAsia"/>
          <w:sz w:val="20"/>
          <w:szCs w:val="20"/>
          <w:lang w:eastAsia="zh-CN"/>
        </w:rPr>
        <w:t xml:space="preserve"> (2026) pointed out that ESG creates value by improving total factor productivity a</w:t>
      </w:r>
      <w:r>
        <w:rPr>
          <w:rFonts w:eastAsia="Times New Roman" w:hint="eastAsia"/>
          <w:sz w:val="20"/>
          <w:szCs w:val="20"/>
          <w:lang w:eastAsia="zh-CN"/>
        </w:rPr>
        <w:t>nd R&amp;D innovation investment, and good ESG practices can incentivize enterprises to increase their efforts in green technology innovation, forming a differentiated competitive advantage.</w:t>
      </w:r>
    </w:p>
    <w:p w14:paraId="2BC1C4AD" w14:textId="77777777" w:rsidR="0008758D" w:rsidRDefault="0008758D">
      <w:pPr>
        <w:pStyle w:val="Body"/>
        <w:widowControl/>
        <w:spacing w:after="0"/>
        <w:rPr>
          <w:rFonts w:eastAsia="Times New Roman"/>
          <w:sz w:val="20"/>
          <w:szCs w:val="20"/>
          <w:lang w:eastAsia="zh-CN"/>
        </w:rPr>
      </w:pPr>
    </w:p>
    <w:p w14:paraId="43A2F238"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In terms of risk management and capital market response, ESG investm</w:t>
      </w:r>
      <w:r>
        <w:rPr>
          <w:rFonts w:eastAsia="Times New Roman" w:hint="eastAsia"/>
          <w:sz w:val="20"/>
          <w:szCs w:val="20"/>
          <w:lang w:eastAsia="zh-CN"/>
        </w:rPr>
        <w:t>ent plays an important role in risk management and sustainable economic growth, with good ESG performance capable of reducing the tail risk and systemic risk of enterprises. Chen et al. (2022) found that the digital transformation of enterprises can improv</w:t>
      </w:r>
      <w:r>
        <w:rPr>
          <w:rFonts w:eastAsia="Times New Roman" w:hint="eastAsia"/>
          <w:sz w:val="20"/>
          <w:szCs w:val="20"/>
          <w:lang w:eastAsia="zh-CN"/>
        </w:rPr>
        <w:t>e the information environment of capital markets, while ESG information disclosure, as an important component of non-financial information, can significantly enhance the accuracy of analyst forecasts and reduce information asymmetry between investors and e</w:t>
      </w:r>
      <w:r>
        <w:rPr>
          <w:rFonts w:eastAsia="Times New Roman" w:hint="eastAsia"/>
          <w:sz w:val="20"/>
          <w:szCs w:val="20"/>
          <w:lang w:eastAsia="zh-CN"/>
        </w:rPr>
        <w:t xml:space="preserve">nterprises. Meanwhile, some studies have also explored the impact of external factors on corporate ESG performance, such as Zeng et al. (2024) confirming that the establishment of free trade pilot zones can significantly enhance corporate ESG performance, </w:t>
      </w:r>
      <w:r>
        <w:rPr>
          <w:rFonts w:eastAsia="Times New Roman" w:hint="eastAsia"/>
          <w:sz w:val="20"/>
          <w:szCs w:val="20"/>
          <w:lang w:eastAsia="zh-CN"/>
        </w:rPr>
        <w:t>indicating that digital transformation and outward investment performance jointly have a positive impact on corporate ESG performance.</w:t>
      </w:r>
    </w:p>
    <w:p w14:paraId="5D333239" w14:textId="77777777" w:rsidR="0008758D" w:rsidRDefault="0008758D">
      <w:pPr>
        <w:pStyle w:val="Body"/>
        <w:widowControl/>
        <w:spacing w:after="0"/>
        <w:rPr>
          <w:rFonts w:eastAsia="Times New Roman"/>
          <w:sz w:val="20"/>
          <w:szCs w:val="20"/>
          <w:lang w:eastAsia="zh-CN"/>
        </w:rPr>
      </w:pPr>
    </w:p>
    <w:p w14:paraId="101A936B"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2.2 Research on the Influencing Factors of Enterprises' Foreign Direct Investment</w:t>
      </w:r>
    </w:p>
    <w:p w14:paraId="66963A1F" w14:textId="77777777" w:rsidR="0008758D" w:rsidRDefault="0008758D">
      <w:pPr>
        <w:pStyle w:val="Body"/>
        <w:widowControl/>
        <w:spacing w:after="0"/>
        <w:rPr>
          <w:rFonts w:eastAsia="Times New Roman"/>
          <w:sz w:val="20"/>
          <w:szCs w:val="20"/>
          <w:lang w:eastAsia="zh-CN"/>
        </w:rPr>
      </w:pPr>
    </w:p>
    <w:p w14:paraId="2C40B7B1"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The driving factors of enterprises' f</w:t>
      </w:r>
      <w:r>
        <w:rPr>
          <w:rFonts w:eastAsia="Times New Roman" w:hint="eastAsia"/>
          <w:sz w:val="20"/>
          <w:szCs w:val="20"/>
          <w:lang w:eastAsia="zh-CN"/>
        </w:rPr>
        <w:t xml:space="preserve">oreign direct investment (OFDI) have always been a classic research topic in the field of international business. Existing literature has conducted systematic analyses from both macro-institutional environments and micro-enterprise characteristics. At the </w:t>
      </w:r>
      <w:r>
        <w:rPr>
          <w:rFonts w:eastAsia="Times New Roman" w:hint="eastAsia"/>
          <w:sz w:val="20"/>
          <w:szCs w:val="20"/>
          <w:lang w:eastAsia="zh-CN"/>
        </w:rPr>
        <w:t>macro level, early studies mainly focused on traditional factors such as host country market size, labor costs, and natural resource endowments (</w:t>
      </w:r>
      <w:proofErr w:type="spellStart"/>
      <w:r>
        <w:rPr>
          <w:rFonts w:eastAsia="Times New Roman" w:hint="eastAsia"/>
          <w:sz w:val="20"/>
          <w:szCs w:val="20"/>
          <w:lang w:eastAsia="zh-CN"/>
        </w:rPr>
        <w:t>Kyrkilis</w:t>
      </w:r>
      <w:proofErr w:type="spellEnd"/>
      <w:r>
        <w:rPr>
          <w:rFonts w:eastAsia="Times New Roman" w:hint="eastAsia"/>
          <w:sz w:val="20"/>
          <w:szCs w:val="20"/>
          <w:lang w:eastAsia="zh-CN"/>
        </w:rPr>
        <w:t xml:space="preserve"> &amp; </w:t>
      </w:r>
      <w:proofErr w:type="spellStart"/>
      <w:r>
        <w:rPr>
          <w:rFonts w:eastAsia="Times New Roman" w:hint="eastAsia"/>
          <w:sz w:val="20"/>
          <w:szCs w:val="20"/>
          <w:lang w:eastAsia="zh-CN"/>
        </w:rPr>
        <w:t>Pantelidis</w:t>
      </w:r>
      <w:proofErr w:type="spellEnd"/>
      <w:r>
        <w:rPr>
          <w:rFonts w:eastAsia="Times New Roman" w:hint="eastAsia"/>
          <w:sz w:val="20"/>
          <w:szCs w:val="20"/>
          <w:lang w:eastAsia="zh-CN"/>
        </w:rPr>
        <w:t>, 2003). In recent years, factors such as institutional environment, trade openness, and s</w:t>
      </w:r>
      <w:r>
        <w:rPr>
          <w:rFonts w:eastAsia="Times New Roman" w:hint="eastAsia"/>
          <w:sz w:val="20"/>
          <w:szCs w:val="20"/>
          <w:lang w:eastAsia="zh-CN"/>
        </w:rPr>
        <w:t xml:space="preserve">overeign ESG levels have gradually become research hotspots. </w:t>
      </w:r>
      <w:proofErr w:type="spellStart"/>
      <w:r>
        <w:rPr>
          <w:rFonts w:eastAsia="Times New Roman" w:hint="eastAsia"/>
          <w:sz w:val="20"/>
          <w:szCs w:val="20"/>
          <w:lang w:eastAsia="zh-CN"/>
        </w:rPr>
        <w:t>Bannour</w:t>
      </w:r>
      <w:proofErr w:type="spellEnd"/>
      <w:r>
        <w:rPr>
          <w:rFonts w:eastAsia="Times New Roman" w:hint="eastAsia"/>
          <w:sz w:val="20"/>
          <w:szCs w:val="20"/>
          <w:lang w:eastAsia="zh-CN"/>
        </w:rPr>
        <w:t xml:space="preserve"> and </w:t>
      </w:r>
      <w:proofErr w:type="spellStart"/>
      <w:r>
        <w:rPr>
          <w:rFonts w:eastAsia="Times New Roman" w:hint="eastAsia"/>
          <w:sz w:val="20"/>
          <w:szCs w:val="20"/>
          <w:lang w:eastAsia="zh-CN"/>
        </w:rPr>
        <w:t>Abdelkawy</w:t>
      </w:r>
      <w:proofErr w:type="spellEnd"/>
      <w:r>
        <w:rPr>
          <w:rFonts w:eastAsia="Times New Roman" w:hint="eastAsia"/>
          <w:sz w:val="20"/>
          <w:szCs w:val="20"/>
          <w:lang w:eastAsia="zh-CN"/>
        </w:rPr>
        <w:t xml:space="preserve"> (2024) found that sovereign ESG levels significantly promote foreign direct investment in a sample of Gulf Cooperation Council countries, and trade openness can amplify this</w:t>
      </w:r>
      <w:r>
        <w:rPr>
          <w:rFonts w:eastAsia="Times New Roman" w:hint="eastAsia"/>
          <w:sz w:val="20"/>
          <w:szCs w:val="20"/>
          <w:lang w:eastAsia="zh-CN"/>
        </w:rPr>
        <w:t xml:space="preserve"> effect. Research by Qing et al. (2024) indicates that climate change exposure at the enterprise level can inhibit its ability to attract foreign investment, while good ESG performance can mitigate this negative impact.</w:t>
      </w:r>
    </w:p>
    <w:p w14:paraId="49D3C184" w14:textId="77777777" w:rsidR="0008758D" w:rsidRDefault="0008758D">
      <w:pPr>
        <w:pStyle w:val="Body"/>
        <w:widowControl/>
        <w:spacing w:after="0"/>
        <w:rPr>
          <w:rFonts w:eastAsia="Times New Roman"/>
          <w:sz w:val="20"/>
          <w:szCs w:val="20"/>
          <w:lang w:eastAsia="zh-CN"/>
        </w:rPr>
      </w:pPr>
    </w:p>
    <w:p w14:paraId="5BB3B1FA"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lastRenderedPageBreak/>
        <w:t>At the micro-enterprise level, fina</w:t>
      </w:r>
      <w:r>
        <w:rPr>
          <w:rFonts w:eastAsia="Times New Roman" w:hint="eastAsia"/>
          <w:sz w:val="20"/>
          <w:szCs w:val="20"/>
          <w:lang w:eastAsia="zh-CN"/>
        </w:rPr>
        <w:t>ncing constraints are a key factor limiting enterprises' foreign direct investment (Paul &amp; Benito, 2018). The availability of funds directly determines whether enterprises can bear the high costs and risks of overseas investment. Technological capability a</w:t>
      </w:r>
      <w:r>
        <w:rPr>
          <w:rFonts w:eastAsia="Times New Roman" w:hint="eastAsia"/>
          <w:sz w:val="20"/>
          <w:szCs w:val="20"/>
          <w:lang w:eastAsia="zh-CN"/>
        </w:rPr>
        <w:t>nd innovation levels are also important driving forces for enterprises to engage in OFDI. Enterprises with core technologies are more inclined to achieve technology output and market expansion through overseas investment. Additionally, Shi et al. (2017) po</w:t>
      </w:r>
      <w:r>
        <w:rPr>
          <w:rFonts w:eastAsia="Times New Roman" w:hint="eastAsia"/>
          <w:sz w:val="20"/>
          <w:szCs w:val="20"/>
          <w:lang w:eastAsia="zh-CN"/>
        </w:rPr>
        <w:t>inted out that the vulnerability of the home country's institutions can drive enterprises to engage in foreign direct investment to avoid domestic institutional risks. Khurram et al. (2024) further found that digital transformation can significantly enhanc</w:t>
      </w:r>
      <w:r>
        <w:rPr>
          <w:rFonts w:eastAsia="Times New Roman" w:hint="eastAsia"/>
          <w:sz w:val="20"/>
          <w:szCs w:val="20"/>
          <w:lang w:eastAsia="zh-CN"/>
        </w:rPr>
        <w:t>e enterprises' foreign investment performance, making digital capabilities a new advantage for enterprises in international operations.</w:t>
      </w:r>
    </w:p>
    <w:p w14:paraId="17BFB989" w14:textId="77777777" w:rsidR="0008758D" w:rsidRDefault="0008758D">
      <w:pPr>
        <w:pStyle w:val="Body"/>
        <w:widowControl/>
        <w:spacing w:after="0"/>
        <w:rPr>
          <w:rFonts w:eastAsia="Times New Roman"/>
          <w:sz w:val="20"/>
          <w:szCs w:val="20"/>
          <w:lang w:eastAsia="zh-CN"/>
        </w:rPr>
      </w:pPr>
    </w:p>
    <w:p w14:paraId="313D7DF5"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It is noteworthy that some studies have begun to focus on the reverse impact of foreign direct investment on the enterp</w:t>
      </w:r>
      <w:r>
        <w:rPr>
          <w:rFonts w:eastAsia="Times New Roman" w:hint="eastAsia"/>
          <w:sz w:val="20"/>
          <w:szCs w:val="20"/>
          <w:lang w:eastAsia="zh-CN"/>
        </w:rPr>
        <w:t>rises themselves, forming a research context of "Internationalization - ESG." Zhou et al. (2025) empirically tested the impact of enterprise internationalization on ESG performance, finding that foreign direct investment can enhance enterprises' ESG levels</w:t>
      </w:r>
      <w:r>
        <w:rPr>
          <w:rFonts w:eastAsia="Times New Roman" w:hint="eastAsia"/>
          <w:sz w:val="20"/>
          <w:szCs w:val="20"/>
          <w:lang w:eastAsia="zh-CN"/>
        </w:rPr>
        <w:t xml:space="preserve"> through channels such as acquiring advanced management experience overseas and meeting international market compliance requirements. This indicates that there may be a bidirectional causal relationship between ESG and OFDI.</w:t>
      </w:r>
    </w:p>
    <w:p w14:paraId="1F15FAE5" w14:textId="77777777" w:rsidR="0008758D" w:rsidRDefault="0008758D">
      <w:pPr>
        <w:pStyle w:val="Body"/>
        <w:widowControl/>
        <w:spacing w:after="0"/>
        <w:rPr>
          <w:rFonts w:eastAsia="Times New Roman"/>
          <w:sz w:val="20"/>
          <w:szCs w:val="20"/>
          <w:lang w:eastAsia="zh-CN"/>
        </w:rPr>
      </w:pPr>
    </w:p>
    <w:p w14:paraId="2946E355" w14:textId="77777777" w:rsidR="0008758D" w:rsidRDefault="00127F5C">
      <w:pPr>
        <w:pStyle w:val="Heading2"/>
        <w:widowControl/>
        <w:numPr>
          <w:ilvl w:val="1"/>
          <w:numId w:val="0"/>
        </w:numPr>
        <w:adjustRightInd/>
        <w:spacing w:line="240" w:lineRule="auto"/>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 xml:space="preserve">2.3 Research on the Impact of </w:t>
      </w:r>
      <w:r>
        <w:rPr>
          <w:rFonts w:ascii="Arial" w:eastAsia="Times New Roman" w:hAnsi="Arial" w:cs="Arial" w:hint="eastAsia"/>
          <w:b/>
          <w:caps/>
          <w:kern w:val="0"/>
          <w:sz w:val="22"/>
          <w:szCs w:val="20"/>
          <w:lang w:eastAsia="zh-CN"/>
        </w:rPr>
        <w:t>ESG Performance on Foreign Direct Investment</w:t>
      </w:r>
    </w:p>
    <w:p w14:paraId="1F8BF9F0" w14:textId="77777777" w:rsidR="0008758D" w:rsidRDefault="0008758D">
      <w:pPr>
        <w:pStyle w:val="Body"/>
        <w:widowControl/>
        <w:spacing w:after="0"/>
        <w:rPr>
          <w:rFonts w:eastAsia="Times New Roman"/>
          <w:sz w:val="20"/>
          <w:szCs w:val="20"/>
          <w:lang w:eastAsia="zh-CN"/>
        </w:rPr>
      </w:pPr>
    </w:p>
    <w:p w14:paraId="58003FA8"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Early research on the relationship between ESG and international direct investment mainly focused on the impact of host country ESG levels on incoming FDI, while studies on the impact of home country enterprise</w:t>
      </w:r>
      <w:r>
        <w:rPr>
          <w:rFonts w:eastAsia="Times New Roman" w:hint="eastAsia"/>
          <w:sz w:val="20"/>
          <w:szCs w:val="20"/>
          <w:lang w:eastAsia="zh-CN"/>
        </w:rPr>
        <w:t>s' own ESG performance on their OFDI started relatively late. In recent years, with the acceleration of Chinese enterprises' "going global" efforts, this topic has gradually gained attention in academia. Existing research generally confirms that ESG perfor</w:t>
      </w:r>
      <w:r>
        <w:rPr>
          <w:rFonts w:eastAsia="Times New Roman" w:hint="eastAsia"/>
          <w:sz w:val="20"/>
          <w:szCs w:val="20"/>
          <w:lang w:eastAsia="zh-CN"/>
        </w:rPr>
        <w:t>mance has a significant positive promoting effect on enterprises' OFDI. Wang et al. (2026) studied data from Chinese listed companies and found that good ESG performance can significantly enhance the scale and frequency of enterprises' foreign direct inves</w:t>
      </w:r>
      <w:r>
        <w:rPr>
          <w:rFonts w:eastAsia="Times New Roman" w:hint="eastAsia"/>
          <w:sz w:val="20"/>
          <w:szCs w:val="20"/>
          <w:lang w:eastAsia="zh-CN"/>
        </w:rPr>
        <w:t>tment, and this conclusion remains valid after controlling for endogeneity issues. Guan et al. (2025) further pointed out that investor confidence plays an important mediating role in the process of ESG performance promoting OFDI. Enterprises with better E</w:t>
      </w:r>
      <w:r>
        <w:rPr>
          <w:rFonts w:eastAsia="Times New Roman" w:hint="eastAsia"/>
          <w:sz w:val="20"/>
          <w:szCs w:val="20"/>
          <w:lang w:eastAsia="zh-CN"/>
        </w:rPr>
        <w:t>SG performance are more likely to gain the trust of international investors, thereby reducing overseas financing costs.</w:t>
      </w:r>
    </w:p>
    <w:p w14:paraId="1C96F736" w14:textId="77777777" w:rsidR="0008758D" w:rsidRDefault="0008758D">
      <w:pPr>
        <w:pStyle w:val="Body"/>
        <w:widowControl/>
        <w:spacing w:after="0"/>
        <w:rPr>
          <w:rFonts w:eastAsia="Times New Roman"/>
          <w:sz w:val="20"/>
          <w:szCs w:val="20"/>
          <w:lang w:eastAsia="zh-CN"/>
        </w:rPr>
      </w:pPr>
    </w:p>
    <w:p w14:paraId="66968AA9"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Regarding the mechanisms through which ESG affects OFDI, existing research mainly explains it from three perspectives: risk reduction, </w:t>
      </w:r>
      <w:r>
        <w:rPr>
          <w:rFonts w:eastAsia="Times New Roman" w:hint="eastAsia"/>
          <w:sz w:val="20"/>
          <w:szCs w:val="20"/>
          <w:lang w:eastAsia="zh-CN"/>
        </w:rPr>
        <w:t>resource acquisition, and competitiveness enhancement. First, good ESG performance can reduce the environmental, social, and governance risks that enterprises face during overseas investment, minimizing conflicts with host country governments, communities,</w:t>
      </w:r>
      <w:r>
        <w:rPr>
          <w:rFonts w:eastAsia="Times New Roman" w:hint="eastAsia"/>
          <w:sz w:val="20"/>
          <w:szCs w:val="20"/>
          <w:lang w:eastAsia="zh-CN"/>
        </w:rPr>
        <w:t xml:space="preserve"> and stakeholders (</w:t>
      </w:r>
      <w:proofErr w:type="spellStart"/>
      <w:r>
        <w:rPr>
          <w:rFonts w:eastAsia="Times New Roman" w:hint="eastAsia"/>
          <w:sz w:val="20"/>
          <w:szCs w:val="20"/>
          <w:lang w:eastAsia="zh-CN"/>
        </w:rPr>
        <w:t>Katsampoxakis</w:t>
      </w:r>
      <w:proofErr w:type="spellEnd"/>
      <w:r>
        <w:rPr>
          <w:rFonts w:eastAsia="Times New Roman" w:hint="eastAsia"/>
          <w:sz w:val="20"/>
          <w:szCs w:val="20"/>
          <w:lang w:eastAsia="zh-CN"/>
        </w:rPr>
        <w:t xml:space="preserve"> et al., 2026). Second, ESG performance serves as an important signal of corporate credibility, helping enterprises obtain more financial support and policy benefits, thereby alleviating financing constraints (Gao et al., 20</w:t>
      </w:r>
      <w:r>
        <w:rPr>
          <w:rFonts w:eastAsia="Times New Roman" w:hint="eastAsia"/>
          <w:sz w:val="20"/>
          <w:szCs w:val="20"/>
          <w:lang w:eastAsia="zh-CN"/>
        </w:rPr>
        <w:t>21). Finally, ESG practices can drive enterprises to engage in technological innovation, forming green technology advantages, thus gaining differentiated competitiveness in the international market.</w:t>
      </w:r>
    </w:p>
    <w:p w14:paraId="38527081" w14:textId="77777777" w:rsidR="0008758D" w:rsidRDefault="0008758D">
      <w:pPr>
        <w:pStyle w:val="Body"/>
        <w:widowControl/>
        <w:spacing w:after="0"/>
        <w:rPr>
          <w:rFonts w:eastAsia="Times New Roman"/>
          <w:sz w:val="20"/>
          <w:szCs w:val="20"/>
          <w:lang w:eastAsia="zh-CN"/>
        </w:rPr>
      </w:pPr>
    </w:p>
    <w:p w14:paraId="4DB2C90C"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In the field of heterogeneity research, Zhou Ze and Lei </w:t>
      </w:r>
      <w:r>
        <w:rPr>
          <w:rFonts w:eastAsia="Times New Roman" w:hint="eastAsia"/>
          <w:sz w:val="20"/>
          <w:szCs w:val="20"/>
          <w:lang w:eastAsia="zh-CN"/>
        </w:rPr>
        <w:t>Ling (2023) found that the positive effect of ESG on OFDI is more significant in regions with improved rule of law and lower market segmentation. Feng et al. (2023) further explored the impact of ESG on bilateral FDI, confirming that ESG performance not on</w:t>
      </w:r>
      <w:r>
        <w:rPr>
          <w:rFonts w:eastAsia="Times New Roman" w:hint="eastAsia"/>
          <w:sz w:val="20"/>
          <w:szCs w:val="20"/>
          <w:lang w:eastAsia="zh-CN"/>
        </w:rPr>
        <w:t xml:space="preserve">ly promotes enterprises' outward foreign direct investment but also enhances their ability to attract foreign capital. Additionally, some studies have found that the impact of ESG on OFDI is stage-dependent. Chang et al. (2026) pointed out that the effect </w:t>
      </w:r>
      <w:r>
        <w:rPr>
          <w:rFonts w:eastAsia="Times New Roman" w:hint="eastAsia"/>
          <w:sz w:val="20"/>
          <w:szCs w:val="20"/>
          <w:lang w:eastAsia="zh-CN"/>
        </w:rPr>
        <w:t>of ESG performance on the resilience of OFDI exhibits differentiated characteristics at different stages of development. However, existing research on heterogeneity is still insufficiently in-depth, especially in the analysis of differences in dimensions s</w:t>
      </w:r>
      <w:r>
        <w:rPr>
          <w:rFonts w:eastAsia="Times New Roman" w:hint="eastAsia"/>
          <w:sz w:val="20"/>
          <w:szCs w:val="20"/>
          <w:lang w:eastAsia="zh-CN"/>
        </w:rPr>
        <w:t>uch as enterprise property rights, technological attributes, and geographical location.</w:t>
      </w:r>
    </w:p>
    <w:p w14:paraId="5ED7B670" w14:textId="77777777" w:rsidR="0008758D" w:rsidRDefault="0008758D">
      <w:pPr>
        <w:pStyle w:val="Body"/>
        <w:widowControl/>
        <w:spacing w:after="0"/>
        <w:rPr>
          <w:rFonts w:eastAsia="Times New Roman"/>
          <w:sz w:val="20"/>
          <w:szCs w:val="20"/>
          <w:lang w:eastAsia="zh-CN"/>
        </w:rPr>
      </w:pPr>
    </w:p>
    <w:p w14:paraId="147EC1CE" w14:textId="6DDF1AA4" w:rsidR="0008758D" w:rsidRDefault="00127F5C">
      <w:pPr>
        <w:pStyle w:val="Heading2"/>
        <w:widowControl/>
        <w:numPr>
          <w:ilvl w:val="1"/>
          <w:numId w:val="0"/>
        </w:numPr>
        <w:adjustRightInd/>
        <w:spacing w:line="240" w:lineRule="auto"/>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 xml:space="preserve">2.4 Research Review and Contributions </w:t>
      </w:r>
    </w:p>
    <w:p w14:paraId="5DDDAA84" w14:textId="77777777" w:rsidR="0008758D" w:rsidRDefault="0008758D">
      <w:pPr>
        <w:rPr>
          <w:rFonts w:eastAsia="Times New Roman"/>
          <w:b/>
          <w:caps/>
          <w:szCs w:val="20"/>
          <w:lang w:eastAsia="zh-CN"/>
        </w:rPr>
      </w:pPr>
    </w:p>
    <w:p w14:paraId="1BE36A04" w14:textId="77777777" w:rsidR="0008758D" w:rsidRDefault="00127F5C">
      <w:pPr>
        <w:rPr>
          <w:rFonts w:eastAsia="Times New Roman"/>
          <w:sz w:val="20"/>
          <w:szCs w:val="20"/>
          <w:lang w:eastAsia="zh-CN"/>
        </w:rPr>
      </w:pPr>
      <w:r>
        <w:rPr>
          <w:rFonts w:eastAsia="Times New Roman" w:hint="eastAsia"/>
          <w:sz w:val="20"/>
          <w:szCs w:val="20"/>
          <w:lang w:eastAsia="zh-CN"/>
        </w:rPr>
        <w:t xml:space="preserve">Although existing literature has extensively studied the economic consequences of ESG performance and </w:t>
      </w:r>
      <w:r>
        <w:rPr>
          <w:rFonts w:eastAsia="Times New Roman" w:hint="eastAsia"/>
          <w:sz w:val="20"/>
          <w:szCs w:val="20"/>
          <w:lang w:eastAsia="zh-CN"/>
        </w:rPr>
        <w:lastRenderedPageBreak/>
        <w:t xml:space="preserve">the influencing factors </w:t>
      </w:r>
      <w:r>
        <w:rPr>
          <w:rFonts w:eastAsia="Times New Roman" w:hint="eastAsia"/>
          <w:sz w:val="20"/>
          <w:szCs w:val="20"/>
          <w:lang w:eastAsia="zh-CN"/>
        </w:rPr>
        <w:t>of OFDI, there are still some shortcomings: First, research on the relationship between ESG and international direct investment mainly focuses on the impact of host country ESG on FDI inflows, while studies on how the ESG performance of home country enterp</w:t>
      </w:r>
      <w:r>
        <w:rPr>
          <w:rFonts w:eastAsia="Times New Roman" w:hint="eastAsia"/>
          <w:sz w:val="20"/>
          <w:szCs w:val="20"/>
          <w:lang w:eastAsia="zh-CN"/>
        </w:rPr>
        <w:t>rises affects their OFDI are relatively scarce, lacking in-depth systematic analysis of the causal relationship and mechanisms between the two. Second, existing research on the impact of ESG on OFDI often emphasizes the examination of overall effects, with</w:t>
      </w:r>
      <w:r>
        <w:rPr>
          <w:rFonts w:eastAsia="Times New Roman" w:hint="eastAsia"/>
          <w:sz w:val="20"/>
          <w:szCs w:val="20"/>
          <w:lang w:eastAsia="zh-CN"/>
        </w:rPr>
        <w:t xml:space="preserve"> insufficient analysis of heterogeneity, failing to fully reveal the differences in how ESG affects OFDI among different types of enterprises.</w:t>
      </w:r>
    </w:p>
    <w:p w14:paraId="7E66C9AE" w14:textId="77777777" w:rsidR="0008758D" w:rsidRDefault="0008758D">
      <w:pPr>
        <w:rPr>
          <w:rFonts w:eastAsia="Times New Roman"/>
          <w:sz w:val="20"/>
          <w:szCs w:val="20"/>
          <w:lang w:eastAsia="zh-CN"/>
        </w:rPr>
      </w:pPr>
    </w:p>
    <w:p w14:paraId="48541B2F" w14:textId="77777777" w:rsidR="0008758D" w:rsidRDefault="00127F5C">
      <w:pPr>
        <w:rPr>
          <w:rFonts w:eastAsia="Times New Roman"/>
          <w:sz w:val="20"/>
          <w:szCs w:val="20"/>
          <w:lang w:eastAsia="zh-CN"/>
        </w:rPr>
      </w:pPr>
      <w:r>
        <w:rPr>
          <w:rFonts w:eastAsia="Times New Roman" w:hint="eastAsia"/>
          <w:sz w:val="20"/>
          <w:szCs w:val="20"/>
          <w:lang w:eastAsia="zh-CN"/>
        </w:rPr>
        <w:t>In response to the shortcomings of existing research, the marginal contributions of this paper are mainly reflec</w:t>
      </w:r>
      <w:r>
        <w:rPr>
          <w:rFonts w:eastAsia="Times New Roman" w:hint="eastAsia"/>
          <w:sz w:val="20"/>
          <w:szCs w:val="20"/>
          <w:lang w:eastAsia="zh-CN"/>
        </w:rPr>
        <w:t>ted in the following aspects: First, it expands the research boundaries of the economic consequences of ESG by incorporating corporate ESG performance and their outward foreign direct investment behavior into the same analytical framework, systematically e</w:t>
      </w:r>
      <w:r>
        <w:rPr>
          <w:rFonts w:eastAsia="Times New Roman" w:hint="eastAsia"/>
          <w:sz w:val="20"/>
          <w:szCs w:val="20"/>
          <w:lang w:eastAsia="zh-CN"/>
        </w:rPr>
        <w:t>xploring the multidimensional impact of ESG on OFDI, thus filling the gaps in existing research and providing a more adequate theoretical basis for Chinese enterprises to "go global." Second, it reveals two core mechanisms of "relieving financing constrain</w:t>
      </w:r>
      <w:r>
        <w:rPr>
          <w:rFonts w:eastAsia="Times New Roman" w:hint="eastAsia"/>
          <w:sz w:val="20"/>
          <w:szCs w:val="20"/>
          <w:lang w:eastAsia="zh-CN"/>
        </w:rPr>
        <w:t>ts" and "technology spillover effects," clearly elucidating the internal pathways through which ESG performance affects enterprises' OFDI, providing a theoretical basis for enterprises to formulate ESG strategies and internationalization strategies. Of cou</w:t>
      </w:r>
      <w:r>
        <w:rPr>
          <w:rFonts w:eastAsia="Times New Roman" w:hint="eastAsia"/>
          <w:sz w:val="20"/>
          <w:szCs w:val="20"/>
          <w:lang w:eastAsia="zh-CN"/>
        </w:rPr>
        <w:t>rse, this research still has certain limitations: First, it does not distinguish the differentiated impacts of the three sub-dimensions of environment, society, and governance on OFDI, failing to reveal which dimension of ESG performance has a more signifi</w:t>
      </w:r>
      <w:r>
        <w:rPr>
          <w:rFonts w:eastAsia="Times New Roman" w:hint="eastAsia"/>
          <w:sz w:val="20"/>
          <w:szCs w:val="20"/>
          <w:lang w:eastAsia="zh-CN"/>
        </w:rPr>
        <w:t xml:space="preserve">cant promoting effect on enterprises' OFDI. Furthermore, it does not consider the moderating effects of external factors such as host country ESG regulatory intensity, cultural differences, and investment motivations; future research could further explore </w:t>
      </w:r>
      <w:r>
        <w:rPr>
          <w:rFonts w:eastAsia="Times New Roman" w:hint="eastAsia"/>
          <w:sz w:val="20"/>
          <w:szCs w:val="20"/>
          <w:lang w:eastAsia="zh-CN"/>
        </w:rPr>
        <w:t>how these factors influence the relationship between ESG and OFDI.</w:t>
      </w:r>
    </w:p>
    <w:p w14:paraId="5DA3C765" w14:textId="77777777" w:rsidR="0008758D" w:rsidRDefault="0008758D">
      <w:pPr>
        <w:pStyle w:val="Body"/>
        <w:widowControl/>
        <w:spacing w:after="0"/>
        <w:rPr>
          <w:rFonts w:eastAsia="Times New Roman"/>
          <w:sz w:val="20"/>
          <w:szCs w:val="20"/>
          <w:lang w:eastAsia="zh-CN"/>
        </w:rPr>
      </w:pPr>
    </w:p>
    <w:p w14:paraId="6F25480D"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3. Research Hypothesis</w:t>
      </w:r>
    </w:p>
    <w:p w14:paraId="044A1D2D" w14:textId="77777777" w:rsidR="0008758D" w:rsidRDefault="0008758D">
      <w:pPr>
        <w:pStyle w:val="AbstHead"/>
        <w:widowControl/>
        <w:spacing w:after="0"/>
        <w:jc w:val="both"/>
        <w:rPr>
          <w:rFonts w:eastAsia="Times New Roman"/>
          <w:szCs w:val="20"/>
          <w:lang w:eastAsia="zh-CN"/>
        </w:rPr>
      </w:pPr>
    </w:p>
    <w:p w14:paraId="2A4E03F7"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3.1 The Direct Transmission Mechanism of Corporate ESG Performance on Its OFDI</w:t>
      </w:r>
    </w:p>
    <w:p w14:paraId="0DFAF28D" w14:textId="77777777" w:rsidR="0008758D" w:rsidRDefault="0008758D">
      <w:pPr>
        <w:rPr>
          <w:lang w:eastAsia="zh-CN"/>
        </w:rPr>
      </w:pPr>
    </w:p>
    <w:p w14:paraId="6F37BA33"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In the globalized market, ESG has become an important non-financial indicator for in</w:t>
      </w:r>
      <w:r>
        <w:rPr>
          <w:rFonts w:eastAsia="Times New Roman" w:hint="eastAsia"/>
          <w:sz w:val="20"/>
          <w:szCs w:val="20"/>
          <w:lang w:eastAsia="zh-CN"/>
        </w:rPr>
        <w:t>ternational investors, host country governments, and consumers to evaluate enterprises. It not only reflects the sustainable development capabilities of enterprises but also conveys their risk management levels and sense of social responsibility (Wang et a</w:t>
      </w:r>
      <w:r>
        <w:rPr>
          <w:rFonts w:eastAsia="Times New Roman" w:hint="eastAsia"/>
          <w:sz w:val="20"/>
          <w:szCs w:val="20"/>
          <w:lang w:eastAsia="zh-CN"/>
        </w:rPr>
        <w:t>l., 2026). Good ESG performance can directly promote enterprises' outward foreign direct investment from multiple dimensions: First, from the perspective of risk management, ESG practices encompass various aspects such as environmental compliance, labor ri</w:t>
      </w:r>
      <w:r>
        <w:rPr>
          <w:rFonts w:eastAsia="Times New Roman" w:hint="eastAsia"/>
          <w:sz w:val="20"/>
          <w:szCs w:val="20"/>
          <w:lang w:eastAsia="zh-CN"/>
        </w:rPr>
        <w:t>ghts protection, and the improvement of corporate governance structures, helping enterprises to identify and avoid various risks they may face in overseas investments, such as environmental penalties, community conflicts, and governance failures, thereby r</w:t>
      </w:r>
      <w:r>
        <w:rPr>
          <w:rFonts w:eastAsia="Times New Roman" w:hint="eastAsia"/>
          <w:sz w:val="20"/>
          <w:szCs w:val="20"/>
          <w:lang w:eastAsia="zh-CN"/>
        </w:rPr>
        <w:t>educing the probability of investment failure (</w:t>
      </w:r>
      <w:proofErr w:type="spellStart"/>
      <w:r>
        <w:rPr>
          <w:rFonts w:eastAsia="Times New Roman" w:hint="eastAsia"/>
          <w:sz w:val="20"/>
          <w:szCs w:val="20"/>
          <w:lang w:eastAsia="zh-CN"/>
        </w:rPr>
        <w:t>Katsampoxakis</w:t>
      </w:r>
      <w:proofErr w:type="spellEnd"/>
      <w:r>
        <w:rPr>
          <w:rFonts w:eastAsia="Times New Roman" w:hint="eastAsia"/>
          <w:sz w:val="20"/>
          <w:szCs w:val="20"/>
          <w:lang w:eastAsia="zh-CN"/>
        </w:rPr>
        <w:t xml:space="preserve"> et al., 2026). Second, from the perspective of market access, with the increasing global awareness of ESG, more and more host countries regard ESG performance as an important consideration for fo</w:t>
      </w:r>
      <w:r>
        <w:rPr>
          <w:rFonts w:eastAsia="Times New Roman" w:hint="eastAsia"/>
          <w:sz w:val="20"/>
          <w:szCs w:val="20"/>
          <w:lang w:eastAsia="zh-CN"/>
        </w:rPr>
        <w:t>reign capital access. Some countries have even introduced mandatory disclosure requirements for foreign enterprises' ESG performance. Enterprises with excellent ESG performance are more likely to obtain approval from host country governments and recognitio</w:t>
      </w:r>
      <w:r>
        <w:rPr>
          <w:rFonts w:eastAsia="Times New Roman" w:hint="eastAsia"/>
          <w:sz w:val="20"/>
          <w:szCs w:val="20"/>
          <w:lang w:eastAsia="zh-CN"/>
        </w:rPr>
        <w:t>n from local communities, effectively lowering the invisible institutional barriers and transaction costs of entering new markets (Guan et al., 2025). Finally, from the perspective of brand value, actively fulfilling ESG responsibilities can enhance the in</w:t>
      </w:r>
      <w:r>
        <w:rPr>
          <w:rFonts w:eastAsia="Times New Roman" w:hint="eastAsia"/>
          <w:sz w:val="20"/>
          <w:szCs w:val="20"/>
          <w:lang w:eastAsia="zh-CN"/>
        </w:rPr>
        <w:t>ternational brand image and social reputation of enterprises, increasing the international competitiveness of their products and services, thus laying a solid market foundation for enterprises to expand into overseas markets. At the same time, a sound corp</w:t>
      </w:r>
      <w:r>
        <w:rPr>
          <w:rFonts w:eastAsia="Times New Roman" w:hint="eastAsia"/>
          <w:sz w:val="20"/>
          <w:szCs w:val="20"/>
          <w:lang w:eastAsia="zh-CN"/>
        </w:rPr>
        <w:t xml:space="preserve">orate governance system can improve the efficiency of internal decision-making and risk management capabilities, ensuring the scientific and rational nature of outward foreign direct investment decisions. </w:t>
      </w:r>
    </w:p>
    <w:p w14:paraId="47EF3275" w14:textId="77777777" w:rsidR="0008758D" w:rsidRDefault="0008758D">
      <w:pPr>
        <w:pStyle w:val="Body"/>
        <w:widowControl/>
        <w:spacing w:after="0"/>
        <w:rPr>
          <w:rFonts w:eastAsia="Times New Roman"/>
          <w:sz w:val="20"/>
          <w:szCs w:val="20"/>
          <w:lang w:eastAsia="zh-CN"/>
        </w:rPr>
      </w:pPr>
    </w:p>
    <w:p w14:paraId="3E6F9D21"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Based on this theoretical logic, research hypothe</w:t>
      </w:r>
      <w:r>
        <w:rPr>
          <w:rFonts w:eastAsia="Times New Roman" w:hint="eastAsia"/>
          <w:sz w:val="20"/>
          <w:szCs w:val="20"/>
          <w:lang w:eastAsia="zh-CN"/>
        </w:rPr>
        <w:t>sis H1 is proposed: The ESG performance of enterprises has a significant promoting effect on their OFDI.</w:t>
      </w:r>
    </w:p>
    <w:p w14:paraId="5AEBC0AC" w14:textId="77777777" w:rsidR="0008758D" w:rsidRDefault="0008758D">
      <w:pPr>
        <w:pStyle w:val="Body"/>
        <w:widowControl/>
        <w:spacing w:after="0"/>
        <w:rPr>
          <w:rFonts w:eastAsia="Times New Roman"/>
          <w:sz w:val="20"/>
          <w:szCs w:val="20"/>
          <w:lang w:eastAsia="zh-CN"/>
        </w:rPr>
      </w:pPr>
    </w:p>
    <w:p w14:paraId="214B5D7A"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3.2 The indirect transmission path of enterprise ESG performance on its OFDI</w:t>
      </w:r>
    </w:p>
    <w:p w14:paraId="634DE6BD" w14:textId="77777777" w:rsidR="0008758D" w:rsidRDefault="0008758D">
      <w:pPr>
        <w:rPr>
          <w:lang w:eastAsia="zh-CN"/>
        </w:rPr>
      </w:pPr>
    </w:p>
    <w:p w14:paraId="3E99BD32"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lastRenderedPageBreak/>
        <w:t>3</w:t>
      </w:r>
      <w:r>
        <w:rPr>
          <w:rFonts w:ascii="Arial" w:eastAsia="SimSun" w:hAnsi="Arial" w:cs="Arial"/>
          <w:b/>
          <w:kern w:val="0"/>
          <w:sz w:val="20"/>
          <w:szCs w:val="20"/>
          <w:u w:val="single"/>
        </w:rPr>
        <w:t>.2.1</w:t>
      </w:r>
      <w:r>
        <w:rPr>
          <w:rFonts w:ascii="Arial" w:eastAsia="SimSun" w:hAnsi="Arial" w:cs="Arial" w:hint="eastAsia"/>
          <w:b/>
          <w:kern w:val="0"/>
          <w:sz w:val="20"/>
          <w:szCs w:val="20"/>
          <w:u w:val="single"/>
          <w:lang w:eastAsia="zh-CN"/>
        </w:rPr>
        <w:t xml:space="preserve"> Financing constraint path</w:t>
      </w:r>
    </w:p>
    <w:p w14:paraId="2AFC0D85" w14:textId="77777777" w:rsidR="0008758D" w:rsidRDefault="0008758D">
      <w:pPr>
        <w:pStyle w:val="Body"/>
        <w:widowControl/>
        <w:spacing w:after="0"/>
        <w:rPr>
          <w:rFonts w:eastAsia="Times New Roman"/>
          <w:sz w:val="20"/>
          <w:szCs w:val="20"/>
          <w:lang w:eastAsia="zh-CN"/>
        </w:rPr>
      </w:pPr>
    </w:p>
    <w:p w14:paraId="229F5F71"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Foreign direct investment is characteri</w:t>
      </w:r>
      <w:r>
        <w:rPr>
          <w:rFonts w:eastAsia="Times New Roman" w:hint="eastAsia"/>
          <w:sz w:val="20"/>
          <w:szCs w:val="20"/>
          <w:lang w:eastAsia="zh-CN"/>
        </w:rPr>
        <w:t xml:space="preserve">zed by long investment cycles, large capital requirements, and </w:t>
      </w:r>
      <w:proofErr w:type="gramStart"/>
      <w:r>
        <w:rPr>
          <w:rFonts w:eastAsia="Times New Roman" w:hint="eastAsia"/>
          <w:sz w:val="20"/>
          <w:szCs w:val="20"/>
          <w:lang w:eastAsia="zh-CN"/>
        </w:rPr>
        <w:t>high risk</w:t>
      </w:r>
      <w:proofErr w:type="gramEnd"/>
      <w:r>
        <w:rPr>
          <w:rFonts w:eastAsia="Times New Roman" w:hint="eastAsia"/>
          <w:sz w:val="20"/>
          <w:szCs w:val="20"/>
          <w:lang w:eastAsia="zh-CN"/>
        </w:rPr>
        <w:t xml:space="preserve"> levels, making capital availability a key bottleneck restricting enterprises from conducting OFDI (Paul &amp; Benito, 2018). The improvement of ESG performance can effectively alleviate e</w:t>
      </w:r>
      <w:r>
        <w:rPr>
          <w:rFonts w:eastAsia="Times New Roman" w:hint="eastAsia"/>
          <w:sz w:val="20"/>
          <w:szCs w:val="20"/>
          <w:lang w:eastAsia="zh-CN"/>
        </w:rPr>
        <w:t>nterprises' financing constraints through signaling effects and market preference effects: on one hand, ESG performance can lower financing costs by reducing the risk level of enterprises. Research based on a global sample of enterprises has found that imp</w:t>
      </w:r>
      <w:r>
        <w:rPr>
          <w:rFonts w:eastAsia="Times New Roman" w:hint="eastAsia"/>
          <w:sz w:val="20"/>
          <w:szCs w:val="20"/>
          <w:lang w:eastAsia="zh-CN"/>
        </w:rPr>
        <w:t>rovements in overall ESG performance can significantly reduce their debt financing costs, and this effect is more pronounced during periods of high economic uncertainty. The underlying logic is that good ESG practices can reduce operational and financial r</w:t>
      </w:r>
      <w:r>
        <w:rPr>
          <w:rFonts w:eastAsia="Times New Roman" w:hint="eastAsia"/>
          <w:sz w:val="20"/>
          <w:szCs w:val="20"/>
          <w:lang w:eastAsia="zh-CN"/>
        </w:rPr>
        <w:t>isks, signaling to creditors that the enterprise is stable and has strong long-term debt repayment capabilities, thereby obtaining lower loan rates and more favorable credit conditions (Trinh, 2026); on the other hand, with the rapid growth of global ESG i</w:t>
      </w:r>
      <w:r>
        <w:rPr>
          <w:rFonts w:eastAsia="Times New Roman" w:hint="eastAsia"/>
          <w:sz w:val="20"/>
          <w:szCs w:val="20"/>
          <w:lang w:eastAsia="zh-CN"/>
        </w:rPr>
        <w:t>nvestment, more international investors are using ESG performance as an important basis for investment decisions. Enterprises with excellent ESG performance are more likely to attract international capital, providing ample financial support for their overs</w:t>
      </w:r>
      <w:r>
        <w:rPr>
          <w:rFonts w:eastAsia="Times New Roman" w:hint="eastAsia"/>
          <w:sz w:val="20"/>
          <w:szCs w:val="20"/>
          <w:lang w:eastAsia="zh-CN"/>
        </w:rPr>
        <w:t xml:space="preserve">eas investments. The alleviation of financing constraints allows enterprises to invest more funds into foreign direct investment activities, expanding investment scale and increasing investment frequency. </w:t>
      </w:r>
    </w:p>
    <w:p w14:paraId="571D2766" w14:textId="77777777" w:rsidR="0008758D" w:rsidRDefault="0008758D">
      <w:pPr>
        <w:pStyle w:val="Body"/>
        <w:widowControl/>
        <w:spacing w:after="0"/>
        <w:rPr>
          <w:rFonts w:eastAsia="Times New Roman"/>
          <w:sz w:val="20"/>
          <w:szCs w:val="20"/>
          <w:lang w:eastAsia="zh-CN"/>
        </w:rPr>
      </w:pPr>
    </w:p>
    <w:p w14:paraId="147D5A7C"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Based on this, the second research hypothesis H2 </w:t>
      </w:r>
      <w:r>
        <w:rPr>
          <w:rFonts w:eastAsia="Times New Roman" w:hint="eastAsia"/>
          <w:sz w:val="20"/>
          <w:szCs w:val="20"/>
          <w:lang w:eastAsia="zh-CN"/>
        </w:rPr>
        <w:t xml:space="preserve">is </w:t>
      </w:r>
      <w:proofErr w:type="spellStart"/>
      <w:proofErr w:type="gramStart"/>
      <w:r>
        <w:rPr>
          <w:rFonts w:eastAsia="Times New Roman" w:hint="eastAsia"/>
          <w:sz w:val="20"/>
          <w:szCs w:val="20"/>
          <w:lang w:eastAsia="zh-CN"/>
        </w:rPr>
        <w:t>proposed:The</w:t>
      </w:r>
      <w:proofErr w:type="spellEnd"/>
      <w:proofErr w:type="gramEnd"/>
      <w:r>
        <w:rPr>
          <w:rFonts w:eastAsia="Times New Roman" w:hint="eastAsia"/>
          <w:sz w:val="20"/>
          <w:szCs w:val="20"/>
          <w:lang w:eastAsia="zh-CN"/>
        </w:rPr>
        <w:t xml:space="preserve"> improvement of enterprise ESG performance promotes the increase of its OFDI by alleviating financing constraints.</w:t>
      </w:r>
    </w:p>
    <w:p w14:paraId="28050623" w14:textId="77777777" w:rsidR="0008758D" w:rsidRDefault="0008758D">
      <w:pPr>
        <w:pStyle w:val="Body"/>
        <w:widowControl/>
        <w:spacing w:after="0"/>
        <w:rPr>
          <w:rFonts w:eastAsia="Times New Roman"/>
          <w:sz w:val="20"/>
          <w:szCs w:val="20"/>
          <w:lang w:eastAsia="zh-CN"/>
        </w:rPr>
      </w:pPr>
    </w:p>
    <w:p w14:paraId="63C9444E"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3.2.2 Innovation level path</w:t>
      </w:r>
    </w:p>
    <w:p w14:paraId="3B4E4B23" w14:textId="77777777" w:rsidR="0008758D" w:rsidRDefault="0008758D">
      <w:pPr>
        <w:rPr>
          <w:lang w:eastAsia="zh-CN"/>
        </w:rPr>
      </w:pPr>
    </w:p>
    <w:p w14:paraId="45A55FA5"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Technological innovation is a core element for enterprises to build international competitive advantages and is also an important driving force for enterprises' foreign direct investment. The concept of ESG is inherently synergistic with enterprise innovat</w:t>
      </w:r>
      <w:r>
        <w:rPr>
          <w:rFonts w:eastAsia="Times New Roman" w:hint="eastAsia"/>
          <w:sz w:val="20"/>
          <w:szCs w:val="20"/>
          <w:lang w:eastAsia="zh-CN"/>
        </w:rPr>
        <w:t xml:space="preserve">ion development, promoting technological innovation from multiple dimensions: on one hand, ESG requirements in the environmental dimension compel enterprises to increase investment in green technology research and development, driving the green upgrade of </w:t>
      </w:r>
      <w:r>
        <w:rPr>
          <w:rFonts w:eastAsia="Times New Roman" w:hint="eastAsia"/>
          <w:sz w:val="20"/>
          <w:szCs w:val="20"/>
          <w:lang w:eastAsia="zh-CN"/>
        </w:rPr>
        <w:t>production processes and products, thus forming unique green technology advantages; on the other hand, a sound corporate governance system can optimize the allocation of innovation resources, improve the conversion efficiency of R&amp;D investment, while fulfi</w:t>
      </w:r>
      <w:r>
        <w:rPr>
          <w:rFonts w:eastAsia="Times New Roman" w:hint="eastAsia"/>
          <w:sz w:val="20"/>
          <w:szCs w:val="20"/>
          <w:lang w:eastAsia="zh-CN"/>
        </w:rPr>
        <w:t xml:space="preserve">lling social responsibilities can enhance the enterprise's employer brand image, attracting more outstanding innovative talents and providing human capital support for technological innovation. The improvement of enterprise innovation levels will generate </w:t>
      </w:r>
      <w:r>
        <w:rPr>
          <w:rFonts w:eastAsia="Times New Roman" w:hint="eastAsia"/>
          <w:sz w:val="20"/>
          <w:szCs w:val="20"/>
          <w:lang w:eastAsia="zh-CN"/>
        </w:rPr>
        <w:t xml:space="preserve">significant technological spillover effects, enabling them to enter international markets through technology output, technology cooperation, etc., while also creating conditions for enterprises to establish R&amp;D centers in host countries and obtain reverse </w:t>
      </w:r>
      <w:r>
        <w:rPr>
          <w:rFonts w:eastAsia="Times New Roman" w:hint="eastAsia"/>
          <w:sz w:val="20"/>
          <w:szCs w:val="20"/>
          <w:lang w:eastAsia="zh-CN"/>
        </w:rPr>
        <w:t>technology spillovers, further promoting the expansion of foreign direct investment (Khurram et al., 2024). Governance and social dimension ESG practices can enhance the innovation efficiency of enterprises. A sound corporate governance system can optimize</w:t>
      </w:r>
      <w:r>
        <w:rPr>
          <w:rFonts w:eastAsia="Times New Roman" w:hint="eastAsia"/>
          <w:sz w:val="20"/>
          <w:szCs w:val="20"/>
          <w:lang w:eastAsia="zh-CN"/>
        </w:rPr>
        <w:t xml:space="preserve"> the allocation of innovation resources, reduce agency problems in the R&amp;D process, and improve the conversion efficiency of R&amp;D investment; actively fulfilling social responsibilities can enhance the enterprise's employer brand image, attracting more outs</w:t>
      </w:r>
      <w:r>
        <w:rPr>
          <w:rFonts w:eastAsia="Times New Roman" w:hint="eastAsia"/>
          <w:sz w:val="20"/>
          <w:szCs w:val="20"/>
          <w:lang w:eastAsia="zh-CN"/>
        </w:rPr>
        <w:t xml:space="preserve">tanding innovative talents and providing solid human capital support for technological innovation (Wang et al., 2026). </w:t>
      </w:r>
    </w:p>
    <w:p w14:paraId="7453264A" w14:textId="77777777" w:rsidR="0008758D" w:rsidRDefault="0008758D">
      <w:pPr>
        <w:pStyle w:val="Body"/>
        <w:widowControl/>
        <w:spacing w:after="0"/>
        <w:rPr>
          <w:rFonts w:eastAsia="Times New Roman"/>
          <w:sz w:val="20"/>
          <w:szCs w:val="20"/>
          <w:lang w:eastAsia="zh-CN"/>
        </w:rPr>
      </w:pPr>
    </w:p>
    <w:p w14:paraId="34F0CD8F" w14:textId="77777777" w:rsidR="0008758D" w:rsidRDefault="00127F5C">
      <w:pPr>
        <w:pStyle w:val="Body"/>
        <w:widowControl/>
        <w:spacing w:after="0"/>
        <w:rPr>
          <w:rFonts w:eastAsia="Times New Roman"/>
          <w:sz w:val="20"/>
          <w:szCs w:val="20"/>
          <w:lang w:eastAsia="zh-CN"/>
        </w:rPr>
      </w:pPr>
      <w:proofErr w:type="spellStart"/>
      <w:proofErr w:type="gramStart"/>
      <w:r>
        <w:rPr>
          <w:rFonts w:eastAsia="Times New Roman" w:hint="eastAsia"/>
          <w:sz w:val="20"/>
          <w:szCs w:val="20"/>
          <w:lang w:eastAsia="zh-CN"/>
        </w:rPr>
        <w:t>Accordingly,the</w:t>
      </w:r>
      <w:proofErr w:type="spellEnd"/>
      <w:proofErr w:type="gramEnd"/>
      <w:r>
        <w:rPr>
          <w:rFonts w:eastAsia="Times New Roman" w:hint="eastAsia"/>
          <w:sz w:val="20"/>
          <w:szCs w:val="20"/>
          <w:lang w:eastAsia="zh-CN"/>
        </w:rPr>
        <w:t xml:space="preserve"> third research hypothesis H3 is </w:t>
      </w:r>
      <w:proofErr w:type="spellStart"/>
      <w:r>
        <w:rPr>
          <w:rFonts w:eastAsia="Times New Roman" w:hint="eastAsia"/>
          <w:sz w:val="20"/>
          <w:szCs w:val="20"/>
          <w:lang w:eastAsia="zh-CN"/>
        </w:rPr>
        <w:t>proposed:The</w:t>
      </w:r>
      <w:proofErr w:type="spellEnd"/>
      <w:r>
        <w:rPr>
          <w:rFonts w:eastAsia="Times New Roman" w:hint="eastAsia"/>
          <w:sz w:val="20"/>
          <w:szCs w:val="20"/>
          <w:lang w:eastAsia="zh-CN"/>
        </w:rPr>
        <w:t xml:space="preserve"> technological spillover of enterprises plays a mediating role in the process of ESG performance promoting their OFDI.</w:t>
      </w:r>
    </w:p>
    <w:p w14:paraId="150AB75A" w14:textId="77777777" w:rsidR="0008758D" w:rsidRDefault="0008758D">
      <w:pPr>
        <w:widowControl/>
        <w:autoSpaceDE w:val="0"/>
        <w:autoSpaceDN w:val="0"/>
        <w:adjustRightInd w:val="0"/>
        <w:jc w:val="both"/>
        <w:rPr>
          <w:rFonts w:eastAsia="Times New Roman"/>
          <w:b/>
          <w:bCs/>
          <w:sz w:val="20"/>
          <w:lang w:eastAsia="zh-CN"/>
        </w:rPr>
      </w:pPr>
    </w:p>
    <w:p w14:paraId="5728A759"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 xml:space="preserve">4. Research Methods and Data Description </w:t>
      </w:r>
    </w:p>
    <w:p w14:paraId="4DA8EF40" w14:textId="77777777" w:rsidR="0008758D" w:rsidRDefault="0008758D">
      <w:pPr>
        <w:pStyle w:val="AbstHead"/>
        <w:widowControl/>
        <w:spacing w:after="0"/>
        <w:jc w:val="both"/>
        <w:rPr>
          <w:rFonts w:eastAsia="Times New Roman"/>
          <w:szCs w:val="20"/>
          <w:lang w:eastAsia="zh-CN"/>
        </w:rPr>
      </w:pPr>
    </w:p>
    <w:p w14:paraId="64EF55FF"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w:t>
      </w:r>
      <w:r>
        <w:rPr>
          <w:rFonts w:ascii="Arial" w:eastAsia="Times New Roman" w:hAnsi="Arial" w:cs="Arial"/>
          <w:b/>
          <w:caps/>
          <w:kern w:val="0"/>
          <w:sz w:val="22"/>
          <w:szCs w:val="20"/>
          <w:lang w:eastAsia="zh-CN"/>
        </w:rPr>
        <w:t>.1</w:t>
      </w:r>
      <w:r>
        <w:rPr>
          <w:rFonts w:ascii="Arial" w:eastAsia="Times New Roman" w:hAnsi="Arial" w:cs="Arial" w:hint="eastAsia"/>
          <w:b/>
          <w:caps/>
          <w:kern w:val="0"/>
          <w:sz w:val="22"/>
          <w:szCs w:val="20"/>
          <w:lang w:eastAsia="zh-CN"/>
        </w:rPr>
        <w:t xml:space="preserve"> Model Construction</w:t>
      </w:r>
    </w:p>
    <w:p w14:paraId="4CC2F91E" w14:textId="77777777" w:rsidR="0008758D" w:rsidRDefault="0008758D">
      <w:pPr>
        <w:rPr>
          <w:lang w:eastAsia="zh-CN"/>
        </w:rPr>
      </w:pPr>
    </w:p>
    <w:p w14:paraId="6EDBD9CC" w14:textId="77777777" w:rsidR="0008758D" w:rsidRDefault="00127F5C">
      <w:pPr>
        <w:pStyle w:val="Body"/>
        <w:widowControl/>
        <w:spacing w:after="0"/>
        <w:rPr>
          <w:rFonts w:eastAsia="Times New Roman"/>
          <w:sz w:val="20"/>
          <w:szCs w:val="20"/>
          <w:lang w:eastAsia="zh-CN"/>
        </w:rPr>
      </w:pPr>
      <w:r>
        <w:rPr>
          <w:rFonts w:eastAsia="Times New Roman"/>
          <w:sz w:val="20"/>
          <w:szCs w:val="20"/>
          <w:lang w:eastAsia="zh-CN"/>
        </w:rPr>
        <w:t xml:space="preserve">Based on the assumptions mentioned earlier, and referencing Liu Liya </w:t>
      </w:r>
      <w:r>
        <w:rPr>
          <w:rFonts w:eastAsia="Times New Roman"/>
          <w:sz w:val="20"/>
          <w:szCs w:val="20"/>
          <w:lang w:eastAsia="zh-CN"/>
        </w:rPr>
        <w:t>and He Yanlin et al. (2015), this paper establishes the following econometric model for empirical testing:</w:t>
      </w:r>
    </w:p>
    <w:p w14:paraId="033F6884" w14:textId="77777777" w:rsidR="0008758D" w:rsidRDefault="0008758D">
      <w:pPr>
        <w:pStyle w:val="Body"/>
        <w:widowControl/>
        <w:spacing w:after="0"/>
        <w:rPr>
          <w:rFonts w:eastAsia="Times New Roman"/>
          <w:sz w:val="20"/>
          <w:szCs w:val="20"/>
          <w:lang w:eastAsia="zh-CN"/>
        </w:rPr>
      </w:pPr>
    </w:p>
    <w:p w14:paraId="329937BE" w14:textId="77777777" w:rsidR="0008758D" w:rsidRDefault="00127F5C">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esg</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sz w:val="20"/>
          <w:szCs w:val="20"/>
          <w:lang w:eastAsia="zh-CN"/>
        </w:rPr>
        <w:t>1</w:t>
      </w:r>
      <w:r>
        <w:rPr>
          <w:rFonts w:eastAsia="SimSun"/>
          <w:sz w:val="20"/>
          <w:szCs w:val="20"/>
          <w:lang w:eastAsia="zh-CN"/>
        </w:rPr>
        <w:t>）</w:t>
      </w:r>
    </w:p>
    <w:p w14:paraId="3AFC38D0" w14:textId="77777777" w:rsidR="0008758D" w:rsidRDefault="0008758D">
      <w:pPr>
        <w:jc w:val="center"/>
        <w:rPr>
          <w:rFonts w:eastAsia="SimSun"/>
          <w:sz w:val="20"/>
          <w:szCs w:val="20"/>
          <w:lang w:eastAsia="zh-CN"/>
        </w:rPr>
      </w:pPr>
    </w:p>
    <w:p w14:paraId="791C444C" w14:textId="77777777" w:rsidR="0008758D" w:rsidRDefault="00127F5C">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r>
              <w:rPr>
                <w:rFonts w:ascii="Cambria Math" w:eastAsia="Google Sans Text" w:hAnsi="Cambria Math" w:cs="Google Sans Text"/>
                <w:color w:val="1F1F1F"/>
                <w:sz w:val="21"/>
                <w:szCs w:val="21"/>
                <w:lang w:eastAsia="zh-CN"/>
              </w:rPr>
              <m:t>_</m:t>
            </m:r>
            <m:r>
              <w:rPr>
                <w:rFonts w:ascii="Cambria Math" w:eastAsia="Google Sans Text" w:hAnsi="Cambria Math" w:cs="Google Sans Text"/>
                <w:color w:val="1F1F1F"/>
                <w:sz w:val="21"/>
                <w:szCs w:val="21"/>
                <w:lang w:eastAsia="zh-CN"/>
              </w:rPr>
              <m:t>f</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esg</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hint="eastAsia"/>
          <w:sz w:val="20"/>
          <w:szCs w:val="20"/>
          <w:lang w:eastAsia="zh-CN"/>
        </w:rPr>
        <w:t>2</w:t>
      </w:r>
      <w:r>
        <w:rPr>
          <w:rFonts w:eastAsia="SimSun"/>
          <w:sz w:val="20"/>
          <w:szCs w:val="20"/>
          <w:lang w:eastAsia="zh-CN"/>
        </w:rPr>
        <w:t>）</w:t>
      </w:r>
    </w:p>
    <w:p w14:paraId="4C75156A" w14:textId="77777777" w:rsidR="0008758D" w:rsidRDefault="0008758D">
      <w:pPr>
        <w:spacing w:line="275" w:lineRule="auto"/>
        <w:jc w:val="center"/>
        <w:rPr>
          <w:rFonts w:eastAsia="SimSun"/>
          <w:sz w:val="20"/>
          <w:szCs w:val="20"/>
          <w:lang w:eastAsia="zh-CN"/>
        </w:rPr>
      </w:pPr>
    </w:p>
    <w:p w14:paraId="42C35C73" w14:textId="77777777" w:rsidR="0008758D" w:rsidRDefault="00127F5C">
      <w:pPr>
        <w:pStyle w:val="Body"/>
        <w:widowControl/>
        <w:spacing w:after="0"/>
        <w:rPr>
          <w:rFonts w:eastAsia="Times New Roman"/>
          <w:sz w:val="20"/>
          <w:szCs w:val="20"/>
          <w:lang w:eastAsia="zh-CN"/>
        </w:rPr>
      </w:pPr>
      <w:r>
        <w:rPr>
          <w:rFonts w:eastAsia="Times New Roman"/>
          <w:sz w:val="20"/>
          <w:szCs w:val="20"/>
          <w:lang w:eastAsia="zh-CN"/>
        </w:rPr>
        <w:t xml:space="preserve">Where </w:t>
      </w:r>
      <w:proofErr w:type="spellStart"/>
      <w:r>
        <w:rPr>
          <w:rFonts w:eastAsia="Times New Roman"/>
          <w:sz w:val="20"/>
          <w:szCs w:val="20"/>
          <w:lang w:eastAsia="zh-CN"/>
        </w:rPr>
        <w:t>i</w:t>
      </w:r>
      <w:proofErr w:type="spellEnd"/>
      <w:r>
        <w:rPr>
          <w:rFonts w:eastAsia="Times New Roman"/>
          <w:sz w:val="20"/>
          <w:szCs w:val="20"/>
          <w:lang w:eastAsia="zh-CN"/>
        </w:rPr>
        <w:t xml:space="preserve"> represents the enterprise and t represents the </w:t>
      </w:r>
      <w:proofErr w:type="spellStart"/>
      <w:r>
        <w:rPr>
          <w:rFonts w:eastAsia="Times New Roman"/>
          <w:sz w:val="20"/>
          <w:szCs w:val="20"/>
          <w:lang w:eastAsia="zh-CN"/>
        </w:rPr>
        <w:t>year.The</w:t>
      </w:r>
      <w:proofErr w:type="spellEnd"/>
      <w:r>
        <w:rPr>
          <w:rFonts w:eastAsia="Times New Roman"/>
          <w:sz w:val="20"/>
          <w:szCs w:val="20"/>
          <w:lang w:eastAsia="zh-CN"/>
        </w:rPr>
        <w:t xml:space="preserve"> explained variable</w:t>
      </w:r>
      <w:r>
        <w:rPr>
          <w:rFonts w:eastAsia="Times New Roman" w:hint="eastAsia"/>
          <w:sz w:val="20"/>
          <w:szCs w:val="20"/>
          <w:lang w:eastAsia="zh-CN"/>
        </w:rPr>
        <w:t xml:space="preserv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e>
          <m:sub>
            <m:r>
              <w:rPr>
                <w:rFonts w:ascii="Cambria Math" w:eastAsia="Google Sans Text" w:hAnsi="Cambria Math" w:cs="Google Sans Text"/>
                <w:color w:val="1F1F1F"/>
                <w:sz w:val="21"/>
                <w:szCs w:val="21"/>
                <w:lang w:eastAsia="zh-CN"/>
              </w:rPr>
              <m:t>it</m:t>
            </m:r>
          </m:sub>
        </m:sSub>
      </m:oMath>
      <w:r>
        <w:rPr>
          <w:rFonts w:eastAsia="Times New Roman"/>
          <w:sz w:val="20"/>
          <w:szCs w:val="20"/>
          <w:lang w:eastAsia="zh-CN"/>
        </w:rPr>
        <w:t>is a dummy variable for the foreign direct investment of enterprises, assigned a valu</w:t>
      </w:r>
      <w:r>
        <w:rPr>
          <w:rFonts w:eastAsia="Times New Roman"/>
          <w:sz w:val="20"/>
          <w:szCs w:val="20"/>
          <w:lang w:eastAsia="zh-CN"/>
        </w:rPr>
        <w:t xml:space="preserve">e of 0 if there is no investment;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ofdi</m:t>
            </m:r>
            <m:r>
              <w:rPr>
                <w:rFonts w:ascii="Cambria Math" w:eastAsia="Google Sans Text" w:hAnsi="Cambria Math" w:cs="Google Sans Text"/>
                <w:color w:val="1F1F1F"/>
                <w:sz w:val="21"/>
                <w:szCs w:val="21"/>
                <w:lang w:eastAsia="zh-CN"/>
              </w:rPr>
              <m:t>_</m:t>
            </m:r>
            <m:r>
              <w:rPr>
                <w:rFonts w:ascii="Cambria Math" w:eastAsia="Google Sans Text" w:hAnsi="Cambria Math" w:cs="Google Sans Text"/>
                <w:color w:val="1F1F1F"/>
                <w:sz w:val="21"/>
                <w:szCs w:val="21"/>
                <w:lang w:eastAsia="zh-CN"/>
              </w:rPr>
              <m:t>f</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is a dummy variable for the number of foreign direct investment occurrences by the enterprise.</w:t>
      </w:r>
      <m:oMath>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oMath>
      <w:r>
        <w:rPr>
          <w:rFonts w:eastAsia="Times New Roman"/>
          <w:sz w:val="20"/>
          <w:szCs w:val="20"/>
          <w:lang w:eastAsia="zh-CN"/>
        </w:rPr>
        <w:t xml:space="preserve">represent a series of control variables,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 xml:space="preserve">represents individual fixed effects,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represents time fixed effects, and</w:t>
      </w:r>
      <w:r>
        <w:rPr>
          <w:rFonts w:eastAsia="Times New Roman" w:hint="eastAsia"/>
          <w:sz w:val="20"/>
          <w:szCs w:val="20"/>
          <w:lang w:eastAsia="zh-CN"/>
        </w:rPr>
        <w:t xml:space="preserv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sz w:val="20"/>
          <w:szCs w:val="20"/>
          <w:lang w:eastAsia="zh-CN"/>
        </w:rPr>
        <w:t>is the constant term, representing other unobservable factors.</w:t>
      </w:r>
    </w:p>
    <w:p w14:paraId="5BBE728E" w14:textId="77777777" w:rsidR="0008758D" w:rsidRDefault="0008758D">
      <w:pPr>
        <w:pStyle w:val="Body"/>
        <w:widowControl/>
        <w:spacing w:after="0"/>
        <w:rPr>
          <w:rFonts w:eastAsia="Times New Roman"/>
          <w:sz w:val="20"/>
          <w:szCs w:val="20"/>
          <w:lang w:eastAsia="zh-CN"/>
        </w:rPr>
      </w:pPr>
    </w:p>
    <w:p w14:paraId="343D9611"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w:t>
      </w:r>
      <w:r>
        <w:rPr>
          <w:rFonts w:ascii="Arial" w:eastAsia="Times New Roman" w:hAnsi="Arial" w:cs="Arial"/>
          <w:b/>
          <w:caps/>
          <w:kern w:val="0"/>
          <w:sz w:val="22"/>
          <w:szCs w:val="20"/>
          <w:lang w:eastAsia="zh-CN"/>
        </w:rPr>
        <w:t>.2</w:t>
      </w:r>
      <w:r>
        <w:rPr>
          <w:rFonts w:ascii="Arial" w:eastAsia="Times New Roman" w:hAnsi="Arial" w:cs="Arial" w:hint="eastAsia"/>
          <w:b/>
          <w:caps/>
          <w:kern w:val="0"/>
          <w:sz w:val="22"/>
          <w:szCs w:val="20"/>
          <w:lang w:eastAsia="zh-CN"/>
        </w:rPr>
        <w:t xml:space="preserve"> Variable Description</w:t>
      </w:r>
    </w:p>
    <w:p w14:paraId="39B2D3E8" w14:textId="77777777" w:rsidR="0008758D" w:rsidRDefault="0008758D">
      <w:pPr>
        <w:rPr>
          <w:lang w:eastAsia="zh-CN"/>
        </w:rPr>
      </w:pPr>
    </w:p>
    <w:p w14:paraId="1C783AEF"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4</w:t>
      </w:r>
      <w:r>
        <w:rPr>
          <w:rFonts w:ascii="Arial" w:eastAsia="SimSun" w:hAnsi="Arial" w:cs="Arial"/>
          <w:b/>
          <w:kern w:val="0"/>
          <w:sz w:val="20"/>
          <w:szCs w:val="20"/>
          <w:u w:val="single"/>
          <w:lang w:eastAsia="zh-CN"/>
        </w:rPr>
        <w:t>.2.1</w:t>
      </w:r>
      <w:r>
        <w:rPr>
          <w:rFonts w:ascii="Arial" w:eastAsia="SimSun" w:hAnsi="Arial" w:cs="Arial" w:hint="eastAsia"/>
          <w:b/>
          <w:kern w:val="0"/>
          <w:sz w:val="20"/>
          <w:szCs w:val="20"/>
          <w:u w:val="single"/>
          <w:lang w:eastAsia="zh-CN"/>
        </w:rPr>
        <w:t xml:space="preserve"> </w:t>
      </w:r>
      <w:r>
        <w:rPr>
          <w:rFonts w:ascii="Arial" w:eastAsia="SimSun" w:hAnsi="Arial" w:cs="Arial"/>
          <w:b/>
          <w:kern w:val="0"/>
          <w:sz w:val="20"/>
          <w:szCs w:val="20"/>
          <w:u w:val="single"/>
          <w:lang w:eastAsia="zh-CN"/>
        </w:rPr>
        <w:t>Explained Variable</w:t>
      </w:r>
      <w:r>
        <w:rPr>
          <w:rFonts w:ascii="Arial" w:eastAsia="SimSun" w:hAnsi="Arial" w:cs="Arial" w:hint="eastAsia"/>
          <w:b/>
          <w:kern w:val="0"/>
          <w:sz w:val="20"/>
          <w:szCs w:val="20"/>
          <w:u w:val="single"/>
          <w:lang w:eastAsia="zh-CN"/>
        </w:rPr>
        <w:t>.</w:t>
      </w:r>
    </w:p>
    <w:p w14:paraId="4B799986" w14:textId="77777777" w:rsidR="0008758D" w:rsidRDefault="0008758D">
      <w:pPr>
        <w:pStyle w:val="Body"/>
        <w:widowControl/>
        <w:spacing w:after="0"/>
        <w:rPr>
          <w:rFonts w:eastAsia="Times New Roman"/>
          <w:sz w:val="20"/>
          <w:szCs w:val="20"/>
          <w:lang w:eastAsia="zh-CN"/>
        </w:rPr>
      </w:pPr>
    </w:p>
    <w:p w14:paraId="13037416"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This paper establishes a dummy variable for the </w:t>
      </w:r>
      <w:r>
        <w:rPr>
          <w:rFonts w:eastAsia="Times New Roman" w:hint="eastAsia"/>
          <w:sz w:val="20"/>
          <w:szCs w:val="20"/>
          <w:lang w:eastAsia="zh-CN"/>
        </w:rPr>
        <w:t>foreign direct investment of listed companies based on the research of Liu Liya, He Yanlin, and others (2015): whether to engage in OFDI (measured in RMB). If engaged, the OFDI flow is taken and its logarithm is used for measurement (to eliminate dimension</w:t>
      </w:r>
      <w:r>
        <w:rPr>
          <w:rFonts w:eastAsia="Times New Roman" w:hint="eastAsia"/>
          <w:sz w:val="20"/>
          <w:szCs w:val="20"/>
          <w:lang w:eastAsia="zh-CN"/>
        </w:rPr>
        <w:t>al effects); if not engaged, it is assigned a value of 0. The number of foreign direct investment occurrences is measured by the number of times the listed company engaged in foreign direct investment in that year.</w:t>
      </w:r>
    </w:p>
    <w:p w14:paraId="068931A2" w14:textId="77777777" w:rsidR="0008758D" w:rsidRDefault="0008758D">
      <w:pPr>
        <w:pStyle w:val="Body"/>
        <w:widowControl/>
        <w:spacing w:after="0"/>
        <w:rPr>
          <w:rFonts w:eastAsia="Times New Roman"/>
          <w:sz w:val="20"/>
          <w:szCs w:val="20"/>
          <w:lang w:eastAsia="zh-CN"/>
        </w:rPr>
      </w:pPr>
    </w:p>
    <w:p w14:paraId="5841CBD2"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4</w:t>
      </w:r>
      <w:r>
        <w:rPr>
          <w:rFonts w:ascii="Arial" w:eastAsia="SimSun" w:hAnsi="Arial" w:cs="Arial"/>
          <w:b/>
          <w:kern w:val="0"/>
          <w:sz w:val="20"/>
          <w:szCs w:val="20"/>
          <w:u w:val="single"/>
          <w:lang w:eastAsia="zh-CN"/>
        </w:rPr>
        <w:t>.2.2</w:t>
      </w:r>
      <w:r>
        <w:rPr>
          <w:rFonts w:ascii="Arial" w:eastAsia="SimSun" w:hAnsi="Arial" w:cs="Arial" w:hint="eastAsia"/>
          <w:b/>
          <w:kern w:val="0"/>
          <w:sz w:val="20"/>
          <w:szCs w:val="20"/>
          <w:u w:val="single"/>
          <w:lang w:eastAsia="zh-CN"/>
        </w:rPr>
        <w:t xml:space="preserve"> </w:t>
      </w:r>
      <w:r>
        <w:rPr>
          <w:rFonts w:ascii="Arial" w:eastAsia="SimSun" w:hAnsi="Arial" w:cs="Arial"/>
          <w:b/>
          <w:kern w:val="0"/>
          <w:sz w:val="20"/>
          <w:szCs w:val="20"/>
          <w:u w:val="single"/>
          <w:lang w:eastAsia="zh-CN"/>
        </w:rPr>
        <w:t>Explanatory Variable</w:t>
      </w:r>
      <w:r>
        <w:rPr>
          <w:rFonts w:ascii="Arial" w:eastAsia="SimSun" w:hAnsi="Arial" w:cs="Arial" w:hint="eastAsia"/>
          <w:b/>
          <w:kern w:val="0"/>
          <w:sz w:val="20"/>
          <w:szCs w:val="20"/>
          <w:u w:val="single"/>
          <w:lang w:eastAsia="zh-CN"/>
        </w:rPr>
        <w:t>.</w:t>
      </w:r>
    </w:p>
    <w:p w14:paraId="6F352B6D" w14:textId="77777777" w:rsidR="0008758D" w:rsidRDefault="0008758D">
      <w:pPr>
        <w:rPr>
          <w:lang w:eastAsia="zh-CN"/>
        </w:rPr>
      </w:pPr>
    </w:p>
    <w:p w14:paraId="65CFE344"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The </w:t>
      </w:r>
      <w:r>
        <w:rPr>
          <w:rFonts w:eastAsia="Times New Roman" w:hint="eastAsia"/>
          <w:sz w:val="20"/>
          <w:szCs w:val="20"/>
          <w:lang w:eastAsia="zh-CN"/>
        </w:rPr>
        <w:t>Bloomberg ESG rating adopts a bottom-up, model-driven approach, with data sourced widely, possessing certain representativeness and authority. Therefore, this paper selects the Bloomberg ESG Index as the indicator. The score ranges from 0 to 100, and the s</w:t>
      </w:r>
      <w:r>
        <w:rPr>
          <w:rFonts w:eastAsia="Times New Roman" w:hint="eastAsia"/>
          <w:sz w:val="20"/>
          <w:szCs w:val="20"/>
          <w:lang w:eastAsia="zh-CN"/>
        </w:rPr>
        <w:t>cores are logarithmically processed; a higher score indicates better ESG performance of the enterprise.</w:t>
      </w:r>
    </w:p>
    <w:p w14:paraId="734E8C7B" w14:textId="77777777" w:rsidR="0008758D" w:rsidRDefault="0008758D">
      <w:pPr>
        <w:pStyle w:val="Body"/>
        <w:widowControl/>
        <w:spacing w:after="0"/>
        <w:rPr>
          <w:rFonts w:eastAsia="Times New Roman"/>
          <w:sz w:val="20"/>
          <w:szCs w:val="20"/>
          <w:lang w:eastAsia="zh-CN"/>
        </w:rPr>
      </w:pPr>
    </w:p>
    <w:p w14:paraId="2770304A"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4.2.3 Control Variables.</w:t>
      </w:r>
    </w:p>
    <w:p w14:paraId="15F9460D" w14:textId="77777777" w:rsidR="0008758D" w:rsidRDefault="0008758D">
      <w:pPr>
        <w:rPr>
          <w:lang w:eastAsia="zh-CN"/>
        </w:rPr>
      </w:pPr>
    </w:p>
    <w:p w14:paraId="170118EC" w14:textId="77777777" w:rsidR="0008758D" w:rsidRDefault="00127F5C">
      <w:pPr>
        <w:pStyle w:val="Body"/>
        <w:widowControl/>
        <w:spacing w:after="0"/>
        <w:rPr>
          <w:rFonts w:eastAsia="Times New Roman"/>
          <w:b/>
          <w:bCs/>
          <w:sz w:val="20"/>
          <w:lang w:eastAsia="zh-CN"/>
        </w:rPr>
      </w:pPr>
      <w:r>
        <w:rPr>
          <w:rFonts w:eastAsia="Times New Roman" w:hint="eastAsia"/>
          <w:sz w:val="20"/>
          <w:szCs w:val="20"/>
          <w:lang w:eastAsia="zh-CN"/>
        </w:rPr>
        <w:t>To mitigate endogeneity bias caused by omitted variables, control variables that may affect the ESG performance of enterprise</w:t>
      </w:r>
      <w:r>
        <w:rPr>
          <w:rFonts w:eastAsia="Times New Roman" w:hint="eastAsia"/>
          <w:sz w:val="20"/>
          <w:szCs w:val="20"/>
          <w:lang w:eastAsia="zh-CN"/>
        </w:rPr>
        <w:t>s have been included in the model. These include: debt-to-asset ratio (DA), cash ratio (CR), firm age (FA), return on investment (ROI), whether it is a high-tech industry (HTI), management expenses (G&amp;A), return on equity (ROE), and price-to-earnings ratio</w:t>
      </w:r>
      <w:r>
        <w:rPr>
          <w:rFonts w:eastAsia="Times New Roman" w:hint="eastAsia"/>
          <w:sz w:val="20"/>
          <w:szCs w:val="20"/>
          <w:lang w:eastAsia="zh-CN"/>
        </w:rPr>
        <w:t xml:space="preserve"> (PE).</w:t>
      </w:r>
    </w:p>
    <w:p w14:paraId="2025D20E" w14:textId="77777777" w:rsidR="0008758D" w:rsidRDefault="0008758D">
      <w:pPr>
        <w:pStyle w:val="Body"/>
        <w:widowControl/>
        <w:spacing w:after="0"/>
        <w:rPr>
          <w:rFonts w:eastAsia="Times New Roman"/>
          <w:sz w:val="20"/>
          <w:szCs w:val="20"/>
          <w:lang w:eastAsia="zh-CN"/>
        </w:rPr>
      </w:pPr>
    </w:p>
    <w:p w14:paraId="65F81F07" w14:textId="77777777" w:rsidR="0008758D" w:rsidRDefault="00127F5C">
      <w:pPr>
        <w:pStyle w:val="Heading2"/>
        <w:widowControl/>
        <w:numPr>
          <w:ilvl w:val="1"/>
          <w:numId w:val="0"/>
        </w:numPr>
        <w:adjustRightInd/>
        <w:spacing w:line="240" w:lineRule="auto"/>
        <w:ind w:left="573" w:hanging="573"/>
        <w:rPr>
          <w:rFonts w:ascii="Arial" w:eastAsia="Times New Roman" w:hAnsi="Arial" w:cs="Arial"/>
          <w:b/>
          <w:caps/>
          <w:kern w:val="0"/>
          <w:sz w:val="22"/>
          <w:szCs w:val="20"/>
          <w:lang w:eastAsia="zh-CN"/>
        </w:rPr>
      </w:pPr>
      <w:r>
        <w:rPr>
          <w:rFonts w:ascii="Arial" w:eastAsia="Times New Roman" w:hAnsi="Arial" w:cs="Arial" w:hint="eastAsia"/>
          <w:b/>
          <w:caps/>
          <w:kern w:val="0"/>
          <w:sz w:val="22"/>
          <w:szCs w:val="20"/>
          <w:lang w:eastAsia="zh-CN"/>
        </w:rPr>
        <w:t>4.3 Data Source</w:t>
      </w:r>
    </w:p>
    <w:p w14:paraId="7ACB355E" w14:textId="77777777" w:rsidR="0008758D" w:rsidRDefault="0008758D">
      <w:pPr>
        <w:rPr>
          <w:lang w:eastAsia="zh-CN"/>
        </w:rPr>
      </w:pPr>
    </w:p>
    <w:p w14:paraId="60CB5194"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Select data from A-share listed companies in Shanghai and Shenzhen from 2006 to 2024 as samples. The processing of the sample companies includes: (1) Deleting samples from the financial and insurance industries. (2) Deleting sample</w:t>
      </w:r>
      <w:r>
        <w:rPr>
          <w:rFonts w:eastAsia="Times New Roman" w:hint="eastAsia"/>
          <w:sz w:val="20"/>
          <w:szCs w:val="20"/>
          <w:lang w:eastAsia="zh-CN"/>
        </w:rPr>
        <w:t xml:space="preserve">s marked as ST and *ST. (3) Deleting samples with missing control variables at the enterprise level. The enterprise-level data mainly comes from the Wind database. Considering the interference of outliers on the estimation results, a two-sided 1% </w:t>
      </w:r>
      <w:proofErr w:type="spellStart"/>
      <w:r>
        <w:rPr>
          <w:rFonts w:eastAsia="Times New Roman" w:hint="eastAsia"/>
          <w:sz w:val="20"/>
          <w:szCs w:val="20"/>
          <w:lang w:eastAsia="zh-CN"/>
        </w:rPr>
        <w:t>winsoriza</w:t>
      </w:r>
      <w:r>
        <w:rPr>
          <w:rFonts w:eastAsia="Times New Roman" w:hint="eastAsia"/>
          <w:sz w:val="20"/>
          <w:szCs w:val="20"/>
          <w:lang w:eastAsia="zh-CN"/>
        </w:rPr>
        <w:t>tion</w:t>
      </w:r>
      <w:proofErr w:type="spellEnd"/>
      <w:r>
        <w:rPr>
          <w:rFonts w:eastAsia="Times New Roman" w:hint="eastAsia"/>
          <w:sz w:val="20"/>
          <w:szCs w:val="20"/>
          <w:lang w:eastAsia="zh-CN"/>
        </w:rPr>
        <w:t xml:space="preserve"> is applied to all variables.</w:t>
      </w:r>
    </w:p>
    <w:p w14:paraId="73059379" w14:textId="77777777" w:rsidR="0008758D" w:rsidRDefault="0008758D">
      <w:pPr>
        <w:pStyle w:val="AbstHead"/>
        <w:widowControl/>
        <w:spacing w:after="0"/>
        <w:jc w:val="both"/>
        <w:rPr>
          <w:rFonts w:eastAsia="Times New Roman"/>
          <w:szCs w:val="20"/>
          <w:lang w:eastAsia="zh-CN"/>
        </w:rPr>
      </w:pPr>
    </w:p>
    <w:p w14:paraId="37F77AB3" w14:textId="0D61A6E8"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5. Empirical Results Analysis</w:t>
      </w:r>
      <w:r w:rsidR="004563EF">
        <w:rPr>
          <w:rFonts w:eastAsia="Times New Roman"/>
          <w:szCs w:val="20"/>
          <w:lang w:eastAsia="zh-CN"/>
        </w:rPr>
        <w:t xml:space="preserve"> &amp; DISCUSSION</w:t>
      </w:r>
    </w:p>
    <w:p w14:paraId="2C2AF4AD" w14:textId="77777777" w:rsidR="0008758D" w:rsidRDefault="0008758D">
      <w:pPr>
        <w:pStyle w:val="AbstHead"/>
        <w:widowControl/>
        <w:spacing w:after="0"/>
        <w:jc w:val="both"/>
        <w:rPr>
          <w:rFonts w:eastAsia="Times New Roman"/>
          <w:szCs w:val="20"/>
          <w:lang w:eastAsia="zh-CN"/>
        </w:rPr>
      </w:pPr>
    </w:p>
    <w:p w14:paraId="06F96DEA"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5.1 Benchmark Regression ANALYSIS</w:t>
      </w:r>
    </w:p>
    <w:p w14:paraId="29FA4E0D" w14:textId="77777777" w:rsidR="0008758D" w:rsidRDefault="0008758D">
      <w:pPr>
        <w:pStyle w:val="AbstHead"/>
        <w:widowControl/>
        <w:spacing w:after="0"/>
        <w:jc w:val="both"/>
        <w:rPr>
          <w:rFonts w:eastAsia="Times New Roman"/>
          <w:szCs w:val="20"/>
          <w:lang w:eastAsia="zh-CN"/>
        </w:rPr>
      </w:pPr>
    </w:p>
    <w:p w14:paraId="02910A5D"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Table 1 shows the estimation results of the regression model. The results indicate that the ESG performance of multinational companies has a </w:t>
      </w:r>
      <w:r>
        <w:rPr>
          <w:rFonts w:eastAsia="Times New Roman" w:hint="eastAsia"/>
          <w:sz w:val="20"/>
          <w:szCs w:val="20"/>
          <w:lang w:eastAsia="zh-CN"/>
        </w:rPr>
        <w:t>significant positive impact on both OFDI flow and the number of OFDI occurrences. Columns (1) and (3) present the regression results without control variables, showing coefficients of 3.343 and 0.895, both significantly positive at the 1% level. Columns (2</w:t>
      </w:r>
      <w:r>
        <w:rPr>
          <w:rFonts w:eastAsia="Times New Roman" w:hint="eastAsia"/>
          <w:sz w:val="20"/>
          <w:szCs w:val="20"/>
          <w:lang w:eastAsia="zh-CN"/>
        </w:rPr>
        <w:t>) and (4) include control variables, and the regression coefficients remain significantly positive and maintain significance at the 1% level, indicating that the ESG performance of multinational companies significantly affects their OFDI.</w:t>
      </w:r>
    </w:p>
    <w:p w14:paraId="114749C3" w14:textId="77777777" w:rsidR="0008758D" w:rsidRDefault="0008758D">
      <w:pPr>
        <w:pStyle w:val="Body"/>
        <w:widowControl/>
        <w:spacing w:after="0"/>
        <w:rPr>
          <w:rFonts w:eastAsia="Times New Roman"/>
          <w:sz w:val="20"/>
          <w:szCs w:val="20"/>
          <w:lang w:eastAsia="zh-CN"/>
        </w:rPr>
      </w:pPr>
    </w:p>
    <w:p w14:paraId="76E56540"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lastRenderedPageBreak/>
        <w:t>A further compar</w:t>
      </w:r>
      <w:r>
        <w:rPr>
          <w:rFonts w:eastAsia="Times New Roman" w:hint="eastAsia"/>
          <w:sz w:val="20"/>
          <w:szCs w:val="20"/>
          <w:lang w:eastAsia="zh-CN"/>
        </w:rPr>
        <w:t>ison of the regression results for different dependent variables reveals that the impact coefficient of ESG performance on OFDI flow (4.078 after including control variables) is significantly larger than that on OFDI frequency (0.905 after including contro</w:t>
      </w:r>
      <w:r>
        <w:rPr>
          <w:rFonts w:eastAsia="Times New Roman" w:hint="eastAsia"/>
          <w:sz w:val="20"/>
          <w:szCs w:val="20"/>
          <w:lang w:eastAsia="zh-CN"/>
        </w:rPr>
        <w:t>l variables), and this coefficient difference carries important economic implications. OFDI frequency reflects the number of times a firm conducts OFDI, representing the breadth of its internationalization layout; while OFDI flow reflects the scale of a fi</w:t>
      </w:r>
      <w:r>
        <w:rPr>
          <w:rFonts w:eastAsia="Times New Roman" w:hint="eastAsia"/>
          <w:sz w:val="20"/>
          <w:szCs w:val="20"/>
          <w:lang w:eastAsia="zh-CN"/>
        </w:rPr>
        <w:t>rm's single OFDI project, representing the depth of its internationalization layout. The above results indicate that ESG performance can not only drive multinational corporations to increase the frequency of OFDI and expand their global market coverage, bu</w:t>
      </w:r>
      <w:r>
        <w:rPr>
          <w:rFonts w:eastAsia="Times New Roman" w:hint="eastAsia"/>
          <w:sz w:val="20"/>
          <w:szCs w:val="20"/>
          <w:lang w:eastAsia="zh-CN"/>
        </w:rPr>
        <w:t>t also significantly boost the scale of their single OFDI projects, supporting them to carry out deeper industrial layout and resource integration in host countries. The underlying reason for this phenomenon is that large-scale OFDI is often accompanied by</w:t>
      </w:r>
      <w:r>
        <w:rPr>
          <w:rFonts w:eastAsia="Times New Roman" w:hint="eastAsia"/>
          <w:sz w:val="20"/>
          <w:szCs w:val="20"/>
          <w:lang w:eastAsia="zh-CN"/>
        </w:rPr>
        <w:t xml:space="preserve"> higher political risks, market risks and longer investment payback periods, which impose higher requirements on firms' risk-bearing capacity, financial strength and the level of trust they receive from host countries. Firms with excellent ESG performance,</w:t>
      </w:r>
      <w:r>
        <w:rPr>
          <w:rFonts w:eastAsia="Times New Roman" w:hint="eastAsia"/>
          <w:sz w:val="20"/>
          <w:szCs w:val="20"/>
          <w:lang w:eastAsia="zh-CN"/>
        </w:rPr>
        <w:t xml:space="preserve"> by virtue of their lower systemic risks, stronger financing capacity and better reputational foundation, are more capable of bearing the risks of large-scale investments and more likely to gain recognition from host country governments and markets, thereb</w:t>
      </w:r>
      <w:r>
        <w:rPr>
          <w:rFonts w:eastAsia="Times New Roman" w:hint="eastAsia"/>
          <w:sz w:val="20"/>
          <w:szCs w:val="20"/>
          <w:lang w:eastAsia="zh-CN"/>
        </w:rPr>
        <w:t>y enabling them to conduct larger-scale greenfield investments and cross-border mergers and acquisitions.</w:t>
      </w:r>
    </w:p>
    <w:p w14:paraId="596A4DEC" w14:textId="77777777" w:rsidR="0008758D" w:rsidRDefault="0008758D">
      <w:pPr>
        <w:pStyle w:val="Body"/>
        <w:widowControl/>
        <w:spacing w:after="0"/>
        <w:rPr>
          <w:rFonts w:eastAsia="Times New Roman"/>
          <w:sz w:val="20"/>
          <w:szCs w:val="20"/>
          <w:lang w:eastAsia="zh-CN"/>
        </w:rPr>
      </w:pPr>
    </w:p>
    <w:p w14:paraId="5E3C325F" w14:textId="77777777" w:rsidR="0008758D" w:rsidRDefault="00127F5C">
      <w:pPr>
        <w:widowControl/>
        <w:autoSpaceDE w:val="0"/>
        <w:autoSpaceDN w:val="0"/>
        <w:adjustRightInd w:val="0"/>
        <w:jc w:val="both"/>
        <w:rPr>
          <w:rFonts w:eastAsia="Times New Roman"/>
          <w:b/>
          <w:bCs/>
          <w:sz w:val="20"/>
          <w:lang w:eastAsia="zh-CN"/>
        </w:rPr>
      </w:pPr>
      <w:r>
        <w:rPr>
          <w:rFonts w:eastAsia="Times New Roman"/>
          <w:b/>
          <w:bCs/>
          <w:sz w:val="20"/>
          <w:lang w:eastAsia="zh-CN"/>
        </w:rPr>
        <w:t xml:space="preserve">Table </w:t>
      </w:r>
      <w:r>
        <w:rPr>
          <w:rFonts w:eastAsia="Times New Roman" w:hint="eastAsia"/>
          <w:b/>
          <w:bCs/>
          <w:sz w:val="20"/>
          <w:lang w:eastAsia="zh-CN"/>
        </w:rPr>
        <w:t>1</w:t>
      </w:r>
      <w:r>
        <w:rPr>
          <w:rFonts w:eastAsia="Times New Roman"/>
          <w:b/>
          <w:bCs/>
          <w:sz w:val="20"/>
          <w:lang w:eastAsia="zh-CN"/>
        </w:rPr>
        <w:t>: Benchmark Regression Results</w:t>
      </w:r>
    </w:p>
    <w:tbl>
      <w:tblPr>
        <w:tblW w:w="4994" w:type="pct"/>
        <w:tblLook w:val="04A0" w:firstRow="1" w:lastRow="0" w:firstColumn="1" w:lastColumn="0" w:noHBand="0" w:noVBand="1"/>
      </w:tblPr>
      <w:tblGrid>
        <w:gridCol w:w="1801"/>
        <w:gridCol w:w="1738"/>
        <w:gridCol w:w="2302"/>
        <w:gridCol w:w="1968"/>
        <w:gridCol w:w="1756"/>
      </w:tblGrid>
      <w:tr w:rsidR="0008758D" w14:paraId="317F1A2E" w14:textId="77777777">
        <w:trPr>
          <w:trHeight w:val="313"/>
        </w:trPr>
        <w:tc>
          <w:tcPr>
            <w:tcW w:w="941" w:type="pct"/>
            <w:vMerge w:val="restart"/>
            <w:tcBorders>
              <w:top w:val="single" w:sz="12" w:space="0" w:color="000000"/>
              <w:left w:val="nil"/>
              <w:bottom w:val="single" w:sz="12" w:space="0" w:color="000000"/>
              <w:right w:val="nil"/>
            </w:tcBorders>
            <w:noWrap/>
            <w:vAlign w:val="center"/>
          </w:tcPr>
          <w:p w14:paraId="466545F8" w14:textId="77777777" w:rsidR="0008758D" w:rsidRDefault="00127F5C">
            <w:pPr>
              <w:jc w:val="center"/>
              <w:rPr>
                <w:rFonts w:eastAsia="SimSun"/>
                <w:b/>
                <w:bCs/>
                <w:sz w:val="20"/>
                <w:szCs w:val="20"/>
              </w:rPr>
            </w:pPr>
            <w:r>
              <w:rPr>
                <w:rFonts w:eastAsia="SimSun"/>
                <w:b/>
                <w:bCs/>
                <w:sz w:val="20"/>
                <w:szCs w:val="20"/>
                <w:lang w:eastAsia="zh-CN"/>
              </w:rPr>
              <w:t>Variable</w:t>
            </w:r>
          </w:p>
        </w:tc>
        <w:tc>
          <w:tcPr>
            <w:tcW w:w="908" w:type="pct"/>
            <w:tcBorders>
              <w:top w:val="single" w:sz="12" w:space="0" w:color="000000"/>
              <w:left w:val="nil"/>
              <w:bottom w:val="nil"/>
              <w:right w:val="nil"/>
            </w:tcBorders>
            <w:noWrap/>
            <w:vAlign w:val="center"/>
          </w:tcPr>
          <w:p w14:paraId="363A24AB" w14:textId="77777777" w:rsidR="0008758D" w:rsidRDefault="00127F5C">
            <w:pPr>
              <w:jc w:val="center"/>
              <w:rPr>
                <w:rFonts w:eastAsia="SimSun"/>
                <w:b/>
                <w:bCs/>
                <w:sz w:val="20"/>
                <w:szCs w:val="20"/>
              </w:rPr>
            </w:pPr>
            <w:r>
              <w:rPr>
                <w:rFonts w:eastAsia="SimSun"/>
                <w:b/>
                <w:bCs/>
                <w:sz w:val="20"/>
                <w:szCs w:val="20"/>
                <w:lang w:eastAsia="zh-CN"/>
              </w:rPr>
              <w:t>(1)</w:t>
            </w:r>
          </w:p>
        </w:tc>
        <w:tc>
          <w:tcPr>
            <w:tcW w:w="1203" w:type="pct"/>
            <w:tcBorders>
              <w:top w:val="single" w:sz="12" w:space="0" w:color="000000"/>
              <w:left w:val="nil"/>
              <w:bottom w:val="nil"/>
              <w:right w:val="nil"/>
            </w:tcBorders>
            <w:noWrap/>
            <w:vAlign w:val="center"/>
          </w:tcPr>
          <w:p w14:paraId="6F9D8B56" w14:textId="77777777" w:rsidR="0008758D" w:rsidRDefault="00127F5C">
            <w:pPr>
              <w:jc w:val="center"/>
              <w:rPr>
                <w:rFonts w:eastAsia="SimSun"/>
                <w:b/>
                <w:bCs/>
                <w:sz w:val="20"/>
                <w:szCs w:val="20"/>
              </w:rPr>
            </w:pPr>
            <w:r>
              <w:rPr>
                <w:rFonts w:eastAsia="SimSun"/>
                <w:b/>
                <w:bCs/>
                <w:sz w:val="20"/>
                <w:szCs w:val="20"/>
                <w:lang w:eastAsia="zh-CN"/>
              </w:rPr>
              <w:t>(2)</w:t>
            </w:r>
          </w:p>
        </w:tc>
        <w:tc>
          <w:tcPr>
            <w:tcW w:w="1028" w:type="pct"/>
            <w:tcBorders>
              <w:top w:val="single" w:sz="12" w:space="0" w:color="000000"/>
              <w:left w:val="nil"/>
              <w:bottom w:val="nil"/>
              <w:right w:val="nil"/>
            </w:tcBorders>
            <w:noWrap/>
            <w:vAlign w:val="center"/>
          </w:tcPr>
          <w:p w14:paraId="09F74C92" w14:textId="77777777" w:rsidR="0008758D" w:rsidRDefault="00127F5C">
            <w:pPr>
              <w:jc w:val="center"/>
              <w:rPr>
                <w:rFonts w:eastAsia="SimSun"/>
                <w:b/>
                <w:bCs/>
                <w:sz w:val="20"/>
                <w:szCs w:val="20"/>
              </w:rPr>
            </w:pPr>
            <w:r>
              <w:rPr>
                <w:rFonts w:eastAsia="SimSun"/>
                <w:b/>
                <w:bCs/>
                <w:sz w:val="20"/>
                <w:szCs w:val="20"/>
                <w:lang w:eastAsia="zh-CN"/>
              </w:rPr>
              <w:t>(3)</w:t>
            </w:r>
          </w:p>
        </w:tc>
        <w:tc>
          <w:tcPr>
            <w:tcW w:w="917" w:type="pct"/>
            <w:tcBorders>
              <w:top w:val="single" w:sz="12" w:space="0" w:color="000000"/>
              <w:left w:val="nil"/>
              <w:bottom w:val="nil"/>
              <w:right w:val="nil"/>
            </w:tcBorders>
            <w:noWrap/>
            <w:vAlign w:val="center"/>
          </w:tcPr>
          <w:p w14:paraId="6F4126EC" w14:textId="77777777" w:rsidR="0008758D" w:rsidRDefault="00127F5C">
            <w:pPr>
              <w:jc w:val="center"/>
              <w:rPr>
                <w:rFonts w:eastAsia="SimSun"/>
                <w:b/>
                <w:bCs/>
                <w:sz w:val="20"/>
                <w:szCs w:val="20"/>
                <w:lang w:eastAsia="zh-CN"/>
              </w:rPr>
            </w:pPr>
            <w:r>
              <w:rPr>
                <w:rFonts w:eastAsia="SimSun" w:hint="eastAsia"/>
                <w:b/>
                <w:bCs/>
                <w:sz w:val="20"/>
                <w:szCs w:val="20"/>
                <w:lang w:eastAsia="zh-CN"/>
              </w:rPr>
              <w:t>(4)</w:t>
            </w:r>
          </w:p>
        </w:tc>
      </w:tr>
      <w:tr w:rsidR="0008758D" w14:paraId="7C19DE0E" w14:textId="77777777">
        <w:trPr>
          <w:trHeight w:val="313"/>
        </w:trPr>
        <w:tc>
          <w:tcPr>
            <w:tcW w:w="941" w:type="pct"/>
            <w:vMerge/>
            <w:tcBorders>
              <w:top w:val="single" w:sz="12" w:space="0" w:color="000000"/>
              <w:left w:val="nil"/>
              <w:bottom w:val="single" w:sz="12" w:space="0" w:color="000000"/>
              <w:right w:val="nil"/>
            </w:tcBorders>
            <w:noWrap/>
            <w:vAlign w:val="center"/>
          </w:tcPr>
          <w:p w14:paraId="741C26A8" w14:textId="77777777" w:rsidR="0008758D" w:rsidRDefault="0008758D">
            <w:pPr>
              <w:jc w:val="center"/>
              <w:rPr>
                <w:rFonts w:eastAsia="SimSun"/>
                <w:b/>
                <w:bCs/>
                <w:sz w:val="20"/>
                <w:szCs w:val="20"/>
              </w:rPr>
            </w:pPr>
          </w:p>
        </w:tc>
        <w:tc>
          <w:tcPr>
            <w:tcW w:w="908" w:type="pct"/>
            <w:tcBorders>
              <w:top w:val="nil"/>
              <w:left w:val="nil"/>
              <w:bottom w:val="single" w:sz="12" w:space="0" w:color="000000"/>
              <w:right w:val="nil"/>
            </w:tcBorders>
            <w:noWrap/>
            <w:vAlign w:val="center"/>
          </w:tcPr>
          <w:p w14:paraId="7703F3F6" w14:textId="77777777" w:rsidR="0008758D" w:rsidRDefault="00127F5C">
            <w:pPr>
              <w:jc w:val="center"/>
              <w:rPr>
                <w:rFonts w:eastAsia="SimSun"/>
                <w:b/>
                <w:bCs/>
                <w:sz w:val="20"/>
                <w:szCs w:val="20"/>
              </w:rPr>
            </w:pPr>
            <w:r>
              <w:rPr>
                <w:rFonts w:eastAsia="SimSun" w:hint="eastAsia"/>
                <w:b/>
                <w:bCs/>
                <w:sz w:val="20"/>
                <w:szCs w:val="20"/>
                <w:lang w:eastAsia="zh-CN"/>
              </w:rPr>
              <w:t>OFDI</w:t>
            </w:r>
          </w:p>
        </w:tc>
        <w:tc>
          <w:tcPr>
            <w:tcW w:w="1203" w:type="pct"/>
            <w:tcBorders>
              <w:top w:val="nil"/>
              <w:left w:val="nil"/>
              <w:bottom w:val="single" w:sz="12" w:space="0" w:color="000000"/>
              <w:right w:val="nil"/>
            </w:tcBorders>
            <w:noWrap/>
            <w:vAlign w:val="center"/>
          </w:tcPr>
          <w:p w14:paraId="6DB32B29" w14:textId="77777777" w:rsidR="0008758D" w:rsidRDefault="00127F5C">
            <w:pPr>
              <w:jc w:val="center"/>
              <w:rPr>
                <w:rFonts w:eastAsia="SimSun"/>
                <w:b/>
                <w:bCs/>
                <w:sz w:val="20"/>
                <w:szCs w:val="20"/>
              </w:rPr>
            </w:pPr>
            <w:r>
              <w:rPr>
                <w:rFonts w:eastAsia="SimSun" w:hint="eastAsia"/>
                <w:b/>
                <w:bCs/>
                <w:sz w:val="20"/>
                <w:szCs w:val="20"/>
                <w:lang w:eastAsia="zh-CN"/>
              </w:rPr>
              <w:t>OFDI</w:t>
            </w:r>
          </w:p>
        </w:tc>
        <w:tc>
          <w:tcPr>
            <w:tcW w:w="1028" w:type="pct"/>
            <w:tcBorders>
              <w:top w:val="nil"/>
              <w:left w:val="nil"/>
              <w:bottom w:val="single" w:sz="12" w:space="0" w:color="000000"/>
              <w:right w:val="nil"/>
            </w:tcBorders>
            <w:noWrap/>
            <w:vAlign w:val="center"/>
          </w:tcPr>
          <w:p w14:paraId="0D8BBB69" w14:textId="77777777" w:rsidR="0008758D" w:rsidRDefault="00127F5C">
            <w:pPr>
              <w:jc w:val="center"/>
              <w:rPr>
                <w:rFonts w:eastAsia="SimSun"/>
                <w:b/>
                <w:bCs/>
                <w:sz w:val="20"/>
                <w:szCs w:val="20"/>
              </w:rPr>
            </w:pPr>
            <w:r>
              <w:rPr>
                <w:rFonts w:eastAsia="SimSun" w:hint="eastAsia"/>
                <w:b/>
                <w:bCs/>
                <w:sz w:val="20"/>
                <w:szCs w:val="20"/>
                <w:lang w:eastAsia="zh-CN"/>
              </w:rPr>
              <w:t>OFDI_F</w:t>
            </w:r>
          </w:p>
        </w:tc>
        <w:tc>
          <w:tcPr>
            <w:tcW w:w="917" w:type="pct"/>
            <w:tcBorders>
              <w:top w:val="nil"/>
              <w:left w:val="nil"/>
              <w:bottom w:val="single" w:sz="12" w:space="0" w:color="000000"/>
              <w:right w:val="nil"/>
            </w:tcBorders>
            <w:noWrap/>
            <w:vAlign w:val="center"/>
          </w:tcPr>
          <w:p w14:paraId="44A153D5" w14:textId="77777777" w:rsidR="0008758D" w:rsidRDefault="00127F5C">
            <w:pPr>
              <w:jc w:val="center"/>
              <w:rPr>
                <w:rFonts w:eastAsia="SimSun"/>
                <w:b/>
                <w:bCs/>
                <w:sz w:val="20"/>
                <w:szCs w:val="20"/>
                <w:lang w:eastAsia="zh-CN"/>
              </w:rPr>
            </w:pPr>
            <w:r>
              <w:rPr>
                <w:rFonts w:eastAsia="SimSun" w:hint="eastAsia"/>
                <w:b/>
                <w:bCs/>
                <w:sz w:val="20"/>
                <w:szCs w:val="20"/>
                <w:lang w:eastAsia="zh-CN"/>
              </w:rPr>
              <w:t>OFDI_F</w:t>
            </w:r>
          </w:p>
        </w:tc>
      </w:tr>
      <w:tr w:rsidR="0008758D" w14:paraId="5BAF93E4" w14:textId="77777777">
        <w:trPr>
          <w:trHeight w:val="313"/>
        </w:trPr>
        <w:tc>
          <w:tcPr>
            <w:tcW w:w="941" w:type="pct"/>
            <w:vMerge w:val="restart"/>
            <w:tcBorders>
              <w:top w:val="nil"/>
              <w:left w:val="nil"/>
              <w:bottom w:val="nil"/>
              <w:right w:val="nil"/>
            </w:tcBorders>
            <w:noWrap/>
            <w:vAlign w:val="center"/>
          </w:tcPr>
          <w:p w14:paraId="0768AA76" w14:textId="77777777" w:rsidR="0008758D" w:rsidRDefault="00127F5C">
            <w:pPr>
              <w:jc w:val="center"/>
              <w:rPr>
                <w:rFonts w:eastAsia="SimSun"/>
                <w:sz w:val="20"/>
                <w:szCs w:val="20"/>
                <w:lang w:eastAsia="zh-CN"/>
              </w:rPr>
            </w:pPr>
            <w:r>
              <w:rPr>
                <w:rFonts w:eastAsia="SimSun"/>
                <w:sz w:val="20"/>
                <w:szCs w:val="20"/>
                <w:lang w:eastAsia="zh-CN"/>
              </w:rPr>
              <w:t>ESG</w:t>
            </w:r>
          </w:p>
        </w:tc>
        <w:tc>
          <w:tcPr>
            <w:tcW w:w="908" w:type="pct"/>
            <w:tcBorders>
              <w:top w:val="nil"/>
              <w:left w:val="nil"/>
              <w:bottom w:val="nil"/>
              <w:right w:val="nil"/>
            </w:tcBorders>
            <w:noWrap/>
            <w:vAlign w:val="center"/>
          </w:tcPr>
          <w:p w14:paraId="55602F95" w14:textId="77777777" w:rsidR="0008758D" w:rsidRDefault="00127F5C">
            <w:pPr>
              <w:jc w:val="center"/>
              <w:rPr>
                <w:rFonts w:eastAsia="SimSun"/>
                <w:sz w:val="20"/>
                <w:szCs w:val="20"/>
                <w:lang w:eastAsia="zh-CN"/>
              </w:rPr>
            </w:pPr>
            <w:r>
              <w:rPr>
                <w:rFonts w:eastAsia="SimSun"/>
                <w:sz w:val="20"/>
                <w:szCs w:val="20"/>
                <w:lang w:eastAsia="zh-CN"/>
              </w:rPr>
              <w:t>3.343***</w:t>
            </w:r>
          </w:p>
        </w:tc>
        <w:tc>
          <w:tcPr>
            <w:tcW w:w="1203" w:type="pct"/>
            <w:tcBorders>
              <w:top w:val="nil"/>
              <w:left w:val="nil"/>
              <w:bottom w:val="nil"/>
              <w:right w:val="nil"/>
            </w:tcBorders>
            <w:noWrap/>
            <w:vAlign w:val="center"/>
          </w:tcPr>
          <w:p w14:paraId="660E423D" w14:textId="77777777" w:rsidR="0008758D" w:rsidRDefault="00127F5C">
            <w:pPr>
              <w:jc w:val="center"/>
              <w:rPr>
                <w:rFonts w:eastAsia="SimSun"/>
                <w:sz w:val="20"/>
                <w:szCs w:val="20"/>
                <w:lang w:eastAsia="zh-CN"/>
              </w:rPr>
            </w:pPr>
            <w:r>
              <w:rPr>
                <w:rFonts w:eastAsia="SimSun"/>
                <w:sz w:val="20"/>
                <w:szCs w:val="20"/>
                <w:lang w:eastAsia="zh-CN"/>
              </w:rPr>
              <w:t>4.078***</w:t>
            </w:r>
          </w:p>
        </w:tc>
        <w:tc>
          <w:tcPr>
            <w:tcW w:w="1028" w:type="pct"/>
            <w:tcBorders>
              <w:top w:val="nil"/>
              <w:left w:val="nil"/>
              <w:bottom w:val="nil"/>
              <w:right w:val="nil"/>
            </w:tcBorders>
            <w:noWrap/>
            <w:vAlign w:val="center"/>
          </w:tcPr>
          <w:p w14:paraId="4C101991" w14:textId="77777777" w:rsidR="0008758D" w:rsidRDefault="00127F5C">
            <w:pPr>
              <w:jc w:val="center"/>
              <w:rPr>
                <w:rFonts w:eastAsia="SimSun"/>
                <w:sz w:val="20"/>
                <w:szCs w:val="20"/>
                <w:lang w:eastAsia="zh-CN"/>
              </w:rPr>
            </w:pPr>
            <w:r>
              <w:rPr>
                <w:rFonts w:eastAsia="SimSun"/>
                <w:sz w:val="20"/>
                <w:szCs w:val="20"/>
                <w:lang w:eastAsia="zh-CN"/>
              </w:rPr>
              <w:t>0.895***</w:t>
            </w:r>
          </w:p>
        </w:tc>
        <w:tc>
          <w:tcPr>
            <w:tcW w:w="917" w:type="pct"/>
            <w:tcBorders>
              <w:top w:val="nil"/>
              <w:left w:val="nil"/>
              <w:bottom w:val="nil"/>
              <w:right w:val="nil"/>
            </w:tcBorders>
            <w:noWrap/>
            <w:vAlign w:val="center"/>
          </w:tcPr>
          <w:p w14:paraId="20B1AFBC" w14:textId="77777777" w:rsidR="0008758D" w:rsidRDefault="00127F5C">
            <w:pPr>
              <w:jc w:val="center"/>
              <w:rPr>
                <w:rFonts w:eastAsia="SimSun"/>
                <w:sz w:val="20"/>
                <w:szCs w:val="20"/>
                <w:lang w:eastAsia="zh-CN"/>
              </w:rPr>
            </w:pPr>
            <w:r>
              <w:rPr>
                <w:rFonts w:eastAsia="SimSun"/>
                <w:sz w:val="20"/>
                <w:szCs w:val="20"/>
                <w:lang w:eastAsia="zh-CN"/>
              </w:rPr>
              <w:t xml:space="preserve">0.905***  </w:t>
            </w:r>
          </w:p>
        </w:tc>
      </w:tr>
      <w:tr w:rsidR="0008758D" w14:paraId="1B34320F" w14:textId="77777777">
        <w:trPr>
          <w:trHeight w:val="244"/>
        </w:trPr>
        <w:tc>
          <w:tcPr>
            <w:tcW w:w="941" w:type="pct"/>
            <w:vMerge/>
            <w:tcBorders>
              <w:top w:val="nil"/>
              <w:left w:val="nil"/>
              <w:bottom w:val="nil"/>
              <w:right w:val="nil"/>
            </w:tcBorders>
            <w:noWrap/>
            <w:vAlign w:val="center"/>
          </w:tcPr>
          <w:p w14:paraId="79C96E70"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3F9EAC02" w14:textId="77777777" w:rsidR="0008758D" w:rsidRDefault="00127F5C">
            <w:pPr>
              <w:jc w:val="center"/>
              <w:rPr>
                <w:rFonts w:eastAsia="SimSun"/>
                <w:sz w:val="20"/>
                <w:szCs w:val="20"/>
                <w:lang w:eastAsia="zh-CN"/>
              </w:rPr>
            </w:pPr>
            <w:r>
              <w:rPr>
                <w:rFonts w:eastAsia="SimSun"/>
                <w:sz w:val="20"/>
                <w:szCs w:val="20"/>
                <w:lang w:eastAsia="zh-CN"/>
              </w:rPr>
              <w:t>(1.050)</w:t>
            </w:r>
          </w:p>
        </w:tc>
        <w:tc>
          <w:tcPr>
            <w:tcW w:w="1203" w:type="pct"/>
            <w:tcBorders>
              <w:top w:val="nil"/>
              <w:left w:val="nil"/>
              <w:bottom w:val="nil"/>
              <w:right w:val="nil"/>
            </w:tcBorders>
            <w:noWrap/>
            <w:vAlign w:val="center"/>
          </w:tcPr>
          <w:p w14:paraId="4539A32A" w14:textId="77777777" w:rsidR="0008758D" w:rsidRDefault="00127F5C">
            <w:pPr>
              <w:jc w:val="center"/>
              <w:rPr>
                <w:rFonts w:eastAsia="SimSun"/>
                <w:sz w:val="20"/>
                <w:szCs w:val="20"/>
                <w:lang w:eastAsia="zh-CN"/>
              </w:rPr>
            </w:pPr>
            <w:r>
              <w:rPr>
                <w:rFonts w:eastAsia="SimSun"/>
                <w:sz w:val="20"/>
                <w:szCs w:val="20"/>
                <w:lang w:eastAsia="zh-CN"/>
              </w:rPr>
              <w:t>(1.181)</w:t>
            </w:r>
          </w:p>
        </w:tc>
        <w:tc>
          <w:tcPr>
            <w:tcW w:w="1028" w:type="pct"/>
            <w:tcBorders>
              <w:top w:val="nil"/>
              <w:left w:val="nil"/>
              <w:bottom w:val="nil"/>
              <w:right w:val="nil"/>
            </w:tcBorders>
            <w:noWrap/>
            <w:vAlign w:val="center"/>
          </w:tcPr>
          <w:p w14:paraId="4F356550" w14:textId="77777777" w:rsidR="0008758D" w:rsidRDefault="00127F5C">
            <w:pPr>
              <w:jc w:val="center"/>
              <w:rPr>
                <w:rFonts w:eastAsia="SimSun"/>
                <w:sz w:val="20"/>
                <w:szCs w:val="20"/>
                <w:lang w:eastAsia="zh-CN"/>
              </w:rPr>
            </w:pPr>
            <w:r>
              <w:rPr>
                <w:rFonts w:eastAsia="SimSun"/>
                <w:sz w:val="20"/>
                <w:szCs w:val="20"/>
                <w:lang w:eastAsia="zh-CN"/>
              </w:rPr>
              <w:t>(0.202)</w:t>
            </w:r>
          </w:p>
        </w:tc>
        <w:tc>
          <w:tcPr>
            <w:tcW w:w="917" w:type="pct"/>
            <w:tcBorders>
              <w:top w:val="nil"/>
              <w:left w:val="nil"/>
              <w:bottom w:val="nil"/>
              <w:right w:val="nil"/>
            </w:tcBorders>
            <w:noWrap/>
            <w:vAlign w:val="center"/>
          </w:tcPr>
          <w:p w14:paraId="4E7C8CD9" w14:textId="77777777" w:rsidR="0008758D" w:rsidRDefault="00127F5C">
            <w:pPr>
              <w:jc w:val="center"/>
              <w:rPr>
                <w:rFonts w:eastAsia="SimSun"/>
                <w:sz w:val="20"/>
                <w:szCs w:val="20"/>
                <w:lang w:eastAsia="zh-CN"/>
              </w:rPr>
            </w:pPr>
            <w:r>
              <w:rPr>
                <w:rFonts w:eastAsia="SimSun"/>
                <w:sz w:val="20"/>
                <w:szCs w:val="20"/>
                <w:lang w:eastAsia="zh-CN"/>
              </w:rPr>
              <w:t>(0.231)</w:t>
            </w:r>
          </w:p>
        </w:tc>
      </w:tr>
      <w:tr w:rsidR="0008758D" w14:paraId="04A23149" w14:textId="77777777">
        <w:trPr>
          <w:trHeight w:val="244"/>
        </w:trPr>
        <w:tc>
          <w:tcPr>
            <w:tcW w:w="941" w:type="pct"/>
            <w:vMerge w:val="restart"/>
            <w:tcBorders>
              <w:top w:val="nil"/>
              <w:left w:val="nil"/>
              <w:bottom w:val="nil"/>
              <w:right w:val="nil"/>
            </w:tcBorders>
            <w:noWrap/>
            <w:vAlign w:val="center"/>
          </w:tcPr>
          <w:p w14:paraId="3C711907" w14:textId="77777777" w:rsidR="0008758D" w:rsidRDefault="00127F5C">
            <w:pPr>
              <w:jc w:val="center"/>
              <w:rPr>
                <w:rFonts w:eastAsia="SimSun"/>
                <w:sz w:val="20"/>
                <w:szCs w:val="20"/>
                <w:lang w:eastAsia="zh-CN"/>
              </w:rPr>
            </w:pPr>
            <w:r>
              <w:rPr>
                <w:rFonts w:eastAsia="SimSun" w:hint="eastAsia"/>
                <w:sz w:val="20"/>
                <w:szCs w:val="20"/>
                <w:lang w:eastAsia="zh-CN"/>
              </w:rPr>
              <w:t>DA</w:t>
            </w:r>
          </w:p>
        </w:tc>
        <w:tc>
          <w:tcPr>
            <w:tcW w:w="908" w:type="pct"/>
            <w:tcBorders>
              <w:top w:val="nil"/>
              <w:left w:val="nil"/>
              <w:bottom w:val="nil"/>
              <w:right w:val="nil"/>
            </w:tcBorders>
            <w:noWrap/>
            <w:vAlign w:val="center"/>
          </w:tcPr>
          <w:p w14:paraId="59DA087E"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1C84B9A5" w14:textId="77777777" w:rsidR="0008758D" w:rsidRDefault="00127F5C">
            <w:pPr>
              <w:jc w:val="center"/>
              <w:rPr>
                <w:rFonts w:eastAsia="SimSun"/>
                <w:sz w:val="20"/>
                <w:szCs w:val="20"/>
                <w:lang w:eastAsia="zh-CN"/>
              </w:rPr>
            </w:pPr>
            <w:r>
              <w:rPr>
                <w:rFonts w:eastAsia="SimSun"/>
                <w:sz w:val="20"/>
                <w:szCs w:val="20"/>
                <w:lang w:eastAsia="zh-CN"/>
              </w:rPr>
              <w:t>1.834**</w:t>
            </w:r>
          </w:p>
        </w:tc>
        <w:tc>
          <w:tcPr>
            <w:tcW w:w="1028" w:type="pct"/>
            <w:tcBorders>
              <w:top w:val="nil"/>
              <w:left w:val="nil"/>
              <w:bottom w:val="nil"/>
              <w:right w:val="nil"/>
            </w:tcBorders>
            <w:noWrap/>
            <w:vAlign w:val="center"/>
          </w:tcPr>
          <w:p w14:paraId="2AD2A9B0"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6EC487FF" w14:textId="77777777" w:rsidR="0008758D" w:rsidRDefault="00127F5C">
            <w:pPr>
              <w:jc w:val="center"/>
              <w:rPr>
                <w:rFonts w:eastAsia="SimSun"/>
                <w:sz w:val="20"/>
                <w:szCs w:val="20"/>
                <w:lang w:eastAsia="zh-CN"/>
              </w:rPr>
            </w:pPr>
            <w:r>
              <w:rPr>
                <w:rFonts w:eastAsia="SimSun"/>
                <w:sz w:val="20"/>
                <w:szCs w:val="20"/>
                <w:lang w:eastAsia="zh-CN"/>
              </w:rPr>
              <w:t xml:space="preserve">0.219*  </w:t>
            </w:r>
          </w:p>
        </w:tc>
      </w:tr>
      <w:tr w:rsidR="0008758D" w14:paraId="4DBFC9EB" w14:textId="77777777">
        <w:trPr>
          <w:trHeight w:val="244"/>
        </w:trPr>
        <w:tc>
          <w:tcPr>
            <w:tcW w:w="941" w:type="pct"/>
            <w:vMerge/>
            <w:tcBorders>
              <w:top w:val="nil"/>
              <w:left w:val="nil"/>
              <w:bottom w:val="nil"/>
              <w:right w:val="nil"/>
            </w:tcBorders>
            <w:noWrap/>
            <w:vAlign w:val="center"/>
          </w:tcPr>
          <w:p w14:paraId="5D496382"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637B4F96"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0CA913C6" w14:textId="77777777" w:rsidR="0008758D" w:rsidRDefault="00127F5C">
            <w:pPr>
              <w:jc w:val="center"/>
              <w:rPr>
                <w:rFonts w:eastAsia="SimSun"/>
                <w:sz w:val="20"/>
                <w:szCs w:val="20"/>
                <w:lang w:eastAsia="zh-CN"/>
              </w:rPr>
            </w:pPr>
            <w:r>
              <w:rPr>
                <w:rFonts w:eastAsia="SimSun"/>
                <w:sz w:val="20"/>
                <w:szCs w:val="20"/>
                <w:lang w:eastAsia="zh-CN"/>
              </w:rPr>
              <w:t>(0.734)</w:t>
            </w:r>
          </w:p>
        </w:tc>
        <w:tc>
          <w:tcPr>
            <w:tcW w:w="1028" w:type="pct"/>
            <w:tcBorders>
              <w:top w:val="nil"/>
              <w:left w:val="nil"/>
              <w:bottom w:val="nil"/>
              <w:right w:val="nil"/>
            </w:tcBorders>
            <w:noWrap/>
            <w:vAlign w:val="center"/>
          </w:tcPr>
          <w:p w14:paraId="4D684415"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3408B977" w14:textId="77777777" w:rsidR="0008758D" w:rsidRDefault="00127F5C">
            <w:pPr>
              <w:jc w:val="center"/>
              <w:rPr>
                <w:rFonts w:eastAsia="SimSun"/>
                <w:sz w:val="20"/>
                <w:szCs w:val="20"/>
                <w:lang w:eastAsia="zh-CN"/>
              </w:rPr>
            </w:pPr>
            <w:r>
              <w:rPr>
                <w:rFonts w:eastAsia="SimSun"/>
                <w:sz w:val="20"/>
                <w:szCs w:val="20"/>
                <w:lang w:eastAsia="zh-CN"/>
              </w:rPr>
              <w:t>(0.123)</w:t>
            </w:r>
          </w:p>
        </w:tc>
      </w:tr>
      <w:tr w:rsidR="0008758D" w14:paraId="36EEF81A" w14:textId="77777777">
        <w:trPr>
          <w:trHeight w:val="244"/>
        </w:trPr>
        <w:tc>
          <w:tcPr>
            <w:tcW w:w="941" w:type="pct"/>
            <w:vMerge w:val="restart"/>
            <w:tcBorders>
              <w:top w:val="nil"/>
              <w:left w:val="nil"/>
              <w:bottom w:val="nil"/>
              <w:right w:val="nil"/>
            </w:tcBorders>
            <w:shd w:val="clear" w:color="auto" w:fill="FFFFFF"/>
            <w:noWrap/>
            <w:vAlign w:val="center"/>
          </w:tcPr>
          <w:p w14:paraId="51B22558" w14:textId="77777777" w:rsidR="0008758D" w:rsidRDefault="00127F5C">
            <w:pPr>
              <w:jc w:val="center"/>
              <w:rPr>
                <w:rFonts w:eastAsia="SimSun"/>
                <w:sz w:val="20"/>
                <w:szCs w:val="20"/>
                <w:lang w:eastAsia="zh-CN"/>
              </w:rPr>
            </w:pPr>
            <w:r>
              <w:rPr>
                <w:rFonts w:eastAsia="SimSun" w:hint="eastAsia"/>
                <w:sz w:val="20"/>
                <w:szCs w:val="20"/>
                <w:lang w:eastAsia="zh-CN"/>
              </w:rPr>
              <w:t>CR</w:t>
            </w:r>
          </w:p>
        </w:tc>
        <w:tc>
          <w:tcPr>
            <w:tcW w:w="908" w:type="pct"/>
            <w:tcBorders>
              <w:top w:val="nil"/>
              <w:left w:val="nil"/>
              <w:bottom w:val="nil"/>
              <w:right w:val="nil"/>
            </w:tcBorders>
            <w:noWrap/>
            <w:vAlign w:val="center"/>
          </w:tcPr>
          <w:p w14:paraId="3A4F8D2A"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18E76930" w14:textId="77777777" w:rsidR="0008758D" w:rsidRDefault="00127F5C">
            <w:pPr>
              <w:jc w:val="center"/>
              <w:rPr>
                <w:rFonts w:eastAsia="SimSun"/>
                <w:sz w:val="20"/>
                <w:szCs w:val="20"/>
                <w:lang w:eastAsia="zh-CN"/>
              </w:rPr>
            </w:pPr>
            <w:r>
              <w:rPr>
                <w:rFonts w:eastAsia="SimSun"/>
                <w:sz w:val="20"/>
                <w:szCs w:val="20"/>
                <w:lang w:eastAsia="zh-CN"/>
              </w:rPr>
              <w:t>0.234**</w:t>
            </w:r>
          </w:p>
        </w:tc>
        <w:tc>
          <w:tcPr>
            <w:tcW w:w="1028" w:type="pct"/>
            <w:tcBorders>
              <w:top w:val="nil"/>
              <w:left w:val="nil"/>
              <w:bottom w:val="nil"/>
              <w:right w:val="nil"/>
            </w:tcBorders>
            <w:noWrap/>
            <w:vAlign w:val="center"/>
          </w:tcPr>
          <w:p w14:paraId="00BB239E"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26521B53" w14:textId="77777777" w:rsidR="0008758D" w:rsidRDefault="00127F5C">
            <w:pPr>
              <w:jc w:val="center"/>
              <w:rPr>
                <w:rFonts w:eastAsia="SimSun"/>
                <w:sz w:val="20"/>
                <w:szCs w:val="20"/>
                <w:lang w:eastAsia="zh-CN"/>
              </w:rPr>
            </w:pPr>
            <w:r>
              <w:rPr>
                <w:rFonts w:eastAsia="SimSun"/>
                <w:sz w:val="20"/>
                <w:szCs w:val="20"/>
                <w:lang w:eastAsia="zh-CN"/>
              </w:rPr>
              <w:t xml:space="preserve">0.0158 </w:t>
            </w:r>
          </w:p>
        </w:tc>
      </w:tr>
      <w:tr w:rsidR="0008758D" w14:paraId="7BC348F4" w14:textId="77777777">
        <w:trPr>
          <w:trHeight w:val="236"/>
        </w:trPr>
        <w:tc>
          <w:tcPr>
            <w:tcW w:w="941" w:type="pct"/>
            <w:vMerge/>
            <w:tcBorders>
              <w:top w:val="nil"/>
              <w:left w:val="nil"/>
              <w:bottom w:val="nil"/>
              <w:right w:val="nil"/>
            </w:tcBorders>
            <w:shd w:val="clear" w:color="auto" w:fill="FFFFFF"/>
            <w:noWrap/>
            <w:vAlign w:val="center"/>
          </w:tcPr>
          <w:p w14:paraId="08B0BE39"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7F7E587C"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2D158DB3" w14:textId="77777777" w:rsidR="0008758D" w:rsidRDefault="00127F5C">
            <w:pPr>
              <w:jc w:val="center"/>
              <w:rPr>
                <w:rFonts w:eastAsia="SimSun"/>
                <w:sz w:val="20"/>
                <w:szCs w:val="20"/>
                <w:lang w:eastAsia="zh-CN"/>
              </w:rPr>
            </w:pPr>
            <w:r>
              <w:rPr>
                <w:rFonts w:eastAsia="SimSun"/>
                <w:sz w:val="20"/>
                <w:szCs w:val="20"/>
                <w:lang w:eastAsia="zh-CN"/>
              </w:rPr>
              <w:t>(0.0989)</w:t>
            </w:r>
          </w:p>
        </w:tc>
        <w:tc>
          <w:tcPr>
            <w:tcW w:w="1028" w:type="pct"/>
            <w:tcBorders>
              <w:top w:val="nil"/>
              <w:left w:val="nil"/>
              <w:bottom w:val="nil"/>
              <w:right w:val="nil"/>
            </w:tcBorders>
            <w:noWrap/>
            <w:vAlign w:val="center"/>
          </w:tcPr>
          <w:p w14:paraId="2EE9E139"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5D720F56" w14:textId="77777777" w:rsidR="0008758D" w:rsidRDefault="00127F5C">
            <w:pPr>
              <w:jc w:val="center"/>
              <w:rPr>
                <w:rFonts w:eastAsia="SimSun"/>
                <w:sz w:val="20"/>
                <w:szCs w:val="20"/>
                <w:lang w:eastAsia="zh-CN"/>
              </w:rPr>
            </w:pPr>
            <w:r>
              <w:rPr>
                <w:rFonts w:eastAsia="SimSun"/>
                <w:sz w:val="20"/>
                <w:szCs w:val="20"/>
                <w:lang w:eastAsia="zh-CN"/>
              </w:rPr>
              <w:t>(0.0165)</w:t>
            </w:r>
          </w:p>
        </w:tc>
      </w:tr>
      <w:tr w:rsidR="0008758D" w14:paraId="3C07AC51" w14:textId="77777777">
        <w:trPr>
          <w:trHeight w:val="244"/>
        </w:trPr>
        <w:tc>
          <w:tcPr>
            <w:tcW w:w="941" w:type="pct"/>
            <w:vMerge w:val="restart"/>
            <w:tcBorders>
              <w:top w:val="nil"/>
              <w:left w:val="nil"/>
              <w:bottom w:val="nil"/>
              <w:right w:val="nil"/>
            </w:tcBorders>
            <w:shd w:val="clear" w:color="auto" w:fill="FFFFFF"/>
            <w:noWrap/>
            <w:vAlign w:val="center"/>
          </w:tcPr>
          <w:p w14:paraId="0DD2BC5E" w14:textId="77777777" w:rsidR="0008758D" w:rsidRDefault="00127F5C">
            <w:pPr>
              <w:jc w:val="center"/>
              <w:rPr>
                <w:rFonts w:eastAsia="SimSun"/>
                <w:sz w:val="20"/>
                <w:szCs w:val="20"/>
                <w:lang w:eastAsia="zh-CN"/>
              </w:rPr>
            </w:pPr>
            <w:r>
              <w:rPr>
                <w:rFonts w:eastAsia="SimSun" w:hint="eastAsia"/>
                <w:sz w:val="20"/>
                <w:szCs w:val="20"/>
                <w:lang w:eastAsia="zh-CN"/>
              </w:rPr>
              <w:t>FA</w:t>
            </w:r>
          </w:p>
        </w:tc>
        <w:tc>
          <w:tcPr>
            <w:tcW w:w="908" w:type="pct"/>
            <w:tcBorders>
              <w:top w:val="nil"/>
              <w:left w:val="nil"/>
              <w:bottom w:val="nil"/>
              <w:right w:val="nil"/>
            </w:tcBorders>
            <w:noWrap/>
            <w:vAlign w:val="center"/>
          </w:tcPr>
          <w:p w14:paraId="68912236"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22DA5712" w14:textId="77777777" w:rsidR="0008758D" w:rsidRDefault="00127F5C">
            <w:pPr>
              <w:jc w:val="center"/>
              <w:rPr>
                <w:rFonts w:eastAsia="SimSun"/>
                <w:sz w:val="20"/>
                <w:szCs w:val="20"/>
                <w:lang w:eastAsia="zh-CN"/>
              </w:rPr>
            </w:pPr>
            <w:r>
              <w:rPr>
                <w:rFonts w:eastAsia="SimSun"/>
                <w:sz w:val="20"/>
                <w:szCs w:val="20"/>
                <w:lang w:eastAsia="zh-CN"/>
              </w:rPr>
              <w:t>-1.871***</w:t>
            </w:r>
          </w:p>
        </w:tc>
        <w:tc>
          <w:tcPr>
            <w:tcW w:w="1028" w:type="pct"/>
            <w:tcBorders>
              <w:top w:val="nil"/>
              <w:left w:val="nil"/>
              <w:bottom w:val="nil"/>
              <w:right w:val="nil"/>
            </w:tcBorders>
            <w:noWrap/>
            <w:vAlign w:val="center"/>
          </w:tcPr>
          <w:p w14:paraId="2D4B2522"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36DC49CA" w14:textId="77777777" w:rsidR="0008758D" w:rsidRDefault="00127F5C">
            <w:pPr>
              <w:jc w:val="center"/>
              <w:rPr>
                <w:rFonts w:eastAsia="SimSun"/>
                <w:sz w:val="20"/>
                <w:szCs w:val="20"/>
                <w:lang w:eastAsia="zh-CN"/>
              </w:rPr>
            </w:pPr>
            <w:r>
              <w:rPr>
                <w:rFonts w:eastAsia="SimSun"/>
                <w:sz w:val="20"/>
                <w:szCs w:val="20"/>
                <w:lang w:eastAsia="zh-CN"/>
              </w:rPr>
              <w:t>-0.572***</w:t>
            </w:r>
          </w:p>
        </w:tc>
      </w:tr>
      <w:tr w:rsidR="0008758D" w14:paraId="685E72A4" w14:textId="77777777">
        <w:trPr>
          <w:trHeight w:val="244"/>
        </w:trPr>
        <w:tc>
          <w:tcPr>
            <w:tcW w:w="941" w:type="pct"/>
            <w:vMerge/>
            <w:tcBorders>
              <w:top w:val="nil"/>
              <w:left w:val="nil"/>
              <w:bottom w:val="nil"/>
              <w:right w:val="nil"/>
            </w:tcBorders>
            <w:shd w:val="clear" w:color="auto" w:fill="FFFFFF"/>
            <w:noWrap/>
            <w:vAlign w:val="center"/>
          </w:tcPr>
          <w:p w14:paraId="0D6A626A"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454E3ED2"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65CCCE9C" w14:textId="77777777" w:rsidR="0008758D" w:rsidRDefault="00127F5C">
            <w:pPr>
              <w:jc w:val="center"/>
              <w:rPr>
                <w:rFonts w:eastAsia="SimSun"/>
                <w:sz w:val="20"/>
                <w:szCs w:val="20"/>
                <w:lang w:eastAsia="zh-CN"/>
              </w:rPr>
            </w:pPr>
            <w:r>
              <w:rPr>
                <w:rFonts w:eastAsia="SimSun"/>
                <w:sz w:val="20"/>
                <w:szCs w:val="20"/>
                <w:lang w:eastAsia="zh-CN"/>
              </w:rPr>
              <w:t>(0.808)</w:t>
            </w:r>
          </w:p>
        </w:tc>
        <w:tc>
          <w:tcPr>
            <w:tcW w:w="1028" w:type="pct"/>
            <w:tcBorders>
              <w:top w:val="nil"/>
              <w:left w:val="nil"/>
              <w:bottom w:val="nil"/>
              <w:right w:val="nil"/>
            </w:tcBorders>
            <w:noWrap/>
            <w:vAlign w:val="center"/>
          </w:tcPr>
          <w:p w14:paraId="7D1F2C15"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2FEB13AC" w14:textId="77777777" w:rsidR="0008758D" w:rsidRDefault="00127F5C">
            <w:pPr>
              <w:jc w:val="center"/>
              <w:rPr>
                <w:rFonts w:eastAsia="SimSun"/>
                <w:sz w:val="20"/>
                <w:szCs w:val="20"/>
                <w:lang w:eastAsia="zh-CN"/>
              </w:rPr>
            </w:pPr>
            <w:r>
              <w:rPr>
                <w:rFonts w:eastAsia="SimSun"/>
                <w:sz w:val="20"/>
                <w:szCs w:val="20"/>
                <w:lang w:eastAsia="zh-CN"/>
              </w:rPr>
              <w:t>(0.151)</w:t>
            </w:r>
          </w:p>
        </w:tc>
      </w:tr>
      <w:tr w:rsidR="0008758D" w14:paraId="6AC184B8" w14:textId="77777777">
        <w:trPr>
          <w:trHeight w:val="244"/>
        </w:trPr>
        <w:tc>
          <w:tcPr>
            <w:tcW w:w="941" w:type="pct"/>
            <w:vMerge w:val="restart"/>
            <w:tcBorders>
              <w:top w:val="nil"/>
              <w:left w:val="nil"/>
              <w:bottom w:val="nil"/>
              <w:right w:val="nil"/>
            </w:tcBorders>
            <w:shd w:val="clear" w:color="auto" w:fill="FFFFFF"/>
            <w:noWrap/>
            <w:vAlign w:val="center"/>
          </w:tcPr>
          <w:p w14:paraId="0A60F086" w14:textId="77777777" w:rsidR="0008758D" w:rsidRDefault="00127F5C">
            <w:pPr>
              <w:jc w:val="center"/>
              <w:rPr>
                <w:rFonts w:eastAsia="SimSun"/>
                <w:sz w:val="20"/>
                <w:szCs w:val="20"/>
                <w:lang w:eastAsia="zh-CN"/>
              </w:rPr>
            </w:pPr>
            <w:r>
              <w:rPr>
                <w:rFonts w:eastAsia="SimSun" w:hint="eastAsia"/>
                <w:sz w:val="20"/>
                <w:szCs w:val="20"/>
                <w:lang w:eastAsia="zh-CN"/>
              </w:rPr>
              <w:t>ROI</w:t>
            </w:r>
          </w:p>
        </w:tc>
        <w:tc>
          <w:tcPr>
            <w:tcW w:w="908" w:type="pct"/>
            <w:tcBorders>
              <w:top w:val="nil"/>
              <w:left w:val="nil"/>
              <w:bottom w:val="nil"/>
              <w:right w:val="nil"/>
            </w:tcBorders>
            <w:noWrap/>
            <w:vAlign w:val="center"/>
          </w:tcPr>
          <w:p w14:paraId="43F7EA38"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18E14043" w14:textId="77777777" w:rsidR="0008758D" w:rsidRDefault="00127F5C">
            <w:pPr>
              <w:jc w:val="center"/>
              <w:rPr>
                <w:rFonts w:eastAsia="SimSun"/>
                <w:sz w:val="20"/>
                <w:szCs w:val="20"/>
                <w:lang w:eastAsia="zh-CN"/>
              </w:rPr>
            </w:pPr>
            <w:r>
              <w:rPr>
                <w:rFonts w:eastAsia="SimSun"/>
                <w:sz w:val="20"/>
                <w:szCs w:val="20"/>
                <w:lang w:eastAsia="zh-CN"/>
              </w:rPr>
              <w:t>0.0462</w:t>
            </w:r>
          </w:p>
        </w:tc>
        <w:tc>
          <w:tcPr>
            <w:tcW w:w="1028" w:type="pct"/>
            <w:tcBorders>
              <w:top w:val="nil"/>
              <w:left w:val="nil"/>
              <w:bottom w:val="nil"/>
              <w:right w:val="nil"/>
            </w:tcBorders>
            <w:noWrap/>
            <w:vAlign w:val="center"/>
          </w:tcPr>
          <w:p w14:paraId="146AFC9F"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676A0EAA" w14:textId="77777777" w:rsidR="0008758D" w:rsidRDefault="00127F5C">
            <w:pPr>
              <w:jc w:val="center"/>
              <w:rPr>
                <w:rFonts w:eastAsia="SimSun"/>
                <w:sz w:val="20"/>
                <w:szCs w:val="20"/>
                <w:lang w:eastAsia="zh-CN"/>
              </w:rPr>
            </w:pPr>
            <w:r>
              <w:rPr>
                <w:rFonts w:eastAsia="SimSun"/>
                <w:sz w:val="20"/>
                <w:szCs w:val="20"/>
                <w:lang w:eastAsia="zh-CN"/>
              </w:rPr>
              <w:t>0.00432</w:t>
            </w:r>
          </w:p>
        </w:tc>
      </w:tr>
      <w:tr w:rsidR="0008758D" w14:paraId="1257601B" w14:textId="77777777">
        <w:trPr>
          <w:trHeight w:val="244"/>
        </w:trPr>
        <w:tc>
          <w:tcPr>
            <w:tcW w:w="941" w:type="pct"/>
            <w:vMerge/>
            <w:tcBorders>
              <w:top w:val="nil"/>
              <w:left w:val="nil"/>
              <w:bottom w:val="nil"/>
              <w:right w:val="nil"/>
            </w:tcBorders>
            <w:shd w:val="clear" w:color="auto" w:fill="FFFFFF"/>
            <w:noWrap/>
            <w:vAlign w:val="center"/>
          </w:tcPr>
          <w:p w14:paraId="1D0D7571"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285F276D"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65783CFD" w14:textId="77777777" w:rsidR="0008758D" w:rsidRDefault="00127F5C">
            <w:pPr>
              <w:jc w:val="center"/>
              <w:rPr>
                <w:rFonts w:eastAsia="SimSun"/>
                <w:sz w:val="20"/>
                <w:szCs w:val="20"/>
                <w:lang w:eastAsia="zh-CN"/>
              </w:rPr>
            </w:pPr>
            <w:r>
              <w:rPr>
                <w:rFonts w:eastAsia="SimSun"/>
                <w:sz w:val="20"/>
                <w:szCs w:val="20"/>
                <w:lang w:eastAsia="zh-CN"/>
              </w:rPr>
              <w:t>(0.0413)</w:t>
            </w:r>
          </w:p>
        </w:tc>
        <w:tc>
          <w:tcPr>
            <w:tcW w:w="1028" w:type="pct"/>
            <w:tcBorders>
              <w:top w:val="nil"/>
              <w:left w:val="nil"/>
              <w:bottom w:val="nil"/>
              <w:right w:val="nil"/>
            </w:tcBorders>
            <w:noWrap/>
            <w:vAlign w:val="center"/>
          </w:tcPr>
          <w:p w14:paraId="50C89F2F"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3B8FAFC8" w14:textId="77777777" w:rsidR="0008758D" w:rsidRDefault="00127F5C">
            <w:pPr>
              <w:jc w:val="center"/>
              <w:rPr>
                <w:rFonts w:eastAsia="SimSun"/>
                <w:sz w:val="20"/>
                <w:szCs w:val="20"/>
                <w:lang w:eastAsia="zh-CN"/>
              </w:rPr>
            </w:pPr>
            <w:r>
              <w:rPr>
                <w:rFonts w:eastAsia="SimSun"/>
                <w:sz w:val="20"/>
                <w:szCs w:val="20"/>
                <w:lang w:eastAsia="zh-CN"/>
              </w:rPr>
              <w:t>(0.00661)</w:t>
            </w:r>
          </w:p>
        </w:tc>
      </w:tr>
      <w:tr w:rsidR="0008758D" w14:paraId="49F81687" w14:textId="77777777">
        <w:trPr>
          <w:trHeight w:val="244"/>
        </w:trPr>
        <w:tc>
          <w:tcPr>
            <w:tcW w:w="941" w:type="pct"/>
            <w:vMerge w:val="restart"/>
            <w:tcBorders>
              <w:top w:val="nil"/>
              <w:left w:val="nil"/>
              <w:bottom w:val="nil"/>
              <w:right w:val="nil"/>
            </w:tcBorders>
            <w:shd w:val="clear" w:color="auto" w:fill="FFFFFF"/>
            <w:noWrap/>
            <w:vAlign w:val="center"/>
          </w:tcPr>
          <w:p w14:paraId="3D0E941F" w14:textId="77777777" w:rsidR="0008758D" w:rsidRDefault="00127F5C">
            <w:pPr>
              <w:jc w:val="center"/>
              <w:rPr>
                <w:rFonts w:eastAsia="SimSun"/>
                <w:sz w:val="20"/>
                <w:szCs w:val="20"/>
                <w:lang w:eastAsia="zh-CN"/>
              </w:rPr>
            </w:pPr>
            <w:r>
              <w:rPr>
                <w:rFonts w:eastAsia="SimSun" w:hint="eastAsia"/>
                <w:sz w:val="20"/>
                <w:szCs w:val="20"/>
                <w:lang w:eastAsia="zh-CN"/>
              </w:rPr>
              <w:t>HTI</w:t>
            </w:r>
          </w:p>
        </w:tc>
        <w:tc>
          <w:tcPr>
            <w:tcW w:w="908" w:type="pct"/>
            <w:tcBorders>
              <w:top w:val="nil"/>
              <w:left w:val="nil"/>
              <w:bottom w:val="nil"/>
              <w:right w:val="nil"/>
            </w:tcBorders>
            <w:noWrap/>
            <w:vAlign w:val="center"/>
          </w:tcPr>
          <w:p w14:paraId="73553875"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2763E07C" w14:textId="77777777" w:rsidR="0008758D" w:rsidRDefault="00127F5C">
            <w:pPr>
              <w:jc w:val="center"/>
              <w:rPr>
                <w:rFonts w:eastAsia="SimSun"/>
                <w:sz w:val="20"/>
                <w:szCs w:val="20"/>
                <w:lang w:eastAsia="zh-CN"/>
              </w:rPr>
            </w:pPr>
            <w:r>
              <w:rPr>
                <w:rFonts w:eastAsia="SimSun"/>
                <w:sz w:val="20"/>
                <w:szCs w:val="20"/>
                <w:lang w:eastAsia="zh-CN"/>
              </w:rPr>
              <w:t>1.072***</w:t>
            </w:r>
          </w:p>
        </w:tc>
        <w:tc>
          <w:tcPr>
            <w:tcW w:w="1028" w:type="pct"/>
            <w:tcBorders>
              <w:top w:val="nil"/>
              <w:left w:val="nil"/>
              <w:bottom w:val="nil"/>
              <w:right w:val="nil"/>
            </w:tcBorders>
            <w:noWrap/>
            <w:vAlign w:val="center"/>
          </w:tcPr>
          <w:p w14:paraId="3DA7B1D0"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655D5E50" w14:textId="77777777" w:rsidR="0008758D" w:rsidRDefault="00127F5C">
            <w:pPr>
              <w:jc w:val="center"/>
              <w:rPr>
                <w:rFonts w:eastAsia="SimSun"/>
                <w:sz w:val="20"/>
                <w:szCs w:val="20"/>
                <w:lang w:eastAsia="zh-CN"/>
              </w:rPr>
            </w:pPr>
            <w:r>
              <w:rPr>
                <w:rFonts w:eastAsia="SimSun"/>
                <w:sz w:val="20"/>
                <w:szCs w:val="20"/>
                <w:lang w:eastAsia="zh-CN"/>
              </w:rPr>
              <w:t>0.00356</w:t>
            </w:r>
          </w:p>
        </w:tc>
      </w:tr>
      <w:tr w:rsidR="0008758D" w14:paraId="48421FA1" w14:textId="77777777">
        <w:trPr>
          <w:trHeight w:val="244"/>
        </w:trPr>
        <w:tc>
          <w:tcPr>
            <w:tcW w:w="941" w:type="pct"/>
            <w:vMerge/>
            <w:tcBorders>
              <w:top w:val="nil"/>
              <w:left w:val="nil"/>
              <w:bottom w:val="nil"/>
              <w:right w:val="nil"/>
            </w:tcBorders>
            <w:noWrap/>
            <w:vAlign w:val="center"/>
          </w:tcPr>
          <w:p w14:paraId="4D850F5C"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04AB1FDB"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33F1C976" w14:textId="77777777" w:rsidR="0008758D" w:rsidRDefault="00127F5C">
            <w:pPr>
              <w:jc w:val="center"/>
              <w:rPr>
                <w:rFonts w:eastAsia="SimSun"/>
                <w:sz w:val="20"/>
                <w:szCs w:val="20"/>
                <w:lang w:eastAsia="zh-CN"/>
              </w:rPr>
            </w:pPr>
            <w:r>
              <w:rPr>
                <w:rFonts w:eastAsia="SimSun"/>
                <w:sz w:val="20"/>
                <w:szCs w:val="20"/>
                <w:lang w:eastAsia="zh-CN"/>
              </w:rPr>
              <w:t>(0.445)</w:t>
            </w:r>
          </w:p>
        </w:tc>
        <w:tc>
          <w:tcPr>
            <w:tcW w:w="1028" w:type="pct"/>
            <w:tcBorders>
              <w:top w:val="nil"/>
              <w:left w:val="nil"/>
              <w:bottom w:val="nil"/>
              <w:right w:val="nil"/>
            </w:tcBorders>
            <w:noWrap/>
            <w:vAlign w:val="center"/>
          </w:tcPr>
          <w:p w14:paraId="5DCA707C"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3A4A1CDD" w14:textId="77777777" w:rsidR="0008758D" w:rsidRDefault="00127F5C">
            <w:pPr>
              <w:jc w:val="center"/>
              <w:rPr>
                <w:rFonts w:eastAsia="SimSun"/>
                <w:sz w:val="20"/>
                <w:szCs w:val="20"/>
                <w:lang w:eastAsia="zh-CN"/>
              </w:rPr>
            </w:pPr>
            <w:r>
              <w:rPr>
                <w:rFonts w:eastAsia="SimSun"/>
                <w:sz w:val="20"/>
                <w:szCs w:val="20"/>
                <w:lang w:eastAsia="zh-CN"/>
              </w:rPr>
              <w:t>(0.0739)</w:t>
            </w:r>
          </w:p>
        </w:tc>
      </w:tr>
      <w:tr w:rsidR="0008758D" w14:paraId="636865F9" w14:textId="77777777">
        <w:trPr>
          <w:trHeight w:val="244"/>
        </w:trPr>
        <w:tc>
          <w:tcPr>
            <w:tcW w:w="941" w:type="pct"/>
            <w:vMerge w:val="restart"/>
            <w:tcBorders>
              <w:top w:val="nil"/>
              <w:left w:val="nil"/>
              <w:bottom w:val="nil"/>
              <w:right w:val="nil"/>
            </w:tcBorders>
            <w:noWrap/>
            <w:vAlign w:val="center"/>
          </w:tcPr>
          <w:p w14:paraId="2BC4390F" w14:textId="77777777" w:rsidR="0008758D" w:rsidRDefault="00127F5C">
            <w:pPr>
              <w:jc w:val="center"/>
              <w:rPr>
                <w:rFonts w:eastAsia="SimSun"/>
                <w:sz w:val="20"/>
                <w:szCs w:val="20"/>
                <w:lang w:eastAsia="zh-CN"/>
              </w:rPr>
            </w:pPr>
            <w:r>
              <w:rPr>
                <w:rFonts w:eastAsia="SimSun" w:hint="eastAsia"/>
                <w:sz w:val="20"/>
                <w:szCs w:val="20"/>
                <w:lang w:eastAsia="zh-CN"/>
              </w:rPr>
              <w:t>GA</w:t>
            </w:r>
          </w:p>
        </w:tc>
        <w:tc>
          <w:tcPr>
            <w:tcW w:w="908" w:type="pct"/>
            <w:tcBorders>
              <w:top w:val="nil"/>
              <w:left w:val="nil"/>
              <w:bottom w:val="nil"/>
              <w:right w:val="nil"/>
            </w:tcBorders>
            <w:noWrap/>
            <w:vAlign w:val="center"/>
          </w:tcPr>
          <w:p w14:paraId="21CDB890"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6C2E240F" w14:textId="77777777" w:rsidR="0008758D" w:rsidRDefault="00127F5C">
            <w:pPr>
              <w:jc w:val="center"/>
              <w:rPr>
                <w:rFonts w:eastAsia="SimSun"/>
                <w:sz w:val="20"/>
                <w:szCs w:val="20"/>
                <w:lang w:eastAsia="zh-CN"/>
              </w:rPr>
            </w:pPr>
            <w:r>
              <w:rPr>
                <w:rFonts w:eastAsia="SimSun"/>
                <w:sz w:val="20"/>
                <w:szCs w:val="20"/>
                <w:lang w:eastAsia="zh-CN"/>
              </w:rPr>
              <w:t>0.669***</w:t>
            </w:r>
          </w:p>
        </w:tc>
        <w:tc>
          <w:tcPr>
            <w:tcW w:w="1028" w:type="pct"/>
            <w:tcBorders>
              <w:top w:val="nil"/>
              <w:left w:val="nil"/>
              <w:bottom w:val="nil"/>
              <w:right w:val="nil"/>
            </w:tcBorders>
            <w:noWrap/>
            <w:vAlign w:val="center"/>
          </w:tcPr>
          <w:p w14:paraId="412A32AF"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0AE73852" w14:textId="77777777" w:rsidR="0008758D" w:rsidRDefault="00127F5C">
            <w:pPr>
              <w:jc w:val="center"/>
              <w:rPr>
                <w:rFonts w:eastAsia="SimSun"/>
                <w:sz w:val="20"/>
                <w:szCs w:val="20"/>
                <w:lang w:eastAsia="zh-CN"/>
              </w:rPr>
            </w:pPr>
            <w:r>
              <w:rPr>
                <w:rFonts w:eastAsia="SimSun"/>
                <w:sz w:val="20"/>
                <w:szCs w:val="20"/>
                <w:lang w:eastAsia="zh-CN"/>
              </w:rPr>
              <w:t>0.0669***</w:t>
            </w:r>
          </w:p>
        </w:tc>
      </w:tr>
      <w:tr w:rsidR="0008758D" w14:paraId="47F86838" w14:textId="77777777">
        <w:trPr>
          <w:trHeight w:val="244"/>
        </w:trPr>
        <w:tc>
          <w:tcPr>
            <w:tcW w:w="941" w:type="pct"/>
            <w:vMerge/>
            <w:tcBorders>
              <w:top w:val="nil"/>
              <w:left w:val="nil"/>
              <w:bottom w:val="nil"/>
              <w:right w:val="nil"/>
            </w:tcBorders>
            <w:noWrap/>
            <w:vAlign w:val="center"/>
          </w:tcPr>
          <w:p w14:paraId="371CE689"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6AC4F0E1"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2059E326" w14:textId="77777777" w:rsidR="0008758D" w:rsidRDefault="00127F5C">
            <w:pPr>
              <w:jc w:val="center"/>
              <w:rPr>
                <w:rFonts w:eastAsia="SimSun"/>
                <w:sz w:val="20"/>
                <w:szCs w:val="20"/>
                <w:lang w:eastAsia="zh-CN"/>
              </w:rPr>
            </w:pPr>
            <w:r>
              <w:rPr>
                <w:rFonts w:eastAsia="SimSun"/>
                <w:sz w:val="20"/>
                <w:szCs w:val="20"/>
                <w:lang w:eastAsia="zh-CN"/>
              </w:rPr>
              <w:t>(0.148)</w:t>
            </w:r>
          </w:p>
        </w:tc>
        <w:tc>
          <w:tcPr>
            <w:tcW w:w="1028" w:type="pct"/>
            <w:tcBorders>
              <w:top w:val="nil"/>
              <w:left w:val="nil"/>
              <w:bottom w:val="nil"/>
              <w:right w:val="nil"/>
            </w:tcBorders>
            <w:noWrap/>
            <w:vAlign w:val="center"/>
          </w:tcPr>
          <w:p w14:paraId="336BE293"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4CDFFCF7" w14:textId="77777777" w:rsidR="0008758D" w:rsidRDefault="00127F5C">
            <w:pPr>
              <w:jc w:val="center"/>
              <w:rPr>
                <w:rFonts w:eastAsia="SimSun"/>
                <w:sz w:val="20"/>
                <w:szCs w:val="20"/>
                <w:lang w:eastAsia="zh-CN"/>
              </w:rPr>
            </w:pPr>
            <w:r>
              <w:rPr>
                <w:rFonts w:eastAsia="SimSun"/>
                <w:sz w:val="20"/>
                <w:szCs w:val="20"/>
                <w:lang w:eastAsia="zh-CN"/>
              </w:rPr>
              <w:t>(0.0247)</w:t>
            </w:r>
          </w:p>
        </w:tc>
      </w:tr>
      <w:tr w:rsidR="0008758D" w14:paraId="12435499" w14:textId="77777777">
        <w:trPr>
          <w:trHeight w:val="244"/>
        </w:trPr>
        <w:tc>
          <w:tcPr>
            <w:tcW w:w="941" w:type="pct"/>
            <w:vMerge w:val="restart"/>
            <w:tcBorders>
              <w:top w:val="nil"/>
              <w:left w:val="nil"/>
              <w:bottom w:val="nil"/>
              <w:right w:val="nil"/>
            </w:tcBorders>
            <w:noWrap/>
            <w:vAlign w:val="center"/>
          </w:tcPr>
          <w:p w14:paraId="1FC31A0B" w14:textId="77777777" w:rsidR="0008758D" w:rsidRDefault="00127F5C">
            <w:pPr>
              <w:jc w:val="center"/>
              <w:rPr>
                <w:rFonts w:eastAsia="SimSun"/>
                <w:sz w:val="20"/>
                <w:szCs w:val="20"/>
                <w:lang w:eastAsia="zh-CN"/>
              </w:rPr>
            </w:pPr>
            <w:r>
              <w:rPr>
                <w:rFonts w:eastAsia="SimSun" w:hint="eastAsia"/>
                <w:sz w:val="20"/>
                <w:szCs w:val="20"/>
                <w:lang w:eastAsia="zh-CN"/>
              </w:rPr>
              <w:t>ROE</w:t>
            </w:r>
          </w:p>
        </w:tc>
        <w:tc>
          <w:tcPr>
            <w:tcW w:w="908" w:type="pct"/>
            <w:tcBorders>
              <w:top w:val="nil"/>
              <w:left w:val="nil"/>
              <w:bottom w:val="nil"/>
              <w:right w:val="nil"/>
            </w:tcBorders>
            <w:noWrap/>
            <w:vAlign w:val="center"/>
          </w:tcPr>
          <w:p w14:paraId="1ACAC87A"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7079B7CD" w14:textId="77777777" w:rsidR="0008758D" w:rsidRDefault="00127F5C">
            <w:pPr>
              <w:jc w:val="center"/>
              <w:rPr>
                <w:rFonts w:eastAsia="SimSun"/>
                <w:sz w:val="20"/>
                <w:szCs w:val="20"/>
                <w:lang w:eastAsia="zh-CN"/>
              </w:rPr>
            </w:pPr>
            <w:r>
              <w:rPr>
                <w:rFonts w:eastAsia="SimSun"/>
                <w:sz w:val="20"/>
                <w:szCs w:val="20"/>
                <w:lang w:eastAsia="zh-CN"/>
              </w:rPr>
              <w:t>-3.586***</w:t>
            </w:r>
          </w:p>
        </w:tc>
        <w:tc>
          <w:tcPr>
            <w:tcW w:w="1028" w:type="pct"/>
            <w:tcBorders>
              <w:top w:val="nil"/>
              <w:left w:val="nil"/>
              <w:bottom w:val="nil"/>
              <w:right w:val="nil"/>
            </w:tcBorders>
            <w:noWrap/>
            <w:vAlign w:val="center"/>
          </w:tcPr>
          <w:p w14:paraId="088D1841"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27E834EE" w14:textId="77777777" w:rsidR="0008758D" w:rsidRDefault="00127F5C">
            <w:pPr>
              <w:jc w:val="center"/>
              <w:rPr>
                <w:rFonts w:eastAsia="SimSun"/>
                <w:sz w:val="20"/>
                <w:szCs w:val="20"/>
                <w:lang w:eastAsia="zh-CN"/>
              </w:rPr>
            </w:pPr>
            <w:r>
              <w:rPr>
                <w:rFonts w:eastAsia="SimSun"/>
                <w:sz w:val="20"/>
                <w:szCs w:val="20"/>
                <w:lang w:eastAsia="zh-CN"/>
              </w:rPr>
              <w:t>-0.331</w:t>
            </w:r>
          </w:p>
        </w:tc>
      </w:tr>
      <w:tr w:rsidR="0008758D" w14:paraId="411CC909" w14:textId="77777777">
        <w:trPr>
          <w:trHeight w:val="244"/>
        </w:trPr>
        <w:tc>
          <w:tcPr>
            <w:tcW w:w="941" w:type="pct"/>
            <w:vMerge/>
            <w:tcBorders>
              <w:top w:val="nil"/>
              <w:left w:val="nil"/>
              <w:bottom w:val="nil"/>
              <w:right w:val="nil"/>
            </w:tcBorders>
            <w:noWrap/>
            <w:vAlign w:val="center"/>
          </w:tcPr>
          <w:p w14:paraId="3C1125A8"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78DE8115"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0B0B07C8" w14:textId="77777777" w:rsidR="0008758D" w:rsidRDefault="00127F5C">
            <w:pPr>
              <w:jc w:val="center"/>
              <w:rPr>
                <w:rFonts w:eastAsia="SimSun"/>
                <w:sz w:val="20"/>
                <w:szCs w:val="20"/>
                <w:lang w:eastAsia="zh-CN"/>
              </w:rPr>
            </w:pPr>
            <w:r>
              <w:rPr>
                <w:rFonts w:eastAsia="SimSun"/>
                <w:sz w:val="20"/>
                <w:szCs w:val="20"/>
                <w:lang w:eastAsia="zh-CN"/>
              </w:rPr>
              <w:t>(1.280)</w:t>
            </w:r>
          </w:p>
        </w:tc>
        <w:tc>
          <w:tcPr>
            <w:tcW w:w="1028" w:type="pct"/>
            <w:tcBorders>
              <w:top w:val="nil"/>
              <w:left w:val="nil"/>
              <w:bottom w:val="nil"/>
              <w:right w:val="nil"/>
            </w:tcBorders>
            <w:noWrap/>
            <w:vAlign w:val="center"/>
          </w:tcPr>
          <w:p w14:paraId="41362E97"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56A633C4" w14:textId="77777777" w:rsidR="0008758D" w:rsidRDefault="00127F5C">
            <w:pPr>
              <w:jc w:val="center"/>
              <w:rPr>
                <w:rFonts w:eastAsia="SimSun"/>
                <w:sz w:val="20"/>
                <w:szCs w:val="20"/>
                <w:lang w:eastAsia="zh-CN"/>
              </w:rPr>
            </w:pPr>
            <w:r>
              <w:rPr>
                <w:rFonts w:eastAsia="SimSun"/>
                <w:sz w:val="20"/>
                <w:szCs w:val="20"/>
                <w:lang w:eastAsia="zh-CN"/>
              </w:rPr>
              <w:t>(0.224)</w:t>
            </w:r>
          </w:p>
        </w:tc>
      </w:tr>
      <w:tr w:rsidR="0008758D" w14:paraId="1F1BCBDB" w14:textId="77777777">
        <w:trPr>
          <w:trHeight w:val="244"/>
        </w:trPr>
        <w:tc>
          <w:tcPr>
            <w:tcW w:w="941" w:type="pct"/>
            <w:vMerge w:val="restart"/>
            <w:tcBorders>
              <w:top w:val="nil"/>
              <w:left w:val="nil"/>
              <w:bottom w:val="nil"/>
              <w:right w:val="nil"/>
            </w:tcBorders>
            <w:noWrap/>
            <w:vAlign w:val="center"/>
          </w:tcPr>
          <w:p w14:paraId="08592827" w14:textId="77777777" w:rsidR="0008758D" w:rsidRDefault="00127F5C">
            <w:pPr>
              <w:jc w:val="center"/>
              <w:rPr>
                <w:rFonts w:eastAsia="SimSun"/>
                <w:sz w:val="20"/>
                <w:szCs w:val="20"/>
                <w:lang w:eastAsia="zh-CN"/>
              </w:rPr>
            </w:pPr>
            <w:r>
              <w:rPr>
                <w:rFonts w:eastAsia="SimSun" w:hint="eastAsia"/>
                <w:sz w:val="20"/>
                <w:szCs w:val="20"/>
                <w:lang w:eastAsia="zh-CN"/>
              </w:rPr>
              <w:t>PE</w:t>
            </w:r>
          </w:p>
        </w:tc>
        <w:tc>
          <w:tcPr>
            <w:tcW w:w="908" w:type="pct"/>
            <w:tcBorders>
              <w:top w:val="nil"/>
              <w:left w:val="nil"/>
              <w:bottom w:val="nil"/>
              <w:right w:val="nil"/>
            </w:tcBorders>
            <w:noWrap/>
            <w:vAlign w:val="center"/>
          </w:tcPr>
          <w:p w14:paraId="5F661763"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6A9C2C25" w14:textId="77777777" w:rsidR="0008758D" w:rsidRDefault="00127F5C">
            <w:pPr>
              <w:jc w:val="center"/>
              <w:rPr>
                <w:rFonts w:eastAsia="SimSun"/>
                <w:sz w:val="20"/>
                <w:szCs w:val="20"/>
                <w:lang w:eastAsia="zh-CN"/>
              </w:rPr>
            </w:pPr>
            <w:r>
              <w:rPr>
                <w:rFonts w:eastAsia="SimSun"/>
                <w:sz w:val="20"/>
                <w:szCs w:val="20"/>
                <w:lang w:eastAsia="zh-CN"/>
              </w:rPr>
              <w:t xml:space="preserve">0.0573     </w:t>
            </w:r>
          </w:p>
        </w:tc>
        <w:tc>
          <w:tcPr>
            <w:tcW w:w="1028" w:type="pct"/>
            <w:tcBorders>
              <w:top w:val="nil"/>
              <w:left w:val="nil"/>
              <w:bottom w:val="nil"/>
              <w:right w:val="nil"/>
            </w:tcBorders>
            <w:noWrap/>
            <w:vAlign w:val="center"/>
          </w:tcPr>
          <w:p w14:paraId="045678F6"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046B2FF7" w14:textId="77777777" w:rsidR="0008758D" w:rsidRDefault="00127F5C">
            <w:pPr>
              <w:jc w:val="center"/>
              <w:rPr>
                <w:rFonts w:eastAsia="SimSun"/>
                <w:sz w:val="20"/>
                <w:szCs w:val="20"/>
                <w:lang w:eastAsia="zh-CN"/>
              </w:rPr>
            </w:pPr>
            <w:r>
              <w:rPr>
                <w:rFonts w:eastAsia="SimSun"/>
                <w:sz w:val="20"/>
                <w:szCs w:val="20"/>
                <w:lang w:eastAsia="zh-CN"/>
              </w:rPr>
              <w:t>-0.00801</w:t>
            </w:r>
          </w:p>
        </w:tc>
      </w:tr>
      <w:tr w:rsidR="0008758D" w14:paraId="27265AD2" w14:textId="77777777">
        <w:trPr>
          <w:trHeight w:val="244"/>
        </w:trPr>
        <w:tc>
          <w:tcPr>
            <w:tcW w:w="941" w:type="pct"/>
            <w:vMerge/>
            <w:tcBorders>
              <w:top w:val="nil"/>
              <w:left w:val="nil"/>
              <w:bottom w:val="nil"/>
              <w:right w:val="nil"/>
            </w:tcBorders>
            <w:noWrap/>
            <w:vAlign w:val="center"/>
          </w:tcPr>
          <w:p w14:paraId="08686216" w14:textId="77777777" w:rsidR="0008758D" w:rsidRDefault="0008758D">
            <w:pPr>
              <w:jc w:val="center"/>
              <w:rPr>
                <w:rFonts w:eastAsia="SimSun"/>
                <w:sz w:val="20"/>
                <w:szCs w:val="20"/>
                <w:lang w:eastAsia="zh-CN"/>
              </w:rPr>
            </w:pPr>
          </w:p>
        </w:tc>
        <w:tc>
          <w:tcPr>
            <w:tcW w:w="908" w:type="pct"/>
            <w:tcBorders>
              <w:top w:val="nil"/>
              <w:left w:val="nil"/>
              <w:bottom w:val="nil"/>
              <w:right w:val="nil"/>
            </w:tcBorders>
            <w:noWrap/>
            <w:vAlign w:val="center"/>
          </w:tcPr>
          <w:p w14:paraId="27878B15" w14:textId="77777777" w:rsidR="0008758D" w:rsidRDefault="0008758D">
            <w:pPr>
              <w:jc w:val="center"/>
              <w:rPr>
                <w:rFonts w:eastAsia="SimSun"/>
                <w:sz w:val="20"/>
                <w:szCs w:val="20"/>
                <w:lang w:eastAsia="zh-CN"/>
              </w:rPr>
            </w:pPr>
          </w:p>
        </w:tc>
        <w:tc>
          <w:tcPr>
            <w:tcW w:w="1203" w:type="pct"/>
            <w:tcBorders>
              <w:top w:val="nil"/>
              <w:left w:val="nil"/>
              <w:bottom w:val="nil"/>
              <w:right w:val="nil"/>
            </w:tcBorders>
            <w:noWrap/>
            <w:vAlign w:val="center"/>
          </w:tcPr>
          <w:p w14:paraId="15EF7B19" w14:textId="77777777" w:rsidR="0008758D" w:rsidRDefault="00127F5C">
            <w:pPr>
              <w:jc w:val="center"/>
              <w:rPr>
                <w:rFonts w:eastAsia="SimSun"/>
                <w:sz w:val="20"/>
                <w:szCs w:val="20"/>
                <w:lang w:eastAsia="zh-CN"/>
              </w:rPr>
            </w:pPr>
            <w:r>
              <w:rPr>
                <w:rFonts w:eastAsia="SimSun"/>
                <w:sz w:val="20"/>
                <w:szCs w:val="20"/>
                <w:lang w:eastAsia="zh-CN"/>
              </w:rPr>
              <w:t>(0.100)</w:t>
            </w:r>
          </w:p>
        </w:tc>
        <w:tc>
          <w:tcPr>
            <w:tcW w:w="1028" w:type="pct"/>
            <w:tcBorders>
              <w:top w:val="nil"/>
              <w:left w:val="nil"/>
              <w:bottom w:val="nil"/>
              <w:right w:val="nil"/>
            </w:tcBorders>
            <w:noWrap/>
            <w:vAlign w:val="center"/>
          </w:tcPr>
          <w:p w14:paraId="1F523916" w14:textId="77777777" w:rsidR="0008758D" w:rsidRDefault="0008758D">
            <w:pPr>
              <w:jc w:val="center"/>
              <w:rPr>
                <w:rFonts w:eastAsia="SimSun"/>
                <w:sz w:val="20"/>
                <w:szCs w:val="20"/>
                <w:lang w:eastAsia="zh-CN"/>
              </w:rPr>
            </w:pPr>
          </w:p>
        </w:tc>
        <w:tc>
          <w:tcPr>
            <w:tcW w:w="917" w:type="pct"/>
            <w:tcBorders>
              <w:top w:val="nil"/>
              <w:left w:val="nil"/>
              <w:bottom w:val="nil"/>
              <w:right w:val="nil"/>
            </w:tcBorders>
            <w:noWrap/>
            <w:vAlign w:val="center"/>
          </w:tcPr>
          <w:p w14:paraId="3064D404" w14:textId="77777777" w:rsidR="0008758D" w:rsidRDefault="00127F5C">
            <w:pPr>
              <w:jc w:val="center"/>
              <w:rPr>
                <w:rFonts w:eastAsia="SimSun"/>
                <w:sz w:val="20"/>
                <w:szCs w:val="20"/>
                <w:lang w:eastAsia="zh-CN"/>
              </w:rPr>
            </w:pPr>
            <w:r>
              <w:rPr>
                <w:rFonts w:eastAsia="SimSun"/>
                <w:sz w:val="20"/>
                <w:szCs w:val="20"/>
                <w:lang w:eastAsia="zh-CN"/>
              </w:rPr>
              <w:t>(0.0172)</w:t>
            </w:r>
          </w:p>
        </w:tc>
      </w:tr>
      <w:tr w:rsidR="0008758D" w14:paraId="4AAB63E0" w14:textId="77777777">
        <w:trPr>
          <w:trHeight w:val="244"/>
        </w:trPr>
        <w:tc>
          <w:tcPr>
            <w:tcW w:w="941" w:type="pct"/>
            <w:tcBorders>
              <w:top w:val="nil"/>
              <w:left w:val="nil"/>
              <w:bottom w:val="nil"/>
              <w:right w:val="nil"/>
            </w:tcBorders>
            <w:noWrap/>
            <w:vAlign w:val="center"/>
          </w:tcPr>
          <w:p w14:paraId="0576FB11" w14:textId="77777777" w:rsidR="0008758D" w:rsidRDefault="00127F5C">
            <w:pPr>
              <w:jc w:val="center"/>
              <w:rPr>
                <w:rFonts w:eastAsia="SimSun"/>
                <w:sz w:val="20"/>
                <w:szCs w:val="20"/>
                <w:lang w:eastAsia="zh-CN"/>
              </w:rPr>
            </w:pPr>
            <w:r>
              <w:rPr>
                <w:rFonts w:eastAsia="SimSun"/>
                <w:sz w:val="20"/>
                <w:szCs w:val="20"/>
                <w:lang w:eastAsia="zh-CN"/>
              </w:rPr>
              <w:t>Individual FE</w:t>
            </w:r>
          </w:p>
        </w:tc>
        <w:tc>
          <w:tcPr>
            <w:tcW w:w="908" w:type="pct"/>
            <w:tcBorders>
              <w:top w:val="nil"/>
              <w:left w:val="nil"/>
              <w:bottom w:val="nil"/>
              <w:right w:val="nil"/>
            </w:tcBorders>
            <w:noWrap/>
            <w:vAlign w:val="center"/>
          </w:tcPr>
          <w:p w14:paraId="408A674F" w14:textId="77777777" w:rsidR="0008758D" w:rsidRDefault="00127F5C">
            <w:pPr>
              <w:jc w:val="center"/>
              <w:rPr>
                <w:rFonts w:eastAsia="SimSun"/>
                <w:sz w:val="20"/>
                <w:szCs w:val="20"/>
                <w:lang w:eastAsia="zh-CN"/>
              </w:rPr>
            </w:pPr>
            <w:r>
              <w:rPr>
                <w:rFonts w:eastAsia="SimSun"/>
                <w:sz w:val="20"/>
                <w:szCs w:val="20"/>
                <w:lang w:eastAsia="zh-CN"/>
              </w:rPr>
              <w:t>Yes</w:t>
            </w:r>
          </w:p>
        </w:tc>
        <w:tc>
          <w:tcPr>
            <w:tcW w:w="1203" w:type="pct"/>
            <w:tcBorders>
              <w:top w:val="nil"/>
              <w:left w:val="nil"/>
              <w:bottom w:val="nil"/>
              <w:right w:val="nil"/>
            </w:tcBorders>
            <w:noWrap/>
            <w:vAlign w:val="center"/>
          </w:tcPr>
          <w:p w14:paraId="18AA1B04" w14:textId="77777777" w:rsidR="0008758D" w:rsidRDefault="00127F5C">
            <w:pPr>
              <w:jc w:val="center"/>
              <w:rPr>
                <w:rFonts w:eastAsia="SimSun"/>
                <w:sz w:val="20"/>
                <w:szCs w:val="20"/>
                <w:lang w:eastAsia="zh-CN"/>
              </w:rPr>
            </w:pPr>
            <w:r>
              <w:rPr>
                <w:rFonts w:eastAsia="SimSun"/>
                <w:sz w:val="20"/>
                <w:szCs w:val="20"/>
                <w:lang w:eastAsia="zh-CN"/>
              </w:rPr>
              <w:t>Yes</w:t>
            </w:r>
          </w:p>
        </w:tc>
        <w:tc>
          <w:tcPr>
            <w:tcW w:w="1028" w:type="pct"/>
            <w:tcBorders>
              <w:top w:val="nil"/>
              <w:left w:val="nil"/>
              <w:bottom w:val="nil"/>
              <w:right w:val="nil"/>
            </w:tcBorders>
            <w:noWrap/>
            <w:vAlign w:val="center"/>
          </w:tcPr>
          <w:p w14:paraId="50DB2FB6" w14:textId="77777777" w:rsidR="0008758D" w:rsidRDefault="00127F5C">
            <w:pPr>
              <w:jc w:val="center"/>
              <w:rPr>
                <w:rFonts w:eastAsia="SimSun"/>
                <w:sz w:val="20"/>
                <w:szCs w:val="20"/>
                <w:lang w:eastAsia="zh-CN"/>
              </w:rPr>
            </w:pPr>
            <w:r>
              <w:rPr>
                <w:rFonts w:eastAsia="SimSun"/>
                <w:sz w:val="20"/>
                <w:szCs w:val="20"/>
                <w:lang w:eastAsia="zh-CN"/>
              </w:rPr>
              <w:t>Yes</w:t>
            </w:r>
          </w:p>
        </w:tc>
        <w:tc>
          <w:tcPr>
            <w:tcW w:w="917" w:type="pct"/>
            <w:tcBorders>
              <w:top w:val="nil"/>
              <w:left w:val="nil"/>
              <w:bottom w:val="nil"/>
              <w:right w:val="nil"/>
            </w:tcBorders>
            <w:noWrap/>
            <w:vAlign w:val="center"/>
          </w:tcPr>
          <w:p w14:paraId="03C228FF"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4EF31FBB" w14:textId="77777777">
        <w:trPr>
          <w:trHeight w:val="244"/>
        </w:trPr>
        <w:tc>
          <w:tcPr>
            <w:tcW w:w="941" w:type="pct"/>
            <w:tcBorders>
              <w:top w:val="nil"/>
              <w:left w:val="nil"/>
              <w:bottom w:val="nil"/>
              <w:right w:val="nil"/>
            </w:tcBorders>
            <w:noWrap/>
            <w:vAlign w:val="center"/>
          </w:tcPr>
          <w:p w14:paraId="2C236CC8" w14:textId="77777777" w:rsidR="0008758D" w:rsidRDefault="00127F5C">
            <w:pPr>
              <w:jc w:val="center"/>
              <w:rPr>
                <w:rFonts w:eastAsia="SimSun"/>
                <w:sz w:val="20"/>
                <w:szCs w:val="20"/>
                <w:lang w:eastAsia="zh-CN"/>
              </w:rPr>
            </w:pPr>
            <w:r>
              <w:rPr>
                <w:rFonts w:eastAsia="SimSun"/>
                <w:sz w:val="20"/>
                <w:szCs w:val="20"/>
                <w:lang w:eastAsia="zh-CN"/>
              </w:rPr>
              <w:t>Year FE</w:t>
            </w:r>
          </w:p>
        </w:tc>
        <w:tc>
          <w:tcPr>
            <w:tcW w:w="908" w:type="pct"/>
            <w:tcBorders>
              <w:top w:val="nil"/>
              <w:left w:val="nil"/>
              <w:bottom w:val="nil"/>
              <w:right w:val="nil"/>
            </w:tcBorders>
            <w:noWrap/>
            <w:vAlign w:val="center"/>
          </w:tcPr>
          <w:p w14:paraId="6610F76A" w14:textId="77777777" w:rsidR="0008758D" w:rsidRDefault="00127F5C">
            <w:pPr>
              <w:jc w:val="center"/>
              <w:rPr>
                <w:rFonts w:eastAsia="SimSun"/>
                <w:sz w:val="20"/>
                <w:szCs w:val="20"/>
                <w:lang w:eastAsia="zh-CN"/>
              </w:rPr>
            </w:pPr>
            <w:r>
              <w:rPr>
                <w:rFonts w:eastAsia="SimSun"/>
                <w:sz w:val="20"/>
                <w:szCs w:val="20"/>
                <w:lang w:eastAsia="zh-CN"/>
              </w:rPr>
              <w:t>Yes</w:t>
            </w:r>
          </w:p>
        </w:tc>
        <w:tc>
          <w:tcPr>
            <w:tcW w:w="1203" w:type="pct"/>
            <w:tcBorders>
              <w:top w:val="nil"/>
              <w:left w:val="nil"/>
              <w:bottom w:val="nil"/>
              <w:right w:val="nil"/>
            </w:tcBorders>
            <w:noWrap/>
            <w:vAlign w:val="center"/>
          </w:tcPr>
          <w:p w14:paraId="33F097A4" w14:textId="77777777" w:rsidR="0008758D" w:rsidRDefault="00127F5C">
            <w:pPr>
              <w:jc w:val="center"/>
              <w:rPr>
                <w:rFonts w:eastAsia="SimSun"/>
                <w:sz w:val="20"/>
                <w:szCs w:val="20"/>
                <w:lang w:eastAsia="zh-CN"/>
              </w:rPr>
            </w:pPr>
            <w:r>
              <w:rPr>
                <w:rFonts w:eastAsia="SimSun"/>
                <w:sz w:val="20"/>
                <w:szCs w:val="20"/>
                <w:lang w:eastAsia="zh-CN"/>
              </w:rPr>
              <w:t>Yes</w:t>
            </w:r>
          </w:p>
        </w:tc>
        <w:tc>
          <w:tcPr>
            <w:tcW w:w="1028" w:type="pct"/>
            <w:tcBorders>
              <w:top w:val="nil"/>
              <w:left w:val="nil"/>
              <w:bottom w:val="nil"/>
              <w:right w:val="nil"/>
            </w:tcBorders>
            <w:noWrap/>
            <w:vAlign w:val="center"/>
          </w:tcPr>
          <w:p w14:paraId="2FF64B44" w14:textId="77777777" w:rsidR="0008758D" w:rsidRDefault="00127F5C">
            <w:pPr>
              <w:jc w:val="center"/>
              <w:rPr>
                <w:rFonts w:eastAsia="SimSun"/>
                <w:sz w:val="20"/>
                <w:szCs w:val="20"/>
                <w:lang w:eastAsia="zh-CN"/>
              </w:rPr>
            </w:pPr>
            <w:r>
              <w:rPr>
                <w:rFonts w:eastAsia="SimSun"/>
                <w:sz w:val="20"/>
                <w:szCs w:val="20"/>
                <w:lang w:eastAsia="zh-CN"/>
              </w:rPr>
              <w:t>Yes</w:t>
            </w:r>
          </w:p>
        </w:tc>
        <w:tc>
          <w:tcPr>
            <w:tcW w:w="917" w:type="pct"/>
            <w:tcBorders>
              <w:top w:val="nil"/>
              <w:left w:val="nil"/>
              <w:bottom w:val="nil"/>
              <w:right w:val="nil"/>
            </w:tcBorders>
            <w:noWrap/>
            <w:vAlign w:val="center"/>
          </w:tcPr>
          <w:p w14:paraId="16B23DA2"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2505B409" w14:textId="77777777">
        <w:trPr>
          <w:trHeight w:val="244"/>
        </w:trPr>
        <w:tc>
          <w:tcPr>
            <w:tcW w:w="941" w:type="pct"/>
            <w:tcBorders>
              <w:top w:val="nil"/>
              <w:left w:val="nil"/>
              <w:bottom w:val="nil"/>
              <w:right w:val="nil"/>
            </w:tcBorders>
            <w:noWrap/>
            <w:vAlign w:val="center"/>
          </w:tcPr>
          <w:p w14:paraId="60152565"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908" w:type="pct"/>
            <w:tcBorders>
              <w:top w:val="nil"/>
              <w:left w:val="nil"/>
              <w:bottom w:val="nil"/>
              <w:right w:val="nil"/>
            </w:tcBorders>
            <w:noWrap/>
            <w:vAlign w:val="center"/>
          </w:tcPr>
          <w:p w14:paraId="26487314" w14:textId="77777777" w:rsidR="0008758D" w:rsidRDefault="00127F5C">
            <w:pPr>
              <w:jc w:val="center"/>
              <w:rPr>
                <w:rFonts w:eastAsia="SimSun"/>
                <w:sz w:val="20"/>
                <w:szCs w:val="20"/>
                <w:lang w:eastAsia="zh-CN"/>
              </w:rPr>
            </w:pPr>
            <w:r>
              <w:rPr>
                <w:rFonts w:eastAsia="SimSun" w:hint="eastAsia"/>
                <w:sz w:val="20"/>
                <w:szCs w:val="20"/>
                <w:lang w:eastAsia="zh-CN"/>
              </w:rPr>
              <w:t>13167</w:t>
            </w:r>
          </w:p>
        </w:tc>
        <w:tc>
          <w:tcPr>
            <w:tcW w:w="1203" w:type="pct"/>
            <w:tcBorders>
              <w:top w:val="nil"/>
              <w:left w:val="nil"/>
              <w:bottom w:val="nil"/>
              <w:right w:val="nil"/>
            </w:tcBorders>
            <w:noWrap/>
            <w:vAlign w:val="center"/>
          </w:tcPr>
          <w:p w14:paraId="44738282" w14:textId="77777777" w:rsidR="0008758D" w:rsidRDefault="00127F5C">
            <w:pPr>
              <w:jc w:val="center"/>
              <w:rPr>
                <w:rFonts w:eastAsia="SimSun"/>
                <w:sz w:val="20"/>
                <w:szCs w:val="20"/>
                <w:lang w:eastAsia="zh-CN"/>
              </w:rPr>
            </w:pPr>
            <w:r>
              <w:rPr>
                <w:rFonts w:eastAsia="SimSun" w:hint="eastAsia"/>
                <w:sz w:val="20"/>
                <w:szCs w:val="20"/>
                <w:lang w:eastAsia="zh-CN"/>
              </w:rPr>
              <w:t>11,160</w:t>
            </w:r>
          </w:p>
        </w:tc>
        <w:tc>
          <w:tcPr>
            <w:tcW w:w="1028" w:type="pct"/>
            <w:tcBorders>
              <w:top w:val="nil"/>
              <w:left w:val="nil"/>
              <w:bottom w:val="nil"/>
              <w:right w:val="nil"/>
            </w:tcBorders>
            <w:noWrap/>
            <w:vAlign w:val="center"/>
          </w:tcPr>
          <w:p w14:paraId="1E629091" w14:textId="77777777" w:rsidR="0008758D" w:rsidRDefault="00127F5C">
            <w:pPr>
              <w:jc w:val="center"/>
              <w:rPr>
                <w:rFonts w:eastAsia="SimSun"/>
                <w:sz w:val="20"/>
                <w:szCs w:val="20"/>
                <w:lang w:eastAsia="zh-CN"/>
              </w:rPr>
            </w:pPr>
            <w:r>
              <w:rPr>
                <w:rFonts w:eastAsia="SimSun" w:hint="eastAsia"/>
                <w:sz w:val="20"/>
                <w:szCs w:val="20"/>
                <w:lang w:eastAsia="zh-CN"/>
              </w:rPr>
              <w:t>13167</w:t>
            </w:r>
          </w:p>
        </w:tc>
        <w:tc>
          <w:tcPr>
            <w:tcW w:w="917" w:type="pct"/>
            <w:tcBorders>
              <w:top w:val="nil"/>
              <w:left w:val="nil"/>
              <w:bottom w:val="nil"/>
              <w:right w:val="nil"/>
            </w:tcBorders>
            <w:noWrap/>
            <w:vAlign w:val="center"/>
          </w:tcPr>
          <w:p w14:paraId="4650CE43" w14:textId="77777777" w:rsidR="0008758D" w:rsidRDefault="00127F5C">
            <w:pPr>
              <w:jc w:val="center"/>
              <w:rPr>
                <w:rFonts w:eastAsia="SimSun"/>
                <w:sz w:val="20"/>
                <w:szCs w:val="20"/>
                <w:lang w:eastAsia="zh-CN"/>
              </w:rPr>
            </w:pPr>
            <w:r>
              <w:rPr>
                <w:rFonts w:eastAsia="SimSun" w:hint="eastAsia"/>
                <w:sz w:val="20"/>
                <w:szCs w:val="20"/>
                <w:lang w:eastAsia="zh-CN"/>
              </w:rPr>
              <w:t>11,160</w:t>
            </w:r>
          </w:p>
        </w:tc>
      </w:tr>
      <w:tr w:rsidR="0008758D" w14:paraId="65E80A12" w14:textId="77777777">
        <w:trPr>
          <w:trHeight w:val="313"/>
        </w:trPr>
        <w:tc>
          <w:tcPr>
            <w:tcW w:w="941" w:type="pct"/>
            <w:tcBorders>
              <w:top w:val="nil"/>
              <w:left w:val="nil"/>
              <w:bottom w:val="single" w:sz="12" w:space="0" w:color="000000"/>
              <w:right w:val="nil"/>
            </w:tcBorders>
            <w:noWrap/>
            <w:vAlign w:val="center"/>
          </w:tcPr>
          <w:p w14:paraId="66D892FC" w14:textId="77777777" w:rsidR="0008758D" w:rsidRDefault="00127F5C">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908" w:type="pct"/>
            <w:tcBorders>
              <w:top w:val="nil"/>
              <w:left w:val="nil"/>
              <w:bottom w:val="single" w:sz="12" w:space="0" w:color="000000"/>
              <w:right w:val="nil"/>
            </w:tcBorders>
            <w:noWrap/>
            <w:vAlign w:val="center"/>
          </w:tcPr>
          <w:p w14:paraId="1D8BC5F6" w14:textId="77777777" w:rsidR="0008758D" w:rsidRDefault="00127F5C">
            <w:pPr>
              <w:jc w:val="center"/>
              <w:rPr>
                <w:rFonts w:eastAsia="SimSun"/>
                <w:sz w:val="20"/>
                <w:szCs w:val="20"/>
                <w:lang w:eastAsia="zh-CN"/>
              </w:rPr>
            </w:pPr>
            <w:r>
              <w:rPr>
                <w:rFonts w:eastAsia="SimSun" w:hint="eastAsia"/>
                <w:sz w:val="20"/>
                <w:szCs w:val="20"/>
                <w:lang w:eastAsia="zh-CN"/>
              </w:rPr>
              <w:t>0.565</w:t>
            </w:r>
          </w:p>
        </w:tc>
        <w:tc>
          <w:tcPr>
            <w:tcW w:w="1203" w:type="pct"/>
            <w:tcBorders>
              <w:top w:val="nil"/>
              <w:left w:val="nil"/>
              <w:bottom w:val="single" w:sz="12" w:space="0" w:color="000000"/>
              <w:right w:val="nil"/>
            </w:tcBorders>
            <w:noWrap/>
            <w:vAlign w:val="center"/>
          </w:tcPr>
          <w:p w14:paraId="16361DE0" w14:textId="77777777" w:rsidR="0008758D" w:rsidRDefault="00127F5C">
            <w:pPr>
              <w:jc w:val="center"/>
              <w:rPr>
                <w:rFonts w:eastAsia="SimSun"/>
                <w:sz w:val="20"/>
                <w:szCs w:val="20"/>
                <w:lang w:eastAsia="zh-CN"/>
              </w:rPr>
            </w:pPr>
            <w:r>
              <w:rPr>
                <w:rFonts w:eastAsia="SimSun" w:hint="eastAsia"/>
                <w:sz w:val="20"/>
                <w:szCs w:val="20"/>
                <w:lang w:eastAsia="zh-CN"/>
              </w:rPr>
              <w:t>0.564</w:t>
            </w:r>
          </w:p>
        </w:tc>
        <w:tc>
          <w:tcPr>
            <w:tcW w:w="1028" w:type="pct"/>
            <w:tcBorders>
              <w:top w:val="nil"/>
              <w:left w:val="nil"/>
              <w:bottom w:val="single" w:sz="12" w:space="0" w:color="000000"/>
              <w:right w:val="nil"/>
            </w:tcBorders>
            <w:noWrap/>
            <w:vAlign w:val="center"/>
          </w:tcPr>
          <w:p w14:paraId="3524D3FF" w14:textId="77777777" w:rsidR="0008758D" w:rsidRDefault="00127F5C">
            <w:pPr>
              <w:jc w:val="center"/>
              <w:rPr>
                <w:rFonts w:eastAsia="SimSun"/>
                <w:sz w:val="20"/>
                <w:szCs w:val="20"/>
                <w:lang w:eastAsia="zh-CN"/>
              </w:rPr>
            </w:pPr>
            <w:r>
              <w:rPr>
                <w:rFonts w:eastAsia="SimSun" w:hint="eastAsia"/>
                <w:sz w:val="20"/>
                <w:szCs w:val="20"/>
                <w:lang w:eastAsia="zh-CN"/>
              </w:rPr>
              <w:t>0.532</w:t>
            </w:r>
          </w:p>
        </w:tc>
        <w:tc>
          <w:tcPr>
            <w:tcW w:w="917" w:type="pct"/>
            <w:tcBorders>
              <w:top w:val="nil"/>
              <w:left w:val="nil"/>
              <w:bottom w:val="single" w:sz="12" w:space="0" w:color="000000"/>
              <w:right w:val="nil"/>
            </w:tcBorders>
            <w:noWrap/>
            <w:vAlign w:val="center"/>
          </w:tcPr>
          <w:p w14:paraId="60E5AB43" w14:textId="77777777" w:rsidR="0008758D" w:rsidRDefault="00127F5C">
            <w:pPr>
              <w:jc w:val="center"/>
              <w:rPr>
                <w:rFonts w:eastAsia="SimSun"/>
                <w:sz w:val="20"/>
                <w:szCs w:val="20"/>
                <w:lang w:eastAsia="zh-CN"/>
              </w:rPr>
            </w:pPr>
            <w:r>
              <w:rPr>
                <w:rFonts w:eastAsia="SimSun" w:hint="eastAsia"/>
                <w:sz w:val="20"/>
                <w:szCs w:val="20"/>
                <w:lang w:eastAsia="zh-CN"/>
              </w:rPr>
              <w:t>0.530</w:t>
            </w:r>
          </w:p>
        </w:tc>
      </w:tr>
    </w:tbl>
    <w:p w14:paraId="11D7417D" w14:textId="77777777" w:rsidR="0008758D" w:rsidRDefault="00127F5C">
      <w:pPr>
        <w:pStyle w:val="BodyText3"/>
        <w:widowControl/>
        <w:tabs>
          <w:tab w:val="left" w:pos="1080"/>
        </w:tabs>
        <w:spacing w:after="0"/>
        <w:ind w:left="1080" w:hanging="1080"/>
        <w:jc w:val="both"/>
        <w:rPr>
          <w:rFonts w:eastAsia="Times New Roman" w:cs="Times New Roman"/>
          <w:bCs/>
          <w:i/>
          <w:sz w:val="18"/>
          <w:lang w:eastAsia="zh-CN"/>
        </w:rPr>
      </w:pPr>
      <w:r>
        <w:rPr>
          <w:rFonts w:eastAsia="Times New Roman" w:cs="Times New Roman" w:hint="eastAsia"/>
          <w:bCs/>
          <w:i/>
          <w:sz w:val="18"/>
          <w:lang w:eastAsia="zh-CN"/>
        </w:rPr>
        <w:t xml:space="preserve">*Note: ① *, **, *** represent significance at the 10%, 5%, and 1% levels, respectively; The same applies below. ② The values in parentheses are the robust standard errors of the estimated coefficients, as in the table </w:t>
      </w:r>
      <w:proofErr w:type="gramStart"/>
      <w:r>
        <w:rPr>
          <w:rFonts w:eastAsia="Times New Roman" w:cs="Times New Roman" w:hint="eastAsia"/>
          <w:bCs/>
          <w:i/>
          <w:sz w:val="18"/>
          <w:lang w:eastAsia="zh-CN"/>
        </w:rPr>
        <w:t>below.③</w:t>
      </w:r>
      <w:proofErr w:type="gramEnd"/>
      <w:r>
        <w:rPr>
          <w:rFonts w:eastAsia="Times New Roman" w:cs="Times New Roman" w:hint="eastAsia"/>
          <w:bCs/>
          <w:i/>
          <w:sz w:val="18"/>
          <w:lang w:eastAsia="zh-CN"/>
        </w:rPr>
        <w:t xml:space="preserve"> This paper conducted a Hausman</w:t>
      </w:r>
      <w:r>
        <w:rPr>
          <w:rFonts w:eastAsia="Times New Roman" w:cs="Times New Roman" w:hint="eastAsia"/>
          <w:bCs/>
          <w:i/>
          <w:sz w:val="18"/>
          <w:lang w:eastAsia="zh-CN"/>
        </w:rPr>
        <w:t xml:space="preserve"> test for the selection of random effects and fixed effects models, obtaining a statistic value of 64.30, with a corresponding P-value of 0.000, thus rejecting the null hypothesis and supporting the fixed effects model.</w:t>
      </w:r>
    </w:p>
    <w:p w14:paraId="09F80FF0" w14:textId="77777777" w:rsidR="0008758D" w:rsidRDefault="0008758D">
      <w:pPr>
        <w:pStyle w:val="AbstHead"/>
        <w:widowControl/>
        <w:spacing w:after="0"/>
        <w:jc w:val="both"/>
        <w:rPr>
          <w:rFonts w:eastAsia="Times New Roman"/>
          <w:szCs w:val="20"/>
          <w:lang w:eastAsia="zh-CN"/>
        </w:rPr>
      </w:pPr>
    </w:p>
    <w:p w14:paraId="0C880E28"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5.2 Robustness Test</w:t>
      </w:r>
    </w:p>
    <w:p w14:paraId="5A93CF33" w14:textId="77777777" w:rsidR="0008758D" w:rsidRDefault="0008758D">
      <w:pPr>
        <w:pStyle w:val="AbstHead"/>
        <w:widowControl/>
        <w:spacing w:after="0"/>
        <w:jc w:val="both"/>
        <w:rPr>
          <w:rFonts w:eastAsia="Times New Roman"/>
          <w:szCs w:val="20"/>
          <w:lang w:eastAsia="zh-CN"/>
        </w:rPr>
      </w:pPr>
    </w:p>
    <w:p w14:paraId="7380B9FB"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5.2.1 OLS with</w:t>
      </w:r>
      <w:r>
        <w:rPr>
          <w:rFonts w:ascii="Arial" w:eastAsia="SimSun" w:hAnsi="Arial" w:cs="Arial" w:hint="eastAsia"/>
          <w:b/>
          <w:kern w:val="0"/>
          <w:sz w:val="20"/>
          <w:szCs w:val="20"/>
          <w:u w:val="single"/>
          <w:lang w:eastAsia="zh-CN"/>
        </w:rPr>
        <w:t xml:space="preserve"> clustered robust standard errors.</w:t>
      </w:r>
    </w:p>
    <w:p w14:paraId="2C6BC5F3" w14:textId="77777777" w:rsidR="0008758D" w:rsidRDefault="0008758D">
      <w:pPr>
        <w:pStyle w:val="AbstHead"/>
        <w:widowControl/>
        <w:spacing w:after="0"/>
        <w:jc w:val="both"/>
        <w:rPr>
          <w:rFonts w:eastAsia="Times New Roman"/>
          <w:szCs w:val="20"/>
          <w:lang w:eastAsia="zh-CN"/>
        </w:rPr>
      </w:pPr>
    </w:p>
    <w:p w14:paraId="3D95C72E" w14:textId="77777777" w:rsidR="0008758D" w:rsidRDefault="00127F5C">
      <w:r>
        <w:rPr>
          <w:rFonts w:hint="eastAsia"/>
          <w:lang w:eastAsia="zh-CN"/>
        </w:rPr>
        <w:t xml:space="preserve">In order to make the standard error estimation of the regression coefficients more accurate and </w:t>
      </w:r>
      <w:r>
        <w:rPr>
          <w:rFonts w:hint="eastAsia"/>
          <w:lang w:eastAsia="zh-CN"/>
        </w:rPr>
        <w:lastRenderedPageBreak/>
        <w:t>ensure the reliability of the hypothesis testing results, this paper treats enterprises as clustering variables. By using cl</w:t>
      </w:r>
      <w:r>
        <w:rPr>
          <w:rFonts w:hint="eastAsia"/>
          <w:lang w:eastAsia="zh-CN"/>
        </w:rPr>
        <w:t>ustered robust standard errors, it adjusts for the error correlation within the same cluster, making the estimation of standard errors more accurate and reducing the impact of model specification bias on the results. The regression results show that the ES</w:t>
      </w:r>
      <w:r>
        <w:rPr>
          <w:rFonts w:hint="eastAsia"/>
          <w:lang w:eastAsia="zh-CN"/>
        </w:rPr>
        <w:t>G coefficient remains significant at the 5% level, thus making the conclusions of this study more persuasive.</w:t>
      </w:r>
    </w:p>
    <w:p w14:paraId="360709A0" w14:textId="77777777" w:rsidR="0008758D" w:rsidRDefault="0008758D">
      <w:pPr>
        <w:pStyle w:val="AbstHead"/>
        <w:widowControl/>
        <w:spacing w:after="0"/>
        <w:jc w:val="both"/>
        <w:rPr>
          <w:rFonts w:eastAsia="Times New Roman"/>
          <w:szCs w:val="20"/>
          <w:lang w:eastAsia="zh-CN"/>
        </w:rPr>
      </w:pPr>
    </w:p>
    <w:p w14:paraId="470917C4"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5.2.2 Change the sample range.</w:t>
      </w:r>
    </w:p>
    <w:p w14:paraId="42E18F79" w14:textId="77777777" w:rsidR="0008758D" w:rsidRDefault="0008758D">
      <w:pPr>
        <w:pStyle w:val="AbstHead"/>
        <w:widowControl/>
        <w:spacing w:after="0"/>
        <w:jc w:val="both"/>
        <w:rPr>
          <w:rFonts w:eastAsia="Times New Roman"/>
          <w:szCs w:val="20"/>
          <w:lang w:eastAsia="zh-CN"/>
        </w:rPr>
      </w:pPr>
    </w:p>
    <w:p w14:paraId="6249E38E"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In 2012, China incorporated ecological civilization construction into the overall layout of the "Five-in-One" str</w:t>
      </w:r>
      <w:r>
        <w:rPr>
          <w:rFonts w:eastAsia="Times New Roman" w:hint="eastAsia"/>
          <w:sz w:val="20"/>
          <w:szCs w:val="20"/>
          <w:lang w:eastAsia="zh-CN"/>
        </w:rPr>
        <w:t xml:space="preserve">ategy, and since then, green development has increasingly become a hot topic of widespread social </w:t>
      </w:r>
      <w:proofErr w:type="spellStart"/>
      <w:proofErr w:type="gramStart"/>
      <w:r>
        <w:rPr>
          <w:rFonts w:eastAsia="Times New Roman" w:hint="eastAsia"/>
          <w:sz w:val="20"/>
          <w:szCs w:val="20"/>
          <w:lang w:eastAsia="zh-CN"/>
        </w:rPr>
        <w:t>concern.At</w:t>
      </w:r>
      <w:proofErr w:type="spellEnd"/>
      <w:proofErr w:type="gramEnd"/>
      <w:r>
        <w:rPr>
          <w:rFonts w:eastAsia="Times New Roman" w:hint="eastAsia"/>
          <w:sz w:val="20"/>
          <w:szCs w:val="20"/>
          <w:lang w:eastAsia="zh-CN"/>
        </w:rPr>
        <w:t xml:space="preserve"> the beginning of 2020, the COVID-19 pandemic broke out. Considering the potential impact of multiple factors on sample errors, data from the years </w:t>
      </w:r>
      <w:r>
        <w:rPr>
          <w:rFonts w:eastAsia="Times New Roman" w:hint="eastAsia"/>
          <w:sz w:val="20"/>
          <w:szCs w:val="20"/>
          <w:lang w:eastAsia="zh-CN"/>
        </w:rPr>
        <w:t xml:space="preserve">2012—2019was used for a new regression analysis to conduct robustness </w:t>
      </w:r>
      <w:proofErr w:type="spellStart"/>
      <w:proofErr w:type="gramStart"/>
      <w:r>
        <w:rPr>
          <w:rFonts w:eastAsia="Times New Roman" w:hint="eastAsia"/>
          <w:sz w:val="20"/>
          <w:szCs w:val="20"/>
          <w:lang w:eastAsia="zh-CN"/>
        </w:rPr>
        <w:t>tests.The</w:t>
      </w:r>
      <w:proofErr w:type="spellEnd"/>
      <w:proofErr w:type="gramEnd"/>
      <w:r>
        <w:rPr>
          <w:rFonts w:eastAsia="Times New Roman" w:hint="eastAsia"/>
          <w:sz w:val="20"/>
          <w:szCs w:val="20"/>
          <w:lang w:eastAsia="zh-CN"/>
        </w:rPr>
        <w:t xml:space="preserve"> coefficient of ESG remained significantly positive, further indicating that the benchmark regression results are reliable.</w:t>
      </w:r>
    </w:p>
    <w:p w14:paraId="47ABAD2E" w14:textId="77777777" w:rsidR="0008758D" w:rsidRDefault="0008758D">
      <w:pPr>
        <w:pStyle w:val="AbstHead"/>
        <w:widowControl/>
        <w:spacing w:after="0"/>
        <w:jc w:val="both"/>
        <w:rPr>
          <w:rFonts w:eastAsia="Times New Roman"/>
          <w:szCs w:val="20"/>
          <w:lang w:eastAsia="zh-CN"/>
        </w:rPr>
      </w:pPr>
    </w:p>
    <w:p w14:paraId="201F9B73"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5.2.3 Adjust control variables.</w:t>
      </w:r>
    </w:p>
    <w:p w14:paraId="779B472B" w14:textId="77777777" w:rsidR="0008758D" w:rsidRDefault="0008758D">
      <w:pPr>
        <w:pStyle w:val="AbstHead"/>
        <w:widowControl/>
        <w:spacing w:after="0"/>
        <w:jc w:val="both"/>
        <w:rPr>
          <w:rFonts w:eastAsia="Times New Roman"/>
          <w:szCs w:val="20"/>
          <w:lang w:eastAsia="zh-CN"/>
        </w:rPr>
      </w:pPr>
    </w:p>
    <w:p w14:paraId="1B0625E6" w14:textId="77777777" w:rsidR="0008758D" w:rsidRDefault="00127F5C">
      <w:pPr>
        <w:rPr>
          <w:rFonts w:eastAsia="Times New Roman"/>
          <w:sz w:val="20"/>
          <w:szCs w:val="20"/>
          <w:lang w:eastAsia="zh-CN"/>
        </w:rPr>
      </w:pPr>
      <w:r>
        <w:rPr>
          <w:rFonts w:eastAsia="Times New Roman" w:hint="eastAsia"/>
          <w:sz w:val="20"/>
          <w:szCs w:val="20"/>
          <w:lang w:eastAsia="zh-CN"/>
        </w:rPr>
        <w:t xml:space="preserve">Referring to the research by Li Wei and Guan </w:t>
      </w:r>
      <w:proofErr w:type="spellStart"/>
      <w:r>
        <w:rPr>
          <w:rFonts w:eastAsia="Times New Roman" w:hint="eastAsia"/>
          <w:sz w:val="20"/>
          <w:szCs w:val="20"/>
          <w:lang w:eastAsia="zh-CN"/>
        </w:rPr>
        <w:t>Xiaoxiao</w:t>
      </w:r>
      <w:proofErr w:type="spellEnd"/>
      <w:r>
        <w:rPr>
          <w:rFonts w:eastAsia="Times New Roman" w:hint="eastAsia"/>
          <w:sz w:val="20"/>
          <w:szCs w:val="20"/>
          <w:lang w:eastAsia="zh-CN"/>
        </w:rPr>
        <w:t xml:space="preserve"> (2025), Tobin's Q and the shareholding ratio of the largest shareholder were added as control variables for another benchmark regression analysis to verify robustness. The results showed that both the f</w:t>
      </w:r>
      <w:r>
        <w:rPr>
          <w:rFonts w:eastAsia="Times New Roman" w:hint="eastAsia"/>
          <w:sz w:val="20"/>
          <w:szCs w:val="20"/>
          <w:lang w:eastAsia="zh-CN"/>
        </w:rPr>
        <w:t>low of OFDI and the number of OFDI instances remained significant at the 1% level, further demonstrating the promoting effect of corporate ESG performance on OFDI.</w:t>
      </w:r>
    </w:p>
    <w:p w14:paraId="55E8A3F9" w14:textId="77777777" w:rsidR="0008758D" w:rsidRDefault="0008758D">
      <w:pPr>
        <w:pStyle w:val="AbstHead"/>
        <w:widowControl/>
        <w:spacing w:after="0"/>
        <w:jc w:val="both"/>
        <w:rPr>
          <w:rFonts w:eastAsia="Times New Roman"/>
          <w:szCs w:val="20"/>
          <w:lang w:eastAsia="zh-CN"/>
        </w:rPr>
      </w:pPr>
    </w:p>
    <w:p w14:paraId="58E762DE" w14:textId="77777777" w:rsidR="0008758D" w:rsidRDefault="00127F5C">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2</w:t>
      </w:r>
      <w:r>
        <w:rPr>
          <w:rFonts w:eastAsia="Times New Roman"/>
          <w:b/>
          <w:bCs/>
          <w:sz w:val="20"/>
          <w:lang w:eastAsia="zh-CN"/>
        </w:rPr>
        <w:t>: Robustness test results</w:t>
      </w:r>
    </w:p>
    <w:tbl>
      <w:tblPr>
        <w:tblW w:w="5000" w:type="pct"/>
        <w:tblLayout w:type="fixed"/>
        <w:tblLook w:val="04A0" w:firstRow="1" w:lastRow="0" w:firstColumn="1" w:lastColumn="0" w:noHBand="0" w:noVBand="1"/>
      </w:tblPr>
      <w:tblGrid>
        <w:gridCol w:w="1447"/>
        <w:gridCol w:w="1238"/>
        <w:gridCol w:w="1401"/>
        <w:gridCol w:w="1424"/>
        <w:gridCol w:w="1454"/>
        <w:gridCol w:w="1321"/>
        <w:gridCol w:w="1291"/>
      </w:tblGrid>
      <w:tr w:rsidR="0008758D" w14:paraId="75105565" w14:textId="77777777">
        <w:trPr>
          <w:trHeight w:val="313"/>
        </w:trPr>
        <w:tc>
          <w:tcPr>
            <w:tcW w:w="755" w:type="pct"/>
            <w:vMerge w:val="restart"/>
            <w:tcBorders>
              <w:top w:val="single" w:sz="12" w:space="0" w:color="000000"/>
              <w:left w:val="nil"/>
              <w:bottom w:val="single" w:sz="12" w:space="0" w:color="000000"/>
              <w:right w:val="nil"/>
            </w:tcBorders>
            <w:noWrap/>
            <w:vAlign w:val="center"/>
          </w:tcPr>
          <w:p w14:paraId="3FC8CF91" w14:textId="77777777" w:rsidR="0008758D" w:rsidRDefault="00127F5C">
            <w:pPr>
              <w:jc w:val="center"/>
              <w:rPr>
                <w:rFonts w:eastAsia="SimSun"/>
                <w:b/>
                <w:bCs/>
                <w:sz w:val="20"/>
                <w:szCs w:val="20"/>
              </w:rPr>
            </w:pPr>
            <w:r>
              <w:rPr>
                <w:rFonts w:eastAsia="SimSun"/>
                <w:b/>
                <w:bCs/>
                <w:sz w:val="20"/>
                <w:szCs w:val="20"/>
                <w:lang w:eastAsia="zh-CN"/>
              </w:rPr>
              <w:t>Variable</w:t>
            </w:r>
          </w:p>
        </w:tc>
        <w:tc>
          <w:tcPr>
            <w:tcW w:w="1377" w:type="pct"/>
            <w:gridSpan w:val="2"/>
            <w:tcBorders>
              <w:top w:val="single" w:sz="12" w:space="0" w:color="000000"/>
              <w:left w:val="nil"/>
              <w:bottom w:val="nil"/>
              <w:right w:val="nil"/>
            </w:tcBorders>
            <w:noWrap/>
            <w:vAlign w:val="center"/>
          </w:tcPr>
          <w:p w14:paraId="15CFBD41" w14:textId="77777777" w:rsidR="0008758D" w:rsidRDefault="00127F5C">
            <w:pPr>
              <w:jc w:val="center"/>
              <w:rPr>
                <w:rFonts w:eastAsia="SimSun"/>
                <w:b/>
                <w:bCs/>
                <w:sz w:val="20"/>
                <w:szCs w:val="20"/>
                <w:lang w:eastAsia="zh-CN"/>
              </w:rPr>
            </w:pPr>
            <w:r>
              <w:rPr>
                <w:rFonts w:eastAsia="SimSun"/>
                <w:b/>
                <w:bCs/>
                <w:sz w:val="20"/>
                <w:szCs w:val="20"/>
                <w:lang w:eastAsia="zh-CN"/>
              </w:rPr>
              <w:t>Cluster Robust Standard Errors of OLS</w:t>
            </w:r>
          </w:p>
        </w:tc>
        <w:tc>
          <w:tcPr>
            <w:tcW w:w="1502" w:type="pct"/>
            <w:gridSpan w:val="2"/>
            <w:tcBorders>
              <w:top w:val="single" w:sz="12" w:space="0" w:color="000000"/>
              <w:left w:val="nil"/>
              <w:bottom w:val="nil"/>
              <w:right w:val="nil"/>
            </w:tcBorders>
            <w:noWrap/>
            <w:vAlign w:val="center"/>
          </w:tcPr>
          <w:p w14:paraId="5D9C1657" w14:textId="77777777" w:rsidR="0008758D" w:rsidRDefault="00127F5C">
            <w:pPr>
              <w:jc w:val="center"/>
              <w:rPr>
                <w:rFonts w:eastAsia="SimSun"/>
                <w:b/>
                <w:bCs/>
                <w:sz w:val="20"/>
                <w:szCs w:val="20"/>
                <w:lang w:eastAsia="zh-CN"/>
              </w:rPr>
            </w:pPr>
            <w:r>
              <w:rPr>
                <w:rFonts w:eastAsia="SimSun" w:hint="eastAsia"/>
                <w:b/>
                <w:bCs/>
                <w:sz w:val="20"/>
                <w:szCs w:val="20"/>
                <w:lang w:eastAsia="zh-CN"/>
              </w:rPr>
              <w:t xml:space="preserve">Change </w:t>
            </w:r>
            <w:r>
              <w:rPr>
                <w:rFonts w:eastAsia="SimSun" w:hint="eastAsia"/>
                <w:b/>
                <w:bCs/>
                <w:sz w:val="20"/>
                <w:szCs w:val="20"/>
                <w:lang w:eastAsia="zh-CN"/>
              </w:rPr>
              <w:t>Sample Range</w:t>
            </w:r>
          </w:p>
        </w:tc>
        <w:tc>
          <w:tcPr>
            <w:tcW w:w="1364" w:type="pct"/>
            <w:gridSpan w:val="2"/>
            <w:tcBorders>
              <w:top w:val="single" w:sz="12" w:space="0" w:color="000000"/>
              <w:left w:val="nil"/>
              <w:bottom w:val="nil"/>
              <w:right w:val="nil"/>
            </w:tcBorders>
            <w:noWrap/>
            <w:vAlign w:val="center"/>
          </w:tcPr>
          <w:p w14:paraId="4811FC7E" w14:textId="77777777" w:rsidR="0008758D" w:rsidRDefault="00127F5C">
            <w:pPr>
              <w:jc w:val="center"/>
              <w:rPr>
                <w:rFonts w:eastAsia="SimSun"/>
                <w:b/>
                <w:bCs/>
                <w:sz w:val="20"/>
                <w:szCs w:val="20"/>
                <w:lang w:eastAsia="zh-CN"/>
              </w:rPr>
            </w:pPr>
            <w:r>
              <w:rPr>
                <w:rFonts w:eastAsia="SimSun" w:hint="eastAsia"/>
                <w:b/>
                <w:bCs/>
                <w:sz w:val="20"/>
                <w:szCs w:val="20"/>
                <w:lang w:eastAsia="zh-CN"/>
              </w:rPr>
              <w:t>Adjust Control Variables</w:t>
            </w:r>
          </w:p>
        </w:tc>
      </w:tr>
      <w:tr w:rsidR="0008758D" w14:paraId="2B37F146" w14:textId="77777777">
        <w:trPr>
          <w:trHeight w:val="313"/>
        </w:trPr>
        <w:tc>
          <w:tcPr>
            <w:tcW w:w="755" w:type="pct"/>
            <w:vMerge/>
            <w:tcBorders>
              <w:top w:val="single" w:sz="12" w:space="0" w:color="000000"/>
              <w:left w:val="nil"/>
              <w:bottom w:val="single" w:sz="12" w:space="0" w:color="000000"/>
              <w:right w:val="nil"/>
            </w:tcBorders>
            <w:noWrap/>
            <w:vAlign w:val="center"/>
          </w:tcPr>
          <w:p w14:paraId="0EA90BEA" w14:textId="77777777" w:rsidR="0008758D" w:rsidRDefault="0008758D">
            <w:pPr>
              <w:jc w:val="center"/>
              <w:rPr>
                <w:rFonts w:eastAsia="SimSun"/>
                <w:b/>
                <w:bCs/>
                <w:sz w:val="20"/>
                <w:szCs w:val="20"/>
              </w:rPr>
            </w:pPr>
          </w:p>
        </w:tc>
        <w:tc>
          <w:tcPr>
            <w:tcW w:w="646" w:type="pct"/>
            <w:tcBorders>
              <w:top w:val="nil"/>
              <w:left w:val="nil"/>
              <w:bottom w:val="single" w:sz="12" w:space="0" w:color="000000"/>
              <w:right w:val="nil"/>
            </w:tcBorders>
            <w:noWrap/>
            <w:vAlign w:val="center"/>
          </w:tcPr>
          <w:p w14:paraId="063ACC2E"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1)OFDI</w:t>
            </w:r>
            <w:proofErr w:type="gramEnd"/>
            <w:r>
              <w:rPr>
                <w:rFonts w:eastAsia="SimSun" w:hint="eastAsia"/>
                <w:b/>
                <w:bCs/>
                <w:sz w:val="20"/>
                <w:szCs w:val="20"/>
                <w:lang w:eastAsia="zh-CN"/>
              </w:rPr>
              <w:tab/>
            </w:r>
          </w:p>
        </w:tc>
        <w:tc>
          <w:tcPr>
            <w:tcW w:w="730" w:type="pct"/>
            <w:tcBorders>
              <w:top w:val="nil"/>
              <w:left w:val="nil"/>
              <w:bottom w:val="single" w:sz="12" w:space="0" w:color="000000"/>
              <w:right w:val="nil"/>
            </w:tcBorders>
            <w:noWrap/>
            <w:vAlign w:val="center"/>
          </w:tcPr>
          <w:p w14:paraId="18B7AEB8"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2)OFDI</w:t>
            </w:r>
            <w:proofErr w:type="gramEnd"/>
            <w:r>
              <w:rPr>
                <w:rFonts w:eastAsia="SimSun" w:hint="eastAsia"/>
                <w:b/>
                <w:bCs/>
                <w:sz w:val="20"/>
                <w:szCs w:val="20"/>
                <w:lang w:eastAsia="zh-CN"/>
              </w:rPr>
              <w:t>_F</w:t>
            </w:r>
          </w:p>
        </w:tc>
        <w:tc>
          <w:tcPr>
            <w:tcW w:w="743" w:type="pct"/>
            <w:tcBorders>
              <w:top w:val="nil"/>
              <w:left w:val="nil"/>
              <w:bottom w:val="single" w:sz="12" w:space="0" w:color="000000"/>
              <w:right w:val="nil"/>
            </w:tcBorders>
            <w:noWrap/>
            <w:vAlign w:val="center"/>
          </w:tcPr>
          <w:p w14:paraId="59B6908D"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1)OFDI</w:t>
            </w:r>
            <w:proofErr w:type="gramEnd"/>
            <w:r>
              <w:rPr>
                <w:rFonts w:eastAsia="SimSun" w:hint="eastAsia"/>
                <w:b/>
                <w:bCs/>
                <w:sz w:val="20"/>
                <w:szCs w:val="20"/>
                <w:lang w:eastAsia="zh-CN"/>
              </w:rPr>
              <w:tab/>
            </w:r>
          </w:p>
        </w:tc>
        <w:tc>
          <w:tcPr>
            <w:tcW w:w="759" w:type="pct"/>
            <w:tcBorders>
              <w:top w:val="nil"/>
              <w:left w:val="nil"/>
              <w:bottom w:val="single" w:sz="12" w:space="0" w:color="000000"/>
              <w:right w:val="nil"/>
            </w:tcBorders>
            <w:noWrap/>
            <w:vAlign w:val="center"/>
          </w:tcPr>
          <w:p w14:paraId="4BD4448B"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2)OFDI</w:t>
            </w:r>
            <w:proofErr w:type="gramEnd"/>
            <w:r>
              <w:rPr>
                <w:rFonts w:eastAsia="SimSun" w:hint="eastAsia"/>
                <w:b/>
                <w:bCs/>
                <w:sz w:val="20"/>
                <w:szCs w:val="20"/>
                <w:lang w:eastAsia="zh-CN"/>
              </w:rPr>
              <w:t>_F</w:t>
            </w:r>
          </w:p>
        </w:tc>
        <w:tc>
          <w:tcPr>
            <w:tcW w:w="690" w:type="pct"/>
            <w:tcBorders>
              <w:top w:val="nil"/>
              <w:left w:val="nil"/>
              <w:bottom w:val="single" w:sz="12" w:space="0" w:color="000000"/>
              <w:right w:val="nil"/>
            </w:tcBorders>
            <w:noWrap/>
            <w:vAlign w:val="center"/>
          </w:tcPr>
          <w:p w14:paraId="295661BD"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1)OFDI</w:t>
            </w:r>
            <w:proofErr w:type="gramEnd"/>
            <w:r>
              <w:rPr>
                <w:rFonts w:eastAsia="SimSun" w:hint="eastAsia"/>
                <w:b/>
                <w:bCs/>
                <w:sz w:val="20"/>
                <w:szCs w:val="20"/>
                <w:lang w:eastAsia="zh-CN"/>
              </w:rPr>
              <w:tab/>
            </w:r>
          </w:p>
        </w:tc>
        <w:tc>
          <w:tcPr>
            <w:tcW w:w="673" w:type="pct"/>
            <w:tcBorders>
              <w:top w:val="nil"/>
              <w:left w:val="nil"/>
              <w:bottom w:val="single" w:sz="12" w:space="0" w:color="000000"/>
              <w:right w:val="nil"/>
            </w:tcBorders>
            <w:noWrap/>
            <w:vAlign w:val="center"/>
          </w:tcPr>
          <w:p w14:paraId="71F04FF2" w14:textId="77777777" w:rsidR="0008758D" w:rsidRDefault="00127F5C">
            <w:pPr>
              <w:jc w:val="center"/>
              <w:rPr>
                <w:rFonts w:eastAsia="SimSun"/>
                <w:b/>
                <w:bCs/>
                <w:sz w:val="20"/>
                <w:szCs w:val="20"/>
                <w:lang w:eastAsia="zh-CN"/>
              </w:rPr>
            </w:pPr>
            <w:r>
              <w:rPr>
                <w:rFonts w:eastAsia="SimSun" w:hint="eastAsia"/>
                <w:b/>
                <w:bCs/>
                <w:sz w:val="20"/>
                <w:szCs w:val="20"/>
                <w:lang w:eastAsia="zh-CN"/>
              </w:rPr>
              <w:t>(</w:t>
            </w:r>
            <w:proofErr w:type="gramStart"/>
            <w:r>
              <w:rPr>
                <w:rFonts w:eastAsia="SimSun" w:hint="eastAsia"/>
                <w:b/>
                <w:bCs/>
                <w:sz w:val="20"/>
                <w:szCs w:val="20"/>
                <w:lang w:eastAsia="zh-CN"/>
              </w:rPr>
              <w:t>2)OFDI</w:t>
            </w:r>
            <w:proofErr w:type="gramEnd"/>
            <w:r>
              <w:rPr>
                <w:rFonts w:eastAsia="SimSun" w:hint="eastAsia"/>
                <w:b/>
                <w:bCs/>
                <w:sz w:val="20"/>
                <w:szCs w:val="20"/>
                <w:lang w:eastAsia="zh-CN"/>
              </w:rPr>
              <w:t>_F</w:t>
            </w:r>
          </w:p>
        </w:tc>
      </w:tr>
      <w:tr w:rsidR="0008758D" w14:paraId="458EFE5A" w14:textId="77777777">
        <w:trPr>
          <w:trHeight w:val="313"/>
        </w:trPr>
        <w:tc>
          <w:tcPr>
            <w:tcW w:w="755" w:type="pct"/>
            <w:vMerge w:val="restart"/>
            <w:tcBorders>
              <w:top w:val="nil"/>
              <w:left w:val="nil"/>
              <w:bottom w:val="nil"/>
              <w:right w:val="nil"/>
            </w:tcBorders>
            <w:noWrap/>
            <w:vAlign w:val="center"/>
          </w:tcPr>
          <w:p w14:paraId="1C2FD5BC" w14:textId="77777777" w:rsidR="0008758D" w:rsidRDefault="00127F5C">
            <w:pPr>
              <w:jc w:val="center"/>
              <w:rPr>
                <w:rFonts w:eastAsia="SimSun"/>
                <w:sz w:val="20"/>
                <w:szCs w:val="20"/>
                <w:lang w:eastAsia="zh-CN"/>
              </w:rPr>
            </w:pPr>
            <w:r>
              <w:rPr>
                <w:rFonts w:eastAsia="SimSun"/>
                <w:sz w:val="20"/>
                <w:szCs w:val="20"/>
                <w:lang w:eastAsia="zh-CN"/>
              </w:rPr>
              <w:t>ESG</w:t>
            </w:r>
          </w:p>
        </w:tc>
        <w:tc>
          <w:tcPr>
            <w:tcW w:w="646" w:type="pct"/>
            <w:tcBorders>
              <w:top w:val="nil"/>
              <w:left w:val="nil"/>
              <w:bottom w:val="nil"/>
              <w:right w:val="nil"/>
            </w:tcBorders>
            <w:noWrap/>
            <w:vAlign w:val="center"/>
          </w:tcPr>
          <w:p w14:paraId="722755D3" w14:textId="77777777" w:rsidR="0008758D" w:rsidRDefault="00127F5C">
            <w:pPr>
              <w:jc w:val="center"/>
              <w:rPr>
                <w:rFonts w:eastAsia="SimSun"/>
                <w:sz w:val="20"/>
                <w:szCs w:val="20"/>
                <w:lang w:eastAsia="zh-CN"/>
              </w:rPr>
            </w:pPr>
            <w:r>
              <w:rPr>
                <w:rFonts w:hint="eastAsia"/>
              </w:rPr>
              <w:t>4.078**</w:t>
            </w:r>
          </w:p>
        </w:tc>
        <w:tc>
          <w:tcPr>
            <w:tcW w:w="730" w:type="pct"/>
            <w:tcBorders>
              <w:top w:val="nil"/>
              <w:left w:val="nil"/>
              <w:bottom w:val="nil"/>
              <w:right w:val="nil"/>
            </w:tcBorders>
            <w:noWrap/>
            <w:vAlign w:val="center"/>
          </w:tcPr>
          <w:p w14:paraId="6A147942" w14:textId="77777777" w:rsidR="0008758D" w:rsidRDefault="00127F5C">
            <w:pPr>
              <w:jc w:val="center"/>
              <w:rPr>
                <w:rFonts w:eastAsia="SimSun"/>
                <w:sz w:val="20"/>
                <w:szCs w:val="20"/>
                <w:lang w:eastAsia="zh-CN"/>
              </w:rPr>
            </w:pPr>
            <w:r>
              <w:rPr>
                <w:rFonts w:eastAsia="SimSun"/>
                <w:sz w:val="20"/>
                <w:szCs w:val="20"/>
                <w:lang w:eastAsia="zh-CN"/>
              </w:rPr>
              <w:t>0.905**</w:t>
            </w:r>
          </w:p>
        </w:tc>
        <w:tc>
          <w:tcPr>
            <w:tcW w:w="743" w:type="pct"/>
            <w:tcBorders>
              <w:top w:val="nil"/>
              <w:left w:val="nil"/>
              <w:bottom w:val="nil"/>
              <w:right w:val="nil"/>
            </w:tcBorders>
            <w:noWrap/>
            <w:vAlign w:val="center"/>
          </w:tcPr>
          <w:p w14:paraId="2E7CD1B0" w14:textId="77777777" w:rsidR="0008758D" w:rsidRDefault="00127F5C">
            <w:pPr>
              <w:jc w:val="center"/>
              <w:rPr>
                <w:rFonts w:eastAsia="SimSun"/>
                <w:sz w:val="20"/>
                <w:szCs w:val="20"/>
                <w:lang w:eastAsia="zh-CN"/>
              </w:rPr>
            </w:pPr>
            <w:r>
              <w:rPr>
                <w:rFonts w:eastAsia="SimSun"/>
                <w:sz w:val="20"/>
                <w:szCs w:val="20"/>
                <w:lang w:eastAsia="zh-CN"/>
              </w:rPr>
              <w:t>3.879**</w:t>
            </w:r>
          </w:p>
        </w:tc>
        <w:tc>
          <w:tcPr>
            <w:tcW w:w="759" w:type="pct"/>
            <w:tcBorders>
              <w:top w:val="nil"/>
              <w:left w:val="nil"/>
              <w:bottom w:val="nil"/>
              <w:right w:val="nil"/>
            </w:tcBorders>
            <w:noWrap/>
            <w:vAlign w:val="center"/>
          </w:tcPr>
          <w:p w14:paraId="05851852" w14:textId="77777777" w:rsidR="0008758D" w:rsidRDefault="00127F5C">
            <w:pPr>
              <w:jc w:val="center"/>
              <w:rPr>
                <w:rFonts w:eastAsia="SimSun"/>
                <w:sz w:val="20"/>
                <w:szCs w:val="20"/>
                <w:lang w:eastAsia="zh-CN"/>
              </w:rPr>
            </w:pPr>
            <w:r>
              <w:rPr>
                <w:rFonts w:eastAsia="SimSun"/>
                <w:sz w:val="20"/>
                <w:szCs w:val="20"/>
                <w:lang w:eastAsia="zh-CN"/>
              </w:rPr>
              <w:t>0.606**</w:t>
            </w:r>
          </w:p>
        </w:tc>
        <w:tc>
          <w:tcPr>
            <w:tcW w:w="690" w:type="pct"/>
            <w:tcBorders>
              <w:top w:val="nil"/>
              <w:left w:val="nil"/>
              <w:bottom w:val="nil"/>
              <w:right w:val="nil"/>
            </w:tcBorders>
            <w:noWrap/>
            <w:vAlign w:val="center"/>
          </w:tcPr>
          <w:p w14:paraId="5E02AAEC" w14:textId="77777777" w:rsidR="0008758D" w:rsidRDefault="00127F5C">
            <w:pPr>
              <w:jc w:val="center"/>
              <w:rPr>
                <w:rFonts w:eastAsia="SimSun"/>
                <w:sz w:val="20"/>
                <w:szCs w:val="20"/>
                <w:lang w:eastAsia="zh-CN"/>
              </w:rPr>
            </w:pPr>
            <w:r>
              <w:rPr>
                <w:rFonts w:eastAsia="SimSun"/>
                <w:sz w:val="20"/>
                <w:szCs w:val="20"/>
                <w:lang w:eastAsia="zh-CN"/>
              </w:rPr>
              <w:t>3.227***</w:t>
            </w:r>
          </w:p>
        </w:tc>
        <w:tc>
          <w:tcPr>
            <w:tcW w:w="673" w:type="pct"/>
            <w:tcBorders>
              <w:top w:val="nil"/>
              <w:left w:val="nil"/>
              <w:bottom w:val="nil"/>
              <w:right w:val="nil"/>
            </w:tcBorders>
            <w:noWrap/>
            <w:vAlign w:val="center"/>
          </w:tcPr>
          <w:p w14:paraId="27641539" w14:textId="77777777" w:rsidR="0008758D" w:rsidRDefault="00127F5C">
            <w:pPr>
              <w:jc w:val="center"/>
              <w:rPr>
                <w:rFonts w:eastAsia="SimSun"/>
                <w:sz w:val="20"/>
                <w:szCs w:val="20"/>
                <w:lang w:eastAsia="zh-CN"/>
              </w:rPr>
            </w:pPr>
            <w:r>
              <w:rPr>
                <w:rFonts w:eastAsia="SimSun"/>
                <w:sz w:val="20"/>
                <w:szCs w:val="20"/>
                <w:lang w:eastAsia="zh-CN"/>
              </w:rPr>
              <w:t>0.860***</w:t>
            </w:r>
          </w:p>
        </w:tc>
      </w:tr>
      <w:tr w:rsidR="0008758D" w14:paraId="188414D4" w14:textId="77777777">
        <w:trPr>
          <w:trHeight w:val="244"/>
        </w:trPr>
        <w:tc>
          <w:tcPr>
            <w:tcW w:w="755" w:type="pct"/>
            <w:vMerge/>
            <w:tcBorders>
              <w:top w:val="nil"/>
              <w:left w:val="nil"/>
              <w:bottom w:val="nil"/>
              <w:right w:val="nil"/>
            </w:tcBorders>
            <w:noWrap/>
            <w:vAlign w:val="center"/>
          </w:tcPr>
          <w:p w14:paraId="19C0A9F3" w14:textId="77777777" w:rsidR="0008758D" w:rsidRDefault="0008758D">
            <w:pPr>
              <w:jc w:val="center"/>
              <w:rPr>
                <w:rFonts w:eastAsia="SimSun"/>
                <w:sz w:val="20"/>
                <w:szCs w:val="20"/>
                <w:lang w:eastAsia="zh-CN"/>
              </w:rPr>
            </w:pPr>
          </w:p>
        </w:tc>
        <w:tc>
          <w:tcPr>
            <w:tcW w:w="646" w:type="pct"/>
            <w:tcBorders>
              <w:top w:val="nil"/>
              <w:left w:val="nil"/>
              <w:bottom w:val="nil"/>
              <w:right w:val="nil"/>
            </w:tcBorders>
            <w:noWrap/>
            <w:vAlign w:val="center"/>
          </w:tcPr>
          <w:p w14:paraId="0F448E4C" w14:textId="77777777" w:rsidR="0008758D" w:rsidRDefault="00127F5C">
            <w:pPr>
              <w:jc w:val="center"/>
              <w:rPr>
                <w:rFonts w:eastAsia="SimSun"/>
                <w:sz w:val="20"/>
                <w:szCs w:val="20"/>
                <w:lang w:eastAsia="zh-CN"/>
              </w:rPr>
            </w:pPr>
            <w:r>
              <w:rPr>
                <w:rFonts w:hint="eastAsia"/>
              </w:rPr>
              <w:t>(1.836)</w:t>
            </w:r>
          </w:p>
        </w:tc>
        <w:tc>
          <w:tcPr>
            <w:tcW w:w="730" w:type="pct"/>
            <w:tcBorders>
              <w:top w:val="nil"/>
              <w:left w:val="nil"/>
              <w:bottom w:val="nil"/>
              <w:right w:val="nil"/>
            </w:tcBorders>
            <w:noWrap/>
            <w:vAlign w:val="center"/>
          </w:tcPr>
          <w:p w14:paraId="5413A3DE" w14:textId="77777777" w:rsidR="0008758D" w:rsidRDefault="00127F5C">
            <w:pPr>
              <w:jc w:val="center"/>
              <w:rPr>
                <w:rFonts w:eastAsia="SimSun"/>
                <w:sz w:val="20"/>
                <w:szCs w:val="20"/>
                <w:lang w:eastAsia="zh-CN"/>
              </w:rPr>
            </w:pPr>
            <w:r>
              <w:rPr>
                <w:rFonts w:eastAsia="SimSun"/>
                <w:sz w:val="20"/>
                <w:szCs w:val="20"/>
                <w:lang w:eastAsia="zh-CN"/>
              </w:rPr>
              <w:t>（</w:t>
            </w:r>
            <w:r>
              <w:rPr>
                <w:rFonts w:eastAsia="SimSun"/>
                <w:sz w:val="20"/>
                <w:szCs w:val="20"/>
                <w:lang w:eastAsia="zh-CN"/>
              </w:rPr>
              <w:t>0.396</w:t>
            </w:r>
            <w:r>
              <w:rPr>
                <w:rFonts w:eastAsia="SimSun"/>
                <w:sz w:val="20"/>
                <w:szCs w:val="20"/>
                <w:lang w:eastAsia="zh-CN"/>
              </w:rPr>
              <w:t>）</w:t>
            </w:r>
          </w:p>
        </w:tc>
        <w:tc>
          <w:tcPr>
            <w:tcW w:w="743" w:type="pct"/>
            <w:tcBorders>
              <w:top w:val="nil"/>
              <w:left w:val="nil"/>
              <w:bottom w:val="nil"/>
              <w:right w:val="nil"/>
            </w:tcBorders>
            <w:noWrap/>
            <w:vAlign w:val="center"/>
          </w:tcPr>
          <w:p w14:paraId="10826693" w14:textId="77777777" w:rsidR="0008758D" w:rsidRDefault="00127F5C">
            <w:pPr>
              <w:jc w:val="center"/>
              <w:rPr>
                <w:rFonts w:eastAsia="SimSun"/>
                <w:sz w:val="20"/>
                <w:szCs w:val="20"/>
                <w:lang w:eastAsia="zh-CN"/>
              </w:rPr>
            </w:pPr>
            <w:r>
              <w:rPr>
                <w:rFonts w:eastAsia="SimSun"/>
                <w:sz w:val="20"/>
                <w:szCs w:val="20"/>
                <w:lang w:eastAsia="zh-CN"/>
              </w:rPr>
              <w:t>（</w:t>
            </w:r>
            <w:r>
              <w:rPr>
                <w:rFonts w:eastAsia="SimSun"/>
                <w:sz w:val="20"/>
                <w:szCs w:val="20"/>
                <w:lang w:eastAsia="zh-CN"/>
              </w:rPr>
              <w:t>1.915</w:t>
            </w:r>
            <w:r>
              <w:rPr>
                <w:rFonts w:eastAsia="SimSun"/>
                <w:sz w:val="20"/>
                <w:szCs w:val="20"/>
                <w:lang w:eastAsia="zh-CN"/>
              </w:rPr>
              <w:t>）</w:t>
            </w:r>
          </w:p>
        </w:tc>
        <w:tc>
          <w:tcPr>
            <w:tcW w:w="759" w:type="pct"/>
            <w:tcBorders>
              <w:top w:val="nil"/>
              <w:left w:val="nil"/>
              <w:bottom w:val="nil"/>
              <w:right w:val="nil"/>
            </w:tcBorders>
            <w:noWrap/>
            <w:vAlign w:val="center"/>
          </w:tcPr>
          <w:p w14:paraId="75A5D098" w14:textId="77777777" w:rsidR="0008758D" w:rsidRDefault="00127F5C">
            <w:pPr>
              <w:jc w:val="center"/>
              <w:rPr>
                <w:rFonts w:eastAsia="SimSun"/>
                <w:sz w:val="20"/>
                <w:szCs w:val="20"/>
                <w:lang w:eastAsia="zh-CN"/>
              </w:rPr>
            </w:pPr>
            <w:r>
              <w:rPr>
                <w:rFonts w:eastAsia="SimSun"/>
                <w:sz w:val="20"/>
                <w:szCs w:val="20"/>
                <w:lang w:eastAsia="zh-CN"/>
              </w:rPr>
              <w:t>（</w:t>
            </w:r>
            <w:r>
              <w:rPr>
                <w:rFonts w:eastAsia="SimSun"/>
                <w:sz w:val="20"/>
                <w:szCs w:val="20"/>
                <w:lang w:eastAsia="zh-CN"/>
              </w:rPr>
              <w:t>0.305</w:t>
            </w:r>
            <w:r>
              <w:rPr>
                <w:rFonts w:eastAsia="SimSun"/>
                <w:sz w:val="20"/>
                <w:szCs w:val="20"/>
                <w:lang w:eastAsia="zh-CN"/>
              </w:rPr>
              <w:t>）</w:t>
            </w:r>
          </w:p>
        </w:tc>
        <w:tc>
          <w:tcPr>
            <w:tcW w:w="690" w:type="pct"/>
            <w:tcBorders>
              <w:top w:val="nil"/>
              <w:left w:val="nil"/>
              <w:bottom w:val="nil"/>
              <w:right w:val="nil"/>
            </w:tcBorders>
            <w:noWrap/>
            <w:vAlign w:val="center"/>
          </w:tcPr>
          <w:p w14:paraId="75404416" w14:textId="77777777" w:rsidR="0008758D" w:rsidRDefault="00127F5C">
            <w:pPr>
              <w:jc w:val="center"/>
              <w:rPr>
                <w:rFonts w:eastAsia="SimSun"/>
                <w:sz w:val="20"/>
                <w:szCs w:val="20"/>
                <w:lang w:eastAsia="zh-CN"/>
              </w:rPr>
            </w:pPr>
            <w:r>
              <w:rPr>
                <w:rFonts w:eastAsia="SimSun"/>
                <w:sz w:val="20"/>
                <w:szCs w:val="20"/>
                <w:lang w:eastAsia="zh-CN"/>
              </w:rPr>
              <w:t>(1.082)</w:t>
            </w:r>
          </w:p>
        </w:tc>
        <w:tc>
          <w:tcPr>
            <w:tcW w:w="673" w:type="pct"/>
            <w:tcBorders>
              <w:top w:val="nil"/>
              <w:left w:val="nil"/>
              <w:bottom w:val="nil"/>
              <w:right w:val="nil"/>
            </w:tcBorders>
            <w:noWrap/>
            <w:vAlign w:val="center"/>
          </w:tcPr>
          <w:p w14:paraId="3D80FD59" w14:textId="77777777" w:rsidR="0008758D" w:rsidRDefault="00127F5C">
            <w:pPr>
              <w:jc w:val="center"/>
              <w:rPr>
                <w:rFonts w:eastAsia="SimSun"/>
                <w:sz w:val="20"/>
                <w:szCs w:val="20"/>
                <w:lang w:eastAsia="zh-CN"/>
              </w:rPr>
            </w:pPr>
            <w:r>
              <w:rPr>
                <w:rFonts w:eastAsia="SimSun"/>
                <w:sz w:val="20"/>
                <w:szCs w:val="20"/>
                <w:lang w:eastAsia="zh-CN"/>
              </w:rPr>
              <w:t>(0.211)</w:t>
            </w:r>
          </w:p>
        </w:tc>
      </w:tr>
      <w:tr w:rsidR="0008758D" w14:paraId="5D9E88B1" w14:textId="77777777">
        <w:trPr>
          <w:trHeight w:val="244"/>
        </w:trPr>
        <w:tc>
          <w:tcPr>
            <w:tcW w:w="755" w:type="pct"/>
            <w:tcBorders>
              <w:top w:val="nil"/>
              <w:left w:val="nil"/>
              <w:bottom w:val="nil"/>
              <w:right w:val="nil"/>
            </w:tcBorders>
            <w:noWrap/>
            <w:vAlign w:val="center"/>
          </w:tcPr>
          <w:p w14:paraId="1E1FC629" w14:textId="77777777" w:rsidR="0008758D" w:rsidRDefault="00127F5C">
            <w:pPr>
              <w:jc w:val="center"/>
              <w:rPr>
                <w:rFonts w:eastAsia="SimSun"/>
                <w:sz w:val="20"/>
                <w:szCs w:val="20"/>
                <w:lang w:eastAsia="zh-CN"/>
              </w:rPr>
            </w:pPr>
            <w:r>
              <w:rPr>
                <w:rFonts w:hint="eastAsia"/>
              </w:rPr>
              <w:t>Control Variables</w:t>
            </w:r>
          </w:p>
        </w:tc>
        <w:tc>
          <w:tcPr>
            <w:tcW w:w="646" w:type="pct"/>
            <w:tcBorders>
              <w:top w:val="nil"/>
              <w:left w:val="nil"/>
              <w:bottom w:val="nil"/>
              <w:right w:val="nil"/>
            </w:tcBorders>
            <w:noWrap/>
            <w:vAlign w:val="center"/>
          </w:tcPr>
          <w:p w14:paraId="4401CEC3" w14:textId="77777777" w:rsidR="0008758D" w:rsidRDefault="00127F5C">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1465EDB4" w14:textId="77777777" w:rsidR="0008758D" w:rsidRDefault="00127F5C">
            <w:pPr>
              <w:jc w:val="center"/>
              <w:rPr>
                <w:rFonts w:eastAsia="SimSun"/>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255CC438" w14:textId="77777777" w:rsidR="0008758D" w:rsidRDefault="00127F5C">
            <w:pPr>
              <w:jc w:val="center"/>
              <w:rPr>
                <w:rFonts w:eastAsia="SimSun"/>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72E06A2A" w14:textId="77777777" w:rsidR="0008758D" w:rsidRDefault="00127F5C">
            <w:pPr>
              <w:jc w:val="center"/>
              <w:rPr>
                <w:rFonts w:eastAsia="SimSun"/>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2655B496" w14:textId="77777777" w:rsidR="0008758D" w:rsidRDefault="00127F5C">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40FDA48D"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2D2FF0AC" w14:textId="77777777">
        <w:trPr>
          <w:trHeight w:val="244"/>
        </w:trPr>
        <w:tc>
          <w:tcPr>
            <w:tcW w:w="755" w:type="pct"/>
            <w:tcBorders>
              <w:top w:val="nil"/>
              <w:left w:val="nil"/>
              <w:bottom w:val="nil"/>
              <w:right w:val="nil"/>
            </w:tcBorders>
            <w:noWrap/>
            <w:vAlign w:val="center"/>
          </w:tcPr>
          <w:p w14:paraId="25EED57B" w14:textId="77777777" w:rsidR="0008758D" w:rsidRDefault="00127F5C">
            <w:pPr>
              <w:jc w:val="center"/>
              <w:rPr>
                <w:rFonts w:eastAsia="SimSun"/>
                <w:sz w:val="20"/>
                <w:szCs w:val="20"/>
                <w:lang w:eastAsia="zh-CN"/>
              </w:rPr>
            </w:pPr>
            <w:r>
              <w:rPr>
                <w:rFonts w:eastAsia="SimSun"/>
                <w:sz w:val="20"/>
                <w:szCs w:val="20"/>
                <w:lang w:eastAsia="zh-CN"/>
              </w:rPr>
              <w:t>Individual</w:t>
            </w:r>
            <w:r>
              <w:rPr>
                <w:rFonts w:eastAsia="SimSun"/>
                <w:sz w:val="20"/>
                <w:szCs w:val="20"/>
                <w:lang w:eastAsia="zh-CN"/>
              </w:rPr>
              <w:t xml:space="preserve"> FE</w:t>
            </w:r>
          </w:p>
        </w:tc>
        <w:tc>
          <w:tcPr>
            <w:tcW w:w="646" w:type="pct"/>
            <w:tcBorders>
              <w:top w:val="nil"/>
              <w:left w:val="nil"/>
              <w:bottom w:val="nil"/>
              <w:right w:val="nil"/>
            </w:tcBorders>
            <w:noWrap/>
            <w:vAlign w:val="center"/>
          </w:tcPr>
          <w:p w14:paraId="568087BB" w14:textId="77777777" w:rsidR="0008758D" w:rsidRDefault="00127F5C">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1BE3E5AE"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10EF0866"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3D21EFC5"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59F833AE" w14:textId="77777777" w:rsidR="0008758D" w:rsidRDefault="00127F5C">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21E36F42"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3B719899" w14:textId="77777777">
        <w:trPr>
          <w:trHeight w:val="244"/>
        </w:trPr>
        <w:tc>
          <w:tcPr>
            <w:tcW w:w="755" w:type="pct"/>
            <w:tcBorders>
              <w:top w:val="nil"/>
              <w:left w:val="nil"/>
              <w:bottom w:val="nil"/>
              <w:right w:val="nil"/>
            </w:tcBorders>
            <w:noWrap/>
            <w:vAlign w:val="center"/>
          </w:tcPr>
          <w:p w14:paraId="2330CB15" w14:textId="77777777" w:rsidR="0008758D" w:rsidRDefault="00127F5C">
            <w:pPr>
              <w:jc w:val="center"/>
              <w:rPr>
                <w:rFonts w:eastAsia="SimSun"/>
                <w:sz w:val="20"/>
                <w:szCs w:val="20"/>
                <w:lang w:eastAsia="zh-CN"/>
              </w:rPr>
            </w:pPr>
            <w:r>
              <w:rPr>
                <w:rFonts w:eastAsia="SimSun"/>
                <w:sz w:val="20"/>
                <w:szCs w:val="20"/>
                <w:lang w:eastAsia="zh-CN"/>
              </w:rPr>
              <w:t>Year FE</w:t>
            </w:r>
          </w:p>
        </w:tc>
        <w:tc>
          <w:tcPr>
            <w:tcW w:w="646" w:type="pct"/>
            <w:tcBorders>
              <w:top w:val="nil"/>
              <w:left w:val="nil"/>
              <w:bottom w:val="nil"/>
              <w:right w:val="nil"/>
            </w:tcBorders>
            <w:noWrap/>
            <w:vAlign w:val="center"/>
          </w:tcPr>
          <w:p w14:paraId="21EB9AE1" w14:textId="77777777" w:rsidR="0008758D" w:rsidRDefault="00127F5C">
            <w:pPr>
              <w:jc w:val="center"/>
              <w:rPr>
                <w:rFonts w:eastAsia="SimSun"/>
                <w:sz w:val="20"/>
                <w:szCs w:val="20"/>
                <w:lang w:eastAsia="zh-CN"/>
              </w:rPr>
            </w:pPr>
            <w:r>
              <w:rPr>
                <w:rFonts w:eastAsia="SimSun"/>
                <w:sz w:val="20"/>
                <w:szCs w:val="20"/>
                <w:lang w:eastAsia="zh-CN"/>
              </w:rPr>
              <w:t>Yes</w:t>
            </w:r>
          </w:p>
        </w:tc>
        <w:tc>
          <w:tcPr>
            <w:tcW w:w="730" w:type="pct"/>
            <w:tcBorders>
              <w:top w:val="nil"/>
              <w:left w:val="nil"/>
              <w:bottom w:val="nil"/>
              <w:right w:val="nil"/>
            </w:tcBorders>
            <w:noWrap/>
            <w:vAlign w:val="center"/>
          </w:tcPr>
          <w:p w14:paraId="66A170B1"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743" w:type="pct"/>
            <w:tcBorders>
              <w:top w:val="nil"/>
              <w:left w:val="nil"/>
              <w:bottom w:val="nil"/>
              <w:right w:val="nil"/>
            </w:tcBorders>
            <w:noWrap/>
            <w:vAlign w:val="center"/>
          </w:tcPr>
          <w:p w14:paraId="5A6D3707"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759" w:type="pct"/>
            <w:tcBorders>
              <w:top w:val="nil"/>
              <w:left w:val="nil"/>
              <w:bottom w:val="nil"/>
              <w:right w:val="nil"/>
            </w:tcBorders>
            <w:noWrap/>
            <w:vAlign w:val="center"/>
          </w:tcPr>
          <w:p w14:paraId="2AE4E3A2"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690" w:type="pct"/>
            <w:tcBorders>
              <w:top w:val="nil"/>
              <w:left w:val="nil"/>
              <w:bottom w:val="nil"/>
              <w:right w:val="nil"/>
            </w:tcBorders>
            <w:noWrap/>
            <w:vAlign w:val="center"/>
          </w:tcPr>
          <w:p w14:paraId="29FD7A65" w14:textId="77777777" w:rsidR="0008758D" w:rsidRDefault="00127F5C">
            <w:pPr>
              <w:jc w:val="center"/>
              <w:rPr>
                <w:rFonts w:eastAsia="SimSun"/>
                <w:sz w:val="20"/>
                <w:szCs w:val="20"/>
                <w:lang w:eastAsia="zh-CN"/>
              </w:rPr>
            </w:pPr>
            <w:r>
              <w:rPr>
                <w:rFonts w:eastAsia="SimSun"/>
                <w:sz w:val="20"/>
                <w:szCs w:val="20"/>
                <w:lang w:eastAsia="zh-CN"/>
              </w:rPr>
              <w:t>Yes</w:t>
            </w:r>
          </w:p>
        </w:tc>
        <w:tc>
          <w:tcPr>
            <w:tcW w:w="673" w:type="pct"/>
            <w:tcBorders>
              <w:top w:val="nil"/>
              <w:left w:val="nil"/>
              <w:bottom w:val="nil"/>
              <w:right w:val="nil"/>
            </w:tcBorders>
            <w:noWrap/>
            <w:vAlign w:val="center"/>
          </w:tcPr>
          <w:p w14:paraId="7C4D4589"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1B6DEDE2" w14:textId="77777777">
        <w:trPr>
          <w:trHeight w:val="244"/>
        </w:trPr>
        <w:tc>
          <w:tcPr>
            <w:tcW w:w="755" w:type="pct"/>
            <w:tcBorders>
              <w:top w:val="nil"/>
              <w:left w:val="nil"/>
              <w:bottom w:val="nil"/>
              <w:right w:val="nil"/>
            </w:tcBorders>
            <w:noWrap/>
            <w:vAlign w:val="center"/>
          </w:tcPr>
          <w:p w14:paraId="0FF7FAEE"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646" w:type="pct"/>
            <w:tcBorders>
              <w:top w:val="nil"/>
              <w:left w:val="nil"/>
              <w:bottom w:val="nil"/>
              <w:right w:val="nil"/>
            </w:tcBorders>
            <w:noWrap/>
            <w:vAlign w:val="center"/>
          </w:tcPr>
          <w:p w14:paraId="37622BAB" w14:textId="77777777" w:rsidR="0008758D" w:rsidRDefault="00127F5C">
            <w:pPr>
              <w:jc w:val="center"/>
              <w:rPr>
                <w:rFonts w:eastAsia="SimSun"/>
                <w:sz w:val="20"/>
                <w:szCs w:val="20"/>
                <w:lang w:eastAsia="zh-CN"/>
              </w:rPr>
            </w:pPr>
            <w:r>
              <w:rPr>
                <w:rFonts w:eastAsia="SimSun" w:hint="eastAsia"/>
                <w:sz w:val="20"/>
                <w:szCs w:val="20"/>
                <w:lang w:eastAsia="zh-CN"/>
              </w:rPr>
              <w:t>11217</w:t>
            </w:r>
          </w:p>
        </w:tc>
        <w:tc>
          <w:tcPr>
            <w:tcW w:w="730" w:type="pct"/>
            <w:tcBorders>
              <w:top w:val="nil"/>
              <w:left w:val="nil"/>
              <w:bottom w:val="nil"/>
              <w:right w:val="nil"/>
            </w:tcBorders>
            <w:noWrap/>
            <w:vAlign w:val="center"/>
          </w:tcPr>
          <w:p w14:paraId="4C32033B" w14:textId="77777777" w:rsidR="0008758D" w:rsidRDefault="00127F5C">
            <w:pPr>
              <w:jc w:val="center"/>
              <w:rPr>
                <w:rFonts w:eastAsia="SimSun"/>
                <w:sz w:val="20"/>
                <w:szCs w:val="20"/>
                <w:lang w:eastAsia="zh-CN"/>
              </w:rPr>
            </w:pPr>
            <w:r>
              <w:rPr>
                <w:rFonts w:eastAsia="SimSun" w:hint="eastAsia"/>
                <w:sz w:val="20"/>
                <w:szCs w:val="20"/>
                <w:lang w:eastAsia="zh-CN"/>
              </w:rPr>
              <w:t>11217</w:t>
            </w:r>
          </w:p>
        </w:tc>
        <w:tc>
          <w:tcPr>
            <w:tcW w:w="743" w:type="pct"/>
            <w:tcBorders>
              <w:top w:val="nil"/>
              <w:left w:val="nil"/>
              <w:bottom w:val="nil"/>
              <w:right w:val="nil"/>
            </w:tcBorders>
            <w:noWrap/>
            <w:vAlign w:val="center"/>
          </w:tcPr>
          <w:p w14:paraId="35B2CC8B" w14:textId="77777777" w:rsidR="0008758D" w:rsidRDefault="00127F5C">
            <w:pPr>
              <w:jc w:val="center"/>
              <w:rPr>
                <w:rFonts w:eastAsia="SimSun"/>
                <w:sz w:val="20"/>
                <w:szCs w:val="20"/>
                <w:lang w:eastAsia="zh-CN"/>
              </w:rPr>
            </w:pPr>
            <w:r>
              <w:rPr>
                <w:rFonts w:eastAsia="SimSun" w:hint="eastAsia"/>
                <w:sz w:val="20"/>
                <w:szCs w:val="20"/>
                <w:lang w:eastAsia="zh-CN"/>
              </w:rPr>
              <w:t>6559</w:t>
            </w:r>
          </w:p>
        </w:tc>
        <w:tc>
          <w:tcPr>
            <w:tcW w:w="759" w:type="pct"/>
            <w:tcBorders>
              <w:top w:val="nil"/>
              <w:left w:val="nil"/>
              <w:bottom w:val="nil"/>
              <w:right w:val="nil"/>
            </w:tcBorders>
            <w:noWrap/>
            <w:vAlign w:val="center"/>
          </w:tcPr>
          <w:p w14:paraId="275DCFBB" w14:textId="77777777" w:rsidR="0008758D" w:rsidRDefault="00127F5C">
            <w:pPr>
              <w:jc w:val="center"/>
              <w:rPr>
                <w:rFonts w:eastAsia="SimSun"/>
                <w:sz w:val="20"/>
                <w:szCs w:val="20"/>
                <w:lang w:eastAsia="zh-CN"/>
              </w:rPr>
            </w:pPr>
            <w:r>
              <w:rPr>
                <w:rFonts w:eastAsia="SimSun" w:hint="eastAsia"/>
                <w:sz w:val="20"/>
                <w:szCs w:val="20"/>
                <w:lang w:eastAsia="zh-CN"/>
              </w:rPr>
              <w:t>6559</w:t>
            </w:r>
          </w:p>
        </w:tc>
        <w:tc>
          <w:tcPr>
            <w:tcW w:w="690" w:type="pct"/>
            <w:tcBorders>
              <w:top w:val="nil"/>
              <w:left w:val="nil"/>
              <w:bottom w:val="nil"/>
              <w:right w:val="nil"/>
            </w:tcBorders>
            <w:noWrap/>
            <w:vAlign w:val="center"/>
          </w:tcPr>
          <w:p w14:paraId="54F70D9A" w14:textId="77777777" w:rsidR="0008758D" w:rsidRDefault="00127F5C">
            <w:pPr>
              <w:jc w:val="center"/>
              <w:rPr>
                <w:rFonts w:eastAsia="SimSun"/>
                <w:sz w:val="20"/>
                <w:szCs w:val="20"/>
                <w:lang w:eastAsia="zh-CN"/>
              </w:rPr>
            </w:pPr>
            <w:r>
              <w:rPr>
                <w:rFonts w:eastAsia="SimSun" w:hint="eastAsia"/>
                <w:sz w:val="20"/>
                <w:szCs w:val="20"/>
                <w:lang w:eastAsia="zh-CN"/>
              </w:rPr>
              <w:t>12521</w:t>
            </w:r>
          </w:p>
        </w:tc>
        <w:tc>
          <w:tcPr>
            <w:tcW w:w="673" w:type="pct"/>
            <w:tcBorders>
              <w:top w:val="nil"/>
              <w:left w:val="nil"/>
              <w:bottom w:val="nil"/>
              <w:right w:val="nil"/>
            </w:tcBorders>
            <w:noWrap/>
            <w:vAlign w:val="center"/>
          </w:tcPr>
          <w:p w14:paraId="24D1B087" w14:textId="77777777" w:rsidR="0008758D" w:rsidRDefault="00127F5C">
            <w:pPr>
              <w:jc w:val="center"/>
              <w:rPr>
                <w:rFonts w:eastAsia="SimSun"/>
                <w:sz w:val="20"/>
                <w:szCs w:val="20"/>
                <w:lang w:eastAsia="zh-CN"/>
              </w:rPr>
            </w:pPr>
            <w:r>
              <w:rPr>
                <w:rFonts w:eastAsia="SimSun" w:hint="eastAsia"/>
                <w:sz w:val="20"/>
                <w:szCs w:val="20"/>
                <w:lang w:eastAsia="zh-CN"/>
              </w:rPr>
              <w:t>12521</w:t>
            </w:r>
          </w:p>
        </w:tc>
      </w:tr>
      <w:tr w:rsidR="0008758D" w14:paraId="5B8AB25D" w14:textId="77777777">
        <w:trPr>
          <w:trHeight w:val="313"/>
        </w:trPr>
        <w:tc>
          <w:tcPr>
            <w:tcW w:w="755" w:type="pct"/>
            <w:tcBorders>
              <w:top w:val="nil"/>
              <w:left w:val="nil"/>
              <w:bottom w:val="single" w:sz="12" w:space="0" w:color="000000"/>
              <w:right w:val="nil"/>
            </w:tcBorders>
            <w:noWrap/>
            <w:vAlign w:val="center"/>
          </w:tcPr>
          <w:p w14:paraId="634BAB7A" w14:textId="77777777" w:rsidR="0008758D" w:rsidRDefault="00127F5C">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646" w:type="pct"/>
            <w:tcBorders>
              <w:top w:val="nil"/>
              <w:left w:val="nil"/>
              <w:bottom w:val="single" w:sz="12" w:space="0" w:color="000000"/>
              <w:right w:val="nil"/>
            </w:tcBorders>
            <w:noWrap/>
            <w:vAlign w:val="center"/>
          </w:tcPr>
          <w:p w14:paraId="68FE3FE2" w14:textId="77777777" w:rsidR="0008758D" w:rsidRDefault="00127F5C">
            <w:pPr>
              <w:jc w:val="center"/>
              <w:rPr>
                <w:rFonts w:eastAsia="SimSun"/>
                <w:sz w:val="20"/>
                <w:szCs w:val="20"/>
                <w:lang w:eastAsia="zh-CN"/>
              </w:rPr>
            </w:pPr>
            <w:r>
              <w:rPr>
                <w:rFonts w:eastAsia="SimSun" w:hint="eastAsia"/>
                <w:sz w:val="20"/>
                <w:szCs w:val="20"/>
                <w:lang w:eastAsia="zh-CN"/>
              </w:rPr>
              <w:t>0.616</w:t>
            </w:r>
          </w:p>
        </w:tc>
        <w:tc>
          <w:tcPr>
            <w:tcW w:w="730" w:type="pct"/>
            <w:tcBorders>
              <w:top w:val="nil"/>
              <w:left w:val="nil"/>
              <w:bottom w:val="single" w:sz="12" w:space="0" w:color="000000"/>
              <w:right w:val="nil"/>
            </w:tcBorders>
            <w:noWrap/>
            <w:vAlign w:val="center"/>
          </w:tcPr>
          <w:p w14:paraId="7CE5B5C3" w14:textId="77777777" w:rsidR="0008758D" w:rsidRDefault="00127F5C">
            <w:pPr>
              <w:jc w:val="center"/>
              <w:rPr>
                <w:rFonts w:eastAsia="SimSun"/>
                <w:sz w:val="20"/>
                <w:szCs w:val="20"/>
                <w:lang w:eastAsia="zh-CN"/>
              </w:rPr>
            </w:pPr>
            <w:r>
              <w:rPr>
                <w:rFonts w:eastAsia="SimSun" w:hint="eastAsia"/>
                <w:sz w:val="20"/>
                <w:szCs w:val="20"/>
                <w:lang w:eastAsia="zh-CN"/>
              </w:rPr>
              <w:t>0.586</w:t>
            </w:r>
          </w:p>
        </w:tc>
        <w:tc>
          <w:tcPr>
            <w:tcW w:w="743" w:type="pct"/>
            <w:tcBorders>
              <w:top w:val="nil"/>
              <w:left w:val="nil"/>
              <w:bottom w:val="single" w:sz="12" w:space="0" w:color="000000"/>
              <w:right w:val="nil"/>
            </w:tcBorders>
            <w:noWrap/>
            <w:vAlign w:val="center"/>
          </w:tcPr>
          <w:p w14:paraId="137AF2ED" w14:textId="77777777" w:rsidR="0008758D" w:rsidRDefault="00127F5C">
            <w:pPr>
              <w:jc w:val="center"/>
              <w:rPr>
                <w:rFonts w:eastAsia="SimSun"/>
                <w:sz w:val="20"/>
                <w:szCs w:val="20"/>
                <w:lang w:eastAsia="zh-CN"/>
              </w:rPr>
            </w:pPr>
            <w:r>
              <w:rPr>
                <w:rFonts w:eastAsia="SimSun" w:hint="eastAsia"/>
                <w:sz w:val="20"/>
                <w:szCs w:val="20"/>
                <w:lang w:eastAsia="zh-CN"/>
              </w:rPr>
              <w:t>0.595</w:t>
            </w:r>
          </w:p>
        </w:tc>
        <w:tc>
          <w:tcPr>
            <w:tcW w:w="759" w:type="pct"/>
            <w:tcBorders>
              <w:top w:val="nil"/>
              <w:left w:val="nil"/>
              <w:bottom w:val="single" w:sz="12" w:space="0" w:color="000000"/>
              <w:right w:val="nil"/>
            </w:tcBorders>
            <w:noWrap/>
            <w:vAlign w:val="center"/>
          </w:tcPr>
          <w:p w14:paraId="6EC635F4" w14:textId="77777777" w:rsidR="0008758D" w:rsidRDefault="00127F5C">
            <w:pPr>
              <w:jc w:val="center"/>
              <w:rPr>
                <w:rFonts w:eastAsia="SimSun"/>
                <w:sz w:val="20"/>
                <w:szCs w:val="20"/>
                <w:lang w:eastAsia="zh-CN"/>
              </w:rPr>
            </w:pPr>
            <w:r>
              <w:rPr>
                <w:rFonts w:eastAsia="SimSun" w:hint="eastAsia"/>
                <w:sz w:val="20"/>
                <w:szCs w:val="20"/>
                <w:lang w:eastAsia="zh-CN"/>
              </w:rPr>
              <w:t>0.542</w:t>
            </w:r>
          </w:p>
        </w:tc>
        <w:tc>
          <w:tcPr>
            <w:tcW w:w="690" w:type="pct"/>
            <w:tcBorders>
              <w:top w:val="nil"/>
              <w:left w:val="nil"/>
              <w:bottom w:val="single" w:sz="12" w:space="0" w:color="000000"/>
              <w:right w:val="nil"/>
            </w:tcBorders>
            <w:noWrap/>
            <w:vAlign w:val="center"/>
          </w:tcPr>
          <w:p w14:paraId="4510B2E6" w14:textId="77777777" w:rsidR="0008758D" w:rsidRDefault="00127F5C">
            <w:pPr>
              <w:jc w:val="center"/>
              <w:rPr>
                <w:rFonts w:eastAsia="SimSun"/>
                <w:sz w:val="20"/>
                <w:szCs w:val="20"/>
                <w:lang w:eastAsia="zh-CN"/>
              </w:rPr>
            </w:pPr>
            <w:r>
              <w:rPr>
                <w:rFonts w:eastAsia="SimSun" w:hint="eastAsia"/>
                <w:sz w:val="20"/>
                <w:szCs w:val="20"/>
                <w:lang w:eastAsia="zh-CN"/>
              </w:rPr>
              <w:t>0.565</w:t>
            </w:r>
          </w:p>
        </w:tc>
        <w:tc>
          <w:tcPr>
            <w:tcW w:w="673" w:type="pct"/>
            <w:tcBorders>
              <w:top w:val="nil"/>
              <w:left w:val="nil"/>
              <w:bottom w:val="single" w:sz="12" w:space="0" w:color="000000"/>
              <w:right w:val="nil"/>
            </w:tcBorders>
            <w:noWrap/>
            <w:vAlign w:val="center"/>
          </w:tcPr>
          <w:p w14:paraId="2CABF2B4" w14:textId="77777777" w:rsidR="0008758D" w:rsidRDefault="00127F5C">
            <w:pPr>
              <w:jc w:val="center"/>
              <w:rPr>
                <w:rFonts w:eastAsia="SimSun"/>
                <w:sz w:val="20"/>
                <w:szCs w:val="20"/>
                <w:lang w:eastAsia="zh-CN"/>
              </w:rPr>
            </w:pPr>
            <w:r>
              <w:rPr>
                <w:rFonts w:eastAsia="SimSun" w:hint="eastAsia"/>
                <w:sz w:val="20"/>
                <w:szCs w:val="20"/>
                <w:lang w:eastAsia="zh-CN"/>
              </w:rPr>
              <w:t>0.536</w:t>
            </w:r>
          </w:p>
        </w:tc>
      </w:tr>
    </w:tbl>
    <w:p w14:paraId="72E984DB" w14:textId="77777777" w:rsidR="0008758D" w:rsidRDefault="0008758D">
      <w:pPr>
        <w:pStyle w:val="AbstHead"/>
        <w:widowControl/>
        <w:spacing w:after="0"/>
        <w:jc w:val="both"/>
        <w:rPr>
          <w:rFonts w:eastAsia="Times New Roman"/>
          <w:szCs w:val="20"/>
          <w:lang w:eastAsia="zh-CN"/>
        </w:rPr>
      </w:pPr>
    </w:p>
    <w:p w14:paraId="039AB50E"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5.2.4 Endogeneity Test.</w:t>
      </w:r>
    </w:p>
    <w:p w14:paraId="6120985A" w14:textId="77777777" w:rsidR="0008758D" w:rsidRDefault="0008758D">
      <w:pPr>
        <w:rPr>
          <w:lang w:eastAsia="zh-CN"/>
        </w:rPr>
      </w:pPr>
    </w:p>
    <w:p w14:paraId="3A818C5D" w14:textId="77777777" w:rsidR="0008758D" w:rsidRDefault="00127F5C">
      <w:pPr>
        <w:rPr>
          <w:rFonts w:eastAsia="Times New Roman"/>
          <w:sz w:val="20"/>
          <w:szCs w:val="20"/>
          <w:lang w:eastAsia="zh-CN"/>
        </w:rPr>
      </w:pPr>
      <w:r>
        <w:rPr>
          <w:rFonts w:eastAsia="Times New Roman" w:hint="eastAsia"/>
          <w:sz w:val="20"/>
          <w:szCs w:val="20"/>
          <w:lang w:eastAsia="zh-CN"/>
        </w:rPr>
        <w:t xml:space="preserve">First, although it has been verified that better ESG performance of enterprises </w:t>
      </w:r>
      <w:r>
        <w:rPr>
          <w:rFonts w:eastAsia="Times New Roman" w:hint="eastAsia"/>
          <w:sz w:val="20"/>
          <w:szCs w:val="20"/>
          <w:lang w:eastAsia="zh-CN"/>
        </w:rPr>
        <w:t xml:space="preserve">promotes their outward foreign direct investment (OFDI), when enterprises invest overseas, they acquire advanced technologies and management experiences from abroad, which in turn can enhance their ESG performance. Therefore, there may be a reverse causal </w:t>
      </w:r>
      <w:r>
        <w:rPr>
          <w:rFonts w:eastAsia="Times New Roman" w:hint="eastAsia"/>
          <w:sz w:val="20"/>
          <w:szCs w:val="20"/>
          <w:lang w:eastAsia="zh-CN"/>
        </w:rPr>
        <w:t>relationship between the core explanatory variable and the explained variable in this paper. Secondly, considering that there may be variables in the model that simultaneously affect both the ESG performance of enterprises and outward foreign direct invest</w:t>
      </w:r>
      <w:r>
        <w:rPr>
          <w:rFonts w:eastAsia="Times New Roman" w:hint="eastAsia"/>
          <w:sz w:val="20"/>
          <w:szCs w:val="20"/>
          <w:lang w:eastAsia="zh-CN"/>
        </w:rPr>
        <w:t>ment, and that omitted variables can affect the consistency of estimation results, this paper will select instrumental variables to address the endogeneity issue.</w:t>
      </w:r>
    </w:p>
    <w:p w14:paraId="16F29332" w14:textId="77777777" w:rsidR="0008758D" w:rsidRDefault="0008758D">
      <w:pPr>
        <w:rPr>
          <w:rFonts w:eastAsia="Times New Roman"/>
          <w:sz w:val="20"/>
          <w:szCs w:val="20"/>
          <w:lang w:eastAsia="zh-CN"/>
        </w:rPr>
      </w:pPr>
    </w:p>
    <w:p w14:paraId="73059C9C" w14:textId="77777777" w:rsidR="0008758D" w:rsidRDefault="00127F5C">
      <w:pPr>
        <w:rPr>
          <w:rFonts w:eastAsia="Times New Roman"/>
          <w:sz w:val="20"/>
          <w:szCs w:val="20"/>
          <w:lang w:eastAsia="zh-CN"/>
        </w:rPr>
      </w:pPr>
      <w:r>
        <w:rPr>
          <w:rFonts w:eastAsia="Times New Roman" w:hint="eastAsia"/>
          <w:sz w:val="20"/>
          <w:szCs w:val="20"/>
          <w:lang w:eastAsia="zh-CN"/>
        </w:rPr>
        <w:t>Referring to the research by Xuan Ye and Li Yang (2025), this paper uses the number of years</w:t>
      </w:r>
      <w:r>
        <w:rPr>
          <w:rFonts w:eastAsia="Times New Roman" w:hint="eastAsia"/>
          <w:sz w:val="20"/>
          <w:szCs w:val="20"/>
          <w:lang w:eastAsia="zh-CN"/>
        </w:rPr>
        <w:t xml:space="preserve"> since a company went public as an instrumental variable. The ESG responsibilities that listed companies must bear span the entire process from establishment to dissolution, and the number of years since going public is unrelated to the ESG performance of </w:t>
      </w:r>
      <w:r>
        <w:rPr>
          <w:rFonts w:eastAsia="Times New Roman" w:hint="eastAsia"/>
          <w:sz w:val="20"/>
          <w:szCs w:val="20"/>
          <w:lang w:eastAsia="zh-CN"/>
        </w:rPr>
        <w:t>the enterprise. Therefore, selecting the number of years since going public as an instrumental variable is reasonable. Table 3 employs the two-stage least squares method (2SLS) for instrumental variable regression, with column (1) showing the regression re</w:t>
      </w:r>
      <w:r>
        <w:rPr>
          <w:rFonts w:eastAsia="Times New Roman" w:hint="eastAsia"/>
          <w:sz w:val="20"/>
          <w:szCs w:val="20"/>
          <w:lang w:eastAsia="zh-CN"/>
        </w:rPr>
        <w:t xml:space="preserve">sults for OFDI and </w:t>
      </w:r>
      <w:r>
        <w:rPr>
          <w:rFonts w:eastAsia="Times New Roman" w:hint="eastAsia"/>
          <w:sz w:val="20"/>
          <w:szCs w:val="20"/>
          <w:lang w:eastAsia="zh-CN"/>
        </w:rPr>
        <w:lastRenderedPageBreak/>
        <w:t>column (2) showing the regression results for OFDI_F, both of which remain significant, further indicating that corporate ESG has a positive promoting effect on outward foreign direct investment, verifying the robustness of the fixed eff</w:t>
      </w:r>
      <w:r>
        <w:rPr>
          <w:rFonts w:eastAsia="Times New Roman" w:hint="eastAsia"/>
          <w:sz w:val="20"/>
          <w:szCs w:val="20"/>
          <w:lang w:eastAsia="zh-CN"/>
        </w:rPr>
        <w:t>ects regression mentioned earlier. From the test results in Table 3, the Anderson canonical correlation LM statistic is significant, passing the identification test, which means there is a significant correlation between the instrumental variable and the e</w:t>
      </w:r>
      <w:r>
        <w:rPr>
          <w:rFonts w:eastAsia="Times New Roman" w:hint="eastAsia"/>
          <w:sz w:val="20"/>
          <w:szCs w:val="20"/>
          <w:lang w:eastAsia="zh-CN"/>
        </w:rPr>
        <w:t>ndogenous explanatory variable, and the instrumental variable can effectively identify the model without identification deficiency. The Cragg-Donald Wald F values are 20.728 and 28.837, far exceeding the critical F value of 16.38 provided by the Stock-Yogo</w:t>
      </w:r>
      <w:r>
        <w:rPr>
          <w:rFonts w:eastAsia="Times New Roman" w:hint="eastAsia"/>
          <w:sz w:val="20"/>
          <w:szCs w:val="20"/>
          <w:lang w:eastAsia="zh-CN"/>
        </w:rPr>
        <w:t xml:space="preserve"> weak instrument test at the 10% distortion level, passing the weak instrument test and providing sufficient explanatory power for the endogenous explanatory variable. This indicates that the selected instrumental variable in the instrumental variable regr</w:t>
      </w:r>
      <w:r>
        <w:rPr>
          <w:rFonts w:eastAsia="Times New Roman" w:hint="eastAsia"/>
          <w:sz w:val="20"/>
          <w:szCs w:val="20"/>
          <w:lang w:eastAsia="zh-CN"/>
        </w:rPr>
        <w:t>ession is appropriate and can effectively address the endogeneity issue.</w:t>
      </w:r>
    </w:p>
    <w:p w14:paraId="3955F665" w14:textId="77777777" w:rsidR="0008758D" w:rsidRDefault="0008758D">
      <w:pPr>
        <w:rPr>
          <w:rFonts w:eastAsia="Times New Roman"/>
          <w:sz w:val="20"/>
          <w:szCs w:val="20"/>
          <w:lang w:eastAsia="zh-CN"/>
        </w:rPr>
      </w:pPr>
    </w:p>
    <w:p w14:paraId="31DA65EC" w14:textId="77777777" w:rsidR="0008758D" w:rsidRDefault="00127F5C">
      <w:pPr>
        <w:rPr>
          <w:rFonts w:eastAsia="Times New Roman"/>
          <w:sz w:val="20"/>
          <w:szCs w:val="20"/>
          <w:lang w:eastAsia="zh-CN"/>
        </w:rPr>
      </w:pPr>
      <w:r>
        <w:rPr>
          <w:rFonts w:eastAsia="Times New Roman" w:hint="eastAsia"/>
          <w:sz w:val="20"/>
          <w:szCs w:val="20"/>
          <w:lang w:eastAsia="zh-CN"/>
        </w:rPr>
        <w:t>Secondly, the results of the Hausman Test show that the p-value is 0.9903, which is much greater than 0.05, so we cannot reject the null hypothesis at the 0.05 significance level. Th</w:t>
      </w:r>
      <w:r>
        <w:rPr>
          <w:rFonts w:eastAsia="Times New Roman" w:hint="eastAsia"/>
          <w:sz w:val="20"/>
          <w:szCs w:val="20"/>
          <w:lang w:eastAsia="zh-CN"/>
        </w:rPr>
        <w:t>e result of the Durbin-Wu-Hausman test shows that the p-value is 0.0889, which is greater than 0.05, so we cannot reject the null hypothesis at the 0.05 significance level. This means that under the current model and sample data, there is not enough eviden</w:t>
      </w:r>
      <w:r>
        <w:rPr>
          <w:rFonts w:eastAsia="Times New Roman" w:hint="eastAsia"/>
          <w:sz w:val="20"/>
          <w:szCs w:val="20"/>
          <w:lang w:eastAsia="zh-CN"/>
        </w:rPr>
        <w:t>ce to indicate the presence of an endogeneity issue.</w:t>
      </w:r>
    </w:p>
    <w:p w14:paraId="2284D16C" w14:textId="77777777" w:rsidR="0008758D" w:rsidRDefault="0008758D">
      <w:pPr>
        <w:rPr>
          <w:rFonts w:eastAsia="Times New Roman"/>
          <w:sz w:val="20"/>
          <w:szCs w:val="20"/>
          <w:lang w:eastAsia="zh-CN"/>
        </w:rPr>
      </w:pPr>
    </w:p>
    <w:p w14:paraId="5C62E909" w14:textId="77777777" w:rsidR="0008758D" w:rsidRDefault="00127F5C">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3</w:t>
      </w:r>
      <w:r>
        <w:rPr>
          <w:rFonts w:eastAsia="Times New Roman"/>
          <w:b/>
          <w:bCs/>
          <w:sz w:val="20"/>
          <w:lang w:eastAsia="zh-CN"/>
        </w:rPr>
        <w:t>: Endogeneity Treatment Results</w:t>
      </w:r>
    </w:p>
    <w:tbl>
      <w:tblPr>
        <w:tblW w:w="4995" w:type="pct"/>
        <w:tblLayout w:type="fixed"/>
        <w:tblLook w:val="04A0" w:firstRow="1" w:lastRow="0" w:firstColumn="1" w:lastColumn="0" w:noHBand="0" w:noVBand="1"/>
      </w:tblPr>
      <w:tblGrid>
        <w:gridCol w:w="2760"/>
        <w:gridCol w:w="3502"/>
        <w:gridCol w:w="3304"/>
      </w:tblGrid>
      <w:tr w:rsidR="0008758D" w14:paraId="70AE7727" w14:textId="77777777">
        <w:trPr>
          <w:trHeight w:val="313"/>
        </w:trPr>
        <w:tc>
          <w:tcPr>
            <w:tcW w:w="1442" w:type="pct"/>
            <w:vMerge w:val="restart"/>
            <w:tcBorders>
              <w:top w:val="single" w:sz="12" w:space="0" w:color="000000"/>
              <w:left w:val="nil"/>
              <w:bottom w:val="single" w:sz="12" w:space="0" w:color="000000"/>
              <w:right w:val="nil"/>
            </w:tcBorders>
            <w:noWrap/>
            <w:vAlign w:val="center"/>
          </w:tcPr>
          <w:p w14:paraId="5992DF13" w14:textId="77777777" w:rsidR="0008758D" w:rsidRDefault="00127F5C">
            <w:pPr>
              <w:jc w:val="center"/>
              <w:rPr>
                <w:rFonts w:eastAsia="SimSun"/>
                <w:b/>
                <w:bCs/>
                <w:sz w:val="20"/>
                <w:szCs w:val="20"/>
              </w:rPr>
            </w:pPr>
            <w:r>
              <w:rPr>
                <w:rFonts w:eastAsia="SimSun"/>
                <w:b/>
                <w:bCs/>
                <w:sz w:val="20"/>
                <w:szCs w:val="20"/>
                <w:lang w:eastAsia="zh-CN"/>
              </w:rPr>
              <w:t>Variable</w:t>
            </w:r>
          </w:p>
        </w:tc>
        <w:tc>
          <w:tcPr>
            <w:tcW w:w="1830" w:type="pct"/>
            <w:tcBorders>
              <w:top w:val="single" w:sz="12" w:space="0" w:color="000000"/>
              <w:left w:val="nil"/>
              <w:bottom w:val="nil"/>
              <w:right w:val="nil"/>
            </w:tcBorders>
            <w:noWrap/>
            <w:vAlign w:val="center"/>
          </w:tcPr>
          <w:p w14:paraId="7284CFD0" w14:textId="77777777" w:rsidR="0008758D" w:rsidRDefault="00127F5C">
            <w:pPr>
              <w:jc w:val="center"/>
              <w:rPr>
                <w:rFonts w:eastAsia="SimSun"/>
                <w:b/>
                <w:bCs/>
                <w:sz w:val="20"/>
                <w:szCs w:val="20"/>
                <w:lang w:eastAsia="zh-CN"/>
              </w:rPr>
            </w:pPr>
            <w:r>
              <w:rPr>
                <w:rFonts w:eastAsia="SimSun" w:hint="eastAsia"/>
                <w:b/>
                <w:bCs/>
                <w:sz w:val="20"/>
                <w:szCs w:val="20"/>
                <w:lang w:eastAsia="zh-CN"/>
              </w:rPr>
              <w:t>(1)</w:t>
            </w:r>
          </w:p>
        </w:tc>
        <w:tc>
          <w:tcPr>
            <w:tcW w:w="1726" w:type="pct"/>
            <w:tcBorders>
              <w:top w:val="single" w:sz="12" w:space="0" w:color="000000"/>
              <w:left w:val="nil"/>
              <w:bottom w:val="nil"/>
              <w:right w:val="nil"/>
            </w:tcBorders>
            <w:noWrap/>
            <w:vAlign w:val="center"/>
          </w:tcPr>
          <w:p w14:paraId="6C255EB0" w14:textId="77777777" w:rsidR="0008758D" w:rsidRDefault="00127F5C">
            <w:pPr>
              <w:jc w:val="center"/>
              <w:rPr>
                <w:rFonts w:eastAsia="SimSun"/>
                <w:b/>
                <w:bCs/>
                <w:sz w:val="20"/>
                <w:szCs w:val="20"/>
                <w:lang w:eastAsia="zh-CN"/>
              </w:rPr>
            </w:pPr>
            <w:r>
              <w:rPr>
                <w:rFonts w:eastAsia="SimSun" w:hint="eastAsia"/>
                <w:b/>
                <w:bCs/>
                <w:sz w:val="20"/>
                <w:szCs w:val="20"/>
                <w:lang w:eastAsia="zh-CN"/>
              </w:rPr>
              <w:t>(2)</w:t>
            </w:r>
          </w:p>
        </w:tc>
      </w:tr>
      <w:tr w:rsidR="0008758D" w14:paraId="5135A641" w14:textId="77777777">
        <w:trPr>
          <w:trHeight w:val="313"/>
        </w:trPr>
        <w:tc>
          <w:tcPr>
            <w:tcW w:w="1442" w:type="pct"/>
            <w:vMerge/>
            <w:tcBorders>
              <w:top w:val="single" w:sz="12" w:space="0" w:color="000000"/>
              <w:left w:val="nil"/>
              <w:bottom w:val="single" w:sz="12" w:space="0" w:color="000000"/>
              <w:right w:val="nil"/>
            </w:tcBorders>
            <w:noWrap/>
            <w:vAlign w:val="center"/>
          </w:tcPr>
          <w:p w14:paraId="701DFEB0" w14:textId="77777777" w:rsidR="0008758D" w:rsidRDefault="0008758D">
            <w:pPr>
              <w:jc w:val="center"/>
              <w:rPr>
                <w:rFonts w:eastAsia="SimSun"/>
                <w:b/>
                <w:bCs/>
                <w:sz w:val="20"/>
                <w:szCs w:val="20"/>
              </w:rPr>
            </w:pPr>
          </w:p>
        </w:tc>
        <w:tc>
          <w:tcPr>
            <w:tcW w:w="1830" w:type="pct"/>
            <w:tcBorders>
              <w:top w:val="nil"/>
              <w:left w:val="nil"/>
              <w:bottom w:val="single" w:sz="12" w:space="0" w:color="000000"/>
              <w:right w:val="nil"/>
            </w:tcBorders>
            <w:noWrap/>
            <w:vAlign w:val="center"/>
          </w:tcPr>
          <w:p w14:paraId="49C098F4" w14:textId="77777777" w:rsidR="0008758D" w:rsidRDefault="00127F5C">
            <w:pPr>
              <w:jc w:val="center"/>
              <w:rPr>
                <w:rFonts w:eastAsia="SimSun"/>
                <w:b/>
                <w:bCs/>
                <w:sz w:val="20"/>
                <w:szCs w:val="20"/>
                <w:lang w:eastAsia="zh-CN"/>
              </w:rPr>
            </w:pPr>
            <w:r>
              <w:rPr>
                <w:rFonts w:eastAsia="SimSun" w:hint="eastAsia"/>
                <w:b/>
                <w:bCs/>
                <w:sz w:val="20"/>
                <w:szCs w:val="20"/>
                <w:lang w:eastAsia="zh-CN"/>
              </w:rPr>
              <w:t>OFDI</w:t>
            </w:r>
          </w:p>
        </w:tc>
        <w:tc>
          <w:tcPr>
            <w:tcW w:w="1726" w:type="pct"/>
            <w:tcBorders>
              <w:top w:val="nil"/>
              <w:left w:val="nil"/>
              <w:bottom w:val="single" w:sz="12" w:space="0" w:color="000000"/>
              <w:right w:val="nil"/>
            </w:tcBorders>
            <w:noWrap/>
            <w:vAlign w:val="center"/>
          </w:tcPr>
          <w:p w14:paraId="7CB89B95" w14:textId="77777777" w:rsidR="0008758D" w:rsidRDefault="00127F5C">
            <w:pPr>
              <w:jc w:val="center"/>
              <w:rPr>
                <w:rFonts w:eastAsia="SimSun"/>
                <w:b/>
                <w:bCs/>
                <w:sz w:val="20"/>
                <w:szCs w:val="20"/>
                <w:lang w:eastAsia="zh-CN"/>
              </w:rPr>
            </w:pPr>
            <w:r>
              <w:rPr>
                <w:rFonts w:eastAsia="SimSun" w:hint="eastAsia"/>
                <w:b/>
                <w:bCs/>
                <w:sz w:val="20"/>
                <w:szCs w:val="20"/>
                <w:lang w:eastAsia="zh-CN"/>
              </w:rPr>
              <w:t>OFDI_F</w:t>
            </w:r>
          </w:p>
        </w:tc>
      </w:tr>
      <w:tr w:rsidR="0008758D" w14:paraId="180F49E4" w14:textId="77777777">
        <w:trPr>
          <w:trHeight w:val="313"/>
        </w:trPr>
        <w:tc>
          <w:tcPr>
            <w:tcW w:w="1442" w:type="pct"/>
            <w:vMerge w:val="restart"/>
            <w:tcBorders>
              <w:top w:val="nil"/>
              <w:left w:val="nil"/>
              <w:bottom w:val="nil"/>
              <w:right w:val="nil"/>
            </w:tcBorders>
            <w:noWrap/>
            <w:vAlign w:val="center"/>
          </w:tcPr>
          <w:p w14:paraId="1237E0A9" w14:textId="77777777" w:rsidR="0008758D" w:rsidRDefault="00127F5C">
            <w:pPr>
              <w:jc w:val="center"/>
              <w:rPr>
                <w:rFonts w:eastAsia="SimSun"/>
                <w:sz w:val="20"/>
                <w:szCs w:val="20"/>
                <w:lang w:eastAsia="zh-CN"/>
              </w:rPr>
            </w:pPr>
            <w:r>
              <w:rPr>
                <w:rFonts w:eastAsia="SimSun"/>
                <w:sz w:val="20"/>
                <w:szCs w:val="20"/>
                <w:lang w:eastAsia="zh-CN"/>
              </w:rPr>
              <w:t>ESG</w:t>
            </w:r>
          </w:p>
        </w:tc>
        <w:tc>
          <w:tcPr>
            <w:tcW w:w="1830" w:type="pct"/>
            <w:tcBorders>
              <w:top w:val="nil"/>
              <w:left w:val="nil"/>
              <w:bottom w:val="nil"/>
              <w:right w:val="nil"/>
            </w:tcBorders>
            <w:noWrap/>
            <w:vAlign w:val="center"/>
          </w:tcPr>
          <w:p w14:paraId="04B26D18" w14:textId="77777777" w:rsidR="0008758D" w:rsidRDefault="00127F5C">
            <w:pPr>
              <w:jc w:val="center"/>
              <w:rPr>
                <w:rFonts w:eastAsia="SimSun"/>
                <w:sz w:val="20"/>
                <w:szCs w:val="20"/>
                <w:lang w:eastAsia="zh-CN"/>
              </w:rPr>
            </w:pPr>
            <w:r>
              <w:rPr>
                <w:rFonts w:hint="eastAsia"/>
              </w:rPr>
              <w:t>76.828**</w:t>
            </w:r>
          </w:p>
        </w:tc>
        <w:tc>
          <w:tcPr>
            <w:tcW w:w="1726" w:type="pct"/>
            <w:tcBorders>
              <w:top w:val="nil"/>
              <w:left w:val="nil"/>
              <w:bottom w:val="nil"/>
              <w:right w:val="nil"/>
            </w:tcBorders>
            <w:noWrap/>
            <w:vAlign w:val="center"/>
          </w:tcPr>
          <w:p w14:paraId="4C0FDFF3" w14:textId="77777777" w:rsidR="0008758D" w:rsidRDefault="00127F5C">
            <w:pPr>
              <w:jc w:val="center"/>
              <w:rPr>
                <w:rFonts w:eastAsia="SimSun"/>
                <w:sz w:val="20"/>
                <w:szCs w:val="20"/>
                <w:lang w:eastAsia="zh-CN"/>
              </w:rPr>
            </w:pPr>
            <w:r>
              <w:rPr>
                <w:rFonts w:eastAsia="SimSun"/>
                <w:sz w:val="20"/>
                <w:szCs w:val="20"/>
                <w:lang w:eastAsia="zh-CN"/>
              </w:rPr>
              <w:t>0.586***</w:t>
            </w:r>
          </w:p>
        </w:tc>
      </w:tr>
      <w:tr w:rsidR="0008758D" w14:paraId="226990D8" w14:textId="77777777">
        <w:trPr>
          <w:trHeight w:val="236"/>
        </w:trPr>
        <w:tc>
          <w:tcPr>
            <w:tcW w:w="1442" w:type="pct"/>
            <w:vMerge/>
            <w:tcBorders>
              <w:top w:val="nil"/>
              <w:left w:val="nil"/>
              <w:bottom w:val="nil"/>
              <w:right w:val="nil"/>
            </w:tcBorders>
            <w:noWrap/>
            <w:vAlign w:val="center"/>
          </w:tcPr>
          <w:p w14:paraId="1D9276CA" w14:textId="77777777" w:rsidR="0008758D" w:rsidRDefault="0008758D">
            <w:pPr>
              <w:jc w:val="center"/>
              <w:rPr>
                <w:rFonts w:eastAsia="SimSun"/>
                <w:sz w:val="20"/>
                <w:szCs w:val="20"/>
                <w:lang w:eastAsia="zh-CN"/>
              </w:rPr>
            </w:pPr>
          </w:p>
        </w:tc>
        <w:tc>
          <w:tcPr>
            <w:tcW w:w="1830" w:type="pct"/>
            <w:tcBorders>
              <w:top w:val="nil"/>
              <w:left w:val="nil"/>
              <w:bottom w:val="nil"/>
              <w:right w:val="nil"/>
            </w:tcBorders>
            <w:noWrap/>
            <w:vAlign w:val="center"/>
          </w:tcPr>
          <w:p w14:paraId="16E3D763" w14:textId="77777777" w:rsidR="0008758D" w:rsidRDefault="00127F5C">
            <w:pPr>
              <w:jc w:val="center"/>
              <w:rPr>
                <w:rFonts w:eastAsia="SimSun"/>
                <w:sz w:val="20"/>
                <w:szCs w:val="20"/>
                <w:lang w:eastAsia="zh-CN"/>
              </w:rPr>
            </w:pPr>
            <w:r>
              <w:rPr>
                <w:rFonts w:hint="eastAsia"/>
              </w:rPr>
              <w:t>(38.463)</w:t>
            </w:r>
          </w:p>
        </w:tc>
        <w:tc>
          <w:tcPr>
            <w:tcW w:w="1726" w:type="pct"/>
            <w:tcBorders>
              <w:top w:val="nil"/>
              <w:left w:val="nil"/>
              <w:bottom w:val="nil"/>
              <w:right w:val="nil"/>
            </w:tcBorders>
            <w:noWrap/>
            <w:vAlign w:val="center"/>
          </w:tcPr>
          <w:p w14:paraId="3DCAA6B0" w14:textId="77777777" w:rsidR="0008758D" w:rsidRDefault="00127F5C">
            <w:pPr>
              <w:jc w:val="center"/>
              <w:rPr>
                <w:rFonts w:eastAsia="SimSun"/>
                <w:sz w:val="20"/>
                <w:szCs w:val="20"/>
                <w:lang w:eastAsia="zh-CN"/>
              </w:rPr>
            </w:pPr>
            <w:r>
              <w:rPr>
                <w:rFonts w:eastAsia="SimSun"/>
                <w:sz w:val="20"/>
                <w:szCs w:val="20"/>
                <w:lang w:eastAsia="zh-CN"/>
              </w:rPr>
              <w:t>(0.227)</w:t>
            </w:r>
          </w:p>
        </w:tc>
      </w:tr>
      <w:tr w:rsidR="0008758D" w14:paraId="548304CF" w14:textId="77777777">
        <w:trPr>
          <w:trHeight w:val="244"/>
        </w:trPr>
        <w:tc>
          <w:tcPr>
            <w:tcW w:w="1442" w:type="pct"/>
            <w:vMerge w:val="restart"/>
            <w:tcBorders>
              <w:top w:val="nil"/>
              <w:left w:val="nil"/>
              <w:right w:val="nil"/>
            </w:tcBorders>
            <w:noWrap/>
            <w:vAlign w:val="center"/>
          </w:tcPr>
          <w:p w14:paraId="46E67F51" w14:textId="77777777" w:rsidR="0008758D" w:rsidRDefault="00127F5C">
            <w:pPr>
              <w:jc w:val="center"/>
            </w:pPr>
            <w:r>
              <w:rPr>
                <w:rFonts w:hint="eastAsia"/>
              </w:rPr>
              <w:t>Anderson canon. corr. LM</w:t>
            </w:r>
          </w:p>
        </w:tc>
        <w:tc>
          <w:tcPr>
            <w:tcW w:w="1830" w:type="pct"/>
            <w:tcBorders>
              <w:top w:val="nil"/>
              <w:left w:val="nil"/>
              <w:bottom w:val="nil"/>
              <w:right w:val="nil"/>
            </w:tcBorders>
            <w:noWrap/>
            <w:vAlign w:val="center"/>
          </w:tcPr>
          <w:p w14:paraId="13AF1FE5" w14:textId="77777777" w:rsidR="0008758D" w:rsidRDefault="00127F5C">
            <w:pPr>
              <w:jc w:val="center"/>
              <w:rPr>
                <w:rFonts w:eastAsia="SimSun"/>
                <w:sz w:val="20"/>
                <w:szCs w:val="20"/>
                <w:lang w:eastAsia="zh-CN"/>
              </w:rPr>
            </w:pPr>
            <w:r>
              <w:rPr>
                <w:rFonts w:eastAsia="SimSun"/>
                <w:sz w:val="20"/>
                <w:szCs w:val="20"/>
                <w:lang w:eastAsia="zh-CN"/>
              </w:rPr>
              <w:t>20.722</w:t>
            </w:r>
          </w:p>
        </w:tc>
        <w:tc>
          <w:tcPr>
            <w:tcW w:w="1726" w:type="pct"/>
            <w:tcBorders>
              <w:top w:val="nil"/>
              <w:left w:val="nil"/>
              <w:bottom w:val="nil"/>
              <w:right w:val="nil"/>
            </w:tcBorders>
            <w:noWrap/>
            <w:vAlign w:val="center"/>
          </w:tcPr>
          <w:p w14:paraId="40674306" w14:textId="77777777" w:rsidR="0008758D" w:rsidRDefault="00127F5C">
            <w:pPr>
              <w:jc w:val="center"/>
              <w:rPr>
                <w:rFonts w:eastAsia="SimSun"/>
                <w:sz w:val="20"/>
                <w:szCs w:val="20"/>
                <w:lang w:eastAsia="zh-CN"/>
              </w:rPr>
            </w:pPr>
            <w:r>
              <w:rPr>
                <w:rFonts w:eastAsia="SimSun"/>
                <w:sz w:val="20"/>
                <w:szCs w:val="20"/>
                <w:lang w:eastAsia="zh-CN"/>
              </w:rPr>
              <w:t>28.798</w:t>
            </w:r>
          </w:p>
        </w:tc>
      </w:tr>
      <w:tr w:rsidR="0008758D" w14:paraId="6E10AE1D" w14:textId="77777777">
        <w:trPr>
          <w:trHeight w:val="244"/>
        </w:trPr>
        <w:tc>
          <w:tcPr>
            <w:tcW w:w="1442" w:type="pct"/>
            <w:vMerge/>
            <w:tcBorders>
              <w:left w:val="nil"/>
              <w:bottom w:val="nil"/>
              <w:right w:val="nil"/>
            </w:tcBorders>
            <w:noWrap/>
            <w:vAlign w:val="center"/>
          </w:tcPr>
          <w:p w14:paraId="415C6BEA" w14:textId="77777777" w:rsidR="0008758D" w:rsidRDefault="0008758D">
            <w:pPr>
              <w:jc w:val="center"/>
            </w:pPr>
          </w:p>
        </w:tc>
        <w:tc>
          <w:tcPr>
            <w:tcW w:w="1830" w:type="pct"/>
            <w:tcBorders>
              <w:top w:val="nil"/>
              <w:left w:val="nil"/>
              <w:bottom w:val="nil"/>
              <w:right w:val="nil"/>
            </w:tcBorders>
            <w:noWrap/>
            <w:vAlign w:val="center"/>
          </w:tcPr>
          <w:p w14:paraId="11A4CD5F" w14:textId="77777777" w:rsidR="0008758D" w:rsidRDefault="00127F5C">
            <w:pPr>
              <w:jc w:val="center"/>
              <w:rPr>
                <w:rFonts w:eastAsia="SimSun"/>
                <w:sz w:val="20"/>
                <w:szCs w:val="20"/>
                <w:lang w:eastAsia="zh-CN"/>
              </w:rPr>
            </w:pPr>
            <w:r>
              <w:rPr>
                <w:rFonts w:eastAsia="SimSun"/>
                <w:sz w:val="20"/>
                <w:szCs w:val="20"/>
                <w:lang w:eastAsia="zh-CN"/>
              </w:rPr>
              <w:t>[0.000]</w:t>
            </w:r>
          </w:p>
        </w:tc>
        <w:tc>
          <w:tcPr>
            <w:tcW w:w="1726" w:type="pct"/>
            <w:tcBorders>
              <w:top w:val="nil"/>
              <w:left w:val="nil"/>
              <w:bottom w:val="nil"/>
              <w:right w:val="nil"/>
            </w:tcBorders>
            <w:noWrap/>
            <w:vAlign w:val="center"/>
          </w:tcPr>
          <w:p w14:paraId="7A67756C" w14:textId="77777777" w:rsidR="0008758D" w:rsidRDefault="00127F5C">
            <w:pPr>
              <w:jc w:val="center"/>
              <w:rPr>
                <w:rFonts w:eastAsia="SimSun"/>
                <w:sz w:val="20"/>
                <w:szCs w:val="20"/>
                <w:lang w:eastAsia="zh-CN"/>
              </w:rPr>
            </w:pPr>
            <w:r>
              <w:rPr>
                <w:rFonts w:eastAsia="SimSun"/>
                <w:sz w:val="20"/>
                <w:szCs w:val="20"/>
                <w:lang w:eastAsia="zh-CN"/>
              </w:rPr>
              <w:t>[0.000]</w:t>
            </w:r>
          </w:p>
        </w:tc>
      </w:tr>
      <w:tr w:rsidR="0008758D" w14:paraId="19BDBF97" w14:textId="77777777">
        <w:trPr>
          <w:trHeight w:val="244"/>
        </w:trPr>
        <w:tc>
          <w:tcPr>
            <w:tcW w:w="1442" w:type="pct"/>
            <w:vMerge w:val="restart"/>
            <w:tcBorders>
              <w:top w:val="nil"/>
              <w:left w:val="nil"/>
              <w:right w:val="nil"/>
            </w:tcBorders>
            <w:noWrap/>
            <w:vAlign w:val="center"/>
          </w:tcPr>
          <w:p w14:paraId="10F46E5F" w14:textId="77777777" w:rsidR="0008758D" w:rsidRDefault="00127F5C">
            <w:pPr>
              <w:jc w:val="center"/>
            </w:pPr>
            <w:r>
              <w:rPr>
                <w:rFonts w:hint="eastAsia"/>
              </w:rPr>
              <w:t>Cragg-Donald Wald F</w:t>
            </w:r>
          </w:p>
        </w:tc>
        <w:tc>
          <w:tcPr>
            <w:tcW w:w="1830" w:type="pct"/>
            <w:tcBorders>
              <w:top w:val="nil"/>
              <w:left w:val="nil"/>
              <w:bottom w:val="nil"/>
              <w:right w:val="nil"/>
            </w:tcBorders>
            <w:noWrap/>
            <w:vAlign w:val="center"/>
          </w:tcPr>
          <w:p w14:paraId="0C3AF247" w14:textId="77777777" w:rsidR="0008758D" w:rsidRDefault="00127F5C">
            <w:pPr>
              <w:jc w:val="center"/>
              <w:rPr>
                <w:rFonts w:eastAsia="SimSun"/>
                <w:sz w:val="20"/>
                <w:szCs w:val="20"/>
                <w:lang w:eastAsia="zh-CN"/>
              </w:rPr>
            </w:pPr>
            <w:r>
              <w:rPr>
                <w:rFonts w:eastAsia="SimSun"/>
                <w:sz w:val="20"/>
                <w:szCs w:val="20"/>
                <w:lang w:eastAsia="zh-CN"/>
              </w:rPr>
              <w:t>20.728</w:t>
            </w:r>
          </w:p>
        </w:tc>
        <w:tc>
          <w:tcPr>
            <w:tcW w:w="1726" w:type="pct"/>
            <w:tcBorders>
              <w:top w:val="nil"/>
              <w:left w:val="nil"/>
              <w:bottom w:val="nil"/>
              <w:right w:val="nil"/>
            </w:tcBorders>
            <w:noWrap/>
            <w:vAlign w:val="center"/>
          </w:tcPr>
          <w:p w14:paraId="4C6D575F" w14:textId="77777777" w:rsidR="0008758D" w:rsidRDefault="00127F5C">
            <w:pPr>
              <w:jc w:val="center"/>
              <w:rPr>
                <w:rFonts w:eastAsia="SimSun"/>
                <w:sz w:val="20"/>
                <w:szCs w:val="20"/>
                <w:lang w:eastAsia="zh-CN"/>
              </w:rPr>
            </w:pPr>
            <w:r>
              <w:rPr>
                <w:rFonts w:eastAsia="SimSun"/>
                <w:sz w:val="20"/>
                <w:szCs w:val="20"/>
                <w:lang w:eastAsia="zh-CN"/>
              </w:rPr>
              <w:t>28.837</w:t>
            </w:r>
          </w:p>
        </w:tc>
      </w:tr>
      <w:tr w:rsidR="0008758D" w14:paraId="2A2D2749" w14:textId="77777777">
        <w:trPr>
          <w:trHeight w:val="244"/>
        </w:trPr>
        <w:tc>
          <w:tcPr>
            <w:tcW w:w="1442" w:type="pct"/>
            <w:vMerge/>
            <w:tcBorders>
              <w:left w:val="nil"/>
              <w:bottom w:val="nil"/>
              <w:right w:val="nil"/>
            </w:tcBorders>
            <w:noWrap/>
            <w:vAlign w:val="center"/>
          </w:tcPr>
          <w:p w14:paraId="1F6BC2CC" w14:textId="77777777" w:rsidR="0008758D" w:rsidRDefault="0008758D">
            <w:pPr>
              <w:jc w:val="center"/>
            </w:pPr>
          </w:p>
        </w:tc>
        <w:tc>
          <w:tcPr>
            <w:tcW w:w="1830" w:type="pct"/>
            <w:tcBorders>
              <w:top w:val="nil"/>
              <w:left w:val="nil"/>
              <w:bottom w:val="nil"/>
              <w:right w:val="nil"/>
            </w:tcBorders>
            <w:noWrap/>
            <w:vAlign w:val="center"/>
          </w:tcPr>
          <w:p w14:paraId="041CD5C5" w14:textId="77777777" w:rsidR="0008758D" w:rsidRDefault="00127F5C">
            <w:pPr>
              <w:jc w:val="center"/>
              <w:rPr>
                <w:rFonts w:eastAsia="SimSun"/>
                <w:sz w:val="20"/>
                <w:szCs w:val="20"/>
                <w:lang w:eastAsia="zh-CN"/>
              </w:rPr>
            </w:pPr>
            <w:r>
              <w:rPr>
                <w:rFonts w:eastAsia="SimSun"/>
                <w:sz w:val="20"/>
                <w:szCs w:val="20"/>
                <w:lang w:eastAsia="zh-CN"/>
              </w:rPr>
              <w:t>{16.38}</w:t>
            </w:r>
          </w:p>
        </w:tc>
        <w:tc>
          <w:tcPr>
            <w:tcW w:w="1726" w:type="pct"/>
            <w:tcBorders>
              <w:top w:val="nil"/>
              <w:left w:val="nil"/>
              <w:bottom w:val="nil"/>
              <w:right w:val="nil"/>
            </w:tcBorders>
            <w:noWrap/>
            <w:vAlign w:val="center"/>
          </w:tcPr>
          <w:p w14:paraId="614188E2" w14:textId="77777777" w:rsidR="0008758D" w:rsidRDefault="00127F5C">
            <w:pPr>
              <w:jc w:val="center"/>
              <w:rPr>
                <w:rFonts w:eastAsia="SimSun"/>
                <w:sz w:val="20"/>
                <w:szCs w:val="20"/>
                <w:lang w:eastAsia="zh-CN"/>
              </w:rPr>
            </w:pPr>
            <w:r>
              <w:rPr>
                <w:rFonts w:eastAsia="SimSun"/>
                <w:sz w:val="20"/>
                <w:szCs w:val="20"/>
                <w:lang w:eastAsia="zh-CN"/>
              </w:rPr>
              <w:t>{16.38}</w:t>
            </w:r>
          </w:p>
        </w:tc>
      </w:tr>
      <w:tr w:rsidR="0008758D" w14:paraId="4F37CB9D" w14:textId="77777777">
        <w:trPr>
          <w:trHeight w:val="244"/>
        </w:trPr>
        <w:tc>
          <w:tcPr>
            <w:tcW w:w="1442" w:type="pct"/>
            <w:tcBorders>
              <w:top w:val="nil"/>
              <w:left w:val="nil"/>
              <w:bottom w:val="nil"/>
              <w:right w:val="nil"/>
            </w:tcBorders>
            <w:noWrap/>
            <w:vAlign w:val="center"/>
          </w:tcPr>
          <w:p w14:paraId="2148E58D" w14:textId="77777777" w:rsidR="0008758D" w:rsidRDefault="00127F5C">
            <w:pPr>
              <w:jc w:val="center"/>
              <w:rPr>
                <w:rFonts w:eastAsia="SimSun"/>
                <w:sz w:val="20"/>
                <w:szCs w:val="20"/>
                <w:lang w:eastAsia="zh-CN"/>
              </w:rPr>
            </w:pPr>
            <w:r>
              <w:rPr>
                <w:rFonts w:hint="eastAsia"/>
              </w:rPr>
              <w:t>Control Variables</w:t>
            </w:r>
          </w:p>
        </w:tc>
        <w:tc>
          <w:tcPr>
            <w:tcW w:w="1830" w:type="pct"/>
            <w:tcBorders>
              <w:top w:val="nil"/>
              <w:left w:val="nil"/>
              <w:bottom w:val="nil"/>
              <w:right w:val="nil"/>
            </w:tcBorders>
            <w:noWrap/>
            <w:vAlign w:val="center"/>
          </w:tcPr>
          <w:p w14:paraId="049B1763" w14:textId="77777777" w:rsidR="0008758D" w:rsidRDefault="00127F5C">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4CDCD72E" w14:textId="77777777" w:rsidR="0008758D" w:rsidRDefault="00127F5C">
            <w:pPr>
              <w:jc w:val="center"/>
              <w:rPr>
                <w:rFonts w:eastAsia="SimSun"/>
                <w:sz w:val="20"/>
                <w:szCs w:val="20"/>
                <w:lang w:eastAsia="zh-CN"/>
              </w:rPr>
            </w:pPr>
            <w:r>
              <w:rPr>
                <w:rFonts w:eastAsia="SimSun"/>
                <w:sz w:val="20"/>
                <w:szCs w:val="20"/>
                <w:lang w:eastAsia="zh-CN"/>
              </w:rPr>
              <w:t>Yes</w:t>
            </w:r>
          </w:p>
        </w:tc>
      </w:tr>
      <w:tr w:rsidR="0008758D" w14:paraId="24B82B2E" w14:textId="77777777">
        <w:trPr>
          <w:trHeight w:val="244"/>
        </w:trPr>
        <w:tc>
          <w:tcPr>
            <w:tcW w:w="1442" w:type="pct"/>
            <w:tcBorders>
              <w:top w:val="nil"/>
              <w:left w:val="nil"/>
              <w:bottom w:val="nil"/>
              <w:right w:val="nil"/>
            </w:tcBorders>
            <w:noWrap/>
            <w:vAlign w:val="center"/>
          </w:tcPr>
          <w:p w14:paraId="2A8B1FF3" w14:textId="77777777" w:rsidR="0008758D" w:rsidRDefault="00127F5C">
            <w:pPr>
              <w:jc w:val="center"/>
              <w:rPr>
                <w:rFonts w:eastAsia="SimSun"/>
                <w:sz w:val="20"/>
                <w:szCs w:val="20"/>
                <w:lang w:eastAsia="zh-CN"/>
              </w:rPr>
            </w:pPr>
            <w:r>
              <w:rPr>
                <w:rFonts w:eastAsia="SimSun"/>
                <w:sz w:val="20"/>
                <w:szCs w:val="20"/>
                <w:lang w:eastAsia="zh-CN"/>
              </w:rPr>
              <w:t>Individual FE</w:t>
            </w:r>
          </w:p>
        </w:tc>
        <w:tc>
          <w:tcPr>
            <w:tcW w:w="1830" w:type="pct"/>
            <w:tcBorders>
              <w:top w:val="nil"/>
              <w:left w:val="nil"/>
              <w:bottom w:val="nil"/>
              <w:right w:val="nil"/>
            </w:tcBorders>
            <w:noWrap/>
            <w:vAlign w:val="center"/>
          </w:tcPr>
          <w:p w14:paraId="365585EB" w14:textId="77777777" w:rsidR="0008758D" w:rsidRDefault="00127F5C">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09FF5DA5" w14:textId="77777777" w:rsidR="0008758D" w:rsidRDefault="00127F5C">
            <w:pPr>
              <w:jc w:val="center"/>
              <w:rPr>
                <w:rFonts w:eastAsia="SimSun"/>
                <w:b/>
                <w:bCs/>
                <w:sz w:val="20"/>
                <w:szCs w:val="20"/>
                <w:lang w:eastAsia="zh-CN"/>
              </w:rPr>
            </w:pPr>
            <w:r>
              <w:rPr>
                <w:rFonts w:eastAsia="SimSun"/>
                <w:sz w:val="20"/>
                <w:szCs w:val="20"/>
                <w:lang w:eastAsia="zh-CN"/>
              </w:rPr>
              <w:t>Yes</w:t>
            </w:r>
          </w:p>
        </w:tc>
      </w:tr>
      <w:tr w:rsidR="0008758D" w14:paraId="613F97B4" w14:textId="77777777">
        <w:trPr>
          <w:trHeight w:val="244"/>
        </w:trPr>
        <w:tc>
          <w:tcPr>
            <w:tcW w:w="1442" w:type="pct"/>
            <w:tcBorders>
              <w:top w:val="nil"/>
              <w:left w:val="nil"/>
              <w:bottom w:val="nil"/>
              <w:right w:val="nil"/>
            </w:tcBorders>
            <w:noWrap/>
            <w:vAlign w:val="center"/>
          </w:tcPr>
          <w:p w14:paraId="485D4BF1" w14:textId="77777777" w:rsidR="0008758D" w:rsidRDefault="00127F5C">
            <w:pPr>
              <w:jc w:val="center"/>
              <w:rPr>
                <w:rFonts w:eastAsia="SimSun"/>
                <w:sz w:val="20"/>
                <w:szCs w:val="20"/>
                <w:lang w:eastAsia="zh-CN"/>
              </w:rPr>
            </w:pPr>
            <w:r>
              <w:rPr>
                <w:rFonts w:eastAsia="SimSun"/>
                <w:sz w:val="20"/>
                <w:szCs w:val="20"/>
                <w:lang w:eastAsia="zh-CN"/>
              </w:rPr>
              <w:t>Year FE</w:t>
            </w:r>
          </w:p>
        </w:tc>
        <w:tc>
          <w:tcPr>
            <w:tcW w:w="1830" w:type="pct"/>
            <w:tcBorders>
              <w:top w:val="nil"/>
              <w:left w:val="nil"/>
              <w:bottom w:val="nil"/>
              <w:right w:val="nil"/>
            </w:tcBorders>
            <w:noWrap/>
            <w:vAlign w:val="center"/>
          </w:tcPr>
          <w:p w14:paraId="3E373A49" w14:textId="77777777" w:rsidR="0008758D" w:rsidRDefault="00127F5C">
            <w:pPr>
              <w:jc w:val="center"/>
              <w:rPr>
                <w:rFonts w:eastAsia="SimSun"/>
                <w:sz w:val="20"/>
                <w:szCs w:val="20"/>
                <w:lang w:eastAsia="zh-CN"/>
              </w:rPr>
            </w:pPr>
            <w:r>
              <w:rPr>
                <w:rFonts w:eastAsia="SimSun"/>
                <w:sz w:val="20"/>
                <w:szCs w:val="20"/>
                <w:lang w:eastAsia="zh-CN"/>
              </w:rPr>
              <w:t>Yes</w:t>
            </w:r>
          </w:p>
        </w:tc>
        <w:tc>
          <w:tcPr>
            <w:tcW w:w="1726" w:type="pct"/>
            <w:tcBorders>
              <w:top w:val="nil"/>
              <w:left w:val="nil"/>
              <w:bottom w:val="nil"/>
              <w:right w:val="nil"/>
            </w:tcBorders>
            <w:noWrap/>
            <w:vAlign w:val="center"/>
          </w:tcPr>
          <w:p w14:paraId="67C3E546" w14:textId="77777777" w:rsidR="0008758D" w:rsidRDefault="00127F5C">
            <w:pPr>
              <w:jc w:val="center"/>
              <w:rPr>
                <w:rFonts w:eastAsia="SimSun"/>
                <w:b/>
                <w:bCs/>
                <w:sz w:val="20"/>
                <w:szCs w:val="20"/>
                <w:lang w:eastAsia="zh-CN"/>
              </w:rPr>
            </w:pPr>
            <w:r>
              <w:rPr>
                <w:rFonts w:eastAsia="SimSun"/>
                <w:sz w:val="20"/>
                <w:szCs w:val="20"/>
                <w:lang w:eastAsia="zh-CN"/>
              </w:rPr>
              <w:t>Yes</w:t>
            </w:r>
          </w:p>
        </w:tc>
      </w:tr>
      <w:tr w:rsidR="0008758D" w14:paraId="0D93A00C" w14:textId="77777777">
        <w:trPr>
          <w:trHeight w:val="244"/>
        </w:trPr>
        <w:tc>
          <w:tcPr>
            <w:tcW w:w="1442" w:type="pct"/>
            <w:tcBorders>
              <w:top w:val="nil"/>
              <w:left w:val="nil"/>
              <w:bottom w:val="nil"/>
              <w:right w:val="nil"/>
            </w:tcBorders>
            <w:noWrap/>
            <w:vAlign w:val="center"/>
          </w:tcPr>
          <w:p w14:paraId="5FABB618"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1830" w:type="pct"/>
            <w:tcBorders>
              <w:top w:val="nil"/>
              <w:left w:val="nil"/>
              <w:bottom w:val="nil"/>
              <w:right w:val="nil"/>
            </w:tcBorders>
            <w:noWrap/>
            <w:vAlign w:val="center"/>
          </w:tcPr>
          <w:p w14:paraId="5975B186" w14:textId="77777777" w:rsidR="0008758D" w:rsidRDefault="00127F5C">
            <w:pPr>
              <w:jc w:val="center"/>
              <w:rPr>
                <w:rFonts w:eastAsia="SimSun"/>
                <w:sz w:val="20"/>
                <w:szCs w:val="20"/>
                <w:lang w:eastAsia="zh-CN"/>
              </w:rPr>
            </w:pPr>
            <w:r>
              <w:rPr>
                <w:rFonts w:hint="eastAsia"/>
              </w:rPr>
              <w:t>12104</w:t>
            </w:r>
          </w:p>
        </w:tc>
        <w:tc>
          <w:tcPr>
            <w:tcW w:w="1726" w:type="pct"/>
            <w:tcBorders>
              <w:top w:val="nil"/>
              <w:left w:val="nil"/>
              <w:bottom w:val="nil"/>
              <w:right w:val="nil"/>
            </w:tcBorders>
            <w:noWrap/>
            <w:vAlign w:val="center"/>
          </w:tcPr>
          <w:p w14:paraId="132856B9" w14:textId="77777777" w:rsidR="0008758D" w:rsidRDefault="00127F5C">
            <w:pPr>
              <w:jc w:val="center"/>
              <w:rPr>
                <w:rFonts w:eastAsia="SimSun"/>
                <w:sz w:val="20"/>
                <w:szCs w:val="20"/>
                <w:lang w:eastAsia="zh-CN"/>
              </w:rPr>
            </w:pPr>
            <w:r>
              <w:rPr>
                <w:rFonts w:hint="eastAsia"/>
              </w:rPr>
              <w:t>13,400</w:t>
            </w:r>
          </w:p>
        </w:tc>
      </w:tr>
      <w:tr w:rsidR="0008758D" w14:paraId="07BA7A0C" w14:textId="77777777">
        <w:trPr>
          <w:trHeight w:val="313"/>
        </w:trPr>
        <w:tc>
          <w:tcPr>
            <w:tcW w:w="1442" w:type="pct"/>
            <w:tcBorders>
              <w:top w:val="nil"/>
              <w:left w:val="nil"/>
              <w:bottom w:val="single" w:sz="12" w:space="0" w:color="000000"/>
              <w:right w:val="nil"/>
            </w:tcBorders>
            <w:noWrap/>
            <w:vAlign w:val="center"/>
          </w:tcPr>
          <w:p w14:paraId="736F9F9C" w14:textId="77777777" w:rsidR="0008758D" w:rsidRDefault="00127F5C">
            <w:pPr>
              <w:jc w:val="center"/>
              <w:rPr>
                <w:rFonts w:eastAsia="SimSun"/>
                <w:sz w:val="20"/>
                <w:szCs w:val="20"/>
                <w:lang w:eastAsia="zh-CN"/>
              </w:rPr>
            </w:pPr>
            <w:r>
              <w:rPr>
                <w:rFonts w:eastAsia="SimSun"/>
                <w:sz w:val="20"/>
                <w:szCs w:val="20"/>
                <w:lang w:eastAsia="zh-CN"/>
              </w:rPr>
              <w:t>R</w:t>
            </w:r>
            <w:r>
              <w:rPr>
                <w:rFonts w:eastAsia="SimSun"/>
                <w:sz w:val="20"/>
                <w:szCs w:val="20"/>
                <w:vertAlign w:val="superscript"/>
                <w:lang w:eastAsia="zh-CN"/>
              </w:rPr>
              <w:t>2</w:t>
            </w:r>
          </w:p>
        </w:tc>
        <w:tc>
          <w:tcPr>
            <w:tcW w:w="1830" w:type="pct"/>
            <w:tcBorders>
              <w:top w:val="nil"/>
              <w:left w:val="nil"/>
              <w:bottom w:val="single" w:sz="12" w:space="0" w:color="000000"/>
              <w:right w:val="nil"/>
            </w:tcBorders>
            <w:noWrap/>
            <w:vAlign w:val="center"/>
          </w:tcPr>
          <w:p w14:paraId="1C4B06CE" w14:textId="77777777" w:rsidR="0008758D" w:rsidRDefault="00127F5C">
            <w:pPr>
              <w:jc w:val="center"/>
              <w:rPr>
                <w:rFonts w:eastAsia="SimSun"/>
                <w:sz w:val="20"/>
                <w:szCs w:val="20"/>
                <w:lang w:eastAsia="zh-CN"/>
              </w:rPr>
            </w:pPr>
            <w:r>
              <w:rPr>
                <w:rFonts w:hint="eastAsia"/>
              </w:rPr>
              <w:t>0.0096</w:t>
            </w:r>
          </w:p>
        </w:tc>
        <w:tc>
          <w:tcPr>
            <w:tcW w:w="1726" w:type="pct"/>
            <w:tcBorders>
              <w:top w:val="nil"/>
              <w:left w:val="nil"/>
              <w:bottom w:val="single" w:sz="12" w:space="0" w:color="000000"/>
              <w:right w:val="nil"/>
            </w:tcBorders>
            <w:noWrap/>
            <w:vAlign w:val="center"/>
          </w:tcPr>
          <w:p w14:paraId="0550CC4E" w14:textId="77777777" w:rsidR="0008758D" w:rsidRDefault="00127F5C">
            <w:pPr>
              <w:jc w:val="center"/>
              <w:rPr>
                <w:rFonts w:eastAsia="SimSun"/>
                <w:sz w:val="20"/>
                <w:szCs w:val="20"/>
                <w:lang w:eastAsia="zh-CN"/>
              </w:rPr>
            </w:pPr>
            <w:r>
              <w:rPr>
                <w:rFonts w:hint="eastAsia"/>
              </w:rPr>
              <w:t>0.0098</w:t>
            </w:r>
          </w:p>
        </w:tc>
      </w:tr>
    </w:tbl>
    <w:p w14:paraId="17E8CA32" w14:textId="77777777" w:rsidR="0008758D" w:rsidRDefault="00127F5C">
      <w:pPr>
        <w:rPr>
          <w:rFonts w:eastAsia="Times New Roman"/>
          <w:b/>
          <w:caps/>
          <w:szCs w:val="20"/>
          <w:lang w:eastAsia="zh-CN"/>
        </w:rPr>
      </w:pPr>
      <w:r>
        <w:rPr>
          <w:rFonts w:eastAsia="Times New Roman" w:cs="Times New Roman" w:hint="eastAsia"/>
          <w:bCs/>
          <w:i/>
          <w:sz w:val="18"/>
          <w:szCs w:val="16"/>
          <w:lang w:eastAsia="zh-CN"/>
        </w:rPr>
        <w:t>*Note: The values in [] are the p-values of the statistics, and the values in {} are the critical values at the 10% level of the Stock-Yogo test.</w:t>
      </w:r>
    </w:p>
    <w:p w14:paraId="58A19D9B"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5.4 Heterogeneity Test</w:t>
      </w:r>
    </w:p>
    <w:p w14:paraId="4B281B0D" w14:textId="77777777" w:rsidR="0008758D" w:rsidRDefault="0008758D">
      <w:pPr>
        <w:pStyle w:val="AbstHead"/>
        <w:widowControl/>
        <w:spacing w:after="0"/>
        <w:jc w:val="both"/>
        <w:rPr>
          <w:rFonts w:eastAsia="Times New Roman"/>
          <w:szCs w:val="20"/>
          <w:lang w:eastAsia="zh-CN"/>
        </w:rPr>
      </w:pPr>
    </w:p>
    <w:p w14:paraId="5CA29019"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5.4.1 Whether State-Owned Enterprise.</w:t>
      </w:r>
    </w:p>
    <w:p w14:paraId="637EE8C5" w14:textId="77777777" w:rsidR="0008758D" w:rsidRDefault="0008758D">
      <w:pPr>
        <w:rPr>
          <w:lang w:eastAsia="zh-CN"/>
        </w:rPr>
      </w:pPr>
    </w:p>
    <w:p w14:paraId="16B4B7AB"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The coefficients for state-owned enterprises </w:t>
      </w:r>
      <w:r>
        <w:rPr>
          <w:rFonts w:eastAsia="Times New Roman" w:hint="eastAsia"/>
          <w:sz w:val="20"/>
          <w:szCs w:val="20"/>
          <w:lang w:eastAsia="zh-CN"/>
        </w:rPr>
        <w:t>are -0.460 and 0.332, both not significant, indicating that ESG performance has no significant impact on the OFDI flow and frequency of state-owned enterprises. This is because the internationalization decisions of state-owned enterprises rely more on poli</w:t>
      </w:r>
      <w:r>
        <w:rPr>
          <w:rFonts w:eastAsia="Times New Roman" w:hint="eastAsia"/>
          <w:sz w:val="20"/>
          <w:szCs w:val="20"/>
          <w:lang w:eastAsia="zh-CN"/>
        </w:rPr>
        <w:t>cy guidance or government resources, and the market signaling effect of ESG disclosure is relatively weak. Moreover, state-owned enterprises are generally subject to stricter environmental regulations, and their disclosure behavior has become normalized, r</w:t>
      </w:r>
      <w:r>
        <w:rPr>
          <w:rFonts w:eastAsia="Times New Roman" w:hint="eastAsia"/>
          <w:sz w:val="20"/>
          <w:szCs w:val="20"/>
          <w:lang w:eastAsia="zh-CN"/>
        </w:rPr>
        <w:t xml:space="preserve">esulting in insufficient marginal effects. In contrast, the coefficients for non-state-owned enterprises are 7.630 and 0.793, both significantly positive, reflecting that ESG performance promotes the OFDI flow and frequency of non-state-owned enterprises. </w:t>
      </w:r>
      <w:r>
        <w:rPr>
          <w:rFonts w:eastAsia="Times New Roman" w:hint="eastAsia"/>
          <w:sz w:val="20"/>
          <w:szCs w:val="20"/>
          <w:lang w:eastAsia="zh-CN"/>
        </w:rPr>
        <w:t>Non-state-owned enterprises operate through market mechanisms, and better ESG performance can help them obtain green financing, reduce financing costs and investment risks, enhance their corporate image, and gain the trust of international investors.</w:t>
      </w:r>
    </w:p>
    <w:p w14:paraId="2DF6D664" w14:textId="77777777" w:rsidR="0008758D" w:rsidRDefault="0008758D">
      <w:pPr>
        <w:pStyle w:val="Body"/>
        <w:widowControl/>
        <w:spacing w:after="0"/>
        <w:rPr>
          <w:rFonts w:eastAsia="Times New Roman"/>
          <w:sz w:val="20"/>
          <w:szCs w:val="20"/>
          <w:lang w:eastAsia="zh-CN"/>
        </w:rPr>
      </w:pPr>
    </w:p>
    <w:p w14:paraId="718B87CD" w14:textId="77777777" w:rsidR="0008758D" w:rsidRDefault="0008758D">
      <w:pPr>
        <w:pStyle w:val="Heading3"/>
        <w:widowControl/>
        <w:numPr>
          <w:ilvl w:val="2"/>
          <w:numId w:val="0"/>
        </w:numPr>
        <w:adjustRightInd/>
        <w:spacing w:line="240" w:lineRule="auto"/>
        <w:rPr>
          <w:rFonts w:ascii="Arial" w:eastAsia="SimSun" w:hAnsi="Arial" w:cs="Arial"/>
          <w:b/>
          <w:kern w:val="0"/>
          <w:sz w:val="20"/>
          <w:szCs w:val="20"/>
          <w:u w:val="single"/>
          <w:lang w:eastAsia="zh-CN"/>
        </w:rPr>
      </w:pPr>
    </w:p>
    <w:p w14:paraId="10E5BCA3"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w:t>
      </w:r>
      <w:r>
        <w:rPr>
          <w:rFonts w:ascii="Arial" w:eastAsia="SimSun" w:hAnsi="Arial" w:cs="Arial" w:hint="eastAsia"/>
          <w:b/>
          <w:kern w:val="0"/>
          <w:sz w:val="20"/>
          <w:szCs w:val="20"/>
          <w:u w:val="single"/>
          <w:lang w:eastAsia="zh-CN"/>
        </w:rPr>
        <w:t>.2 Whether High-Tech Enterprises.</w:t>
      </w:r>
    </w:p>
    <w:p w14:paraId="588261C0" w14:textId="77777777" w:rsidR="0008758D" w:rsidRDefault="0008758D">
      <w:pPr>
        <w:rPr>
          <w:lang w:eastAsia="zh-CN"/>
        </w:rPr>
      </w:pPr>
    </w:p>
    <w:p w14:paraId="1CECE6DB"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lastRenderedPageBreak/>
        <w:t>High-tech enterprises show a significant positive correlation with OFDI flow and frequency at the 10% and 5% levels, respectively. Overseas investments by high-tech enterprises often involve technology-intensive fields, w</w:t>
      </w:r>
      <w:r>
        <w:rPr>
          <w:rFonts w:eastAsia="Times New Roman" w:hint="eastAsia"/>
          <w:sz w:val="20"/>
          <w:szCs w:val="20"/>
          <w:lang w:eastAsia="zh-CN"/>
        </w:rPr>
        <w:t>here host countries generally have higher ESG standards. Furthermore, the ESG practices of high-tech enterprises can strengthen technological barriers and create differentiated competitiveness. For example, Huawei enhances its recognition in the European m</w:t>
      </w:r>
      <w:r>
        <w:rPr>
          <w:rFonts w:eastAsia="Times New Roman" w:hint="eastAsia"/>
          <w:sz w:val="20"/>
          <w:szCs w:val="20"/>
          <w:lang w:eastAsia="zh-CN"/>
        </w:rPr>
        <w:t xml:space="preserve">arket by combining 5G technology with carbon neutrality goals. ESG has no promoting effect on the OFDI of non-high-tech enterprises, or may even have a slight negative </w:t>
      </w:r>
      <w:proofErr w:type="spellStart"/>
      <w:proofErr w:type="gramStart"/>
      <w:r>
        <w:rPr>
          <w:rFonts w:eastAsia="Times New Roman" w:hint="eastAsia"/>
          <w:sz w:val="20"/>
          <w:szCs w:val="20"/>
          <w:lang w:eastAsia="zh-CN"/>
        </w:rPr>
        <w:t>impact.This</w:t>
      </w:r>
      <w:proofErr w:type="spellEnd"/>
      <w:proofErr w:type="gramEnd"/>
      <w:r>
        <w:rPr>
          <w:rFonts w:eastAsia="Times New Roman" w:hint="eastAsia"/>
          <w:sz w:val="20"/>
          <w:szCs w:val="20"/>
          <w:lang w:eastAsia="zh-CN"/>
        </w:rPr>
        <w:t xml:space="preserve"> is because their OFDI is often cost-driven, and ESG investments may increase</w:t>
      </w:r>
      <w:r>
        <w:rPr>
          <w:rFonts w:eastAsia="Times New Roman" w:hint="eastAsia"/>
          <w:sz w:val="20"/>
          <w:szCs w:val="20"/>
          <w:lang w:eastAsia="zh-CN"/>
        </w:rPr>
        <w:t xml:space="preserve"> short-term costs, weakening investment returns. Non-high-tech enterprises often invest in emerging markets with lower ESG standards, where local policies impose less stringent constraints on ESG, leading to a limited impact of ESG on investment decisions.</w:t>
      </w:r>
    </w:p>
    <w:p w14:paraId="47612CCF" w14:textId="77777777" w:rsidR="0008758D" w:rsidRDefault="0008758D">
      <w:pPr>
        <w:pStyle w:val="Body"/>
        <w:widowControl/>
        <w:spacing w:after="0"/>
      </w:pPr>
    </w:p>
    <w:p w14:paraId="7600E573"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5.4.3 Whether it is a coastal province.</w:t>
      </w:r>
    </w:p>
    <w:p w14:paraId="1B6F6E55" w14:textId="77777777" w:rsidR="0008758D" w:rsidRDefault="0008758D">
      <w:pPr>
        <w:rPr>
          <w:lang w:eastAsia="zh-CN"/>
        </w:rPr>
      </w:pPr>
    </w:p>
    <w:p w14:paraId="1CE8689B"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The coastal provinces have a higher degree of openness, and the agglomeration effect of enterprises is more pronounced. Logically, the situation of OFDI (Outward Foreign Direct Investment) should be more advantage</w:t>
      </w:r>
      <w:r>
        <w:rPr>
          <w:rFonts w:eastAsia="Times New Roman" w:hint="eastAsia"/>
          <w:sz w:val="20"/>
          <w:szCs w:val="20"/>
          <w:lang w:eastAsia="zh-CN"/>
        </w:rPr>
        <w:t>ous. The regression results also confirm this conclusion, with the coefficients for coastal areas being 8.305 and 7.476, both significant at the 1% level, while in non-coastal areas, they are not significant. This is mainly due to the difference in the deg</w:t>
      </w:r>
      <w:r>
        <w:rPr>
          <w:rFonts w:eastAsia="Times New Roman" w:hint="eastAsia"/>
          <w:sz w:val="20"/>
          <w:szCs w:val="20"/>
          <w:lang w:eastAsia="zh-CN"/>
        </w:rPr>
        <w:t xml:space="preserve">ree of economic openness, as the export-oriented economy in coastal areas clearly supports enterprises' overseas </w:t>
      </w:r>
      <w:proofErr w:type="spellStart"/>
      <w:proofErr w:type="gramStart"/>
      <w:r>
        <w:rPr>
          <w:rFonts w:eastAsia="Times New Roman" w:hint="eastAsia"/>
          <w:sz w:val="20"/>
          <w:szCs w:val="20"/>
          <w:lang w:eastAsia="zh-CN"/>
        </w:rPr>
        <w:t>expansion.In</w:t>
      </w:r>
      <w:proofErr w:type="spellEnd"/>
      <w:proofErr w:type="gramEnd"/>
      <w:r>
        <w:rPr>
          <w:rFonts w:eastAsia="Times New Roman" w:hint="eastAsia"/>
          <w:sz w:val="20"/>
          <w:szCs w:val="20"/>
          <w:lang w:eastAsia="zh-CN"/>
        </w:rPr>
        <w:t xml:space="preserve"> places like Shenzhen and Shanghai </w:t>
      </w:r>
      <w:proofErr w:type="spellStart"/>
      <w:r>
        <w:rPr>
          <w:rFonts w:eastAsia="Times New Roman" w:hint="eastAsia"/>
          <w:sz w:val="20"/>
          <w:szCs w:val="20"/>
          <w:lang w:eastAsia="zh-CN"/>
        </w:rPr>
        <w:t>Lingang</w:t>
      </w:r>
      <w:proofErr w:type="spellEnd"/>
      <w:r>
        <w:rPr>
          <w:rFonts w:eastAsia="Times New Roman" w:hint="eastAsia"/>
          <w:sz w:val="20"/>
          <w:szCs w:val="20"/>
          <w:lang w:eastAsia="zh-CN"/>
        </w:rPr>
        <w:t>, special economic zones, free trade zones, and open pilot zones have been established, a</w:t>
      </w:r>
      <w:r>
        <w:rPr>
          <w:rFonts w:eastAsia="Times New Roman" w:hint="eastAsia"/>
          <w:sz w:val="20"/>
          <w:szCs w:val="20"/>
          <w:lang w:eastAsia="zh-CN"/>
        </w:rPr>
        <w:t>llowing enterprises to enjoy more favorable tax incentives and other policy supports, which also strengthens their motivation for outward direct investment.</w:t>
      </w:r>
    </w:p>
    <w:p w14:paraId="1B01BEDA" w14:textId="77777777" w:rsidR="0008758D" w:rsidRDefault="0008758D">
      <w:pPr>
        <w:pStyle w:val="Body"/>
        <w:widowControl/>
        <w:spacing w:after="0"/>
      </w:pPr>
    </w:p>
    <w:p w14:paraId="2D03820B" w14:textId="77777777" w:rsidR="0008758D" w:rsidRDefault="00127F5C">
      <w:pPr>
        <w:widowControl/>
        <w:autoSpaceDE w:val="0"/>
        <w:autoSpaceDN w:val="0"/>
        <w:adjustRightInd w:val="0"/>
        <w:jc w:val="both"/>
        <w:rPr>
          <w:rFonts w:eastAsia="Times New Roman"/>
          <w:b/>
          <w:caps/>
          <w:szCs w:val="20"/>
          <w:lang w:eastAsia="zh-CN"/>
        </w:rPr>
      </w:pPr>
      <w:r>
        <w:rPr>
          <w:rFonts w:eastAsia="Times New Roman"/>
          <w:b/>
          <w:bCs/>
          <w:sz w:val="20"/>
          <w:lang w:eastAsia="zh-CN"/>
        </w:rPr>
        <w:t xml:space="preserve">Table </w:t>
      </w:r>
      <w:r>
        <w:rPr>
          <w:rFonts w:eastAsia="Times New Roman" w:hint="eastAsia"/>
          <w:b/>
          <w:bCs/>
          <w:sz w:val="20"/>
          <w:lang w:eastAsia="zh-CN"/>
        </w:rPr>
        <w:t>4</w:t>
      </w:r>
      <w:r>
        <w:rPr>
          <w:rFonts w:eastAsia="Times New Roman"/>
          <w:b/>
          <w:bCs/>
          <w:sz w:val="20"/>
          <w:lang w:eastAsia="zh-CN"/>
        </w:rPr>
        <w:t>: Heterogeneity Test Results: State-Owned Enterprises</w:t>
      </w:r>
    </w:p>
    <w:tbl>
      <w:tblPr>
        <w:tblW w:w="5000" w:type="pct"/>
        <w:tblLook w:val="04A0" w:firstRow="1" w:lastRow="0" w:firstColumn="1" w:lastColumn="0" w:noHBand="0" w:noVBand="1"/>
      </w:tblPr>
      <w:tblGrid>
        <w:gridCol w:w="1254"/>
        <w:gridCol w:w="2021"/>
        <w:gridCol w:w="2140"/>
        <w:gridCol w:w="2021"/>
        <w:gridCol w:w="2140"/>
      </w:tblGrid>
      <w:tr w:rsidR="0008758D" w14:paraId="6F675BA3"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7AA0B975" w14:textId="77777777" w:rsidR="0008758D" w:rsidRDefault="00127F5C">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02F7B911" w14:textId="77777777" w:rsidR="0008758D" w:rsidRDefault="00127F5C">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74836284" w14:textId="77777777" w:rsidR="0008758D" w:rsidRDefault="00127F5C">
            <w:pPr>
              <w:jc w:val="center"/>
              <w:rPr>
                <w:rFonts w:eastAsia="SimSun"/>
                <w:b/>
                <w:bCs/>
                <w:sz w:val="20"/>
                <w:szCs w:val="20"/>
                <w:lang w:eastAsia="zh-CN"/>
              </w:rPr>
            </w:pPr>
            <w:r>
              <w:rPr>
                <w:rFonts w:eastAsia="SimSun" w:hint="eastAsia"/>
                <w:b/>
                <w:bCs/>
                <w:sz w:val="20"/>
                <w:szCs w:val="20"/>
                <w:lang w:eastAsia="zh-CN"/>
              </w:rPr>
              <w:t>OFDI_F</w:t>
            </w:r>
          </w:p>
        </w:tc>
      </w:tr>
      <w:tr w:rsidR="0008758D" w14:paraId="3C5C7778" w14:textId="77777777">
        <w:trPr>
          <w:trHeight w:val="313"/>
        </w:trPr>
        <w:tc>
          <w:tcPr>
            <w:tcW w:w="674" w:type="pct"/>
            <w:vMerge/>
            <w:tcBorders>
              <w:top w:val="single" w:sz="12" w:space="0" w:color="000000"/>
              <w:left w:val="nil"/>
              <w:bottom w:val="single" w:sz="12" w:space="0" w:color="000000"/>
              <w:right w:val="nil"/>
            </w:tcBorders>
            <w:noWrap/>
            <w:vAlign w:val="center"/>
          </w:tcPr>
          <w:p w14:paraId="6B336C88" w14:textId="77777777" w:rsidR="0008758D" w:rsidRDefault="0008758D">
            <w:pPr>
              <w:jc w:val="center"/>
              <w:rPr>
                <w:rFonts w:eastAsia="SimSun"/>
                <w:b/>
                <w:bCs/>
                <w:sz w:val="20"/>
                <w:szCs w:val="20"/>
              </w:rPr>
            </w:pPr>
          </w:p>
        </w:tc>
        <w:tc>
          <w:tcPr>
            <w:tcW w:w="1005" w:type="pct"/>
            <w:tcBorders>
              <w:top w:val="nil"/>
              <w:left w:val="nil"/>
              <w:bottom w:val="single" w:sz="12" w:space="0" w:color="000000"/>
              <w:right w:val="nil"/>
            </w:tcBorders>
            <w:noWrap/>
            <w:vAlign w:val="center"/>
          </w:tcPr>
          <w:p w14:paraId="2ED78209" w14:textId="77777777" w:rsidR="0008758D" w:rsidRDefault="00127F5C">
            <w:pPr>
              <w:jc w:val="center"/>
              <w:rPr>
                <w:rFonts w:eastAsia="SimSun"/>
                <w:b/>
                <w:bCs/>
                <w:sz w:val="20"/>
                <w:szCs w:val="20"/>
                <w:lang w:eastAsia="zh-CN"/>
              </w:rPr>
            </w:pPr>
            <w:r>
              <w:rPr>
                <w:rFonts w:eastAsia="SimSun" w:hint="eastAsia"/>
                <w:b/>
                <w:bCs/>
                <w:sz w:val="20"/>
                <w:szCs w:val="20"/>
                <w:lang w:eastAsia="zh-CN"/>
              </w:rPr>
              <w:t xml:space="preserve">(1) </w:t>
            </w:r>
            <w:r>
              <w:rPr>
                <w:rFonts w:eastAsia="SimSun" w:hint="eastAsia"/>
                <w:b/>
                <w:bCs/>
                <w:sz w:val="20"/>
                <w:szCs w:val="20"/>
                <w:lang w:eastAsia="zh-CN"/>
              </w:rPr>
              <w:t>State-Owned Enterprises</w:t>
            </w:r>
            <w:r>
              <w:rPr>
                <w:rFonts w:eastAsia="SimSun" w:hint="eastAsia"/>
                <w:b/>
                <w:bCs/>
                <w:sz w:val="20"/>
                <w:szCs w:val="20"/>
                <w:lang w:eastAsia="zh-CN"/>
              </w:rPr>
              <w:tab/>
            </w:r>
          </w:p>
        </w:tc>
        <w:tc>
          <w:tcPr>
            <w:tcW w:w="1157" w:type="pct"/>
            <w:tcBorders>
              <w:top w:val="nil"/>
              <w:left w:val="nil"/>
              <w:bottom w:val="single" w:sz="12" w:space="0" w:color="000000"/>
              <w:right w:val="nil"/>
            </w:tcBorders>
            <w:noWrap/>
            <w:vAlign w:val="center"/>
          </w:tcPr>
          <w:p w14:paraId="1CA46B03" w14:textId="77777777" w:rsidR="0008758D" w:rsidRDefault="00127F5C">
            <w:pPr>
              <w:jc w:val="center"/>
              <w:rPr>
                <w:rFonts w:eastAsia="SimSun"/>
                <w:b/>
                <w:bCs/>
                <w:sz w:val="20"/>
                <w:szCs w:val="20"/>
                <w:lang w:eastAsia="zh-CN"/>
              </w:rPr>
            </w:pPr>
            <w:r>
              <w:rPr>
                <w:rFonts w:eastAsia="SimSun" w:hint="eastAsia"/>
                <w:b/>
                <w:bCs/>
                <w:sz w:val="20"/>
                <w:szCs w:val="20"/>
                <w:lang w:eastAsia="zh-CN"/>
              </w:rPr>
              <w:t>(2) Non-State-Owned Enterprises</w:t>
            </w:r>
          </w:p>
        </w:tc>
        <w:tc>
          <w:tcPr>
            <w:tcW w:w="1005" w:type="pct"/>
            <w:tcBorders>
              <w:top w:val="nil"/>
              <w:left w:val="nil"/>
              <w:bottom w:val="single" w:sz="12" w:space="0" w:color="000000"/>
              <w:right w:val="nil"/>
            </w:tcBorders>
            <w:noWrap/>
            <w:vAlign w:val="center"/>
          </w:tcPr>
          <w:p w14:paraId="6AAA2076" w14:textId="77777777" w:rsidR="0008758D" w:rsidRDefault="00127F5C">
            <w:pPr>
              <w:jc w:val="center"/>
              <w:rPr>
                <w:rFonts w:eastAsia="SimSun"/>
                <w:b/>
                <w:bCs/>
                <w:sz w:val="20"/>
                <w:szCs w:val="20"/>
                <w:lang w:eastAsia="zh-CN"/>
              </w:rPr>
            </w:pPr>
            <w:r>
              <w:rPr>
                <w:rFonts w:eastAsia="SimSun" w:hint="eastAsia"/>
                <w:b/>
                <w:bCs/>
                <w:sz w:val="20"/>
                <w:szCs w:val="20"/>
                <w:lang w:eastAsia="zh-CN"/>
              </w:rPr>
              <w:t>(3) State-Owned Enterprises</w:t>
            </w:r>
            <w:r>
              <w:rPr>
                <w:rFonts w:eastAsia="SimSun" w:hint="eastAsia"/>
                <w:b/>
                <w:bCs/>
                <w:sz w:val="20"/>
                <w:szCs w:val="20"/>
                <w:lang w:eastAsia="zh-CN"/>
              </w:rPr>
              <w:tab/>
            </w:r>
          </w:p>
        </w:tc>
        <w:tc>
          <w:tcPr>
            <w:tcW w:w="1157" w:type="pct"/>
            <w:tcBorders>
              <w:top w:val="nil"/>
              <w:left w:val="nil"/>
              <w:bottom w:val="single" w:sz="12" w:space="0" w:color="000000"/>
              <w:right w:val="nil"/>
            </w:tcBorders>
            <w:noWrap/>
            <w:vAlign w:val="center"/>
          </w:tcPr>
          <w:p w14:paraId="1BAC4EEC" w14:textId="77777777" w:rsidR="0008758D" w:rsidRDefault="00127F5C">
            <w:pPr>
              <w:jc w:val="center"/>
              <w:rPr>
                <w:rFonts w:eastAsia="SimSun"/>
                <w:b/>
                <w:bCs/>
                <w:sz w:val="20"/>
                <w:szCs w:val="20"/>
                <w:lang w:eastAsia="zh-CN"/>
              </w:rPr>
            </w:pPr>
            <w:r>
              <w:rPr>
                <w:rFonts w:eastAsia="SimSun" w:hint="eastAsia"/>
                <w:b/>
                <w:bCs/>
                <w:sz w:val="20"/>
                <w:szCs w:val="20"/>
                <w:lang w:eastAsia="zh-CN"/>
              </w:rPr>
              <w:t>(4) Non-State-Owned Enterprises</w:t>
            </w:r>
          </w:p>
        </w:tc>
      </w:tr>
      <w:tr w:rsidR="0008758D" w14:paraId="0EA047EE" w14:textId="77777777">
        <w:trPr>
          <w:trHeight w:val="313"/>
        </w:trPr>
        <w:tc>
          <w:tcPr>
            <w:tcW w:w="674" w:type="pct"/>
            <w:vMerge w:val="restart"/>
            <w:tcBorders>
              <w:top w:val="nil"/>
              <w:left w:val="nil"/>
              <w:bottom w:val="nil"/>
              <w:right w:val="nil"/>
            </w:tcBorders>
            <w:noWrap/>
            <w:vAlign w:val="center"/>
          </w:tcPr>
          <w:p w14:paraId="4260183A" w14:textId="77777777" w:rsidR="0008758D" w:rsidRDefault="00127F5C">
            <w:pPr>
              <w:jc w:val="center"/>
              <w:rPr>
                <w:lang w:eastAsia="zh-CN"/>
              </w:rPr>
            </w:pPr>
            <w:r>
              <w:rPr>
                <w:lang w:eastAsia="zh-CN"/>
              </w:rPr>
              <w:t>ESG</w:t>
            </w:r>
          </w:p>
        </w:tc>
        <w:tc>
          <w:tcPr>
            <w:tcW w:w="1005" w:type="pct"/>
            <w:tcBorders>
              <w:top w:val="nil"/>
              <w:left w:val="nil"/>
              <w:bottom w:val="nil"/>
              <w:right w:val="nil"/>
            </w:tcBorders>
            <w:noWrap/>
            <w:vAlign w:val="center"/>
          </w:tcPr>
          <w:p w14:paraId="7B8E368B" w14:textId="77777777" w:rsidR="0008758D" w:rsidRDefault="00127F5C">
            <w:pPr>
              <w:jc w:val="center"/>
              <w:rPr>
                <w:lang w:eastAsia="zh-CN"/>
              </w:rPr>
            </w:pPr>
            <w:r>
              <w:rPr>
                <w:rFonts w:hint="eastAsia"/>
                <w:lang w:eastAsia="zh-CN"/>
              </w:rPr>
              <w:t>-0.460</w:t>
            </w:r>
          </w:p>
        </w:tc>
        <w:tc>
          <w:tcPr>
            <w:tcW w:w="1157" w:type="pct"/>
            <w:tcBorders>
              <w:top w:val="nil"/>
              <w:left w:val="nil"/>
              <w:bottom w:val="nil"/>
              <w:right w:val="nil"/>
            </w:tcBorders>
            <w:noWrap/>
            <w:vAlign w:val="center"/>
          </w:tcPr>
          <w:p w14:paraId="19CF6BA8" w14:textId="77777777" w:rsidR="0008758D" w:rsidRDefault="00127F5C">
            <w:pPr>
              <w:jc w:val="center"/>
              <w:rPr>
                <w:lang w:eastAsia="zh-CN"/>
              </w:rPr>
            </w:pPr>
            <w:r>
              <w:rPr>
                <w:rFonts w:hint="eastAsia"/>
                <w:lang w:eastAsia="zh-CN"/>
              </w:rPr>
              <w:t>7.630</w:t>
            </w:r>
            <w:r>
              <w:rPr>
                <w:lang w:eastAsia="zh-CN"/>
              </w:rPr>
              <w:t>***</w:t>
            </w:r>
          </w:p>
        </w:tc>
        <w:tc>
          <w:tcPr>
            <w:tcW w:w="1005" w:type="pct"/>
            <w:tcBorders>
              <w:top w:val="nil"/>
              <w:left w:val="nil"/>
              <w:bottom w:val="nil"/>
              <w:right w:val="nil"/>
            </w:tcBorders>
            <w:shd w:val="clear" w:color="auto" w:fill="FFFFFF"/>
            <w:noWrap/>
            <w:vAlign w:val="center"/>
          </w:tcPr>
          <w:p w14:paraId="4561DAEE" w14:textId="77777777" w:rsidR="0008758D" w:rsidRDefault="00127F5C">
            <w:pPr>
              <w:jc w:val="center"/>
              <w:rPr>
                <w:lang w:eastAsia="zh-CN"/>
              </w:rPr>
            </w:pPr>
            <w:r>
              <w:rPr>
                <w:rFonts w:hint="eastAsia"/>
                <w:lang w:eastAsia="zh-CN"/>
              </w:rPr>
              <w:t>0.332</w:t>
            </w:r>
          </w:p>
        </w:tc>
        <w:tc>
          <w:tcPr>
            <w:tcW w:w="1157" w:type="pct"/>
            <w:tcBorders>
              <w:top w:val="nil"/>
              <w:left w:val="nil"/>
              <w:bottom w:val="nil"/>
              <w:right w:val="nil"/>
            </w:tcBorders>
            <w:shd w:val="clear" w:color="auto" w:fill="FFFFFF"/>
            <w:noWrap/>
            <w:vAlign w:val="center"/>
          </w:tcPr>
          <w:p w14:paraId="5618C090" w14:textId="77777777" w:rsidR="0008758D" w:rsidRDefault="00127F5C">
            <w:pPr>
              <w:jc w:val="center"/>
              <w:rPr>
                <w:lang w:eastAsia="zh-CN"/>
              </w:rPr>
            </w:pPr>
            <w:r>
              <w:rPr>
                <w:rFonts w:hint="eastAsia"/>
                <w:lang w:eastAsia="zh-CN"/>
              </w:rPr>
              <w:t>0.793</w:t>
            </w:r>
            <w:r>
              <w:rPr>
                <w:lang w:eastAsia="zh-CN"/>
              </w:rPr>
              <w:t>**</w:t>
            </w:r>
          </w:p>
        </w:tc>
      </w:tr>
      <w:tr w:rsidR="0008758D" w14:paraId="311C6F57" w14:textId="77777777">
        <w:trPr>
          <w:trHeight w:val="236"/>
        </w:trPr>
        <w:tc>
          <w:tcPr>
            <w:tcW w:w="674" w:type="pct"/>
            <w:vMerge/>
            <w:tcBorders>
              <w:top w:val="nil"/>
              <w:left w:val="nil"/>
              <w:bottom w:val="nil"/>
              <w:right w:val="nil"/>
            </w:tcBorders>
            <w:noWrap/>
            <w:vAlign w:val="center"/>
          </w:tcPr>
          <w:p w14:paraId="35F4335A" w14:textId="77777777" w:rsidR="0008758D" w:rsidRDefault="0008758D">
            <w:pPr>
              <w:jc w:val="center"/>
              <w:rPr>
                <w:lang w:eastAsia="zh-CN"/>
              </w:rPr>
            </w:pPr>
          </w:p>
        </w:tc>
        <w:tc>
          <w:tcPr>
            <w:tcW w:w="1005" w:type="pct"/>
            <w:tcBorders>
              <w:top w:val="nil"/>
              <w:left w:val="nil"/>
              <w:bottom w:val="nil"/>
              <w:right w:val="nil"/>
            </w:tcBorders>
            <w:noWrap/>
            <w:vAlign w:val="center"/>
          </w:tcPr>
          <w:p w14:paraId="7462DEE1" w14:textId="77777777" w:rsidR="0008758D" w:rsidRDefault="00127F5C">
            <w:pPr>
              <w:jc w:val="center"/>
              <w:rPr>
                <w:lang w:eastAsia="zh-CN"/>
              </w:rPr>
            </w:pPr>
            <w:r>
              <w:rPr>
                <w:rFonts w:hint="eastAsia"/>
                <w:lang w:eastAsia="zh-CN"/>
              </w:rPr>
              <w:t>(1.447)</w:t>
            </w:r>
          </w:p>
        </w:tc>
        <w:tc>
          <w:tcPr>
            <w:tcW w:w="1157" w:type="pct"/>
            <w:tcBorders>
              <w:top w:val="nil"/>
              <w:left w:val="nil"/>
              <w:bottom w:val="nil"/>
              <w:right w:val="nil"/>
            </w:tcBorders>
            <w:noWrap/>
            <w:vAlign w:val="center"/>
          </w:tcPr>
          <w:p w14:paraId="100D601E" w14:textId="77777777" w:rsidR="0008758D" w:rsidRDefault="00127F5C">
            <w:pPr>
              <w:jc w:val="center"/>
              <w:rPr>
                <w:lang w:eastAsia="zh-CN"/>
              </w:rPr>
            </w:pPr>
            <w:r>
              <w:rPr>
                <w:rFonts w:hint="eastAsia"/>
                <w:lang w:eastAsia="zh-CN"/>
              </w:rPr>
              <w:t>（</w:t>
            </w:r>
            <w:r>
              <w:rPr>
                <w:rFonts w:hint="eastAsia"/>
                <w:lang w:eastAsia="zh-CN"/>
              </w:rPr>
              <w:t>2.139</w:t>
            </w:r>
            <w:r>
              <w:rPr>
                <w:rFonts w:hint="eastAsia"/>
                <w:lang w:eastAsia="zh-CN"/>
              </w:rPr>
              <w:t>）</w:t>
            </w:r>
          </w:p>
        </w:tc>
        <w:tc>
          <w:tcPr>
            <w:tcW w:w="1005" w:type="pct"/>
            <w:tcBorders>
              <w:top w:val="nil"/>
              <w:left w:val="nil"/>
              <w:bottom w:val="nil"/>
              <w:right w:val="nil"/>
            </w:tcBorders>
            <w:noWrap/>
            <w:vAlign w:val="center"/>
          </w:tcPr>
          <w:p w14:paraId="6C2D1478" w14:textId="77777777" w:rsidR="0008758D" w:rsidRDefault="00127F5C">
            <w:pPr>
              <w:jc w:val="center"/>
              <w:rPr>
                <w:lang w:eastAsia="zh-CN"/>
              </w:rPr>
            </w:pPr>
            <w:r>
              <w:rPr>
                <w:rFonts w:hint="eastAsia"/>
                <w:lang w:eastAsia="zh-CN"/>
              </w:rPr>
              <w:t>（</w:t>
            </w:r>
            <w:r>
              <w:rPr>
                <w:rFonts w:hint="eastAsia"/>
                <w:lang w:eastAsia="zh-CN"/>
              </w:rPr>
              <w:t>0.258</w:t>
            </w:r>
            <w:r>
              <w:rPr>
                <w:rFonts w:hint="eastAsia"/>
                <w:lang w:eastAsia="zh-CN"/>
              </w:rPr>
              <w:t>）</w:t>
            </w:r>
          </w:p>
        </w:tc>
        <w:tc>
          <w:tcPr>
            <w:tcW w:w="1157" w:type="pct"/>
            <w:tcBorders>
              <w:top w:val="nil"/>
              <w:left w:val="nil"/>
              <w:bottom w:val="nil"/>
              <w:right w:val="nil"/>
            </w:tcBorders>
            <w:noWrap/>
            <w:vAlign w:val="center"/>
          </w:tcPr>
          <w:p w14:paraId="18773AEE" w14:textId="77777777" w:rsidR="0008758D" w:rsidRDefault="00127F5C">
            <w:pPr>
              <w:jc w:val="center"/>
              <w:rPr>
                <w:lang w:eastAsia="zh-CN"/>
              </w:rPr>
            </w:pPr>
            <w:r>
              <w:rPr>
                <w:rFonts w:hint="eastAsia"/>
                <w:lang w:eastAsia="zh-CN"/>
              </w:rPr>
              <w:t>（</w:t>
            </w:r>
            <w:r>
              <w:rPr>
                <w:rFonts w:hint="eastAsia"/>
                <w:lang w:eastAsia="zh-CN"/>
              </w:rPr>
              <w:t>0.364</w:t>
            </w:r>
            <w:r>
              <w:rPr>
                <w:rFonts w:hint="eastAsia"/>
                <w:lang w:eastAsia="zh-CN"/>
              </w:rPr>
              <w:t>）</w:t>
            </w:r>
          </w:p>
        </w:tc>
      </w:tr>
      <w:tr w:rsidR="0008758D" w14:paraId="2199D552" w14:textId="77777777">
        <w:trPr>
          <w:trHeight w:val="244"/>
        </w:trPr>
        <w:tc>
          <w:tcPr>
            <w:tcW w:w="674" w:type="pct"/>
            <w:tcBorders>
              <w:top w:val="nil"/>
              <w:left w:val="nil"/>
              <w:bottom w:val="nil"/>
              <w:right w:val="nil"/>
            </w:tcBorders>
            <w:noWrap/>
            <w:vAlign w:val="center"/>
          </w:tcPr>
          <w:p w14:paraId="2AE81CE5" w14:textId="77777777" w:rsidR="0008758D" w:rsidRDefault="00127F5C">
            <w:pPr>
              <w:jc w:val="center"/>
              <w:rPr>
                <w:lang w:eastAsia="zh-CN"/>
              </w:rPr>
            </w:pPr>
            <w:r>
              <w:rPr>
                <w:rFonts w:hint="eastAsia"/>
              </w:rPr>
              <w:t>Control Variables</w:t>
            </w:r>
          </w:p>
        </w:tc>
        <w:tc>
          <w:tcPr>
            <w:tcW w:w="1005" w:type="pct"/>
            <w:tcBorders>
              <w:top w:val="nil"/>
              <w:left w:val="nil"/>
              <w:bottom w:val="nil"/>
              <w:right w:val="nil"/>
            </w:tcBorders>
            <w:noWrap/>
            <w:vAlign w:val="center"/>
          </w:tcPr>
          <w:p w14:paraId="25A95130"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6B9C69AA"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6A8E86AE"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78D1BF03" w14:textId="77777777" w:rsidR="0008758D" w:rsidRDefault="00127F5C">
            <w:pPr>
              <w:jc w:val="center"/>
              <w:rPr>
                <w:lang w:eastAsia="zh-CN"/>
              </w:rPr>
            </w:pPr>
            <w:r>
              <w:rPr>
                <w:lang w:eastAsia="zh-CN"/>
              </w:rPr>
              <w:t>Yes</w:t>
            </w:r>
          </w:p>
        </w:tc>
      </w:tr>
      <w:tr w:rsidR="0008758D" w14:paraId="5BABC060" w14:textId="77777777">
        <w:trPr>
          <w:trHeight w:val="244"/>
        </w:trPr>
        <w:tc>
          <w:tcPr>
            <w:tcW w:w="674" w:type="pct"/>
            <w:tcBorders>
              <w:top w:val="nil"/>
              <w:left w:val="nil"/>
              <w:bottom w:val="nil"/>
              <w:right w:val="nil"/>
            </w:tcBorders>
            <w:noWrap/>
            <w:vAlign w:val="center"/>
          </w:tcPr>
          <w:p w14:paraId="25996EC0" w14:textId="77777777" w:rsidR="0008758D" w:rsidRDefault="00127F5C">
            <w:pPr>
              <w:jc w:val="center"/>
              <w:rPr>
                <w:lang w:eastAsia="zh-CN"/>
              </w:rPr>
            </w:pPr>
            <w:r>
              <w:rPr>
                <w:lang w:eastAsia="zh-CN"/>
              </w:rPr>
              <w:t>Individual FE</w:t>
            </w:r>
          </w:p>
        </w:tc>
        <w:tc>
          <w:tcPr>
            <w:tcW w:w="1005" w:type="pct"/>
            <w:tcBorders>
              <w:top w:val="nil"/>
              <w:left w:val="nil"/>
              <w:bottom w:val="nil"/>
              <w:right w:val="nil"/>
            </w:tcBorders>
            <w:noWrap/>
            <w:vAlign w:val="center"/>
          </w:tcPr>
          <w:p w14:paraId="0A3A8BED"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0316C437"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1B721F8A"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0430B566" w14:textId="77777777" w:rsidR="0008758D" w:rsidRDefault="00127F5C">
            <w:pPr>
              <w:jc w:val="center"/>
              <w:rPr>
                <w:lang w:eastAsia="zh-CN"/>
              </w:rPr>
            </w:pPr>
            <w:r>
              <w:rPr>
                <w:lang w:eastAsia="zh-CN"/>
              </w:rPr>
              <w:t>Yes</w:t>
            </w:r>
          </w:p>
        </w:tc>
      </w:tr>
      <w:tr w:rsidR="0008758D" w14:paraId="46539065" w14:textId="77777777">
        <w:trPr>
          <w:trHeight w:val="244"/>
        </w:trPr>
        <w:tc>
          <w:tcPr>
            <w:tcW w:w="674" w:type="pct"/>
            <w:tcBorders>
              <w:top w:val="nil"/>
              <w:left w:val="nil"/>
              <w:bottom w:val="nil"/>
              <w:right w:val="nil"/>
            </w:tcBorders>
            <w:noWrap/>
            <w:vAlign w:val="center"/>
          </w:tcPr>
          <w:p w14:paraId="67001729" w14:textId="77777777" w:rsidR="0008758D" w:rsidRDefault="00127F5C">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09857C81" w14:textId="77777777" w:rsidR="0008758D" w:rsidRDefault="00127F5C">
            <w:pPr>
              <w:jc w:val="center"/>
              <w:rPr>
                <w:rFonts w:eastAsia="SimSun"/>
                <w:sz w:val="20"/>
                <w:szCs w:val="20"/>
                <w:lang w:eastAsia="zh-CN"/>
              </w:rPr>
            </w:pPr>
            <w:r>
              <w:rPr>
                <w:rFonts w:eastAsia="SimSun"/>
                <w:sz w:val="20"/>
                <w:szCs w:val="20"/>
                <w:lang w:eastAsia="zh-CN"/>
              </w:rPr>
              <w:t>Yes</w:t>
            </w:r>
          </w:p>
        </w:tc>
        <w:tc>
          <w:tcPr>
            <w:tcW w:w="1157" w:type="pct"/>
            <w:tcBorders>
              <w:top w:val="nil"/>
              <w:left w:val="nil"/>
              <w:bottom w:val="nil"/>
              <w:right w:val="nil"/>
            </w:tcBorders>
            <w:noWrap/>
            <w:vAlign w:val="center"/>
          </w:tcPr>
          <w:p w14:paraId="610616F6" w14:textId="77777777" w:rsidR="0008758D" w:rsidRDefault="00127F5C">
            <w:pPr>
              <w:jc w:val="center"/>
              <w:rPr>
                <w:rFonts w:eastAsia="SimSun"/>
                <w:b/>
                <w:bCs/>
                <w:sz w:val="20"/>
                <w:szCs w:val="20"/>
                <w:lang w:eastAsia="zh-CN"/>
              </w:rPr>
            </w:pPr>
            <w:r>
              <w:rPr>
                <w:rFonts w:eastAsia="SimSun"/>
                <w:sz w:val="20"/>
                <w:szCs w:val="20"/>
                <w:lang w:eastAsia="zh-CN"/>
              </w:rPr>
              <w:t>Yes</w:t>
            </w:r>
          </w:p>
        </w:tc>
        <w:tc>
          <w:tcPr>
            <w:tcW w:w="1005" w:type="pct"/>
            <w:tcBorders>
              <w:top w:val="nil"/>
              <w:left w:val="nil"/>
              <w:bottom w:val="nil"/>
              <w:right w:val="nil"/>
            </w:tcBorders>
            <w:noWrap/>
            <w:vAlign w:val="center"/>
          </w:tcPr>
          <w:p w14:paraId="41ABBAC0" w14:textId="77777777" w:rsidR="0008758D" w:rsidRDefault="00127F5C">
            <w:pPr>
              <w:jc w:val="center"/>
              <w:rPr>
                <w:rFonts w:eastAsia="SimSun"/>
                <w:sz w:val="20"/>
                <w:szCs w:val="20"/>
                <w:lang w:eastAsia="zh-CN"/>
              </w:rPr>
            </w:pPr>
            <w:r>
              <w:rPr>
                <w:lang w:eastAsia="zh-CN"/>
              </w:rPr>
              <w:t>Yes</w:t>
            </w:r>
          </w:p>
        </w:tc>
        <w:tc>
          <w:tcPr>
            <w:tcW w:w="1157" w:type="pct"/>
            <w:tcBorders>
              <w:top w:val="nil"/>
              <w:left w:val="nil"/>
              <w:bottom w:val="nil"/>
              <w:right w:val="nil"/>
            </w:tcBorders>
            <w:noWrap/>
            <w:vAlign w:val="center"/>
          </w:tcPr>
          <w:p w14:paraId="74283A5A" w14:textId="77777777" w:rsidR="0008758D" w:rsidRDefault="00127F5C">
            <w:pPr>
              <w:jc w:val="center"/>
              <w:rPr>
                <w:rFonts w:eastAsia="SimSun"/>
                <w:sz w:val="20"/>
                <w:szCs w:val="20"/>
                <w:lang w:eastAsia="zh-CN"/>
              </w:rPr>
            </w:pPr>
            <w:r>
              <w:rPr>
                <w:lang w:eastAsia="zh-CN"/>
              </w:rPr>
              <w:t>Yes</w:t>
            </w:r>
          </w:p>
        </w:tc>
      </w:tr>
      <w:tr w:rsidR="0008758D" w14:paraId="47E08C98" w14:textId="77777777">
        <w:trPr>
          <w:trHeight w:val="244"/>
        </w:trPr>
        <w:tc>
          <w:tcPr>
            <w:tcW w:w="674" w:type="pct"/>
            <w:tcBorders>
              <w:top w:val="nil"/>
              <w:left w:val="nil"/>
              <w:bottom w:val="nil"/>
              <w:right w:val="nil"/>
            </w:tcBorders>
            <w:noWrap/>
            <w:vAlign w:val="center"/>
          </w:tcPr>
          <w:p w14:paraId="0ED75CB8"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770CB324" w14:textId="77777777" w:rsidR="0008758D" w:rsidRDefault="00127F5C">
            <w:pPr>
              <w:jc w:val="center"/>
              <w:rPr>
                <w:rFonts w:eastAsia="SimSun"/>
                <w:sz w:val="20"/>
                <w:szCs w:val="20"/>
                <w:lang w:eastAsia="zh-CN"/>
              </w:rPr>
            </w:pPr>
            <w:r>
              <w:rPr>
                <w:rFonts w:eastAsia="SimSun" w:hint="eastAsia"/>
                <w:sz w:val="20"/>
                <w:szCs w:val="20"/>
                <w:lang w:eastAsia="zh-CN"/>
              </w:rPr>
              <w:t>6076</w:t>
            </w:r>
          </w:p>
        </w:tc>
        <w:tc>
          <w:tcPr>
            <w:tcW w:w="2216" w:type="dxa"/>
            <w:tcBorders>
              <w:top w:val="nil"/>
              <w:left w:val="nil"/>
              <w:bottom w:val="nil"/>
              <w:right w:val="nil"/>
            </w:tcBorders>
            <w:noWrap/>
            <w:vAlign w:val="center"/>
          </w:tcPr>
          <w:p w14:paraId="3D41640A" w14:textId="77777777" w:rsidR="0008758D" w:rsidRDefault="00127F5C">
            <w:pPr>
              <w:jc w:val="center"/>
              <w:rPr>
                <w:rFonts w:eastAsia="SimSun"/>
                <w:sz w:val="20"/>
                <w:szCs w:val="20"/>
                <w:lang w:eastAsia="zh-CN"/>
              </w:rPr>
            </w:pPr>
            <w:r>
              <w:rPr>
                <w:rFonts w:eastAsia="SimSun" w:hint="eastAsia"/>
                <w:sz w:val="20"/>
                <w:szCs w:val="20"/>
                <w:lang w:eastAsia="zh-CN"/>
              </w:rPr>
              <w:t>4433</w:t>
            </w:r>
          </w:p>
        </w:tc>
        <w:tc>
          <w:tcPr>
            <w:tcW w:w="1926" w:type="dxa"/>
            <w:tcBorders>
              <w:top w:val="nil"/>
              <w:left w:val="nil"/>
              <w:bottom w:val="nil"/>
              <w:right w:val="nil"/>
            </w:tcBorders>
            <w:noWrap/>
            <w:vAlign w:val="center"/>
          </w:tcPr>
          <w:p w14:paraId="10A7A622" w14:textId="77777777" w:rsidR="0008758D" w:rsidRDefault="00127F5C">
            <w:pPr>
              <w:jc w:val="center"/>
              <w:rPr>
                <w:rFonts w:eastAsia="SimSun"/>
                <w:sz w:val="20"/>
                <w:szCs w:val="20"/>
                <w:lang w:eastAsia="zh-CN"/>
              </w:rPr>
            </w:pPr>
            <w:r>
              <w:rPr>
                <w:rFonts w:eastAsia="SimSun" w:hint="eastAsia"/>
                <w:sz w:val="20"/>
                <w:szCs w:val="20"/>
                <w:lang w:eastAsia="zh-CN"/>
              </w:rPr>
              <w:t>5803</w:t>
            </w:r>
          </w:p>
        </w:tc>
        <w:tc>
          <w:tcPr>
            <w:tcW w:w="2216" w:type="dxa"/>
            <w:tcBorders>
              <w:top w:val="nil"/>
              <w:left w:val="nil"/>
              <w:bottom w:val="nil"/>
              <w:right w:val="nil"/>
            </w:tcBorders>
            <w:noWrap/>
            <w:vAlign w:val="center"/>
          </w:tcPr>
          <w:p w14:paraId="0A9D194E" w14:textId="77777777" w:rsidR="0008758D" w:rsidRDefault="00127F5C">
            <w:pPr>
              <w:jc w:val="center"/>
              <w:rPr>
                <w:rFonts w:eastAsia="SimSun"/>
                <w:sz w:val="20"/>
                <w:szCs w:val="20"/>
                <w:lang w:eastAsia="zh-CN"/>
              </w:rPr>
            </w:pPr>
            <w:r>
              <w:rPr>
                <w:rFonts w:eastAsia="SimSun" w:hint="eastAsia"/>
                <w:sz w:val="20"/>
                <w:szCs w:val="20"/>
                <w:lang w:eastAsia="zh-CN"/>
              </w:rPr>
              <w:t>3988</w:t>
            </w:r>
          </w:p>
        </w:tc>
      </w:tr>
      <w:tr w:rsidR="0008758D" w14:paraId="045DFD7D" w14:textId="77777777">
        <w:trPr>
          <w:trHeight w:val="313"/>
        </w:trPr>
        <w:tc>
          <w:tcPr>
            <w:tcW w:w="674" w:type="pct"/>
            <w:tcBorders>
              <w:top w:val="nil"/>
              <w:left w:val="nil"/>
              <w:bottom w:val="single" w:sz="12" w:space="0" w:color="000000"/>
              <w:right w:val="nil"/>
            </w:tcBorders>
            <w:noWrap/>
            <w:vAlign w:val="center"/>
          </w:tcPr>
          <w:p w14:paraId="0C7E7319" w14:textId="77777777" w:rsidR="0008758D" w:rsidRDefault="00127F5C">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6A122B52" w14:textId="77777777" w:rsidR="0008758D" w:rsidRDefault="00127F5C">
            <w:pPr>
              <w:jc w:val="center"/>
              <w:rPr>
                <w:rFonts w:eastAsia="SimSun"/>
                <w:sz w:val="20"/>
                <w:szCs w:val="20"/>
                <w:lang w:eastAsia="zh-CN"/>
              </w:rPr>
            </w:pPr>
            <w:r>
              <w:rPr>
                <w:rFonts w:eastAsia="SimSun" w:hint="eastAsia"/>
                <w:sz w:val="20"/>
                <w:szCs w:val="20"/>
                <w:lang w:eastAsia="zh-CN"/>
              </w:rPr>
              <w:t>0.092</w:t>
            </w:r>
          </w:p>
        </w:tc>
        <w:tc>
          <w:tcPr>
            <w:tcW w:w="2216" w:type="dxa"/>
            <w:tcBorders>
              <w:top w:val="nil"/>
              <w:left w:val="nil"/>
              <w:bottom w:val="single" w:sz="12" w:space="0" w:color="000000"/>
              <w:right w:val="nil"/>
            </w:tcBorders>
            <w:noWrap/>
            <w:vAlign w:val="center"/>
          </w:tcPr>
          <w:p w14:paraId="5614CD31" w14:textId="77777777" w:rsidR="0008758D" w:rsidRDefault="00127F5C">
            <w:pPr>
              <w:jc w:val="center"/>
              <w:rPr>
                <w:rFonts w:eastAsia="SimSun"/>
                <w:sz w:val="20"/>
                <w:szCs w:val="20"/>
                <w:lang w:eastAsia="zh-CN"/>
              </w:rPr>
            </w:pPr>
            <w:r>
              <w:rPr>
                <w:rFonts w:eastAsia="SimSun" w:hint="eastAsia"/>
                <w:sz w:val="20"/>
                <w:szCs w:val="20"/>
                <w:lang w:eastAsia="zh-CN"/>
              </w:rPr>
              <w:t>0.049</w:t>
            </w:r>
          </w:p>
        </w:tc>
        <w:tc>
          <w:tcPr>
            <w:tcW w:w="1926" w:type="dxa"/>
            <w:tcBorders>
              <w:top w:val="nil"/>
              <w:left w:val="nil"/>
              <w:bottom w:val="single" w:sz="12" w:space="0" w:color="000000"/>
              <w:right w:val="nil"/>
            </w:tcBorders>
            <w:noWrap/>
            <w:vAlign w:val="center"/>
          </w:tcPr>
          <w:p w14:paraId="7710B9EC" w14:textId="77777777" w:rsidR="0008758D" w:rsidRDefault="00127F5C">
            <w:pPr>
              <w:jc w:val="center"/>
              <w:rPr>
                <w:rFonts w:eastAsia="SimSun"/>
                <w:sz w:val="20"/>
                <w:szCs w:val="20"/>
                <w:lang w:eastAsia="zh-CN"/>
              </w:rPr>
            </w:pPr>
            <w:r>
              <w:rPr>
                <w:rFonts w:eastAsia="SimSun" w:hint="eastAsia"/>
                <w:sz w:val="20"/>
                <w:szCs w:val="20"/>
                <w:lang w:eastAsia="zh-CN"/>
              </w:rPr>
              <w:t>0.090</w:t>
            </w:r>
          </w:p>
        </w:tc>
        <w:tc>
          <w:tcPr>
            <w:tcW w:w="2216" w:type="dxa"/>
            <w:tcBorders>
              <w:top w:val="nil"/>
              <w:left w:val="nil"/>
              <w:bottom w:val="single" w:sz="12" w:space="0" w:color="000000"/>
              <w:right w:val="nil"/>
            </w:tcBorders>
            <w:noWrap/>
            <w:vAlign w:val="center"/>
          </w:tcPr>
          <w:p w14:paraId="57B98CDE" w14:textId="77777777" w:rsidR="0008758D" w:rsidRDefault="00127F5C">
            <w:pPr>
              <w:jc w:val="center"/>
              <w:rPr>
                <w:rFonts w:eastAsia="SimSun"/>
                <w:sz w:val="20"/>
                <w:szCs w:val="20"/>
                <w:lang w:eastAsia="zh-CN"/>
              </w:rPr>
            </w:pPr>
            <w:r>
              <w:rPr>
                <w:rFonts w:eastAsia="SimSun" w:hint="eastAsia"/>
                <w:sz w:val="20"/>
                <w:szCs w:val="20"/>
                <w:lang w:eastAsia="zh-CN"/>
              </w:rPr>
              <w:t>0.046</w:t>
            </w:r>
          </w:p>
        </w:tc>
      </w:tr>
    </w:tbl>
    <w:p w14:paraId="24D259E9" w14:textId="77777777" w:rsidR="0008758D" w:rsidRDefault="0008758D">
      <w:pPr>
        <w:pStyle w:val="Body"/>
        <w:widowControl/>
        <w:spacing w:after="0"/>
        <w:rPr>
          <w:b/>
          <w:bCs/>
          <w:sz w:val="18"/>
          <w:szCs w:val="18"/>
          <w:lang w:eastAsia="zh-CN"/>
        </w:rPr>
      </w:pPr>
    </w:p>
    <w:p w14:paraId="34D00DA5" w14:textId="77777777" w:rsidR="0008758D" w:rsidRDefault="00127F5C">
      <w:pPr>
        <w:widowControl/>
        <w:autoSpaceDE w:val="0"/>
        <w:autoSpaceDN w:val="0"/>
        <w:adjustRightInd w:val="0"/>
        <w:jc w:val="both"/>
        <w:rPr>
          <w:b/>
          <w:bCs/>
          <w:sz w:val="18"/>
          <w:szCs w:val="18"/>
          <w:lang w:eastAsia="zh-CN"/>
        </w:rPr>
      </w:pPr>
      <w:r>
        <w:rPr>
          <w:rFonts w:eastAsia="Times New Roman"/>
          <w:b/>
          <w:bCs/>
          <w:sz w:val="20"/>
          <w:lang w:eastAsia="zh-CN"/>
        </w:rPr>
        <w:t xml:space="preserve">Table </w:t>
      </w:r>
      <w:r>
        <w:rPr>
          <w:rFonts w:eastAsia="Times New Roman" w:hint="eastAsia"/>
          <w:b/>
          <w:bCs/>
          <w:sz w:val="20"/>
          <w:lang w:eastAsia="zh-CN"/>
        </w:rPr>
        <w:t>5</w:t>
      </w:r>
      <w:r>
        <w:rPr>
          <w:rFonts w:eastAsia="Times New Roman"/>
          <w:b/>
          <w:bCs/>
          <w:sz w:val="20"/>
          <w:lang w:eastAsia="zh-CN"/>
        </w:rPr>
        <w:t>: Heterogeneity Test Results: High-tech Enterprises</w:t>
      </w:r>
    </w:p>
    <w:tbl>
      <w:tblPr>
        <w:tblW w:w="5000" w:type="pct"/>
        <w:tblLook w:val="04A0" w:firstRow="1" w:lastRow="0" w:firstColumn="1" w:lastColumn="0" w:noHBand="0" w:noVBand="1"/>
      </w:tblPr>
      <w:tblGrid>
        <w:gridCol w:w="1790"/>
        <w:gridCol w:w="1811"/>
        <w:gridCol w:w="2082"/>
        <w:gridCol w:w="1811"/>
        <w:gridCol w:w="2082"/>
      </w:tblGrid>
      <w:tr w:rsidR="0008758D" w14:paraId="6EB514A1"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2CA85027" w14:textId="77777777" w:rsidR="0008758D" w:rsidRDefault="00127F5C">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5017C082" w14:textId="77777777" w:rsidR="0008758D" w:rsidRDefault="00127F5C">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3A411AFC" w14:textId="77777777" w:rsidR="0008758D" w:rsidRDefault="00127F5C">
            <w:pPr>
              <w:jc w:val="center"/>
              <w:rPr>
                <w:rFonts w:eastAsia="SimSun"/>
                <w:b/>
                <w:bCs/>
                <w:sz w:val="20"/>
                <w:szCs w:val="20"/>
                <w:lang w:eastAsia="zh-CN"/>
              </w:rPr>
            </w:pPr>
            <w:r>
              <w:rPr>
                <w:rFonts w:eastAsia="SimSun" w:hint="eastAsia"/>
                <w:b/>
                <w:bCs/>
                <w:sz w:val="20"/>
                <w:szCs w:val="20"/>
                <w:lang w:eastAsia="zh-CN"/>
              </w:rPr>
              <w:t>OFDI_F</w:t>
            </w:r>
          </w:p>
        </w:tc>
      </w:tr>
      <w:tr w:rsidR="0008758D" w14:paraId="7EAA5781" w14:textId="77777777">
        <w:trPr>
          <w:trHeight w:val="313"/>
        </w:trPr>
        <w:tc>
          <w:tcPr>
            <w:tcW w:w="674" w:type="pct"/>
            <w:vMerge/>
            <w:tcBorders>
              <w:top w:val="single" w:sz="12" w:space="0" w:color="000000"/>
              <w:left w:val="nil"/>
              <w:bottom w:val="single" w:sz="12" w:space="0" w:color="000000"/>
              <w:right w:val="nil"/>
            </w:tcBorders>
            <w:noWrap/>
            <w:vAlign w:val="center"/>
          </w:tcPr>
          <w:p w14:paraId="33E55196" w14:textId="77777777" w:rsidR="0008758D" w:rsidRDefault="0008758D">
            <w:pPr>
              <w:jc w:val="center"/>
              <w:rPr>
                <w:rFonts w:eastAsia="SimSun"/>
                <w:b/>
                <w:bCs/>
                <w:sz w:val="20"/>
                <w:szCs w:val="20"/>
              </w:rPr>
            </w:pPr>
          </w:p>
        </w:tc>
        <w:tc>
          <w:tcPr>
            <w:tcW w:w="1926" w:type="dxa"/>
            <w:tcBorders>
              <w:top w:val="nil"/>
              <w:left w:val="nil"/>
              <w:bottom w:val="single" w:sz="12" w:space="0" w:color="000000"/>
              <w:right w:val="nil"/>
            </w:tcBorders>
            <w:noWrap/>
            <w:vAlign w:val="center"/>
          </w:tcPr>
          <w:p w14:paraId="7F77ACF2" w14:textId="77777777" w:rsidR="0008758D" w:rsidRDefault="00127F5C">
            <w:pPr>
              <w:jc w:val="center"/>
              <w:rPr>
                <w:rFonts w:eastAsia="SimSun"/>
                <w:b/>
                <w:bCs/>
                <w:sz w:val="20"/>
                <w:szCs w:val="20"/>
                <w:lang w:eastAsia="zh-CN"/>
              </w:rPr>
            </w:pPr>
            <w:r>
              <w:rPr>
                <w:rFonts w:eastAsia="SimSun" w:hint="eastAsia"/>
                <w:b/>
                <w:bCs/>
                <w:sz w:val="20"/>
                <w:szCs w:val="20"/>
                <w:lang w:eastAsia="zh-CN"/>
              </w:rPr>
              <w:t>(1) High-tech</w:t>
            </w:r>
          </w:p>
        </w:tc>
        <w:tc>
          <w:tcPr>
            <w:tcW w:w="2216" w:type="dxa"/>
            <w:tcBorders>
              <w:top w:val="nil"/>
              <w:left w:val="nil"/>
              <w:bottom w:val="single" w:sz="12" w:space="0" w:color="000000"/>
              <w:right w:val="nil"/>
            </w:tcBorders>
            <w:noWrap/>
            <w:vAlign w:val="center"/>
          </w:tcPr>
          <w:p w14:paraId="2D32CEBB" w14:textId="77777777" w:rsidR="0008758D" w:rsidRDefault="00127F5C">
            <w:pPr>
              <w:jc w:val="center"/>
              <w:rPr>
                <w:rFonts w:eastAsia="SimSun"/>
                <w:b/>
                <w:bCs/>
                <w:sz w:val="20"/>
                <w:szCs w:val="20"/>
                <w:lang w:eastAsia="zh-CN"/>
              </w:rPr>
            </w:pPr>
            <w:r>
              <w:rPr>
                <w:rFonts w:eastAsia="SimSun" w:hint="eastAsia"/>
                <w:b/>
                <w:bCs/>
                <w:sz w:val="20"/>
                <w:szCs w:val="20"/>
                <w:lang w:eastAsia="zh-CN"/>
              </w:rPr>
              <w:t>(2) Non-high-tech</w:t>
            </w:r>
          </w:p>
        </w:tc>
        <w:tc>
          <w:tcPr>
            <w:tcW w:w="1926" w:type="dxa"/>
            <w:tcBorders>
              <w:top w:val="nil"/>
              <w:left w:val="nil"/>
              <w:bottom w:val="single" w:sz="12" w:space="0" w:color="000000"/>
              <w:right w:val="nil"/>
            </w:tcBorders>
            <w:noWrap/>
            <w:vAlign w:val="center"/>
          </w:tcPr>
          <w:p w14:paraId="11319781" w14:textId="77777777" w:rsidR="0008758D" w:rsidRDefault="00127F5C">
            <w:pPr>
              <w:jc w:val="center"/>
              <w:rPr>
                <w:rFonts w:eastAsia="SimSun"/>
                <w:b/>
                <w:bCs/>
                <w:sz w:val="20"/>
                <w:szCs w:val="20"/>
                <w:lang w:eastAsia="zh-CN"/>
              </w:rPr>
            </w:pPr>
            <w:r>
              <w:rPr>
                <w:rFonts w:eastAsia="SimSun" w:hint="eastAsia"/>
                <w:b/>
                <w:bCs/>
                <w:sz w:val="20"/>
                <w:szCs w:val="20"/>
                <w:lang w:eastAsia="zh-CN"/>
              </w:rPr>
              <w:t>(3) High-tech</w:t>
            </w:r>
          </w:p>
        </w:tc>
        <w:tc>
          <w:tcPr>
            <w:tcW w:w="2216" w:type="dxa"/>
            <w:tcBorders>
              <w:top w:val="nil"/>
              <w:left w:val="nil"/>
              <w:bottom w:val="single" w:sz="12" w:space="0" w:color="000000"/>
              <w:right w:val="nil"/>
            </w:tcBorders>
            <w:noWrap/>
            <w:vAlign w:val="center"/>
          </w:tcPr>
          <w:p w14:paraId="368DF2DA" w14:textId="77777777" w:rsidR="0008758D" w:rsidRDefault="00127F5C">
            <w:pPr>
              <w:jc w:val="center"/>
              <w:rPr>
                <w:rFonts w:eastAsia="SimSun"/>
                <w:b/>
                <w:bCs/>
                <w:sz w:val="20"/>
                <w:szCs w:val="20"/>
                <w:lang w:eastAsia="zh-CN"/>
              </w:rPr>
            </w:pPr>
            <w:r>
              <w:rPr>
                <w:rFonts w:eastAsia="SimSun" w:hint="eastAsia"/>
                <w:b/>
                <w:bCs/>
                <w:sz w:val="20"/>
                <w:szCs w:val="20"/>
                <w:lang w:eastAsia="zh-CN"/>
              </w:rPr>
              <w:t>(4) Non-high-tech</w:t>
            </w:r>
          </w:p>
        </w:tc>
      </w:tr>
      <w:tr w:rsidR="0008758D" w14:paraId="68E87F9F" w14:textId="77777777">
        <w:trPr>
          <w:trHeight w:val="313"/>
        </w:trPr>
        <w:tc>
          <w:tcPr>
            <w:tcW w:w="674" w:type="pct"/>
            <w:vMerge w:val="restart"/>
            <w:tcBorders>
              <w:top w:val="nil"/>
              <w:left w:val="nil"/>
              <w:bottom w:val="nil"/>
              <w:right w:val="nil"/>
            </w:tcBorders>
            <w:noWrap/>
            <w:vAlign w:val="center"/>
          </w:tcPr>
          <w:p w14:paraId="67EBE68C" w14:textId="77777777" w:rsidR="0008758D" w:rsidRDefault="00127F5C">
            <w:pPr>
              <w:jc w:val="center"/>
              <w:rPr>
                <w:lang w:eastAsia="zh-CN"/>
              </w:rPr>
            </w:pPr>
            <w:r>
              <w:rPr>
                <w:lang w:eastAsia="zh-CN"/>
              </w:rPr>
              <w:t>ESG</w:t>
            </w:r>
          </w:p>
        </w:tc>
        <w:tc>
          <w:tcPr>
            <w:tcW w:w="1926" w:type="dxa"/>
            <w:tcBorders>
              <w:top w:val="nil"/>
              <w:left w:val="nil"/>
              <w:bottom w:val="nil"/>
              <w:right w:val="nil"/>
            </w:tcBorders>
            <w:noWrap/>
            <w:vAlign w:val="center"/>
          </w:tcPr>
          <w:p w14:paraId="5FF87E45" w14:textId="77777777" w:rsidR="0008758D" w:rsidRDefault="00127F5C">
            <w:pPr>
              <w:jc w:val="center"/>
              <w:rPr>
                <w:lang w:eastAsia="zh-CN"/>
              </w:rPr>
            </w:pPr>
            <w:r>
              <w:rPr>
                <w:rFonts w:hint="eastAsia"/>
                <w:lang w:eastAsia="zh-CN"/>
              </w:rPr>
              <w:t>2.685</w:t>
            </w:r>
            <w:r>
              <w:rPr>
                <w:lang w:eastAsia="zh-CN"/>
              </w:rPr>
              <w:t>*</w:t>
            </w:r>
          </w:p>
        </w:tc>
        <w:tc>
          <w:tcPr>
            <w:tcW w:w="2216" w:type="dxa"/>
            <w:tcBorders>
              <w:top w:val="nil"/>
              <w:left w:val="nil"/>
              <w:bottom w:val="nil"/>
              <w:right w:val="nil"/>
            </w:tcBorders>
            <w:noWrap/>
            <w:vAlign w:val="center"/>
          </w:tcPr>
          <w:p w14:paraId="5B110F1B" w14:textId="77777777" w:rsidR="0008758D" w:rsidRDefault="00127F5C">
            <w:pPr>
              <w:jc w:val="center"/>
              <w:rPr>
                <w:lang w:eastAsia="zh-CN"/>
              </w:rPr>
            </w:pPr>
            <w:r>
              <w:rPr>
                <w:rFonts w:hint="eastAsia"/>
                <w:lang w:eastAsia="zh-CN"/>
              </w:rPr>
              <w:t>0.305</w:t>
            </w:r>
          </w:p>
        </w:tc>
        <w:tc>
          <w:tcPr>
            <w:tcW w:w="1926" w:type="dxa"/>
            <w:tcBorders>
              <w:top w:val="nil"/>
              <w:left w:val="nil"/>
              <w:bottom w:val="nil"/>
              <w:right w:val="nil"/>
            </w:tcBorders>
            <w:shd w:val="clear" w:color="auto" w:fill="FFFFFF"/>
            <w:noWrap/>
            <w:vAlign w:val="center"/>
          </w:tcPr>
          <w:p w14:paraId="387D6A2E" w14:textId="77777777" w:rsidR="0008758D" w:rsidRDefault="00127F5C">
            <w:pPr>
              <w:jc w:val="center"/>
              <w:rPr>
                <w:lang w:eastAsia="zh-CN"/>
              </w:rPr>
            </w:pPr>
            <w:r>
              <w:rPr>
                <w:rFonts w:hint="eastAsia"/>
                <w:lang w:eastAsia="zh-CN"/>
              </w:rPr>
              <w:t>0.564</w:t>
            </w:r>
            <w:r>
              <w:rPr>
                <w:lang w:eastAsia="zh-CN"/>
              </w:rPr>
              <w:t>**</w:t>
            </w:r>
          </w:p>
        </w:tc>
        <w:tc>
          <w:tcPr>
            <w:tcW w:w="2216" w:type="dxa"/>
            <w:tcBorders>
              <w:top w:val="nil"/>
              <w:left w:val="nil"/>
              <w:bottom w:val="nil"/>
              <w:right w:val="nil"/>
            </w:tcBorders>
            <w:shd w:val="clear" w:color="auto" w:fill="FFFFFF"/>
            <w:noWrap/>
            <w:vAlign w:val="center"/>
          </w:tcPr>
          <w:p w14:paraId="3E5F4BB7" w14:textId="77777777" w:rsidR="0008758D" w:rsidRDefault="00127F5C">
            <w:pPr>
              <w:jc w:val="center"/>
              <w:rPr>
                <w:lang w:eastAsia="zh-CN"/>
              </w:rPr>
            </w:pPr>
            <w:r>
              <w:rPr>
                <w:rFonts w:hint="eastAsia"/>
                <w:lang w:eastAsia="zh-CN"/>
              </w:rPr>
              <w:t>-0.690</w:t>
            </w:r>
            <w:r>
              <w:rPr>
                <w:lang w:eastAsia="zh-CN"/>
              </w:rPr>
              <w:t>*</w:t>
            </w:r>
          </w:p>
        </w:tc>
      </w:tr>
      <w:tr w:rsidR="0008758D" w14:paraId="684BA183" w14:textId="77777777">
        <w:trPr>
          <w:trHeight w:val="236"/>
        </w:trPr>
        <w:tc>
          <w:tcPr>
            <w:tcW w:w="674" w:type="pct"/>
            <w:vMerge/>
            <w:tcBorders>
              <w:top w:val="nil"/>
              <w:left w:val="nil"/>
              <w:bottom w:val="nil"/>
              <w:right w:val="nil"/>
            </w:tcBorders>
            <w:noWrap/>
            <w:vAlign w:val="center"/>
          </w:tcPr>
          <w:p w14:paraId="3A74F64A" w14:textId="77777777" w:rsidR="0008758D" w:rsidRDefault="0008758D">
            <w:pPr>
              <w:jc w:val="center"/>
              <w:rPr>
                <w:lang w:eastAsia="zh-CN"/>
              </w:rPr>
            </w:pPr>
          </w:p>
        </w:tc>
        <w:tc>
          <w:tcPr>
            <w:tcW w:w="1005" w:type="pct"/>
            <w:tcBorders>
              <w:top w:val="nil"/>
              <w:left w:val="nil"/>
              <w:bottom w:val="nil"/>
              <w:right w:val="nil"/>
            </w:tcBorders>
            <w:noWrap/>
            <w:vAlign w:val="center"/>
          </w:tcPr>
          <w:p w14:paraId="34195491" w14:textId="77777777" w:rsidR="0008758D" w:rsidRDefault="00127F5C">
            <w:pPr>
              <w:jc w:val="center"/>
              <w:rPr>
                <w:lang w:eastAsia="zh-CN"/>
              </w:rPr>
            </w:pPr>
            <w:r>
              <w:rPr>
                <w:rFonts w:hint="eastAsia"/>
                <w:lang w:eastAsia="zh-CN"/>
              </w:rPr>
              <w:t>(1.368)</w:t>
            </w:r>
          </w:p>
        </w:tc>
        <w:tc>
          <w:tcPr>
            <w:tcW w:w="1157" w:type="pct"/>
            <w:tcBorders>
              <w:top w:val="nil"/>
              <w:left w:val="nil"/>
              <w:bottom w:val="nil"/>
              <w:right w:val="nil"/>
            </w:tcBorders>
            <w:noWrap/>
            <w:vAlign w:val="center"/>
          </w:tcPr>
          <w:p w14:paraId="4ACE16CB" w14:textId="77777777" w:rsidR="0008758D" w:rsidRDefault="00127F5C">
            <w:pPr>
              <w:jc w:val="center"/>
              <w:rPr>
                <w:lang w:eastAsia="zh-CN"/>
              </w:rPr>
            </w:pPr>
            <w:r>
              <w:rPr>
                <w:rFonts w:hint="eastAsia"/>
                <w:lang w:eastAsia="zh-CN"/>
              </w:rPr>
              <w:t>(2.367)</w:t>
            </w:r>
          </w:p>
        </w:tc>
        <w:tc>
          <w:tcPr>
            <w:tcW w:w="1005" w:type="pct"/>
            <w:tcBorders>
              <w:top w:val="nil"/>
              <w:left w:val="nil"/>
              <w:bottom w:val="nil"/>
              <w:right w:val="nil"/>
            </w:tcBorders>
            <w:noWrap/>
            <w:vAlign w:val="center"/>
          </w:tcPr>
          <w:p w14:paraId="5F4D3499" w14:textId="77777777" w:rsidR="0008758D" w:rsidRDefault="00127F5C">
            <w:pPr>
              <w:jc w:val="center"/>
              <w:rPr>
                <w:lang w:eastAsia="zh-CN"/>
              </w:rPr>
            </w:pPr>
            <w:r>
              <w:rPr>
                <w:rFonts w:hint="eastAsia"/>
                <w:lang w:eastAsia="zh-CN"/>
              </w:rPr>
              <w:t>(0.232)</w:t>
            </w:r>
          </w:p>
        </w:tc>
        <w:tc>
          <w:tcPr>
            <w:tcW w:w="1157" w:type="pct"/>
            <w:tcBorders>
              <w:top w:val="nil"/>
              <w:left w:val="nil"/>
              <w:bottom w:val="nil"/>
              <w:right w:val="nil"/>
            </w:tcBorders>
            <w:noWrap/>
            <w:vAlign w:val="center"/>
          </w:tcPr>
          <w:p w14:paraId="2FE7BD08" w14:textId="77777777" w:rsidR="0008758D" w:rsidRDefault="00127F5C">
            <w:pPr>
              <w:jc w:val="center"/>
              <w:rPr>
                <w:lang w:eastAsia="zh-CN"/>
              </w:rPr>
            </w:pPr>
            <w:r>
              <w:rPr>
                <w:rFonts w:hint="eastAsia"/>
                <w:lang w:eastAsia="zh-CN"/>
              </w:rPr>
              <w:t>(0.394)</w:t>
            </w:r>
          </w:p>
        </w:tc>
      </w:tr>
      <w:tr w:rsidR="0008758D" w14:paraId="2F3B4E32" w14:textId="77777777">
        <w:trPr>
          <w:trHeight w:val="244"/>
        </w:trPr>
        <w:tc>
          <w:tcPr>
            <w:tcW w:w="674" w:type="pct"/>
            <w:tcBorders>
              <w:top w:val="nil"/>
              <w:left w:val="nil"/>
              <w:bottom w:val="nil"/>
              <w:right w:val="nil"/>
            </w:tcBorders>
            <w:noWrap/>
            <w:vAlign w:val="center"/>
          </w:tcPr>
          <w:p w14:paraId="388014FA" w14:textId="77777777" w:rsidR="0008758D" w:rsidRDefault="00127F5C">
            <w:pPr>
              <w:jc w:val="center"/>
              <w:rPr>
                <w:lang w:eastAsia="zh-CN"/>
              </w:rPr>
            </w:pPr>
            <w:r>
              <w:rPr>
                <w:rFonts w:hint="eastAsia"/>
              </w:rPr>
              <w:t>Control Variables</w:t>
            </w:r>
          </w:p>
        </w:tc>
        <w:tc>
          <w:tcPr>
            <w:tcW w:w="1005" w:type="pct"/>
            <w:tcBorders>
              <w:top w:val="nil"/>
              <w:left w:val="nil"/>
              <w:bottom w:val="nil"/>
              <w:right w:val="nil"/>
            </w:tcBorders>
            <w:noWrap/>
            <w:vAlign w:val="center"/>
          </w:tcPr>
          <w:p w14:paraId="24B1945D"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4B956995"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3E006301"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2FE2EA17" w14:textId="77777777" w:rsidR="0008758D" w:rsidRDefault="00127F5C">
            <w:pPr>
              <w:jc w:val="center"/>
              <w:rPr>
                <w:lang w:eastAsia="zh-CN"/>
              </w:rPr>
            </w:pPr>
            <w:r>
              <w:rPr>
                <w:lang w:eastAsia="zh-CN"/>
              </w:rPr>
              <w:t>Yes</w:t>
            </w:r>
          </w:p>
        </w:tc>
      </w:tr>
      <w:tr w:rsidR="0008758D" w14:paraId="70204B20" w14:textId="77777777">
        <w:trPr>
          <w:trHeight w:val="244"/>
        </w:trPr>
        <w:tc>
          <w:tcPr>
            <w:tcW w:w="674" w:type="pct"/>
            <w:tcBorders>
              <w:top w:val="nil"/>
              <w:left w:val="nil"/>
              <w:bottom w:val="nil"/>
              <w:right w:val="nil"/>
            </w:tcBorders>
            <w:noWrap/>
            <w:vAlign w:val="center"/>
          </w:tcPr>
          <w:p w14:paraId="1133A5D7" w14:textId="77777777" w:rsidR="0008758D" w:rsidRDefault="00127F5C">
            <w:pPr>
              <w:jc w:val="center"/>
              <w:rPr>
                <w:lang w:eastAsia="zh-CN"/>
              </w:rPr>
            </w:pPr>
            <w:r>
              <w:rPr>
                <w:lang w:eastAsia="zh-CN"/>
              </w:rPr>
              <w:t>Individual FE</w:t>
            </w:r>
          </w:p>
        </w:tc>
        <w:tc>
          <w:tcPr>
            <w:tcW w:w="1005" w:type="pct"/>
            <w:tcBorders>
              <w:top w:val="nil"/>
              <w:left w:val="nil"/>
              <w:bottom w:val="nil"/>
              <w:right w:val="nil"/>
            </w:tcBorders>
            <w:noWrap/>
            <w:vAlign w:val="center"/>
          </w:tcPr>
          <w:p w14:paraId="056DDC23"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62A2D293"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1B754385"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7CAC114A" w14:textId="77777777" w:rsidR="0008758D" w:rsidRDefault="00127F5C">
            <w:pPr>
              <w:jc w:val="center"/>
              <w:rPr>
                <w:lang w:eastAsia="zh-CN"/>
              </w:rPr>
            </w:pPr>
            <w:r>
              <w:rPr>
                <w:lang w:eastAsia="zh-CN"/>
              </w:rPr>
              <w:t>Yes</w:t>
            </w:r>
          </w:p>
        </w:tc>
      </w:tr>
      <w:tr w:rsidR="0008758D" w14:paraId="3E5F3730" w14:textId="77777777">
        <w:trPr>
          <w:trHeight w:val="244"/>
        </w:trPr>
        <w:tc>
          <w:tcPr>
            <w:tcW w:w="674" w:type="pct"/>
            <w:tcBorders>
              <w:top w:val="nil"/>
              <w:left w:val="nil"/>
              <w:bottom w:val="nil"/>
              <w:right w:val="nil"/>
            </w:tcBorders>
            <w:noWrap/>
            <w:vAlign w:val="center"/>
          </w:tcPr>
          <w:p w14:paraId="21EF0596" w14:textId="77777777" w:rsidR="0008758D" w:rsidRDefault="00127F5C">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69B601D0"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06707CDB"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24728D71"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59A8DE26" w14:textId="77777777" w:rsidR="0008758D" w:rsidRDefault="00127F5C">
            <w:pPr>
              <w:jc w:val="center"/>
              <w:rPr>
                <w:lang w:eastAsia="zh-CN"/>
              </w:rPr>
            </w:pPr>
            <w:r>
              <w:rPr>
                <w:lang w:eastAsia="zh-CN"/>
              </w:rPr>
              <w:t>Yes</w:t>
            </w:r>
          </w:p>
        </w:tc>
      </w:tr>
      <w:tr w:rsidR="0008758D" w14:paraId="762D7CC9" w14:textId="77777777">
        <w:trPr>
          <w:trHeight w:val="244"/>
        </w:trPr>
        <w:tc>
          <w:tcPr>
            <w:tcW w:w="674" w:type="pct"/>
            <w:tcBorders>
              <w:top w:val="nil"/>
              <w:left w:val="nil"/>
              <w:bottom w:val="nil"/>
              <w:right w:val="nil"/>
            </w:tcBorders>
            <w:noWrap/>
            <w:vAlign w:val="center"/>
          </w:tcPr>
          <w:p w14:paraId="65D50F0B"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39AEF456" w14:textId="77777777" w:rsidR="0008758D" w:rsidRDefault="00127F5C">
            <w:pPr>
              <w:jc w:val="center"/>
              <w:rPr>
                <w:lang w:eastAsia="zh-CN"/>
              </w:rPr>
            </w:pPr>
            <w:r>
              <w:rPr>
                <w:rFonts w:hint="eastAsia"/>
                <w:lang w:eastAsia="zh-CN"/>
              </w:rPr>
              <w:t>3028</w:t>
            </w:r>
          </w:p>
        </w:tc>
        <w:tc>
          <w:tcPr>
            <w:tcW w:w="2216" w:type="dxa"/>
            <w:tcBorders>
              <w:top w:val="nil"/>
              <w:left w:val="nil"/>
              <w:bottom w:val="nil"/>
              <w:right w:val="nil"/>
            </w:tcBorders>
            <w:noWrap/>
            <w:vAlign w:val="center"/>
          </w:tcPr>
          <w:p w14:paraId="07E04AD5" w14:textId="77777777" w:rsidR="0008758D" w:rsidRDefault="00127F5C">
            <w:pPr>
              <w:jc w:val="center"/>
              <w:rPr>
                <w:lang w:eastAsia="zh-CN"/>
              </w:rPr>
            </w:pPr>
            <w:r>
              <w:rPr>
                <w:rFonts w:hint="eastAsia"/>
                <w:lang w:eastAsia="zh-CN"/>
              </w:rPr>
              <w:t>8189</w:t>
            </w:r>
          </w:p>
        </w:tc>
        <w:tc>
          <w:tcPr>
            <w:tcW w:w="1926" w:type="dxa"/>
            <w:tcBorders>
              <w:top w:val="nil"/>
              <w:left w:val="nil"/>
              <w:bottom w:val="nil"/>
              <w:right w:val="nil"/>
            </w:tcBorders>
            <w:noWrap/>
            <w:vAlign w:val="center"/>
          </w:tcPr>
          <w:p w14:paraId="42A37AB6" w14:textId="77777777" w:rsidR="0008758D" w:rsidRDefault="00127F5C">
            <w:pPr>
              <w:jc w:val="center"/>
              <w:rPr>
                <w:lang w:eastAsia="zh-CN"/>
              </w:rPr>
            </w:pPr>
            <w:r>
              <w:rPr>
                <w:rFonts w:hint="eastAsia"/>
                <w:lang w:eastAsia="zh-CN"/>
              </w:rPr>
              <w:t>3028</w:t>
            </w:r>
          </w:p>
        </w:tc>
        <w:tc>
          <w:tcPr>
            <w:tcW w:w="2216" w:type="dxa"/>
            <w:tcBorders>
              <w:top w:val="nil"/>
              <w:left w:val="nil"/>
              <w:bottom w:val="nil"/>
              <w:right w:val="nil"/>
            </w:tcBorders>
            <w:noWrap/>
            <w:vAlign w:val="center"/>
          </w:tcPr>
          <w:p w14:paraId="14A76DD7" w14:textId="77777777" w:rsidR="0008758D" w:rsidRDefault="00127F5C">
            <w:pPr>
              <w:jc w:val="center"/>
              <w:rPr>
                <w:lang w:eastAsia="zh-CN"/>
              </w:rPr>
            </w:pPr>
            <w:r>
              <w:rPr>
                <w:rFonts w:hint="eastAsia"/>
                <w:lang w:eastAsia="zh-CN"/>
              </w:rPr>
              <w:t>8189</w:t>
            </w:r>
          </w:p>
        </w:tc>
      </w:tr>
      <w:tr w:rsidR="0008758D" w14:paraId="5C3AA978" w14:textId="77777777">
        <w:trPr>
          <w:trHeight w:val="313"/>
        </w:trPr>
        <w:tc>
          <w:tcPr>
            <w:tcW w:w="674" w:type="pct"/>
            <w:tcBorders>
              <w:top w:val="nil"/>
              <w:left w:val="nil"/>
              <w:bottom w:val="single" w:sz="12" w:space="0" w:color="000000"/>
              <w:right w:val="nil"/>
            </w:tcBorders>
            <w:noWrap/>
            <w:vAlign w:val="center"/>
          </w:tcPr>
          <w:p w14:paraId="4A192740" w14:textId="77777777" w:rsidR="0008758D" w:rsidRDefault="00127F5C">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4203A262" w14:textId="77777777" w:rsidR="0008758D" w:rsidRDefault="00127F5C">
            <w:pPr>
              <w:jc w:val="center"/>
              <w:rPr>
                <w:lang w:eastAsia="zh-CN"/>
              </w:rPr>
            </w:pPr>
            <w:r>
              <w:rPr>
                <w:rFonts w:hint="eastAsia"/>
                <w:lang w:eastAsia="zh-CN"/>
              </w:rPr>
              <w:t>0.053</w:t>
            </w:r>
          </w:p>
        </w:tc>
        <w:tc>
          <w:tcPr>
            <w:tcW w:w="2216" w:type="dxa"/>
            <w:tcBorders>
              <w:top w:val="nil"/>
              <w:left w:val="nil"/>
              <w:bottom w:val="single" w:sz="12" w:space="0" w:color="000000"/>
              <w:right w:val="nil"/>
            </w:tcBorders>
            <w:noWrap/>
            <w:vAlign w:val="center"/>
          </w:tcPr>
          <w:p w14:paraId="2079652B" w14:textId="77777777" w:rsidR="0008758D" w:rsidRDefault="00127F5C">
            <w:pPr>
              <w:jc w:val="center"/>
              <w:rPr>
                <w:lang w:eastAsia="zh-CN"/>
              </w:rPr>
            </w:pPr>
            <w:r>
              <w:rPr>
                <w:rFonts w:hint="eastAsia"/>
                <w:lang w:eastAsia="zh-CN"/>
              </w:rPr>
              <w:t>0.057</w:t>
            </w:r>
          </w:p>
        </w:tc>
        <w:tc>
          <w:tcPr>
            <w:tcW w:w="1926" w:type="dxa"/>
            <w:tcBorders>
              <w:top w:val="nil"/>
              <w:left w:val="nil"/>
              <w:bottom w:val="single" w:sz="12" w:space="0" w:color="000000"/>
              <w:right w:val="nil"/>
            </w:tcBorders>
            <w:noWrap/>
            <w:vAlign w:val="center"/>
          </w:tcPr>
          <w:p w14:paraId="6C2AD4BF" w14:textId="77777777" w:rsidR="0008758D" w:rsidRDefault="00127F5C">
            <w:pPr>
              <w:jc w:val="center"/>
              <w:rPr>
                <w:lang w:eastAsia="zh-CN"/>
              </w:rPr>
            </w:pPr>
            <w:r>
              <w:rPr>
                <w:rFonts w:hint="eastAsia"/>
                <w:lang w:eastAsia="zh-CN"/>
              </w:rPr>
              <w:t>0.064</w:t>
            </w:r>
          </w:p>
        </w:tc>
        <w:tc>
          <w:tcPr>
            <w:tcW w:w="2216" w:type="dxa"/>
            <w:tcBorders>
              <w:top w:val="nil"/>
              <w:left w:val="nil"/>
              <w:bottom w:val="single" w:sz="12" w:space="0" w:color="000000"/>
              <w:right w:val="nil"/>
            </w:tcBorders>
            <w:noWrap/>
            <w:vAlign w:val="center"/>
          </w:tcPr>
          <w:p w14:paraId="42309115" w14:textId="77777777" w:rsidR="0008758D" w:rsidRDefault="00127F5C">
            <w:pPr>
              <w:jc w:val="center"/>
              <w:rPr>
                <w:lang w:eastAsia="zh-CN"/>
              </w:rPr>
            </w:pPr>
            <w:r>
              <w:rPr>
                <w:rFonts w:hint="eastAsia"/>
                <w:lang w:eastAsia="zh-CN"/>
              </w:rPr>
              <w:t>0.057</w:t>
            </w:r>
          </w:p>
        </w:tc>
      </w:tr>
    </w:tbl>
    <w:p w14:paraId="51844E70" w14:textId="77777777" w:rsidR="0008758D" w:rsidRDefault="0008758D">
      <w:pPr>
        <w:pStyle w:val="Body"/>
        <w:widowControl/>
        <w:spacing w:after="0"/>
        <w:rPr>
          <w:b/>
          <w:bCs/>
          <w:sz w:val="18"/>
          <w:szCs w:val="18"/>
          <w:lang w:eastAsia="zh-CN"/>
        </w:rPr>
      </w:pPr>
    </w:p>
    <w:p w14:paraId="5BC20377" w14:textId="77777777" w:rsidR="0008758D" w:rsidRDefault="00127F5C">
      <w:pPr>
        <w:widowControl/>
        <w:autoSpaceDE w:val="0"/>
        <w:autoSpaceDN w:val="0"/>
        <w:adjustRightInd w:val="0"/>
        <w:jc w:val="both"/>
        <w:rPr>
          <w:b/>
          <w:bCs/>
          <w:sz w:val="18"/>
          <w:szCs w:val="18"/>
          <w:lang w:eastAsia="zh-CN"/>
        </w:rPr>
      </w:pPr>
      <w:r>
        <w:rPr>
          <w:rFonts w:eastAsia="Times New Roman"/>
          <w:b/>
          <w:bCs/>
          <w:sz w:val="20"/>
          <w:lang w:eastAsia="zh-CN"/>
        </w:rPr>
        <w:lastRenderedPageBreak/>
        <w:t xml:space="preserve">Table </w:t>
      </w:r>
      <w:r>
        <w:rPr>
          <w:rFonts w:eastAsia="Times New Roman" w:hint="eastAsia"/>
          <w:b/>
          <w:bCs/>
          <w:sz w:val="20"/>
          <w:lang w:eastAsia="zh-CN"/>
        </w:rPr>
        <w:t>6</w:t>
      </w:r>
      <w:r>
        <w:rPr>
          <w:rFonts w:eastAsia="Times New Roman"/>
          <w:b/>
          <w:bCs/>
          <w:sz w:val="20"/>
          <w:lang w:eastAsia="zh-CN"/>
        </w:rPr>
        <w:t xml:space="preserve">: Heterogeneity Test Results: Coastal </w:t>
      </w:r>
      <w:r>
        <w:rPr>
          <w:rFonts w:eastAsia="Times New Roman"/>
          <w:b/>
          <w:bCs/>
          <w:sz w:val="20"/>
          <w:lang w:eastAsia="zh-CN"/>
        </w:rPr>
        <w:t>Enterprises</w:t>
      </w:r>
    </w:p>
    <w:tbl>
      <w:tblPr>
        <w:tblW w:w="5000" w:type="pct"/>
        <w:tblLook w:val="04A0" w:firstRow="1" w:lastRow="0" w:firstColumn="1" w:lastColumn="0" w:noHBand="0" w:noVBand="1"/>
      </w:tblPr>
      <w:tblGrid>
        <w:gridCol w:w="1790"/>
        <w:gridCol w:w="1811"/>
        <w:gridCol w:w="2082"/>
        <w:gridCol w:w="1811"/>
        <w:gridCol w:w="2082"/>
      </w:tblGrid>
      <w:tr w:rsidR="0008758D" w14:paraId="58C959C9" w14:textId="77777777">
        <w:trPr>
          <w:trHeight w:val="313"/>
        </w:trPr>
        <w:tc>
          <w:tcPr>
            <w:tcW w:w="674" w:type="pct"/>
            <w:vMerge w:val="restart"/>
            <w:tcBorders>
              <w:top w:val="single" w:sz="12" w:space="0" w:color="000000"/>
              <w:left w:val="nil"/>
              <w:bottom w:val="single" w:sz="12" w:space="0" w:color="000000"/>
              <w:right w:val="nil"/>
            </w:tcBorders>
            <w:noWrap/>
            <w:vAlign w:val="center"/>
          </w:tcPr>
          <w:p w14:paraId="3D0BD1D5" w14:textId="77777777" w:rsidR="0008758D" w:rsidRDefault="00127F5C">
            <w:pPr>
              <w:jc w:val="center"/>
              <w:rPr>
                <w:rFonts w:eastAsia="SimSun"/>
                <w:b/>
                <w:bCs/>
                <w:sz w:val="20"/>
                <w:szCs w:val="20"/>
              </w:rPr>
            </w:pPr>
            <w:r>
              <w:rPr>
                <w:rFonts w:eastAsia="SimSun"/>
                <w:b/>
                <w:bCs/>
                <w:sz w:val="20"/>
                <w:szCs w:val="20"/>
                <w:lang w:eastAsia="zh-CN"/>
              </w:rPr>
              <w:t>Variable</w:t>
            </w:r>
          </w:p>
        </w:tc>
        <w:tc>
          <w:tcPr>
            <w:tcW w:w="2162" w:type="pct"/>
            <w:gridSpan w:val="2"/>
            <w:tcBorders>
              <w:top w:val="single" w:sz="12" w:space="0" w:color="000000"/>
              <w:left w:val="nil"/>
              <w:bottom w:val="nil"/>
              <w:right w:val="nil"/>
            </w:tcBorders>
            <w:noWrap/>
            <w:vAlign w:val="center"/>
          </w:tcPr>
          <w:p w14:paraId="097DBDE9" w14:textId="77777777" w:rsidR="0008758D" w:rsidRDefault="00127F5C">
            <w:pPr>
              <w:jc w:val="center"/>
              <w:rPr>
                <w:rFonts w:eastAsia="SimSun"/>
                <w:b/>
                <w:bCs/>
                <w:sz w:val="20"/>
                <w:szCs w:val="20"/>
                <w:lang w:eastAsia="zh-CN"/>
              </w:rPr>
            </w:pPr>
            <w:r>
              <w:rPr>
                <w:rFonts w:eastAsia="SimSun" w:hint="eastAsia"/>
                <w:b/>
                <w:bCs/>
                <w:sz w:val="20"/>
                <w:szCs w:val="20"/>
                <w:lang w:eastAsia="zh-CN"/>
              </w:rPr>
              <w:t>OFDI</w:t>
            </w:r>
          </w:p>
        </w:tc>
        <w:tc>
          <w:tcPr>
            <w:tcW w:w="2162" w:type="pct"/>
            <w:gridSpan w:val="2"/>
            <w:tcBorders>
              <w:top w:val="single" w:sz="12" w:space="0" w:color="000000"/>
              <w:left w:val="nil"/>
              <w:bottom w:val="nil"/>
              <w:right w:val="nil"/>
            </w:tcBorders>
            <w:noWrap/>
            <w:vAlign w:val="center"/>
          </w:tcPr>
          <w:p w14:paraId="37EB4BD7" w14:textId="77777777" w:rsidR="0008758D" w:rsidRDefault="00127F5C">
            <w:pPr>
              <w:jc w:val="center"/>
              <w:rPr>
                <w:rFonts w:eastAsia="SimSun"/>
                <w:b/>
                <w:bCs/>
                <w:sz w:val="20"/>
                <w:szCs w:val="20"/>
                <w:lang w:eastAsia="zh-CN"/>
              </w:rPr>
            </w:pPr>
            <w:r>
              <w:rPr>
                <w:rFonts w:eastAsia="SimSun" w:hint="eastAsia"/>
                <w:b/>
                <w:bCs/>
                <w:sz w:val="20"/>
                <w:szCs w:val="20"/>
                <w:lang w:eastAsia="zh-CN"/>
              </w:rPr>
              <w:t>OFDI_F</w:t>
            </w:r>
          </w:p>
        </w:tc>
      </w:tr>
      <w:tr w:rsidR="0008758D" w14:paraId="0A8E020E" w14:textId="77777777">
        <w:trPr>
          <w:trHeight w:val="313"/>
        </w:trPr>
        <w:tc>
          <w:tcPr>
            <w:tcW w:w="674" w:type="pct"/>
            <w:vMerge/>
            <w:tcBorders>
              <w:top w:val="single" w:sz="12" w:space="0" w:color="000000"/>
              <w:left w:val="nil"/>
              <w:bottom w:val="single" w:sz="12" w:space="0" w:color="000000"/>
              <w:right w:val="nil"/>
            </w:tcBorders>
            <w:noWrap/>
            <w:vAlign w:val="center"/>
          </w:tcPr>
          <w:p w14:paraId="3F865653" w14:textId="77777777" w:rsidR="0008758D" w:rsidRDefault="0008758D">
            <w:pPr>
              <w:jc w:val="center"/>
              <w:rPr>
                <w:rFonts w:eastAsia="SimSun"/>
                <w:b/>
                <w:bCs/>
                <w:sz w:val="20"/>
                <w:szCs w:val="20"/>
              </w:rPr>
            </w:pPr>
          </w:p>
        </w:tc>
        <w:tc>
          <w:tcPr>
            <w:tcW w:w="1926" w:type="dxa"/>
            <w:tcBorders>
              <w:top w:val="nil"/>
              <w:left w:val="nil"/>
              <w:bottom w:val="single" w:sz="12" w:space="0" w:color="000000"/>
              <w:right w:val="nil"/>
            </w:tcBorders>
            <w:noWrap/>
            <w:vAlign w:val="center"/>
          </w:tcPr>
          <w:p w14:paraId="1FAA93FB" w14:textId="77777777" w:rsidR="0008758D" w:rsidRDefault="00127F5C">
            <w:pPr>
              <w:jc w:val="center"/>
              <w:rPr>
                <w:rFonts w:eastAsia="SimSun"/>
                <w:b/>
                <w:bCs/>
                <w:sz w:val="20"/>
                <w:szCs w:val="20"/>
                <w:lang w:eastAsia="zh-CN"/>
              </w:rPr>
            </w:pPr>
            <w:r>
              <w:rPr>
                <w:rFonts w:eastAsia="SimSun" w:hint="eastAsia"/>
                <w:b/>
                <w:bCs/>
                <w:sz w:val="20"/>
                <w:szCs w:val="20"/>
                <w:lang w:eastAsia="zh-CN"/>
              </w:rPr>
              <w:t>(1) Coastal</w:t>
            </w:r>
          </w:p>
        </w:tc>
        <w:tc>
          <w:tcPr>
            <w:tcW w:w="2216" w:type="dxa"/>
            <w:tcBorders>
              <w:top w:val="nil"/>
              <w:left w:val="nil"/>
              <w:bottom w:val="single" w:sz="12" w:space="0" w:color="000000"/>
              <w:right w:val="nil"/>
            </w:tcBorders>
            <w:noWrap/>
            <w:vAlign w:val="center"/>
          </w:tcPr>
          <w:p w14:paraId="6DFBD840" w14:textId="77777777" w:rsidR="0008758D" w:rsidRDefault="00127F5C">
            <w:pPr>
              <w:jc w:val="center"/>
              <w:rPr>
                <w:rFonts w:eastAsia="SimSun"/>
                <w:b/>
                <w:bCs/>
                <w:sz w:val="20"/>
                <w:szCs w:val="20"/>
                <w:lang w:eastAsia="zh-CN"/>
              </w:rPr>
            </w:pPr>
            <w:r>
              <w:rPr>
                <w:rFonts w:eastAsia="SimSun" w:hint="eastAsia"/>
                <w:b/>
                <w:bCs/>
                <w:sz w:val="20"/>
                <w:szCs w:val="20"/>
                <w:lang w:eastAsia="zh-CN"/>
              </w:rPr>
              <w:t>(2) Non-coastal</w:t>
            </w:r>
          </w:p>
        </w:tc>
        <w:tc>
          <w:tcPr>
            <w:tcW w:w="1926" w:type="dxa"/>
            <w:tcBorders>
              <w:top w:val="nil"/>
              <w:left w:val="nil"/>
              <w:bottom w:val="single" w:sz="12" w:space="0" w:color="000000"/>
              <w:right w:val="nil"/>
            </w:tcBorders>
            <w:noWrap/>
            <w:vAlign w:val="center"/>
          </w:tcPr>
          <w:p w14:paraId="71A407CF" w14:textId="77777777" w:rsidR="0008758D" w:rsidRDefault="00127F5C">
            <w:pPr>
              <w:jc w:val="center"/>
              <w:rPr>
                <w:rFonts w:eastAsia="SimSun"/>
                <w:b/>
                <w:bCs/>
                <w:sz w:val="20"/>
                <w:szCs w:val="20"/>
                <w:lang w:eastAsia="zh-CN"/>
              </w:rPr>
            </w:pPr>
            <w:r>
              <w:rPr>
                <w:rFonts w:eastAsia="SimSun" w:hint="eastAsia"/>
                <w:b/>
                <w:bCs/>
                <w:sz w:val="20"/>
                <w:szCs w:val="20"/>
                <w:lang w:eastAsia="zh-CN"/>
              </w:rPr>
              <w:t>(3) Coastal</w:t>
            </w:r>
          </w:p>
        </w:tc>
        <w:tc>
          <w:tcPr>
            <w:tcW w:w="2216" w:type="dxa"/>
            <w:tcBorders>
              <w:top w:val="nil"/>
              <w:left w:val="nil"/>
              <w:bottom w:val="single" w:sz="12" w:space="0" w:color="000000"/>
              <w:right w:val="nil"/>
            </w:tcBorders>
            <w:noWrap/>
            <w:vAlign w:val="center"/>
          </w:tcPr>
          <w:p w14:paraId="3CCC7414" w14:textId="77777777" w:rsidR="0008758D" w:rsidRDefault="00127F5C">
            <w:pPr>
              <w:jc w:val="center"/>
              <w:rPr>
                <w:rFonts w:eastAsia="SimSun"/>
                <w:b/>
                <w:bCs/>
                <w:sz w:val="20"/>
                <w:szCs w:val="20"/>
                <w:lang w:eastAsia="zh-CN"/>
              </w:rPr>
            </w:pPr>
            <w:r>
              <w:rPr>
                <w:rFonts w:eastAsia="SimSun" w:hint="eastAsia"/>
                <w:b/>
                <w:bCs/>
                <w:sz w:val="20"/>
                <w:szCs w:val="20"/>
                <w:lang w:eastAsia="zh-CN"/>
              </w:rPr>
              <w:t>(4) Non-coastal</w:t>
            </w:r>
          </w:p>
        </w:tc>
      </w:tr>
      <w:tr w:rsidR="0008758D" w14:paraId="4FB73A13" w14:textId="77777777">
        <w:trPr>
          <w:trHeight w:val="313"/>
        </w:trPr>
        <w:tc>
          <w:tcPr>
            <w:tcW w:w="674" w:type="pct"/>
            <w:vMerge w:val="restart"/>
            <w:tcBorders>
              <w:top w:val="nil"/>
              <w:left w:val="nil"/>
              <w:bottom w:val="nil"/>
              <w:right w:val="nil"/>
            </w:tcBorders>
            <w:noWrap/>
            <w:vAlign w:val="center"/>
          </w:tcPr>
          <w:p w14:paraId="04F17DF3" w14:textId="77777777" w:rsidR="0008758D" w:rsidRDefault="00127F5C">
            <w:pPr>
              <w:jc w:val="center"/>
              <w:rPr>
                <w:lang w:eastAsia="zh-CN"/>
              </w:rPr>
            </w:pPr>
            <w:r>
              <w:rPr>
                <w:lang w:eastAsia="zh-CN"/>
              </w:rPr>
              <w:t>ESG</w:t>
            </w:r>
          </w:p>
        </w:tc>
        <w:tc>
          <w:tcPr>
            <w:tcW w:w="1926" w:type="dxa"/>
            <w:tcBorders>
              <w:top w:val="nil"/>
              <w:left w:val="nil"/>
              <w:bottom w:val="nil"/>
              <w:right w:val="nil"/>
            </w:tcBorders>
            <w:noWrap/>
            <w:vAlign w:val="center"/>
          </w:tcPr>
          <w:p w14:paraId="3F7982DB" w14:textId="77777777" w:rsidR="0008758D" w:rsidRDefault="00127F5C">
            <w:pPr>
              <w:jc w:val="center"/>
              <w:rPr>
                <w:lang w:eastAsia="zh-CN"/>
              </w:rPr>
            </w:pPr>
            <w:r>
              <w:rPr>
                <w:rFonts w:hint="eastAsia"/>
                <w:lang w:eastAsia="zh-CN"/>
              </w:rPr>
              <w:t>7.476</w:t>
            </w:r>
            <w:r>
              <w:rPr>
                <w:lang w:eastAsia="zh-CN"/>
              </w:rPr>
              <w:t>***</w:t>
            </w:r>
          </w:p>
        </w:tc>
        <w:tc>
          <w:tcPr>
            <w:tcW w:w="2216" w:type="dxa"/>
            <w:tcBorders>
              <w:top w:val="nil"/>
              <w:left w:val="nil"/>
              <w:bottom w:val="nil"/>
              <w:right w:val="nil"/>
            </w:tcBorders>
            <w:noWrap/>
            <w:vAlign w:val="center"/>
          </w:tcPr>
          <w:p w14:paraId="339DF283" w14:textId="77777777" w:rsidR="0008758D" w:rsidRDefault="00127F5C">
            <w:pPr>
              <w:jc w:val="center"/>
              <w:rPr>
                <w:lang w:eastAsia="zh-CN"/>
              </w:rPr>
            </w:pPr>
            <w:r>
              <w:rPr>
                <w:rFonts w:hint="eastAsia"/>
                <w:lang w:eastAsia="zh-CN"/>
              </w:rPr>
              <w:t>-1.780</w:t>
            </w:r>
          </w:p>
        </w:tc>
        <w:tc>
          <w:tcPr>
            <w:tcW w:w="1926" w:type="dxa"/>
            <w:tcBorders>
              <w:top w:val="nil"/>
              <w:left w:val="nil"/>
              <w:bottom w:val="nil"/>
              <w:right w:val="nil"/>
            </w:tcBorders>
            <w:shd w:val="clear" w:color="auto" w:fill="FFFFFF"/>
            <w:noWrap/>
            <w:vAlign w:val="center"/>
          </w:tcPr>
          <w:p w14:paraId="4D6D5518" w14:textId="77777777" w:rsidR="0008758D" w:rsidRDefault="00127F5C">
            <w:pPr>
              <w:jc w:val="center"/>
              <w:rPr>
                <w:lang w:eastAsia="zh-CN"/>
              </w:rPr>
            </w:pPr>
            <w:r>
              <w:rPr>
                <w:rFonts w:hint="eastAsia"/>
                <w:lang w:eastAsia="zh-CN"/>
              </w:rPr>
              <w:t>1.373</w:t>
            </w:r>
            <w:r>
              <w:rPr>
                <w:lang w:eastAsia="zh-CN"/>
              </w:rPr>
              <w:t>***</w:t>
            </w:r>
          </w:p>
        </w:tc>
        <w:tc>
          <w:tcPr>
            <w:tcW w:w="2216" w:type="dxa"/>
            <w:tcBorders>
              <w:top w:val="nil"/>
              <w:left w:val="nil"/>
              <w:bottom w:val="nil"/>
              <w:right w:val="nil"/>
            </w:tcBorders>
            <w:shd w:val="clear" w:color="auto" w:fill="FFFFFF"/>
            <w:noWrap/>
            <w:vAlign w:val="center"/>
          </w:tcPr>
          <w:p w14:paraId="76665AD3" w14:textId="77777777" w:rsidR="0008758D" w:rsidRDefault="00127F5C">
            <w:pPr>
              <w:jc w:val="center"/>
              <w:rPr>
                <w:lang w:eastAsia="zh-CN"/>
              </w:rPr>
            </w:pPr>
            <w:r>
              <w:rPr>
                <w:rFonts w:hint="eastAsia"/>
                <w:lang w:eastAsia="zh-CN"/>
              </w:rPr>
              <w:t>-0.733</w:t>
            </w:r>
            <w:r>
              <w:rPr>
                <w:lang w:eastAsia="zh-CN"/>
              </w:rPr>
              <w:t>***</w:t>
            </w:r>
          </w:p>
        </w:tc>
      </w:tr>
      <w:tr w:rsidR="0008758D" w14:paraId="0BF4F196" w14:textId="77777777">
        <w:trPr>
          <w:trHeight w:val="236"/>
        </w:trPr>
        <w:tc>
          <w:tcPr>
            <w:tcW w:w="674" w:type="pct"/>
            <w:vMerge/>
            <w:tcBorders>
              <w:top w:val="nil"/>
              <w:left w:val="nil"/>
              <w:bottom w:val="nil"/>
              <w:right w:val="nil"/>
            </w:tcBorders>
            <w:noWrap/>
            <w:vAlign w:val="center"/>
          </w:tcPr>
          <w:p w14:paraId="433BDA9F" w14:textId="77777777" w:rsidR="0008758D" w:rsidRDefault="0008758D">
            <w:pPr>
              <w:jc w:val="center"/>
              <w:rPr>
                <w:lang w:eastAsia="zh-CN"/>
              </w:rPr>
            </w:pPr>
          </w:p>
        </w:tc>
        <w:tc>
          <w:tcPr>
            <w:tcW w:w="1005" w:type="pct"/>
            <w:tcBorders>
              <w:top w:val="nil"/>
              <w:left w:val="nil"/>
              <w:bottom w:val="nil"/>
              <w:right w:val="nil"/>
            </w:tcBorders>
            <w:noWrap/>
            <w:vAlign w:val="center"/>
          </w:tcPr>
          <w:p w14:paraId="6A3ED8EE" w14:textId="77777777" w:rsidR="0008758D" w:rsidRDefault="00127F5C">
            <w:pPr>
              <w:jc w:val="center"/>
              <w:rPr>
                <w:lang w:eastAsia="zh-CN"/>
              </w:rPr>
            </w:pPr>
            <w:r>
              <w:rPr>
                <w:rFonts w:hint="eastAsia"/>
                <w:lang w:eastAsia="zh-CN"/>
              </w:rPr>
              <w:t>(1.671)</w:t>
            </w:r>
          </w:p>
        </w:tc>
        <w:tc>
          <w:tcPr>
            <w:tcW w:w="1157" w:type="pct"/>
            <w:tcBorders>
              <w:top w:val="nil"/>
              <w:left w:val="nil"/>
              <w:bottom w:val="nil"/>
              <w:right w:val="nil"/>
            </w:tcBorders>
            <w:noWrap/>
            <w:vAlign w:val="center"/>
          </w:tcPr>
          <w:p w14:paraId="08151422" w14:textId="77777777" w:rsidR="0008758D" w:rsidRDefault="00127F5C">
            <w:pPr>
              <w:jc w:val="center"/>
              <w:rPr>
                <w:lang w:eastAsia="zh-CN"/>
              </w:rPr>
            </w:pPr>
            <w:r>
              <w:rPr>
                <w:rFonts w:hint="eastAsia"/>
                <w:lang w:eastAsia="zh-CN"/>
              </w:rPr>
              <w:t>(1.628)</w:t>
            </w:r>
          </w:p>
        </w:tc>
        <w:tc>
          <w:tcPr>
            <w:tcW w:w="1005" w:type="pct"/>
            <w:tcBorders>
              <w:top w:val="nil"/>
              <w:left w:val="nil"/>
              <w:bottom w:val="nil"/>
              <w:right w:val="nil"/>
            </w:tcBorders>
            <w:noWrap/>
            <w:vAlign w:val="center"/>
          </w:tcPr>
          <w:p w14:paraId="2BB1FE85" w14:textId="77777777" w:rsidR="0008758D" w:rsidRDefault="00127F5C">
            <w:pPr>
              <w:jc w:val="center"/>
              <w:rPr>
                <w:lang w:eastAsia="zh-CN"/>
              </w:rPr>
            </w:pPr>
            <w:r>
              <w:rPr>
                <w:rFonts w:hint="eastAsia"/>
                <w:lang w:eastAsia="zh-CN"/>
              </w:rPr>
              <w:t>(0.292)</w:t>
            </w:r>
          </w:p>
        </w:tc>
        <w:tc>
          <w:tcPr>
            <w:tcW w:w="1157" w:type="pct"/>
            <w:tcBorders>
              <w:top w:val="nil"/>
              <w:left w:val="nil"/>
              <w:bottom w:val="nil"/>
              <w:right w:val="nil"/>
            </w:tcBorders>
            <w:noWrap/>
            <w:vAlign w:val="center"/>
          </w:tcPr>
          <w:p w14:paraId="667E078F" w14:textId="77777777" w:rsidR="0008758D" w:rsidRDefault="00127F5C">
            <w:pPr>
              <w:jc w:val="center"/>
              <w:rPr>
                <w:lang w:eastAsia="zh-CN"/>
              </w:rPr>
            </w:pPr>
            <w:r>
              <w:rPr>
                <w:rFonts w:hint="eastAsia"/>
                <w:lang w:eastAsia="zh-CN"/>
              </w:rPr>
              <w:t>(0.256)</w:t>
            </w:r>
          </w:p>
        </w:tc>
      </w:tr>
      <w:tr w:rsidR="0008758D" w14:paraId="57423D74" w14:textId="77777777">
        <w:trPr>
          <w:trHeight w:val="244"/>
        </w:trPr>
        <w:tc>
          <w:tcPr>
            <w:tcW w:w="674" w:type="pct"/>
            <w:tcBorders>
              <w:top w:val="nil"/>
              <w:left w:val="nil"/>
              <w:bottom w:val="nil"/>
              <w:right w:val="nil"/>
            </w:tcBorders>
            <w:noWrap/>
            <w:vAlign w:val="center"/>
          </w:tcPr>
          <w:p w14:paraId="4EE4CBE7" w14:textId="77777777" w:rsidR="0008758D" w:rsidRDefault="00127F5C">
            <w:pPr>
              <w:jc w:val="center"/>
              <w:rPr>
                <w:lang w:eastAsia="zh-CN"/>
              </w:rPr>
            </w:pPr>
            <w:r>
              <w:rPr>
                <w:rFonts w:hint="eastAsia"/>
              </w:rPr>
              <w:t>Control Variables</w:t>
            </w:r>
          </w:p>
        </w:tc>
        <w:tc>
          <w:tcPr>
            <w:tcW w:w="1005" w:type="pct"/>
            <w:tcBorders>
              <w:top w:val="nil"/>
              <w:left w:val="nil"/>
              <w:bottom w:val="nil"/>
              <w:right w:val="nil"/>
            </w:tcBorders>
            <w:noWrap/>
            <w:vAlign w:val="center"/>
          </w:tcPr>
          <w:p w14:paraId="3A6F308A"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56A5ECE2"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367D7045"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0548DC90" w14:textId="77777777" w:rsidR="0008758D" w:rsidRDefault="00127F5C">
            <w:pPr>
              <w:jc w:val="center"/>
              <w:rPr>
                <w:lang w:eastAsia="zh-CN"/>
              </w:rPr>
            </w:pPr>
            <w:r>
              <w:rPr>
                <w:lang w:eastAsia="zh-CN"/>
              </w:rPr>
              <w:t>Yes</w:t>
            </w:r>
          </w:p>
        </w:tc>
      </w:tr>
      <w:tr w:rsidR="0008758D" w14:paraId="60C50AE5" w14:textId="77777777">
        <w:trPr>
          <w:trHeight w:val="244"/>
        </w:trPr>
        <w:tc>
          <w:tcPr>
            <w:tcW w:w="674" w:type="pct"/>
            <w:tcBorders>
              <w:top w:val="nil"/>
              <w:left w:val="nil"/>
              <w:bottom w:val="nil"/>
              <w:right w:val="nil"/>
            </w:tcBorders>
            <w:noWrap/>
            <w:vAlign w:val="center"/>
          </w:tcPr>
          <w:p w14:paraId="233C6D60" w14:textId="77777777" w:rsidR="0008758D" w:rsidRDefault="00127F5C">
            <w:pPr>
              <w:jc w:val="center"/>
              <w:rPr>
                <w:lang w:eastAsia="zh-CN"/>
              </w:rPr>
            </w:pPr>
            <w:r>
              <w:rPr>
                <w:lang w:eastAsia="zh-CN"/>
              </w:rPr>
              <w:t>Individual FE</w:t>
            </w:r>
          </w:p>
        </w:tc>
        <w:tc>
          <w:tcPr>
            <w:tcW w:w="1005" w:type="pct"/>
            <w:tcBorders>
              <w:top w:val="nil"/>
              <w:left w:val="nil"/>
              <w:bottom w:val="nil"/>
              <w:right w:val="nil"/>
            </w:tcBorders>
            <w:noWrap/>
            <w:vAlign w:val="center"/>
          </w:tcPr>
          <w:p w14:paraId="603CB45F"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13E078B5"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25836337"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3C81F5F2" w14:textId="77777777" w:rsidR="0008758D" w:rsidRDefault="00127F5C">
            <w:pPr>
              <w:jc w:val="center"/>
              <w:rPr>
                <w:lang w:eastAsia="zh-CN"/>
              </w:rPr>
            </w:pPr>
            <w:r>
              <w:rPr>
                <w:lang w:eastAsia="zh-CN"/>
              </w:rPr>
              <w:t>Yes</w:t>
            </w:r>
          </w:p>
        </w:tc>
      </w:tr>
      <w:tr w:rsidR="0008758D" w14:paraId="644AEC98" w14:textId="77777777">
        <w:trPr>
          <w:trHeight w:val="244"/>
        </w:trPr>
        <w:tc>
          <w:tcPr>
            <w:tcW w:w="674" w:type="pct"/>
            <w:tcBorders>
              <w:top w:val="nil"/>
              <w:left w:val="nil"/>
              <w:bottom w:val="nil"/>
              <w:right w:val="nil"/>
            </w:tcBorders>
            <w:noWrap/>
            <w:vAlign w:val="center"/>
          </w:tcPr>
          <w:p w14:paraId="023FE610" w14:textId="77777777" w:rsidR="0008758D" w:rsidRDefault="00127F5C">
            <w:pPr>
              <w:jc w:val="center"/>
              <w:rPr>
                <w:rFonts w:eastAsia="SimSun"/>
                <w:sz w:val="20"/>
                <w:szCs w:val="20"/>
                <w:lang w:eastAsia="zh-CN"/>
              </w:rPr>
            </w:pPr>
            <w:r>
              <w:rPr>
                <w:rFonts w:eastAsia="SimSun"/>
                <w:sz w:val="20"/>
                <w:szCs w:val="20"/>
                <w:lang w:eastAsia="zh-CN"/>
              </w:rPr>
              <w:t>Year FE</w:t>
            </w:r>
          </w:p>
        </w:tc>
        <w:tc>
          <w:tcPr>
            <w:tcW w:w="1005" w:type="pct"/>
            <w:tcBorders>
              <w:top w:val="nil"/>
              <w:left w:val="nil"/>
              <w:bottom w:val="nil"/>
              <w:right w:val="nil"/>
            </w:tcBorders>
            <w:noWrap/>
            <w:vAlign w:val="center"/>
          </w:tcPr>
          <w:p w14:paraId="68699262"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352197A4" w14:textId="77777777" w:rsidR="0008758D" w:rsidRDefault="00127F5C">
            <w:pPr>
              <w:jc w:val="center"/>
              <w:rPr>
                <w:lang w:eastAsia="zh-CN"/>
              </w:rPr>
            </w:pPr>
            <w:r>
              <w:rPr>
                <w:lang w:eastAsia="zh-CN"/>
              </w:rPr>
              <w:t>Yes</w:t>
            </w:r>
          </w:p>
        </w:tc>
        <w:tc>
          <w:tcPr>
            <w:tcW w:w="1005" w:type="pct"/>
            <w:tcBorders>
              <w:top w:val="nil"/>
              <w:left w:val="nil"/>
              <w:bottom w:val="nil"/>
              <w:right w:val="nil"/>
            </w:tcBorders>
            <w:noWrap/>
            <w:vAlign w:val="center"/>
          </w:tcPr>
          <w:p w14:paraId="64C3377B" w14:textId="77777777" w:rsidR="0008758D" w:rsidRDefault="00127F5C">
            <w:pPr>
              <w:jc w:val="center"/>
              <w:rPr>
                <w:lang w:eastAsia="zh-CN"/>
              </w:rPr>
            </w:pPr>
            <w:r>
              <w:rPr>
                <w:lang w:eastAsia="zh-CN"/>
              </w:rPr>
              <w:t>Yes</w:t>
            </w:r>
          </w:p>
        </w:tc>
        <w:tc>
          <w:tcPr>
            <w:tcW w:w="1157" w:type="pct"/>
            <w:tcBorders>
              <w:top w:val="nil"/>
              <w:left w:val="nil"/>
              <w:bottom w:val="nil"/>
              <w:right w:val="nil"/>
            </w:tcBorders>
            <w:noWrap/>
            <w:vAlign w:val="center"/>
          </w:tcPr>
          <w:p w14:paraId="30345FC6" w14:textId="77777777" w:rsidR="0008758D" w:rsidRDefault="00127F5C">
            <w:pPr>
              <w:jc w:val="center"/>
              <w:rPr>
                <w:lang w:eastAsia="zh-CN"/>
              </w:rPr>
            </w:pPr>
            <w:r>
              <w:rPr>
                <w:lang w:eastAsia="zh-CN"/>
              </w:rPr>
              <w:t>Yes</w:t>
            </w:r>
          </w:p>
        </w:tc>
      </w:tr>
      <w:tr w:rsidR="0008758D" w14:paraId="3225B969" w14:textId="77777777">
        <w:trPr>
          <w:trHeight w:val="244"/>
        </w:trPr>
        <w:tc>
          <w:tcPr>
            <w:tcW w:w="674" w:type="pct"/>
            <w:tcBorders>
              <w:top w:val="nil"/>
              <w:left w:val="nil"/>
              <w:bottom w:val="nil"/>
              <w:right w:val="nil"/>
            </w:tcBorders>
            <w:noWrap/>
            <w:vAlign w:val="center"/>
          </w:tcPr>
          <w:p w14:paraId="29636FDE"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1926" w:type="dxa"/>
            <w:tcBorders>
              <w:top w:val="nil"/>
              <w:left w:val="nil"/>
              <w:bottom w:val="nil"/>
              <w:right w:val="nil"/>
            </w:tcBorders>
            <w:noWrap/>
            <w:vAlign w:val="center"/>
          </w:tcPr>
          <w:p w14:paraId="66C759A9" w14:textId="77777777" w:rsidR="0008758D" w:rsidRDefault="00127F5C">
            <w:pPr>
              <w:jc w:val="center"/>
              <w:rPr>
                <w:lang w:eastAsia="zh-CN"/>
              </w:rPr>
            </w:pPr>
            <w:r>
              <w:rPr>
                <w:rFonts w:hint="eastAsia"/>
                <w:lang w:eastAsia="zh-CN"/>
              </w:rPr>
              <w:t>6169</w:t>
            </w:r>
          </w:p>
        </w:tc>
        <w:tc>
          <w:tcPr>
            <w:tcW w:w="2216" w:type="dxa"/>
            <w:tcBorders>
              <w:top w:val="nil"/>
              <w:left w:val="nil"/>
              <w:bottom w:val="nil"/>
              <w:right w:val="nil"/>
            </w:tcBorders>
            <w:noWrap/>
            <w:vAlign w:val="center"/>
          </w:tcPr>
          <w:p w14:paraId="08C78336" w14:textId="77777777" w:rsidR="0008758D" w:rsidRDefault="00127F5C">
            <w:pPr>
              <w:jc w:val="center"/>
              <w:rPr>
                <w:lang w:eastAsia="zh-CN"/>
              </w:rPr>
            </w:pPr>
            <w:r>
              <w:rPr>
                <w:rFonts w:hint="eastAsia"/>
                <w:lang w:eastAsia="zh-CN"/>
              </w:rPr>
              <w:t>5048</w:t>
            </w:r>
          </w:p>
        </w:tc>
        <w:tc>
          <w:tcPr>
            <w:tcW w:w="1926" w:type="dxa"/>
            <w:tcBorders>
              <w:top w:val="nil"/>
              <w:left w:val="nil"/>
              <w:bottom w:val="nil"/>
              <w:right w:val="nil"/>
            </w:tcBorders>
            <w:noWrap/>
            <w:vAlign w:val="center"/>
          </w:tcPr>
          <w:p w14:paraId="690167C9" w14:textId="77777777" w:rsidR="0008758D" w:rsidRDefault="00127F5C">
            <w:pPr>
              <w:jc w:val="center"/>
              <w:rPr>
                <w:lang w:eastAsia="zh-CN"/>
              </w:rPr>
            </w:pPr>
            <w:r>
              <w:rPr>
                <w:rFonts w:hint="eastAsia"/>
                <w:lang w:eastAsia="zh-CN"/>
              </w:rPr>
              <w:t>6169</w:t>
            </w:r>
          </w:p>
        </w:tc>
        <w:tc>
          <w:tcPr>
            <w:tcW w:w="2216" w:type="dxa"/>
            <w:tcBorders>
              <w:top w:val="nil"/>
              <w:left w:val="nil"/>
              <w:bottom w:val="nil"/>
              <w:right w:val="nil"/>
            </w:tcBorders>
            <w:noWrap/>
            <w:vAlign w:val="center"/>
          </w:tcPr>
          <w:p w14:paraId="75F77A8F" w14:textId="77777777" w:rsidR="0008758D" w:rsidRDefault="00127F5C">
            <w:pPr>
              <w:jc w:val="center"/>
              <w:rPr>
                <w:lang w:eastAsia="zh-CN"/>
              </w:rPr>
            </w:pPr>
            <w:r>
              <w:rPr>
                <w:rFonts w:hint="eastAsia"/>
                <w:lang w:eastAsia="zh-CN"/>
              </w:rPr>
              <w:t>5048</w:t>
            </w:r>
          </w:p>
        </w:tc>
      </w:tr>
      <w:tr w:rsidR="0008758D" w14:paraId="17469AF4" w14:textId="77777777">
        <w:trPr>
          <w:trHeight w:val="313"/>
        </w:trPr>
        <w:tc>
          <w:tcPr>
            <w:tcW w:w="674" w:type="pct"/>
            <w:tcBorders>
              <w:top w:val="nil"/>
              <w:left w:val="nil"/>
              <w:bottom w:val="single" w:sz="12" w:space="0" w:color="000000"/>
              <w:right w:val="nil"/>
            </w:tcBorders>
            <w:noWrap/>
            <w:vAlign w:val="center"/>
          </w:tcPr>
          <w:p w14:paraId="6C46B58D" w14:textId="77777777" w:rsidR="0008758D" w:rsidRDefault="00127F5C">
            <w:pPr>
              <w:jc w:val="center"/>
              <w:rPr>
                <w:rFonts w:eastAsia="SimSun"/>
                <w:sz w:val="20"/>
                <w:szCs w:val="20"/>
                <w:lang w:eastAsia="zh-CN"/>
              </w:rPr>
            </w:pPr>
            <w:r>
              <w:rPr>
                <w:rFonts w:eastAsia="SimSun"/>
                <w:sz w:val="20"/>
                <w:szCs w:val="20"/>
                <w:lang w:eastAsia="zh-CN"/>
              </w:rPr>
              <w:t>R2</w:t>
            </w:r>
          </w:p>
        </w:tc>
        <w:tc>
          <w:tcPr>
            <w:tcW w:w="1926" w:type="dxa"/>
            <w:tcBorders>
              <w:top w:val="nil"/>
              <w:left w:val="nil"/>
              <w:bottom w:val="single" w:sz="12" w:space="0" w:color="000000"/>
              <w:right w:val="nil"/>
            </w:tcBorders>
            <w:noWrap/>
            <w:vAlign w:val="center"/>
          </w:tcPr>
          <w:p w14:paraId="6FAFDC34" w14:textId="77777777" w:rsidR="0008758D" w:rsidRDefault="00127F5C">
            <w:pPr>
              <w:jc w:val="center"/>
              <w:rPr>
                <w:lang w:eastAsia="zh-CN"/>
              </w:rPr>
            </w:pPr>
            <w:r>
              <w:rPr>
                <w:rFonts w:hint="eastAsia"/>
                <w:lang w:eastAsia="zh-CN"/>
              </w:rPr>
              <w:t>0.059</w:t>
            </w:r>
          </w:p>
        </w:tc>
        <w:tc>
          <w:tcPr>
            <w:tcW w:w="2216" w:type="dxa"/>
            <w:tcBorders>
              <w:top w:val="nil"/>
              <w:left w:val="nil"/>
              <w:bottom w:val="single" w:sz="12" w:space="0" w:color="000000"/>
              <w:right w:val="nil"/>
            </w:tcBorders>
            <w:noWrap/>
            <w:vAlign w:val="center"/>
          </w:tcPr>
          <w:p w14:paraId="489FAC01" w14:textId="77777777" w:rsidR="0008758D" w:rsidRDefault="00127F5C">
            <w:pPr>
              <w:jc w:val="center"/>
              <w:rPr>
                <w:lang w:eastAsia="zh-CN"/>
              </w:rPr>
            </w:pPr>
            <w:r>
              <w:rPr>
                <w:rFonts w:hint="eastAsia"/>
                <w:lang w:eastAsia="zh-CN"/>
              </w:rPr>
              <w:t>0.079</w:t>
            </w:r>
          </w:p>
        </w:tc>
        <w:tc>
          <w:tcPr>
            <w:tcW w:w="1926" w:type="dxa"/>
            <w:tcBorders>
              <w:top w:val="nil"/>
              <w:left w:val="nil"/>
              <w:bottom w:val="single" w:sz="12" w:space="0" w:color="000000"/>
              <w:right w:val="nil"/>
            </w:tcBorders>
            <w:noWrap/>
            <w:vAlign w:val="center"/>
          </w:tcPr>
          <w:p w14:paraId="3096789B" w14:textId="77777777" w:rsidR="0008758D" w:rsidRDefault="00127F5C">
            <w:pPr>
              <w:jc w:val="center"/>
              <w:rPr>
                <w:lang w:eastAsia="zh-CN"/>
              </w:rPr>
            </w:pPr>
            <w:r>
              <w:rPr>
                <w:rFonts w:hint="eastAsia"/>
                <w:lang w:eastAsia="zh-CN"/>
              </w:rPr>
              <w:t>0.078</w:t>
            </w:r>
          </w:p>
        </w:tc>
        <w:tc>
          <w:tcPr>
            <w:tcW w:w="2216" w:type="dxa"/>
            <w:tcBorders>
              <w:top w:val="nil"/>
              <w:left w:val="nil"/>
              <w:bottom w:val="single" w:sz="12" w:space="0" w:color="000000"/>
              <w:right w:val="nil"/>
            </w:tcBorders>
            <w:noWrap/>
            <w:vAlign w:val="center"/>
          </w:tcPr>
          <w:p w14:paraId="179DAEC6" w14:textId="77777777" w:rsidR="0008758D" w:rsidRDefault="00127F5C">
            <w:pPr>
              <w:jc w:val="center"/>
              <w:rPr>
                <w:lang w:eastAsia="zh-CN"/>
              </w:rPr>
            </w:pPr>
            <w:r>
              <w:rPr>
                <w:rFonts w:hint="eastAsia"/>
                <w:lang w:eastAsia="zh-CN"/>
              </w:rPr>
              <w:t>0.062</w:t>
            </w:r>
          </w:p>
        </w:tc>
      </w:tr>
    </w:tbl>
    <w:p w14:paraId="0AB33EE3" w14:textId="77777777" w:rsidR="0008758D" w:rsidRDefault="0008758D">
      <w:pPr>
        <w:pStyle w:val="Body"/>
        <w:widowControl/>
        <w:spacing w:after="0"/>
        <w:rPr>
          <w:b/>
          <w:bCs/>
          <w:sz w:val="18"/>
          <w:szCs w:val="18"/>
          <w:lang w:eastAsia="zh-CN"/>
        </w:rPr>
      </w:pPr>
    </w:p>
    <w:p w14:paraId="19803F71"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5.4 Heterogeneity Test</w:t>
      </w:r>
    </w:p>
    <w:p w14:paraId="680E95A2" w14:textId="77777777" w:rsidR="0008758D" w:rsidRDefault="0008758D">
      <w:pPr>
        <w:pStyle w:val="Body"/>
        <w:widowControl/>
        <w:spacing w:after="0"/>
        <w:rPr>
          <w:b/>
          <w:bCs/>
          <w:sz w:val="18"/>
          <w:szCs w:val="18"/>
          <w:lang w:eastAsia="zh-CN"/>
        </w:rPr>
      </w:pPr>
    </w:p>
    <w:p w14:paraId="128F61EA"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The existing literature has provided a solid theoretical foundation for the aforementioned transmission paths. Specifically, regarding the impact of financing constraints on enterprises' outward foreign direct investment (OFDI), Yin Lijuan et al. (2026) po</w:t>
      </w:r>
      <w:r>
        <w:rPr>
          <w:rFonts w:eastAsia="Times New Roman" w:hint="eastAsia"/>
          <w:sz w:val="20"/>
          <w:szCs w:val="20"/>
          <w:lang w:eastAsia="zh-CN"/>
        </w:rPr>
        <w:t>inted out that financing constraints are a key factor limiting enterprises' ability to engage in OFDI. Financial regulatory policies significantly suppress the scale of OFDI for enterprises with a high degree of financialization by exacerbating financing c</w:t>
      </w:r>
      <w:r>
        <w:rPr>
          <w:rFonts w:eastAsia="Times New Roman" w:hint="eastAsia"/>
          <w:sz w:val="20"/>
          <w:szCs w:val="20"/>
          <w:lang w:eastAsia="zh-CN"/>
        </w:rPr>
        <w:t>onstraints, and this suppression effect is more pronounced in non-state-owned enterprises and those with lower operating cash flow levels. Qu Tianyou et al. (2025) found that improvements in both internal and external financing capabilities not only increa</w:t>
      </w:r>
      <w:r>
        <w:rPr>
          <w:rFonts w:eastAsia="Times New Roman" w:hint="eastAsia"/>
          <w:sz w:val="20"/>
          <w:szCs w:val="20"/>
          <w:lang w:eastAsia="zh-CN"/>
        </w:rPr>
        <w:t xml:space="preserve">se the probability of OFDI decision-making but also significantly expand the scale and breadth of investment. The alleviation of financing constraints provides necessary financial support for enterprises' overseas expansion. In terms of innovation levels, </w:t>
      </w:r>
      <w:r>
        <w:rPr>
          <w:rFonts w:eastAsia="Times New Roman" w:hint="eastAsia"/>
          <w:sz w:val="20"/>
          <w:szCs w:val="20"/>
          <w:lang w:eastAsia="zh-CN"/>
        </w:rPr>
        <w:t xml:space="preserve">Liu </w:t>
      </w:r>
      <w:proofErr w:type="spellStart"/>
      <w:r>
        <w:rPr>
          <w:rFonts w:eastAsia="Times New Roman" w:hint="eastAsia"/>
          <w:sz w:val="20"/>
          <w:szCs w:val="20"/>
          <w:lang w:eastAsia="zh-CN"/>
        </w:rPr>
        <w:t>Zhizhong</w:t>
      </w:r>
      <w:proofErr w:type="spellEnd"/>
      <w:r>
        <w:rPr>
          <w:rFonts w:eastAsia="Times New Roman" w:hint="eastAsia"/>
          <w:sz w:val="20"/>
          <w:szCs w:val="20"/>
          <w:lang w:eastAsia="zh-CN"/>
        </w:rPr>
        <w:t xml:space="preserve"> et al. (2026) indicated that strengthening the technological advantages of overseas investment is a core driving force for enterprises to engage in OFDI. The competitive advantages brought by technological innovation can help enterprises enter</w:t>
      </w:r>
      <w:r>
        <w:rPr>
          <w:rFonts w:eastAsia="Times New Roman" w:hint="eastAsia"/>
          <w:sz w:val="20"/>
          <w:szCs w:val="20"/>
          <w:lang w:eastAsia="zh-CN"/>
        </w:rPr>
        <w:t xml:space="preserve"> international markets through technology output and cooperation, while also creating conditions for establishing R&amp;D centers in host countries and obtaining reverse technology spillovers.</w:t>
      </w:r>
    </w:p>
    <w:p w14:paraId="21ABFD5D" w14:textId="77777777" w:rsidR="0008758D" w:rsidRDefault="0008758D">
      <w:pPr>
        <w:pStyle w:val="Body"/>
        <w:widowControl/>
        <w:spacing w:after="0"/>
        <w:rPr>
          <w:rFonts w:eastAsia="Times New Roman"/>
          <w:sz w:val="20"/>
          <w:szCs w:val="20"/>
          <w:lang w:eastAsia="zh-CN"/>
        </w:rPr>
      </w:pPr>
    </w:p>
    <w:p w14:paraId="5E23AAD5"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Based on the theoretical analysis above, this paper will reveal th</w:t>
      </w:r>
      <w:r>
        <w:rPr>
          <w:rFonts w:eastAsia="Times New Roman" w:hint="eastAsia"/>
          <w:sz w:val="20"/>
          <w:szCs w:val="20"/>
          <w:lang w:eastAsia="zh-CN"/>
        </w:rPr>
        <w:t>e mechanisms of action from two aspects: enterprises' financing constraints and innovation levels. To this end, this paper references Jiang Ting's (2022) research and sets the following model:</w:t>
      </w:r>
    </w:p>
    <w:p w14:paraId="195D8340" w14:textId="77777777" w:rsidR="0008758D" w:rsidRDefault="0008758D">
      <w:pPr>
        <w:pStyle w:val="Body"/>
        <w:widowControl/>
        <w:spacing w:after="0"/>
        <w:rPr>
          <w:rFonts w:eastAsia="Times New Roman"/>
          <w:sz w:val="20"/>
          <w:szCs w:val="20"/>
          <w:lang w:eastAsia="zh-CN"/>
        </w:rPr>
      </w:pPr>
    </w:p>
    <w:p w14:paraId="3380E7DF" w14:textId="77777777" w:rsidR="0008758D" w:rsidRDefault="00127F5C">
      <w:pPr>
        <w:jc w:val="right"/>
        <w:rPr>
          <w:rFonts w:eastAsia="SimSun"/>
          <w:sz w:val="20"/>
          <w:szCs w:val="20"/>
          <w:lang w:eastAsia="zh-CN"/>
        </w:rPr>
      </w:pP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Mediator</m:t>
            </m:r>
          </m:e>
          <m:sub>
            <m:r>
              <w:rPr>
                <w:rFonts w:ascii="Cambria Math" w:eastAsia="Google Sans Text" w:hAnsi="Cambria Math" w:cs="Google Sans Text"/>
                <w:color w:val="1F1F1F"/>
                <w:sz w:val="21"/>
                <w:szCs w:val="21"/>
                <w:lang w:eastAsia="zh-CN"/>
              </w:rPr>
              <m:t>it</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0</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1</m:t>
            </m:r>
          </m:sub>
        </m:sSub>
        <m:r>
          <w:rPr>
            <w:rFonts w:ascii="Cambria Math" w:eastAsia="Google Sans Text" w:hAnsi="Cambria Math" w:cs="Google Sans Text"/>
            <w:color w:val="1F1F1F"/>
            <w:sz w:val="21"/>
            <w:szCs w:val="21"/>
            <w:lang w:eastAsia="zh-CN"/>
          </w:rPr>
          <m:t>ESG</m:t>
        </m:r>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color w:val="1F1F1F"/>
                <w:sz w:val="21"/>
                <w:szCs w:val="21"/>
                <w:lang w:eastAsia="zh-CN"/>
              </w:rPr>
            </m:ctrlPr>
          </m:sSubPr>
          <m:e>
            <m:r>
              <w:rPr>
                <w:rFonts w:ascii="Cambria Math" w:hAnsi="Cambria Math" w:cs="Google Sans Text"/>
                <w:color w:val="1F1F1F"/>
                <w:sz w:val="21"/>
                <w:szCs w:val="21"/>
              </w:rPr>
              <m:t>β</m:t>
            </m:r>
          </m:e>
          <m:sub>
            <m:r>
              <w:rPr>
                <w:rFonts w:ascii="Cambria Math" w:eastAsia="Google Sans Text" w:hAnsi="Cambria Math" w:cs="Google Sans Text"/>
                <w:color w:val="1F1F1F"/>
                <w:sz w:val="21"/>
                <w:szCs w:val="21"/>
                <w:lang w:eastAsia="zh-CN"/>
              </w:rPr>
              <m:t>2</m:t>
            </m:r>
          </m:sub>
        </m:sSub>
        <m:nary>
          <m:naryPr>
            <m:chr m:val="∑"/>
            <m:limLoc m:val="undOvr"/>
            <m:subHide m:val="1"/>
            <m:supHide m:val="1"/>
            <m:ctrlPr>
              <w:rPr>
                <w:rFonts w:ascii="Cambria Math" w:eastAsia="Google Sans Text" w:hAnsi="Cambria Math" w:cs="Google Sans Text"/>
                <w:i/>
                <w:color w:val="1F1F1F"/>
                <w:sz w:val="21"/>
                <w:szCs w:val="21"/>
                <w:lang w:eastAsia="zh-CN"/>
              </w:rPr>
            </m:ctrlPr>
          </m:naryPr>
          <m:sub/>
          <m:sup/>
          <m:e>
            <m:r>
              <w:rPr>
                <w:rFonts w:ascii="Cambria Math" w:eastAsia="Google Sans Text" w:hAnsi="Cambria Math" w:cs="Google Sans Text"/>
                <w:color w:val="1F1F1F"/>
                <w:sz w:val="21"/>
                <w:szCs w:val="21"/>
                <w:lang w:eastAsia="zh-CN"/>
              </w:rPr>
              <m:t>Control</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s</m:t>
                </m:r>
              </m:e>
              <m:sub>
                <m:r>
                  <w:rPr>
                    <w:rFonts w:ascii="Cambria Math" w:eastAsia="Google Sans Text" w:hAnsi="Cambria Math" w:cs="Google Sans Text"/>
                    <w:color w:val="1F1F1F"/>
                    <w:sz w:val="21"/>
                    <w:szCs w:val="21"/>
                    <w:lang w:eastAsia="zh-CN"/>
                  </w:rPr>
                  <m:t>it</m:t>
                </m:r>
              </m:sub>
            </m:sSub>
          </m:e>
        </m:nary>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individual</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year</m:t>
            </m:r>
          </m:e>
          <m:sub>
            <m:r>
              <w:rPr>
                <w:rFonts w:ascii="Cambria Math" w:eastAsia="Google Sans Text" w:hAnsi="Cambria Math" w:cs="Google Sans Text"/>
                <w:color w:val="1F1F1F"/>
                <w:sz w:val="21"/>
                <w:szCs w:val="21"/>
                <w:lang w:eastAsia="zh-CN"/>
              </w:rPr>
              <m:t>i</m:t>
            </m:r>
          </m:sub>
        </m:sSub>
        <m:r>
          <w:rPr>
            <w:rFonts w:ascii="Cambria Math" w:eastAsia="Google Sans Text" w:hAnsi="Cambria Math" w:cs="Google Sans Text"/>
            <w:color w:val="1F1F1F"/>
            <w:sz w:val="21"/>
            <w:szCs w:val="21"/>
            <w:lang w:eastAsia="zh-CN"/>
          </w:rPr>
          <m:t>+</m:t>
        </m:r>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ε</m:t>
            </m:r>
          </m:e>
          <m:sub>
            <m:r>
              <w:rPr>
                <w:rFonts w:ascii="Cambria Math" w:eastAsia="Google Sans Text" w:hAnsi="Cambria Math" w:cs="Google Sans Text"/>
                <w:color w:val="1F1F1F"/>
                <w:sz w:val="21"/>
                <w:szCs w:val="21"/>
                <w:lang w:eastAsia="zh-CN"/>
              </w:rPr>
              <m:t>it</m:t>
            </m:r>
          </m:sub>
        </m:sSub>
      </m:oMath>
      <w:r>
        <w:rPr>
          <w:rFonts w:ascii="Google Sans Text" w:eastAsia="Google Sans Text" w:hAnsi="Google Sans Text" w:cs="Google Sans Text"/>
          <w:i/>
          <w:iCs/>
          <w:color w:val="1F1F1F"/>
          <w:lang w:eastAsia="zh-CN"/>
        </w:rPr>
        <w:t xml:space="preserve"> </w:t>
      </w:r>
      <w:r>
        <w:rPr>
          <w:rFonts w:ascii="Google Sans Text" w:eastAsia="Google Sans Text" w:hAnsi="Google Sans Text" w:cs="Google Sans Text"/>
          <w:color w:val="1F1F1F"/>
          <w:lang w:eastAsia="zh-CN"/>
        </w:rPr>
        <w:t xml:space="preserve">  </w:t>
      </w:r>
      <w:r>
        <w:rPr>
          <w:rFonts w:ascii="Google Sans Text" w:eastAsia="Google Sans Text" w:hAnsi="Google Sans Text" w:cs="Google Sans Text" w:hint="eastAsia"/>
          <w:color w:val="1F1F1F"/>
          <w:lang w:eastAsia="zh-CN"/>
        </w:rPr>
        <w:t xml:space="preserve">     </w:t>
      </w:r>
      <w:r>
        <w:rPr>
          <w:rFonts w:ascii="Google Sans Text" w:eastAsia="Google Sans Text" w:hAnsi="Google Sans Text" w:cs="Google Sans Text"/>
          <w:color w:val="1F1F1F"/>
          <w:lang w:eastAsia="zh-CN"/>
        </w:rPr>
        <w:t xml:space="preserve">  </w:t>
      </w:r>
      <w:r>
        <w:rPr>
          <w:rFonts w:eastAsia="SimSun"/>
          <w:sz w:val="20"/>
          <w:szCs w:val="20"/>
          <w:lang w:eastAsia="zh-CN"/>
        </w:rPr>
        <w:t>（</w:t>
      </w:r>
      <w:r>
        <w:rPr>
          <w:rFonts w:eastAsia="SimSun" w:hint="eastAsia"/>
          <w:sz w:val="20"/>
          <w:szCs w:val="20"/>
          <w:lang w:eastAsia="zh-CN"/>
        </w:rPr>
        <w:t>3</w:t>
      </w:r>
      <w:r>
        <w:rPr>
          <w:rFonts w:eastAsia="SimSun"/>
          <w:sz w:val="20"/>
          <w:szCs w:val="20"/>
          <w:lang w:eastAsia="zh-CN"/>
        </w:rPr>
        <w:t>）</w:t>
      </w:r>
    </w:p>
    <w:p w14:paraId="734C23A2" w14:textId="77777777" w:rsidR="0008758D" w:rsidRDefault="0008758D">
      <w:pPr>
        <w:pStyle w:val="Body"/>
        <w:widowControl/>
        <w:spacing w:after="0"/>
        <w:rPr>
          <w:rFonts w:eastAsia="Times New Roman"/>
          <w:sz w:val="20"/>
          <w:szCs w:val="20"/>
          <w:lang w:eastAsia="zh-CN"/>
        </w:rPr>
      </w:pPr>
    </w:p>
    <w:p w14:paraId="4B0004F2"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Where </w:t>
      </w:r>
      <m:oMath>
        <m:sSub>
          <m:sSubPr>
            <m:ctrlPr>
              <w:rPr>
                <w:rFonts w:ascii="Cambria Math" w:eastAsia="Google Sans Text" w:hAnsi="Cambria Math" w:cs="Google Sans Text"/>
                <w:i/>
                <w:iCs/>
                <w:color w:val="1F1F1F"/>
                <w:sz w:val="21"/>
                <w:szCs w:val="21"/>
                <w:lang w:eastAsia="zh-CN"/>
              </w:rPr>
            </m:ctrlPr>
          </m:sSubPr>
          <m:e>
            <m:r>
              <w:rPr>
                <w:rFonts w:ascii="Cambria Math" w:eastAsia="Google Sans Text" w:hAnsi="Cambria Math" w:cs="Google Sans Text"/>
                <w:color w:val="1F1F1F"/>
                <w:sz w:val="21"/>
                <w:szCs w:val="21"/>
                <w:lang w:eastAsia="zh-CN"/>
              </w:rPr>
              <m:t>Mediator</m:t>
            </m:r>
          </m:e>
          <m:sub>
            <m:r>
              <w:rPr>
                <w:rFonts w:ascii="Cambria Math" w:eastAsia="Google Sans Text" w:hAnsi="Cambria Math" w:cs="Google Sans Text"/>
                <w:color w:val="1F1F1F"/>
                <w:sz w:val="21"/>
                <w:szCs w:val="21"/>
                <w:lang w:eastAsia="zh-CN"/>
              </w:rPr>
              <m:t>it</m:t>
            </m:r>
          </m:sub>
        </m:sSub>
      </m:oMath>
      <w:r>
        <w:rPr>
          <w:rFonts w:eastAsia="Google Sans Text" w:hAnsi="Cambria Math" w:cs="Google Sans Text" w:hint="eastAsia"/>
          <w:iCs/>
          <w:color w:val="1F1F1F"/>
          <w:sz w:val="21"/>
          <w:szCs w:val="21"/>
          <w:lang w:eastAsia="zh-CN"/>
        </w:rPr>
        <w:t xml:space="preserve"> </w:t>
      </w:r>
      <w:r>
        <w:rPr>
          <w:rFonts w:eastAsia="Times New Roman" w:hint="eastAsia"/>
          <w:sz w:val="20"/>
          <w:szCs w:val="20"/>
          <w:lang w:eastAsia="zh-CN"/>
        </w:rPr>
        <w:t>is the mediating variable, representing financing constraints (SA) and innovation levels (Patent), respectively. The meanings and measurement methods of the other variables a</w:t>
      </w:r>
      <w:r>
        <w:rPr>
          <w:rFonts w:eastAsia="Times New Roman" w:hint="eastAsia"/>
          <w:sz w:val="20"/>
          <w:szCs w:val="20"/>
          <w:lang w:eastAsia="zh-CN"/>
        </w:rPr>
        <w:t>re consistent with those in model (1) and will not be elaborated on here.</w:t>
      </w:r>
    </w:p>
    <w:p w14:paraId="5ACAA4EF" w14:textId="77777777" w:rsidR="0008758D" w:rsidRDefault="0008758D">
      <w:pPr>
        <w:pStyle w:val="Body"/>
        <w:widowControl/>
        <w:spacing w:after="0"/>
        <w:rPr>
          <w:rFonts w:eastAsia="Times New Roman"/>
          <w:sz w:val="20"/>
          <w:szCs w:val="20"/>
          <w:lang w:eastAsia="zh-CN"/>
        </w:rPr>
      </w:pPr>
    </w:p>
    <w:p w14:paraId="2B2649AE"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5.4.1 Relaxing financing constraints.</w:t>
      </w:r>
    </w:p>
    <w:p w14:paraId="76E55E6A" w14:textId="77777777" w:rsidR="0008758D" w:rsidRDefault="0008758D">
      <w:pPr>
        <w:pStyle w:val="Body"/>
        <w:widowControl/>
        <w:spacing w:after="0"/>
        <w:rPr>
          <w:b/>
          <w:bCs/>
          <w:sz w:val="18"/>
          <w:szCs w:val="18"/>
          <w:lang w:eastAsia="zh-CN"/>
        </w:rPr>
      </w:pPr>
    </w:p>
    <w:p w14:paraId="58641047"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 xml:space="preserve">For enterprises planning to expand overseas, funding is one of the key factors limiting their ability to engage in OFDI. To verify this, this </w:t>
      </w:r>
      <w:r>
        <w:rPr>
          <w:rFonts w:eastAsia="Times New Roman" w:hint="eastAsia"/>
          <w:sz w:val="20"/>
          <w:szCs w:val="20"/>
          <w:lang w:eastAsia="zh-CN"/>
        </w:rPr>
        <w:t xml:space="preserve">paper will use the SA index as a proxy variable for financing constraints in the regression analysis. The regression results are shown in column (1) of Table 7, where the coefficient of ESG is -0.274, which is significantly negative at the 1% significance </w:t>
      </w:r>
      <w:r>
        <w:rPr>
          <w:rFonts w:eastAsia="Times New Roman" w:hint="eastAsia"/>
          <w:sz w:val="20"/>
          <w:szCs w:val="20"/>
          <w:lang w:eastAsia="zh-CN"/>
        </w:rPr>
        <w:t>level, indicating that the improvement in enterprises' ESG performance promotes an increase in OFDI by alleviating financing constraints (lowering the SA index).The enhancement of ESG significantly strengthens the market competitiveness of enterprises, and</w:t>
      </w:r>
      <w:r>
        <w:rPr>
          <w:rFonts w:eastAsia="Times New Roman" w:hint="eastAsia"/>
          <w:sz w:val="20"/>
          <w:szCs w:val="20"/>
          <w:lang w:eastAsia="zh-CN"/>
        </w:rPr>
        <w:t xml:space="preserve"> enterprises with strong market competitiveness are often viewed as having higher growth potential and lower investment risks, making it easier for them to attract the attention of financial institutions and investors.</w:t>
      </w:r>
    </w:p>
    <w:p w14:paraId="11D152BB" w14:textId="77777777" w:rsidR="0008758D" w:rsidRDefault="0008758D">
      <w:pPr>
        <w:pStyle w:val="Body"/>
        <w:widowControl/>
        <w:spacing w:after="0"/>
        <w:rPr>
          <w:rFonts w:eastAsia="Times New Roman"/>
          <w:sz w:val="20"/>
          <w:szCs w:val="20"/>
          <w:lang w:eastAsia="zh-CN"/>
        </w:rPr>
      </w:pPr>
    </w:p>
    <w:p w14:paraId="265F88BB" w14:textId="77777777" w:rsidR="0008758D" w:rsidRDefault="00127F5C">
      <w:pPr>
        <w:pStyle w:val="Heading3"/>
        <w:widowControl/>
        <w:numPr>
          <w:ilvl w:val="2"/>
          <w:numId w:val="0"/>
        </w:numPr>
        <w:adjustRightInd/>
        <w:spacing w:line="240" w:lineRule="auto"/>
        <w:rPr>
          <w:rFonts w:ascii="Arial" w:eastAsia="SimSun" w:hAnsi="Arial" w:cs="Arial"/>
          <w:b/>
          <w:kern w:val="0"/>
          <w:sz w:val="20"/>
          <w:szCs w:val="20"/>
          <w:u w:val="single"/>
          <w:lang w:eastAsia="zh-CN"/>
        </w:rPr>
      </w:pPr>
      <w:r>
        <w:rPr>
          <w:rFonts w:ascii="Arial" w:eastAsia="SimSun" w:hAnsi="Arial" w:cs="Arial" w:hint="eastAsia"/>
          <w:b/>
          <w:kern w:val="0"/>
          <w:sz w:val="20"/>
          <w:szCs w:val="20"/>
          <w:u w:val="single"/>
          <w:lang w:eastAsia="zh-CN"/>
        </w:rPr>
        <w:t>5.4.2 Technological spillover effect</w:t>
      </w:r>
      <w:r>
        <w:rPr>
          <w:rFonts w:ascii="Arial" w:eastAsia="SimSun" w:hAnsi="Arial" w:cs="Arial" w:hint="eastAsia"/>
          <w:b/>
          <w:kern w:val="0"/>
          <w:sz w:val="20"/>
          <w:szCs w:val="20"/>
          <w:u w:val="single"/>
          <w:lang w:eastAsia="zh-CN"/>
        </w:rPr>
        <w:t>s.</w:t>
      </w:r>
    </w:p>
    <w:p w14:paraId="3A0D3BA3" w14:textId="77777777" w:rsidR="0008758D" w:rsidRDefault="0008758D">
      <w:pPr>
        <w:pStyle w:val="Body"/>
        <w:widowControl/>
        <w:spacing w:after="0"/>
        <w:rPr>
          <w:b/>
          <w:bCs/>
          <w:sz w:val="18"/>
          <w:szCs w:val="18"/>
          <w:lang w:eastAsia="zh-CN"/>
        </w:rPr>
      </w:pPr>
    </w:p>
    <w:p w14:paraId="28B59D8E"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lastRenderedPageBreak/>
        <w:t xml:space="preserve">To explore whether the external output of enterprise technology affects its OFDI decision-making, this paper uses the number of invention authorizations to measure the spillover effects of innovative technology. From the results of the mechanism test, </w:t>
      </w:r>
      <w:r>
        <w:rPr>
          <w:rFonts w:eastAsia="Times New Roman" w:hint="eastAsia"/>
          <w:sz w:val="20"/>
          <w:szCs w:val="20"/>
          <w:lang w:eastAsia="zh-CN"/>
        </w:rPr>
        <w:t>the coefficient is 1.323, which is significantly positively correlated at the 1% level, indicating that the technological spillover of enterprises indeed plays a mediating role in promoting their OFDI through ESG performance.</w:t>
      </w:r>
    </w:p>
    <w:p w14:paraId="5A6A130C" w14:textId="77777777" w:rsidR="0008758D" w:rsidRDefault="0008758D">
      <w:pPr>
        <w:pStyle w:val="Body"/>
        <w:widowControl/>
        <w:spacing w:after="0"/>
        <w:rPr>
          <w:rFonts w:eastAsia="Times New Roman"/>
          <w:sz w:val="20"/>
          <w:szCs w:val="20"/>
          <w:lang w:eastAsia="zh-CN"/>
        </w:rPr>
      </w:pPr>
    </w:p>
    <w:p w14:paraId="3269919F" w14:textId="77777777" w:rsidR="0008758D" w:rsidRDefault="00127F5C">
      <w:pPr>
        <w:pStyle w:val="Body"/>
        <w:widowControl/>
        <w:spacing w:after="0"/>
        <w:rPr>
          <w:rFonts w:eastAsia="Times New Roman"/>
          <w:sz w:val="20"/>
          <w:szCs w:val="20"/>
          <w:lang w:eastAsia="zh-CN"/>
        </w:rPr>
      </w:pPr>
      <w:r>
        <w:rPr>
          <w:rFonts w:eastAsia="Times New Roman" w:hint="eastAsia"/>
          <w:sz w:val="20"/>
          <w:szCs w:val="20"/>
          <w:lang w:eastAsia="zh-CN"/>
        </w:rPr>
        <w:t>After the Bootstrap test, the</w:t>
      </w:r>
      <w:r>
        <w:rPr>
          <w:rFonts w:eastAsia="Times New Roman" w:hint="eastAsia"/>
          <w:sz w:val="20"/>
          <w:szCs w:val="20"/>
          <w:lang w:eastAsia="zh-CN"/>
        </w:rPr>
        <w:t xml:space="preserve"> z-value of the SA index is 14.72, and the p-value is 0.000. The z-value of invention authorization is 4.86, and the p-value is 0.000, both of which are less than the common significance level (e.g., 0.05), indicating that the mediating effect is statistic</w:t>
      </w:r>
      <w:r>
        <w:rPr>
          <w:rFonts w:eastAsia="Times New Roman" w:hint="eastAsia"/>
          <w:sz w:val="20"/>
          <w:szCs w:val="20"/>
          <w:lang w:eastAsia="zh-CN"/>
        </w:rPr>
        <w:t>ally significant. In other words, the ESG performance of enterprises affects their financing constraints and technological innovation, thereby bringing about technological spillover effects, which in turn have a significant impact on OFDI.</w:t>
      </w:r>
    </w:p>
    <w:p w14:paraId="17044792" w14:textId="77777777" w:rsidR="0008758D" w:rsidRDefault="0008758D">
      <w:pPr>
        <w:pStyle w:val="Body"/>
        <w:widowControl/>
        <w:spacing w:after="0"/>
        <w:rPr>
          <w:lang w:eastAsia="zh-CN"/>
        </w:rPr>
      </w:pPr>
    </w:p>
    <w:p w14:paraId="1A3A7878" w14:textId="77777777" w:rsidR="0008758D" w:rsidRDefault="00127F5C">
      <w:pPr>
        <w:widowControl/>
        <w:autoSpaceDE w:val="0"/>
        <w:autoSpaceDN w:val="0"/>
        <w:adjustRightInd w:val="0"/>
        <w:jc w:val="both"/>
        <w:rPr>
          <w:rFonts w:eastAsia="Times New Roman"/>
          <w:b/>
          <w:bCs/>
          <w:sz w:val="20"/>
          <w:lang w:eastAsia="zh-CN"/>
        </w:rPr>
      </w:pPr>
      <w:r>
        <w:rPr>
          <w:rFonts w:eastAsia="Times New Roman" w:hint="eastAsia"/>
          <w:b/>
          <w:bCs/>
          <w:sz w:val="20"/>
          <w:lang w:eastAsia="zh-CN"/>
        </w:rPr>
        <w:t>Table 7: Robust</w:t>
      </w:r>
      <w:r>
        <w:rPr>
          <w:rFonts w:eastAsia="Times New Roman" w:hint="eastAsia"/>
          <w:b/>
          <w:bCs/>
          <w:sz w:val="20"/>
          <w:lang w:eastAsia="zh-CN"/>
        </w:rPr>
        <w:t>ness Test</w:t>
      </w:r>
    </w:p>
    <w:tbl>
      <w:tblPr>
        <w:tblW w:w="4995" w:type="pct"/>
        <w:tblLook w:val="04A0" w:firstRow="1" w:lastRow="0" w:firstColumn="1" w:lastColumn="0" w:noHBand="0" w:noVBand="1"/>
      </w:tblPr>
      <w:tblGrid>
        <w:gridCol w:w="3791"/>
        <w:gridCol w:w="2467"/>
        <w:gridCol w:w="3308"/>
      </w:tblGrid>
      <w:tr w:rsidR="0008758D" w14:paraId="38228B57" w14:textId="77777777">
        <w:trPr>
          <w:trHeight w:val="350"/>
        </w:trPr>
        <w:tc>
          <w:tcPr>
            <w:tcW w:w="1981" w:type="pct"/>
            <w:vMerge w:val="restart"/>
            <w:tcBorders>
              <w:top w:val="single" w:sz="12" w:space="0" w:color="000000"/>
              <w:left w:val="nil"/>
              <w:bottom w:val="single" w:sz="12" w:space="0" w:color="000000"/>
              <w:right w:val="nil"/>
            </w:tcBorders>
            <w:noWrap/>
            <w:vAlign w:val="center"/>
          </w:tcPr>
          <w:p w14:paraId="502C518F" w14:textId="77777777" w:rsidR="0008758D" w:rsidRDefault="00127F5C">
            <w:pPr>
              <w:jc w:val="center"/>
              <w:rPr>
                <w:rFonts w:eastAsia="SimSun"/>
                <w:b/>
                <w:bCs/>
                <w:sz w:val="20"/>
                <w:szCs w:val="20"/>
              </w:rPr>
            </w:pPr>
            <w:r>
              <w:rPr>
                <w:rFonts w:eastAsia="SimSun"/>
                <w:b/>
                <w:bCs/>
                <w:sz w:val="20"/>
                <w:szCs w:val="20"/>
                <w:lang w:eastAsia="zh-CN"/>
              </w:rPr>
              <w:t>Variable</w:t>
            </w:r>
          </w:p>
        </w:tc>
        <w:tc>
          <w:tcPr>
            <w:tcW w:w="1289" w:type="pct"/>
            <w:tcBorders>
              <w:top w:val="single" w:sz="12" w:space="0" w:color="000000"/>
              <w:left w:val="nil"/>
              <w:bottom w:val="single" w:sz="12" w:space="0" w:color="auto"/>
              <w:right w:val="nil"/>
            </w:tcBorders>
            <w:noWrap/>
            <w:vAlign w:val="center"/>
          </w:tcPr>
          <w:p w14:paraId="4F41BD1B" w14:textId="77777777" w:rsidR="0008758D" w:rsidRDefault="00127F5C">
            <w:pPr>
              <w:jc w:val="center"/>
              <w:rPr>
                <w:rFonts w:eastAsia="SimSun"/>
                <w:b/>
                <w:bCs/>
                <w:sz w:val="20"/>
                <w:szCs w:val="20"/>
                <w:lang w:eastAsia="zh-CN"/>
              </w:rPr>
            </w:pPr>
            <w:r>
              <w:rPr>
                <w:rFonts w:eastAsia="SimSun" w:hint="eastAsia"/>
                <w:b/>
                <w:bCs/>
                <w:sz w:val="20"/>
                <w:szCs w:val="20"/>
                <w:lang w:eastAsia="zh-CN"/>
              </w:rPr>
              <w:t>SA</w:t>
            </w:r>
          </w:p>
        </w:tc>
        <w:tc>
          <w:tcPr>
            <w:tcW w:w="1729" w:type="pct"/>
            <w:tcBorders>
              <w:top w:val="single" w:sz="12" w:space="0" w:color="000000"/>
              <w:left w:val="nil"/>
              <w:bottom w:val="single" w:sz="12" w:space="0" w:color="auto"/>
              <w:right w:val="nil"/>
            </w:tcBorders>
            <w:noWrap/>
            <w:vAlign w:val="center"/>
          </w:tcPr>
          <w:p w14:paraId="28008CB4" w14:textId="77777777" w:rsidR="0008758D" w:rsidRDefault="00127F5C">
            <w:pPr>
              <w:jc w:val="center"/>
              <w:rPr>
                <w:rFonts w:eastAsia="SimSun"/>
                <w:b/>
                <w:bCs/>
                <w:sz w:val="20"/>
                <w:szCs w:val="20"/>
                <w:lang w:eastAsia="zh-CN"/>
              </w:rPr>
            </w:pPr>
            <w:r>
              <w:rPr>
                <w:rFonts w:eastAsia="SimSun" w:hint="eastAsia"/>
                <w:b/>
                <w:bCs/>
                <w:sz w:val="20"/>
                <w:szCs w:val="20"/>
                <w:lang w:eastAsia="zh-CN"/>
              </w:rPr>
              <w:t>Patent</w:t>
            </w:r>
          </w:p>
        </w:tc>
      </w:tr>
      <w:tr w:rsidR="0008758D" w14:paraId="0F13211F" w14:textId="77777777">
        <w:trPr>
          <w:trHeight w:val="313"/>
        </w:trPr>
        <w:tc>
          <w:tcPr>
            <w:tcW w:w="1981" w:type="pct"/>
            <w:vMerge w:val="restart"/>
            <w:tcBorders>
              <w:top w:val="nil"/>
              <w:left w:val="nil"/>
              <w:bottom w:val="nil"/>
              <w:right w:val="nil"/>
            </w:tcBorders>
            <w:noWrap/>
            <w:vAlign w:val="center"/>
          </w:tcPr>
          <w:p w14:paraId="20485A0E" w14:textId="77777777" w:rsidR="0008758D" w:rsidRDefault="00127F5C">
            <w:pPr>
              <w:jc w:val="center"/>
              <w:rPr>
                <w:lang w:eastAsia="zh-CN"/>
              </w:rPr>
            </w:pPr>
            <w:r>
              <w:rPr>
                <w:lang w:eastAsia="zh-CN"/>
              </w:rPr>
              <w:t>ESG</w:t>
            </w:r>
          </w:p>
        </w:tc>
        <w:tc>
          <w:tcPr>
            <w:tcW w:w="1289" w:type="pct"/>
            <w:tcBorders>
              <w:top w:val="single" w:sz="12" w:space="0" w:color="auto"/>
              <w:left w:val="nil"/>
              <w:bottom w:val="nil"/>
              <w:right w:val="nil"/>
            </w:tcBorders>
            <w:noWrap/>
            <w:vAlign w:val="center"/>
          </w:tcPr>
          <w:p w14:paraId="12B38F93" w14:textId="77777777" w:rsidR="0008758D" w:rsidRDefault="00127F5C">
            <w:pPr>
              <w:jc w:val="center"/>
              <w:rPr>
                <w:lang w:eastAsia="zh-CN"/>
              </w:rPr>
            </w:pPr>
            <w:r>
              <w:rPr>
                <w:rFonts w:hint="eastAsia"/>
                <w:lang w:eastAsia="zh-CN"/>
              </w:rPr>
              <w:t>-0.274***</w:t>
            </w:r>
          </w:p>
        </w:tc>
        <w:tc>
          <w:tcPr>
            <w:tcW w:w="1729" w:type="pct"/>
            <w:tcBorders>
              <w:top w:val="single" w:sz="12" w:space="0" w:color="auto"/>
              <w:left w:val="nil"/>
              <w:bottom w:val="nil"/>
              <w:right w:val="nil"/>
            </w:tcBorders>
            <w:noWrap/>
            <w:vAlign w:val="center"/>
          </w:tcPr>
          <w:p w14:paraId="0D97AEA1" w14:textId="77777777" w:rsidR="0008758D" w:rsidRDefault="00127F5C">
            <w:pPr>
              <w:jc w:val="center"/>
              <w:rPr>
                <w:lang w:eastAsia="zh-CN"/>
              </w:rPr>
            </w:pPr>
            <w:r>
              <w:rPr>
                <w:rFonts w:hint="eastAsia"/>
                <w:lang w:eastAsia="zh-CN"/>
              </w:rPr>
              <w:t>1.323***</w:t>
            </w:r>
          </w:p>
        </w:tc>
      </w:tr>
      <w:tr w:rsidR="0008758D" w14:paraId="7A6B871C" w14:textId="77777777">
        <w:trPr>
          <w:trHeight w:val="236"/>
        </w:trPr>
        <w:tc>
          <w:tcPr>
            <w:tcW w:w="1981" w:type="pct"/>
            <w:vMerge/>
            <w:tcBorders>
              <w:top w:val="nil"/>
              <w:left w:val="nil"/>
              <w:bottom w:val="nil"/>
              <w:right w:val="nil"/>
            </w:tcBorders>
            <w:noWrap/>
            <w:vAlign w:val="center"/>
          </w:tcPr>
          <w:p w14:paraId="6BEA5270" w14:textId="77777777" w:rsidR="0008758D" w:rsidRDefault="0008758D">
            <w:pPr>
              <w:jc w:val="center"/>
              <w:rPr>
                <w:lang w:eastAsia="zh-CN"/>
              </w:rPr>
            </w:pPr>
          </w:p>
        </w:tc>
        <w:tc>
          <w:tcPr>
            <w:tcW w:w="1289" w:type="pct"/>
            <w:tcBorders>
              <w:top w:val="nil"/>
              <w:left w:val="nil"/>
              <w:bottom w:val="nil"/>
              <w:right w:val="nil"/>
            </w:tcBorders>
            <w:noWrap/>
            <w:vAlign w:val="center"/>
          </w:tcPr>
          <w:p w14:paraId="17698B06" w14:textId="77777777" w:rsidR="0008758D" w:rsidRDefault="00127F5C">
            <w:pPr>
              <w:jc w:val="center"/>
              <w:rPr>
                <w:lang w:eastAsia="zh-CN"/>
              </w:rPr>
            </w:pPr>
            <w:r>
              <w:rPr>
                <w:rFonts w:hint="eastAsia"/>
                <w:lang w:eastAsia="zh-CN"/>
              </w:rPr>
              <w:t>(0.0129)</w:t>
            </w:r>
          </w:p>
        </w:tc>
        <w:tc>
          <w:tcPr>
            <w:tcW w:w="1729" w:type="pct"/>
            <w:tcBorders>
              <w:top w:val="nil"/>
              <w:left w:val="nil"/>
              <w:bottom w:val="nil"/>
              <w:right w:val="nil"/>
            </w:tcBorders>
            <w:noWrap/>
            <w:vAlign w:val="center"/>
          </w:tcPr>
          <w:p w14:paraId="4707343B" w14:textId="77777777" w:rsidR="0008758D" w:rsidRDefault="00127F5C">
            <w:pPr>
              <w:jc w:val="center"/>
              <w:rPr>
                <w:lang w:eastAsia="zh-CN"/>
              </w:rPr>
            </w:pPr>
            <w:r>
              <w:rPr>
                <w:rFonts w:hint="eastAsia"/>
                <w:lang w:eastAsia="zh-CN"/>
              </w:rPr>
              <w:t xml:space="preserve"> (0.0372)</w:t>
            </w:r>
          </w:p>
        </w:tc>
      </w:tr>
      <w:tr w:rsidR="0008758D" w14:paraId="407FBFFF" w14:textId="77777777">
        <w:trPr>
          <w:trHeight w:val="244"/>
        </w:trPr>
        <w:tc>
          <w:tcPr>
            <w:tcW w:w="1981" w:type="pct"/>
            <w:tcBorders>
              <w:top w:val="nil"/>
              <w:left w:val="nil"/>
              <w:bottom w:val="nil"/>
              <w:right w:val="nil"/>
            </w:tcBorders>
            <w:noWrap/>
            <w:vAlign w:val="center"/>
          </w:tcPr>
          <w:p w14:paraId="0A2B288C" w14:textId="77777777" w:rsidR="0008758D" w:rsidRDefault="00127F5C">
            <w:pPr>
              <w:jc w:val="center"/>
              <w:rPr>
                <w:lang w:eastAsia="zh-CN"/>
              </w:rPr>
            </w:pPr>
            <w:r>
              <w:rPr>
                <w:rFonts w:hint="eastAsia"/>
              </w:rPr>
              <w:t>Control Variables</w:t>
            </w:r>
          </w:p>
        </w:tc>
        <w:tc>
          <w:tcPr>
            <w:tcW w:w="1289" w:type="pct"/>
            <w:tcBorders>
              <w:top w:val="nil"/>
              <w:left w:val="nil"/>
              <w:bottom w:val="nil"/>
              <w:right w:val="nil"/>
            </w:tcBorders>
            <w:noWrap/>
            <w:vAlign w:val="center"/>
          </w:tcPr>
          <w:p w14:paraId="34BF4193" w14:textId="77777777" w:rsidR="0008758D" w:rsidRDefault="00127F5C">
            <w:pPr>
              <w:jc w:val="center"/>
              <w:rPr>
                <w:lang w:eastAsia="zh-CN"/>
              </w:rPr>
            </w:pPr>
            <w:r>
              <w:rPr>
                <w:lang w:eastAsia="zh-CN"/>
              </w:rPr>
              <w:t>Yes</w:t>
            </w:r>
          </w:p>
        </w:tc>
        <w:tc>
          <w:tcPr>
            <w:tcW w:w="1729" w:type="pct"/>
            <w:tcBorders>
              <w:top w:val="nil"/>
              <w:left w:val="nil"/>
              <w:bottom w:val="nil"/>
              <w:right w:val="nil"/>
            </w:tcBorders>
            <w:noWrap/>
            <w:vAlign w:val="center"/>
          </w:tcPr>
          <w:p w14:paraId="28437F84" w14:textId="77777777" w:rsidR="0008758D" w:rsidRDefault="00127F5C">
            <w:pPr>
              <w:jc w:val="center"/>
              <w:rPr>
                <w:lang w:eastAsia="zh-CN"/>
              </w:rPr>
            </w:pPr>
            <w:r>
              <w:rPr>
                <w:lang w:eastAsia="zh-CN"/>
              </w:rPr>
              <w:t>Yes</w:t>
            </w:r>
          </w:p>
        </w:tc>
      </w:tr>
      <w:tr w:rsidR="0008758D" w14:paraId="0F7EADB0" w14:textId="77777777">
        <w:trPr>
          <w:trHeight w:val="244"/>
        </w:trPr>
        <w:tc>
          <w:tcPr>
            <w:tcW w:w="1981" w:type="pct"/>
            <w:tcBorders>
              <w:top w:val="nil"/>
              <w:left w:val="nil"/>
              <w:bottom w:val="nil"/>
              <w:right w:val="nil"/>
            </w:tcBorders>
            <w:noWrap/>
            <w:vAlign w:val="center"/>
          </w:tcPr>
          <w:p w14:paraId="7FF579B1" w14:textId="77777777" w:rsidR="0008758D" w:rsidRDefault="00127F5C">
            <w:pPr>
              <w:jc w:val="center"/>
              <w:rPr>
                <w:lang w:eastAsia="zh-CN"/>
              </w:rPr>
            </w:pPr>
            <w:r>
              <w:rPr>
                <w:lang w:eastAsia="zh-CN"/>
              </w:rPr>
              <w:t>Individual FE</w:t>
            </w:r>
          </w:p>
        </w:tc>
        <w:tc>
          <w:tcPr>
            <w:tcW w:w="1289" w:type="pct"/>
            <w:tcBorders>
              <w:top w:val="nil"/>
              <w:left w:val="nil"/>
              <w:bottom w:val="nil"/>
              <w:right w:val="nil"/>
            </w:tcBorders>
            <w:noWrap/>
            <w:vAlign w:val="center"/>
          </w:tcPr>
          <w:p w14:paraId="074A7643" w14:textId="77777777" w:rsidR="0008758D" w:rsidRDefault="00127F5C">
            <w:pPr>
              <w:jc w:val="center"/>
              <w:rPr>
                <w:lang w:eastAsia="zh-CN"/>
              </w:rPr>
            </w:pPr>
            <w:r>
              <w:rPr>
                <w:lang w:eastAsia="zh-CN"/>
              </w:rPr>
              <w:t>Yes</w:t>
            </w:r>
          </w:p>
        </w:tc>
        <w:tc>
          <w:tcPr>
            <w:tcW w:w="1729" w:type="pct"/>
            <w:tcBorders>
              <w:top w:val="nil"/>
              <w:left w:val="nil"/>
              <w:bottom w:val="nil"/>
              <w:right w:val="nil"/>
            </w:tcBorders>
            <w:noWrap/>
            <w:vAlign w:val="center"/>
          </w:tcPr>
          <w:p w14:paraId="4EA79EAA" w14:textId="77777777" w:rsidR="0008758D" w:rsidRDefault="00127F5C">
            <w:pPr>
              <w:jc w:val="center"/>
              <w:rPr>
                <w:lang w:eastAsia="zh-CN"/>
              </w:rPr>
            </w:pPr>
            <w:r>
              <w:rPr>
                <w:lang w:eastAsia="zh-CN"/>
              </w:rPr>
              <w:t>Yes</w:t>
            </w:r>
          </w:p>
        </w:tc>
      </w:tr>
      <w:tr w:rsidR="0008758D" w14:paraId="7D309FEF" w14:textId="77777777">
        <w:trPr>
          <w:trHeight w:val="244"/>
        </w:trPr>
        <w:tc>
          <w:tcPr>
            <w:tcW w:w="1981" w:type="pct"/>
            <w:tcBorders>
              <w:top w:val="nil"/>
              <w:left w:val="nil"/>
              <w:bottom w:val="nil"/>
              <w:right w:val="nil"/>
            </w:tcBorders>
            <w:noWrap/>
            <w:vAlign w:val="center"/>
          </w:tcPr>
          <w:p w14:paraId="09D9E8D2" w14:textId="77777777" w:rsidR="0008758D" w:rsidRDefault="00127F5C">
            <w:pPr>
              <w:jc w:val="center"/>
              <w:rPr>
                <w:rFonts w:eastAsia="SimSun"/>
                <w:sz w:val="20"/>
                <w:szCs w:val="20"/>
                <w:lang w:eastAsia="zh-CN"/>
              </w:rPr>
            </w:pPr>
            <w:r>
              <w:rPr>
                <w:rFonts w:eastAsia="SimSun"/>
                <w:sz w:val="20"/>
                <w:szCs w:val="20"/>
                <w:lang w:eastAsia="zh-CN"/>
              </w:rPr>
              <w:t>Year FE</w:t>
            </w:r>
          </w:p>
        </w:tc>
        <w:tc>
          <w:tcPr>
            <w:tcW w:w="1289" w:type="pct"/>
            <w:tcBorders>
              <w:top w:val="nil"/>
              <w:left w:val="nil"/>
              <w:bottom w:val="nil"/>
              <w:right w:val="nil"/>
            </w:tcBorders>
            <w:noWrap/>
            <w:vAlign w:val="center"/>
          </w:tcPr>
          <w:p w14:paraId="07C57664" w14:textId="77777777" w:rsidR="0008758D" w:rsidRDefault="00127F5C">
            <w:pPr>
              <w:jc w:val="center"/>
              <w:rPr>
                <w:lang w:eastAsia="zh-CN"/>
              </w:rPr>
            </w:pPr>
            <w:r>
              <w:rPr>
                <w:lang w:eastAsia="zh-CN"/>
              </w:rPr>
              <w:t>Yes</w:t>
            </w:r>
          </w:p>
        </w:tc>
        <w:tc>
          <w:tcPr>
            <w:tcW w:w="1729" w:type="pct"/>
            <w:tcBorders>
              <w:top w:val="nil"/>
              <w:left w:val="nil"/>
              <w:bottom w:val="nil"/>
              <w:right w:val="nil"/>
            </w:tcBorders>
            <w:noWrap/>
            <w:vAlign w:val="center"/>
          </w:tcPr>
          <w:p w14:paraId="3D5B9359" w14:textId="77777777" w:rsidR="0008758D" w:rsidRDefault="00127F5C">
            <w:pPr>
              <w:jc w:val="center"/>
              <w:rPr>
                <w:lang w:eastAsia="zh-CN"/>
              </w:rPr>
            </w:pPr>
            <w:r>
              <w:rPr>
                <w:lang w:eastAsia="zh-CN"/>
              </w:rPr>
              <w:t>Yes</w:t>
            </w:r>
          </w:p>
        </w:tc>
      </w:tr>
      <w:tr w:rsidR="0008758D" w14:paraId="731B45AE" w14:textId="77777777">
        <w:trPr>
          <w:trHeight w:val="244"/>
        </w:trPr>
        <w:tc>
          <w:tcPr>
            <w:tcW w:w="1981" w:type="pct"/>
            <w:tcBorders>
              <w:top w:val="nil"/>
              <w:left w:val="nil"/>
              <w:bottom w:val="nil"/>
              <w:right w:val="nil"/>
            </w:tcBorders>
            <w:noWrap/>
            <w:vAlign w:val="center"/>
          </w:tcPr>
          <w:p w14:paraId="4D749586" w14:textId="77777777" w:rsidR="0008758D" w:rsidRDefault="00127F5C">
            <w:pPr>
              <w:jc w:val="center"/>
              <w:rPr>
                <w:rFonts w:eastAsia="SimSun"/>
                <w:sz w:val="20"/>
                <w:szCs w:val="20"/>
                <w:lang w:eastAsia="zh-CN"/>
              </w:rPr>
            </w:pPr>
            <w:r>
              <w:rPr>
                <w:rFonts w:eastAsia="SimSun"/>
                <w:sz w:val="20"/>
                <w:szCs w:val="20"/>
                <w:lang w:eastAsia="zh-CN"/>
              </w:rPr>
              <w:t>Observations</w:t>
            </w:r>
          </w:p>
        </w:tc>
        <w:tc>
          <w:tcPr>
            <w:tcW w:w="1289" w:type="pct"/>
            <w:tcBorders>
              <w:top w:val="nil"/>
              <w:left w:val="nil"/>
              <w:bottom w:val="nil"/>
              <w:right w:val="nil"/>
            </w:tcBorders>
            <w:noWrap/>
            <w:vAlign w:val="center"/>
          </w:tcPr>
          <w:p w14:paraId="0C991FB5" w14:textId="77777777" w:rsidR="0008758D" w:rsidRDefault="00127F5C">
            <w:pPr>
              <w:jc w:val="center"/>
              <w:rPr>
                <w:lang w:eastAsia="zh-CN"/>
              </w:rPr>
            </w:pPr>
            <w:r>
              <w:rPr>
                <w:rFonts w:hint="eastAsia"/>
                <w:lang w:eastAsia="zh-CN"/>
              </w:rPr>
              <w:t>11160</w:t>
            </w:r>
          </w:p>
        </w:tc>
        <w:tc>
          <w:tcPr>
            <w:tcW w:w="1729" w:type="pct"/>
            <w:tcBorders>
              <w:top w:val="nil"/>
              <w:left w:val="nil"/>
              <w:bottom w:val="nil"/>
              <w:right w:val="nil"/>
            </w:tcBorders>
            <w:noWrap/>
            <w:vAlign w:val="center"/>
          </w:tcPr>
          <w:p w14:paraId="6962170D" w14:textId="77777777" w:rsidR="0008758D" w:rsidRDefault="00127F5C">
            <w:pPr>
              <w:jc w:val="center"/>
              <w:rPr>
                <w:lang w:eastAsia="zh-CN"/>
              </w:rPr>
            </w:pPr>
            <w:r>
              <w:rPr>
                <w:rFonts w:hint="eastAsia"/>
                <w:lang w:eastAsia="zh-CN"/>
              </w:rPr>
              <w:t>12368</w:t>
            </w:r>
          </w:p>
        </w:tc>
      </w:tr>
      <w:tr w:rsidR="0008758D" w14:paraId="28FF9D78" w14:textId="77777777">
        <w:trPr>
          <w:trHeight w:val="313"/>
        </w:trPr>
        <w:tc>
          <w:tcPr>
            <w:tcW w:w="1981" w:type="pct"/>
            <w:tcBorders>
              <w:top w:val="nil"/>
              <w:left w:val="nil"/>
              <w:bottom w:val="single" w:sz="12" w:space="0" w:color="000000"/>
              <w:right w:val="nil"/>
            </w:tcBorders>
            <w:noWrap/>
            <w:vAlign w:val="center"/>
          </w:tcPr>
          <w:p w14:paraId="784D1CFE" w14:textId="77777777" w:rsidR="0008758D" w:rsidRDefault="00127F5C">
            <w:pPr>
              <w:jc w:val="center"/>
              <w:rPr>
                <w:rFonts w:eastAsia="SimSun"/>
                <w:sz w:val="20"/>
                <w:szCs w:val="20"/>
                <w:lang w:eastAsia="zh-CN"/>
              </w:rPr>
            </w:pPr>
            <w:r>
              <w:rPr>
                <w:rFonts w:eastAsia="SimSun"/>
                <w:sz w:val="20"/>
                <w:szCs w:val="20"/>
                <w:lang w:eastAsia="zh-CN"/>
              </w:rPr>
              <w:t>R2</w:t>
            </w:r>
          </w:p>
        </w:tc>
        <w:tc>
          <w:tcPr>
            <w:tcW w:w="1289" w:type="pct"/>
            <w:tcBorders>
              <w:top w:val="nil"/>
              <w:left w:val="nil"/>
              <w:bottom w:val="single" w:sz="12" w:space="0" w:color="000000"/>
              <w:right w:val="nil"/>
            </w:tcBorders>
            <w:noWrap/>
            <w:vAlign w:val="center"/>
          </w:tcPr>
          <w:p w14:paraId="415E34FC" w14:textId="77777777" w:rsidR="0008758D" w:rsidRDefault="00127F5C">
            <w:pPr>
              <w:jc w:val="center"/>
              <w:rPr>
                <w:lang w:eastAsia="zh-CN"/>
              </w:rPr>
            </w:pPr>
            <w:r>
              <w:rPr>
                <w:rFonts w:hint="eastAsia"/>
                <w:lang w:eastAsia="zh-CN"/>
              </w:rPr>
              <w:t>0.9539</w:t>
            </w:r>
          </w:p>
        </w:tc>
        <w:tc>
          <w:tcPr>
            <w:tcW w:w="1729" w:type="pct"/>
            <w:tcBorders>
              <w:top w:val="nil"/>
              <w:left w:val="nil"/>
              <w:bottom w:val="single" w:sz="12" w:space="0" w:color="000000"/>
              <w:right w:val="nil"/>
            </w:tcBorders>
            <w:noWrap/>
            <w:vAlign w:val="center"/>
          </w:tcPr>
          <w:p w14:paraId="56237300" w14:textId="77777777" w:rsidR="0008758D" w:rsidRDefault="00127F5C">
            <w:pPr>
              <w:jc w:val="center"/>
              <w:rPr>
                <w:lang w:eastAsia="zh-CN"/>
              </w:rPr>
            </w:pPr>
            <w:r>
              <w:rPr>
                <w:rFonts w:hint="eastAsia"/>
                <w:lang w:eastAsia="zh-CN"/>
              </w:rPr>
              <w:t>0.0343</w:t>
            </w:r>
          </w:p>
        </w:tc>
      </w:tr>
    </w:tbl>
    <w:p w14:paraId="7148CF98" w14:textId="77777777" w:rsidR="0008758D" w:rsidRDefault="0008758D">
      <w:pPr>
        <w:pStyle w:val="AbstHead"/>
        <w:widowControl/>
        <w:spacing w:after="0"/>
        <w:jc w:val="both"/>
        <w:rPr>
          <w:rFonts w:eastAsia="Times New Roman"/>
          <w:szCs w:val="20"/>
          <w:lang w:eastAsia="zh-CN"/>
        </w:rPr>
      </w:pPr>
    </w:p>
    <w:p w14:paraId="1150F39B" w14:textId="77777777" w:rsidR="0008758D" w:rsidRDefault="00127F5C">
      <w:pPr>
        <w:pStyle w:val="AbstHead"/>
        <w:widowControl/>
        <w:spacing w:after="0"/>
        <w:jc w:val="both"/>
        <w:rPr>
          <w:rFonts w:eastAsia="Times New Roman"/>
          <w:szCs w:val="20"/>
          <w:lang w:eastAsia="zh-CN"/>
        </w:rPr>
      </w:pPr>
      <w:r>
        <w:rPr>
          <w:rFonts w:eastAsia="Times New Roman" w:hint="eastAsia"/>
          <w:szCs w:val="20"/>
          <w:lang w:eastAsia="zh-CN"/>
        </w:rPr>
        <w:t>6. Research Conclusions and Policy Recommendations</w:t>
      </w:r>
    </w:p>
    <w:p w14:paraId="699E3EAC" w14:textId="77777777" w:rsidR="0008758D" w:rsidRDefault="0008758D">
      <w:pPr>
        <w:pStyle w:val="1"/>
        <w:spacing w:before="0" w:after="0" w:line="240" w:lineRule="auto"/>
        <w:ind w:firstLineChars="0" w:firstLine="0"/>
        <w:rPr>
          <w:rFonts w:ascii="Arial" w:hAnsi="Arial"/>
          <w:sz w:val="20"/>
          <w:szCs w:val="20"/>
        </w:rPr>
      </w:pPr>
    </w:p>
    <w:p w14:paraId="76D7439E"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 xml:space="preserve">Based on the </w:t>
      </w:r>
      <w:r>
        <w:rPr>
          <w:rFonts w:ascii="Arial" w:hAnsi="Arial" w:hint="eastAsia"/>
          <w:sz w:val="20"/>
          <w:szCs w:val="20"/>
        </w:rPr>
        <w:t>above conclusions, the following policy recommendations are proposed:</w:t>
      </w:r>
    </w:p>
    <w:p w14:paraId="3B49FD42" w14:textId="77777777" w:rsidR="0008758D" w:rsidRDefault="0008758D">
      <w:pPr>
        <w:rPr>
          <w:lang w:eastAsia="zh-CN"/>
        </w:rPr>
      </w:pPr>
    </w:p>
    <w:p w14:paraId="2085A65E"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First, establish the "framework" of the ESG management system: It is necessary to clarify the responsibilities of various departments and positions in promoting ESG work, viewing ESG as</w:t>
      </w:r>
      <w:r>
        <w:rPr>
          <w:rFonts w:ascii="Arial" w:hAnsi="Arial" w:hint="eastAsia"/>
          <w:sz w:val="20"/>
          <w:szCs w:val="20"/>
        </w:rPr>
        <w:t xml:space="preserve"> a "tool" for enhancing competitiveness rather than merely a cost burden. In particular, small and medium-sized enterprises and traditional industries should actively learn from and draw on the experiences of leading ESG companies, integrating ESG concepts</w:t>
      </w:r>
      <w:r>
        <w:rPr>
          <w:rFonts w:ascii="Arial" w:hAnsi="Arial" w:hint="eastAsia"/>
          <w:sz w:val="20"/>
          <w:szCs w:val="20"/>
        </w:rPr>
        <w:t xml:space="preserve"> into their development strategies. Incorporate ESG concepts into the interaction model between corporate development and stakeholders, and establish a reward and punishment assessment system that integrates </w:t>
      </w:r>
      <w:proofErr w:type="spellStart"/>
      <w:r>
        <w:rPr>
          <w:rFonts w:ascii="Arial" w:hAnsi="Arial" w:hint="eastAsia"/>
          <w:sz w:val="20"/>
          <w:szCs w:val="20"/>
        </w:rPr>
        <w:t>ESG.An</w:t>
      </w:r>
      <w:proofErr w:type="spellEnd"/>
      <w:r>
        <w:rPr>
          <w:rFonts w:ascii="Arial" w:hAnsi="Arial" w:hint="eastAsia"/>
          <w:sz w:val="20"/>
          <w:szCs w:val="20"/>
        </w:rPr>
        <w:t xml:space="preserve"> effective governance mechanism can improv</w:t>
      </w:r>
      <w:r>
        <w:rPr>
          <w:rFonts w:ascii="Arial" w:hAnsi="Arial" w:hint="eastAsia"/>
          <w:sz w:val="20"/>
          <w:szCs w:val="20"/>
        </w:rPr>
        <w:t>e the decision-making efficiency and risk management capabilities of enterprises, ensuring the scientific and rational nature of investment decisions.</w:t>
      </w:r>
    </w:p>
    <w:p w14:paraId="424C3260" w14:textId="77777777" w:rsidR="0008758D" w:rsidRDefault="0008758D">
      <w:pPr>
        <w:rPr>
          <w:lang w:eastAsia="zh-CN"/>
        </w:rPr>
      </w:pPr>
    </w:p>
    <w:p w14:paraId="003558A2"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Second, efforts should be made in ESG information disclosure: Companies should follow relevant standards</w:t>
      </w:r>
      <w:r>
        <w:rPr>
          <w:rFonts w:ascii="Arial" w:hAnsi="Arial" w:hint="eastAsia"/>
          <w:sz w:val="20"/>
          <w:szCs w:val="20"/>
        </w:rPr>
        <w:t xml:space="preserve"> and guidelines to ensure that the disclosed information is true, accurate, and complete. Collaborating with third-party verification agencies can add a "safety lock" to the credibility of ESG reports, enhancing the trust of investors and other stakeholder</w:t>
      </w:r>
      <w:r>
        <w:rPr>
          <w:rFonts w:ascii="Arial" w:hAnsi="Arial" w:hint="eastAsia"/>
          <w:sz w:val="20"/>
          <w:szCs w:val="20"/>
        </w:rPr>
        <w:t xml:space="preserve">s in the </w:t>
      </w:r>
      <w:proofErr w:type="spellStart"/>
      <w:proofErr w:type="gramStart"/>
      <w:r>
        <w:rPr>
          <w:rFonts w:ascii="Arial" w:hAnsi="Arial" w:hint="eastAsia"/>
          <w:sz w:val="20"/>
          <w:szCs w:val="20"/>
        </w:rPr>
        <w:t>company.Investment</w:t>
      </w:r>
      <w:proofErr w:type="spellEnd"/>
      <w:proofErr w:type="gramEnd"/>
      <w:r>
        <w:rPr>
          <w:rFonts w:ascii="Arial" w:hAnsi="Arial" w:hint="eastAsia"/>
          <w:sz w:val="20"/>
          <w:szCs w:val="20"/>
        </w:rPr>
        <w:t xml:space="preserve"> in social responsibility by companies can promote harmonious coexistence with the host country community, laying a foundation for the long-term development of the company.</w:t>
      </w:r>
    </w:p>
    <w:p w14:paraId="1995E478" w14:textId="77777777" w:rsidR="0008758D" w:rsidRDefault="0008758D">
      <w:pPr>
        <w:rPr>
          <w:lang w:eastAsia="zh-CN"/>
        </w:rPr>
      </w:pPr>
    </w:p>
    <w:p w14:paraId="266A8A1E"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Third, increase investment in green technology innovati</w:t>
      </w:r>
      <w:r>
        <w:rPr>
          <w:rFonts w:ascii="Arial" w:hAnsi="Arial" w:hint="eastAsia"/>
          <w:sz w:val="20"/>
          <w:szCs w:val="20"/>
        </w:rPr>
        <w:t xml:space="preserve">on: Utilize technological innovation to optimize ESG performance and enhance core competitiveness. Investment and innovation in green technology can not only help companies build a good image in the environmental protection field but also open the door to </w:t>
      </w:r>
      <w:r>
        <w:rPr>
          <w:rFonts w:ascii="Arial" w:hAnsi="Arial" w:hint="eastAsia"/>
          <w:sz w:val="20"/>
          <w:szCs w:val="20"/>
        </w:rPr>
        <w:t xml:space="preserve">international markets through technology export and </w:t>
      </w:r>
      <w:proofErr w:type="spellStart"/>
      <w:proofErr w:type="gramStart"/>
      <w:r>
        <w:rPr>
          <w:rFonts w:ascii="Arial" w:hAnsi="Arial" w:hint="eastAsia"/>
          <w:sz w:val="20"/>
          <w:szCs w:val="20"/>
        </w:rPr>
        <w:t>cooperation.Leverage</w:t>
      </w:r>
      <w:proofErr w:type="spellEnd"/>
      <w:proofErr w:type="gramEnd"/>
      <w:r>
        <w:rPr>
          <w:rFonts w:ascii="Arial" w:hAnsi="Arial" w:hint="eastAsia"/>
          <w:sz w:val="20"/>
          <w:szCs w:val="20"/>
        </w:rPr>
        <w:t xml:space="preserve"> technological advantages to promote foreign direct investment, transfer advanced technology overseas, or establish R&amp;D centers in the host country to gain reverse technology spillover</w:t>
      </w:r>
      <w:r>
        <w:rPr>
          <w:rFonts w:ascii="Arial" w:hAnsi="Arial" w:hint="eastAsia"/>
          <w:sz w:val="20"/>
          <w:szCs w:val="20"/>
        </w:rPr>
        <w:t>s.</w:t>
      </w:r>
    </w:p>
    <w:p w14:paraId="60415D6C" w14:textId="77777777" w:rsidR="0008758D" w:rsidRDefault="0008758D">
      <w:pPr>
        <w:rPr>
          <w:lang w:eastAsia="zh-CN"/>
        </w:rPr>
      </w:pPr>
    </w:p>
    <w:p w14:paraId="46A9D0F3"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Forth, the government should play a "conducting role": Formulate and improve relevant policies and regulations, incorporating ESG evaluation factors into the approval of foreign investment, tax incentives, and financial subsidies. Provide more policy s</w:t>
      </w:r>
      <w:r>
        <w:rPr>
          <w:rFonts w:ascii="Arial" w:hAnsi="Arial" w:hint="eastAsia"/>
          <w:sz w:val="20"/>
          <w:szCs w:val="20"/>
        </w:rPr>
        <w:t xml:space="preserve">upport and incentives to companies with excellent ESG </w:t>
      </w:r>
      <w:r>
        <w:rPr>
          <w:rFonts w:ascii="Arial" w:hAnsi="Arial" w:hint="eastAsia"/>
          <w:sz w:val="20"/>
          <w:szCs w:val="20"/>
        </w:rPr>
        <w:lastRenderedPageBreak/>
        <w:t>performance, guiding them to actively engage in foreign direct investment.</w:t>
      </w:r>
    </w:p>
    <w:p w14:paraId="7BC1D683" w14:textId="77777777" w:rsidR="0008758D" w:rsidRDefault="0008758D">
      <w:pPr>
        <w:rPr>
          <w:lang w:eastAsia="zh-CN"/>
        </w:rPr>
      </w:pPr>
    </w:p>
    <w:p w14:paraId="564F506E" w14:textId="77777777" w:rsidR="0008758D" w:rsidRDefault="00127F5C">
      <w:pPr>
        <w:pStyle w:val="1"/>
        <w:spacing w:before="0" w:after="0" w:line="240" w:lineRule="auto"/>
        <w:ind w:firstLineChars="0" w:firstLine="0"/>
        <w:rPr>
          <w:rFonts w:ascii="Arial" w:hAnsi="Arial"/>
          <w:sz w:val="20"/>
          <w:szCs w:val="20"/>
        </w:rPr>
      </w:pPr>
      <w:r>
        <w:rPr>
          <w:rFonts w:ascii="Arial" w:hAnsi="Arial" w:hint="eastAsia"/>
          <w:sz w:val="20"/>
          <w:szCs w:val="20"/>
        </w:rPr>
        <w:t>Finally, "Unified planning" of ESG disclosure standards: Integrate the requirements of the Securities Regulatory Commission, e</w:t>
      </w:r>
      <w:r>
        <w:rPr>
          <w:rFonts w:ascii="Arial" w:hAnsi="Arial" w:hint="eastAsia"/>
          <w:sz w:val="20"/>
          <w:szCs w:val="20"/>
        </w:rPr>
        <w:t>xchanges, industry associations, and other parties to construct a unified and standardized ESG disclosure standard. At the same time, actively promote the alignment of domestic standards with international guidelines (such as GRI, TCFD) to enhance the tran</w:t>
      </w:r>
      <w:r>
        <w:rPr>
          <w:rFonts w:ascii="Arial" w:hAnsi="Arial" w:hint="eastAsia"/>
          <w:sz w:val="20"/>
          <w:szCs w:val="20"/>
        </w:rPr>
        <w:t xml:space="preserve">sparency and comparability of domestic companies in the international market. Shift ESG information disclosure from the realm of corporate social responsibility to the field of securities regulation, transitioning from "voluntary disclosure" to a combined </w:t>
      </w:r>
      <w:r>
        <w:rPr>
          <w:rFonts w:ascii="Arial" w:hAnsi="Arial" w:hint="eastAsia"/>
          <w:sz w:val="20"/>
          <w:szCs w:val="20"/>
        </w:rPr>
        <w:t>model of "mandatory + voluntary."</w:t>
      </w:r>
    </w:p>
    <w:p w14:paraId="3BCD7B15" w14:textId="77777777" w:rsidR="0008758D" w:rsidRDefault="0008758D">
      <w:pPr>
        <w:rPr>
          <w:rFonts w:eastAsia="SimSun"/>
          <w:sz w:val="20"/>
          <w:szCs w:val="20"/>
          <w:lang w:eastAsia="zh-CN"/>
        </w:rPr>
      </w:pPr>
    </w:p>
    <w:p w14:paraId="54F7966A" w14:textId="77777777" w:rsidR="0008758D" w:rsidRDefault="00127F5C">
      <w:pPr>
        <w:rPr>
          <w:lang w:eastAsia="zh-CN"/>
        </w:rPr>
      </w:pPr>
      <w:r>
        <w:rPr>
          <w:rFonts w:eastAsia="SimSun" w:hint="eastAsia"/>
          <w:sz w:val="20"/>
          <w:szCs w:val="20"/>
          <w:lang w:eastAsia="zh-CN"/>
        </w:rPr>
        <w:t>In summary, this article systematically examines the impact and mechanism of corporate ESG performance on OFDI based on data from A-share listed companies in Shanghai and Shenzhen from 2006 to 2024. However, there are sti</w:t>
      </w:r>
      <w:r>
        <w:rPr>
          <w:rFonts w:eastAsia="SimSun" w:hint="eastAsia"/>
          <w:sz w:val="20"/>
          <w:szCs w:val="20"/>
          <w:lang w:eastAsia="zh-CN"/>
        </w:rPr>
        <w:t xml:space="preserve">ll core limitations: first, it only uses Bloomberg's comprehensive ESG score without breaking down the environmental, social, and governance sub-dimensions, which cannot reveal the differentiated effects of each dimension on OFDI; second, it only measures </w:t>
      </w:r>
      <w:r>
        <w:rPr>
          <w:rFonts w:eastAsia="SimSun" w:hint="eastAsia"/>
          <w:sz w:val="20"/>
          <w:szCs w:val="20"/>
          <w:lang w:eastAsia="zh-CN"/>
        </w:rPr>
        <w:t xml:space="preserve">OFDI in terms of flow and frequency, without addressing investment performance, investment models, location choices, and other quality and structural characteristics; third, it only verifies two mechanisms: financing constraints and technology spillovers, </w:t>
      </w:r>
      <w:r>
        <w:rPr>
          <w:rFonts w:eastAsia="SimSun" w:hint="eastAsia"/>
          <w:sz w:val="20"/>
          <w:szCs w:val="20"/>
          <w:lang w:eastAsia="zh-CN"/>
        </w:rPr>
        <w:t>without considering paths such as brand value and supply chain resilience, nor including key heterogeneous factors like host country ESG regulation and institutional quality; fourth, the sample only covers listed companies, limiting the external validity o</w:t>
      </w:r>
      <w:r>
        <w:rPr>
          <w:rFonts w:eastAsia="SimSun" w:hint="eastAsia"/>
          <w:sz w:val="20"/>
          <w:szCs w:val="20"/>
          <w:lang w:eastAsia="zh-CN"/>
        </w:rPr>
        <w:t>f the conclusions. To address these shortcomings, future research can deepen in four aspects: first, subdivide ESG sub-dimensions and conduct comparative analysis of their impact intensity and mechanism differences on different types of OFDI; second, expan</w:t>
      </w:r>
      <w:r>
        <w:rPr>
          <w:rFonts w:eastAsia="SimSun" w:hint="eastAsia"/>
          <w:sz w:val="20"/>
          <w:szCs w:val="20"/>
          <w:lang w:eastAsia="zh-CN"/>
        </w:rPr>
        <w:t>d the measurement dimensions of OFDI, focusing on exploring the impact of ESG on the quality and structure of overseas investments; third, improve mechanism and heterogeneity analysis by incorporating host country characteristics and the moderating effects</w:t>
      </w:r>
      <w:r>
        <w:rPr>
          <w:rFonts w:eastAsia="SimSun" w:hint="eastAsia"/>
          <w:sz w:val="20"/>
          <w:szCs w:val="20"/>
          <w:lang w:eastAsia="zh-CN"/>
        </w:rPr>
        <w:t xml:space="preserve"> of external policies; fourth, use mandatory ESG disclosure policies as quasi-natural experiments, applying the difference-in-differences method to optimize causal identification, while expanding the sample to non-listed companies and exploring cutting-edg</w:t>
      </w:r>
      <w:r>
        <w:rPr>
          <w:rFonts w:eastAsia="SimSun" w:hint="eastAsia"/>
          <w:sz w:val="20"/>
          <w:szCs w:val="20"/>
          <w:lang w:eastAsia="zh-CN"/>
        </w:rPr>
        <w:t>e topics such as ESG and OFDI resilience, green OFDI, etc., to provide more comprehensive theoretical support for corporate internationalization.</w:t>
      </w:r>
    </w:p>
    <w:p w14:paraId="39524CC8" w14:textId="77777777" w:rsidR="0008758D" w:rsidRDefault="0008758D">
      <w:pPr>
        <w:rPr>
          <w:rFonts w:eastAsia="Times New Roman"/>
          <w:szCs w:val="20"/>
          <w:lang w:eastAsia="zh-CN"/>
        </w:rPr>
      </w:pPr>
    </w:p>
    <w:p w14:paraId="7C4098C9" w14:textId="77777777" w:rsidR="0008758D" w:rsidRDefault="0008758D">
      <w:pPr>
        <w:pStyle w:val="ReferHead"/>
        <w:spacing w:after="0"/>
        <w:jc w:val="both"/>
        <w:rPr>
          <w:b w:val="0"/>
          <w:caps w:val="0"/>
          <w:sz w:val="20"/>
          <w:u w:val="single"/>
        </w:rPr>
      </w:pPr>
      <w:bookmarkStart w:id="0" w:name="_GoBack"/>
      <w:bookmarkEnd w:id="0"/>
    </w:p>
    <w:p w14:paraId="553260A9" w14:textId="77777777" w:rsidR="0008758D" w:rsidRDefault="00127F5C">
      <w:pPr>
        <w:pStyle w:val="ReferHead"/>
        <w:spacing w:after="0"/>
        <w:jc w:val="both"/>
        <w:rPr>
          <w:bCs/>
        </w:rPr>
      </w:pPr>
      <w:r>
        <w:rPr>
          <w:bCs/>
        </w:rPr>
        <w:t>Consent</w:t>
      </w:r>
    </w:p>
    <w:p w14:paraId="08B3272A" w14:textId="77777777" w:rsidR="0008758D" w:rsidRDefault="0008758D">
      <w:pPr>
        <w:pStyle w:val="ReferHead"/>
        <w:spacing w:after="0"/>
        <w:jc w:val="both"/>
        <w:rPr>
          <w:bCs/>
        </w:rPr>
      </w:pPr>
    </w:p>
    <w:p w14:paraId="5BF21BB8" w14:textId="77777777" w:rsidR="0008758D" w:rsidRDefault="00127F5C">
      <w:pPr>
        <w:pStyle w:val="ReferHead"/>
        <w:spacing w:after="0"/>
        <w:jc w:val="both"/>
        <w:rPr>
          <w:b w:val="0"/>
          <w:caps w:val="0"/>
          <w:sz w:val="20"/>
        </w:rPr>
      </w:pPr>
      <w:r>
        <w:rPr>
          <w:rFonts w:hint="eastAsia"/>
          <w:b w:val="0"/>
          <w:caps w:val="0"/>
          <w:sz w:val="20"/>
        </w:rPr>
        <w:t>Not applicable. This study does not involve human subjects, patient data, or clinical trials.</w:t>
      </w:r>
    </w:p>
    <w:p w14:paraId="721E5B26" w14:textId="77777777" w:rsidR="0008758D" w:rsidRDefault="0008758D">
      <w:pPr>
        <w:pStyle w:val="ReferHead"/>
        <w:spacing w:after="0"/>
        <w:jc w:val="both"/>
        <w:rPr>
          <w:b w:val="0"/>
          <w:caps w:val="0"/>
          <w:sz w:val="20"/>
        </w:rPr>
      </w:pPr>
    </w:p>
    <w:p w14:paraId="119BC3EF" w14:textId="77777777" w:rsidR="0008758D" w:rsidRDefault="00127F5C">
      <w:pPr>
        <w:pStyle w:val="ReferHead"/>
        <w:spacing w:after="0"/>
        <w:jc w:val="both"/>
        <w:rPr>
          <w:bCs/>
        </w:rPr>
      </w:pPr>
      <w:r>
        <w:rPr>
          <w:bCs/>
        </w:rPr>
        <w:t>Ethical approval</w:t>
      </w:r>
    </w:p>
    <w:p w14:paraId="1FB85682" w14:textId="77777777" w:rsidR="0008758D" w:rsidRDefault="0008758D">
      <w:pPr>
        <w:pStyle w:val="ReferHead"/>
        <w:spacing w:after="0"/>
        <w:jc w:val="both"/>
        <w:rPr>
          <w:bCs/>
        </w:rPr>
      </w:pPr>
    </w:p>
    <w:p w14:paraId="7DDB72EB" w14:textId="77777777" w:rsidR="0008758D" w:rsidRDefault="00127F5C">
      <w:pPr>
        <w:pStyle w:val="ReferHead"/>
        <w:spacing w:after="0"/>
        <w:jc w:val="both"/>
        <w:rPr>
          <w:b w:val="0"/>
          <w:caps w:val="0"/>
          <w:sz w:val="20"/>
        </w:rPr>
      </w:pPr>
      <w:r>
        <w:rPr>
          <w:rFonts w:hint="eastAsia"/>
          <w:b w:val="0"/>
          <w:caps w:val="0"/>
          <w:sz w:val="20"/>
        </w:rPr>
        <w:t>Not applicable. As this study relies entirely on macro-level secondary data sourced from publicly availab</w:t>
      </w:r>
      <w:r>
        <w:rPr>
          <w:rFonts w:hint="eastAsia"/>
          <w:b w:val="0"/>
          <w:caps w:val="0"/>
          <w:sz w:val="20"/>
        </w:rPr>
        <w:t>le databases, it does not involve human or animal subjects. Therefore, formal ethical approval is exempt and not required.</w:t>
      </w:r>
    </w:p>
    <w:p w14:paraId="66D49C54" w14:textId="77777777" w:rsidR="0008758D" w:rsidRDefault="0008758D">
      <w:pPr>
        <w:pStyle w:val="ReferHead"/>
        <w:spacing w:after="0"/>
        <w:jc w:val="both"/>
        <w:rPr>
          <w:b w:val="0"/>
          <w:caps w:val="0"/>
          <w:sz w:val="20"/>
        </w:rPr>
      </w:pPr>
    </w:p>
    <w:p w14:paraId="057E1F35" w14:textId="77777777" w:rsidR="0008758D" w:rsidRDefault="00127F5C">
      <w:pPr>
        <w:pStyle w:val="ReferHead"/>
        <w:spacing w:after="0"/>
        <w:jc w:val="both"/>
        <w:rPr>
          <w:bCs/>
        </w:rPr>
      </w:pPr>
      <w:r>
        <w:rPr>
          <w:rFonts w:hint="eastAsia"/>
          <w:bCs/>
        </w:rPr>
        <w:t>Data Availability Statement</w:t>
      </w:r>
    </w:p>
    <w:p w14:paraId="527FDBD1" w14:textId="77777777" w:rsidR="0008758D" w:rsidRDefault="0008758D">
      <w:pPr>
        <w:pStyle w:val="ReferHead"/>
        <w:spacing w:after="0"/>
        <w:jc w:val="both"/>
        <w:rPr>
          <w:b w:val="0"/>
          <w:caps w:val="0"/>
          <w:sz w:val="20"/>
        </w:rPr>
      </w:pPr>
    </w:p>
    <w:p w14:paraId="0E20B72C" w14:textId="77777777" w:rsidR="0008758D" w:rsidRDefault="00127F5C">
      <w:pPr>
        <w:pStyle w:val="ReferHead"/>
        <w:spacing w:after="0"/>
        <w:jc w:val="both"/>
        <w:rPr>
          <w:b w:val="0"/>
          <w:caps w:val="0"/>
          <w:sz w:val="20"/>
        </w:rPr>
      </w:pPr>
      <w:r>
        <w:rPr>
          <w:rFonts w:hint="eastAsia"/>
          <w:b w:val="0"/>
          <w:caps w:val="0"/>
          <w:sz w:val="20"/>
        </w:rPr>
        <w:t xml:space="preserve">The datasets generated and analyzed during the current study are derived from publicly available </w:t>
      </w:r>
      <w:r>
        <w:rPr>
          <w:rFonts w:hint="eastAsia"/>
          <w:b w:val="0"/>
          <w:caps w:val="0"/>
          <w:sz w:val="20"/>
        </w:rPr>
        <w:t>macro-level databases (such as the Wind Data Base)). The aggregated data and replication codes supporting the findings of this study are available from the corresponding author upon reasonable request.</w:t>
      </w:r>
    </w:p>
    <w:p w14:paraId="175E172F" w14:textId="77777777" w:rsidR="004563EF" w:rsidRDefault="004563EF">
      <w:pPr>
        <w:pStyle w:val="ReferHead"/>
        <w:spacing w:after="0"/>
        <w:jc w:val="both"/>
        <w:rPr>
          <w:b w:val="0"/>
          <w:caps w:val="0"/>
          <w:sz w:val="20"/>
        </w:rPr>
      </w:pPr>
    </w:p>
    <w:p w14:paraId="7950FDD4" w14:textId="77777777" w:rsidR="004563EF" w:rsidRPr="004563EF" w:rsidRDefault="004563EF" w:rsidP="004563EF">
      <w:pPr>
        <w:widowControl/>
        <w:spacing w:after="200" w:line="276" w:lineRule="auto"/>
        <w:rPr>
          <w:rFonts w:eastAsia="Times New Roman"/>
          <w:b/>
          <w:bCs/>
          <w:lang w:val="en-GB" w:eastAsia="en-GB"/>
        </w:rPr>
      </w:pPr>
      <w:r w:rsidRPr="004563EF">
        <w:rPr>
          <w:rFonts w:eastAsia="Times New Roman"/>
          <w:b/>
          <w:bCs/>
          <w:lang w:val="en-GB" w:eastAsia="en-GB"/>
        </w:rPr>
        <w:t>COMPETING INTERESTS DISCLAIMER:</w:t>
      </w:r>
    </w:p>
    <w:p w14:paraId="3326A2D4" w14:textId="77777777" w:rsidR="004563EF" w:rsidRPr="004563EF" w:rsidRDefault="004563EF" w:rsidP="004563EF">
      <w:pPr>
        <w:widowControl/>
        <w:spacing w:after="200" w:line="276" w:lineRule="auto"/>
        <w:rPr>
          <w:rFonts w:ascii="Calibri" w:eastAsia="Times New Roman" w:hAnsi="Calibri" w:cs="Times New Roman"/>
          <w:lang w:val="en-GB" w:eastAsia="en-GB"/>
        </w:rPr>
      </w:pPr>
      <w:r w:rsidRPr="004563EF">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5903C064" w14:textId="77777777" w:rsidR="004563EF" w:rsidRDefault="004563EF">
      <w:pPr>
        <w:pStyle w:val="ReferHead"/>
        <w:spacing w:after="0"/>
        <w:jc w:val="both"/>
        <w:rPr>
          <w:rFonts w:eastAsia="Times New Roman"/>
          <w:szCs w:val="20"/>
          <w:lang w:eastAsia="zh-CN"/>
        </w:rPr>
      </w:pPr>
    </w:p>
    <w:p w14:paraId="181FC916" w14:textId="77777777" w:rsidR="0008758D" w:rsidRDefault="0008758D">
      <w:pPr>
        <w:rPr>
          <w:rFonts w:eastAsia="Times New Roman"/>
          <w:szCs w:val="20"/>
          <w:lang w:eastAsia="zh-CN"/>
        </w:rPr>
      </w:pPr>
    </w:p>
    <w:p w14:paraId="16720A04" w14:textId="77777777" w:rsidR="0008758D" w:rsidRDefault="00127F5C">
      <w:pPr>
        <w:pStyle w:val="ReferHead"/>
        <w:widowControl/>
        <w:spacing w:after="0"/>
        <w:jc w:val="both"/>
        <w:rPr>
          <w:rFonts w:eastAsia="Times New Roman"/>
          <w:szCs w:val="20"/>
          <w:lang w:eastAsia="zh-CN"/>
        </w:rPr>
      </w:pPr>
      <w:r>
        <w:rPr>
          <w:rFonts w:eastAsia="Times New Roman" w:hint="eastAsia"/>
          <w:szCs w:val="20"/>
          <w:lang w:eastAsia="zh-CN"/>
        </w:rPr>
        <w:t>References</w:t>
      </w:r>
    </w:p>
    <w:p w14:paraId="2FF6F7B2" w14:textId="77777777" w:rsidR="0008758D" w:rsidRDefault="0008758D">
      <w:pPr>
        <w:pStyle w:val="ReferHead"/>
        <w:widowControl/>
        <w:spacing w:after="0"/>
        <w:jc w:val="both"/>
        <w:rPr>
          <w:rFonts w:eastAsia="Times New Roman"/>
          <w:szCs w:val="20"/>
          <w:lang w:eastAsia="zh-CN"/>
        </w:rPr>
      </w:pPr>
    </w:p>
    <w:p w14:paraId="30894301"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Le Chang, </w:t>
      </w:r>
      <w:proofErr w:type="spellStart"/>
      <w:r>
        <w:rPr>
          <w:rFonts w:ascii="Arial" w:hAnsi="Arial" w:hint="default"/>
          <w:sz w:val="20"/>
          <w:szCs w:val="20"/>
        </w:rPr>
        <w:t>Yaqing</w:t>
      </w:r>
      <w:proofErr w:type="spellEnd"/>
      <w:r>
        <w:rPr>
          <w:rFonts w:ascii="Arial" w:hAnsi="Arial" w:hint="default"/>
          <w:sz w:val="20"/>
          <w:szCs w:val="20"/>
        </w:rPr>
        <w:t xml:space="preserve"> </w:t>
      </w:r>
      <w:proofErr w:type="spellStart"/>
      <w:r>
        <w:rPr>
          <w:rFonts w:ascii="Arial" w:hAnsi="Arial" w:hint="default"/>
          <w:sz w:val="20"/>
          <w:szCs w:val="20"/>
        </w:rPr>
        <w:t>Su</w:t>
      </w:r>
      <w:proofErr w:type="spellEnd"/>
      <w:r>
        <w:rPr>
          <w:rFonts w:ascii="Arial" w:hAnsi="Arial" w:hint="default"/>
          <w:sz w:val="20"/>
          <w:szCs w:val="20"/>
        </w:rPr>
        <w:t xml:space="preserve"> &amp; Jing Li. (2026). ESG Performance and the Phase-Dependent Resilience of Outward Foreign Direct Investment: Evidence from Chinese Multinationals. Sustainability, 18(7), 3407-3407.</w:t>
      </w:r>
    </w:p>
    <w:p w14:paraId="1CDC40F3"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Feng Wang, </w:t>
      </w:r>
      <w:proofErr w:type="spellStart"/>
      <w:r>
        <w:rPr>
          <w:rFonts w:ascii="Arial" w:hAnsi="Arial" w:hint="default"/>
          <w:sz w:val="20"/>
          <w:szCs w:val="20"/>
        </w:rPr>
        <w:t>Huadan</w:t>
      </w:r>
      <w:proofErr w:type="spellEnd"/>
      <w:r>
        <w:rPr>
          <w:rFonts w:ascii="Arial" w:hAnsi="Arial" w:hint="default"/>
          <w:sz w:val="20"/>
          <w:szCs w:val="20"/>
        </w:rPr>
        <w:t xml:space="preserve"> Han &amp; Lei Zeng. (2026). The ESG performance of compan</w:t>
      </w:r>
      <w:r>
        <w:rPr>
          <w:rFonts w:ascii="Arial" w:hAnsi="Arial" w:hint="default"/>
          <w:sz w:val="20"/>
          <w:szCs w:val="20"/>
        </w:rPr>
        <w:t>ies and their outward foreign direct investment: evidence from China. International Journal of Emerging Markets, 21(1), 25-46.</w:t>
      </w:r>
    </w:p>
    <w:p w14:paraId="48B47DF9"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Xin Guan, </w:t>
      </w:r>
      <w:proofErr w:type="spellStart"/>
      <w:r>
        <w:rPr>
          <w:rFonts w:ascii="Arial" w:hAnsi="Arial" w:hint="default"/>
          <w:sz w:val="20"/>
          <w:szCs w:val="20"/>
        </w:rPr>
        <w:t>Xinyue</w:t>
      </w:r>
      <w:proofErr w:type="spellEnd"/>
      <w:r>
        <w:rPr>
          <w:rFonts w:ascii="Arial" w:hAnsi="Arial" w:hint="default"/>
          <w:sz w:val="20"/>
          <w:szCs w:val="20"/>
        </w:rPr>
        <w:t xml:space="preserve"> Wu &amp; </w:t>
      </w:r>
      <w:proofErr w:type="spellStart"/>
      <w:r>
        <w:rPr>
          <w:rFonts w:ascii="Arial" w:hAnsi="Arial" w:hint="default"/>
          <w:sz w:val="20"/>
          <w:szCs w:val="20"/>
        </w:rPr>
        <w:t>Wenli</w:t>
      </w:r>
      <w:proofErr w:type="spellEnd"/>
      <w:r>
        <w:rPr>
          <w:rFonts w:ascii="Arial" w:hAnsi="Arial" w:hint="default"/>
          <w:sz w:val="20"/>
          <w:szCs w:val="20"/>
        </w:rPr>
        <w:t xml:space="preserve"> Zheng. (2025). ESG Performance, Investor Confidence, and Foreign Direct Investment: Evidence from Li</w:t>
      </w:r>
      <w:r>
        <w:rPr>
          <w:rFonts w:ascii="Arial" w:hAnsi="Arial" w:hint="default"/>
          <w:sz w:val="20"/>
          <w:szCs w:val="20"/>
        </w:rPr>
        <w:t>sted Companies in China. Emerging Markets Finance and Trade, 61(11), 3406-3422.</w:t>
      </w:r>
    </w:p>
    <w:p w14:paraId="4F518F2D"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Jing Zhou, </w:t>
      </w:r>
      <w:proofErr w:type="spellStart"/>
      <w:r>
        <w:rPr>
          <w:rFonts w:ascii="Arial" w:hAnsi="Arial" w:hint="default"/>
          <w:sz w:val="20"/>
          <w:szCs w:val="20"/>
        </w:rPr>
        <w:t>Kaiwen</w:t>
      </w:r>
      <w:proofErr w:type="spellEnd"/>
      <w:r>
        <w:rPr>
          <w:rFonts w:ascii="Arial" w:hAnsi="Arial" w:hint="default"/>
          <w:sz w:val="20"/>
          <w:szCs w:val="20"/>
        </w:rPr>
        <w:t xml:space="preserve"> Wu &amp; </w:t>
      </w:r>
      <w:proofErr w:type="spellStart"/>
      <w:r>
        <w:rPr>
          <w:rFonts w:ascii="Arial" w:hAnsi="Arial" w:hint="default"/>
          <w:sz w:val="20"/>
          <w:szCs w:val="20"/>
        </w:rPr>
        <w:t>Youwei</w:t>
      </w:r>
      <w:proofErr w:type="spellEnd"/>
      <w:r>
        <w:rPr>
          <w:rFonts w:ascii="Arial" w:hAnsi="Arial" w:hint="default"/>
          <w:sz w:val="20"/>
          <w:szCs w:val="20"/>
        </w:rPr>
        <w:t xml:space="preserve"> Li. (2025). Does firm internationalization improve ESG performance? Evidence from China. International Review of Economics and Finance, 101, 1041</w:t>
      </w:r>
      <w:r>
        <w:rPr>
          <w:rFonts w:ascii="Arial" w:hAnsi="Arial" w:hint="default"/>
          <w:sz w:val="20"/>
          <w:szCs w:val="20"/>
        </w:rPr>
        <w:t>68-104168.</w:t>
      </w:r>
    </w:p>
    <w:p w14:paraId="06EE8366"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proofErr w:type="spellStart"/>
      <w:r>
        <w:rPr>
          <w:rFonts w:ascii="Arial" w:hAnsi="Arial" w:hint="default"/>
          <w:sz w:val="20"/>
          <w:szCs w:val="20"/>
        </w:rPr>
        <w:t>Souad</w:t>
      </w:r>
      <w:proofErr w:type="spellEnd"/>
      <w:r>
        <w:rPr>
          <w:rFonts w:ascii="Arial" w:hAnsi="Arial" w:hint="default"/>
          <w:sz w:val="20"/>
          <w:szCs w:val="20"/>
        </w:rPr>
        <w:t xml:space="preserve"> </w:t>
      </w:r>
      <w:proofErr w:type="spellStart"/>
      <w:r>
        <w:rPr>
          <w:rFonts w:ascii="Arial" w:hAnsi="Arial" w:hint="default"/>
          <w:sz w:val="20"/>
          <w:szCs w:val="20"/>
        </w:rPr>
        <w:t>Bannour</w:t>
      </w:r>
      <w:proofErr w:type="spellEnd"/>
      <w:r>
        <w:rPr>
          <w:rFonts w:ascii="Arial" w:hAnsi="Arial" w:hint="default"/>
          <w:sz w:val="20"/>
          <w:szCs w:val="20"/>
        </w:rPr>
        <w:t xml:space="preserve"> &amp; </w:t>
      </w:r>
      <w:proofErr w:type="spellStart"/>
      <w:r>
        <w:rPr>
          <w:rFonts w:ascii="Arial" w:hAnsi="Arial" w:hint="default"/>
          <w:sz w:val="20"/>
          <w:szCs w:val="20"/>
        </w:rPr>
        <w:t>Nagwa</w:t>
      </w:r>
      <w:proofErr w:type="spellEnd"/>
      <w:r>
        <w:rPr>
          <w:rFonts w:ascii="Arial" w:hAnsi="Arial" w:hint="default"/>
          <w:sz w:val="20"/>
          <w:szCs w:val="20"/>
        </w:rPr>
        <w:t xml:space="preserve"> Amin Abdelkawy. (2024). Sovereign ESG and Foreign Direct Investment in the GCC: The Amplifying Role of Trade Openness in Economic Diversification. Sustainability, 16(21), 9326-9326.</w:t>
      </w:r>
    </w:p>
    <w:p w14:paraId="07338F90"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proofErr w:type="spellStart"/>
      <w:r>
        <w:rPr>
          <w:rFonts w:ascii="Arial" w:hAnsi="Arial" w:hint="default"/>
          <w:sz w:val="20"/>
          <w:szCs w:val="20"/>
        </w:rPr>
        <w:t>Lingli</w:t>
      </w:r>
      <w:proofErr w:type="spellEnd"/>
      <w:r>
        <w:rPr>
          <w:rFonts w:ascii="Arial" w:hAnsi="Arial" w:hint="default"/>
          <w:sz w:val="20"/>
          <w:szCs w:val="20"/>
        </w:rPr>
        <w:t xml:space="preserve"> Qing, Abd </w:t>
      </w:r>
      <w:proofErr w:type="spellStart"/>
      <w:r>
        <w:rPr>
          <w:rFonts w:ascii="Arial" w:hAnsi="Arial" w:hint="default"/>
          <w:sz w:val="20"/>
          <w:szCs w:val="20"/>
        </w:rPr>
        <w:t>Alwahed</w:t>
      </w:r>
      <w:proofErr w:type="spellEnd"/>
      <w:r>
        <w:rPr>
          <w:rFonts w:ascii="Arial" w:hAnsi="Arial" w:hint="default"/>
          <w:sz w:val="20"/>
          <w:szCs w:val="20"/>
        </w:rPr>
        <w:t xml:space="preserve"> Dagestani, </w:t>
      </w:r>
      <w:proofErr w:type="spellStart"/>
      <w:r>
        <w:rPr>
          <w:rFonts w:ascii="Arial" w:hAnsi="Arial" w:hint="default"/>
          <w:sz w:val="20"/>
          <w:szCs w:val="20"/>
        </w:rPr>
        <w:t>Eun</w:t>
      </w:r>
      <w:proofErr w:type="spellEnd"/>
      <w:r>
        <w:rPr>
          <w:rFonts w:ascii="Arial" w:hAnsi="Arial" w:hint="default"/>
          <w:sz w:val="20"/>
          <w:szCs w:val="20"/>
        </w:rPr>
        <w:t xml:space="preserve"> Young Nam &amp; </w:t>
      </w:r>
      <w:proofErr w:type="spellStart"/>
      <w:r>
        <w:rPr>
          <w:rFonts w:ascii="Arial" w:hAnsi="Arial" w:hint="default"/>
          <w:sz w:val="20"/>
          <w:szCs w:val="20"/>
        </w:rPr>
        <w:t>Chengqi</w:t>
      </w:r>
      <w:proofErr w:type="spellEnd"/>
      <w:r>
        <w:rPr>
          <w:rFonts w:ascii="Arial" w:hAnsi="Arial" w:hint="default"/>
          <w:sz w:val="20"/>
          <w:szCs w:val="20"/>
        </w:rPr>
        <w:t xml:space="preserve"> Wang. (2024). Does firm-level exposure to climate change influence inward foreign direct investment? Revealing the moderating role of ESG performance. Corporate Social Responsibility and Environmental Management, 31(6), 6167-6183.</w:t>
      </w:r>
    </w:p>
    <w:p w14:paraId="601740EE"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Muh</w:t>
      </w:r>
      <w:r>
        <w:rPr>
          <w:rFonts w:ascii="Arial" w:hAnsi="Arial" w:hint="default"/>
          <w:sz w:val="20"/>
          <w:szCs w:val="20"/>
        </w:rPr>
        <w:t>ammad Usman Khurram, Wajih Abbassi, Yifan Chen &amp; Lifeng Chen. (2024). Outward foreign investment performance, digital transformation, and ESG performance: Evidence from China. Global Finance Journal, 60, 100963-.</w:t>
      </w:r>
    </w:p>
    <w:p w14:paraId="7722DE72"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Jing Zeng, </w:t>
      </w:r>
      <w:proofErr w:type="spellStart"/>
      <w:r>
        <w:rPr>
          <w:rFonts w:ascii="Arial" w:hAnsi="Arial" w:hint="default"/>
          <w:sz w:val="20"/>
          <w:szCs w:val="20"/>
        </w:rPr>
        <w:t>Bingqian</w:t>
      </w:r>
      <w:proofErr w:type="spellEnd"/>
      <w:r>
        <w:rPr>
          <w:rFonts w:ascii="Arial" w:hAnsi="Arial" w:hint="default"/>
          <w:sz w:val="20"/>
          <w:szCs w:val="20"/>
        </w:rPr>
        <w:t xml:space="preserve"> Zhang &amp; Kevin K. Li. (</w:t>
      </w:r>
      <w:r>
        <w:rPr>
          <w:rFonts w:ascii="Arial" w:hAnsi="Arial" w:hint="default"/>
          <w:sz w:val="20"/>
          <w:szCs w:val="20"/>
        </w:rPr>
        <w:t>2024). The impact of free trade zones on ESG performance: Evidence from China. International Review of Economics and Finance, 91, 1110-1122.</w:t>
      </w:r>
    </w:p>
    <w:p w14:paraId="0FBCC283"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proofErr w:type="spellStart"/>
      <w:r>
        <w:rPr>
          <w:rFonts w:ascii="Arial" w:hAnsi="Arial" w:hint="default"/>
          <w:sz w:val="20"/>
          <w:szCs w:val="20"/>
        </w:rPr>
        <w:t>Xiali</w:t>
      </w:r>
      <w:proofErr w:type="spellEnd"/>
      <w:r>
        <w:rPr>
          <w:rFonts w:ascii="Arial" w:hAnsi="Arial" w:hint="default"/>
          <w:sz w:val="20"/>
          <w:szCs w:val="20"/>
        </w:rPr>
        <w:t xml:space="preserve"> Wang, </w:t>
      </w:r>
      <w:proofErr w:type="spellStart"/>
      <w:r>
        <w:rPr>
          <w:rFonts w:ascii="Arial" w:hAnsi="Arial" w:hint="default"/>
          <w:sz w:val="20"/>
          <w:szCs w:val="20"/>
        </w:rPr>
        <w:t>Kangjun</w:t>
      </w:r>
      <w:proofErr w:type="spellEnd"/>
      <w:r>
        <w:rPr>
          <w:rFonts w:ascii="Arial" w:hAnsi="Arial" w:hint="default"/>
          <w:sz w:val="20"/>
          <w:szCs w:val="20"/>
        </w:rPr>
        <w:t xml:space="preserve"> Ren, </w:t>
      </w:r>
      <w:proofErr w:type="spellStart"/>
      <w:r>
        <w:rPr>
          <w:rFonts w:ascii="Arial" w:hAnsi="Arial" w:hint="default"/>
          <w:sz w:val="20"/>
          <w:szCs w:val="20"/>
        </w:rPr>
        <w:t>Lanhua</w:t>
      </w:r>
      <w:proofErr w:type="spellEnd"/>
      <w:r>
        <w:rPr>
          <w:rFonts w:ascii="Arial" w:hAnsi="Arial" w:hint="default"/>
          <w:sz w:val="20"/>
          <w:szCs w:val="20"/>
        </w:rPr>
        <w:t xml:space="preserve"> Li, </w:t>
      </w:r>
      <w:proofErr w:type="spellStart"/>
      <w:r>
        <w:rPr>
          <w:rFonts w:ascii="Arial" w:hAnsi="Arial" w:hint="default"/>
          <w:sz w:val="20"/>
          <w:szCs w:val="20"/>
        </w:rPr>
        <w:t>Yuhao</w:t>
      </w:r>
      <w:proofErr w:type="spellEnd"/>
      <w:r>
        <w:rPr>
          <w:rFonts w:ascii="Arial" w:hAnsi="Arial" w:hint="default"/>
          <w:sz w:val="20"/>
          <w:szCs w:val="20"/>
        </w:rPr>
        <w:t xml:space="preserve"> </w:t>
      </w:r>
      <w:proofErr w:type="spellStart"/>
      <w:r>
        <w:rPr>
          <w:rFonts w:ascii="Arial" w:hAnsi="Arial" w:hint="default"/>
          <w:sz w:val="20"/>
          <w:szCs w:val="20"/>
        </w:rPr>
        <w:t>Qiao</w:t>
      </w:r>
      <w:proofErr w:type="spellEnd"/>
      <w:r>
        <w:rPr>
          <w:rFonts w:ascii="Arial" w:hAnsi="Arial" w:hint="default"/>
          <w:sz w:val="20"/>
          <w:szCs w:val="20"/>
        </w:rPr>
        <w:t xml:space="preserve"> &amp; Bao Wu. (2024). How does ESG performance impact corporate outward</w:t>
      </w:r>
      <w:r>
        <w:rPr>
          <w:rFonts w:ascii="Arial" w:hAnsi="Arial" w:hint="default"/>
          <w:sz w:val="20"/>
          <w:szCs w:val="20"/>
        </w:rPr>
        <w:t xml:space="preserve"> foreign direct investment? Journal of International Financial Management &amp; Accounting, 35(2), 534-583.</w:t>
      </w:r>
    </w:p>
    <w:p w14:paraId="577EE23F"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Yang Feng, Chen </w:t>
      </w:r>
      <w:proofErr w:type="spellStart"/>
      <w:r>
        <w:rPr>
          <w:rFonts w:ascii="Arial" w:hAnsi="Arial" w:hint="default"/>
          <w:sz w:val="20"/>
          <w:szCs w:val="20"/>
        </w:rPr>
        <w:t>Tingwei</w:t>
      </w:r>
      <w:proofErr w:type="spellEnd"/>
      <w:r>
        <w:rPr>
          <w:rFonts w:ascii="Arial" w:hAnsi="Arial" w:hint="default"/>
          <w:sz w:val="20"/>
          <w:szCs w:val="20"/>
        </w:rPr>
        <w:t xml:space="preserve"> &amp; Zhang </w:t>
      </w:r>
      <w:proofErr w:type="spellStart"/>
      <w:r>
        <w:rPr>
          <w:rFonts w:ascii="Arial" w:hAnsi="Arial" w:hint="default"/>
          <w:sz w:val="20"/>
          <w:szCs w:val="20"/>
        </w:rPr>
        <w:t>Zongbin</w:t>
      </w:r>
      <w:proofErr w:type="spellEnd"/>
      <w:r>
        <w:rPr>
          <w:rFonts w:ascii="Arial" w:hAnsi="Arial" w:hint="default"/>
          <w:sz w:val="20"/>
          <w:szCs w:val="20"/>
        </w:rPr>
        <w:t>. (2023). Can environmental, social, and governance performance drive two-way foreign direct investment behavior</w:t>
      </w:r>
      <w:r>
        <w:rPr>
          <w:rFonts w:ascii="Arial" w:hAnsi="Arial" w:hint="default"/>
          <w:sz w:val="20"/>
          <w:szCs w:val="20"/>
        </w:rPr>
        <w:t>? Evidence from Chinese listed companies. Journal of Cleaner Production, 430,</w:t>
      </w:r>
    </w:p>
    <w:p w14:paraId="39BA6FBE"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Ioannis Katsampoxakis, Anastasia Griva &amp; Stylianos Xanthopoulos. (2026). ESG Investments: </w:t>
      </w:r>
      <w:proofErr w:type="gramStart"/>
      <w:r>
        <w:rPr>
          <w:rFonts w:ascii="Arial" w:hAnsi="Arial" w:hint="default"/>
          <w:sz w:val="20"/>
          <w:szCs w:val="20"/>
        </w:rPr>
        <w:t>a</w:t>
      </w:r>
      <w:proofErr w:type="gramEnd"/>
      <w:r>
        <w:rPr>
          <w:rFonts w:ascii="Arial" w:hAnsi="Arial" w:hint="default"/>
          <w:sz w:val="20"/>
          <w:szCs w:val="20"/>
        </w:rPr>
        <w:t xml:space="preserve"> Study of Their Role in Risk Management and Sustainable Economic Growth. Journal of th</w:t>
      </w:r>
      <w:r>
        <w:rPr>
          <w:rFonts w:ascii="Arial" w:hAnsi="Arial" w:hint="default"/>
          <w:sz w:val="20"/>
          <w:szCs w:val="20"/>
        </w:rPr>
        <w:t>e Knowledge Economy, (prepublish), 1-26.</w:t>
      </w:r>
    </w:p>
    <w:p w14:paraId="405D923B"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Hai Hong Trinh. (2026). Corporate ESG profile, innovation investment, and cost of debt financing: Global evidence from uncertainty episodes. Strategic Business Research, 2(1), 100079-100079.</w:t>
      </w:r>
    </w:p>
    <w:p w14:paraId="60BFC2D7"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Salman Khan. (2026). F</w:t>
      </w:r>
      <w:r>
        <w:rPr>
          <w:rFonts w:ascii="Arial" w:hAnsi="Arial" w:hint="default"/>
          <w:sz w:val="20"/>
          <w:szCs w:val="20"/>
        </w:rPr>
        <w:t>inancial development and climate risk: unpacking the mediating role of ESG performance. Finance Research Letters, 94, 109654-109654.</w:t>
      </w:r>
    </w:p>
    <w:p w14:paraId="37A2910A"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Dang </w:t>
      </w:r>
      <w:proofErr w:type="spellStart"/>
      <w:r>
        <w:rPr>
          <w:rFonts w:ascii="Arial" w:hAnsi="Arial" w:hint="default"/>
          <w:sz w:val="20"/>
          <w:szCs w:val="20"/>
        </w:rPr>
        <w:t>Thi</w:t>
      </w:r>
      <w:proofErr w:type="spellEnd"/>
      <w:r>
        <w:rPr>
          <w:rFonts w:ascii="Arial" w:hAnsi="Arial" w:hint="default"/>
          <w:sz w:val="20"/>
          <w:szCs w:val="20"/>
        </w:rPr>
        <w:t xml:space="preserve"> Quynh Anh, </w:t>
      </w:r>
      <w:proofErr w:type="spellStart"/>
      <w:r>
        <w:rPr>
          <w:rFonts w:ascii="Arial" w:hAnsi="Arial" w:hint="default"/>
          <w:sz w:val="20"/>
          <w:szCs w:val="20"/>
        </w:rPr>
        <w:t>Luu</w:t>
      </w:r>
      <w:proofErr w:type="spellEnd"/>
      <w:r>
        <w:rPr>
          <w:rFonts w:ascii="Arial" w:hAnsi="Arial" w:hint="default"/>
          <w:sz w:val="20"/>
          <w:szCs w:val="20"/>
        </w:rPr>
        <w:t xml:space="preserve"> Thu Quang, Nguyen Duy Linh, Tran Duc Thuc &amp; Tran Hoang Vu. (2026). Does ESG Contribute to Pump-and-Dump Schemes of Insider Investors on the Stock Market? Economics, 20(1), 20250192-20250192.</w:t>
      </w:r>
    </w:p>
    <w:p w14:paraId="72A30BCA"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Long Tang, Jin Hu, Peter J. </w:t>
      </w:r>
      <w:proofErr w:type="spellStart"/>
      <w:r>
        <w:rPr>
          <w:rFonts w:ascii="Arial" w:hAnsi="Arial" w:hint="default"/>
          <w:sz w:val="20"/>
          <w:szCs w:val="20"/>
        </w:rPr>
        <w:t>Stauvermann</w:t>
      </w:r>
      <w:proofErr w:type="spellEnd"/>
      <w:r>
        <w:rPr>
          <w:rFonts w:ascii="Arial" w:hAnsi="Arial" w:hint="default"/>
          <w:sz w:val="20"/>
          <w:szCs w:val="20"/>
        </w:rPr>
        <w:t xml:space="preserve"> &amp; </w:t>
      </w:r>
      <w:proofErr w:type="spellStart"/>
      <w:r>
        <w:rPr>
          <w:rFonts w:ascii="Arial" w:hAnsi="Arial" w:hint="default"/>
          <w:sz w:val="20"/>
          <w:szCs w:val="20"/>
        </w:rPr>
        <w:t>Ziyi</w:t>
      </w:r>
      <w:proofErr w:type="spellEnd"/>
      <w:r>
        <w:rPr>
          <w:rFonts w:ascii="Arial" w:hAnsi="Arial" w:hint="default"/>
          <w:sz w:val="20"/>
          <w:szCs w:val="20"/>
        </w:rPr>
        <w:t xml:space="preserve"> </w:t>
      </w:r>
      <w:proofErr w:type="spellStart"/>
      <w:r>
        <w:rPr>
          <w:rFonts w:ascii="Arial" w:hAnsi="Arial" w:hint="default"/>
          <w:sz w:val="20"/>
          <w:szCs w:val="20"/>
        </w:rPr>
        <w:t>X</w:t>
      </w:r>
      <w:r>
        <w:rPr>
          <w:rFonts w:ascii="Arial" w:hAnsi="Arial" w:hint="default"/>
          <w:sz w:val="20"/>
          <w:szCs w:val="20"/>
        </w:rPr>
        <w:t>iong</w:t>
      </w:r>
      <w:proofErr w:type="spellEnd"/>
      <w:r>
        <w:rPr>
          <w:rFonts w:ascii="Arial" w:hAnsi="Arial" w:hint="default"/>
          <w:sz w:val="20"/>
          <w:szCs w:val="20"/>
        </w:rPr>
        <w:t>. (2026). The impact of short-term debt for long-term investment on corporate ESG performance. Finance Research Letters, 91, 109459-109459.</w:t>
      </w:r>
    </w:p>
    <w:p w14:paraId="74083872"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Guoyu Mao &amp; </w:t>
      </w:r>
      <w:proofErr w:type="spellStart"/>
      <w:r>
        <w:rPr>
          <w:rFonts w:ascii="Arial" w:hAnsi="Arial" w:hint="default"/>
          <w:sz w:val="20"/>
          <w:szCs w:val="20"/>
        </w:rPr>
        <w:t>Tharitsaya</w:t>
      </w:r>
      <w:proofErr w:type="spellEnd"/>
      <w:r>
        <w:rPr>
          <w:rFonts w:ascii="Arial" w:hAnsi="Arial" w:hint="default"/>
          <w:sz w:val="20"/>
          <w:szCs w:val="20"/>
        </w:rPr>
        <w:t xml:space="preserve"> </w:t>
      </w:r>
      <w:proofErr w:type="spellStart"/>
      <w:proofErr w:type="gramStart"/>
      <w:r>
        <w:rPr>
          <w:rFonts w:ascii="Arial" w:hAnsi="Arial" w:hint="default"/>
          <w:sz w:val="20"/>
          <w:szCs w:val="20"/>
        </w:rPr>
        <w:t>Kongkaew</w:t>
      </w:r>
      <w:proofErr w:type="spellEnd"/>
      <w:r>
        <w:rPr>
          <w:rFonts w:ascii="Arial" w:hAnsi="Arial" w:hint="default"/>
          <w:sz w:val="20"/>
          <w:szCs w:val="20"/>
        </w:rPr>
        <w:t>.(</w:t>
      </w:r>
      <w:proofErr w:type="gramEnd"/>
      <w:r>
        <w:rPr>
          <w:rFonts w:ascii="Arial" w:hAnsi="Arial" w:hint="default"/>
          <w:sz w:val="20"/>
          <w:szCs w:val="20"/>
        </w:rPr>
        <w:t>2026).ESG’s path to value: the role of total factor productivity and R&amp;D innov</w:t>
      </w:r>
      <w:r>
        <w:rPr>
          <w:rFonts w:ascii="Arial" w:hAnsi="Arial" w:hint="default"/>
          <w:sz w:val="20"/>
          <w:szCs w:val="20"/>
        </w:rPr>
        <w:t xml:space="preserve">ation </w:t>
      </w:r>
      <w:proofErr w:type="spellStart"/>
      <w:r>
        <w:rPr>
          <w:rFonts w:ascii="Arial" w:hAnsi="Arial" w:hint="default"/>
          <w:sz w:val="20"/>
          <w:szCs w:val="20"/>
        </w:rPr>
        <w:t>investment.Journal</w:t>
      </w:r>
      <w:proofErr w:type="spellEnd"/>
      <w:r>
        <w:rPr>
          <w:rFonts w:ascii="Arial" w:hAnsi="Arial" w:hint="default"/>
          <w:sz w:val="20"/>
          <w:szCs w:val="20"/>
        </w:rPr>
        <w:t xml:space="preserve"> of Chinese Economic and Business Studies,24(1),127-150.</w:t>
      </w:r>
    </w:p>
    <w:p w14:paraId="7A6A5530"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Mariam </w:t>
      </w:r>
      <w:proofErr w:type="spellStart"/>
      <w:proofErr w:type="gramStart"/>
      <w:r>
        <w:rPr>
          <w:rFonts w:ascii="Arial" w:hAnsi="Arial" w:hint="default"/>
          <w:sz w:val="20"/>
          <w:szCs w:val="20"/>
        </w:rPr>
        <w:t>Elbayar,Taicir</w:t>
      </w:r>
      <w:proofErr w:type="spellEnd"/>
      <w:proofErr w:type="gramEnd"/>
      <w:r>
        <w:rPr>
          <w:rFonts w:ascii="Arial" w:hAnsi="Arial" w:hint="default"/>
          <w:sz w:val="20"/>
          <w:szCs w:val="20"/>
        </w:rPr>
        <w:t xml:space="preserve"> </w:t>
      </w:r>
      <w:proofErr w:type="spellStart"/>
      <w:r>
        <w:rPr>
          <w:rFonts w:ascii="Arial" w:hAnsi="Arial" w:hint="default"/>
          <w:sz w:val="20"/>
          <w:szCs w:val="20"/>
        </w:rPr>
        <w:t>Mezghani</w:t>
      </w:r>
      <w:proofErr w:type="spellEnd"/>
      <w:r>
        <w:rPr>
          <w:rFonts w:ascii="Arial" w:hAnsi="Arial" w:hint="default"/>
          <w:sz w:val="20"/>
          <w:szCs w:val="20"/>
        </w:rPr>
        <w:t xml:space="preserve"> &amp; </w:t>
      </w:r>
      <w:proofErr w:type="spellStart"/>
      <w:r>
        <w:rPr>
          <w:rFonts w:ascii="Arial" w:hAnsi="Arial" w:hint="default"/>
          <w:sz w:val="20"/>
          <w:szCs w:val="20"/>
        </w:rPr>
        <w:t>Mouna</w:t>
      </w:r>
      <w:proofErr w:type="spellEnd"/>
      <w:r>
        <w:rPr>
          <w:rFonts w:ascii="Arial" w:hAnsi="Arial" w:hint="default"/>
          <w:sz w:val="20"/>
          <w:szCs w:val="20"/>
        </w:rPr>
        <w:t xml:space="preserve"> </w:t>
      </w:r>
      <w:proofErr w:type="spellStart"/>
      <w:r>
        <w:rPr>
          <w:rFonts w:ascii="Arial" w:hAnsi="Arial" w:hint="default"/>
          <w:sz w:val="20"/>
          <w:szCs w:val="20"/>
        </w:rPr>
        <w:t>Boujelbène</w:t>
      </w:r>
      <w:proofErr w:type="spellEnd"/>
      <w:r>
        <w:rPr>
          <w:rFonts w:ascii="Arial" w:hAnsi="Arial" w:hint="default"/>
          <w:sz w:val="20"/>
          <w:szCs w:val="20"/>
        </w:rPr>
        <w:t xml:space="preserve"> Abbes.(2026).Fear and Greed Amid Market Turmoil : Impact on Stock Markets, ESG Assets, and Green </w:t>
      </w:r>
      <w:proofErr w:type="spellStart"/>
      <w:r>
        <w:rPr>
          <w:rFonts w:ascii="Arial" w:hAnsi="Arial" w:hint="default"/>
          <w:sz w:val="20"/>
          <w:szCs w:val="20"/>
        </w:rPr>
        <w:t>Fintech.Journal</w:t>
      </w:r>
      <w:proofErr w:type="spellEnd"/>
      <w:r>
        <w:rPr>
          <w:rFonts w:ascii="Arial" w:hAnsi="Arial" w:hint="default"/>
          <w:sz w:val="20"/>
          <w:szCs w:val="20"/>
        </w:rPr>
        <w:t xml:space="preserve"> of Chinese </w:t>
      </w:r>
      <w:r>
        <w:rPr>
          <w:rFonts w:ascii="Arial" w:hAnsi="Arial" w:hint="default"/>
          <w:sz w:val="20"/>
          <w:szCs w:val="20"/>
        </w:rPr>
        <w:t>Economic and Business Studies,24(1),71-104.</w:t>
      </w:r>
    </w:p>
    <w:p w14:paraId="5C53024E"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 xml:space="preserve">Vicente J. </w:t>
      </w:r>
      <w:proofErr w:type="spellStart"/>
      <w:proofErr w:type="gramStart"/>
      <w:r>
        <w:rPr>
          <w:rFonts w:ascii="Arial" w:hAnsi="Arial" w:hint="default"/>
          <w:sz w:val="20"/>
          <w:szCs w:val="20"/>
        </w:rPr>
        <w:t>Bermejo,Antonino</w:t>
      </w:r>
      <w:proofErr w:type="spellEnd"/>
      <w:proofErr w:type="gramEnd"/>
      <w:r>
        <w:rPr>
          <w:rFonts w:ascii="Arial" w:hAnsi="Arial" w:hint="default"/>
          <w:sz w:val="20"/>
          <w:szCs w:val="20"/>
        </w:rPr>
        <w:t xml:space="preserve"> Emanuele Rizzo &amp; Mohammed Zakriya.(2026).What drives corporate ESG? Disentangling the importance of investors and </w:t>
      </w:r>
      <w:proofErr w:type="spellStart"/>
      <w:proofErr w:type="gramStart"/>
      <w:r>
        <w:rPr>
          <w:rFonts w:ascii="Arial" w:hAnsi="Arial" w:hint="default"/>
          <w:sz w:val="20"/>
          <w:szCs w:val="20"/>
        </w:rPr>
        <w:t>managers.Journal</w:t>
      </w:r>
      <w:proofErr w:type="spellEnd"/>
      <w:proofErr w:type="gramEnd"/>
      <w:r>
        <w:rPr>
          <w:rFonts w:ascii="Arial" w:hAnsi="Arial" w:hint="default"/>
          <w:sz w:val="20"/>
          <w:szCs w:val="20"/>
        </w:rPr>
        <w:t xml:space="preserve"> of Financial Intermediation,65,101194-101194.</w:t>
      </w:r>
    </w:p>
    <w:p w14:paraId="778C4B84"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Paul,</w:t>
      </w:r>
      <w:r>
        <w:rPr>
          <w:rFonts w:ascii="Arial" w:hAnsi="Arial" w:hint="default"/>
          <w:sz w:val="20"/>
          <w:szCs w:val="20"/>
        </w:rPr>
        <w:t xml:space="preserve"> J., &amp; Benito, G. R. (2018). A review of research on outward foreign direct investment from emerging countries, including China: what do we know, how do we know and where should we be </w:t>
      </w:r>
      <w:proofErr w:type="gramStart"/>
      <w:r>
        <w:rPr>
          <w:rFonts w:ascii="Arial" w:hAnsi="Arial" w:hint="default"/>
          <w:sz w:val="20"/>
          <w:szCs w:val="20"/>
        </w:rPr>
        <w:lastRenderedPageBreak/>
        <w:t>heading?.</w:t>
      </w:r>
      <w:proofErr w:type="gramEnd"/>
      <w:r>
        <w:rPr>
          <w:rFonts w:ascii="Arial" w:hAnsi="Arial" w:hint="default"/>
          <w:sz w:val="20"/>
          <w:szCs w:val="20"/>
        </w:rPr>
        <w:t xml:space="preserve"> Asia Pacific Business Review, 24(1), 90-115.</w:t>
      </w:r>
    </w:p>
    <w:p w14:paraId="5C39F758"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proofErr w:type="spellStart"/>
      <w:r>
        <w:rPr>
          <w:rFonts w:ascii="Arial" w:hAnsi="Arial" w:hint="default"/>
          <w:sz w:val="20"/>
          <w:szCs w:val="20"/>
        </w:rPr>
        <w:t>Kyrkilis</w:t>
      </w:r>
      <w:proofErr w:type="spellEnd"/>
      <w:r>
        <w:rPr>
          <w:rFonts w:ascii="Arial" w:hAnsi="Arial" w:hint="default"/>
          <w:sz w:val="20"/>
          <w:szCs w:val="20"/>
        </w:rPr>
        <w:t xml:space="preserve">, D., &amp; </w:t>
      </w:r>
      <w:r>
        <w:rPr>
          <w:rFonts w:ascii="Arial" w:hAnsi="Arial" w:hint="default"/>
          <w:sz w:val="20"/>
          <w:szCs w:val="20"/>
        </w:rPr>
        <w:t>Pantelidis, P. (2003). Macroeconomic determinants of outward foreign direct investment. International Journal of Social Economics, 30(7), 827-836.</w:t>
      </w:r>
    </w:p>
    <w:p w14:paraId="36D2D67E"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Shi, W., Sun, S. L., Yan, D., &amp; Zhu, Z. (2017). Institutional fragility and outward foreign direct investmen</w:t>
      </w:r>
      <w:r>
        <w:rPr>
          <w:rFonts w:ascii="Arial" w:hAnsi="Arial" w:hint="default"/>
          <w:sz w:val="20"/>
          <w:szCs w:val="20"/>
        </w:rPr>
        <w:t>t from China. Journal of International Business Studies, 48(4), 452-476.</w:t>
      </w:r>
    </w:p>
    <w:p w14:paraId="517B6C59" w14:textId="77777777" w:rsidR="0008758D" w:rsidRDefault="00127F5C">
      <w:pPr>
        <w:pStyle w:val="a0"/>
        <w:numPr>
          <w:ilvl w:val="0"/>
          <w:numId w:val="1"/>
        </w:numPr>
        <w:spacing w:line="240" w:lineRule="auto"/>
        <w:ind w:left="300" w:hangingChars="150" w:hanging="300"/>
        <w:jc w:val="both"/>
        <w:rPr>
          <w:rFonts w:ascii="Arial" w:hAnsi="Arial" w:hint="default"/>
          <w:sz w:val="20"/>
          <w:szCs w:val="20"/>
        </w:rPr>
      </w:pPr>
      <w:r>
        <w:rPr>
          <w:rFonts w:ascii="Arial" w:hAnsi="Arial"/>
          <w:sz w:val="20"/>
          <w:szCs w:val="20"/>
        </w:rPr>
        <w:t xml:space="preserve"> </w:t>
      </w:r>
      <w:r>
        <w:rPr>
          <w:rFonts w:ascii="Arial" w:hAnsi="Arial" w:hint="default"/>
          <w:sz w:val="20"/>
          <w:szCs w:val="20"/>
        </w:rPr>
        <w:t>Chen, W., Zhang, L., Jiang, P., Meng, F., &amp; Sun, Q. (2022). Can digital transformation improve the information environment of the capital market? Evidence from the analysts' predicti</w:t>
      </w:r>
      <w:r>
        <w:rPr>
          <w:rFonts w:ascii="Arial" w:hAnsi="Arial" w:hint="default"/>
          <w:sz w:val="20"/>
          <w:szCs w:val="20"/>
        </w:rPr>
        <w:t xml:space="preserve">on </w:t>
      </w:r>
      <w:proofErr w:type="spellStart"/>
      <w:r>
        <w:rPr>
          <w:rFonts w:ascii="Arial" w:hAnsi="Arial" w:hint="default"/>
          <w:sz w:val="20"/>
          <w:szCs w:val="20"/>
        </w:rPr>
        <w:t>behaviour</w:t>
      </w:r>
      <w:proofErr w:type="spellEnd"/>
      <w:r>
        <w:rPr>
          <w:rFonts w:ascii="Arial" w:hAnsi="Arial" w:hint="default"/>
          <w:sz w:val="20"/>
          <w:szCs w:val="20"/>
        </w:rPr>
        <w:t>. Accounting &amp; Finance, 62(2), 2543-2578.</w:t>
      </w:r>
    </w:p>
    <w:p w14:paraId="06F8849A" w14:textId="77777777" w:rsidR="0008758D" w:rsidRDefault="0008758D"/>
    <w:p w14:paraId="0703BB80" w14:textId="77777777" w:rsidR="0008758D" w:rsidRDefault="0008758D"/>
    <w:sectPr w:rsidR="000875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6B1C" w14:textId="77777777" w:rsidR="00127F5C" w:rsidRDefault="00127F5C">
      <w:r>
        <w:separator/>
      </w:r>
    </w:p>
  </w:endnote>
  <w:endnote w:type="continuationSeparator" w:id="0">
    <w:p w14:paraId="1EAAC911" w14:textId="77777777" w:rsidR="00127F5C" w:rsidRDefault="0012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ogle Sans">
    <w:altName w:val="Segoe Print"/>
    <w:charset w:val="00"/>
    <w:family w:val="auto"/>
    <w:pitch w:val="default"/>
  </w:font>
  <w:font w:name="Google Sans Tex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DA70" w14:textId="77777777" w:rsidR="00F63925" w:rsidRDefault="00F6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7320" w14:textId="77777777" w:rsidR="0008758D" w:rsidRDefault="00127F5C">
    <w:pPr>
      <w:pStyle w:val="Footer"/>
    </w:pPr>
    <w:r>
      <w:rPr>
        <w:noProof/>
      </w:rPr>
      <mc:AlternateContent>
        <mc:Choice Requires="wps">
          <w:drawing>
            <wp:anchor distT="0" distB="0" distL="114300" distR="114300" simplePos="0" relativeHeight="251660288" behindDoc="0" locked="0" layoutInCell="1" allowOverlap="1" wp14:anchorId="5FDC287A" wp14:editId="1C09C51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AA24" w14:textId="77777777" w:rsidR="0008758D" w:rsidRDefault="00127F5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DC287A"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3DD9AA24" w14:textId="77777777" w:rsidR="0008758D" w:rsidRDefault="00127F5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BDAA" w14:textId="77777777" w:rsidR="00F63925" w:rsidRDefault="00F6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286E" w14:textId="77777777" w:rsidR="00127F5C" w:rsidRDefault="00127F5C">
      <w:r>
        <w:separator/>
      </w:r>
    </w:p>
  </w:footnote>
  <w:footnote w:type="continuationSeparator" w:id="0">
    <w:p w14:paraId="45D36A6C" w14:textId="77777777" w:rsidR="00127F5C" w:rsidRDefault="0012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62EC" w14:textId="5519823B" w:rsidR="00F63925" w:rsidRDefault="00F63925">
    <w:pPr>
      <w:pStyle w:val="Header"/>
    </w:pPr>
    <w:r>
      <w:rPr>
        <w:noProof/>
      </w:rPr>
      <w:pict w14:anchorId="7A9F8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6" o:spid="_x0000_s2050" type="#_x0000_t136" style="position:absolute;margin-left:0;margin-top:0;width:592.85pt;height:66.9pt;rotation:315;z-index:-25165209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50EF" w14:textId="20C1C083" w:rsidR="00F63925" w:rsidRDefault="00F63925">
    <w:pPr>
      <w:pStyle w:val="Header"/>
    </w:pPr>
    <w:r>
      <w:rPr>
        <w:noProof/>
      </w:rPr>
      <w:pict w14:anchorId="4B79F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7" o:spid="_x0000_s2051" type="#_x0000_t136" style="position:absolute;margin-left:0;margin-top:0;width:592.85pt;height:66.9pt;rotation:315;z-index:-25165004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F9F4" w14:textId="3FA2A0A7" w:rsidR="00F63925" w:rsidRDefault="00F63925">
    <w:pPr>
      <w:pStyle w:val="Header"/>
    </w:pPr>
    <w:r>
      <w:rPr>
        <w:noProof/>
      </w:rPr>
      <w:pict w14:anchorId="61EF9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236625" o:spid="_x0000_s2049" type="#_x0000_t136" style="position:absolute;margin-left:0;margin-top:0;width:592.85pt;height:66.9pt;rotation:315;z-index:-25165414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109CCC"/>
    <w:multiLevelType w:val="singleLevel"/>
    <w:tmpl w:val="8E109CCC"/>
    <w:lvl w:ilvl="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0864CCD"/>
    <w:rsid w:val="0008758D"/>
    <w:rsid w:val="00127F5C"/>
    <w:rsid w:val="00134D9D"/>
    <w:rsid w:val="00402E51"/>
    <w:rsid w:val="004563EF"/>
    <w:rsid w:val="00542D7F"/>
    <w:rsid w:val="0056545C"/>
    <w:rsid w:val="00674C07"/>
    <w:rsid w:val="006A6D6F"/>
    <w:rsid w:val="00B9018A"/>
    <w:rsid w:val="00B969A7"/>
    <w:rsid w:val="00BB4F60"/>
    <w:rsid w:val="00E67C3D"/>
    <w:rsid w:val="00E702BD"/>
    <w:rsid w:val="00F63925"/>
    <w:rsid w:val="10864CCD"/>
    <w:rsid w:val="207847DD"/>
    <w:rsid w:val="6958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38A6C61"/>
  <w15:docId w15:val="{6EC3E723-CB7D-4FF2-BBDA-F85D3749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rial" w:eastAsia="Arial" w:hAnsi="Arial" w:cs="Arial"/>
      <w:sz w:val="22"/>
      <w:szCs w:val="22"/>
    </w:rPr>
  </w:style>
  <w:style w:type="paragraph" w:styleId="Heading1">
    <w:name w:val="heading 1"/>
    <w:next w:val="Normal"/>
    <w:qFormat/>
    <w:pPr>
      <w:widowControl w:val="0"/>
      <w:tabs>
        <w:tab w:val="left" w:pos="3600"/>
        <w:tab w:val="center" w:pos="4677"/>
      </w:tabs>
      <w:adjustRightInd w:val="0"/>
      <w:spacing w:line="360" w:lineRule="auto"/>
      <w:outlineLvl w:val="0"/>
    </w:pPr>
    <w:rPr>
      <w:rFonts w:eastAsia="SimHei"/>
      <w:kern w:val="2"/>
      <w:sz w:val="32"/>
      <w:szCs w:val="32"/>
    </w:rPr>
  </w:style>
  <w:style w:type="paragraph" w:styleId="Heading2">
    <w:name w:val="heading 2"/>
    <w:next w:val="Normal"/>
    <w:qFormat/>
    <w:pPr>
      <w:widowControl w:val="0"/>
      <w:adjustRightInd w:val="0"/>
      <w:spacing w:line="360" w:lineRule="auto"/>
      <w:outlineLvl w:val="1"/>
    </w:pPr>
    <w:rPr>
      <w:rFonts w:eastAsia="SimHei"/>
      <w:kern w:val="2"/>
      <w:sz w:val="30"/>
      <w:szCs w:val="30"/>
    </w:rPr>
  </w:style>
  <w:style w:type="paragraph" w:styleId="Heading3">
    <w:name w:val="heading 3"/>
    <w:next w:val="Normal"/>
    <w:qFormat/>
    <w:pPr>
      <w:widowControl w:val="0"/>
      <w:adjustRightInd w:val="0"/>
      <w:spacing w:line="360" w:lineRule="auto"/>
      <w:outlineLvl w:val="2"/>
    </w:pPr>
    <w:rPr>
      <w:rFonts w:eastAsia="SimHei"/>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153"/>
        <w:tab w:val="right" w:pos="8306"/>
      </w:tabs>
      <w:snapToGrid w:val="0"/>
    </w:pPr>
    <w:rPr>
      <w:sz w:val="18"/>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a">
    <w:name w:val="英文摘要正文"/>
    <w:next w:val="Normal"/>
    <w:qFormat/>
    <w:pPr>
      <w:widowControl w:val="0"/>
      <w:adjustRightInd w:val="0"/>
      <w:spacing w:line="360" w:lineRule="auto"/>
      <w:ind w:firstLineChars="200" w:firstLine="480"/>
      <w:jc w:val="both"/>
    </w:pPr>
    <w:rPr>
      <w:kern w:val="2"/>
      <w:sz w:val="24"/>
      <w:szCs w:val="24"/>
    </w:rPr>
  </w:style>
  <w:style w:type="paragraph" w:customStyle="1" w:styleId="Body">
    <w:name w:val="Body"/>
    <w:basedOn w:val="Normal"/>
    <w:qFormat/>
    <w:pPr>
      <w:spacing w:after="240"/>
      <w:jc w:val="both"/>
    </w:pPr>
  </w:style>
  <w:style w:type="paragraph" w:customStyle="1" w:styleId="1">
    <w:name w:val="论文正文1"/>
    <w:basedOn w:val="Normal"/>
    <w:next w:val="Normal"/>
    <w:qFormat/>
    <w:pPr>
      <w:spacing w:before="120" w:after="120" w:line="312" w:lineRule="auto"/>
      <w:ind w:firstLineChars="200" w:firstLine="720"/>
      <w:jc w:val="both"/>
    </w:pPr>
    <w:rPr>
      <w:rFonts w:ascii="Times New Roman" w:eastAsia="SimSun" w:hAnsi="Times New Roman"/>
      <w:lang w:eastAsia="zh-CN"/>
    </w:rPr>
  </w:style>
  <w:style w:type="paragraph" w:customStyle="1" w:styleId="ReferHead">
    <w:name w:val="Refer Head"/>
    <w:basedOn w:val="MainHead"/>
    <w:qFormat/>
  </w:style>
  <w:style w:type="paragraph" w:customStyle="1" w:styleId="a0">
    <w:name w:val="参考文献"/>
    <w:basedOn w:val="Normal"/>
    <w:qFormat/>
    <w:pPr>
      <w:spacing w:line="312" w:lineRule="auto"/>
    </w:pPr>
    <w:rPr>
      <w:rFonts w:ascii="Times New Roman" w:eastAsia="SimSun" w:hAnsi="Times New Roman" w:hint="eastAsia"/>
      <w:sz w:val="18"/>
      <w:lang w:eastAsia="zh-CN"/>
    </w:rPr>
  </w:style>
  <w:style w:type="paragraph" w:customStyle="1" w:styleId="AcknHead">
    <w:name w:val="Ackn Head"/>
    <w:basedOn w:val="MainHead"/>
    <w:qFormat/>
  </w:style>
  <w:style w:type="character" w:styleId="Hyperlink">
    <w:name w:val="Hyperlink"/>
    <w:basedOn w:val="DefaultParagraphFont"/>
    <w:rsid w:val="00E702BD"/>
    <w:rPr>
      <w:color w:val="0026E5" w:themeColor="hyperlink"/>
      <w:u w:val="single"/>
    </w:rPr>
  </w:style>
  <w:style w:type="character" w:styleId="UnresolvedMention">
    <w:name w:val="Unresolved Mention"/>
    <w:basedOn w:val="DefaultParagraphFont"/>
    <w:uiPriority w:val="99"/>
    <w:semiHidden/>
    <w:unhideWhenUsed/>
    <w:rsid w:val="00E702BD"/>
    <w:rPr>
      <w:color w:val="605E5C"/>
      <w:shd w:val="clear" w:color="auto" w:fill="E1DFDD"/>
    </w:rPr>
  </w:style>
  <w:style w:type="paragraph" w:styleId="Header">
    <w:name w:val="header"/>
    <w:basedOn w:val="Normal"/>
    <w:link w:val="HeaderChar"/>
    <w:rsid w:val="00F63925"/>
    <w:pPr>
      <w:tabs>
        <w:tab w:val="center" w:pos="4680"/>
        <w:tab w:val="right" w:pos="9360"/>
      </w:tabs>
    </w:pPr>
  </w:style>
  <w:style w:type="character" w:customStyle="1" w:styleId="HeaderChar">
    <w:name w:val="Header Char"/>
    <w:basedOn w:val="DefaultParagraphFont"/>
    <w:link w:val="Header"/>
    <w:rsid w:val="00F6392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8481</Words>
  <Characters>48342</Characters>
  <Application>Microsoft Office Word</Application>
  <DocSecurity>0</DocSecurity>
  <Lines>402</Lines>
  <Paragraphs>113</Paragraphs>
  <ScaleCrop>false</ScaleCrop>
  <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dc:creator>
  <cp:lastModifiedBy>SDI 1084</cp:lastModifiedBy>
  <cp:revision>16</cp:revision>
  <dcterms:created xsi:type="dcterms:W3CDTF">2026-05-01T08:04:00Z</dcterms:created>
  <dcterms:modified xsi:type="dcterms:W3CDTF">2026-05-02T13:32:00Z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45539C0A06374C0BABDFE397524C99B0_11</vt:lpwstr>
  </property>
  <property fmtid="{D5CDD505-2E9C-101B-9397-08002B2CF9AE}" pid="4" name="KSOTemplateDocerSaveRecord">
    <vt:lpwstr>eyJoZGlkIjoiMzNmZGQ1ODExZmNkZmZkNWI3OTkyYWVmMGQ2YjQ0YzIiLCJ1c2VySWQiOiI2Njg1MTc0MTgifQ==</vt:lpwstr>
  </property>
</Properties>
</file>