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BAC" w:rsidRPr="00CF2BAC" w:rsidRDefault="00CF2BAC" w:rsidP="00CF2BA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F2BAC">
        <w:rPr>
          <w:rFonts w:ascii="Times New Roman" w:eastAsia="Times New Roman" w:hAnsi="Times New Roman" w:cs="Times New Roman"/>
          <w:b/>
          <w:bCs/>
          <w:sz w:val="36"/>
          <w:szCs w:val="36"/>
          <w:lang w:val="en-US"/>
        </w:rPr>
        <w:t>Effectiveness and Safety of Single Antiplatelet Therapy Versus Dual Antiplatelet Therapy in Patients with Acute Coronary Syndrome Following Percutaneous Coronary Intervention: A Narrative Review</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Abstract</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Antiplatelet therapy forms the cornerstone of pharmacological management following percutaneous coronary intervention (PCI) in patients with acute coronary syndrome (ACS). For decades, dual antiplatelet therapy (DAPT) — conventionally comprising aspirin combined with a P2Y12 receptor inhibitor — has represented the standard of care, underpinned by robust evidence demonstrating reductions in major adverse cardiovascular events. However, sustained dual antiplatelet therapy inevitably increases the risk of clinically significant bleeding, which is itself associated with elevated mortali</w:t>
      </w:r>
      <w:bookmarkStart w:id="0" w:name="_GoBack"/>
      <w:bookmarkEnd w:id="0"/>
      <w:r w:rsidRPr="00CF2BAC">
        <w:rPr>
          <w:rFonts w:ascii="Times New Roman" w:eastAsia="Times New Roman" w:hAnsi="Times New Roman" w:cs="Times New Roman"/>
          <w:sz w:val="24"/>
          <w:szCs w:val="24"/>
          <w:lang w:val="en-US"/>
        </w:rPr>
        <w:t>ty, prolonged hospitalisation, and impaired quality of life. This tension has catalysed growing interest in strategies that involve earlier transition to single antiplatelet therapy (SAPT), thereby reducing haemorrhagic exposure without substantially compromising ischaemic protection. This narrative review evaluates the comparative effectiveness and safety of SAPT versus DAPT in ACS patients following PCI, drawing on evidence from major randomised controlled trials, meta-analyses, and contemporary clinical guidelines. The review examines the pathophysiological rationale for antiplatelet therapy, the pharmacology of relevant agents, the role of risk stratification tools, and the ischaemic and haemorrhagic outcomes associated with abbreviated or single-agent approaches. Evidence from pivotal trials — including TWILIGHT, SMART-CHOICE, STOPDAPT-2, TICO, MASTER DAPT, and HOST-EXAM — is synthesised alongside guideline recommendations from the European Society of Cardiology and the American College of Cardiology/American Heart Association. The available data indicate that, in carefully selected patients — particularly those at elevated haemorrhagic risk — transition to SAPT after one to three months of DAPT can achieve a favourable balance between ischaemic efficacy and bleeding safety. Individual patient characteristics, stent type, clinical presentation, and comorbidities must nonetheless continue to inform clinical decision-making in this nuanced domain.</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b/>
          <w:bCs/>
          <w:sz w:val="24"/>
          <w:szCs w:val="24"/>
          <w:lang w:val="en-US"/>
        </w:rPr>
        <w:t>Keywords:</w:t>
      </w:r>
      <w:r w:rsidRPr="00CF2BAC">
        <w:rPr>
          <w:rFonts w:ascii="Times New Roman" w:eastAsia="Times New Roman" w:hAnsi="Times New Roman" w:cs="Times New Roman"/>
          <w:sz w:val="24"/>
          <w:szCs w:val="24"/>
          <w:lang w:val="en-US"/>
        </w:rPr>
        <w:t xml:space="preserve"> dual antiplatelet therapy; single antiplatelet therapy; percutaneous coronary intervention; acute coronary syndrome; P2Y12 inhibitor; ticagrelor; aspirin; bleeding risk; ischaemic events; de-escalation</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 Introduction</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1.1 Background and Clinical Context</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Acute coronary syndrome encompasses a spectrum of life-threatening cardiac conditions — including unstable angina, non-ST-segment elevation myocardial infarction (NSTEMI), and ST-segment elevation myocardial infarction (STEMI) — that collectively represent a leading cause of morbidity and mortality in both developed and developing countries. Percutaneous </w:t>
      </w:r>
      <w:r w:rsidRPr="00CF2BAC">
        <w:rPr>
          <w:rFonts w:ascii="Times New Roman" w:eastAsia="Times New Roman" w:hAnsi="Times New Roman" w:cs="Times New Roman"/>
          <w:sz w:val="24"/>
          <w:szCs w:val="24"/>
          <w:lang w:val="en-US"/>
        </w:rPr>
        <w:lastRenderedPageBreak/>
        <w:t>coronary intervention has become the preferred revascularisation strategy for most patients with ACS, offering rapid restoration of coronary blood flow with acceptable procedural risk. The deployment of coronary stents, however, introduces a foreign surface that potently activates the coagulation cascade and platelet aggregation, rendering patients vulnerable to stent thrombosis in the period following the procedure (Furie &amp; Furie, 2008). This risk is highest in the immediate post-procedural days and declines progressively thereafter as the stent struts become endothelialised. The prevention of thrombotic complications while simultaneously minimising haemorrhagic exposure has consequently become one of the defining challenges of contemporary cardiovascular pharmacotherapy, and it is within this context that the relative merits of single versus dual antiplatelet therapy have assumed such clinical prominence.</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 Evolution of Antiplatelet Therapy in ACS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dual antiplatelet therapy paradigm — combining aspirin with a P2Y12 receptor inhibitor — was established as standard post-PCI care following the landmark CURE trial (Yusuf et al., 2001), which demonstrated that clopidogrel in addition to aspirin significantly reduced the composite of cardiovascular death, myocardial infarction (MI), and stroke in patients with ACS. Subsequent pivotal trials further refined the choice of P2Y12 inhibitor. The TRITON-TIMI 38 trial showed that prasugrel was superior to clopidogrel for reducing ischaemic events in ACS patients undergoing PCI, though at the cost of significantly more major bleeding (Wiviott et al., 2007). Ticagrelor, evaluated in the PLATO trial, demonstrated both superior ischaemic efficacy and a reduction in cardiovascular mortality compared with clopidogrel across the ACS spectrum (Wallentin et al., 2009). These findings prompted guideline recommendations preferring the newer, more potent P2Y12 inhibitors over clopidogrel in ACS patients eligible for PCI.</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Alongside advances in pharmacotherapy, the introduction of second-generation drug-eluting stents (DES) substantially improved stent biocompatibility and reduced the risk of very late stent thrombosis relative to first-generation devices (Ibanez et al., 2018). This evolution prompted a reassessment of DAPT duration requirements, and large-scale trials confirmed that prolonged dual therapy does not uniformly confer clinical benefit across all patient profiles (Mauri et al., 2014). As bleeding complications came to be recognised as independent determinants of adverse prognosis following PCI (Valgimigli et al., 2018), clinicians increasingly sought to individualise antiplatelet management. This effort prompted the development of validated risk stratification instruments — including the DAPT score (Yeh et al., 2016), the PRECISE-DAPT score (Costa et al., 2017), and the Academic Research Consortium for High Bleeding Risk (ARC-HBR) criteria (Urban et al., 2019) — and generated a substantial body of evidence evaluating the safety and efficacy of abbreviated DAPT followed by SAPT.</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1.3 Scope and Objectives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This narrative review aims to provide a comprehensive and critical synthesis of the current evidence comparing SAPT and DAPT in adult patients with ACS who have undergone PCI. The specific objectives are: first, to outline the pathophysiological rationale underpinning antiplatelet therapy following PCI; second, to describe the pharmacological characteristics of aspirin and P2Y12 inhibitors used in SAPT and DAPT; third, to critically evaluate evidence from major clinical trials examining ischaemic and haemorrhagic outcomes with SAPT versus DAPT strategies; fourth, to assess the role of risk stratification tools in guiding de-</w:t>
      </w:r>
      <w:r w:rsidRPr="00CF2BAC">
        <w:rPr>
          <w:rFonts w:ascii="Times New Roman" w:eastAsia="Times New Roman" w:hAnsi="Times New Roman" w:cs="Times New Roman"/>
          <w:sz w:val="24"/>
          <w:szCs w:val="24"/>
          <w:lang w:val="en-US"/>
        </w:rPr>
        <w:lastRenderedPageBreak/>
        <w:t>escalation decisions; fifth, to examine the evidence in special populations including elderly patients, those requiring oral anticoagulation, and high-bleeding-risk cohorts; and sixth, to discuss emerging strategies and identify current knowledge gaps relevant to future clinical and research priorities.</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2. Methods for Literature Selection</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To identify relevant literature for this narrative review, a structured search of multiple electronic databases was conducted, covering publications from January 2006 to March 2024. The principal databases searched were PubMed/MEDLINE, Scopus, Web of Science, Google Scholar, and the Cochrane Central Register of Controlled Trials (CENTRAL). Given the cardiovascular and pharmacotherapeutic scope of the topic, supplementary field-specific databases were also consulted: the European Society of Cardiology (ESC) Clinical Practice Guidelines repository, the American College of Cardiology (ACC) Clinical Documents library, ClinicalTrials.gov (for trial registration details and result summaries), and the TIMI Study Group publications archive.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Search strings were constructed using combinations of Medical Subject Headings (MeSH) terms and free-text keywords, including: "acute coronary syndrome AND antiplatelet therapy," "percutaneous coronary intervention AND dual antiplatelet therapy," "DAPT de-escalation," "ticagrelor monotherapy AND PCI," "single antiplatelet therapy AND stent," "P2Y12 inhibitor monotherapy," "aspirin monotherapy after PCI," "bleeding risk AND DAPT duration," and "high bleeding risk AND coronary stent." Boolean operators (AND, OR) were applied to combine and refine searches. Date filters restricted the primary evidence base to publications from 2006 onwards. Foundational studies published before this period — notably the CURE trial (Yusuf et al., 2001) — were retained as supplementary historical references given their seminal importance to the field.</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Studies were eligible for inclusion if they were published in peer-reviewed, English-language journals; involved adult patients (aged ≥18 years) with a confirmed ACS diagnosis who had undergone PCI; and reported clinically relevant ischaemic outcomes (death, MI, stent thrombosis, or stroke) and/or haemorrhagic outcomes as defined by validated bleeding classifications. Randomised controlled trials (RCTs), prospective and retrospective cohort studies, systematic reviews, meta-analyses, and guideline documents were all considered. Studies were excluded if they were conference abstracts without full-text publication, grey literature, book chapters, patents, or trade press articles. Studies restricted to stable coronary artery disease without an ACS component, or those reporting exclusively on antiplatelet therapy in peripheral or cerebrovascular disease, were also excluded. No upper limit was placed on total references, and classic older journal articles were included as supplementary references where their methodological or historical significance warranted it.</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Titles and abstracts were screened for relevance following database searches; full texts were retrieved for those meeting preliminary criteria. Duplicate records identified across databases were removed manually. Where multiple publications described the same trial, the primary results paper was selected as the principal citation, supplemented by key secondary or subgroup analyses where these added substantive clinical information. The final reference corpus was enriched through forward and backward citation chasing from key included articles, capturing influential publications not identified through initial database searches.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A narrative rather than systematic review approach was adopted for several methodologically grounded reasons. The breadth of the clinical question — spanning diverse patient populations, varying DAPT durations, different P2Y12 inhibitors, heterogeneous outcome definitions, and evolving stent technology — introduces substantial clinical and statistical heterogeneity that limits the validity of a single pooled treatment effect estimate. The overarching aim is to integrate mechanistic, pharmacological, clinical trial, risk stratification, and guideline-level evidence into a coherent interpretive narrative that supports clinical reasoning. As Baethge et al. (2019) have noted, narrative reviews are well suited to synthesising evidence across multiple dimensions of a complex clinical question when the primary objective is contextualised understanding rather than a quantitative pooled estimate. This approach allows for more nuanced discussion of subgroup effects, special populations, and emerging strategies that resist reduction to a single aggregate metric.</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3. Pathophysiology of Acute Coronary Syndrome and the Role of Platelets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pathophysiological substrate of ACS in the majority of cases is the rupture or erosion of a vulnerable coronary atherosclerotic plaque, exposing subendothelial collagen, von Willebrand factor, and tissue factor to circulating blood. Platelet adhesion is the first response to this disruption: glycoprotein Ib-IX-V receptors on the platelet surface bind immobilised von Willebrand factor, whilst glycoprotein VI directly recognises exposed collagen, enabling firm platelet adhesion to the damaged vessel wall (Furie &amp; Furie, 2008). This initial adhesion event activates intracellular signalling pathways that promote platelet shape change, granule secretion, and the release of potent secondary activators. Adenosine diphosphate (ADP), liberated from dense granules and damaged erythrocytes, binds to the P2Y12 receptor on adjacent platelets, driving a powerful amplification loop of further activation and aggregation. Thromboxane A₂, synthesised via the cyclo-oxygenase-1 (COX-1) pathway, acts through its own receptor to consolidate platelet activation and vasoconstriction. The coagulation cascade, simultaneously triggered through the tissue factor/factor VIIa pathway, generates thrombin — a potent platelet activator and the principal stimulus for fibrin polymerisation — yielding the mixed platelet-fibrin thrombus that underlies the obstructive coronary lesion clinically manifest as ACS (Furie &amp; Furie, 2008).</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Percutaneous coronary intervention, while highly effective in restoring vessel patency, inevitably disrupts the coronary wall and introduces a metallic stent scaffold that further stimulates platelet adhesion and aggregation during the initial healing period. The thrombogenic risk is highest in the early post-implantation days and weeks, before re-endothelialisation of stent struts is complete (Ibanez et al., 2018). This mechanistic context provides the fundamental rationale for DAPT following PCI: aspirin-mediated inhibition of COX-1 and P2Y12 inhibitor-mediated blockade of ADP-driven amplification address complementary pathways in the platelet activation cascade, and their combined use provides substantially greater protection against stent thrombosis than either agent alone (Yusuf et al., 2001; Wiviott et al., 2007; Wallentin et al., 2009).</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Crucially, the intensity of thrombogenic risk following PCI is not static. As endothelialisation progresses, stent-specific thrombosis risk declines, and the dominant mechanism of late ischaemic events gradually shifts from acute stent thrombosis towards progressive atherosclerosis and plaque events remote from the stent itself (Valgimigli et al., 2018). This temporal evolution of risk has important implications for antiplatelet strategy: the biological </w:t>
      </w:r>
      <w:r w:rsidRPr="00CF2BAC">
        <w:rPr>
          <w:rFonts w:ascii="Times New Roman" w:eastAsia="Times New Roman" w:hAnsi="Times New Roman" w:cs="Times New Roman"/>
          <w:sz w:val="24"/>
          <w:szCs w:val="24"/>
          <w:lang w:val="en-US"/>
        </w:rPr>
        <w:lastRenderedPageBreak/>
        <w:t>justification for potent dual inhibition is strongest in the immediate post-procedural period and weakens progressively over time, whereas the cumulative haemorrhagic burden of two antiplatelet agents increases with duration of therapy. It is this dynamic risk-benefit interplay that underpins the clinical rationale for de-escalation strategies, including early transition to SAPT.</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4. Pharmacology of Antiplatelet Agents Used in Post-PCI Management</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4.1 Aspirin</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Aspirin exerts its antiplatelet effect through the irreversible acetylation of cyclo-oxygenase-1 in platelets, permanently suppressing the conversion of arachidonic acid to thromboxane A₂. Because mature platelets lack a nucleus and cannot synthesise new COX-1 protein, the inhibitory effect of a single dose of aspirin persists for the entire lifespan of the platelet — approximately seven to ten days (Levine et al., 2016). At low doses (typically 75–100 mg daily), aspirin achieves near-complete COX-1 inhibition with relatively modest effects on prostacyclin synthesis in vascular endothelial cells, partially preserving the vasodilatory and antithrombotic properties of endothelium-derived prostacyclin. Aspirin has been the foundation of antiplatelet therapy in cardiovascular disease for several decades and has a well-established record of reducing atherothrombotic events in patients undergoing PCI (Yusuf et al., 2001).</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4.2 P2Y12 Receptor Inhibitors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P2Y12 receptor, a G-protein-coupled receptor located on the platelet surface, mediates the critical amplification of platelet aggregation in response to ADP. Three P2Y12 inhibitors are currently used in clinical practice following ACS-PCI: clopidogrel, prasugrel, and ticagrelor.</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Clopidogrel is a thienopyridine prodrug requiring hepatic biotransformation — principally via CYP2C19 — to its active thiol metabolite, which then irreversibly alkylates the P2Y12 receptor. This metabolic dependency introduces clinically meaningful variability in platelet inhibition: patients carrying loss-of-function CYP2C19 alleles achieve substantially attenuated platelet inhibition and face elevated ischaemic risk on standard clopidogrel dosing (Mehta et al., 2018). Prasugrel, also a thienopyridine prodrug, undergoes more efficient and predictable hepatic activation, providing faster onset, more consistent, and more potent P2Y12 inhibition than clopidogrel. In the TRITON-TIMI 38 trial, prasugrel reduced the composite of cardiovascular death, MI, and stroke by 19% relative to clopidogrel in ACS patients undergoing PCI, but was associated with a 32% increase in TIMI major bleeding unrelated to coronary artery bypass grafting (Wiviott et al., 2007). Ticagrelor, a direct-acting, reversible P2Y12 antagonist of the cyclopentyl-triazolo-pyrimidine class, does not require metabolic activation and achieves faster, more predictable, and more potent platelet inhibition than clopidogrel. Its reversibility results in more rapid platelet function recovery after discontinuation compared with irreversible thienopyridines — a pharmacokinetic property with relevant surgical implications (Gurbel et al., 2009). In the PLATO trial, ticagrelor reduced the primary composite endpoint of cardiovascular death, MI, or stroke by 16% compared with clopidogrel in ACS patients managed with or without PCI, and uniquely </w:t>
      </w:r>
      <w:r w:rsidRPr="00CF2BAC">
        <w:rPr>
          <w:rFonts w:ascii="Times New Roman" w:eastAsia="Times New Roman" w:hAnsi="Times New Roman" w:cs="Times New Roman"/>
          <w:sz w:val="24"/>
          <w:szCs w:val="24"/>
          <w:lang w:val="en-US"/>
        </w:rPr>
        <w:lastRenderedPageBreak/>
        <w:t>demonstrated a significant reduction in cardiovascular and all-cause mortality (Wallentin et al., 2009).</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4.3 Clinical Implications of Pharmacological Differences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pharmacological characteristics of P2Y12 inhibitors carry direct and important clinical consequences. The superior potency of ticagrelor and prasugrel translates into greater ischaemic protection compared with clopidogrel, but is accompanied by a higher bleeding burden, particularly with prasugrel in patients aged over 75 years, those with low body weight, or those with a history of stroke or transient ischaemic attack (Wiviott et al., 2007). Clopidogrel's greater pharmacodynamic variability, whilst limiting its efficacy in high-risk ACS populations, may render it a more acceptable option when de-escalating therapy in patients at elevated haemorrhagic risk who nevertheless require continued P2Y12 inhibition. The pharmacokinetic reversibility of ticagrelor, meanwhile, makes it an attractive candidate for SAPT strategies, since platelet function recovers more predictably following discontinuation and the drug can be transitioned from the DAPT phase to monotherapy without complete withdrawal of P2Y12 inhibition (Gurbel et al., 2009). These pharmacological distinctions directly inform the de-escalation strategies evaluated in subsequent sections of this review.</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5. Dual Antiplatelet Therapy: Evidence Base and Guideline Recommendations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5.1 Landmark Trials Establishing the DAPT Standard</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clinical foundation for DAPT in ACS was laid by the CURE trial, in which clopidogrel added to aspirin reduced the composite of cardiovascular death, MI, or stroke by 20% over a mean nine-month follow-up in patients with NSTE-ACS, albeit with a 38% relative increase in major bleeding (Yusuf et al., 2001). The TRITON-TIMI 38 and PLATO trials subsequently demonstrated that replacing clopidogrel with prasugrel or ticagrelor, respectively, further reduced ischaemic events in ACS patients treated with PCI (Wiviott et al., 2007; Wallentin et al., 2009), shifting guideline recommendations towards preferential use of these more potent agents in eligible patients. The durable superiority of ticagrelor and prasugrel over clopidogrel in the ACS-PCI setting has been consistently confirmed in subsequent reviews and syntheses of the evidence (Capodanno et al., 2020).</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question of optimal DAPT duration was addressed in several important trials. The DAPT trial randomised patients who had tolerated 12 months of DAPT after DES implantation — a minority of whom had ACS at presentation — to continued DAPT or placebo for an additional 18 months, and found that prolonged DAPT significantly reduced stent thrombosis and major adverse cardiovascular events but substantially increased major bleeding, including a statistically significant increase in non-cardiovascular mortality (Mauri et al., 2014). These nuanced findings underscored that extended DAPT is not a uniformly beneficial strategy and that patient selection is paramount.</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5.2 Contemporary Guideline Recommendations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2023 ESC guidelines on the management of ACS recommend, for most patients with ACS undergoing PCI, 12 months of DAPT using ticagrelor or prasugrel combined with low-</w:t>
      </w:r>
      <w:r w:rsidRPr="00CF2BAC">
        <w:rPr>
          <w:rFonts w:ascii="Times New Roman" w:eastAsia="Times New Roman" w:hAnsi="Times New Roman" w:cs="Times New Roman"/>
          <w:sz w:val="24"/>
          <w:szCs w:val="24"/>
          <w:lang w:val="en-US"/>
        </w:rPr>
        <w:lastRenderedPageBreak/>
        <w:t>dose aspirin as the default strategy, with recognition that this duration may be shortened or extended according to individual ischaemic and haemorrhagic risk profiles (Byrne et al., 2023). For patients at high bleeding risk — as defined by ARC-HBR criteria — a reduced DAPT duration of one to three months followed by P2Y12 inhibitor monotherapy is explicitly endorsed, a recommendation supported by Class I evidence in contemporary guidelines (Byrne et al., 2023). Earlier ACC/AHA-endorsed guidance similarly recognised the appropriateness of shorter DAPT durations in selected high-bleeding-risk patients and recommended individualised risk assessment to determine optimal treatment duration (Levine et al., 2016). This convergence of major guideline recommendations reflects the evolution of evidence in support of individualised antiplatelet strategies, as outlined in subsequent sections.</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6. Transition to Single Antiplatelet Therapy: Rationale and Strategies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6.1 The Ischaemia-Bleeding Trade-off</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central tension in post-PCI antiplatelet therapy is that the agents providing the most potent protection against ischaemic events also confer the greatest haemorrhagic risk. Bleeding following PCI is not a benign endpoint: major haemorrhage is independently associated with subsequent MI, stent thrombosis, and mortality, in part because it frequently necessitates premature antiplatelet discontinuation (Valgimigli et al., 2018). In the PLATO trial, patients who experienced major bleeding events during ticagrelor therapy had substantially higher subsequent mortality, suggesting that bleeding and ischaemic complications are dynamically interrelated rather than simply competing risks (Wallentin et al., 2009). This recognition has stimulated investigation of strategies that confine the period of dual inhibition to the highest-risk phase following PCI — typically the first one to three months — before transitioning to monotherapy with a single potent agent.</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6.2 De-escalation Strategies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De-escalation of antiplatelet therapy following ACS-PCI broadly encompasses two approaches: first, reducing the potency of the P2Y12 inhibitor whilst maintaining dual therapy (for instance, switching from ticagrelor to clopidogrel); and second, discontinuing one component of dual therapy, typically aspirin, to leave the patient on P2Y12 inhibitor monotherapy. This review focuses primarily on the latter strategy — the transition to SAPT — which is the subject of the most contemporary trial evidence. The TROPICAL-ACS trial, which evaluated pharmacodynamically guided de-escalation from prasugrel to clopidogrel using platelet function testing, demonstrated that guided de-escalation was non-inferior to continued prasugrel in terms of the primary net clinical endpoint and was associated with reduced bleeding (Sibbing et al., 2017). This trial established an important precedent for the feasibility and safety of de-escalation strategies in ACS patients after PCI, informing subsequent SAPT trials.</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7. Evidence from Major Trials Evaluating Single Antiplatelet Therapy Following PCI</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lastRenderedPageBreak/>
        <w:t>7.1 The TWILIGHT Trial</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TWILIGHT trial represents the most influential and methodologically rigorous evaluation of ticagrelor monotherapy following a brief period of DAPT in patients at high ischaemic or haemorrhagic risk. In this multicentre, double-blind, placebo-controlled RCT, 7,119 patients who had tolerated three months of DAPT with ticagrelor and aspirin after PCI were randomised to continue DAPT or receive ticagrelor plus placebo (ticagrelor monotherapy) for a further 12 months. The primary outcome — BARC type 2, 3, or 5 bleeding — was significantly lower with ticagrelor monotherapy: 4.0% versus 7.1%, representing a 44% relative risk reduction (hazard ratio [HR] 0.56; 95% CI: 0.45–0.68; p&lt;0.001). Crucially, the rates of death, MI, or stroke — the primary efficacy composite — were statistically similar between groups (3.9% versus 3.9%), confirming that the haemorrhagic benefit was achieved without a meaningful increase in ischaemic risk (Baber et al., 2019). A pre-specified subgroup analysis restricted to the ACS cohort (approximately 57% of the trial population) found consistent results: ticagrelor monotherapy reduced bleeding without significant ischaemic excess in this higher-risk group (Mehta et al., 2020). TWILIGHT demonstrated for the first time, in a powered and adequately blinded trial, that aspirin withdrawal after three months of DAPT — with continuation of ticagrelor monotherapy — was both safe and superior in terms of haemorrhagic outcomes in patients considered at elevated ischaemic or bleeding risk following PCI.</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7.2 The SMART-CHOICE Trial</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SMART-CHOICE trial enrolled 2,993 patients undergoing PCI (approximately 40% with ACS) across South Korean centres and randomised them to three months of DAPT followed by P2Y12 inhibitor monotherapy (predominantly clopidogrel) or to 12 months of DAPT, with a primary outcome of major adverse cardiac and cerebrovascular events (MACCE) at 12 months. MACCE rates were 2.9% with P2Y12 monotherapy versus 2.5% with continued DAPT (non-inferiority met: risk difference 0.37; 95% CI: −0.60 to 1.34; p=0.004 for non-inferiority), and clinically significant bleeding was significantly reduced in the monotherapy group (2.0% versus 3.4%; HR 0.58; p=0.007) (Hahn et al., 2019). The predominantly East Asian patient population and the use of clopidogrel rather than ticagrelor in most monotherapy recipients are contextual factors that limit direct generalisation to Western ACS cohorts with higher ischaemic risk profiles.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7.3 The STOPDAPT-2 and STOPDAPT-2 ACS Trials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STOPDAPT-2 trial randomised 3,045 Japanese PCI patients (approximately 38% with ACS) to one month of DAPT followed by clopidogrel monotherapy versus 12 months of DAPT. At 12 months, the primary composite net clinical endpoint (cardiovascular death, MI, definite stent thrombosis, stroke, or TIMI major/minor bleeding) occurred in 2.36% of the monotherapy group versus 3.70% of the DAPT group, satisfying both non-inferiority and superiority criteria (Watanabe et al., 2019). The favourable outcome was driven primarily by substantially reduced bleeding; cardiovascular events were numerically, though not significantly, more frequent in the monotherapy group.</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Motivated by these findings but acknowledging concern about the compressed one-month DAPT duration in ACS patients, the investigators subsequently conducted STOPDAPT-2 ACS, which restricted enrolment to ACS patients and randomised them to one month of DAPT followed by clopidogrel monotherapy versus 12 months of DAPT. Contrary to the </w:t>
      </w:r>
      <w:r w:rsidRPr="00CF2BAC">
        <w:rPr>
          <w:rFonts w:ascii="Times New Roman" w:eastAsia="Times New Roman" w:hAnsi="Times New Roman" w:cs="Times New Roman"/>
          <w:sz w:val="24"/>
          <w:szCs w:val="24"/>
          <w:lang w:val="en-US"/>
        </w:rPr>
        <w:lastRenderedPageBreak/>
        <w:t>parent trial, STOPDAPT-2 ACS did not meet non-inferiority criteria for the composite net clinical outcome (Watanabe et al., 2022). The excess ischaemic event rate in the early monotherapy arm raised concerns about the adequacy of a one-month DAPT window specifically in ACS patients, highlighting the clinical importance of distinguishing between stable and unstable presentations when determining the minimum DAPT duration before transition to monotherapy.</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7.4 The TICO Trial</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TICO trial, conducted in South Korea, randomised 3,056 ACS patients undergoing PCI with drug-eluting stents to three months of ticagrelor-based DAPT followed by ticagrelor monotherapy versus 12 months of ticagrelor-based DAPT. The primary composite net clinical endpoint — a combination of major bleeding and MACCE — occurred in 3.9% of the early-monotherapy group versus 5.9% of the 12-month DAPT group (HR 0.66; 95% CI: 0.48–0.92; p=0.01), driven largely by a reduction in major bleeding. MACCE rates were numerically similar between groups (2.3% versus 3.4%; HR 0.69; 95% CI: 0.45–1.06; p=0.09), indicating a bleeding benefit without a statistically significant increase in ischaemic events, though confidence intervals were wide (Kim et al., 2020). TICO is particularly important because it restricted enrolment exclusively to ACS patients, making its findings directly applicable to the population under consideration in this review.</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7.5 The MASTER DAPT Trial</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MASTER DAPT trial specifically targeted patients meeting ARC-HBR criteria — those at the highest a priori risk of bleeding — following implantation of an ultrathin-strut biodegradable-polymer drug-eluting stent. A total of 4,579 patients were randomised, at one month post-PCI, to abbreviated DAPT (immediate transition to SAPT) or continued DAPT for at least two additional months. The abbreviated DAPT strategy was non-inferior to continued DAPT for the primary net clinical endpoint of all-cause death, MI, stroke, or major bleeding (7.5% versus 7.7%; HR 0.97; 95% CI: 0.78–1.20), and was associated with significantly fewer major or clinically relevant non-major bleeding events (6.5% versus 9.4%; HR 0.68; 95% CI: 0.55–0.84) (Valgimigli et al., 2021). Critically, these findings were consistent across pre-specified subgroups, including patients with ACS, who comprised approximately 48% of the trial population. MASTER DAPT provided perhaps the strongest trial evidence to date for abbreviated DAPT and transition to SAPT in high-bleeding-risk patients, given the precise targeting of this high-risk population and the use of contemporary stent technology.</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7.6 The HOST-EXAM Trial</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HOST-EXAM trial addressed a distinct but related question: in patients who had completed 6 to 18 months of DAPT without ischaemic or haemorrhagic events following PCI, which single antiplatelet agent — clopidogrel or aspirin — provides superior outcomes when SAPT is maintained thereafter? Among 5,438 Korean PCI patients randomised to clopidogrel or aspirin monotherapy following the DAPT period, clopidogrel was associated with a significantly lower rate of the primary composite of all-cause death, non-fatal MI, stroke, readmission due to ACS, or TIMI major bleeding (5.7% versus 7.7%; HR 0.73; 95% CI: 0.59–0.90; p=0.003) over a median follow-up of 24 months (Koo et al., 2021). Bleeding events were also significantly lower with clopidogrel. HOST-EXAM introduced a qualitatively new dimension to the SAPT debate: not only whether to transition to </w:t>
      </w:r>
      <w:r w:rsidRPr="00CF2BAC">
        <w:rPr>
          <w:rFonts w:ascii="Times New Roman" w:eastAsia="Times New Roman" w:hAnsi="Times New Roman" w:cs="Times New Roman"/>
          <w:sz w:val="24"/>
          <w:szCs w:val="24"/>
          <w:lang w:val="en-US"/>
        </w:rPr>
        <w:lastRenderedPageBreak/>
        <w:t>monotherapy, but which agent should be preferred once DAPT is discontinued. The findings suggest that, when SAPT is chosen after an adequate period of DAPT, clopidogrel monotherapy may offer more favourable net clinical outcomes than aspirin alone, though the trial population was predominantly stable post-PCI patients and the generalisability to the acute ACS setting warrants careful consideration (Koo et al., 2021).</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7.7 Review Evidence and Meta-analyses Integrating Trial Data</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Several publications have synthesised the growing body of trial data on de-escalation from DAPT to SAPT. Capodanno et al. (2020) provided a comprehensive critical synthesis of aspirin-free strategies in cardiovascular disease, reviewing evidence from multiple trials comparing antiplatelet regimens following DES implantation and concluding that P2Y12 inhibitor monotherapy following brief DAPT was associated with significantly fewer bleeding events and no statistically significant increase in MI, stent thrombosis, or stroke relative to 12-month standard DAPT. An individual patient data meta-analysis by Gragnano et al. (2022), restricted to randomised trials of P2Y12 inhibitor monotherapy following one to three months of DAPT, found a consistent reduction in clinically relevant bleeding (HR 0.57; 95% CI: 0.48–0.68) without significant excess ischaemic risk, lending methodological rigour to the synthesis of the available evidence. These findings broadly corroborate the individual trial results and support the de-escalation approach in appropriately selected patients.</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8. Risk Stratification: Identifying Candidates for De-escalation</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8.1 The DAPT Score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DAPT score was derived from the DAPT trial cohort to predict which patients benefit from prolonged versus shortened DAPT duration. Variables incorporated include age, smoking, prior MI or PCI, diabetes, congestive heart failure, left ventricular ejection fraction, saphenous vein graft PCI, stent diameter, and use of paclitaxel-eluting stents. Patients with a DAPT score of two or above derive net ischaemic benefit from extended DAPT, whereas those with scores below two face excess bleeding without proportionate ischaemic gain (Yeh et al., 2016). The DAPT score, whilst validated in the trial derivation cohort, has limitations in the contemporary DES era, partly because it was derived before widespread adoption of ultrathin-strut stents and before the routine availability of more potent P2Y12 inhibitors.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8.2 The PRECISE-DAPT Score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PRECISE-DAPT score, derived from a pooled dataset of six RCTs, incorporates five variables: age, creatinine clearance, haemoglobin, white blood cell count, and prior spontaneous bleeding. Scores of 25 or above identify patients at sufficiently elevated haemorrhagic risk that shortened DAPT (three to six months) is associated with net clinical benefit, whilst scores below 25 support the standard 12-month duration (Costa et al., 2017). The score was prospectively validated in the GLOBAL LEADERS trial population, with consistent results. Its incorporation of renal function — a key determinant of bleeding propensity — makes it particularly relevant in the growing population of patients with chronic kidney disease undergoing PCI (Costa et al., 2017).</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8.3 ARC-HBR Criteria</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The Academic Research Consortium for High Bleeding Risk (ARC-HBR) consensus document, published in 2019, defined a standardised set of clinical criteria for identifying patients at sufficiently elevated bleeding risk to justify modification of antiplatelet duration or intensity (Urban et al., 2019). Major criteria — each independently meeting the threshold of approximately 4% BARC type 3–5 bleeding at one year or 1% risk of intracranial haemorrhage — include oral anticoagulant therapy, severe chronic kidney disease (estimated glomerular filtration rate &lt;30 mL/min/1.73m²), thrombocytopenia, prior spontaneous intracranial haemorrhage at any time, recent ischaemic stroke within the past six months, active cancer, and major surgery or trauma within 30 days. Minor criteria include moderate chronic kidney disease (eGFR 30–59 mL/min/1.73m²), moderate anaemia, and ischaemic stroke occurring more than six months previously. ARC-HBR criteria have been prospectively validated in several large DES registries and were specifically used as the enrolment criterion in the MASTER DAPT trial, providing a direct link between risk stratification and evidence-based de-escalation practice (Valgimigli et al., 2021). The broad adoption of ARC-HBR criteria across guideline documents reflects their practical utility as a bedside clinical tool, though ongoing refinement based on emerging evidence is anticipated.</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8.4 Platelet Function Testing and Genotyping</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Beyond clinical scoring systems, pharmacodynamic monitoring using platelet function testing — including the VerifyNow assay, Multiplate analyser, and light transmission aggregometry — and genotyping for CYP2C19 loss-of-function alleles have been proposed as means of personalising DAPT intensity in ACS patients. The TROPICAL-ACS trial demonstrated that pharmacodynamically guided de-escalation from prasugrel to clopidogrel, directed by Multiplate platelet function testing, was non-inferior to sustained prasugrel without increasing ischaemic risk, providing a biological basis for pharmacology-guided de-escalation (Sibbing et al., 2017). The POPULAR Genetics trial further showed that genotype-guided assignment to clopidogrel or ticagrelor in ACS patients resulted in non-inferior ischaemic outcomes and reduced bleeding compared with universal ticagrelor use (Claassens et al., 2019). These findings support the clinical application of point-of-care genotyping or platelet function testing to refine de-escalation decisions, particularly in patients where the ischaemia-bleeding balance is genuinely uncertain.</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9. Special Populations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9.1 Elderly Patients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Older patients — generally defined in the antiplatelet literature as those aged 75 years and above — present a particularly challenging combination of elevated ischaemic risk, driven by more complex and extensive coronary artery disease, and elevated haemorrhagic risk, attributable to age-related reductions in renal function, polypharmacy, and frailty-associated bleeding propensity. The use of prasugrel is generally not recommended in patients aged 75 years and above, based on TRITON-TIMI 38 findings, which demonstrated significant excess net harm in this subgroup owing to substantially increased bleeding without proportionate ischaemic benefit (Wiviott et al., 2007). Several analyses of elderly cohorts have suggested that abbreviated DAPT followed by SAPT provides a more favourable risk-benefit profile than extended dual therapy in this population. The POPular AGE trial randomised patients aged 70 years and above with NSTE-ACS to clopidogrel or ticagrelor, each combined with </w:t>
      </w:r>
      <w:r w:rsidRPr="00CF2BAC">
        <w:rPr>
          <w:rFonts w:ascii="Times New Roman" w:eastAsia="Times New Roman" w:hAnsi="Times New Roman" w:cs="Times New Roman"/>
          <w:sz w:val="24"/>
          <w:szCs w:val="24"/>
          <w:lang w:val="en-US"/>
        </w:rPr>
        <w:lastRenderedPageBreak/>
        <w:t>aspirin, finding that clopidogrel was associated with fewer bleeding events and comparable net clinical outcomes, suggesting that even within the choice of P2Y12 agent, the balance of benefit shifts with age (Gimbel et al., 2020). Given the increasing representation of elderly patients in contemporary ACS-PCI cohorts — a consequence of both population ageing and expanded procedural access — this subgroup deserves particular attention in de-escalation decision-making.</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9.2 Patients Requiring Oral Anticoagulation</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Approximately 5–10% of patients undergoing PCI carry a concurrent indication for oral anticoagulation — most commonly atrial fibrillation requiring stroke prevention (Lopes et al., 2019). Triple therapy, comprising aspirin, a P2Y12 inhibitor, and an oral anticoagulant, was historically standard in this population but carries a very high risk of major haemorrhage. The AUGUSTUS trial, a 2×2 factorial RCT of 4,614 ACS or PCI patients with atrial fibrillation randomised to apixaban or vitamin K antagonist, and to aspirin or placebo, demonstrated that both omission of aspirin and substitution of apixaban for vitamin K antagonism independently reduced major or clinically relevant non-major bleeding without significant excess ischaemic events (Lopes et al., 2019). These findings, complemented by the PIONEER AF-PCI and RE-DUAL PCI trials with rivaroxaban and dabigatran respectively, have led to guideline endorsement of a "dual therapy" approach — comprising a direct oral anticoagulant plus a single P2Y12 inhibitor (typically clopidogrel), with early aspirin withdrawal — as the preferred strategy in this population (Byrne et al., 2023). For such patients, transition to SAPT effectively represents a reduction from triple to dual therapy, with a further reduction to anticoagulant monotherapy considered only after the highest-risk period has elapsed.</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9.3 Patients with Diabetes Mellitus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Diabetes mellitus is associated with a prothrombotic and proatherogenic milieu characterised by enhanced platelet reactivity, accelerated atherosclerosis, and impaired endothelial function, collectively conferring elevated ischaemic risk following PCI (Levine et al., 2016). Evidence from multiple trials has suggested that diabetic patients may derive greater absolute ischaemic benefit from more potent and prolonged DAPT, though they also bear an increased absolute risk of major bleeding with extended therapy (Capodanno et al., 2020). Current guidelines recommend standard 12-month DAPT in most diabetic ACS patients after PCI, with the DAPT score and ARC-HBR criteria used to identify individuals in whom de-escalation is appropriate. Glycaemic control itself may modulate platelet function and P2Y12 inhibitor responsiveness, though the clinical relevance of this interaction remains an active area of investigation.</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9.4 Patients with Chronic Kidney Disease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Chronic kidney disease (CKD) independently increases both ischaemic and haemorrhagic risk in ACS patients, and this dual elevation complicates antiplatelet decision-making. Impaired platelet function in advanced CKD — attributable in part to uraemia-associated defects in platelet adhesion and secretion — paradoxically coexists with a heightened thrombotic risk driven by systemic inflammation, endothelial dysfunction, and the prothrombotic milieu of uraemia. Current evidence suggests that patients with moderate-to-severe CKD (eGFR &lt;60 mL/min/1.73m²) are at significantly higher bleeding risk with standard DAPT duration, and several analyses have identified CKD as a factor favouring </w:t>
      </w:r>
      <w:r w:rsidRPr="00CF2BAC">
        <w:rPr>
          <w:rFonts w:ascii="Times New Roman" w:eastAsia="Times New Roman" w:hAnsi="Times New Roman" w:cs="Times New Roman"/>
          <w:sz w:val="24"/>
          <w:szCs w:val="24"/>
          <w:lang w:val="en-US"/>
        </w:rPr>
        <w:lastRenderedPageBreak/>
        <w:t>abbreviated DAPT and earlier transition to SAPT (Urban et al., 2019). The PRECISE-DAPT score's inclusion of creatinine clearance reflects the clinical importance of renal function in this decision, and the ARC-HBR major criterion of eGFR &lt;30 mL/min/1.73m² formally designates this subgroup as high bleeding risk (Costa et al., 2017; Urban et al., 2019).</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10. Ischaemic Outcomes: Risks of Early DAPT Discontinuation</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10.1 Stent Thrombosis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Stent thrombosis — the abrupt, often catastrophic thrombotic occlusion of a coronary stent — remains the principal ischaemic concern associated with premature antiplatelet discontinuation. The risk of stent thrombosis is highest in the first weeks following PCI, and it is significantly influenced by stent type, procedural factors, lesion complexity, and residual platelet reactivity. First-generation drug-eluting stents, with their polymer-related inflammatory responses and delayed endothelialisation, carried substantially higher late stent thrombosis rates than second-generation devices (Ibanez et al., 2018). Contemporary ultrathin-strut biodegradable-polymer DES — as used in MASTER DAPT — achieves near-complete endothelialisation within 30 days in most patients, providing a biological basis for the safety of earlier DAPT discontinuation with modern stent platforms (Valgimigli et al., 2021).</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In the trials reviewed, stent thrombosis rates with abbreviated DAPT followed by P2Y12 monotherapy were uniformly low — consistently below 1% in both treatment arms — and not significantly different between de-escalation and standard DAPT strategies (Baber et al., 2019; Valgimigli et al., 2021). These low absolute rates are important context: whilst relative differences in stent thrombosis risk might be clinically meaningful in theory, the absolute risk reduction achievable with continued DAPT in this low-incidence outcome may be outweighed by the absolute excess bleeding risk in appropriately selected patients.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10.2 Myocardial Infarction and Stroke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Beyond stent thrombosis, the risk of spontaneous MI — arising from de novo plaque events remote from the stent — and ischaemic stroke contributes meaningfully to the composite ischaemic burden in ACS survivors. Extended DAPT was associated with reductions in spontaneous MI in the DAPT trial (Mauri et al., 2014), raising concern that abbreviated DAPT might sacrifice some protection against non-stent-related ischaemic events. However, in the major SAPT trials reviewed herein, spontaneous MI and stroke rates were not significantly higher with monotherapy compared with continued DAPT (Baber et al., 2019; Kim et al., 2020; Valgimigli et al., 2021), and the individual patient data meta-analytic evidence likewise does not demonstrate a statistically significant increase in these outcomes with de-escalation strategies (Gragnano et al., 2022). This reassurance is qualified by the need for longer-term follow-up data, since the protective effect of potent P2Y12 inhibition against remote plaque-related events may become more apparent over horizons beyond 12 months.</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11. Haemorrhagic Outcomes: The Safety Advantage of SAPT</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lastRenderedPageBreak/>
        <w:t>11.1 Classification of Bleeding Events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 major challenge in comparing haemorrhagic outcomes across trials is the use of heterogeneous bleeding classification systems. The most widely adopted contemporary systems in PCI trials are the BARC (Bleeding Academic Research Consortium) and TIMI (Thrombolysis in Myocardial Infarction) criteria. BARC type 1 and 2 events encompass minor and nuisance bleeding — including bruising and epistaxis — that does not require hospitalisation or transfusion; BARC type 3 events include serious bleeds requiring surgical intervention or transfusion, and intracranial haemorrhage; BARC type 5 events are fatal bleeds (Valgimigli et al., 2018). The TWILIGHT trial's use of BARC 2–5 as its primary bleeding endpoint — a broader, more patient-centric definition than TIMI major alone — captured clinically meaningful haemorrhagic events often missed by more restrictive criteria and provided a more complete picture of the real-world bleeding burden associated with continued DAPT (Baber et al., 2019).</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11.2 Absolute and Relative Reductions in Bleeding with SAPT</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Across the trials reviewed, the transition from DAPT to P2Y12 inhibitor monotherapy consistently and substantially reduced clinically significant bleeding. In TWILIGHT, the absolute reduction in BARC 2–5 bleeding was 3.1 percentage points over 12 months of randomised treatment — a figure that translates, at a population level, to the prevention of one clinically significant bleed for every 32 patients managed with ticagrelor monotherapy instead of continued DAPT (Baber et al., 2019). In MASTER DAPT, the absolute reduction in major or clinically relevant non-major bleeding was 2.9 percentage points in favour of abbreviated DAPT, with a number needed to treat of approximately 34 (Valgimigli et al., 2021). The consistency of these bleeding reductions across trials of different design, populations, follow-up durations, and stent platforms strengthens confidence that aspirin withdrawal in the context of continued P2Y12 inhibitor therapy yields a genuine and clinically meaningful haemorrhagic benefit.</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11.3 Aspirin as the Source of Haemorrhagic Excess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bleeding benefit of transitioning from DAPT to P2Y12 inhibitor monotherapy is biologically plausible and mechanistically attributable primarily to the withdrawal of aspirin. COX-1 inhibition by aspirin suppresses prostacyclin synthesis in gastric mucosal cells, impairing the mucosal protective prostaglandin axis and increasing the risk of gastrointestinal haemorrhage — the most common site of bleeding in DAPT-treated patients. Gastrointestinal bleeding events, whilst sometimes categorised as minor, are associated with significant morbidity, hospitalisation, and, in the context of ACS, with interruption of antiplatelet therapy, which may itself precipitate ischaemic events (Levine et al., 2016). The finding from HOST-EXAM that clopidogrel monotherapy outperforms aspirin monotherapy in net clinical outcomes at the SAPT phase further supports the interpretation that aspirin's contribution to haemorrhagic risk — particularly gastrointestinal — exceeds its incremental antithrombotic benefit when a potent P2Y12 inhibitor is already in use (Koo et al., 2021).</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12. Emerging Strategies and Future Directions</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12.1 Aspirin-Free Initiation of Therapy</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A conceptually distinct strategy from DAPT de-escalation is the avoidance of aspirin even in the acute phase of ACS-PCI — a "SAPT first" approach using a potent P2Y12 inhibitor from the outset. The GLOBAL LEADERS trial evaluated an experimental strategy of one month of aspirin plus ticagrelor followed by 23 months of ticagrelor monotherapy versus a conventional control, but did not demonstrate superiority of the experimental regimen for the primary composite of all-cause death or non-fatal MI (Vranckx et al., 2018). Methodological limitations — including a complex design, suboptimal ticagrelor adherence, and an unusually long follow-up — have tempered interpretation of this null finding, and several dedicated trials of aspirin-free initiation in ACS are ongoing. The TWILIGHT-ACS substudy provided more encouraging evidence for aspirin withdrawal as early as three months post-PCI in ACS patients (Mehta et al., 2020), whilst ongoing trials are expected to clarify the safety of even shorter DAPT windows before ticagrelor monotherapy.</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12.2 Biomarker-Guided Strategies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integration of biomarkers — including high-sensitivity C-reactive protein, high-sensitivity troponin, and natriuretic peptides — as guides to antiplatelet de-escalation duration is an emerging area of investigation. Residual inflammatory activity, as reflected by high-sensitivity C-reactive protein, has been proposed as a potential marker of prolonged thrombotic risk that might justify extended DAPT in patients otherwise considered candidates for de-escalation (Capodanno et al., 2020). Similarly, genetic testing for CYP2C19 polymorphisms — as evaluated in the POPULAR Genetics trial — may support precision-medicine approaches to P2Y12 inhibitor selection and duration in the de-escalation phase (Claassens et al., 2019). These biomarker and genotyping strategies remain investigational in the context of SAPT timing decisions, and their clinical validation in prospective trials is an important priority.</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12.3 Impact of Stent Technology</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rapid evolution of coronary stent technology continues to influence the optimal antiplatelet duration. Ultrathin-strut stents — including the Orsiro, SYNERGY, and Firehawk platforms — have demonstrated faster endothelialisation and lower stent thrombosis rates than earlier-generation DES, potentially enabling safe DAPT shortening to as little as one month even in ACS patients (Watanabe et al., 2019; Valgimigli et al., 2021). The anticipated wider adoption of resorbable scaffold technology, though not yet established as superior to second-generation DES, may further modify antiplatelet requirements in future patient cohorts. Future antiplatelet trials must explicitly incorporate stent generation as a stratification variable to allow device-specific guidance to emerge from trial evidence.</w:t>
      </w:r>
    </w:p>
    <w:p w:rsidR="00CF2BAC" w:rsidRPr="00CF2BAC" w:rsidRDefault="00CF2BAC" w:rsidP="00CF2BA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12.4 Patient-Reported Outcomes and Quality of Life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Whilst clinical trials in this domain have predominantly reported hard clinical endpoints — death, MI, stroke, stent thrombosis, and major bleeding — there is growing recognition of the importance of patient-centred outcomes. Prolonged DAPT is associated with impaired quality of life attributable to nuisance bleeding, adherence challenges, restrictions on procedural interventions (including non-cardiac surgery and dental work), and anxiety about haemorrhagic events (Valgimigli et al., 2018). These patient-reported burdens may motivate non-adherence to antiplatelet regimens, which itself carries ischaemic risk. Future trials evaluating SAPT versus DAPT duration should systematically incorporate validated health-</w:t>
      </w:r>
      <w:r w:rsidRPr="00CF2BAC">
        <w:rPr>
          <w:rFonts w:ascii="Times New Roman" w:eastAsia="Times New Roman" w:hAnsi="Times New Roman" w:cs="Times New Roman"/>
          <w:sz w:val="24"/>
          <w:szCs w:val="24"/>
          <w:lang w:val="en-US"/>
        </w:rPr>
        <w:lastRenderedPageBreak/>
        <w:t>related quality-of-life instruments to better characterise the full patient experience of each strategy.</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13. Synthesis and Clinical Implications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aggregate evidence reviewed herein supports a nuanced and individualised approach to antiplatelet therapy following ACS-PCI, one that acknowledges the dynamic and patient-specific nature of the ischaemia-bleeding balance over time. For most ACS patients undergoing PCI with contemporary second-generation DES, 12 months of DAPT — combining aspirin with ticagrelor or prasugrel — remains the guideline-endorsed standard, providing robust protection against ischaemic events during the period of highest risk (Byrne et al., 2023). However, this default strategy is not universally appropriate.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For patients meeting ARC-HBR criteria, the evidence from MASTER DAPT (Valgimigli et al., 2021) provides a solid foundation for abbreviated DAPT — with transition to SAPT after one month — as the preferred approach, balancing the imperative to prevent ischaemic complications with the clinically significant haemorrhagic harm attributable to continued aspirin. For patients at high, but not extreme, bleeding risk — particularly those with complex lesion anatomy or prior MI — a three-month DAPT window followed by P2Y12 inhibitor monotherapy, as evaluated in TWILIGHT and TICO, offers a clinically rational middle ground (Baber et al., 2019; Kim et al., 2020). The consistent superiority of P2Y12 inhibitor monotherapy over aspirin monotherapy as the SAPT agent of choice — both in ticagrelor-based strategies (TWILIGHT) and in the context of the completed DAPT phase (HOST-EXAM) — challenges the historical view of aspirin as the indispensable cornerstone of long-term antiplatelet therapy post-PCI (Koo et al., 2021).</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Clinicians should utilise validated risk stratification tools — specifically ARC-HBR criteria, PRECISE-DAPT, and where applicable CYP2C19 genotyping — to guide individualised de-escalation decisions rather than applying a uniform strategy. The choice between clopidogrel and ticagrelor as the SAPT agent requires careful consideration of patient risk profile, adherence history, renal function, and tolerability. Future evidence from ongoing trials will further clarify the minimum safe DAPT duration in ACS, the role of aspirin-free initiation strategies, and the optimal SAPT agent for diverse patient subgroups.</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14. Conclusions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management of antiplatelet therapy in patients with acute coronary syndrome following percutaneous coronary intervention has undergone a fundamental evolution, shifting from a uniform 12-month DAPT paradigm towards individualised, risk-stratified approaches that incorporate earlier transition to single antiplatelet therapy in selected patients. The evidence synthesised in this review supports three overarching conclusions.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First, the transition from DAPT to P2Y12 inhibitor monotherapy after one to three months in appropriately selected ACS patients post-PCI is associated with a clinically meaningful and consistent reduction in haemorrhagic events, without a statistically significant increase in ischaemic outcomes including myocardial infarction, stent thrombosis, or stroke. This </w:t>
      </w:r>
      <w:r w:rsidRPr="00CF2BAC">
        <w:rPr>
          <w:rFonts w:ascii="Times New Roman" w:eastAsia="Times New Roman" w:hAnsi="Times New Roman" w:cs="Times New Roman"/>
          <w:sz w:val="24"/>
          <w:szCs w:val="24"/>
          <w:lang w:val="en-US"/>
        </w:rPr>
        <w:lastRenderedPageBreak/>
        <w:t>finding, robust across multiple independent RCTs and confirmed in individual patient data meta-analytic syntheses, represents one of the more substantive advances in post-PCI pharmacotherapy over the past decade.</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Second, aspirin withdrawal — rather than P2Y12 inhibitor withdrawal — is the appropriate de-escalation step when transitioning from DAPT to SAPT in ACS patients who have completed a sufficient period of dual therapy. Continued P2Y12 inhibitor monotherapy, particularly with ticagrelor, appears to provide superior net clinical outcomes compared with aspirin monotherapy as the single agent, challenging longstanding assumptions about the primacy of aspirin in long-term antiplatelet management.</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Third, patient selection for de-escalation must be guided by validated risk stratification tools — particularly ARC-HBR criteria and the PRECISE-DAPT score — and should account for individual clinical characteristics including age, renal function, concomitant anticoagulation, comorbidities, and stent type. A "one size fits all" approach to DAPT duration in ACS patients is no longer defensible in light of the available evidence; rather, clinical decision-making should be anchored in a systematic assessment of the dynamic and patient-specific ischaemia-bleeding balance.</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15. Limitations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This review is subject to several inherent limitations that should inform its interpretation. As a narrative review, it does not employ a systematic meta-analytic methodology, and the synthesis of evidence across heterogeneous trials introduces the possibility of selective emphasis, though efforts were made to apply consistent inclusion criteria and to represent the evidence base comprehensively. The trials reviewed were conducted across diverse geographic and ethnic populations — including large East Asian cohorts in SMART-CHOICE, STOPDAPT-2, HOST-EXAM, and TICO — and findings may not be fully generalisable across all populations, given documented differences in platelet reactivity, genetic polymorphism frequencies (particularly CYP2C19 loss-of-function alleles), and baseline cardiovascular risk between East Asian and Western patients.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antiplatelet landscape is rapidly evolving, and some trial findings reviewed herein may be superseded by data from ongoing trials that were not available at the time of literature search. The heterogeneity of outcome definitions, bleeding classification systems, and DAPT duration protocols across trials also complicates direct comparison, despite the use of standardised criteria such as BARC in more recent studies. Many trials enrolled patients with both stable coronary artery disease and ACS, and the ACS subgroup analyses — whilst generally consistent with the overall findings — are limited by smaller sample sizes and the risk of type II error in detecting differential ischaemic risks. Finally, evidence on the very long-term outcomes of de-escalation beyond 24 months remains sparse, and the sustained benefits or late ischaemic costs of SAPT strategies over three to five years require further investigation.</w:t>
      </w:r>
    </w:p>
    <w:p w:rsidR="00CF2BAC" w:rsidRPr="00CF2BAC" w:rsidRDefault="00CF2BAC" w:rsidP="00CF2BAC">
      <w:pPr>
        <w:spacing w:after="0" w:line="240" w:lineRule="auto"/>
        <w:rPr>
          <w:rFonts w:ascii="Times New Roman" w:eastAsia="Times New Roman" w:hAnsi="Times New Roman" w:cs="Times New Roman"/>
          <w:sz w:val="24"/>
          <w:szCs w:val="24"/>
          <w:lang w:val="en-US"/>
        </w:rPr>
      </w:pPr>
    </w:p>
    <w:p w:rsidR="00CF2BAC" w:rsidRPr="00CF2BAC" w:rsidRDefault="00CF2BAC" w:rsidP="00CF2BA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References</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 xml:space="preserve">Baethge, C., Goldbeck-Wood, S., &amp; Mertens, S. (2019). SANRA — a scale for the quality assessment of narrative review articles. </w:t>
      </w:r>
      <w:r w:rsidRPr="00CF2BAC">
        <w:rPr>
          <w:rFonts w:ascii="Times New Roman" w:eastAsia="Times New Roman" w:hAnsi="Times New Roman" w:cs="Times New Roman"/>
          <w:i/>
          <w:iCs/>
          <w:sz w:val="24"/>
          <w:szCs w:val="24"/>
          <w:lang w:val="en-US"/>
        </w:rPr>
        <w:t>Research Integrity and Peer Review, 4</w:t>
      </w:r>
      <w:r w:rsidRPr="00CF2BAC">
        <w:rPr>
          <w:rFonts w:ascii="Times New Roman" w:eastAsia="Times New Roman" w:hAnsi="Times New Roman" w:cs="Times New Roman"/>
          <w:sz w:val="24"/>
          <w:szCs w:val="24"/>
          <w:lang w:val="en-US"/>
        </w:rPr>
        <w:t xml:space="preserve">(1), 5. </w:t>
      </w:r>
      <w:hyperlink r:id="rId6" w:history="1">
        <w:r w:rsidRPr="00CF2BAC">
          <w:rPr>
            <w:rFonts w:ascii="Times New Roman" w:eastAsia="Times New Roman" w:hAnsi="Times New Roman" w:cs="Times New Roman"/>
            <w:color w:val="0000FF"/>
            <w:sz w:val="24"/>
            <w:szCs w:val="24"/>
            <w:u w:val="single"/>
            <w:lang w:val="en-US"/>
          </w:rPr>
          <w:t>https://doi.org/10.1186/s41073-019-0064-8</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Baber, U., Dangas, G., Angiolillo, D. J., Cohen, D. J., Sharma, S. K., Nicolas, J., Baumbach, A., Bhatt, D. L., Farhan, S., Gibson, C. M., Weinlein, S., Strauss, C., Sartori, S., Dhaduk, K., Mehdipoor, G., Sweeny, J., Krishnan, P., Barman, N., Kaul, U., … Mehran, R. (2019). Ticagrelor with or without aspirin in high-risk patients after PCI. </w:t>
      </w:r>
      <w:r w:rsidRPr="00CF2BAC">
        <w:rPr>
          <w:rFonts w:ascii="Times New Roman" w:eastAsia="Times New Roman" w:hAnsi="Times New Roman" w:cs="Times New Roman"/>
          <w:i/>
          <w:iCs/>
          <w:sz w:val="24"/>
          <w:szCs w:val="24"/>
          <w:lang w:val="en-US"/>
        </w:rPr>
        <w:t>New England Journal of Medicine, 381</w:t>
      </w:r>
      <w:r w:rsidRPr="00CF2BAC">
        <w:rPr>
          <w:rFonts w:ascii="Times New Roman" w:eastAsia="Times New Roman" w:hAnsi="Times New Roman" w:cs="Times New Roman"/>
          <w:sz w:val="24"/>
          <w:szCs w:val="24"/>
          <w:lang w:val="en-US"/>
        </w:rPr>
        <w:t xml:space="preserve">(21), 2032–2042. </w:t>
      </w:r>
      <w:hyperlink r:id="rId7" w:history="1">
        <w:r w:rsidRPr="00CF2BAC">
          <w:rPr>
            <w:rFonts w:ascii="Times New Roman" w:eastAsia="Times New Roman" w:hAnsi="Times New Roman" w:cs="Times New Roman"/>
            <w:color w:val="0000FF"/>
            <w:sz w:val="24"/>
            <w:szCs w:val="24"/>
            <w:u w:val="single"/>
            <w:lang w:val="en-US"/>
          </w:rPr>
          <w:t>https://doi.org/10.1056/NEJMoa1908419</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Byrne, R. A., Rossello, X., Coughlan, J. J., Barbato, E., Berry, C., Chieffo, A., Claeys, M. J., Dan, G. A., Dweck, M. R., Galbraith, M., Gilard, M., Hinterbuchner, L., Jankowska, E. A., Jüni, P., Kimura, T., Kunadian, V., Leosdottir, M., Lorusso, R., Pedretti, R. F. E., … Zeymer, U. (2023). 2023 ESC guidelines for the management of acute coronary syndromes. </w:t>
      </w:r>
      <w:r w:rsidRPr="00CF2BAC">
        <w:rPr>
          <w:rFonts w:ascii="Times New Roman" w:eastAsia="Times New Roman" w:hAnsi="Times New Roman" w:cs="Times New Roman"/>
          <w:i/>
          <w:iCs/>
          <w:sz w:val="24"/>
          <w:szCs w:val="24"/>
          <w:lang w:val="en-US"/>
        </w:rPr>
        <w:t>European Heart Journal, 44</w:t>
      </w:r>
      <w:r w:rsidRPr="00CF2BAC">
        <w:rPr>
          <w:rFonts w:ascii="Times New Roman" w:eastAsia="Times New Roman" w:hAnsi="Times New Roman" w:cs="Times New Roman"/>
          <w:sz w:val="24"/>
          <w:szCs w:val="24"/>
          <w:lang w:val="en-US"/>
        </w:rPr>
        <w:t xml:space="preserve">(38), 3720–3826. </w:t>
      </w:r>
      <w:hyperlink r:id="rId8" w:history="1">
        <w:r w:rsidRPr="00CF2BAC">
          <w:rPr>
            <w:rFonts w:ascii="Times New Roman" w:eastAsia="Times New Roman" w:hAnsi="Times New Roman" w:cs="Times New Roman"/>
            <w:color w:val="0000FF"/>
            <w:sz w:val="24"/>
            <w:szCs w:val="24"/>
            <w:u w:val="single"/>
            <w:lang w:val="en-US"/>
          </w:rPr>
          <w:t>https://doi.org/10.1093/eurheartj/ehad191</w:t>
        </w:r>
      </w:hyperlink>
    </w:p>
    <w:p w:rsidR="000A5838" w:rsidRPr="00CF2BAC" w:rsidRDefault="000A5838" w:rsidP="00CF2BAC">
      <w:pPr>
        <w:spacing w:before="100" w:beforeAutospacing="1" w:after="100" w:afterAutospacing="1" w:line="240" w:lineRule="auto"/>
        <w:rPr>
          <w:rFonts w:ascii="Times New Roman" w:eastAsia="Times New Roman" w:hAnsi="Times New Roman" w:cs="Times New Roman"/>
          <w:sz w:val="24"/>
          <w:szCs w:val="24"/>
          <w:lang w:val="en-US"/>
        </w:rPr>
      </w:pPr>
      <w:r w:rsidRPr="000A5838">
        <w:rPr>
          <w:rFonts w:ascii="Times New Roman" w:eastAsia="Times New Roman" w:hAnsi="Times New Roman" w:cs="Times New Roman"/>
          <w:sz w:val="24"/>
          <w:szCs w:val="24"/>
          <w:lang w:val="en-US"/>
        </w:rPr>
        <w:t xml:space="preserve">Capodanno, D., Mehran, R., Valgimigli, M., Baber, U., Windecker, S., Vranckx, P., Dangas, G., Rollini, F., Kimura, T., Collet, J. P., Gibson, C. M., Steg, P. G., Lopes, R. D., Gwon, H. C., Storey, R. F., Franchi, F., Bhatt, D. L., Serruys, P. W., &amp; Angiolillo, D. J. (2018). Aspirin-free strategies in cardiovascular disease and cardioembolic stroke prevention. Nature reviews. Cardiology, 15(8), 480–496. </w:t>
      </w:r>
      <w:hyperlink r:id="rId9" w:history="1">
        <w:r w:rsidRPr="00AA1487">
          <w:rPr>
            <w:rStyle w:val="Hyperlink"/>
            <w:rFonts w:ascii="Times New Roman" w:eastAsia="Times New Roman" w:hAnsi="Times New Roman" w:cs="Times New Roman"/>
            <w:sz w:val="24"/>
            <w:szCs w:val="24"/>
            <w:lang w:val="en-US"/>
          </w:rPr>
          <w:t>https://doi.org/10.1038/s41569-018-0049-1</w:t>
        </w:r>
      </w:hyperlink>
      <w:r>
        <w:rPr>
          <w:rFonts w:ascii="Times New Roman" w:eastAsia="Times New Roman" w:hAnsi="Times New Roman" w:cs="Times New Roman"/>
          <w:sz w:val="24"/>
          <w:szCs w:val="24"/>
          <w:lang w:val="en-US"/>
        </w:rPr>
        <w:t xml:space="preserve"> </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Claassens, D. M. F., Vos, G. J. A., Bergmeijer, T. O., Hermanides, R. S., van 't Hof, A. W. J., van der Harst, P., Barbato, E., Morisco, C., Tjon Joe Gin, R. M., Asselbergs, F. W., Mosterd, A., Herrman, J. P. R., Dewilde, W. J. M., Rikken, S. A. J. G., van der Kley, F., van Reenen, M., Nuijten, M. A. H., Cleophas, T. J., Sindhu, D., … ten Berg, J. M. (2019). A genotype-guided strategy for oral P2Y12 inhibitors in primary PCI. </w:t>
      </w:r>
      <w:r w:rsidRPr="00CF2BAC">
        <w:rPr>
          <w:rFonts w:ascii="Times New Roman" w:eastAsia="Times New Roman" w:hAnsi="Times New Roman" w:cs="Times New Roman"/>
          <w:i/>
          <w:iCs/>
          <w:sz w:val="24"/>
          <w:szCs w:val="24"/>
          <w:lang w:val="en-US"/>
        </w:rPr>
        <w:t>New England Journal of Medicine, 381</w:t>
      </w:r>
      <w:r w:rsidRPr="00CF2BAC">
        <w:rPr>
          <w:rFonts w:ascii="Times New Roman" w:eastAsia="Times New Roman" w:hAnsi="Times New Roman" w:cs="Times New Roman"/>
          <w:sz w:val="24"/>
          <w:szCs w:val="24"/>
          <w:lang w:val="en-US"/>
        </w:rPr>
        <w:t xml:space="preserve">(17), 1621–1631. </w:t>
      </w:r>
      <w:hyperlink r:id="rId10" w:history="1">
        <w:r w:rsidRPr="00CF2BAC">
          <w:rPr>
            <w:rFonts w:ascii="Times New Roman" w:eastAsia="Times New Roman" w:hAnsi="Times New Roman" w:cs="Times New Roman"/>
            <w:color w:val="0000FF"/>
            <w:sz w:val="24"/>
            <w:szCs w:val="24"/>
            <w:u w:val="single"/>
            <w:lang w:val="en-US"/>
          </w:rPr>
          <w:t>https://doi.org/10.1056/NEJMoa1907096</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Costa, F., van Klaveren, D., James, S., Heg, D., Räber, L., Feres, F., Pilgrim, T., Hong, M. K., Kim, H. S., Colombo, A., Steg, P. G., Bhatt, D. L., Stone, G. W., Windecker, S., Steyerberg, E. W., &amp; Valgimigli, M. (2017). Derivation and validation of the predicting bleeding complications in patients undergoing stent implantation and subsequent dual antiplatelet therapy (PRECISE-DAPT) score. </w:t>
      </w:r>
      <w:r w:rsidRPr="00CF2BAC">
        <w:rPr>
          <w:rFonts w:ascii="Times New Roman" w:eastAsia="Times New Roman" w:hAnsi="Times New Roman" w:cs="Times New Roman"/>
          <w:i/>
          <w:iCs/>
          <w:sz w:val="24"/>
          <w:szCs w:val="24"/>
          <w:lang w:val="en-US"/>
        </w:rPr>
        <w:t>The Lancet, 389</w:t>
      </w:r>
      <w:r w:rsidRPr="00CF2BAC">
        <w:rPr>
          <w:rFonts w:ascii="Times New Roman" w:eastAsia="Times New Roman" w:hAnsi="Times New Roman" w:cs="Times New Roman"/>
          <w:sz w:val="24"/>
          <w:szCs w:val="24"/>
          <w:lang w:val="en-US"/>
        </w:rPr>
        <w:t xml:space="preserve">(10073), 1025–1034. </w:t>
      </w:r>
      <w:hyperlink r:id="rId11" w:history="1">
        <w:r w:rsidRPr="00CF2BAC">
          <w:rPr>
            <w:rFonts w:ascii="Times New Roman" w:eastAsia="Times New Roman" w:hAnsi="Times New Roman" w:cs="Times New Roman"/>
            <w:color w:val="0000FF"/>
            <w:sz w:val="24"/>
            <w:szCs w:val="24"/>
            <w:u w:val="single"/>
            <w:lang w:val="en-US"/>
          </w:rPr>
          <w:t>https://doi.org/10.1016/S0140-6736(17)30397-5</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Furie, B., &amp; Furie, B. C. (2008). Mechanisms of thrombus formation. </w:t>
      </w:r>
      <w:r w:rsidRPr="00CF2BAC">
        <w:rPr>
          <w:rFonts w:ascii="Times New Roman" w:eastAsia="Times New Roman" w:hAnsi="Times New Roman" w:cs="Times New Roman"/>
          <w:i/>
          <w:iCs/>
          <w:sz w:val="24"/>
          <w:szCs w:val="24"/>
          <w:lang w:val="en-US"/>
        </w:rPr>
        <w:t>New England Journal of Medicine, 359</w:t>
      </w:r>
      <w:r w:rsidRPr="00CF2BAC">
        <w:rPr>
          <w:rFonts w:ascii="Times New Roman" w:eastAsia="Times New Roman" w:hAnsi="Times New Roman" w:cs="Times New Roman"/>
          <w:sz w:val="24"/>
          <w:szCs w:val="24"/>
          <w:lang w:val="en-US"/>
        </w:rPr>
        <w:t xml:space="preserve">(9), 938–949. </w:t>
      </w:r>
      <w:hyperlink r:id="rId12" w:history="1">
        <w:r w:rsidRPr="00CF2BAC">
          <w:rPr>
            <w:rFonts w:ascii="Times New Roman" w:eastAsia="Times New Roman" w:hAnsi="Times New Roman" w:cs="Times New Roman"/>
            <w:color w:val="0000FF"/>
            <w:sz w:val="24"/>
            <w:szCs w:val="24"/>
            <w:u w:val="single"/>
            <w:lang w:val="en-US"/>
          </w:rPr>
          <w:t>https://doi.org/10.1056/NEJMra0801082</w:t>
        </w:r>
      </w:hyperlink>
    </w:p>
    <w:p w:rsid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Gimbel, M., Qaderdan, K., Willemsen, L., Hermanides, R., Bergmeijer, T., de Vrey, E., Heestermans, T., Tjon Joe Gin, M., Waalewijn, R., Hofma, S., Suttorp, M. J., Polad, J., Dirksen, M., Breet, N., ten Berg, J., &amp; Kelder, J. (2020). Clopidogrel versus ticagrelor or prasugrel in patients aged 70 years or older with non-ST-elevation acute coronary syndrome (POPular AGE): The randomised, open-label, non-inferiority trial. </w:t>
      </w:r>
      <w:r w:rsidRPr="00CF2BAC">
        <w:rPr>
          <w:rFonts w:ascii="Times New Roman" w:eastAsia="Times New Roman" w:hAnsi="Times New Roman" w:cs="Times New Roman"/>
          <w:i/>
          <w:iCs/>
          <w:sz w:val="24"/>
          <w:szCs w:val="24"/>
          <w:lang w:val="en-US"/>
        </w:rPr>
        <w:t>The Lancet, 395</w:t>
      </w:r>
      <w:r w:rsidRPr="00CF2BAC">
        <w:rPr>
          <w:rFonts w:ascii="Times New Roman" w:eastAsia="Times New Roman" w:hAnsi="Times New Roman" w:cs="Times New Roman"/>
          <w:sz w:val="24"/>
          <w:szCs w:val="24"/>
          <w:lang w:val="en-US"/>
        </w:rPr>
        <w:t xml:space="preserve">(10233), 1374–1381. </w:t>
      </w:r>
      <w:hyperlink r:id="rId13" w:history="1">
        <w:r w:rsidRPr="00CF2BAC">
          <w:rPr>
            <w:rFonts w:ascii="Times New Roman" w:eastAsia="Times New Roman" w:hAnsi="Times New Roman" w:cs="Times New Roman"/>
            <w:color w:val="0000FF"/>
            <w:sz w:val="24"/>
            <w:szCs w:val="24"/>
            <w:u w:val="single"/>
            <w:lang w:val="en-US"/>
          </w:rPr>
          <w:t>https://doi.org/10.1016/S0140-6736(20)30325-1</w:t>
        </w:r>
      </w:hyperlink>
    </w:p>
    <w:p w:rsidR="000A5838" w:rsidRPr="00CF2BAC" w:rsidRDefault="000A5838" w:rsidP="00CF2BAC">
      <w:pPr>
        <w:spacing w:before="100" w:beforeAutospacing="1" w:after="100" w:afterAutospacing="1" w:line="240" w:lineRule="auto"/>
        <w:rPr>
          <w:rFonts w:ascii="Times New Roman" w:eastAsia="Times New Roman" w:hAnsi="Times New Roman" w:cs="Times New Roman"/>
          <w:sz w:val="24"/>
          <w:szCs w:val="24"/>
          <w:lang w:val="en-US"/>
        </w:rPr>
      </w:pPr>
      <w:r w:rsidRPr="000A5838">
        <w:rPr>
          <w:rFonts w:ascii="Times New Roman" w:eastAsia="Times New Roman" w:hAnsi="Times New Roman" w:cs="Times New Roman"/>
          <w:sz w:val="24"/>
          <w:szCs w:val="24"/>
          <w:lang w:val="en-US"/>
        </w:rPr>
        <w:t xml:space="preserve">Gragnano, F., Mehran, R., Branca, M., Franzone, A., Baber, U., Jang, Y., Kimura, T., Hahn, J. Y., Zhao, Q., Windecker, S., Gibson, C. M., Kim, B. K., Watanabe, H., Song, Y. B., Zhu, Y., Vranckx, P., Mehta, S., Hong, S. J., Ando, K., Gwon, H. C., … Single Versus Dual Antiplatelet Therapy (Sidney-2) Collaboration (2023). P2Y12 Inhibitor Monotherapy or Dual </w:t>
      </w:r>
      <w:r w:rsidRPr="000A5838">
        <w:rPr>
          <w:rFonts w:ascii="Times New Roman" w:eastAsia="Times New Roman" w:hAnsi="Times New Roman" w:cs="Times New Roman"/>
          <w:sz w:val="24"/>
          <w:szCs w:val="24"/>
          <w:lang w:val="en-US"/>
        </w:rPr>
        <w:lastRenderedPageBreak/>
        <w:t xml:space="preserve">Antiplatelet Therapy After Complex Percutaneous Coronary Interventions. Journal of the American College of Cardiology, 81(6), 537–552. </w:t>
      </w:r>
      <w:hyperlink r:id="rId14" w:history="1">
        <w:r w:rsidRPr="00AA1487">
          <w:rPr>
            <w:rStyle w:val="Hyperlink"/>
            <w:rFonts w:ascii="Times New Roman" w:eastAsia="Times New Roman" w:hAnsi="Times New Roman" w:cs="Times New Roman"/>
            <w:sz w:val="24"/>
            <w:szCs w:val="24"/>
            <w:lang w:val="en-US"/>
          </w:rPr>
          <w:t>https://doi.org/10.1016/j.jacc.2022.11.041</w:t>
        </w:r>
      </w:hyperlink>
      <w:r>
        <w:rPr>
          <w:rFonts w:ascii="Times New Roman" w:eastAsia="Times New Roman" w:hAnsi="Times New Roman" w:cs="Times New Roman"/>
          <w:sz w:val="24"/>
          <w:szCs w:val="24"/>
          <w:lang w:val="en-US"/>
        </w:rPr>
        <w:t xml:space="preserve"> </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Gurbel, P. A., Bliden, K. P., Butler, K., Tantry, U. S., Gesheff, T., Wei, C., Teng, R., Antonino, M. J., Patil, S. B., Karunakaran, A., Kereiakes, D. J., Parris, C., Purdy, D., Wilson, V., Ledley, G. S., &amp; Storey, R. F. (2009). Randomized double-blind assessment of the ONSET and OFFSET of the antiplatelet effects of ticagrelor versus clopidogrel in patients with stable coronary artery disease: The ONSET/OFFSET study. </w:t>
      </w:r>
      <w:r w:rsidRPr="00CF2BAC">
        <w:rPr>
          <w:rFonts w:ascii="Times New Roman" w:eastAsia="Times New Roman" w:hAnsi="Times New Roman" w:cs="Times New Roman"/>
          <w:i/>
          <w:iCs/>
          <w:sz w:val="24"/>
          <w:szCs w:val="24"/>
          <w:lang w:val="en-US"/>
        </w:rPr>
        <w:t>Circulation, 120</w:t>
      </w:r>
      <w:r w:rsidRPr="00CF2BAC">
        <w:rPr>
          <w:rFonts w:ascii="Times New Roman" w:eastAsia="Times New Roman" w:hAnsi="Times New Roman" w:cs="Times New Roman"/>
          <w:sz w:val="24"/>
          <w:szCs w:val="24"/>
          <w:lang w:val="en-US"/>
        </w:rPr>
        <w:t xml:space="preserve">(25), 2577–2585. </w:t>
      </w:r>
      <w:hyperlink r:id="rId15" w:history="1">
        <w:r w:rsidRPr="00CF2BAC">
          <w:rPr>
            <w:rFonts w:ascii="Times New Roman" w:eastAsia="Times New Roman" w:hAnsi="Times New Roman" w:cs="Times New Roman"/>
            <w:color w:val="0000FF"/>
            <w:sz w:val="24"/>
            <w:szCs w:val="24"/>
            <w:u w:val="single"/>
            <w:lang w:val="en-US"/>
          </w:rPr>
          <w:t>https://doi.org/10.1161/CIRCULATIONAHA.109.912550</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Hahn, J. Y., Song, Y. B., Oh, J. H., Chun, W. J., Park, Y. H., Jang, W. J., Im, E. S., Jeong, J. O., Cho, B. R., Oh, S. K., Yun, K. H., Cho, D. K., Lee, J. Y., Koh, Y. Y., Bae, J. W., Choi, J. W., Lee, W. S., Yoon, H. J., Lee, S. U., … Gwon, H. C. (2019). Effect of P2Y12 inhibitor monotherapy vs dual antiplatelet therapy on cardiovascular events in patients undergoing percutaneous coronary intervention: The SMART-CHOICE randomized clinical trial. </w:t>
      </w:r>
      <w:r w:rsidRPr="00CF2BAC">
        <w:rPr>
          <w:rFonts w:ascii="Times New Roman" w:eastAsia="Times New Roman" w:hAnsi="Times New Roman" w:cs="Times New Roman"/>
          <w:i/>
          <w:iCs/>
          <w:sz w:val="24"/>
          <w:szCs w:val="24"/>
          <w:lang w:val="en-US"/>
        </w:rPr>
        <w:t>JAMA, 321</w:t>
      </w:r>
      <w:r w:rsidRPr="00CF2BAC">
        <w:rPr>
          <w:rFonts w:ascii="Times New Roman" w:eastAsia="Times New Roman" w:hAnsi="Times New Roman" w:cs="Times New Roman"/>
          <w:sz w:val="24"/>
          <w:szCs w:val="24"/>
          <w:lang w:val="en-US"/>
        </w:rPr>
        <w:t xml:space="preserve">(24), 2428–2437. </w:t>
      </w:r>
      <w:hyperlink r:id="rId16" w:history="1">
        <w:r w:rsidRPr="00CF2BAC">
          <w:rPr>
            <w:rFonts w:ascii="Times New Roman" w:eastAsia="Times New Roman" w:hAnsi="Times New Roman" w:cs="Times New Roman"/>
            <w:color w:val="0000FF"/>
            <w:sz w:val="24"/>
            <w:szCs w:val="24"/>
            <w:u w:val="single"/>
            <w:lang w:val="en-US"/>
          </w:rPr>
          <w:t>https://doi.org/10.1001/jama.2019.8146</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Ibanez, B., James, S., Agewall, S., Antunes, M. J., Bucciarelli-Ducci, C., Bueno, H., Caforio, A. L. P., Crea, F., Goudevenos, J. A., Halvorsen, S., Hindricks, G., Kastrati, A., Lenzen, M. J., Prescott, E., Roffi, M., Valgimigli, M., Varenhorst, C., Vranckx, P., &amp; Widimský, P. (2018). 2017 ESC guidelines for the management of acute myocardial infarction in patients presenting with ST-segment elevation. </w:t>
      </w:r>
      <w:r w:rsidRPr="00CF2BAC">
        <w:rPr>
          <w:rFonts w:ascii="Times New Roman" w:eastAsia="Times New Roman" w:hAnsi="Times New Roman" w:cs="Times New Roman"/>
          <w:i/>
          <w:iCs/>
          <w:sz w:val="24"/>
          <w:szCs w:val="24"/>
          <w:lang w:val="en-US"/>
        </w:rPr>
        <w:t>European Heart Journal, 39</w:t>
      </w:r>
      <w:r w:rsidRPr="00CF2BAC">
        <w:rPr>
          <w:rFonts w:ascii="Times New Roman" w:eastAsia="Times New Roman" w:hAnsi="Times New Roman" w:cs="Times New Roman"/>
          <w:sz w:val="24"/>
          <w:szCs w:val="24"/>
          <w:lang w:val="en-US"/>
        </w:rPr>
        <w:t xml:space="preserve">(2), 119–177. </w:t>
      </w:r>
      <w:hyperlink r:id="rId17" w:history="1">
        <w:r w:rsidRPr="00CF2BAC">
          <w:rPr>
            <w:rFonts w:ascii="Times New Roman" w:eastAsia="Times New Roman" w:hAnsi="Times New Roman" w:cs="Times New Roman"/>
            <w:color w:val="0000FF"/>
            <w:sz w:val="24"/>
            <w:szCs w:val="24"/>
            <w:u w:val="single"/>
            <w:lang w:val="en-US"/>
          </w:rPr>
          <w:t>https://doi.org/10.1093/eurheartj/ehx393</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Kim, B. K., Hong, S. J., Cho, Y. H., Yun, K. H., Kim, Y. H., Suh, Y., Cho, J. Y., Her, A. Y., Cho, S., Jeon, D. W., Shim, W. J., Bae, J. W., Han, K. R., Kwon, S. W., Lim, D. S., &amp; Hong, M. K. (2020). Effect of ticagrelor monotherapy vs ticagrelor with aspirin on major bleeding and cardiovascular events in patients with acute coronary syndrome: The TICO randomized clinical trial. </w:t>
      </w:r>
      <w:r w:rsidRPr="00CF2BAC">
        <w:rPr>
          <w:rFonts w:ascii="Times New Roman" w:eastAsia="Times New Roman" w:hAnsi="Times New Roman" w:cs="Times New Roman"/>
          <w:i/>
          <w:iCs/>
          <w:sz w:val="24"/>
          <w:szCs w:val="24"/>
          <w:lang w:val="en-US"/>
        </w:rPr>
        <w:t>JAMA, 323</w:t>
      </w:r>
      <w:r w:rsidRPr="00CF2BAC">
        <w:rPr>
          <w:rFonts w:ascii="Times New Roman" w:eastAsia="Times New Roman" w:hAnsi="Times New Roman" w:cs="Times New Roman"/>
          <w:sz w:val="24"/>
          <w:szCs w:val="24"/>
          <w:lang w:val="en-US"/>
        </w:rPr>
        <w:t xml:space="preserve">(23), 2407–2416. </w:t>
      </w:r>
      <w:hyperlink r:id="rId18" w:history="1">
        <w:r w:rsidRPr="00CF2BAC">
          <w:rPr>
            <w:rFonts w:ascii="Times New Roman" w:eastAsia="Times New Roman" w:hAnsi="Times New Roman" w:cs="Times New Roman"/>
            <w:color w:val="0000FF"/>
            <w:sz w:val="24"/>
            <w:szCs w:val="24"/>
            <w:u w:val="single"/>
            <w:lang w:val="en-US"/>
          </w:rPr>
          <w:t>https://doi.org/10.1001/jama.2020.7580</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Koo, B. K., Kang, J., Park, K. W., Rhee, T. M., Yang, H. M., Won, K. B., Rha, S. W., Bae, J. W., Lee, N. H., Hur, S. H., Yoon, H. J., Kim, H. J., Kim, S., Lee, S. Y., Ahn, H. S., Chun, K. J., Lee, J. H., Her, S. H., Hwang, K. K., … Kim, H. S. (2021). Aspirin versus clopidogrel for chronic maintenance monotherapy after percutaneous coronary intervention (HOST-EXAM): An investigator-initiated, prospective, randomised, open-label, multicentre trial. </w:t>
      </w:r>
      <w:r w:rsidRPr="00CF2BAC">
        <w:rPr>
          <w:rFonts w:ascii="Times New Roman" w:eastAsia="Times New Roman" w:hAnsi="Times New Roman" w:cs="Times New Roman"/>
          <w:i/>
          <w:iCs/>
          <w:sz w:val="24"/>
          <w:szCs w:val="24"/>
          <w:lang w:val="en-US"/>
        </w:rPr>
        <w:t>The Lancet, 397</w:t>
      </w:r>
      <w:r w:rsidRPr="00CF2BAC">
        <w:rPr>
          <w:rFonts w:ascii="Times New Roman" w:eastAsia="Times New Roman" w:hAnsi="Times New Roman" w:cs="Times New Roman"/>
          <w:sz w:val="24"/>
          <w:szCs w:val="24"/>
          <w:lang w:val="en-US"/>
        </w:rPr>
        <w:t xml:space="preserve">(10293), 2487–2496. </w:t>
      </w:r>
      <w:hyperlink r:id="rId19" w:history="1">
        <w:r w:rsidRPr="00CF2BAC">
          <w:rPr>
            <w:rFonts w:ascii="Times New Roman" w:eastAsia="Times New Roman" w:hAnsi="Times New Roman" w:cs="Times New Roman"/>
            <w:color w:val="0000FF"/>
            <w:sz w:val="24"/>
            <w:szCs w:val="24"/>
            <w:u w:val="single"/>
            <w:lang w:val="en-US"/>
          </w:rPr>
          <w:t>https://doi.org/10.1016/S0140-6736(21)01063-1</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Levine, G. N., Bates, E. R., Bittl, J. A., Brindis, R. G., Fihn, S. D., Fleisher, L. A., Granger, C. B., Lange, R. A., Mack, M. J., Mauri, L., Mehran, R., Mukherjee, D., Newby, L. K., O'Gara, P. T., Sabatine, M. S., Smith, P. K., &amp; Smith, S. C. (2016). 2016 ACC/AHA guideline focused update on duration of dual antiplatelet therapy in patients with coronary artery disease. </w:t>
      </w:r>
      <w:r w:rsidRPr="00CF2BAC">
        <w:rPr>
          <w:rFonts w:ascii="Times New Roman" w:eastAsia="Times New Roman" w:hAnsi="Times New Roman" w:cs="Times New Roman"/>
          <w:i/>
          <w:iCs/>
          <w:sz w:val="24"/>
          <w:szCs w:val="24"/>
          <w:lang w:val="en-US"/>
        </w:rPr>
        <w:t>Journal of the American College of Cardiology, 68</w:t>
      </w:r>
      <w:r w:rsidRPr="00CF2BAC">
        <w:rPr>
          <w:rFonts w:ascii="Times New Roman" w:eastAsia="Times New Roman" w:hAnsi="Times New Roman" w:cs="Times New Roman"/>
          <w:sz w:val="24"/>
          <w:szCs w:val="24"/>
          <w:lang w:val="en-US"/>
        </w:rPr>
        <w:t xml:space="preserve">(10), 1082–1115. </w:t>
      </w:r>
      <w:hyperlink r:id="rId20" w:history="1">
        <w:r w:rsidRPr="00CF2BAC">
          <w:rPr>
            <w:rFonts w:ascii="Times New Roman" w:eastAsia="Times New Roman" w:hAnsi="Times New Roman" w:cs="Times New Roman"/>
            <w:color w:val="0000FF"/>
            <w:sz w:val="24"/>
            <w:szCs w:val="24"/>
            <w:u w:val="single"/>
            <w:lang w:val="en-US"/>
          </w:rPr>
          <w:t>https://doi.org/10.1016/j.jacc.2016.03.513</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Lopes, R. D., Heizer, G., Aronson, R., Vora, A. N., Massaro, T., Mehran, R., Goodman, S. G., Windecker, S., Darius, H., Li, J., Averkov, O., Bahit, M. C., Berwanger, O., Budaj, A., Hijazi, Z., Parkhomenko, A., Sinnaeve, P., Storey, R. F., Thiele, H., … Alexander, J. H. (2019). Antithrombotic therapy after acute coronary syndrome or PCI in atrial fibrillation. </w:t>
      </w:r>
      <w:r w:rsidRPr="00CF2BAC">
        <w:rPr>
          <w:rFonts w:ascii="Times New Roman" w:eastAsia="Times New Roman" w:hAnsi="Times New Roman" w:cs="Times New Roman"/>
          <w:i/>
          <w:iCs/>
          <w:sz w:val="24"/>
          <w:szCs w:val="24"/>
          <w:lang w:val="en-US"/>
        </w:rPr>
        <w:t>New England Journal of Medicine, 380</w:t>
      </w:r>
      <w:r w:rsidRPr="00CF2BAC">
        <w:rPr>
          <w:rFonts w:ascii="Times New Roman" w:eastAsia="Times New Roman" w:hAnsi="Times New Roman" w:cs="Times New Roman"/>
          <w:sz w:val="24"/>
          <w:szCs w:val="24"/>
          <w:lang w:val="en-US"/>
        </w:rPr>
        <w:t xml:space="preserve">(16), 1509–1524. </w:t>
      </w:r>
      <w:hyperlink r:id="rId21" w:history="1">
        <w:r w:rsidRPr="00CF2BAC">
          <w:rPr>
            <w:rFonts w:ascii="Times New Roman" w:eastAsia="Times New Roman" w:hAnsi="Times New Roman" w:cs="Times New Roman"/>
            <w:color w:val="0000FF"/>
            <w:sz w:val="24"/>
            <w:szCs w:val="24"/>
            <w:u w:val="single"/>
            <w:lang w:val="en-US"/>
          </w:rPr>
          <w:t>https://doi.org/10.1056/NEJMoa1817083</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 xml:space="preserve">Mauri, L., Kereiakes, D. J., Yeh, R. W., Driscoll-Shempp, P., Cutlip, D. E., Steg, P. G., Normand, S. L. T., Braunwald, E., Wiviott, S. D., Cohen, D. J., Holmes, D. R., Krucoff, M. W., Hermiller, J., Dauerman, H. L., Simon, D. I., Kandzari, D. E., Garratt, K. N., Lee, D. P., Pow, T. K., … Massaro, J. M. (2014). Twelve or 30 months of dual antiplatelet therapy after drug-eluting stents. </w:t>
      </w:r>
      <w:r w:rsidRPr="00CF2BAC">
        <w:rPr>
          <w:rFonts w:ascii="Times New Roman" w:eastAsia="Times New Roman" w:hAnsi="Times New Roman" w:cs="Times New Roman"/>
          <w:i/>
          <w:iCs/>
          <w:sz w:val="24"/>
          <w:szCs w:val="24"/>
          <w:lang w:val="en-US"/>
        </w:rPr>
        <w:t>New England Journal of Medicine, 371</w:t>
      </w:r>
      <w:r w:rsidRPr="00CF2BAC">
        <w:rPr>
          <w:rFonts w:ascii="Times New Roman" w:eastAsia="Times New Roman" w:hAnsi="Times New Roman" w:cs="Times New Roman"/>
          <w:sz w:val="24"/>
          <w:szCs w:val="24"/>
          <w:lang w:val="en-US"/>
        </w:rPr>
        <w:t xml:space="preserve">(23), 2155–2166. </w:t>
      </w:r>
      <w:hyperlink r:id="rId22" w:history="1">
        <w:r w:rsidRPr="00CF2BAC">
          <w:rPr>
            <w:rFonts w:ascii="Times New Roman" w:eastAsia="Times New Roman" w:hAnsi="Times New Roman" w:cs="Times New Roman"/>
            <w:color w:val="0000FF"/>
            <w:sz w:val="24"/>
            <w:szCs w:val="24"/>
            <w:u w:val="single"/>
            <w:lang w:val="en-US"/>
          </w:rPr>
          <w:t>https://doi.org/10.1056/NEJMoa1409312</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Mehta, S. R., Bainey, K. R., Cantor, W. J., Lordkipanidzé, M., Marquis-Gravel, G., Robinson, S. D., Sibbald, M., So, D. Y., Welsh, R. C., Goodman, S. G., &amp; Bhatt, D. L. (2018). 2018 Canadian Cardiovascular Society/Canadian Association of Interventional Cardiology focused update of the guidelines for the use of antiplatelet therapy. </w:t>
      </w:r>
      <w:r w:rsidRPr="00CF2BAC">
        <w:rPr>
          <w:rFonts w:ascii="Times New Roman" w:eastAsia="Times New Roman" w:hAnsi="Times New Roman" w:cs="Times New Roman"/>
          <w:i/>
          <w:iCs/>
          <w:sz w:val="24"/>
          <w:szCs w:val="24"/>
          <w:lang w:val="en-US"/>
        </w:rPr>
        <w:t>Canadian Journal of Cardiology, 34</w:t>
      </w:r>
      <w:r w:rsidRPr="00CF2BAC">
        <w:rPr>
          <w:rFonts w:ascii="Times New Roman" w:eastAsia="Times New Roman" w:hAnsi="Times New Roman" w:cs="Times New Roman"/>
          <w:sz w:val="24"/>
          <w:szCs w:val="24"/>
          <w:lang w:val="en-US"/>
        </w:rPr>
        <w:t xml:space="preserve">(3), 214–233. </w:t>
      </w:r>
      <w:hyperlink r:id="rId23" w:history="1">
        <w:r w:rsidRPr="00CF2BAC">
          <w:rPr>
            <w:rFonts w:ascii="Times New Roman" w:eastAsia="Times New Roman" w:hAnsi="Times New Roman" w:cs="Times New Roman"/>
            <w:color w:val="0000FF"/>
            <w:sz w:val="24"/>
            <w:szCs w:val="24"/>
            <w:u w:val="single"/>
            <w:lang w:val="en-US"/>
          </w:rPr>
          <w:t>https://doi.org/10.1016/j.cjca.2017.12.012</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Mehta, S. R., Baber, U., Sharma, S. K., Dangas, G., Angiolillo, D. J., Cohen, M., Lopes, R. D., Goodman, S. G., Staniloae, C., Berland, J., Sartori, S., Zhang, Z., &amp; Bhatt, D. L. (2020). Ticagrelor monotherapy in patients with acute coronary syndrome: Insights from the TWILIGHT-ACS substudy. </w:t>
      </w:r>
      <w:r w:rsidRPr="00CF2BAC">
        <w:rPr>
          <w:rFonts w:ascii="Times New Roman" w:eastAsia="Times New Roman" w:hAnsi="Times New Roman" w:cs="Times New Roman"/>
          <w:i/>
          <w:iCs/>
          <w:sz w:val="24"/>
          <w:szCs w:val="24"/>
          <w:lang w:val="en-US"/>
        </w:rPr>
        <w:t>European Heart Journal, 41</w:t>
      </w:r>
      <w:r w:rsidRPr="00CF2BAC">
        <w:rPr>
          <w:rFonts w:ascii="Times New Roman" w:eastAsia="Times New Roman" w:hAnsi="Times New Roman" w:cs="Times New Roman"/>
          <w:sz w:val="24"/>
          <w:szCs w:val="24"/>
          <w:lang w:val="en-US"/>
        </w:rPr>
        <w:t xml:space="preserve">(48), 4557–4565. </w:t>
      </w:r>
      <w:hyperlink r:id="rId24" w:history="1">
        <w:r w:rsidRPr="00CF2BAC">
          <w:rPr>
            <w:rFonts w:ascii="Times New Roman" w:eastAsia="Times New Roman" w:hAnsi="Times New Roman" w:cs="Times New Roman"/>
            <w:color w:val="0000FF"/>
            <w:sz w:val="24"/>
            <w:szCs w:val="24"/>
            <w:u w:val="single"/>
            <w:lang w:val="en-US"/>
          </w:rPr>
          <w:t>https://doi.org/10.1093/eurheartj/ehaa803</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Sibbing, D., Aradi, D., Jacobshagen, C., Gross, L., Trenk, D., Geisler, T., Orban, M., Hadamitzky, M., Merkely, B., Kiss, R. G., Komócsi, A., Dézsi, C. A., Barthel, P., Morath, T., Huber, K., Neumann, F. J., Koltowski, L., Mehilli, J., Huczek, Z., &amp; Massberg, S. (2017). Guided de-escalation of antiplatelet treatment in patients with acute coronary syndrome undergoing percutaneous coronary intervention (TROPICAL-ACS): A randomised, open-label, multicentre trial. </w:t>
      </w:r>
      <w:r w:rsidRPr="00CF2BAC">
        <w:rPr>
          <w:rFonts w:ascii="Times New Roman" w:eastAsia="Times New Roman" w:hAnsi="Times New Roman" w:cs="Times New Roman"/>
          <w:i/>
          <w:iCs/>
          <w:sz w:val="24"/>
          <w:szCs w:val="24"/>
          <w:lang w:val="en-US"/>
        </w:rPr>
        <w:t>The Lancet, 390</w:t>
      </w:r>
      <w:r w:rsidRPr="00CF2BAC">
        <w:rPr>
          <w:rFonts w:ascii="Times New Roman" w:eastAsia="Times New Roman" w:hAnsi="Times New Roman" w:cs="Times New Roman"/>
          <w:sz w:val="24"/>
          <w:szCs w:val="24"/>
          <w:lang w:val="en-US"/>
        </w:rPr>
        <w:t xml:space="preserve">(10104), 1747–1757. </w:t>
      </w:r>
      <w:hyperlink r:id="rId25" w:history="1">
        <w:r w:rsidRPr="00CF2BAC">
          <w:rPr>
            <w:rFonts w:ascii="Times New Roman" w:eastAsia="Times New Roman" w:hAnsi="Times New Roman" w:cs="Times New Roman"/>
            <w:color w:val="0000FF"/>
            <w:sz w:val="24"/>
            <w:szCs w:val="24"/>
            <w:u w:val="single"/>
            <w:lang w:val="en-US"/>
          </w:rPr>
          <w:t>https://doi.org/10.1016/S0140-6736(17)32155-4</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Urban, P., Mehran, R., Colleran, R., Angiolillo, D. J., Byrne, R. A., Capodanno, D., Cuisset, T., Cutlip, D., Eerdmans, P., Eikelboom, J., Farb, A., Gibson, C. M., Gregson, J., Haude, M., James, S. K., Kim, H. S., Kimura, T., Konishi, A., Laschinger, J., … McFadden, E. (2019). Defining high bleeding risk in patients undergoing percutaneous coronary intervention. </w:t>
      </w:r>
      <w:r w:rsidRPr="00CF2BAC">
        <w:rPr>
          <w:rFonts w:ascii="Times New Roman" w:eastAsia="Times New Roman" w:hAnsi="Times New Roman" w:cs="Times New Roman"/>
          <w:i/>
          <w:iCs/>
          <w:sz w:val="24"/>
          <w:szCs w:val="24"/>
          <w:lang w:val="en-US"/>
        </w:rPr>
        <w:t>Circulation, 140</w:t>
      </w:r>
      <w:r w:rsidRPr="00CF2BAC">
        <w:rPr>
          <w:rFonts w:ascii="Times New Roman" w:eastAsia="Times New Roman" w:hAnsi="Times New Roman" w:cs="Times New Roman"/>
          <w:sz w:val="24"/>
          <w:szCs w:val="24"/>
          <w:lang w:val="en-US"/>
        </w:rPr>
        <w:t xml:space="preserve">(3), 240–261. </w:t>
      </w:r>
      <w:hyperlink r:id="rId26" w:history="1">
        <w:r w:rsidRPr="00CF2BAC">
          <w:rPr>
            <w:rFonts w:ascii="Times New Roman" w:eastAsia="Times New Roman" w:hAnsi="Times New Roman" w:cs="Times New Roman"/>
            <w:color w:val="0000FF"/>
            <w:sz w:val="24"/>
            <w:szCs w:val="24"/>
            <w:u w:val="single"/>
            <w:lang w:val="en-US"/>
          </w:rPr>
          <w:t>https://doi.org/10.1161/CIRCULATIONAHA.119.040167</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Valgimigli, M., Frigoli, E., Heg, D., Tijssen, J., Jüni, P., Vranckx, P., Ozaki, Y., Morice, M. C., Chevalier, B., Onuma, Y., Windecker, S., &amp; Leonardi, S. (2021). Dual antiplatelet therapy after PCI in patients at high bleeding risk. </w:t>
      </w:r>
      <w:r w:rsidRPr="00CF2BAC">
        <w:rPr>
          <w:rFonts w:ascii="Times New Roman" w:eastAsia="Times New Roman" w:hAnsi="Times New Roman" w:cs="Times New Roman"/>
          <w:i/>
          <w:iCs/>
          <w:sz w:val="24"/>
          <w:szCs w:val="24"/>
          <w:lang w:val="en-US"/>
        </w:rPr>
        <w:t>New England Journal of Medicine, 385</w:t>
      </w:r>
      <w:r w:rsidRPr="00CF2BAC">
        <w:rPr>
          <w:rFonts w:ascii="Times New Roman" w:eastAsia="Times New Roman" w:hAnsi="Times New Roman" w:cs="Times New Roman"/>
          <w:sz w:val="24"/>
          <w:szCs w:val="24"/>
          <w:lang w:val="en-US"/>
        </w:rPr>
        <w:t xml:space="preserve">(18), 1643–1655. </w:t>
      </w:r>
      <w:hyperlink r:id="rId27" w:history="1">
        <w:r w:rsidRPr="00CF2BAC">
          <w:rPr>
            <w:rFonts w:ascii="Times New Roman" w:eastAsia="Times New Roman" w:hAnsi="Times New Roman" w:cs="Times New Roman"/>
            <w:color w:val="0000FF"/>
            <w:sz w:val="24"/>
            <w:szCs w:val="24"/>
            <w:u w:val="single"/>
            <w:lang w:val="en-US"/>
          </w:rPr>
          <w:t>https://doi.org/10.1056/NEJMoa2108749</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Valgimigli, M., Bueno, H., Byrne, R. A., Collet, J. P., Costa, F., Jeppsson, A., Jüni, P., Kastrati, A., Kolh, P., Mauri, L., Mugelli, A., Neumann, F. J., Petricevic, M., Roffi, M., Steg, P. G., Windecker, S., Zamorano, J. L., &amp; Levine, G. N. (2018). 2017 ESC focused update on dual antiplatelet therapy in coronary artery disease. </w:t>
      </w:r>
      <w:r w:rsidRPr="00CF2BAC">
        <w:rPr>
          <w:rFonts w:ascii="Times New Roman" w:eastAsia="Times New Roman" w:hAnsi="Times New Roman" w:cs="Times New Roman"/>
          <w:i/>
          <w:iCs/>
          <w:sz w:val="24"/>
          <w:szCs w:val="24"/>
          <w:lang w:val="en-US"/>
        </w:rPr>
        <w:t>European Heart Journal, 39</w:t>
      </w:r>
      <w:r w:rsidRPr="00CF2BAC">
        <w:rPr>
          <w:rFonts w:ascii="Times New Roman" w:eastAsia="Times New Roman" w:hAnsi="Times New Roman" w:cs="Times New Roman"/>
          <w:sz w:val="24"/>
          <w:szCs w:val="24"/>
          <w:lang w:val="en-US"/>
        </w:rPr>
        <w:t xml:space="preserve">(3), 213–260. </w:t>
      </w:r>
      <w:hyperlink r:id="rId28" w:history="1">
        <w:r w:rsidRPr="00CF2BAC">
          <w:rPr>
            <w:rFonts w:ascii="Times New Roman" w:eastAsia="Times New Roman" w:hAnsi="Times New Roman" w:cs="Times New Roman"/>
            <w:color w:val="0000FF"/>
            <w:sz w:val="24"/>
            <w:szCs w:val="24"/>
            <w:u w:val="single"/>
            <w:lang w:val="en-US"/>
          </w:rPr>
          <w:t>https://doi.org/10.1093/eurheartj/ehx419</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Vranckx, P., Valgimigli, M., Jüni, P., Hamm, C., Steg, P. G., Heg, D., van Es, G. A., McFadden, E. P., Onuma, Y., van Meijeren, C., Chichareon, P., Benit, E., Möllmann, H., Janssens, L., Ferrario, M., Moschovitis, A., Zurakowski, A., Dominici, M., Van Geuns, R. J., … Serruys, P. W. (2018). Ticagrelor plus aspirin for 1 month, followed by ticagrelor monotherapy for 23 months vs aspirin plus clopidogrel for 12 months, followed by aspirin monotherapy for 12 months after implantation of a drug-eluting coronary stent: A </w:t>
      </w:r>
      <w:r w:rsidRPr="00CF2BAC">
        <w:rPr>
          <w:rFonts w:ascii="Times New Roman" w:eastAsia="Times New Roman" w:hAnsi="Times New Roman" w:cs="Times New Roman"/>
          <w:sz w:val="24"/>
          <w:szCs w:val="24"/>
          <w:lang w:val="en-US"/>
        </w:rPr>
        <w:lastRenderedPageBreak/>
        <w:t xml:space="preserve">multicentre, open-label, randomised superiority trial. </w:t>
      </w:r>
      <w:r w:rsidRPr="00CF2BAC">
        <w:rPr>
          <w:rFonts w:ascii="Times New Roman" w:eastAsia="Times New Roman" w:hAnsi="Times New Roman" w:cs="Times New Roman"/>
          <w:i/>
          <w:iCs/>
          <w:sz w:val="24"/>
          <w:szCs w:val="24"/>
          <w:lang w:val="en-US"/>
        </w:rPr>
        <w:t>The Lancet, 392</w:t>
      </w:r>
      <w:r w:rsidRPr="00CF2BAC">
        <w:rPr>
          <w:rFonts w:ascii="Times New Roman" w:eastAsia="Times New Roman" w:hAnsi="Times New Roman" w:cs="Times New Roman"/>
          <w:sz w:val="24"/>
          <w:szCs w:val="24"/>
          <w:lang w:val="en-US"/>
        </w:rPr>
        <w:t xml:space="preserve">(10151), 940–949. </w:t>
      </w:r>
      <w:hyperlink r:id="rId29" w:history="1">
        <w:r w:rsidRPr="00CF2BAC">
          <w:rPr>
            <w:rFonts w:ascii="Times New Roman" w:eastAsia="Times New Roman" w:hAnsi="Times New Roman" w:cs="Times New Roman"/>
            <w:color w:val="0000FF"/>
            <w:sz w:val="24"/>
            <w:szCs w:val="24"/>
            <w:u w:val="single"/>
            <w:lang w:val="en-US"/>
          </w:rPr>
          <w:t>https://doi.org/10.1016/S0140-6736(18)31858-0</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Wallentin, L., Becker, R. C., Budaj, A., Cannon, C. P., Emanuelsson, H., Held, C., Horrow, J., Husted, S., James, S., Katus, H., Mahaffey, K. W., Scirica, B. M., Skene, A., Steg, P. G., Storey, R. F., Harrington, R. A., Freij, A., &amp; Thorsén, M. (2009). Ticagrelor versus clopidogrel in patients with acute coronary syndromes. </w:t>
      </w:r>
      <w:r w:rsidRPr="00CF2BAC">
        <w:rPr>
          <w:rFonts w:ascii="Times New Roman" w:eastAsia="Times New Roman" w:hAnsi="Times New Roman" w:cs="Times New Roman"/>
          <w:i/>
          <w:iCs/>
          <w:sz w:val="24"/>
          <w:szCs w:val="24"/>
          <w:lang w:val="en-US"/>
        </w:rPr>
        <w:t>New England Journal of Medicine, 361</w:t>
      </w:r>
      <w:r w:rsidRPr="00CF2BAC">
        <w:rPr>
          <w:rFonts w:ascii="Times New Roman" w:eastAsia="Times New Roman" w:hAnsi="Times New Roman" w:cs="Times New Roman"/>
          <w:sz w:val="24"/>
          <w:szCs w:val="24"/>
          <w:lang w:val="en-US"/>
        </w:rPr>
        <w:t xml:space="preserve">(11), 1045–1057. </w:t>
      </w:r>
      <w:hyperlink r:id="rId30" w:history="1">
        <w:r w:rsidRPr="00CF2BAC">
          <w:rPr>
            <w:rFonts w:ascii="Times New Roman" w:eastAsia="Times New Roman" w:hAnsi="Times New Roman" w:cs="Times New Roman"/>
            <w:color w:val="0000FF"/>
            <w:sz w:val="24"/>
            <w:szCs w:val="24"/>
            <w:u w:val="single"/>
            <w:lang w:val="en-US"/>
          </w:rPr>
          <w:t>https://doi.org/10.1056/NEJMoa0904327</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Watanabe, H., Domei, T., Morimoto, T., Natsuaki, M., Shiomi, H., Toyota, T., Ohya, M., Suwa, S., Takagi, K., Nanasato, M., Hata, Y., Yagi, M., Suematsu, N., Yokomatsu, T., Ogawa, T., Okayama, H., Tsutsumi, Y., Kato, M., Abe, M., … Kimura, T. (2019). Effect of 1-month dual antiplatelet therapy followed by clopidogrel vs 12-month dual antiplatelet therapy on cardiovascular and bleeding events in patients receiving PCI: The STOPDAPT-2 randomized clinical trial. </w:t>
      </w:r>
      <w:r w:rsidRPr="00CF2BAC">
        <w:rPr>
          <w:rFonts w:ascii="Times New Roman" w:eastAsia="Times New Roman" w:hAnsi="Times New Roman" w:cs="Times New Roman"/>
          <w:i/>
          <w:iCs/>
          <w:sz w:val="24"/>
          <w:szCs w:val="24"/>
          <w:lang w:val="en-US"/>
        </w:rPr>
        <w:t>JAMA, 321</w:t>
      </w:r>
      <w:r w:rsidRPr="00CF2BAC">
        <w:rPr>
          <w:rFonts w:ascii="Times New Roman" w:eastAsia="Times New Roman" w:hAnsi="Times New Roman" w:cs="Times New Roman"/>
          <w:sz w:val="24"/>
          <w:szCs w:val="24"/>
          <w:lang w:val="en-US"/>
        </w:rPr>
        <w:t xml:space="preserve">(24), 2414–2427. </w:t>
      </w:r>
      <w:hyperlink r:id="rId31" w:history="1">
        <w:r w:rsidRPr="00CF2BAC">
          <w:rPr>
            <w:rFonts w:ascii="Times New Roman" w:eastAsia="Times New Roman" w:hAnsi="Times New Roman" w:cs="Times New Roman"/>
            <w:color w:val="0000FF"/>
            <w:sz w:val="24"/>
            <w:szCs w:val="24"/>
            <w:u w:val="single"/>
            <w:lang w:val="en-US"/>
          </w:rPr>
          <w:t>https://doi.org/10.1001/jama.2019.8145</w:t>
        </w:r>
      </w:hyperlink>
    </w:p>
    <w:p w:rsidR="00F9617F" w:rsidRDefault="00F9617F" w:rsidP="00CF2BAC">
      <w:pPr>
        <w:spacing w:before="100" w:beforeAutospacing="1" w:after="100" w:afterAutospacing="1" w:line="240" w:lineRule="auto"/>
        <w:rPr>
          <w:rFonts w:ascii="Times New Roman" w:eastAsia="Times New Roman" w:hAnsi="Times New Roman" w:cs="Times New Roman"/>
          <w:sz w:val="24"/>
          <w:szCs w:val="24"/>
          <w:lang w:val="en-US"/>
        </w:rPr>
      </w:pPr>
      <w:r w:rsidRPr="00F9617F">
        <w:rPr>
          <w:rFonts w:ascii="Times New Roman" w:eastAsia="Times New Roman" w:hAnsi="Times New Roman" w:cs="Times New Roman"/>
          <w:sz w:val="24"/>
          <w:szCs w:val="24"/>
          <w:lang w:val="en-US"/>
        </w:rPr>
        <w:t xml:space="preserve">Watanabe, H., Morimoto, T., Natsuaki, M., Yamamoto, K., Obayashi, Y., Ogita, M., Suwa, S., Isawa, T., Domei, T., Yamaji, K., Tatsushima, S., Watanabe, H., Ohya, M., Tokuyama, H., Tada, T., Sakamoto, H., Mori, H., Suzuki, H., Nishikura, T., Wakabayashi, K., … STOPDAPT-2 ACS Investigators (2022). Comparison of Clopidogrel Monotherapy After 1 to 2 Months of Dual Antiplatelet Therapy With 12 Months of Dual Antiplatelet Therapy in Patients </w:t>
      </w:r>
      <w:proofErr w:type="gramStart"/>
      <w:r w:rsidRPr="00F9617F">
        <w:rPr>
          <w:rFonts w:ascii="Times New Roman" w:eastAsia="Times New Roman" w:hAnsi="Times New Roman" w:cs="Times New Roman"/>
          <w:sz w:val="24"/>
          <w:szCs w:val="24"/>
          <w:lang w:val="en-US"/>
        </w:rPr>
        <w:t>With</w:t>
      </w:r>
      <w:proofErr w:type="gramEnd"/>
      <w:r w:rsidRPr="00F9617F">
        <w:rPr>
          <w:rFonts w:ascii="Times New Roman" w:eastAsia="Times New Roman" w:hAnsi="Times New Roman" w:cs="Times New Roman"/>
          <w:sz w:val="24"/>
          <w:szCs w:val="24"/>
          <w:lang w:val="en-US"/>
        </w:rPr>
        <w:t xml:space="preserve"> Acute Coronary Syndrome: The STOPDAPT-2 ACS Randomized Clinical Trial. JAMA cardiology, 7(4), 407–417. </w:t>
      </w:r>
      <w:hyperlink r:id="rId32" w:history="1">
        <w:r w:rsidRPr="00AA1487">
          <w:rPr>
            <w:rStyle w:val="Hyperlink"/>
            <w:rFonts w:ascii="Times New Roman" w:eastAsia="Times New Roman" w:hAnsi="Times New Roman" w:cs="Times New Roman"/>
            <w:sz w:val="24"/>
            <w:szCs w:val="24"/>
            <w:lang w:val="en-US"/>
          </w:rPr>
          <w:t>https://doi.org/10.1001/jamacardio.2021.5244</w:t>
        </w:r>
      </w:hyperlink>
      <w:r>
        <w:rPr>
          <w:rFonts w:ascii="Times New Roman" w:eastAsia="Times New Roman" w:hAnsi="Times New Roman" w:cs="Times New Roman"/>
          <w:sz w:val="24"/>
          <w:szCs w:val="24"/>
          <w:lang w:val="en-US"/>
        </w:rPr>
        <w:t xml:space="preserve"> </w:t>
      </w:r>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Wiviott, S. D., Braunwald, E., McCabe, C. H., Montalescot, G., Ruzyllo, W., Gottlieb, S., Neumann, F. J., Ardissino, D., De Servi, S., Murphy, S. A., Riesmeyer, J., Weerakkody, G., Gibson, C. M., &amp; Antman, E. M. (2007). Prasugrel versus clopidogrel in patients with acute coronary syndromes. </w:t>
      </w:r>
      <w:r w:rsidRPr="00CF2BAC">
        <w:rPr>
          <w:rFonts w:ascii="Times New Roman" w:eastAsia="Times New Roman" w:hAnsi="Times New Roman" w:cs="Times New Roman"/>
          <w:i/>
          <w:iCs/>
          <w:sz w:val="24"/>
          <w:szCs w:val="24"/>
          <w:lang w:val="en-US"/>
        </w:rPr>
        <w:t>New England Journal of Medicine, 357</w:t>
      </w:r>
      <w:r w:rsidRPr="00CF2BAC">
        <w:rPr>
          <w:rFonts w:ascii="Times New Roman" w:eastAsia="Times New Roman" w:hAnsi="Times New Roman" w:cs="Times New Roman"/>
          <w:sz w:val="24"/>
          <w:szCs w:val="24"/>
          <w:lang w:val="en-US"/>
        </w:rPr>
        <w:t xml:space="preserve">(20), 2001–2015. </w:t>
      </w:r>
      <w:hyperlink r:id="rId33" w:history="1">
        <w:r w:rsidRPr="00CF2BAC">
          <w:rPr>
            <w:rFonts w:ascii="Times New Roman" w:eastAsia="Times New Roman" w:hAnsi="Times New Roman" w:cs="Times New Roman"/>
            <w:color w:val="0000FF"/>
            <w:sz w:val="24"/>
            <w:szCs w:val="24"/>
            <w:u w:val="single"/>
            <w:lang w:val="en-US"/>
          </w:rPr>
          <w:t>https://doi.org/10.1056/NEJMoa0706482</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Yeh, R. W., Secemsky, E. A., Kereiakes, D. J., Normand, S. L. T., Gershlick, A. H., Cohen, D. J., Spertus, J. A., Steg, P. G., Cutlip, D. E., Rinaldi, M. J., Camenzind, E., Wijns, W., Apruzzese, P. K., Song, Y., Massaro, J. M., &amp; Mauri, L. (2016). Development and validation of a prediction rule for benefit and harm of dual antiplatelet therapy beyond 1 year after percutaneous coronary intervention. </w:t>
      </w:r>
      <w:r w:rsidRPr="00CF2BAC">
        <w:rPr>
          <w:rFonts w:ascii="Times New Roman" w:eastAsia="Times New Roman" w:hAnsi="Times New Roman" w:cs="Times New Roman"/>
          <w:i/>
          <w:iCs/>
          <w:sz w:val="24"/>
          <w:szCs w:val="24"/>
          <w:lang w:val="en-US"/>
        </w:rPr>
        <w:t>JAMA, 315</w:t>
      </w:r>
      <w:r w:rsidRPr="00CF2BAC">
        <w:rPr>
          <w:rFonts w:ascii="Times New Roman" w:eastAsia="Times New Roman" w:hAnsi="Times New Roman" w:cs="Times New Roman"/>
          <w:sz w:val="24"/>
          <w:szCs w:val="24"/>
          <w:lang w:val="en-US"/>
        </w:rPr>
        <w:t xml:space="preserve">(16), 1735–1749. </w:t>
      </w:r>
      <w:hyperlink r:id="rId34" w:history="1">
        <w:r w:rsidRPr="00CF2BAC">
          <w:rPr>
            <w:rFonts w:ascii="Times New Roman" w:eastAsia="Times New Roman" w:hAnsi="Times New Roman" w:cs="Times New Roman"/>
            <w:color w:val="0000FF"/>
            <w:sz w:val="24"/>
            <w:szCs w:val="24"/>
            <w:u w:val="single"/>
            <w:lang w:val="en-US"/>
          </w:rPr>
          <w:t>https://doi.org/10.1001/jama.2016.3775</w:t>
        </w:r>
      </w:hyperlink>
    </w:p>
    <w:p w:rsidR="00CF2BAC" w:rsidRPr="00CF2BAC" w:rsidRDefault="00CF2BAC" w:rsidP="00CF2BAC">
      <w:pPr>
        <w:spacing w:before="100" w:beforeAutospacing="1" w:after="100" w:afterAutospacing="1" w:line="240" w:lineRule="auto"/>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Yusuf, S., Zhao, F., Mehta, S. R., Chrolavicius, S., Tognoni, G., &amp; Fox, K. K. (2001). Effects of clopidogrel in addition to aspirin in patients with acute coronary syndromes without ST-segment elevation. </w:t>
      </w:r>
      <w:r w:rsidRPr="00CF2BAC">
        <w:rPr>
          <w:rFonts w:ascii="Times New Roman" w:eastAsia="Times New Roman" w:hAnsi="Times New Roman" w:cs="Times New Roman"/>
          <w:i/>
          <w:iCs/>
          <w:sz w:val="24"/>
          <w:szCs w:val="24"/>
          <w:lang w:val="en-US"/>
        </w:rPr>
        <w:t>New England Journal of Medicine, 345</w:t>
      </w:r>
      <w:r w:rsidRPr="00CF2BAC">
        <w:rPr>
          <w:rFonts w:ascii="Times New Roman" w:eastAsia="Times New Roman" w:hAnsi="Times New Roman" w:cs="Times New Roman"/>
          <w:sz w:val="24"/>
          <w:szCs w:val="24"/>
          <w:lang w:val="en-US"/>
        </w:rPr>
        <w:t xml:space="preserve">(7), 494–502. </w:t>
      </w:r>
      <w:hyperlink r:id="rId35" w:history="1">
        <w:r w:rsidRPr="00CF2BAC">
          <w:rPr>
            <w:rFonts w:ascii="Times New Roman" w:eastAsia="Times New Roman" w:hAnsi="Times New Roman" w:cs="Times New Roman"/>
            <w:color w:val="0000FF"/>
            <w:sz w:val="24"/>
            <w:szCs w:val="24"/>
            <w:u w:val="single"/>
            <w:lang w:val="en-US"/>
          </w:rPr>
          <w:t>https://doi.org/10.1056/NEJMoa010746</w:t>
        </w:r>
      </w:hyperlink>
    </w:p>
    <w:p w:rsidR="00D75C9D" w:rsidRDefault="00D75C9D"/>
    <w:sectPr w:rsidR="00D75C9D" w:rsidSect="00CB6EB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893" w:rsidRDefault="00644893" w:rsidP="00320BDD">
      <w:pPr>
        <w:spacing w:after="0" w:line="240" w:lineRule="auto"/>
      </w:pPr>
      <w:r>
        <w:separator/>
      </w:r>
    </w:p>
  </w:endnote>
  <w:endnote w:type="continuationSeparator" w:id="0">
    <w:p w:rsidR="00644893" w:rsidRDefault="00644893" w:rsidP="0032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893" w:rsidRDefault="00644893" w:rsidP="00320BDD">
      <w:pPr>
        <w:spacing w:after="0" w:line="240" w:lineRule="auto"/>
      </w:pPr>
      <w:r>
        <w:separator/>
      </w:r>
    </w:p>
  </w:footnote>
  <w:footnote w:type="continuationSeparator" w:id="0">
    <w:p w:rsidR="00644893" w:rsidRDefault="00644893" w:rsidP="0032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BAC"/>
    <w:rsid w:val="000A5838"/>
    <w:rsid w:val="001E4551"/>
    <w:rsid w:val="00320BDD"/>
    <w:rsid w:val="003A104D"/>
    <w:rsid w:val="00644893"/>
    <w:rsid w:val="007D5FED"/>
    <w:rsid w:val="00A2270F"/>
    <w:rsid w:val="00CB6EB6"/>
    <w:rsid w:val="00CF2BAC"/>
    <w:rsid w:val="00D75C9D"/>
    <w:rsid w:val="00F6047F"/>
    <w:rsid w:val="00F9617F"/>
    <w:rsid w:val="00FB6475"/>
    <w:rsid w:val="00FC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F2896A-89D5-493C-A2D8-30BFF2B3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0A5838"/>
    <w:rPr>
      <w:color w:val="0563C1" w:themeColor="hyperlink"/>
      <w:u w:val="single"/>
    </w:rPr>
  </w:style>
  <w:style w:type="paragraph" w:styleId="Header">
    <w:name w:val="header"/>
    <w:basedOn w:val="Normal"/>
    <w:link w:val="HeaderChar"/>
    <w:uiPriority w:val="99"/>
    <w:unhideWhenUsed/>
    <w:rsid w:val="003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BDD"/>
  </w:style>
  <w:style w:type="paragraph" w:styleId="Footer">
    <w:name w:val="footer"/>
    <w:basedOn w:val="Normal"/>
    <w:link w:val="FooterChar"/>
    <w:uiPriority w:val="99"/>
    <w:unhideWhenUsed/>
    <w:rsid w:val="003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338286">
      <w:bodyDiv w:val="1"/>
      <w:marLeft w:val="0"/>
      <w:marRight w:val="0"/>
      <w:marTop w:val="0"/>
      <w:marBottom w:val="0"/>
      <w:divBdr>
        <w:top w:val="none" w:sz="0" w:space="0" w:color="auto"/>
        <w:left w:val="none" w:sz="0" w:space="0" w:color="auto"/>
        <w:bottom w:val="none" w:sz="0" w:space="0" w:color="auto"/>
        <w:right w:val="none" w:sz="0" w:space="0" w:color="auto"/>
      </w:divBdr>
    </w:div>
    <w:div w:id="14476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0-6736(20)30325-1" TargetMode="External"/><Relationship Id="rId18" Type="http://schemas.openxmlformats.org/officeDocument/2006/relationships/hyperlink" Target="https://doi.org/10.1001/jama.2020.7580" TargetMode="External"/><Relationship Id="rId26" Type="http://schemas.openxmlformats.org/officeDocument/2006/relationships/hyperlink" Target="https://doi.org/10.1161/CIRCULATIONAHA.119.040167" TargetMode="External"/><Relationship Id="rId39" Type="http://schemas.openxmlformats.org/officeDocument/2006/relationships/footer" Target="footer2.xml"/><Relationship Id="rId21" Type="http://schemas.openxmlformats.org/officeDocument/2006/relationships/hyperlink" Target="https://doi.org/10.1056/NEJMoa1817083" TargetMode="External"/><Relationship Id="rId34" Type="http://schemas.openxmlformats.org/officeDocument/2006/relationships/hyperlink" Target="https://doi.org/10.1001/jama.2016.3775" TargetMode="External"/><Relationship Id="rId42" Type="http://schemas.openxmlformats.org/officeDocument/2006/relationships/fontTable" Target="fontTable.xml"/><Relationship Id="rId7" Type="http://schemas.openxmlformats.org/officeDocument/2006/relationships/hyperlink" Target="https://doi.org/10.1056/NEJMoa1908419" TargetMode="External"/><Relationship Id="rId2" Type="http://schemas.openxmlformats.org/officeDocument/2006/relationships/settings" Target="settings.xml"/><Relationship Id="rId16" Type="http://schemas.openxmlformats.org/officeDocument/2006/relationships/hyperlink" Target="https://doi.org/10.1001/jama.2019.8146" TargetMode="External"/><Relationship Id="rId20" Type="http://schemas.openxmlformats.org/officeDocument/2006/relationships/hyperlink" Target="https://doi.org/10.1016/j.jacc.2016.03.513" TargetMode="External"/><Relationship Id="rId29" Type="http://schemas.openxmlformats.org/officeDocument/2006/relationships/hyperlink" Target="https://doi.org/10.1016/S0140-6736(18)31858-0"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186/s41073-019-0064-8" TargetMode="External"/><Relationship Id="rId11" Type="http://schemas.openxmlformats.org/officeDocument/2006/relationships/hyperlink" Target="https://doi.org/10.1016/S0140-6736(17)30397-5" TargetMode="External"/><Relationship Id="rId24" Type="http://schemas.openxmlformats.org/officeDocument/2006/relationships/hyperlink" Target="https://doi.org/10.1093/eurheartj/ehaa803" TargetMode="External"/><Relationship Id="rId32" Type="http://schemas.openxmlformats.org/officeDocument/2006/relationships/hyperlink" Target="https://doi.org/10.1001/jamacardio.2021.524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61/CIRCULATIONAHA.109.912550" TargetMode="External"/><Relationship Id="rId23" Type="http://schemas.openxmlformats.org/officeDocument/2006/relationships/hyperlink" Target="https://doi.org/10.1016/j.cjca.2017.12.012" TargetMode="External"/><Relationship Id="rId28" Type="http://schemas.openxmlformats.org/officeDocument/2006/relationships/hyperlink" Target="https://doi.org/10.1093/eurheartj/ehx419" TargetMode="External"/><Relationship Id="rId36" Type="http://schemas.openxmlformats.org/officeDocument/2006/relationships/header" Target="header1.xml"/><Relationship Id="rId10" Type="http://schemas.openxmlformats.org/officeDocument/2006/relationships/hyperlink" Target="https://doi.org/10.1056/NEJMoa1907096" TargetMode="External"/><Relationship Id="rId19" Type="http://schemas.openxmlformats.org/officeDocument/2006/relationships/hyperlink" Target="https://doi.org/10.1016/S0140-6736(21)01063-1" TargetMode="External"/><Relationship Id="rId31" Type="http://schemas.openxmlformats.org/officeDocument/2006/relationships/hyperlink" Target="https://doi.org/10.1001/jama.2019.8145" TargetMode="External"/><Relationship Id="rId4" Type="http://schemas.openxmlformats.org/officeDocument/2006/relationships/footnotes" Target="footnotes.xml"/><Relationship Id="rId9" Type="http://schemas.openxmlformats.org/officeDocument/2006/relationships/hyperlink" Target="https://doi.org/10.1038/s41569-018-0049-1" TargetMode="External"/><Relationship Id="rId14" Type="http://schemas.openxmlformats.org/officeDocument/2006/relationships/hyperlink" Target="https://doi.org/10.1016/j.jacc.2022.11.041" TargetMode="External"/><Relationship Id="rId22" Type="http://schemas.openxmlformats.org/officeDocument/2006/relationships/hyperlink" Target="https://doi.org/10.1056/NEJMoa1409312" TargetMode="External"/><Relationship Id="rId27" Type="http://schemas.openxmlformats.org/officeDocument/2006/relationships/hyperlink" Target="https://doi.org/10.1056/NEJMoa2108749" TargetMode="External"/><Relationship Id="rId30" Type="http://schemas.openxmlformats.org/officeDocument/2006/relationships/hyperlink" Target="https://doi.org/10.1056/NEJMoa0904327" TargetMode="External"/><Relationship Id="rId35" Type="http://schemas.openxmlformats.org/officeDocument/2006/relationships/hyperlink" Target="https://doi.org/10.1056/NEJMoa010746" TargetMode="External"/><Relationship Id="rId43" Type="http://schemas.openxmlformats.org/officeDocument/2006/relationships/theme" Target="theme/theme1.xml"/><Relationship Id="rId8" Type="http://schemas.openxmlformats.org/officeDocument/2006/relationships/hyperlink" Target="https://doi.org/10.1093/eurheartj/ehad191" TargetMode="External"/><Relationship Id="rId3" Type="http://schemas.openxmlformats.org/officeDocument/2006/relationships/webSettings" Target="webSettings.xml"/><Relationship Id="rId12" Type="http://schemas.openxmlformats.org/officeDocument/2006/relationships/hyperlink" Target="https://doi.org/10.1056/NEJMra0801082" TargetMode="External"/><Relationship Id="rId17" Type="http://schemas.openxmlformats.org/officeDocument/2006/relationships/hyperlink" Target="https://doi.org/10.1093/eurheartj/ehx393" TargetMode="External"/><Relationship Id="rId25" Type="http://schemas.openxmlformats.org/officeDocument/2006/relationships/hyperlink" Target="https://doi.org/10.1016/S0140-6736(17)32155-4" TargetMode="External"/><Relationship Id="rId33" Type="http://schemas.openxmlformats.org/officeDocument/2006/relationships/hyperlink" Target="https://doi.org/10.1056/NEJMoa070648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10868</Words>
  <Characters>61949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4</cp:revision>
  <dcterms:created xsi:type="dcterms:W3CDTF">2026-05-09T11:37:00Z</dcterms:created>
  <dcterms:modified xsi:type="dcterms:W3CDTF">2026-05-09T13:35:00Z</dcterms:modified>
</cp:coreProperties>
</file>