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E7938" w14:textId="41271E6B" w:rsidR="004A2157" w:rsidRDefault="004A2157">
      <w:pPr>
        <w:pStyle w:val="Heading1"/>
        <w:spacing w:before="80" w:line="273" w:lineRule="auto"/>
        <w:ind w:left="1371" w:hanging="1221"/>
      </w:pPr>
      <w:r>
        <w:rPr>
          <w:color w:val="0C0C0C"/>
          <w:sz w:val="19"/>
        </w:rPr>
        <w:t>Case</w:t>
      </w:r>
      <w:r>
        <w:rPr>
          <w:color w:val="0C0C0C"/>
          <w:spacing w:val="-6"/>
          <w:sz w:val="19"/>
        </w:rPr>
        <w:t xml:space="preserve"> </w:t>
      </w:r>
      <w:r>
        <w:rPr>
          <w:color w:val="0C0C0C"/>
          <w:spacing w:val="-2"/>
          <w:sz w:val="19"/>
        </w:rPr>
        <w:t>report</w:t>
      </w:r>
    </w:p>
    <w:p w14:paraId="0AF05630" w14:textId="77777777" w:rsidR="004A2157" w:rsidRDefault="004A2157">
      <w:pPr>
        <w:pStyle w:val="Heading1"/>
        <w:spacing w:before="80" w:line="273" w:lineRule="auto"/>
        <w:ind w:left="1371" w:hanging="1221"/>
      </w:pPr>
    </w:p>
    <w:p w14:paraId="01207061" w14:textId="036D15F7" w:rsidR="002A190D" w:rsidRDefault="00F30076">
      <w:pPr>
        <w:pStyle w:val="Heading1"/>
        <w:spacing w:before="80" w:line="273" w:lineRule="auto"/>
        <w:ind w:left="1371" w:hanging="1221"/>
      </w:pPr>
      <w:r>
        <w:t>Late</w:t>
      </w:r>
      <w:r>
        <w:rPr>
          <w:rFonts w:ascii="Arial MT"/>
          <w:b w:val="0"/>
        </w:rPr>
        <w:t>-</w:t>
      </w:r>
      <w:r>
        <w:t>Presenting</w:t>
      </w:r>
      <w:r>
        <w:rPr>
          <w:spacing w:val="-7"/>
        </w:rPr>
        <w:t xml:space="preserve"> </w:t>
      </w:r>
      <w:r>
        <w:t>Congenital</w:t>
      </w:r>
      <w:r>
        <w:rPr>
          <w:spacing w:val="-7"/>
        </w:rPr>
        <w:t xml:space="preserve"> </w:t>
      </w:r>
      <w:r>
        <w:t>Diaphragmatic</w:t>
      </w:r>
      <w:r>
        <w:rPr>
          <w:spacing w:val="-4"/>
        </w:rPr>
        <w:t xml:space="preserve"> </w:t>
      </w:r>
      <w:r>
        <w:t>Hernia</w:t>
      </w:r>
      <w:r>
        <w:rPr>
          <w:spacing w:val="-4"/>
        </w:rPr>
        <w:t xml:space="preserve"> </w:t>
      </w:r>
      <w:r>
        <w:t>in</w:t>
      </w:r>
      <w:r>
        <w:rPr>
          <w:spacing w:val="-7"/>
        </w:rPr>
        <w:t xml:space="preserve"> </w:t>
      </w:r>
      <w:r>
        <w:t>an</w:t>
      </w:r>
      <w:r>
        <w:rPr>
          <w:spacing w:val="-7"/>
        </w:rPr>
        <w:t xml:space="preserve"> </w:t>
      </w:r>
      <w:r>
        <w:t>adolescent</w:t>
      </w:r>
      <w:r>
        <w:rPr>
          <w:spacing w:val="-5"/>
        </w:rPr>
        <w:t xml:space="preserve"> </w:t>
      </w:r>
      <w:r>
        <w:t>with</w:t>
      </w:r>
      <w:r>
        <w:rPr>
          <w:spacing w:val="-7"/>
        </w:rPr>
        <w:t xml:space="preserve"> </w:t>
      </w:r>
      <w:r>
        <w:t>Gastric Volvulus and Intrathoracic Ectopic Kidney: A Case Report</w:t>
      </w:r>
    </w:p>
    <w:p w14:paraId="12268DB9" w14:textId="77777777" w:rsidR="004A2157" w:rsidRDefault="004A2157">
      <w:pPr>
        <w:pStyle w:val="Heading1"/>
        <w:spacing w:before="80" w:line="273" w:lineRule="auto"/>
        <w:ind w:left="1371" w:hanging="1221"/>
      </w:pPr>
    </w:p>
    <w:p w14:paraId="5483EA3E" w14:textId="77777777" w:rsidR="002A190D" w:rsidRDefault="002A190D">
      <w:pPr>
        <w:pStyle w:val="BodyText"/>
        <w:rPr>
          <w:rFonts w:ascii="Arial"/>
          <w:b/>
          <w:sz w:val="24"/>
        </w:rPr>
      </w:pPr>
    </w:p>
    <w:p w14:paraId="63BE1E6B" w14:textId="77777777" w:rsidR="002A190D" w:rsidRDefault="002A190D">
      <w:pPr>
        <w:pStyle w:val="BodyText"/>
        <w:spacing w:before="88"/>
        <w:rPr>
          <w:rFonts w:ascii="Arial"/>
          <w:b/>
          <w:sz w:val="24"/>
        </w:rPr>
      </w:pPr>
    </w:p>
    <w:p w14:paraId="0FA1E8A2" w14:textId="77777777" w:rsidR="002A190D" w:rsidRDefault="00F30076">
      <w:pPr>
        <w:pStyle w:val="Heading2"/>
        <w:ind w:left="0" w:firstLine="0"/>
      </w:pPr>
      <w:r>
        <w:rPr>
          <w:spacing w:val="-2"/>
        </w:rPr>
        <w:t>ABSTRACT</w:t>
      </w:r>
    </w:p>
    <w:p w14:paraId="516648B2" w14:textId="77777777" w:rsidR="002A190D" w:rsidRDefault="00F30076">
      <w:pPr>
        <w:pStyle w:val="Heading3"/>
        <w:spacing w:before="197"/>
      </w:pPr>
      <w:r>
        <w:rPr>
          <w:spacing w:val="-2"/>
        </w:rPr>
        <w:t>Background:</w:t>
      </w:r>
    </w:p>
    <w:p w14:paraId="5BFFB732" w14:textId="77777777" w:rsidR="002A190D" w:rsidRDefault="00F30076">
      <w:pPr>
        <w:pStyle w:val="BodyText"/>
        <w:spacing w:before="201" w:line="276" w:lineRule="auto"/>
        <w:ind w:right="362"/>
        <w:jc w:val="both"/>
      </w:pPr>
      <w:r>
        <w:t>Late-presenting</w:t>
      </w:r>
      <w:r>
        <w:rPr>
          <w:spacing w:val="-14"/>
        </w:rPr>
        <w:t xml:space="preserve"> </w:t>
      </w:r>
      <w:r>
        <w:t>congenital</w:t>
      </w:r>
      <w:r>
        <w:rPr>
          <w:spacing w:val="-14"/>
        </w:rPr>
        <w:t xml:space="preserve"> </w:t>
      </w:r>
      <w:r>
        <w:t>diaphragmatic</w:t>
      </w:r>
      <w:r>
        <w:rPr>
          <w:spacing w:val="-14"/>
        </w:rPr>
        <w:t xml:space="preserve"> </w:t>
      </w:r>
      <w:r>
        <w:t>hernia</w:t>
      </w:r>
      <w:r>
        <w:rPr>
          <w:spacing w:val="-14"/>
        </w:rPr>
        <w:t xml:space="preserve"> </w:t>
      </w:r>
      <w:r>
        <w:t>(CDH)</w:t>
      </w:r>
      <w:r>
        <w:rPr>
          <w:spacing w:val="-14"/>
        </w:rPr>
        <w:t xml:space="preserve"> </w:t>
      </w:r>
      <w:r>
        <w:t>is</w:t>
      </w:r>
      <w:r>
        <w:rPr>
          <w:spacing w:val="-14"/>
        </w:rPr>
        <w:t xml:space="preserve"> </w:t>
      </w:r>
      <w:r>
        <w:t>a</w:t>
      </w:r>
      <w:r>
        <w:rPr>
          <w:spacing w:val="-14"/>
        </w:rPr>
        <w:t xml:space="preserve"> </w:t>
      </w:r>
      <w:r>
        <w:t>rare</w:t>
      </w:r>
      <w:r>
        <w:rPr>
          <w:spacing w:val="-14"/>
        </w:rPr>
        <w:t xml:space="preserve"> </w:t>
      </w:r>
      <w:r>
        <w:t>condition</w:t>
      </w:r>
      <w:r>
        <w:rPr>
          <w:spacing w:val="-14"/>
        </w:rPr>
        <w:t xml:space="preserve"> </w:t>
      </w:r>
      <w:r>
        <w:t>in</w:t>
      </w:r>
      <w:r>
        <w:rPr>
          <w:spacing w:val="-13"/>
        </w:rPr>
        <w:t xml:space="preserve"> </w:t>
      </w:r>
      <w:r>
        <w:t>adolescents,</w:t>
      </w:r>
      <w:r>
        <w:rPr>
          <w:spacing w:val="-14"/>
        </w:rPr>
        <w:t xml:space="preserve"> </w:t>
      </w:r>
      <w:r>
        <w:t>often</w:t>
      </w:r>
      <w:r>
        <w:rPr>
          <w:spacing w:val="-14"/>
        </w:rPr>
        <w:t xml:space="preserve"> </w:t>
      </w:r>
      <w:r>
        <w:t>manifesting with non-specific gastrointestinal symptoms that mask the underlying diagnosis. The simultaneous occurrence of gastric volvulus, pancreatitis due to herniation, and intrathoracic ectopic kidney in a single patient represents an exceptionally rare constellation of findings.</w:t>
      </w:r>
    </w:p>
    <w:p w14:paraId="7C23CD88" w14:textId="77777777" w:rsidR="002A190D" w:rsidRDefault="00F30076">
      <w:pPr>
        <w:pStyle w:val="Heading3"/>
        <w:spacing w:before="159"/>
      </w:pPr>
      <w:r>
        <w:t xml:space="preserve">Case </w:t>
      </w:r>
      <w:r>
        <w:rPr>
          <w:spacing w:val="-2"/>
        </w:rPr>
        <w:t>Presentation:</w:t>
      </w:r>
    </w:p>
    <w:p w14:paraId="0490C87B" w14:textId="77777777" w:rsidR="002A190D" w:rsidRDefault="00F30076">
      <w:pPr>
        <w:pStyle w:val="BodyText"/>
        <w:spacing w:before="201" w:line="276" w:lineRule="auto"/>
        <w:ind w:right="356"/>
        <w:jc w:val="both"/>
      </w:pPr>
      <w:r>
        <w:t>A 15-year-old male presented with a three-day history of acute-onset abdominal pain and recurrent non-bilious</w:t>
      </w:r>
      <w:r>
        <w:rPr>
          <w:spacing w:val="-14"/>
        </w:rPr>
        <w:t xml:space="preserve"> </w:t>
      </w:r>
      <w:r>
        <w:t>vomiting</w:t>
      </w:r>
      <w:r>
        <w:rPr>
          <w:spacing w:val="-14"/>
        </w:rPr>
        <w:t xml:space="preserve"> </w:t>
      </w:r>
      <w:r>
        <w:t>following</w:t>
      </w:r>
      <w:r>
        <w:rPr>
          <w:spacing w:val="-14"/>
        </w:rPr>
        <w:t xml:space="preserve"> </w:t>
      </w:r>
      <w:r>
        <w:t>an</w:t>
      </w:r>
      <w:r>
        <w:rPr>
          <w:spacing w:val="-14"/>
        </w:rPr>
        <w:t xml:space="preserve"> </w:t>
      </w:r>
      <w:r>
        <w:t>episode</w:t>
      </w:r>
      <w:r>
        <w:rPr>
          <w:spacing w:val="-14"/>
        </w:rPr>
        <w:t xml:space="preserve"> </w:t>
      </w:r>
      <w:r>
        <w:t>of</w:t>
      </w:r>
      <w:r>
        <w:rPr>
          <w:spacing w:val="-14"/>
        </w:rPr>
        <w:t xml:space="preserve"> </w:t>
      </w:r>
      <w:r>
        <w:t>heavy</w:t>
      </w:r>
      <w:r>
        <w:rPr>
          <w:spacing w:val="-14"/>
        </w:rPr>
        <w:t xml:space="preserve"> </w:t>
      </w:r>
      <w:r>
        <w:t>lifting.</w:t>
      </w:r>
      <w:r>
        <w:rPr>
          <w:spacing w:val="-14"/>
        </w:rPr>
        <w:t xml:space="preserve"> </w:t>
      </w:r>
      <w:r>
        <w:t>Examination</w:t>
      </w:r>
      <w:r>
        <w:rPr>
          <w:spacing w:val="-14"/>
        </w:rPr>
        <w:t xml:space="preserve"> </w:t>
      </w:r>
      <w:r>
        <w:t>was</w:t>
      </w:r>
      <w:r>
        <w:rPr>
          <w:spacing w:val="-13"/>
        </w:rPr>
        <w:t xml:space="preserve"> </w:t>
      </w:r>
      <w:r>
        <w:t>normal</w:t>
      </w:r>
      <w:r>
        <w:rPr>
          <w:spacing w:val="-14"/>
        </w:rPr>
        <w:t xml:space="preserve"> </w:t>
      </w:r>
      <w:r>
        <w:t>except</w:t>
      </w:r>
      <w:r>
        <w:rPr>
          <w:spacing w:val="-14"/>
        </w:rPr>
        <w:t xml:space="preserve"> </w:t>
      </w:r>
      <w:r>
        <w:t>for</w:t>
      </w:r>
      <w:r>
        <w:rPr>
          <w:spacing w:val="-14"/>
        </w:rPr>
        <w:t xml:space="preserve"> </w:t>
      </w:r>
      <w:r>
        <w:t>the</w:t>
      </w:r>
      <w:r>
        <w:rPr>
          <w:spacing w:val="-14"/>
        </w:rPr>
        <w:t xml:space="preserve"> </w:t>
      </w:r>
      <w:r>
        <w:t>elevated</w:t>
      </w:r>
      <w:r>
        <w:rPr>
          <w:spacing w:val="-14"/>
        </w:rPr>
        <w:t xml:space="preserve"> </w:t>
      </w:r>
      <w:r>
        <w:t>serum amylase (625 U/L) and lipase (723 U/L), suggestive of pancreatitis. Contrast-enhanced computed tomography</w:t>
      </w:r>
      <w:r>
        <w:rPr>
          <w:spacing w:val="-11"/>
        </w:rPr>
        <w:t xml:space="preserve"> </w:t>
      </w:r>
      <w:r>
        <w:t>revealed</w:t>
      </w:r>
      <w:r>
        <w:rPr>
          <w:spacing w:val="-10"/>
        </w:rPr>
        <w:t xml:space="preserve"> </w:t>
      </w:r>
      <w:r>
        <w:t>a</w:t>
      </w:r>
      <w:r>
        <w:rPr>
          <w:spacing w:val="-14"/>
        </w:rPr>
        <w:t xml:space="preserve"> </w:t>
      </w:r>
      <w:r>
        <w:t>large</w:t>
      </w:r>
      <w:r>
        <w:rPr>
          <w:spacing w:val="-10"/>
        </w:rPr>
        <w:t xml:space="preserve"> </w:t>
      </w:r>
      <w:r>
        <w:t>left-sided</w:t>
      </w:r>
      <w:r>
        <w:rPr>
          <w:spacing w:val="-10"/>
        </w:rPr>
        <w:t xml:space="preserve"> </w:t>
      </w:r>
      <w:r>
        <w:t>defect</w:t>
      </w:r>
      <w:r>
        <w:rPr>
          <w:spacing w:val="-14"/>
        </w:rPr>
        <w:t xml:space="preserve"> </w:t>
      </w:r>
      <w:r>
        <w:t>(96</w:t>
      </w:r>
      <w:r>
        <w:rPr>
          <w:spacing w:val="-10"/>
        </w:rPr>
        <w:t xml:space="preserve"> </w:t>
      </w:r>
      <w:r>
        <w:t>mm)</w:t>
      </w:r>
      <w:r>
        <w:rPr>
          <w:spacing w:val="-11"/>
        </w:rPr>
        <w:t xml:space="preserve"> </w:t>
      </w:r>
      <w:r>
        <w:t>with</w:t>
      </w:r>
      <w:r>
        <w:rPr>
          <w:spacing w:val="-14"/>
        </w:rPr>
        <w:t xml:space="preserve"> </w:t>
      </w:r>
      <w:r>
        <w:t>herniation</w:t>
      </w:r>
      <w:r>
        <w:rPr>
          <w:spacing w:val="-10"/>
        </w:rPr>
        <w:t xml:space="preserve"> </w:t>
      </w:r>
      <w:r>
        <w:t>of</w:t>
      </w:r>
      <w:r>
        <w:rPr>
          <w:spacing w:val="-10"/>
        </w:rPr>
        <w:t xml:space="preserve"> </w:t>
      </w:r>
      <w:r>
        <w:t>the</w:t>
      </w:r>
      <w:r>
        <w:rPr>
          <w:spacing w:val="-10"/>
        </w:rPr>
        <w:t xml:space="preserve"> </w:t>
      </w:r>
      <w:r>
        <w:t>stomach,</w:t>
      </w:r>
      <w:r>
        <w:rPr>
          <w:spacing w:val="-10"/>
        </w:rPr>
        <w:t xml:space="preserve"> </w:t>
      </w:r>
      <w:r>
        <w:t>jejunal</w:t>
      </w:r>
      <w:r>
        <w:rPr>
          <w:spacing w:val="-9"/>
        </w:rPr>
        <w:t xml:space="preserve"> </w:t>
      </w:r>
      <w:r>
        <w:t>loops,</w:t>
      </w:r>
      <w:r>
        <w:rPr>
          <w:spacing w:val="-10"/>
        </w:rPr>
        <w:t xml:space="preserve"> </w:t>
      </w:r>
      <w:r>
        <w:t>splenic flexure/descending</w:t>
      </w:r>
      <w:r>
        <w:rPr>
          <w:spacing w:val="-5"/>
        </w:rPr>
        <w:t xml:space="preserve"> </w:t>
      </w:r>
      <w:r>
        <w:t>colon,</w:t>
      </w:r>
      <w:r>
        <w:rPr>
          <w:spacing w:val="-5"/>
        </w:rPr>
        <w:t xml:space="preserve"> </w:t>
      </w:r>
      <w:r>
        <w:t>spleen,</w:t>
      </w:r>
      <w:r>
        <w:rPr>
          <w:spacing w:val="-4"/>
        </w:rPr>
        <w:t xml:space="preserve"> </w:t>
      </w:r>
      <w:r>
        <w:t>pancreas and an</w:t>
      </w:r>
      <w:r>
        <w:rPr>
          <w:spacing w:val="-5"/>
        </w:rPr>
        <w:t xml:space="preserve"> </w:t>
      </w:r>
      <w:r>
        <w:t>intrathoracic</w:t>
      </w:r>
      <w:r>
        <w:rPr>
          <w:spacing w:val="-4"/>
        </w:rPr>
        <w:t xml:space="preserve"> </w:t>
      </w:r>
      <w:r>
        <w:t>ectopic</w:t>
      </w:r>
      <w:r>
        <w:rPr>
          <w:spacing w:val="-3"/>
        </w:rPr>
        <w:t xml:space="preserve"> </w:t>
      </w:r>
      <w:r>
        <w:t>kidney,</w:t>
      </w:r>
      <w:r>
        <w:rPr>
          <w:spacing w:val="-5"/>
        </w:rPr>
        <w:t xml:space="preserve"> </w:t>
      </w:r>
      <w:r>
        <w:t>along</w:t>
      </w:r>
      <w:r>
        <w:rPr>
          <w:spacing w:val="-5"/>
        </w:rPr>
        <w:t xml:space="preserve"> </w:t>
      </w:r>
      <w:r>
        <w:t>with</w:t>
      </w:r>
      <w:r>
        <w:rPr>
          <w:spacing w:val="-5"/>
        </w:rPr>
        <w:t xml:space="preserve"> </w:t>
      </w:r>
      <w:r>
        <w:t>marked gastric distension indicating volvulus. A laparoscopic approach was attempted but converted to open laparotomy due to the bulk of herniated contents. The herniated viscera were reduced into the abdominal cavity. Primary diaphragmatic repair was achieved using interrupted non-absorbable sutures without prosthetic mesh. Postoperative recovery was uneventful with normal renal and pancreatic markers. The patient was discharged on postoperative day five.</w:t>
      </w:r>
    </w:p>
    <w:p w14:paraId="4167C3B7" w14:textId="77777777" w:rsidR="002A190D" w:rsidRDefault="00F30076">
      <w:pPr>
        <w:pStyle w:val="Heading3"/>
      </w:pPr>
      <w:r>
        <w:rPr>
          <w:spacing w:val="-2"/>
        </w:rPr>
        <w:t>Conclusion:</w:t>
      </w:r>
    </w:p>
    <w:p w14:paraId="44CC23B0" w14:textId="77777777" w:rsidR="002A190D" w:rsidRDefault="00F30076">
      <w:pPr>
        <w:pStyle w:val="BodyText"/>
        <w:spacing w:before="201" w:line="276" w:lineRule="auto"/>
        <w:ind w:right="357"/>
        <w:jc w:val="both"/>
      </w:pPr>
      <w:r>
        <w:t>This</w:t>
      </w:r>
      <w:r>
        <w:rPr>
          <w:spacing w:val="-8"/>
        </w:rPr>
        <w:t xml:space="preserve"> </w:t>
      </w:r>
      <w:r>
        <w:t>case</w:t>
      </w:r>
      <w:r>
        <w:rPr>
          <w:spacing w:val="-9"/>
        </w:rPr>
        <w:t xml:space="preserve"> </w:t>
      </w:r>
      <w:r>
        <w:t>highlights</w:t>
      </w:r>
      <w:r>
        <w:rPr>
          <w:spacing w:val="-9"/>
        </w:rPr>
        <w:t xml:space="preserve"> </w:t>
      </w:r>
      <w:r>
        <w:t>the</w:t>
      </w:r>
      <w:r>
        <w:rPr>
          <w:spacing w:val="-9"/>
        </w:rPr>
        <w:t xml:space="preserve"> </w:t>
      </w:r>
      <w:r>
        <w:t>importance</w:t>
      </w:r>
      <w:r>
        <w:rPr>
          <w:spacing w:val="-9"/>
        </w:rPr>
        <w:t xml:space="preserve"> </w:t>
      </w:r>
      <w:r>
        <w:t>of</w:t>
      </w:r>
      <w:r>
        <w:rPr>
          <w:spacing w:val="-4"/>
        </w:rPr>
        <w:t xml:space="preserve"> </w:t>
      </w:r>
      <w:r>
        <w:t>maintaining</w:t>
      </w:r>
      <w:r>
        <w:rPr>
          <w:spacing w:val="-9"/>
        </w:rPr>
        <w:t xml:space="preserve"> </w:t>
      </w:r>
      <w:r>
        <w:t>a</w:t>
      </w:r>
      <w:r>
        <w:rPr>
          <w:spacing w:val="-4"/>
        </w:rPr>
        <w:t xml:space="preserve"> </w:t>
      </w:r>
      <w:r>
        <w:t>high</w:t>
      </w:r>
      <w:r>
        <w:rPr>
          <w:spacing w:val="-4"/>
        </w:rPr>
        <w:t xml:space="preserve"> </w:t>
      </w:r>
      <w:r>
        <w:t>suspicion</w:t>
      </w:r>
      <w:r>
        <w:rPr>
          <w:spacing w:val="-9"/>
        </w:rPr>
        <w:t xml:space="preserve"> </w:t>
      </w:r>
      <w:r>
        <w:t>for</w:t>
      </w:r>
      <w:r>
        <w:rPr>
          <w:spacing w:val="-10"/>
        </w:rPr>
        <w:t xml:space="preserve"> </w:t>
      </w:r>
      <w:r>
        <w:t>CDH</w:t>
      </w:r>
      <w:r>
        <w:rPr>
          <w:spacing w:val="-8"/>
        </w:rPr>
        <w:t xml:space="preserve"> </w:t>
      </w:r>
      <w:r>
        <w:t>in</w:t>
      </w:r>
      <w:r>
        <w:rPr>
          <w:spacing w:val="-9"/>
        </w:rPr>
        <w:t xml:space="preserve"> </w:t>
      </w:r>
      <w:r>
        <w:t>adolescents</w:t>
      </w:r>
      <w:r>
        <w:rPr>
          <w:spacing w:val="-9"/>
        </w:rPr>
        <w:t xml:space="preserve"> </w:t>
      </w:r>
      <w:r>
        <w:t>presenting</w:t>
      </w:r>
      <w:r>
        <w:rPr>
          <w:spacing w:val="-9"/>
        </w:rPr>
        <w:t xml:space="preserve"> </w:t>
      </w:r>
      <w:r>
        <w:t>with unexplained gastrointestinal obstruction. The concurrent findings of gastric volvulus, pancreatitis due to herniation, and intrathoracic ectopic kidney reflect the wide spectrum of visceral involvement possible in late-presenting</w:t>
      </w:r>
      <w:r>
        <w:rPr>
          <w:spacing w:val="-14"/>
        </w:rPr>
        <w:t xml:space="preserve"> </w:t>
      </w:r>
      <w:r>
        <w:t>CDH.</w:t>
      </w:r>
      <w:r>
        <w:rPr>
          <w:spacing w:val="-14"/>
        </w:rPr>
        <w:t xml:space="preserve"> </w:t>
      </w:r>
      <w:r>
        <w:t>Cross-sectional</w:t>
      </w:r>
      <w:r>
        <w:rPr>
          <w:spacing w:val="-14"/>
        </w:rPr>
        <w:t xml:space="preserve"> </w:t>
      </w:r>
      <w:r>
        <w:t>imaging</w:t>
      </w:r>
      <w:r>
        <w:rPr>
          <w:spacing w:val="-14"/>
        </w:rPr>
        <w:t xml:space="preserve"> </w:t>
      </w:r>
      <w:r>
        <w:t>plays</w:t>
      </w:r>
      <w:r>
        <w:rPr>
          <w:spacing w:val="-14"/>
        </w:rPr>
        <w:t xml:space="preserve"> </w:t>
      </w:r>
      <w:r>
        <w:t>an</w:t>
      </w:r>
      <w:r>
        <w:rPr>
          <w:spacing w:val="-14"/>
        </w:rPr>
        <w:t xml:space="preserve"> </w:t>
      </w:r>
      <w:r>
        <w:t>important</w:t>
      </w:r>
      <w:r>
        <w:rPr>
          <w:spacing w:val="-14"/>
        </w:rPr>
        <w:t xml:space="preserve"> </w:t>
      </w:r>
      <w:r>
        <w:t>role</w:t>
      </w:r>
      <w:r>
        <w:rPr>
          <w:spacing w:val="-14"/>
        </w:rPr>
        <w:t xml:space="preserve"> </w:t>
      </w:r>
      <w:r>
        <w:t>in</w:t>
      </w:r>
      <w:r>
        <w:rPr>
          <w:spacing w:val="-14"/>
        </w:rPr>
        <w:t xml:space="preserve"> </w:t>
      </w:r>
      <w:r>
        <w:t>diagnosis,</w:t>
      </w:r>
      <w:r>
        <w:rPr>
          <w:spacing w:val="-13"/>
        </w:rPr>
        <w:t xml:space="preserve"> </w:t>
      </w:r>
      <w:r>
        <w:t>and</w:t>
      </w:r>
      <w:r>
        <w:rPr>
          <w:spacing w:val="-14"/>
        </w:rPr>
        <w:t xml:space="preserve"> </w:t>
      </w:r>
      <w:r>
        <w:t>appropriate</w:t>
      </w:r>
      <w:r>
        <w:rPr>
          <w:spacing w:val="-14"/>
        </w:rPr>
        <w:t xml:space="preserve"> </w:t>
      </w:r>
      <w:r>
        <w:t xml:space="preserve">surgical intervention leads to </w:t>
      </w:r>
      <w:proofErr w:type="spellStart"/>
      <w:r>
        <w:t>favourable</w:t>
      </w:r>
      <w:proofErr w:type="spellEnd"/>
      <w:r>
        <w:t xml:space="preserve"> outcomes.</w:t>
      </w:r>
    </w:p>
    <w:p w14:paraId="6681F977" w14:textId="77777777" w:rsidR="002A190D" w:rsidRDefault="002A190D">
      <w:pPr>
        <w:pStyle w:val="BodyText"/>
      </w:pPr>
    </w:p>
    <w:p w14:paraId="234C44F7" w14:textId="77777777" w:rsidR="002A190D" w:rsidRDefault="002A190D">
      <w:pPr>
        <w:pStyle w:val="BodyText"/>
        <w:spacing w:before="128"/>
      </w:pPr>
    </w:p>
    <w:p w14:paraId="3FFE7F70" w14:textId="77777777" w:rsidR="002A190D" w:rsidRDefault="00F30076">
      <w:pPr>
        <w:spacing w:line="271" w:lineRule="auto"/>
        <w:rPr>
          <w:rFonts w:ascii="Arial"/>
          <w:i/>
          <w:sz w:val="20"/>
        </w:rPr>
      </w:pPr>
      <w:r>
        <w:rPr>
          <w:rFonts w:ascii="Arial"/>
          <w:b/>
          <w:sz w:val="20"/>
        </w:rPr>
        <w:t>Keywords</w:t>
      </w:r>
      <w:r>
        <w:rPr>
          <w:rFonts w:ascii="Arial"/>
          <w:i/>
          <w:sz w:val="20"/>
        </w:rPr>
        <w:t>:</w:t>
      </w:r>
      <w:r>
        <w:rPr>
          <w:rFonts w:ascii="Arial"/>
          <w:i/>
          <w:spacing w:val="-14"/>
          <w:sz w:val="20"/>
        </w:rPr>
        <w:t xml:space="preserve"> </w:t>
      </w:r>
      <w:r>
        <w:rPr>
          <w:rFonts w:ascii="Arial"/>
          <w:i/>
          <w:sz w:val="20"/>
        </w:rPr>
        <w:t>Congenital</w:t>
      </w:r>
      <w:r>
        <w:rPr>
          <w:rFonts w:ascii="Arial"/>
          <w:i/>
          <w:spacing w:val="-14"/>
          <w:sz w:val="20"/>
        </w:rPr>
        <w:t xml:space="preserve"> </w:t>
      </w:r>
      <w:r>
        <w:rPr>
          <w:rFonts w:ascii="Arial"/>
          <w:i/>
          <w:sz w:val="20"/>
        </w:rPr>
        <w:t>diaphragmatic</w:t>
      </w:r>
      <w:r>
        <w:rPr>
          <w:rFonts w:ascii="Arial"/>
          <w:i/>
          <w:spacing w:val="-13"/>
          <w:sz w:val="20"/>
        </w:rPr>
        <w:t xml:space="preserve"> </w:t>
      </w:r>
      <w:r>
        <w:rPr>
          <w:rFonts w:ascii="Arial"/>
          <w:i/>
          <w:sz w:val="20"/>
        </w:rPr>
        <w:t>hernia,</w:t>
      </w:r>
      <w:r>
        <w:rPr>
          <w:rFonts w:ascii="Arial"/>
          <w:i/>
          <w:spacing w:val="-14"/>
          <w:sz w:val="20"/>
        </w:rPr>
        <w:t xml:space="preserve"> </w:t>
      </w:r>
      <w:proofErr w:type="spellStart"/>
      <w:r>
        <w:rPr>
          <w:rFonts w:ascii="Arial"/>
          <w:i/>
          <w:sz w:val="20"/>
        </w:rPr>
        <w:t>Bochdalek</w:t>
      </w:r>
      <w:proofErr w:type="spellEnd"/>
      <w:r>
        <w:rPr>
          <w:rFonts w:ascii="Arial"/>
          <w:i/>
          <w:spacing w:val="-6"/>
          <w:sz w:val="20"/>
        </w:rPr>
        <w:t xml:space="preserve"> </w:t>
      </w:r>
      <w:r>
        <w:rPr>
          <w:rFonts w:ascii="Arial"/>
          <w:i/>
          <w:sz w:val="20"/>
        </w:rPr>
        <w:t>hernia,</w:t>
      </w:r>
      <w:r>
        <w:rPr>
          <w:rFonts w:ascii="Arial"/>
          <w:i/>
          <w:spacing w:val="-12"/>
          <w:sz w:val="20"/>
        </w:rPr>
        <w:t xml:space="preserve"> </w:t>
      </w:r>
      <w:r>
        <w:rPr>
          <w:rFonts w:ascii="Arial"/>
          <w:i/>
          <w:sz w:val="20"/>
        </w:rPr>
        <w:t>late</w:t>
      </w:r>
      <w:r>
        <w:rPr>
          <w:rFonts w:ascii="Arial"/>
          <w:i/>
          <w:spacing w:val="-13"/>
          <w:sz w:val="20"/>
        </w:rPr>
        <w:t xml:space="preserve"> </w:t>
      </w:r>
      <w:r>
        <w:rPr>
          <w:rFonts w:ascii="Arial"/>
          <w:i/>
          <w:sz w:val="20"/>
        </w:rPr>
        <w:t>presentation,</w:t>
      </w:r>
      <w:r>
        <w:rPr>
          <w:rFonts w:ascii="Arial"/>
          <w:i/>
          <w:spacing w:val="-12"/>
          <w:sz w:val="20"/>
        </w:rPr>
        <w:t xml:space="preserve"> </w:t>
      </w:r>
      <w:r>
        <w:rPr>
          <w:rFonts w:ascii="Arial"/>
          <w:i/>
          <w:sz w:val="20"/>
        </w:rPr>
        <w:t>gastric</w:t>
      </w:r>
      <w:r>
        <w:rPr>
          <w:rFonts w:ascii="Arial"/>
          <w:i/>
          <w:spacing w:val="-14"/>
          <w:sz w:val="20"/>
        </w:rPr>
        <w:t xml:space="preserve"> </w:t>
      </w:r>
      <w:r>
        <w:rPr>
          <w:rFonts w:ascii="Arial"/>
          <w:i/>
          <w:sz w:val="20"/>
        </w:rPr>
        <w:t>volvulus,</w:t>
      </w:r>
      <w:r>
        <w:rPr>
          <w:rFonts w:ascii="Arial"/>
          <w:i/>
          <w:spacing w:val="-14"/>
          <w:sz w:val="20"/>
        </w:rPr>
        <w:t xml:space="preserve"> </w:t>
      </w:r>
      <w:r>
        <w:rPr>
          <w:rFonts w:ascii="Arial"/>
          <w:i/>
          <w:sz w:val="20"/>
        </w:rPr>
        <w:t>traction pancreatitis, intrathoracic ectopic kidney, adolescent</w:t>
      </w:r>
    </w:p>
    <w:p w14:paraId="216BBF03" w14:textId="77777777" w:rsidR="002A190D" w:rsidRDefault="002A190D">
      <w:pPr>
        <w:spacing w:line="271" w:lineRule="auto"/>
        <w:rPr>
          <w:rFonts w:ascii="Arial"/>
          <w:i/>
          <w:sz w:val="20"/>
        </w:rPr>
        <w:sectPr w:rsidR="002A190D">
          <w:headerReference w:type="even" r:id="rId7"/>
          <w:headerReference w:type="default" r:id="rId8"/>
          <w:footerReference w:type="even" r:id="rId9"/>
          <w:footerReference w:type="default" r:id="rId10"/>
          <w:headerReference w:type="first" r:id="rId11"/>
          <w:footerReference w:type="first" r:id="rId12"/>
          <w:type w:val="continuous"/>
          <w:pgSz w:w="12240" w:h="15840"/>
          <w:pgMar w:top="1360" w:right="1080" w:bottom="280" w:left="1440" w:header="720" w:footer="720" w:gutter="0"/>
          <w:cols w:space="720"/>
        </w:sectPr>
      </w:pPr>
    </w:p>
    <w:p w14:paraId="3D8B88F7" w14:textId="77777777" w:rsidR="002A190D" w:rsidRDefault="00F30076">
      <w:pPr>
        <w:pStyle w:val="Heading2"/>
        <w:numPr>
          <w:ilvl w:val="0"/>
          <w:numId w:val="1"/>
        </w:numPr>
        <w:tabs>
          <w:tab w:val="left" w:pos="243"/>
        </w:tabs>
        <w:spacing w:before="79"/>
        <w:ind w:left="243" w:hanging="243"/>
      </w:pPr>
      <w:r>
        <w:rPr>
          <w:spacing w:val="-2"/>
        </w:rPr>
        <w:lastRenderedPageBreak/>
        <w:t>INTRODUCTION:</w:t>
      </w:r>
    </w:p>
    <w:p w14:paraId="2D125262" w14:textId="77777777" w:rsidR="002A190D" w:rsidRDefault="00F30076">
      <w:pPr>
        <w:pStyle w:val="BodyText"/>
        <w:spacing w:before="201" w:line="276" w:lineRule="auto"/>
        <w:ind w:right="360"/>
        <w:jc w:val="both"/>
      </w:pPr>
      <w:r>
        <w:t>Congenital</w:t>
      </w:r>
      <w:r>
        <w:rPr>
          <w:spacing w:val="-14"/>
        </w:rPr>
        <w:t xml:space="preserve"> </w:t>
      </w:r>
      <w:r>
        <w:t>Diaphragmatic</w:t>
      </w:r>
      <w:r>
        <w:rPr>
          <w:spacing w:val="-14"/>
        </w:rPr>
        <w:t xml:space="preserve"> </w:t>
      </w:r>
      <w:r>
        <w:t>Hernia</w:t>
      </w:r>
      <w:r>
        <w:rPr>
          <w:spacing w:val="-14"/>
        </w:rPr>
        <w:t xml:space="preserve"> </w:t>
      </w:r>
      <w:r>
        <w:t>(CDH)</w:t>
      </w:r>
      <w:r>
        <w:rPr>
          <w:spacing w:val="-14"/>
        </w:rPr>
        <w:t xml:space="preserve"> </w:t>
      </w:r>
      <w:r>
        <w:t>is</w:t>
      </w:r>
      <w:r>
        <w:rPr>
          <w:spacing w:val="-14"/>
        </w:rPr>
        <w:t xml:space="preserve"> </w:t>
      </w:r>
      <w:r>
        <w:t>a</w:t>
      </w:r>
      <w:r>
        <w:rPr>
          <w:spacing w:val="-14"/>
        </w:rPr>
        <w:t xml:space="preserve"> </w:t>
      </w:r>
      <w:r>
        <w:t>developmental</w:t>
      </w:r>
      <w:r>
        <w:rPr>
          <w:spacing w:val="-14"/>
        </w:rPr>
        <w:t xml:space="preserve"> </w:t>
      </w:r>
      <w:r>
        <w:t>defect</w:t>
      </w:r>
      <w:r>
        <w:rPr>
          <w:spacing w:val="-14"/>
        </w:rPr>
        <w:t xml:space="preserve"> </w:t>
      </w:r>
      <w:r>
        <w:t>of</w:t>
      </w:r>
      <w:r>
        <w:rPr>
          <w:spacing w:val="-14"/>
        </w:rPr>
        <w:t xml:space="preserve"> </w:t>
      </w:r>
      <w:r>
        <w:t>the</w:t>
      </w:r>
      <w:r>
        <w:rPr>
          <w:spacing w:val="-13"/>
        </w:rPr>
        <w:t xml:space="preserve"> </w:t>
      </w:r>
      <w:r>
        <w:t>diaphragm</w:t>
      </w:r>
      <w:r>
        <w:rPr>
          <w:spacing w:val="-14"/>
        </w:rPr>
        <w:t xml:space="preserve"> </w:t>
      </w:r>
      <w:r>
        <w:t>that</w:t>
      </w:r>
      <w:r>
        <w:rPr>
          <w:spacing w:val="-14"/>
        </w:rPr>
        <w:t xml:space="preserve"> </w:t>
      </w:r>
      <w:r>
        <w:t>leads</w:t>
      </w:r>
      <w:r>
        <w:rPr>
          <w:spacing w:val="-14"/>
        </w:rPr>
        <w:t xml:space="preserve"> </w:t>
      </w:r>
      <w:r>
        <w:t>to</w:t>
      </w:r>
      <w:r>
        <w:rPr>
          <w:spacing w:val="-14"/>
        </w:rPr>
        <w:t xml:space="preserve"> </w:t>
      </w:r>
      <w:r>
        <w:t>herniation of abdominal viscera into the thoracic cavity. The incidence is approximately 2-3 per 10,000 live births. It commonly presents as a left-sided posterolateral (</w:t>
      </w:r>
      <w:proofErr w:type="spellStart"/>
      <w:r>
        <w:t>Bochdalek</w:t>
      </w:r>
      <w:proofErr w:type="spellEnd"/>
      <w:r>
        <w:t xml:space="preserve">) defect </w:t>
      </w:r>
      <w:r>
        <w:rPr>
          <w:rFonts w:ascii="Arial"/>
          <w:i/>
        </w:rPr>
        <w:t>(</w:t>
      </w:r>
      <w:proofErr w:type="spellStart"/>
      <w:r>
        <w:rPr>
          <w:rFonts w:ascii="Arial"/>
          <w:i/>
        </w:rPr>
        <w:t>Gallot</w:t>
      </w:r>
      <w:proofErr w:type="spellEnd"/>
      <w:r>
        <w:rPr>
          <w:rFonts w:ascii="Arial"/>
          <w:i/>
        </w:rPr>
        <w:t xml:space="preserve"> </w:t>
      </w:r>
      <w:r>
        <w:t xml:space="preserve">et al., </w:t>
      </w:r>
      <w:r>
        <w:rPr>
          <w:rFonts w:ascii="Arial"/>
          <w:i/>
        </w:rPr>
        <w:t>2007)</w:t>
      </w:r>
      <w:r>
        <w:t>.</w:t>
      </w:r>
    </w:p>
    <w:p w14:paraId="32EF4D99" w14:textId="77777777" w:rsidR="002A190D" w:rsidRDefault="00F30076">
      <w:pPr>
        <w:pStyle w:val="BodyText"/>
        <w:spacing w:before="162" w:line="276" w:lineRule="auto"/>
        <w:ind w:right="359"/>
        <w:jc w:val="both"/>
        <w:rPr>
          <w:rFonts w:ascii="Arial"/>
          <w:i/>
        </w:rPr>
      </w:pPr>
      <w:r>
        <w:t xml:space="preserve">Most cases present with acute neonatal respiratory distress, but a few patients remain undiagnosed until later in childhood. Such patients might remain asymptomatic for years and might present later due to the mechanical effect of herniated abdominal viscera </w:t>
      </w:r>
      <w:r>
        <w:rPr>
          <w:rFonts w:ascii="Arial"/>
          <w:i/>
        </w:rPr>
        <w:t xml:space="preserve">(Bianchi et </w:t>
      </w:r>
      <w:r>
        <w:t>al., 2013). The diagnosis can be difficult as the</w:t>
      </w:r>
      <w:r>
        <w:rPr>
          <w:spacing w:val="-5"/>
        </w:rPr>
        <w:t xml:space="preserve"> </w:t>
      </w:r>
      <w:r>
        <w:t>presentation</w:t>
      </w:r>
      <w:r>
        <w:rPr>
          <w:spacing w:val="-5"/>
        </w:rPr>
        <w:t xml:space="preserve"> </w:t>
      </w:r>
      <w:r>
        <w:t>is</w:t>
      </w:r>
      <w:r>
        <w:rPr>
          <w:spacing w:val="-4"/>
        </w:rPr>
        <w:t xml:space="preserve"> </w:t>
      </w:r>
      <w:r>
        <w:t>often</w:t>
      </w:r>
      <w:r>
        <w:rPr>
          <w:spacing w:val="-5"/>
        </w:rPr>
        <w:t xml:space="preserve"> </w:t>
      </w:r>
      <w:r>
        <w:t>non-specific</w:t>
      </w:r>
      <w:r>
        <w:rPr>
          <w:spacing w:val="-4"/>
        </w:rPr>
        <w:t xml:space="preserve"> </w:t>
      </w:r>
      <w:r>
        <w:t>and</w:t>
      </w:r>
      <w:r>
        <w:rPr>
          <w:spacing w:val="-5"/>
        </w:rPr>
        <w:t xml:space="preserve"> </w:t>
      </w:r>
      <w:r>
        <w:t>includes</w:t>
      </w:r>
      <w:r>
        <w:rPr>
          <w:spacing w:val="-4"/>
        </w:rPr>
        <w:t xml:space="preserve"> </w:t>
      </w:r>
      <w:r>
        <w:t>features</w:t>
      </w:r>
      <w:r>
        <w:rPr>
          <w:spacing w:val="-4"/>
        </w:rPr>
        <w:t xml:space="preserve"> </w:t>
      </w:r>
      <w:r>
        <w:t>such</w:t>
      </w:r>
      <w:r>
        <w:rPr>
          <w:spacing w:val="-5"/>
        </w:rPr>
        <w:t xml:space="preserve"> </w:t>
      </w:r>
      <w:r>
        <w:t>as</w:t>
      </w:r>
      <w:r>
        <w:rPr>
          <w:spacing w:val="-4"/>
        </w:rPr>
        <w:t xml:space="preserve"> </w:t>
      </w:r>
      <w:r>
        <w:t>abdominal</w:t>
      </w:r>
      <w:r>
        <w:rPr>
          <w:spacing w:val="-3"/>
        </w:rPr>
        <w:t xml:space="preserve"> </w:t>
      </w:r>
      <w:r>
        <w:t>pain and</w:t>
      </w:r>
      <w:r>
        <w:rPr>
          <w:spacing w:val="-5"/>
        </w:rPr>
        <w:t xml:space="preserve"> </w:t>
      </w:r>
      <w:r>
        <w:t xml:space="preserve">vomiting </w:t>
      </w:r>
      <w:r>
        <w:rPr>
          <w:rFonts w:ascii="Arial"/>
          <w:i/>
        </w:rPr>
        <w:t xml:space="preserve">(Haynes et </w:t>
      </w:r>
      <w:r>
        <w:t>al., 2025). Contrast-enhanced computed tomography (CECT) is important in assisting diagnosis by identifying</w:t>
      </w:r>
      <w:r>
        <w:rPr>
          <w:spacing w:val="-11"/>
        </w:rPr>
        <w:t xml:space="preserve"> </w:t>
      </w:r>
      <w:r>
        <w:t>the</w:t>
      </w:r>
      <w:r>
        <w:rPr>
          <w:spacing w:val="-11"/>
        </w:rPr>
        <w:t xml:space="preserve"> </w:t>
      </w:r>
      <w:r>
        <w:t>defect,</w:t>
      </w:r>
      <w:r>
        <w:rPr>
          <w:spacing w:val="-11"/>
        </w:rPr>
        <w:t xml:space="preserve"> </w:t>
      </w:r>
      <w:r>
        <w:t>its</w:t>
      </w:r>
      <w:r>
        <w:rPr>
          <w:spacing w:val="-10"/>
        </w:rPr>
        <w:t xml:space="preserve"> </w:t>
      </w:r>
      <w:r>
        <w:t>contents,</w:t>
      </w:r>
      <w:r>
        <w:rPr>
          <w:spacing w:val="-6"/>
        </w:rPr>
        <w:t xml:space="preserve"> </w:t>
      </w:r>
      <w:r>
        <w:t>and</w:t>
      </w:r>
      <w:r>
        <w:rPr>
          <w:spacing w:val="-6"/>
        </w:rPr>
        <w:t xml:space="preserve"> </w:t>
      </w:r>
      <w:r>
        <w:t>associated</w:t>
      </w:r>
      <w:r>
        <w:rPr>
          <w:spacing w:val="-11"/>
        </w:rPr>
        <w:t xml:space="preserve"> </w:t>
      </w:r>
      <w:r>
        <w:t>complications</w:t>
      </w:r>
      <w:r>
        <w:rPr>
          <w:spacing w:val="-5"/>
        </w:rPr>
        <w:t xml:space="preserve"> </w:t>
      </w:r>
      <w:r>
        <w:rPr>
          <w:rFonts w:ascii="Arial"/>
          <w:i/>
        </w:rPr>
        <w:t>(</w:t>
      </w:r>
      <w:proofErr w:type="spellStart"/>
      <w:r>
        <w:rPr>
          <w:rFonts w:ascii="Arial"/>
          <w:i/>
        </w:rPr>
        <w:t>Puligandla</w:t>
      </w:r>
      <w:proofErr w:type="spellEnd"/>
      <w:r>
        <w:rPr>
          <w:rFonts w:ascii="Arial"/>
          <w:i/>
          <w:spacing w:val="-9"/>
        </w:rPr>
        <w:t xml:space="preserve"> </w:t>
      </w:r>
      <w:r>
        <w:t>et</w:t>
      </w:r>
      <w:r>
        <w:rPr>
          <w:spacing w:val="-6"/>
        </w:rPr>
        <w:t xml:space="preserve"> </w:t>
      </w:r>
      <w:r>
        <w:t>al.,</w:t>
      </w:r>
      <w:r>
        <w:rPr>
          <w:spacing w:val="-11"/>
        </w:rPr>
        <w:t xml:space="preserve"> </w:t>
      </w:r>
      <w:r>
        <w:rPr>
          <w:rFonts w:ascii="Arial"/>
          <w:i/>
        </w:rPr>
        <w:t>2024).</w:t>
      </w:r>
      <w:r>
        <w:rPr>
          <w:rFonts w:ascii="Arial"/>
          <w:i/>
          <w:spacing w:val="-10"/>
        </w:rPr>
        <w:t xml:space="preserve"> </w:t>
      </w:r>
      <w:r>
        <w:t>Surgery</w:t>
      </w:r>
      <w:r>
        <w:rPr>
          <w:spacing w:val="-5"/>
        </w:rPr>
        <w:t xml:space="preserve"> </w:t>
      </w:r>
      <w:r>
        <w:t xml:space="preserve">remains the definitive treatment </w:t>
      </w:r>
      <w:r>
        <w:rPr>
          <w:rFonts w:ascii="Arial"/>
          <w:i/>
        </w:rPr>
        <w:t xml:space="preserve">(Jank </w:t>
      </w:r>
      <w:r>
        <w:t xml:space="preserve">et al., </w:t>
      </w:r>
      <w:r>
        <w:rPr>
          <w:rFonts w:ascii="Arial"/>
          <w:i/>
        </w:rPr>
        <w:t>2024).</w:t>
      </w:r>
    </w:p>
    <w:p w14:paraId="2180B1D0" w14:textId="77777777" w:rsidR="002A190D" w:rsidRDefault="00F30076">
      <w:pPr>
        <w:pStyle w:val="BodyText"/>
        <w:spacing w:before="159" w:line="276" w:lineRule="auto"/>
        <w:ind w:right="362"/>
        <w:jc w:val="both"/>
      </w:pPr>
      <w:r>
        <w:t>Herniation of unusual viscera, such as the pancreas or an ectopic kidney, is rarely reported. We report a unique case of late-presenting CDH in an adolescent with gastric volvulus, pancreatitis, and intrathoracic ectopic kidney.</w:t>
      </w:r>
    </w:p>
    <w:p w14:paraId="61323A20" w14:textId="77777777" w:rsidR="002A190D" w:rsidRDefault="00F30076">
      <w:pPr>
        <w:pStyle w:val="Heading2"/>
        <w:numPr>
          <w:ilvl w:val="0"/>
          <w:numId w:val="1"/>
        </w:numPr>
        <w:tabs>
          <w:tab w:val="left" w:pos="243"/>
        </w:tabs>
        <w:spacing w:before="158"/>
        <w:ind w:left="243" w:hanging="243"/>
      </w:pPr>
      <w:r>
        <w:t>CASE</w:t>
      </w:r>
      <w:r>
        <w:rPr>
          <w:spacing w:val="-5"/>
        </w:rPr>
        <w:t xml:space="preserve"> </w:t>
      </w:r>
      <w:r>
        <w:rPr>
          <w:spacing w:val="-2"/>
        </w:rPr>
        <w:t>PRESENTATION:</w:t>
      </w:r>
    </w:p>
    <w:p w14:paraId="5EECB4FD" w14:textId="77777777" w:rsidR="002A190D" w:rsidRDefault="00F30076">
      <w:pPr>
        <w:pStyle w:val="BodyText"/>
        <w:spacing w:before="201" w:line="276" w:lineRule="auto"/>
        <w:ind w:right="358"/>
        <w:jc w:val="both"/>
      </w:pPr>
      <w:r>
        <w:t>A</w:t>
      </w:r>
      <w:r>
        <w:rPr>
          <w:spacing w:val="-7"/>
        </w:rPr>
        <w:t xml:space="preserve"> </w:t>
      </w:r>
      <w:r>
        <w:t>15-year-old</w:t>
      </w:r>
      <w:r>
        <w:rPr>
          <w:spacing w:val="-9"/>
        </w:rPr>
        <w:t xml:space="preserve"> </w:t>
      </w:r>
      <w:r>
        <w:t>male</w:t>
      </w:r>
      <w:r>
        <w:rPr>
          <w:spacing w:val="-9"/>
        </w:rPr>
        <w:t xml:space="preserve"> </w:t>
      </w:r>
      <w:r>
        <w:t>presented</w:t>
      </w:r>
      <w:r>
        <w:rPr>
          <w:spacing w:val="-9"/>
        </w:rPr>
        <w:t xml:space="preserve"> </w:t>
      </w:r>
      <w:r>
        <w:t>with</w:t>
      </w:r>
      <w:r>
        <w:rPr>
          <w:spacing w:val="-9"/>
        </w:rPr>
        <w:t xml:space="preserve"> </w:t>
      </w:r>
      <w:r>
        <w:t>acute-onset</w:t>
      </w:r>
      <w:r>
        <w:rPr>
          <w:spacing w:val="-9"/>
        </w:rPr>
        <w:t xml:space="preserve"> </w:t>
      </w:r>
      <w:r>
        <w:t>abdominal</w:t>
      </w:r>
      <w:r>
        <w:rPr>
          <w:spacing w:val="-3"/>
        </w:rPr>
        <w:t xml:space="preserve"> </w:t>
      </w:r>
      <w:r>
        <w:t>pain</w:t>
      </w:r>
      <w:r>
        <w:rPr>
          <w:spacing w:val="-9"/>
        </w:rPr>
        <w:t xml:space="preserve"> </w:t>
      </w:r>
      <w:r>
        <w:t>and</w:t>
      </w:r>
      <w:r>
        <w:rPr>
          <w:spacing w:val="-9"/>
        </w:rPr>
        <w:t xml:space="preserve"> </w:t>
      </w:r>
      <w:r>
        <w:t>recurrent</w:t>
      </w:r>
      <w:r>
        <w:rPr>
          <w:spacing w:val="-9"/>
        </w:rPr>
        <w:t xml:space="preserve"> </w:t>
      </w:r>
      <w:r>
        <w:t>non-bilious</w:t>
      </w:r>
      <w:r>
        <w:rPr>
          <w:spacing w:val="-8"/>
        </w:rPr>
        <w:t xml:space="preserve"> </w:t>
      </w:r>
      <w:r>
        <w:t>vomiting</w:t>
      </w:r>
      <w:r>
        <w:rPr>
          <w:spacing w:val="-9"/>
        </w:rPr>
        <w:t xml:space="preserve"> </w:t>
      </w:r>
      <w:r>
        <w:t>for</w:t>
      </w:r>
      <w:r>
        <w:rPr>
          <w:spacing w:val="-10"/>
        </w:rPr>
        <w:t xml:space="preserve"> </w:t>
      </w:r>
      <w:r>
        <w:t>three days,</w:t>
      </w:r>
      <w:r>
        <w:rPr>
          <w:spacing w:val="-5"/>
        </w:rPr>
        <w:t xml:space="preserve"> </w:t>
      </w:r>
      <w:r>
        <w:t>which</w:t>
      </w:r>
      <w:r>
        <w:rPr>
          <w:spacing w:val="-6"/>
        </w:rPr>
        <w:t xml:space="preserve"> </w:t>
      </w:r>
      <w:r>
        <w:t>began</w:t>
      </w:r>
      <w:r>
        <w:rPr>
          <w:spacing w:val="-6"/>
        </w:rPr>
        <w:t xml:space="preserve"> </w:t>
      </w:r>
      <w:r>
        <w:t>after</w:t>
      </w:r>
      <w:r>
        <w:rPr>
          <w:spacing w:val="-6"/>
        </w:rPr>
        <w:t xml:space="preserve"> </w:t>
      </w:r>
      <w:r>
        <w:t>lifting</w:t>
      </w:r>
      <w:r>
        <w:rPr>
          <w:spacing w:val="-6"/>
        </w:rPr>
        <w:t xml:space="preserve"> </w:t>
      </w:r>
      <w:r>
        <w:t>a</w:t>
      </w:r>
      <w:r>
        <w:rPr>
          <w:spacing w:val="-6"/>
        </w:rPr>
        <w:t xml:space="preserve"> </w:t>
      </w:r>
      <w:r>
        <w:t>heavy</w:t>
      </w:r>
      <w:r>
        <w:rPr>
          <w:spacing w:val="-5"/>
        </w:rPr>
        <w:t xml:space="preserve"> </w:t>
      </w:r>
      <w:r>
        <w:t>weight.</w:t>
      </w:r>
      <w:r>
        <w:rPr>
          <w:spacing w:val="-6"/>
        </w:rPr>
        <w:t xml:space="preserve"> </w:t>
      </w:r>
      <w:r>
        <w:t>There</w:t>
      </w:r>
      <w:r>
        <w:rPr>
          <w:spacing w:val="-6"/>
        </w:rPr>
        <w:t xml:space="preserve"> </w:t>
      </w:r>
      <w:r>
        <w:t>was no</w:t>
      </w:r>
      <w:r>
        <w:rPr>
          <w:spacing w:val="-6"/>
        </w:rPr>
        <w:t xml:space="preserve"> </w:t>
      </w:r>
      <w:r>
        <w:t>history</w:t>
      </w:r>
      <w:r>
        <w:rPr>
          <w:spacing w:val="-5"/>
        </w:rPr>
        <w:t xml:space="preserve"> </w:t>
      </w:r>
      <w:r>
        <w:t>of</w:t>
      </w:r>
      <w:r>
        <w:rPr>
          <w:spacing w:val="-6"/>
        </w:rPr>
        <w:t xml:space="preserve"> </w:t>
      </w:r>
      <w:r>
        <w:t>fever,</w:t>
      </w:r>
      <w:r>
        <w:rPr>
          <w:spacing w:val="-6"/>
        </w:rPr>
        <w:t xml:space="preserve"> </w:t>
      </w:r>
      <w:r>
        <w:t>jaundice, diarrhea,</w:t>
      </w:r>
      <w:r>
        <w:rPr>
          <w:spacing w:val="-5"/>
        </w:rPr>
        <w:t xml:space="preserve"> </w:t>
      </w:r>
      <w:r>
        <w:t>shortness of breath, or prior similar complaints. On examination, the patient was hemodynamically stable. The abdomen was soft and non-distended, with no tenderness, guarding, or rigidity. Initial laboratory investigations were within normal limits. However, serum amylase (625 U/L) and lipase (723 U/L) were elevated,</w:t>
      </w:r>
      <w:r>
        <w:rPr>
          <w:spacing w:val="-5"/>
        </w:rPr>
        <w:t xml:space="preserve"> </w:t>
      </w:r>
      <w:r>
        <w:t>consistent</w:t>
      </w:r>
      <w:r>
        <w:rPr>
          <w:spacing w:val="-10"/>
        </w:rPr>
        <w:t xml:space="preserve"> </w:t>
      </w:r>
      <w:r>
        <w:t>with</w:t>
      </w:r>
      <w:r>
        <w:rPr>
          <w:spacing w:val="-5"/>
        </w:rPr>
        <w:t xml:space="preserve"> </w:t>
      </w:r>
      <w:r>
        <w:t>pancreatitis.</w:t>
      </w:r>
      <w:r>
        <w:rPr>
          <w:spacing w:val="-5"/>
        </w:rPr>
        <w:t xml:space="preserve"> </w:t>
      </w:r>
      <w:r>
        <w:t>This</w:t>
      </w:r>
      <w:r>
        <w:rPr>
          <w:spacing w:val="-1"/>
        </w:rPr>
        <w:t xml:space="preserve"> </w:t>
      </w:r>
      <w:r>
        <w:t>pancreatitis</w:t>
      </w:r>
      <w:r>
        <w:rPr>
          <w:spacing w:val="-9"/>
        </w:rPr>
        <w:t xml:space="preserve"> </w:t>
      </w:r>
      <w:r>
        <w:t>was</w:t>
      </w:r>
      <w:r>
        <w:rPr>
          <w:spacing w:val="-9"/>
        </w:rPr>
        <w:t xml:space="preserve"> </w:t>
      </w:r>
      <w:r>
        <w:t>likely</w:t>
      </w:r>
      <w:r>
        <w:rPr>
          <w:spacing w:val="-9"/>
        </w:rPr>
        <w:t xml:space="preserve"> </w:t>
      </w:r>
      <w:r>
        <w:t>secondary</w:t>
      </w:r>
      <w:r>
        <w:rPr>
          <w:spacing w:val="-4"/>
        </w:rPr>
        <w:t xml:space="preserve"> </w:t>
      </w:r>
      <w:r>
        <w:t>to</w:t>
      </w:r>
      <w:r>
        <w:rPr>
          <w:spacing w:val="-11"/>
        </w:rPr>
        <w:t xml:space="preserve"> </w:t>
      </w:r>
      <w:r>
        <w:t>a</w:t>
      </w:r>
      <w:r>
        <w:rPr>
          <w:spacing w:val="-5"/>
        </w:rPr>
        <w:t xml:space="preserve"> </w:t>
      </w:r>
      <w:r>
        <w:t>traction</w:t>
      </w:r>
      <w:r>
        <w:rPr>
          <w:spacing w:val="-6"/>
        </w:rPr>
        <w:t xml:space="preserve"> </w:t>
      </w:r>
      <w:r>
        <w:t>due</w:t>
      </w:r>
      <w:r>
        <w:rPr>
          <w:spacing w:val="-10"/>
        </w:rPr>
        <w:t xml:space="preserve"> </w:t>
      </w:r>
      <w:r>
        <w:t>to</w:t>
      </w:r>
      <w:r>
        <w:rPr>
          <w:spacing w:val="-10"/>
        </w:rPr>
        <w:t xml:space="preserve"> </w:t>
      </w:r>
      <w:r>
        <w:t>herniation.</w:t>
      </w:r>
    </w:p>
    <w:p w14:paraId="39E8462C" w14:textId="77777777" w:rsidR="002A190D" w:rsidRDefault="00F30076">
      <w:pPr>
        <w:pStyle w:val="BodyText"/>
        <w:spacing w:before="158" w:line="276" w:lineRule="auto"/>
        <w:ind w:right="365"/>
        <w:jc w:val="both"/>
      </w:pPr>
      <w:r>
        <w:t>The</w:t>
      </w:r>
      <w:r>
        <w:rPr>
          <w:spacing w:val="-6"/>
        </w:rPr>
        <w:t xml:space="preserve"> </w:t>
      </w:r>
      <w:r>
        <w:t>patient</w:t>
      </w:r>
      <w:r>
        <w:rPr>
          <w:spacing w:val="-6"/>
        </w:rPr>
        <w:t xml:space="preserve"> </w:t>
      </w:r>
      <w:r>
        <w:t>was</w:t>
      </w:r>
      <w:r>
        <w:rPr>
          <w:spacing w:val="-5"/>
        </w:rPr>
        <w:t xml:space="preserve"> </w:t>
      </w:r>
      <w:r>
        <w:t>born</w:t>
      </w:r>
      <w:r>
        <w:rPr>
          <w:spacing w:val="-6"/>
        </w:rPr>
        <w:t xml:space="preserve"> </w:t>
      </w:r>
      <w:r>
        <w:t>via</w:t>
      </w:r>
      <w:r>
        <w:rPr>
          <w:spacing w:val="-5"/>
        </w:rPr>
        <w:t xml:space="preserve"> </w:t>
      </w:r>
      <w:r>
        <w:t>normal</w:t>
      </w:r>
      <w:r>
        <w:rPr>
          <w:spacing w:val="-5"/>
        </w:rPr>
        <w:t xml:space="preserve"> </w:t>
      </w:r>
      <w:r>
        <w:t>vaginal</w:t>
      </w:r>
      <w:r>
        <w:rPr>
          <w:spacing w:val="-5"/>
        </w:rPr>
        <w:t xml:space="preserve"> </w:t>
      </w:r>
      <w:r>
        <w:t>delivery,</w:t>
      </w:r>
      <w:r>
        <w:rPr>
          <w:spacing w:val="-5"/>
        </w:rPr>
        <w:t xml:space="preserve"> </w:t>
      </w:r>
      <w:r>
        <w:t>with</w:t>
      </w:r>
      <w:r>
        <w:rPr>
          <w:spacing w:val="-6"/>
        </w:rPr>
        <w:t xml:space="preserve"> </w:t>
      </w:r>
      <w:r>
        <w:t>no</w:t>
      </w:r>
      <w:r>
        <w:rPr>
          <w:spacing w:val="-2"/>
        </w:rPr>
        <w:t xml:space="preserve"> </w:t>
      </w:r>
      <w:r>
        <w:t>history</w:t>
      </w:r>
      <w:r>
        <w:rPr>
          <w:spacing w:val="-5"/>
        </w:rPr>
        <w:t xml:space="preserve"> </w:t>
      </w:r>
      <w:r>
        <w:t>of</w:t>
      </w:r>
      <w:r>
        <w:rPr>
          <w:spacing w:val="-6"/>
        </w:rPr>
        <w:t xml:space="preserve"> </w:t>
      </w:r>
      <w:r>
        <w:t>neonatal</w:t>
      </w:r>
      <w:r>
        <w:rPr>
          <w:spacing w:val="-5"/>
        </w:rPr>
        <w:t xml:space="preserve"> </w:t>
      </w:r>
      <w:r>
        <w:t>intensive</w:t>
      </w:r>
      <w:r>
        <w:rPr>
          <w:spacing w:val="-6"/>
        </w:rPr>
        <w:t xml:space="preserve"> </w:t>
      </w:r>
      <w:r>
        <w:t>care</w:t>
      </w:r>
      <w:r>
        <w:rPr>
          <w:spacing w:val="-6"/>
        </w:rPr>
        <w:t xml:space="preserve"> </w:t>
      </w:r>
      <w:r>
        <w:t>unit</w:t>
      </w:r>
      <w:r>
        <w:rPr>
          <w:spacing w:val="-5"/>
        </w:rPr>
        <w:t xml:space="preserve"> </w:t>
      </w:r>
      <w:r>
        <w:t>admission. The pregnancy was not complicated by polyhydramnios or any other significant event. No history of developmental delay or congenital anomalies was present.</w:t>
      </w:r>
    </w:p>
    <w:p w14:paraId="1ED8CDEB" w14:textId="77777777" w:rsidR="002A190D" w:rsidRDefault="00F30076">
      <w:pPr>
        <w:spacing w:before="163" w:line="276" w:lineRule="auto"/>
        <w:ind w:right="349"/>
        <w:jc w:val="both"/>
        <w:rPr>
          <w:sz w:val="19"/>
        </w:rPr>
      </w:pPr>
      <w:r>
        <w:rPr>
          <w:sz w:val="20"/>
        </w:rPr>
        <w:t>Initial abdominal ultrasonography was inconclusive due to overlying bowel gas, but it suggested possible splenic</w:t>
      </w:r>
      <w:r>
        <w:rPr>
          <w:spacing w:val="-3"/>
          <w:sz w:val="20"/>
        </w:rPr>
        <w:t xml:space="preserve"> </w:t>
      </w:r>
      <w:r>
        <w:rPr>
          <w:sz w:val="20"/>
        </w:rPr>
        <w:t>displacement</w:t>
      </w:r>
      <w:r>
        <w:rPr>
          <w:spacing w:val="-5"/>
          <w:sz w:val="20"/>
        </w:rPr>
        <w:t xml:space="preserve"> </w:t>
      </w:r>
      <w:r>
        <w:rPr>
          <w:sz w:val="20"/>
        </w:rPr>
        <w:t>in the</w:t>
      </w:r>
      <w:r>
        <w:rPr>
          <w:spacing w:val="-5"/>
          <w:sz w:val="20"/>
        </w:rPr>
        <w:t xml:space="preserve"> </w:t>
      </w:r>
      <w:r>
        <w:rPr>
          <w:sz w:val="20"/>
        </w:rPr>
        <w:t>epigastric region (splenic</w:t>
      </w:r>
      <w:r>
        <w:rPr>
          <w:spacing w:val="-3"/>
          <w:sz w:val="20"/>
        </w:rPr>
        <w:t xml:space="preserve"> </w:t>
      </w:r>
      <w:r>
        <w:rPr>
          <w:sz w:val="20"/>
        </w:rPr>
        <w:t>ptosis).</w:t>
      </w:r>
      <w:r>
        <w:rPr>
          <w:spacing w:val="-5"/>
          <w:sz w:val="20"/>
        </w:rPr>
        <w:t xml:space="preserve"> </w:t>
      </w:r>
      <w:r>
        <w:rPr>
          <w:sz w:val="20"/>
        </w:rPr>
        <w:t>Subsequently, contrast-enhanced computed tomography (CECT) of the abdomen revealed a large left-sided posterolateral diaphragmatic defect (</w:t>
      </w:r>
      <w:proofErr w:type="spellStart"/>
      <w:r>
        <w:rPr>
          <w:sz w:val="20"/>
        </w:rPr>
        <w:t>Bochdalek</w:t>
      </w:r>
      <w:proofErr w:type="spellEnd"/>
      <w:r>
        <w:rPr>
          <w:spacing w:val="-4"/>
          <w:sz w:val="20"/>
        </w:rPr>
        <w:t xml:space="preserve"> </w:t>
      </w:r>
      <w:r>
        <w:rPr>
          <w:sz w:val="20"/>
        </w:rPr>
        <w:t>hernia)</w:t>
      </w:r>
      <w:r>
        <w:rPr>
          <w:spacing w:val="-5"/>
          <w:sz w:val="20"/>
        </w:rPr>
        <w:t xml:space="preserve"> </w:t>
      </w:r>
      <w:r>
        <w:rPr>
          <w:sz w:val="20"/>
        </w:rPr>
        <w:t>measuring</w:t>
      </w:r>
      <w:r>
        <w:rPr>
          <w:spacing w:val="-5"/>
          <w:sz w:val="20"/>
        </w:rPr>
        <w:t xml:space="preserve"> </w:t>
      </w:r>
      <w:r>
        <w:rPr>
          <w:sz w:val="20"/>
        </w:rPr>
        <w:t>approximately</w:t>
      </w:r>
      <w:r>
        <w:rPr>
          <w:spacing w:val="-3"/>
          <w:sz w:val="20"/>
        </w:rPr>
        <w:t xml:space="preserve"> </w:t>
      </w:r>
      <w:r>
        <w:rPr>
          <w:sz w:val="20"/>
        </w:rPr>
        <w:t>96</w:t>
      </w:r>
      <w:r>
        <w:rPr>
          <w:spacing w:val="-5"/>
          <w:sz w:val="20"/>
        </w:rPr>
        <w:t xml:space="preserve"> </w:t>
      </w:r>
      <w:r>
        <w:rPr>
          <w:sz w:val="20"/>
        </w:rPr>
        <w:t>mm. The imaging</w:t>
      </w:r>
      <w:r>
        <w:rPr>
          <w:spacing w:val="-5"/>
          <w:sz w:val="20"/>
        </w:rPr>
        <w:t xml:space="preserve"> </w:t>
      </w:r>
      <w:r>
        <w:rPr>
          <w:sz w:val="20"/>
        </w:rPr>
        <w:t>also</w:t>
      </w:r>
      <w:r>
        <w:rPr>
          <w:spacing w:val="-5"/>
          <w:sz w:val="20"/>
        </w:rPr>
        <w:t xml:space="preserve"> </w:t>
      </w:r>
      <w:r>
        <w:rPr>
          <w:sz w:val="20"/>
        </w:rPr>
        <w:t>showed</w:t>
      </w:r>
      <w:r>
        <w:rPr>
          <w:spacing w:val="-5"/>
          <w:sz w:val="20"/>
        </w:rPr>
        <w:t xml:space="preserve"> </w:t>
      </w:r>
      <w:r>
        <w:rPr>
          <w:sz w:val="20"/>
        </w:rPr>
        <w:t>herniation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stomach, jejunal</w:t>
      </w:r>
      <w:r>
        <w:rPr>
          <w:spacing w:val="-2"/>
          <w:sz w:val="20"/>
        </w:rPr>
        <w:t xml:space="preserve"> </w:t>
      </w:r>
      <w:r>
        <w:rPr>
          <w:sz w:val="20"/>
        </w:rPr>
        <w:t>loops, the</w:t>
      </w:r>
      <w:r>
        <w:rPr>
          <w:spacing w:val="-4"/>
          <w:sz w:val="20"/>
        </w:rPr>
        <w:t xml:space="preserve"> </w:t>
      </w:r>
      <w:r>
        <w:rPr>
          <w:sz w:val="20"/>
        </w:rPr>
        <w:t>splenic</w:t>
      </w:r>
      <w:r>
        <w:rPr>
          <w:spacing w:val="-2"/>
          <w:sz w:val="20"/>
        </w:rPr>
        <w:t xml:space="preserve"> </w:t>
      </w:r>
      <w:r>
        <w:rPr>
          <w:sz w:val="20"/>
        </w:rPr>
        <w:t>flexure/descending</w:t>
      </w:r>
      <w:r>
        <w:rPr>
          <w:spacing w:val="-4"/>
          <w:sz w:val="20"/>
        </w:rPr>
        <w:t xml:space="preserve"> </w:t>
      </w:r>
      <w:r>
        <w:rPr>
          <w:sz w:val="20"/>
        </w:rPr>
        <w:t>colon, the</w:t>
      </w:r>
      <w:r>
        <w:rPr>
          <w:spacing w:val="-4"/>
          <w:sz w:val="20"/>
        </w:rPr>
        <w:t xml:space="preserve"> </w:t>
      </w:r>
      <w:r>
        <w:rPr>
          <w:sz w:val="20"/>
        </w:rPr>
        <w:t>spleen,</w:t>
      </w:r>
      <w:r>
        <w:rPr>
          <w:spacing w:val="-4"/>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pancreas</w:t>
      </w:r>
      <w:r>
        <w:rPr>
          <w:spacing w:val="-3"/>
          <w:sz w:val="20"/>
        </w:rPr>
        <w:t xml:space="preserve"> </w:t>
      </w:r>
      <w:r>
        <w:rPr>
          <w:sz w:val="20"/>
        </w:rPr>
        <w:t>and an</w:t>
      </w:r>
      <w:r>
        <w:rPr>
          <w:spacing w:val="-4"/>
          <w:sz w:val="20"/>
        </w:rPr>
        <w:t xml:space="preserve"> </w:t>
      </w:r>
      <w:r>
        <w:rPr>
          <w:sz w:val="20"/>
        </w:rPr>
        <w:t>ectopic</w:t>
      </w:r>
      <w:r>
        <w:rPr>
          <w:spacing w:val="-2"/>
          <w:sz w:val="20"/>
        </w:rPr>
        <w:t xml:space="preserve"> </w:t>
      </w:r>
      <w:r>
        <w:rPr>
          <w:sz w:val="20"/>
        </w:rPr>
        <w:t xml:space="preserve">kidney </w:t>
      </w:r>
      <w:r>
        <w:rPr>
          <w:rFonts w:ascii="Arial"/>
          <w:i/>
          <w:sz w:val="20"/>
        </w:rPr>
        <w:t>(Fig.</w:t>
      </w:r>
      <w:r>
        <w:rPr>
          <w:rFonts w:ascii="Arial"/>
          <w:i/>
          <w:spacing w:val="-6"/>
          <w:sz w:val="20"/>
        </w:rPr>
        <w:t xml:space="preserve"> </w:t>
      </w:r>
      <w:r>
        <w:rPr>
          <w:rFonts w:ascii="Arial"/>
          <w:i/>
          <w:sz w:val="19"/>
        </w:rPr>
        <w:t>1)</w:t>
      </w:r>
      <w:r>
        <w:rPr>
          <w:sz w:val="19"/>
        </w:rPr>
        <w:t>.</w:t>
      </w:r>
      <w:r>
        <w:rPr>
          <w:spacing w:val="-2"/>
          <w:sz w:val="19"/>
        </w:rPr>
        <w:t xml:space="preserve"> </w:t>
      </w:r>
      <w:r>
        <w:rPr>
          <w:sz w:val="19"/>
        </w:rPr>
        <w:t>Marked</w:t>
      </w:r>
      <w:r>
        <w:rPr>
          <w:spacing w:val="-4"/>
          <w:sz w:val="19"/>
        </w:rPr>
        <w:t xml:space="preserve"> </w:t>
      </w:r>
      <w:r>
        <w:rPr>
          <w:sz w:val="19"/>
        </w:rPr>
        <w:t>gastric</w:t>
      </w:r>
      <w:r>
        <w:rPr>
          <w:spacing w:val="-8"/>
          <w:sz w:val="19"/>
        </w:rPr>
        <w:t xml:space="preserve"> </w:t>
      </w:r>
      <w:r>
        <w:rPr>
          <w:sz w:val="19"/>
        </w:rPr>
        <w:t>distension</w:t>
      </w:r>
      <w:r>
        <w:rPr>
          <w:spacing w:val="-4"/>
          <w:sz w:val="19"/>
        </w:rPr>
        <w:t xml:space="preserve"> </w:t>
      </w:r>
      <w:r>
        <w:rPr>
          <w:sz w:val="19"/>
        </w:rPr>
        <w:t>was</w:t>
      </w:r>
      <w:r>
        <w:rPr>
          <w:spacing w:val="-4"/>
          <w:sz w:val="19"/>
        </w:rPr>
        <w:t xml:space="preserve"> </w:t>
      </w:r>
      <w:r>
        <w:rPr>
          <w:sz w:val="19"/>
        </w:rPr>
        <w:t>observed,</w:t>
      </w:r>
      <w:r>
        <w:rPr>
          <w:spacing w:val="-2"/>
          <w:sz w:val="19"/>
        </w:rPr>
        <w:t xml:space="preserve"> </w:t>
      </w:r>
      <w:r>
        <w:rPr>
          <w:sz w:val="19"/>
        </w:rPr>
        <w:t>indicating</w:t>
      </w:r>
      <w:r>
        <w:rPr>
          <w:spacing w:val="-4"/>
          <w:sz w:val="19"/>
        </w:rPr>
        <w:t xml:space="preserve"> </w:t>
      </w:r>
      <w:r>
        <w:rPr>
          <w:sz w:val="19"/>
        </w:rPr>
        <w:t>gastric</w:t>
      </w:r>
      <w:r>
        <w:rPr>
          <w:spacing w:val="-4"/>
          <w:sz w:val="19"/>
        </w:rPr>
        <w:t xml:space="preserve"> </w:t>
      </w:r>
      <w:r>
        <w:rPr>
          <w:sz w:val="19"/>
        </w:rPr>
        <w:t>volvulus.</w:t>
      </w:r>
      <w:r>
        <w:rPr>
          <w:spacing w:val="-2"/>
          <w:sz w:val="19"/>
        </w:rPr>
        <w:t xml:space="preserve"> </w:t>
      </w:r>
      <w:r>
        <w:rPr>
          <w:sz w:val="19"/>
        </w:rPr>
        <w:t>A</w:t>
      </w:r>
      <w:r>
        <w:rPr>
          <w:spacing w:val="-1"/>
          <w:sz w:val="19"/>
        </w:rPr>
        <w:t xml:space="preserve"> </w:t>
      </w:r>
      <w:r>
        <w:rPr>
          <w:sz w:val="19"/>
        </w:rPr>
        <w:t>bilateral</w:t>
      </w:r>
      <w:r>
        <w:rPr>
          <w:spacing w:val="-5"/>
          <w:sz w:val="19"/>
        </w:rPr>
        <w:t xml:space="preserve"> </w:t>
      </w:r>
      <w:r>
        <w:rPr>
          <w:sz w:val="19"/>
        </w:rPr>
        <w:t>mild</w:t>
      </w:r>
      <w:r>
        <w:rPr>
          <w:spacing w:val="-3"/>
          <w:sz w:val="19"/>
        </w:rPr>
        <w:t xml:space="preserve"> </w:t>
      </w:r>
      <w:r>
        <w:rPr>
          <w:sz w:val="19"/>
        </w:rPr>
        <w:t>pneumothorax</w:t>
      </w:r>
      <w:r>
        <w:rPr>
          <w:spacing w:val="-4"/>
          <w:sz w:val="19"/>
        </w:rPr>
        <w:t xml:space="preserve"> </w:t>
      </w:r>
      <w:r>
        <w:rPr>
          <w:sz w:val="19"/>
        </w:rPr>
        <w:t>was also identified, which resolved spontaneously without any intervention.</w:t>
      </w:r>
    </w:p>
    <w:p w14:paraId="7E60723B" w14:textId="77777777" w:rsidR="002A190D" w:rsidRDefault="00F30076">
      <w:pPr>
        <w:spacing w:before="161" w:line="276" w:lineRule="auto"/>
        <w:ind w:right="350"/>
        <w:jc w:val="both"/>
        <w:rPr>
          <w:sz w:val="19"/>
        </w:rPr>
      </w:pPr>
      <w:r>
        <w:rPr>
          <w:sz w:val="19"/>
        </w:rPr>
        <w:t>The patient underwent surgery. An initial laparoscopic approach was attempted but was converted to an open exploratory</w:t>
      </w:r>
      <w:r>
        <w:rPr>
          <w:spacing w:val="-6"/>
          <w:sz w:val="19"/>
        </w:rPr>
        <w:t xml:space="preserve"> </w:t>
      </w:r>
      <w:r>
        <w:rPr>
          <w:sz w:val="19"/>
        </w:rPr>
        <w:t>laparotomy</w:t>
      </w:r>
      <w:r>
        <w:rPr>
          <w:spacing w:val="-6"/>
          <w:sz w:val="19"/>
        </w:rPr>
        <w:t xml:space="preserve"> </w:t>
      </w:r>
      <w:r>
        <w:rPr>
          <w:sz w:val="19"/>
        </w:rPr>
        <w:t>due</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bulk</w:t>
      </w:r>
      <w:r>
        <w:rPr>
          <w:spacing w:val="-6"/>
          <w:sz w:val="19"/>
        </w:rPr>
        <w:t xml:space="preserve"> </w:t>
      </w:r>
      <w:r>
        <w:rPr>
          <w:sz w:val="19"/>
        </w:rPr>
        <w:t>and</w:t>
      </w:r>
      <w:r>
        <w:rPr>
          <w:spacing w:val="-7"/>
          <w:sz w:val="19"/>
        </w:rPr>
        <w:t xml:space="preserve"> </w:t>
      </w:r>
      <w:r>
        <w:rPr>
          <w:sz w:val="19"/>
        </w:rPr>
        <w:t>volume</w:t>
      </w:r>
      <w:r>
        <w:rPr>
          <w:spacing w:val="-7"/>
          <w:sz w:val="19"/>
        </w:rPr>
        <w:t xml:space="preserve"> </w:t>
      </w:r>
      <w:r>
        <w:rPr>
          <w:sz w:val="19"/>
        </w:rPr>
        <w:t>of</w:t>
      </w:r>
      <w:r>
        <w:rPr>
          <w:spacing w:val="-4"/>
          <w:sz w:val="19"/>
        </w:rPr>
        <w:t xml:space="preserve"> </w:t>
      </w:r>
      <w:r>
        <w:rPr>
          <w:sz w:val="19"/>
        </w:rPr>
        <w:t>herniated</w:t>
      </w:r>
      <w:r>
        <w:rPr>
          <w:spacing w:val="-7"/>
          <w:sz w:val="19"/>
        </w:rPr>
        <w:t xml:space="preserve"> </w:t>
      </w:r>
      <w:r>
        <w:rPr>
          <w:sz w:val="19"/>
        </w:rPr>
        <w:t>contents,</w:t>
      </w:r>
      <w:r>
        <w:rPr>
          <w:spacing w:val="-4"/>
          <w:sz w:val="19"/>
        </w:rPr>
        <w:t xml:space="preserve"> </w:t>
      </w:r>
      <w:r>
        <w:rPr>
          <w:sz w:val="19"/>
        </w:rPr>
        <w:t>which</w:t>
      </w:r>
      <w:r>
        <w:rPr>
          <w:spacing w:val="-7"/>
          <w:sz w:val="19"/>
        </w:rPr>
        <w:t xml:space="preserve"> </w:t>
      </w:r>
      <w:r>
        <w:rPr>
          <w:sz w:val="19"/>
        </w:rPr>
        <w:t>hindered</w:t>
      </w:r>
      <w:r>
        <w:rPr>
          <w:spacing w:val="-3"/>
          <w:sz w:val="19"/>
        </w:rPr>
        <w:t xml:space="preserve"> </w:t>
      </w:r>
      <w:r>
        <w:rPr>
          <w:sz w:val="19"/>
        </w:rPr>
        <w:t>adequate</w:t>
      </w:r>
      <w:r>
        <w:rPr>
          <w:spacing w:val="-6"/>
          <w:sz w:val="19"/>
        </w:rPr>
        <w:t xml:space="preserve"> </w:t>
      </w:r>
      <w:proofErr w:type="spellStart"/>
      <w:r>
        <w:rPr>
          <w:sz w:val="19"/>
        </w:rPr>
        <w:t>visualisation</w:t>
      </w:r>
      <w:proofErr w:type="spellEnd"/>
      <w:r>
        <w:rPr>
          <w:sz w:val="19"/>
        </w:rPr>
        <w:t xml:space="preserve"> and safe reduction. Intraoperatively, the pancreas appeared inflamed, which was consistent with the elevated serum pancreatic</w:t>
      </w:r>
      <w:r>
        <w:rPr>
          <w:spacing w:val="-3"/>
          <w:sz w:val="19"/>
        </w:rPr>
        <w:t xml:space="preserve"> </w:t>
      </w:r>
      <w:r>
        <w:rPr>
          <w:sz w:val="19"/>
        </w:rPr>
        <w:t>enzymes.</w:t>
      </w:r>
      <w:r>
        <w:rPr>
          <w:spacing w:val="-1"/>
          <w:sz w:val="19"/>
        </w:rPr>
        <w:t xml:space="preserve"> </w:t>
      </w:r>
      <w:r>
        <w:rPr>
          <w:sz w:val="19"/>
        </w:rPr>
        <w:t>All</w:t>
      </w:r>
      <w:r>
        <w:rPr>
          <w:spacing w:val="-1"/>
          <w:sz w:val="19"/>
        </w:rPr>
        <w:t xml:space="preserve"> </w:t>
      </w:r>
      <w:r>
        <w:rPr>
          <w:sz w:val="19"/>
        </w:rPr>
        <w:t>herniated contents</w:t>
      </w:r>
      <w:r>
        <w:rPr>
          <w:spacing w:val="-3"/>
          <w:sz w:val="19"/>
        </w:rPr>
        <w:t xml:space="preserve"> </w:t>
      </w:r>
      <w:r>
        <w:rPr>
          <w:sz w:val="19"/>
        </w:rPr>
        <w:t>were</w:t>
      </w:r>
      <w:r>
        <w:rPr>
          <w:spacing w:val="-4"/>
          <w:sz w:val="19"/>
        </w:rPr>
        <w:t xml:space="preserve"> </w:t>
      </w:r>
      <w:r>
        <w:rPr>
          <w:sz w:val="19"/>
        </w:rPr>
        <w:t>reduced, including the ectopic kidney.</w:t>
      </w:r>
      <w:r>
        <w:rPr>
          <w:spacing w:val="-1"/>
          <w:sz w:val="19"/>
        </w:rPr>
        <w:t xml:space="preserve"> </w:t>
      </w:r>
      <w:r>
        <w:rPr>
          <w:sz w:val="19"/>
        </w:rPr>
        <w:t>Re-expansion of the</w:t>
      </w:r>
      <w:r>
        <w:rPr>
          <w:spacing w:val="-14"/>
          <w:sz w:val="19"/>
        </w:rPr>
        <w:t xml:space="preserve"> </w:t>
      </w:r>
      <w:r>
        <w:rPr>
          <w:sz w:val="19"/>
        </w:rPr>
        <w:t>compressed</w:t>
      </w:r>
      <w:r>
        <w:rPr>
          <w:spacing w:val="-13"/>
          <w:sz w:val="19"/>
        </w:rPr>
        <w:t xml:space="preserve"> </w:t>
      </w:r>
      <w:r>
        <w:rPr>
          <w:sz w:val="19"/>
        </w:rPr>
        <w:t>left</w:t>
      </w:r>
      <w:r>
        <w:rPr>
          <w:spacing w:val="-13"/>
          <w:sz w:val="19"/>
        </w:rPr>
        <w:t xml:space="preserve"> </w:t>
      </w:r>
      <w:r>
        <w:rPr>
          <w:sz w:val="19"/>
        </w:rPr>
        <w:t>lung</w:t>
      </w:r>
      <w:r>
        <w:rPr>
          <w:spacing w:val="-13"/>
          <w:sz w:val="19"/>
        </w:rPr>
        <w:t xml:space="preserve"> </w:t>
      </w:r>
      <w:r>
        <w:rPr>
          <w:sz w:val="19"/>
        </w:rPr>
        <w:t>was</w:t>
      </w:r>
      <w:r>
        <w:rPr>
          <w:spacing w:val="-12"/>
          <w:sz w:val="19"/>
        </w:rPr>
        <w:t xml:space="preserve"> </w:t>
      </w:r>
      <w:r>
        <w:rPr>
          <w:sz w:val="19"/>
        </w:rPr>
        <w:t>observed,</w:t>
      </w:r>
      <w:r>
        <w:rPr>
          <w:spacing w:val="-10"/>
          <w:sz w:val="19"/>
        </w:rPr>
        <w:t xml:space="preserve"> </w:t>
      </w:r>
      <w:r>
        <w:rPr>
          <w:sz w:val="19"/>
        </w:rPr>
        <w:t>indicating</w:t>
      </w:r>
      <w:r>
        <w:rPr>
          <w:spacing w:val="-13"/>
          <w:sz w:val="19"/>
        </w:rPr>
        <w:t xml:space="preserve"> </w:t>
      </w:r>
      <w:r>
        <w:rPr>
          <w:sz w:val="19"/>
        </w:rPr>
        <w:t>restoration</w:t>
      </w:r>
      <w:r>
        <w:rPr>
          <w:spacing w:val="-13"/>
          <w:sz w:val="19"/>
        </w:rPr>
        <w:t xml:space="preserve"> </w:t>
      </w:r>
      <w:r>
        <w:rPr>
          <w:sz w:val="19"/>
        </w:rPr>
        <w:t>of</w:t>
      </w:r>
      <w:r>
        <w:rPr>
          <w:spacing w:val="-10"/>
          <w:sz w:val="19"/>
        </w:rPr>
        <w:t xml:space="preserve"> </w:t>
      </w:r>
      <w:r>
        <w:rPr>
          <w:sz w:val="19"/>
        </w:rPr>
        <w:t>thoracic</w:t>
      </w:r>
      <w:r>
        <w:rPr>
          <w:spacing w:val="-12"/>
          <w:sz w:val="19"/>
        </w:rPr>
        <w:t xml:space="preserve"> </w:t>
      </w:r>
      <w:r>
        <w:rPr>
          <w:sz w:val="19"/>
        </w:rPr>
        <w:t>volume</w:t>
      </w:r>
      <w:r>
        <w:rPr>
          <w:spacing w:val="-12"/>
          <w:sz w:val="19"/>
        </w:rPr>
        <w:t xml:space="preserve"> </w:t>
      </w:r>
      <w:r>
        <w:rPr>
          <w:rFonts w:ascii="Arial"/>
          <w:i/>
          <w:sz w:val="19"/>
        </w:rPr>
        <w:t>(Fig.</w:t>
      </w:r>
      <w:r>
        <w:rPr>
          <w:rFonts w:ascii="Arial"/>
          <w:i/>
          <w:spacing w:val="-10"/>
          <w:sz w:val="19"/>
        </w:rPr>
        <w:t xml:space="preserve"> </w:t>
      </w:r>
      <w:r>
        <w:rPr>
          <w:rFonts w:ascii="Arial"/>
          <w:i/>
          <w:sz w:val="19"/>
        </w:rPr>
        <w:t>2a,</w:t>
      </w:r>
      <w:r>
        <w:rPr>
          <w:rFonts w:ascii="Arial"/>
          <w:i/>
          <w:spacing w:val="-10"/>
          <w:sz w:val="19"/>
        </w:rPr>
        <w:t xml:space="preserve"> </w:t>
      </w:r>
      <w:r>
        <w:rPr>
          <w:rFonts w:ascii="Arial"/>
          <w:i/>
          <w:sz w:val="19"/>
        </w:rPr>
        <w:t>2b)</w:t>
      </w:r>
      <w:r>
        <w:rPr>
          <w:sz w:val="19"/>
        </w:rPr>
        <w:t>.</w:t>
      </w:r>
      <w:r>
        <w:rPr>
          <w:spacing w:val="-10"/>
          <w:sz w:val="19"/>
        </w:rPr>
        <w:t xml:space="preserve"> </w:t>
      </w:r>
      <w:r>
        <w:rPr>
          <w:sz w:val="19"/>
        </w:rPr>
        <w:t>The</w:t>
      </w:r>
      <w:r>
        <w:rPr>
          <w:spacing w:val="-13"/>
          <w:sz w:val="19"/>
        </w:rPr>
        <w:t xml:space="preserve"> </w:t>
      </w:r>
      <w:r>
        <w:rPr>
          <w:sz w:val="19"/>
        </w:rPr>
        <w:t>diaphragmatic defect</w:t>
      </w:r>
      <w:r>
        <w:rPr>
          <w:spacing w:val="-7"/>
          <w:sz w:val="19"/>
        </w:rPr>
        <w:t xml:space="preserve"> </w:t>
      </w:r>
      <w:r>
        <w:rPr>
          <w:sz w:val="19"/>
        </w:rPr>
        <w:t>was</w:t>
      </w:r>
      <w:r>
        <w:rPr>
          <w:spacing w:val="-8"/>
          <w:sz w:val="19"/>
        </w:rPr>
        <w:t xml:space="preserve"> </w:t>
      </w:r>
      <w:r>
        <w:rPr>
          <w:sz w:val="19"/>
        </w:rPr>
        <w:t>closed</w:t>
      </w:r>
      <w:r>
        <w:rPr>
          <w:spacing w:val="-9"/>
          <w:sz w:val="19"/>
        </w:rPr>
        <w:t xml:space="preserve"> </w:t>
      </w:r>
      <w:r>
        <w:rPr>
          <w:sz w:val="19"/>
        </w:rPr>
        <w:t>primarily</w:t>
      </w:r>
      <w:r>
        <w:rPr>
          <w:spacing w:val="-8"/>
          <w:sz w:val="19"/>
        </w:rPr>
        <w:t xml:space="preserve"> </w:t>
      </w:r>
      <w:r>
        <w:rPr>
          <w:sz w:val="19"/>
        </w:rPr>
        <w:t>by</w:t>
      </w:r>
      <w:r>
        <w:rPr>
          <w:spacing w:val="-8"/>
          <w:sz w:val="19"/>
        </w:rPr>
        <w:t xml:space="preserve"> </w:t>
      </w:r>
      <w:r>
        <w:rPr>
          <w:sz w:val="19"/>
        </w:rPr>
        <w:t>interrupted</w:t>
      </w:r>
      <w:r>
        <w:rPr>
          <w:spacing w:val="-9"/>
          <w:sz w:val="19"/>
        </w:rPr>
        <w:t xml:space="preserve"> </w:t>
      </w:r>
      <w:r>
        <w:rPr>
          <w:sz w:val="19"/>
        </w:rPr>
        <w:t>Prolene</w:t>
      </w:r>
      <w:r>
        <w:rPr>
          <w:spacing w:val="-9"/>
          <w:sz w:val="19"/>
        </w:rPr>
        <w:t xml:space="preserve"> </w:t>
      </w:r>
      <w:r>
        <w:rPr>
          <w:sz w:val="19"/>
        </w:rPr>
        <w:t>2-0</w:t>
      </w:r>
      <w:r>
        <w:rPr>
          <w:spacing w:val="-14"/>
          <w:sz w:val="19"/>
        </w:rPr>
        <w:t xml:space="preserve"> </w:t>
      </w:r>
      <w:r>
        <w:rPr>
          <w:sz w:val="19"/>
        </w:rPr>
        <w:t>(round</w:t>
      </w:r>
      <w:r>
        <w:rPr>
          <w:spacing w:val="-9"/>
          <w:sz w:val="19"/>
        </w:rPr>
        <w:t xml:space="preserve"> </w:t>
      </w:r>
      <w:r>
        <w:rPr>
          <w:sz w:val="19"/>
        </w:rPr>
        <w:t>body)</w:t>
      </w:r>
      <w:r>
        <w:rPr>
          <w:spacing w:val="-8"/>
          <w:sz w:val="19"/>
        </w:rPr>
        <w:t xml:space="preserve"> </w:t>
      </w:r>
      <w:r>
        <w:rPr>
          <w:sz w:val="19"/>
        </w:rPr>
        <w:t>non-absorbable</w:t>
      </w:r>
      <w:r>
        <w:rPr>
          <w:spacing w:val="-9"/>
          <w:sz w:val="19"/>
        </w:rPr>
        <w:t xml:space="preserve"> </w:t>
      </w:r>
      <w:r>
        <w:rPr>
          <w:sz w:val="19"/>
        </w:rPr>
        <w:t>sutures.</w:t>
      </w:r>
      <w:r>
        <w:rPr>
          <w:spacing w:val="-11"/>
          <w:sz w:val="19"/>
        </w:rPr>
        <w:t xml:space="preserve"> </w:t>
      </w:r>
      <w:r>
        <w:rPr>
          <w:sz w:val="19"/>
        </w:rPr>
        <w:t>No</w:t>
      </w:r>
      <w:r>
        <w:rPr>
          <w:spacing w:val="-9"/>
          <w:sz w:val="19"/>
        </w:rPr>
        <w:t xml:space="preserve"> </w:t>
      </w:r>
      <w:r>
        <w:rPr>
          <w:sz w:val="19"/>
        </w:rPr>
        <w:t>prosthetic</w:t>
      </w:r>
      <w:r>
        <w:rPr>
          <w:spacing w:val="-8"/>
          <w:sz w:val="19"/>
        </w:rPr>
        <w:t xml:space="preserve"> </w:t>
      </w:r>
      <w:r>
        <w:rPr>
          <w:sz w:val="19"/>
        </w:rPr>
        <w:t>patch was required due to adequate diaphragmatic margins.</w:t>
      </w:r>
    </w:p>
    <w:p w14:paraId="550B34AC" w14:textId="77777777" w:rsidR="002A190D" w:rsidRDefault="00F30076">
      <w:pPr>
        <w:spacing w:before="157" w:line="276" w:lineRule="auto"/>
        <w:ind w:right="352"/>
        <w:jc w:val="both"/>
        <w:rPr>
          <w:sz w:val="19"/>
        </w:rPr>
      </w:pPr>
      <w:r>
        <w:rPr>
          <w:sz w:val="19"/>
        </w:rPr>
        <w:t>There were no postoperative complications. Bowel movements returned early (postoperative day 1). The oral intake</w:t>
      </w:r>
      <w:r>
        <w:rPr>
          <w:spacing w:val="-2"/>
          <w:sz w:val="19"/>
        </w:rPr>
        <w:t xml:space="preserve"> </w:t>
      </w:r>
      <w:r>
        <w:rPr>
          <w:sz w:val="19"/>
        </w:rPr>
        <w:t>was</w:t>
      </w:r>
      <w:r>
        <w:rPr>
          <w:spacing w:val="-3"/>
          <w:sz w:val="19"/>
        </w:rPr>
        <w:t xml:space="preserve"> </w:t>
      </w:r>
      <w:r>
        <w:rPr>
          <w:sz w:val="19"/>
        </w:rPr>
        <w:t>well</w:t>
      </w:r>
      <w:r>
        <w:rPr>
          <w:spacing w:val="-3"/>
          <w:sz w:val="19"/>
        </w:rPr>
        <w:t xml:space="preserve"> </w:t>
      </w:r>
      <w:r>
        <w:rPr>
          <w:sz w:val="19"/>
        </w:rPr>
        <w:t>tolerated.</w:t>
      </w:r>
      <w:r>
        <w:rPr>
          <w:spacing w:val="-1"/>
          <w:sz w:val="19"/>
        </w:rPr>
        <w:t xml:space="preserve"> </w:t>
      </w:r>
      <w:r>
        <w:rPr>
          <w:sz w:val="19"/>
        </w:rPr>
        <w:t>Postoperative</w:t>
      </w:r>
      <w:r>
        <w:rPr>
          <w:spacing w:val="-3"/>
          <w:sz w:val="19"/>
        </w:rPr>
        <w:t xml:space="preserve"> </w:t>
      </w:r>
      <w:r>
        <w:rPr>
          <w:sz w:val="19"/>
        </w:rPr>
        <w:t>investigations,</w:t>
      </w:r>
      <w:r>
        <w:rPr>
          <w:spacing w:val="-1"/>
          <w:sz w:val="19"/>
        </w:rPr>
        <w:t xml:space="preserve"> </w:t>
      </w:r>
      <w:r>
        <w:rPr>
          <w:sz w:val="19"/>
        </w:rPr>
        <w:t>including</w:t>
      </w:r>
      <w:r>
        <w:rPr>
          <w:spacing w:val="-3"/>
          <w:sz w:val="19"/>
        </w:rPr>
        <w:t xml:space="preserve"> </w:t>
      </w:r>
      <w:r>
        <w:rPr>
          <w:sz w:val="19"/>
        </w:rPr>
        <w:t>renal</w:t>
      </w:r>
      <w:r>
        <w:rPr>
          <w:spacing w:val="-4"/>
          <w:sz w:val="19"/>
        </w:rPr>
        <w:t xml:space="preserve"> </w:t>
      </w:r>
      <w:r>
        <w:rPr>
          <w:sz w:val="19"/>
        </w:rPr>
        <w:t>function</w:t>
      </w:r>
      <w:r>
        <w:rPr>
          <w:spacing w:val="-3"/>
          <w:sz w:val="19"/>
        </w:rPr>
        <w:t xml:space="preserve"> </w:t>
      </w:r>
      <w:r>
        <w:rPr>
          <w:sz w:val="19"/>
        </w:rPr>
        <w:t>tests,</w:t>
      </w:r>
      <w:r>
        <w:rPr>
          <w:spacing w:val="-1"/>
          <w:sz w:val="19"/>
        </w:rPr>
        <w:t xml:space="preserve"> </w:t>
      </w:r>
      <w:r>
        <w:rPr>
          <w:sz w:val="19"/>
        </w:rPr>
        <w:t>amylase,</w:t>
      </w:r>
      <w:r>
        <w:rPr>
          <w:spacing w:val="-1"/>
          <w:sz w:val="19"/>
        </w:rPr>
        <w:t xml:space="preserve"> </w:t>
      </w:r>
      <w:r>
        <w:rPr>
          <w:sz w:val="19"/>
        </w:rPr>
        <w:t>and</w:t>
      </w:r>
      <w:r>
        <w:rPr>
          <w:spacing w:val="-3"/>
          <w:sz w:val="19"/>
        </w:rPr>
        <w:t xml:space="preserve"> </w:t>
      </w:r>
      <w:r>
        <w:rPr>
          <w:sz w:val="19"/>
        </w:rPr>
        <w:t>lipase,</w:t>
      </w:r>
      <w:r>
        <w:rPr>
          <w:spacing w:val="-1"/>
          <w:sz w:val="19"/>
        </w:rPr>
        <w:t xml:space="preserve"> </w:t>
      </w:r>
      <w:r>
        <w:rPr>
          <w:sz w:val="19"/>
        </w:rPr>
        <w:t xml:space="preserve">were within normal limits. The patient was discharged in stable condition on postoperative day 5 and remained asymptomatic at the 2-week follow-up. A repeat chest X-ray showed complete resolution with no residual </w:t>
      </w:r>
      <w:r>
        <w:rPr>
          <w:spacing w:val="-2"/>
          <w:sz w:val="19"/>
        </w:rPr>
        <w:t>pneumothorax.</w:t>
      </w:r>
    </w:p>
    <w:p w14:paraId="29F09269" w14:textId="77777777" w:rsidR="002A190D" w:rsidRDefault="002A190D">
      <w:pPr>
        <w:spacing w:line="276" w:lineRule="auto"/>
        <w:jc w:val="both"/>
        <w:rPr>
          <w:sz w:val="19"/>
        </w:rPr>
        <w:sectPr w:rsidR="002A190D">
          <w:pgSz w:w="12240" w:h="15840"/>
          <w:pgMar w:top="1360" w:right="1080" w:bottom="280" w:left="1440" w:header="720" w:footer="720" w:gutter="0"/>
          <w:cols w:space="720"/>
        </w:sectPr>
      </w:pPr>
    </w:p>
    <w:p w14:paraId="0D2D9D84" w14:textId="77777777" w:rsidR="002A190D" w:rsidRDefault="00F30076">
      <w:pPr>
        <w:pStyle w:val="Heading1"/>
        <w:numPr>
          <w:ilvl w:val="0"/>
          <w:numId w:val="1"/>
        </w:numPr>
        <w:tabs>
          <w:tab w:val="left" w:pos="263"/>
        </w:tabs>
        <w:spacing w:before="70"/>
        <w:ind w:left="263" w:hanging="263"/>
      </w:pPr>
      <w:r>
        <w:rPr>
          <w:spacing w:val="-2"/>
        </w:rPr>
        <w:lastRenderedPageBreak/>
        <w:t>DISCUSSION:</w:t>
      </w:r>
    </w:p>
    <w:p w14:paraId="2A007C7D" w14:textId="77777777" w:rsidR="002A190D" w:rsidRDefault="00F30076">
      <w:pPr>
        <w:pStyle w:val="BodyText"/>
        <w:spacing w:before="167" w:line="276" w:lineRule="auto"/>
        <w:ind w:right="359"/>
        <w:jc w:val="both"/>
      </w:pPr>
      <w:r>
        <w:t>As</w:t>
      </w:r>
      <w:r>
        <w:rPr>
          <w:spacing w:val="-9"/>
        </w:rPr>
        <w:t xml:space="preserve"> </w:t>
      </w:r>
      <w:r>
        <w:t>illustrated</w:t>
      </w:r>
      <w:r>
        <w:rPr>
          <w:spacing w:val="-10"/>
        </w:rPr>
        <w:t xml:space="preserve"> </w:t>
      </w:r>
      <w:r>
        <w:t>in</w:t>
      </w:r>
      <w:r>
        <w:rPr>
          <w:spacing w:val="-10"/>
        </w:rPr>
        <w:t xml:space="preserve"> </w:t>
      </w:r>
      <w:r>
        <w:t>our</w:t>
      </w:r>
      <w:r>
        <w:rPr>
          <w:spacing w:val="-11"/>
        </w:rPr>
        <w:t xml:space="preserve"> </w:t>
      </w:r>
      <w:r>
        <w:t>case,</w:t>
      </w:r>
      <w:r>
        <w:rPr>
          <w:spacing w:val="-10"/>
        </w:rPr>
        <w:t xml:space="preserve"> </w:t>
      </w:r>
      <w:r>
        <w:t>the</w:t>
      </w:r>
      <w:r>
        <w:rPr>
          <w:spacing w:val="-10"/>
        </w:rPr>
        <w:t xml:space="preserve"> </w:t>
      </w:r>
      <w:r>
        <w:t>clinical</w:t>
      </w:r>
      <w:r>
        <w:rPr>
          <w:spacing w:val="-8"/>
        </w:rPr>
        <w:t xml:space="preserve"> </w:t>
      </w:r>
      <w:r>
        <w:t>presentation</w:t>
      </w:r>
      <w:r>
        <w:rPr>
          <w:spacing w:val="-10"/>
        </w:rPr>
        <w:t xml:space="preserve"> </w:t>
      </w:r>
      <w:r>
        <w:t>of</w:t>
      </w:r>
      <w:r>
        <w:rPr>
          <w:spacing w:val="-10"/>
        </w:rPr>
        <w:t xml:space="preserve"> </w:t>
      </w:r>
      <w:r>
        <w:t>CDH</w:t>
      </w:r>
      <w:r>
        <w:rPr>
          <w:spacing w:val="-9"/>
        </w:rPr>
        <w:t xml:space="preserve"> </w:t>
      </w:r>
      <w:r>
        <w:t>varies</w:t>
      </w:r>
      <w:r>
        <w:rPr>
          <w:spacing w:val="-9"/>
        </w:rPr>
        <w:t xml:space="preserve"> </w:t>
      </w:r>
      <w:r>
        <w:t>markedly</w:t>
      </w:r>
      <w:r>
        <w:rPr>
          <w:spacing w:val="-9"/>
        </w:rPr>
        <w:t xml:space="preserve"> </w:t>
      </w:r>
      <w:r>
        <w:t>with</w:t>
      </w:r>
      <w:r>
        <w:rPr>
          <w:spacing w:val="-10"/>
        </w:rPr>
        <w:t xml:space="preserve"> </w:t>
      </w:r>
      <w:r>
        <w:t>age.</w:t>
      </w:r>
      <w:r>
        <w:rPr>
          <w:spacing w:val="-10"/>
        </w:rPr>
        <w:t xml:space="preserve"> </w:t>
      </w:r>
      <w:r>
        <w:t>In</w:t>
      </w:r>
      <w:r>
        <w:rPr>
          <w:spacing w:val="-11"/>
        </w:rPr>
        <w:t xml:space="preserve"> </w:t>
      </w:r>
      <w:r>
        <w:t>neonates,</w:t>
      </w:r>
      <w:r>
        <w:rPr>
          <w:spacing w:val="-10"/>
        </w:rPr>
        <w:t xml:space="preserve"> </w:t>
      </w:r>
      <w:r>
        <w:t>it</w:t>
      </w:r>
      <w:r>
        <w:rPr>
          <w:spacing w:val="-9"/>
        </w:rPr>
        <w:t xml:space="preserve"> </w:t>
      </w:r>
      <w:r>
        <w:t>typically manifests</w:t>
      </w:r>
      <w:r>
        <w:rPr>
          <w:spacing w:val="-9"/>
        </w:rPr>
        <w:t xml:space="preserve"> </w:t>
      </w:r>
      <w:r>
        <w:t>with</w:t>
      </w:r>
      <w:r>
        <w:rPr>
          <w:spacing w:val="-5"/>
        </w:rPr>
        <w:t xml:space="preserve"> </w:t>
      </w:r>
      <w:r>
        <w:t>severe</w:t>
      </w:r>
      <w:r>
        <w:rPr>
          <w:spacing w:val="-10"/>
        </w:rPr>
        <w:t xml:space="preserve"> </w:t>
      </w:r>
      <w:r>
        <w:t>respiratory</w:t>
      </w:r>
      <w:r>
        <w:rPr>
          <w:spacing w:val="-9"/>
        </w:rPr>
        <w:t xml:space="preserve"> </w:t>
      </w:r>
      <w:r>
        <w:t>distress</w:t>
      </w:r>
      <w:r>
        <w:rPr>
          <w:spacing w:val="-9"/>
        </w:rPr>
        <w:t xml:space="preserve"> </w:t>
      </w:r>
      <w:r>
        <w:t>due</w:t>
      </w:r>
      <w:r>
        <w:rPr>
          <w:spacing w:val="-10"/>
        </w:rPr>
        <w:t xml:space="preserve"> </w:t>
      </w:r>
      <w:r>
        <w:t>to</w:t>
      </w:r>
      <w:r>
        <w:rPr>
          <w:spacing w:val="-6"/>
        </w:rPr>
        <w:t xml:space="preserve"> </w:t>
      </w:r>
      <w:r>
        <w:t>pulmonary</w:t>
      </w:r>
      <w:r>
        <w:rPr>
          <w:spacing w:val="-9"/>
        </w:rPr>
        <w:t xml:space="preserve"> </w:t>
      </w:r>
      <w:r>
        <w:t>hypoplasia</w:t>
      </w:r>
      <w:r>
        <w:rPr>
          <w:spacing w:val="-10"/>
        </w:rPr>
        <w:t xml:space="preserve"> </w:t>
      </w:r>
      <w:r>
        <w:t>and</w:t>
      </w:r>
      <w:r>
        <w:rPr>
          <w:spacing w:val="-10"/>
        </w:rPr>
        <w:t xml:space="preserve"> </w:t>
      </w:r>
      <w:r>
        <w:t>pulmonary</w:t>
      </w:r>
      <w:r>
        <w:rPr>
          <w:spacing w:val="-9"/>
        </w:rPr>
        <w:t xml:space="preserve"> </w:t>
      </w:r>
      <w:r>
        <w:t>hypertension.</w:t>
      </w:r>
      <w:r>
        <w:rPr>
          <w:spacing w:val="-5"/>
        </w:rPr>
        <w:t xml:space="preserve"> </w:t>
      </w:r>
      <w:r>
        <w:t xml:space="preserve">They are primary determinants of morbidity and mortality </w:t>
      </w:r>
      <w:r>
        <w:rPr>
          <w:color w:val="212121"/>
        </w:rPr>
        <w:t>(</w:t>
      </w:r>
      <w:r>
        <w:rPr>
          <w:rFonts w:ascii="Arial"/>
          <w:i/>
          <w:color w:val="212121"/>
        </w:rPr>
        <w:t xml:space="preserve">de Buys </w:t>
      </w:r>
      <w:proofErr w:type="spellStart"/>
      <w:r>
        <w:rPr>
          <w:rFonts w:ascii="Arial"/>
          <w:i/>
          <w:color w:val="212121"/>
        </w:rPr>
        <w:t>Roessingh</w:t>
      </w:r>
      <w:proofErr w:type="spellEnd"/>
      <w:r>
        <w:rPr>
          <w:rFonts w:ascii="Arial"/>
          <w:i/>
          <w:color w:val="212121"/>
        </w:rPr>
        <w:t xml:space="preserve"> &amp; </w:t>
      </w:r>
      <w:proofErr w:type="spellStart"/>
      <w:r>
        <w:rPr>
          <w:rFonts w:ascii="Arial"/>
          <w:i/>
          <w:color w:val="212121"/>
        </w:rPr>
        <w:t>Dinh</w:t>
      </w:r>
      <w:proofErr w:type="spellEnd"/>
      <w:r>
        <w:rPr>
          <w:rFonts w:ascii="Arial"/>
          <w:i/>
          <w:color w:val="212121"/>
        </w:rPr>
        <w:t>-Xuan, 2009</w:t>
      </w:r>
      <w:r>
        <w:rPr>
          <w:color w:val="212121"/>
        </w:rPr>
        <w:t xml:space="preserve">). Whereas adolescents and adult patients usually have </w:t>
      </w:r>
      <w:r>
        <w:t xml:space="preserve">well-developed </w:t>
      </w:r>
      <w:r>
        <w:rPr>
          <w:color w:val="212121"/>
        </w:rPr>
        <w:t>lungs with no hypoplasia and may remain asymptomatic for years before presenting with mechanical symptoms of herniated viscera (</w:t>
      </w:r>
      <w:r>
        <w:rPr>
          <w:rFonts w:ascii="Arial"/>
          <w:i/>
          <w:color w:val="212121"/>
        </w:rPr>
        <w:t xml:space="preserve">Bianchi et al., 2013). </w:t>
      </w:r>
      <w:r>
        <w:rPr>
          <w:color w:val="212121"/>
        </w:rPr>
        <w:t xml:space="preserve">Therefore, patients often present with misleading symptoms such as intermittent abdominal </w:t>
      </w:r>
      <w:r>
        <w:t xml:space="preserve">pain </w:t>
      </w:r>
      <w:r>
        <w:rPr>
          <w:color w:val="212121"/>
        </w:rPr>
        <w:t>and vomiting that might lead to a delay in diagnosis (</w:t>
      </w:r>
      <w:r>
        <w:rPr>
          <w:rFonts w:ascii="Arial"/>
          <w:i/>
          <w:color w:val="212121"/>
        </w:rPr>
        <w:t xml:space="preserve">Haynes et al., 2025). </w:t>
      </w:r>
      <w:r>
        <w:rPr>
          <w:color w:val="212121"/>
        </w:rPr>
        <w:t xml:space="preserve">Our </w:t>
      </w:r>
      <w:r>
        <w:t xml:space="preserve">patient </w:t>
      </w:r>
      <w:r>
        <w:rPr>
          <w:color w:val="212121"/>
        </w:rPr>
        <w:t xml:space="preserve">presented with symptoms of acute gastrointestinal tract obstruction due to gastric volvulus in </w:t>
      </w:r>
      <w:r>
        <w:t xml:space="preserve">the thoracic </w:t>
      </w:r>
      <w:r>
        <w:rPr>
          <w:color w:val="212121"/>
        </w:rPr>
        <w:t>cavity. This mechanism</w:t>
      </w:r>
      <w:r>
        <w:rPr>
          <w:color w:val="212121"/>
          <w:spacing w:val="-4"/>
        </w:rPr>
        <w:t xml:space="preserve"> </w:t>
      </w:r>
      <w:r>
        <w:rPr>
          <w:color w:val="212121"/>
        </w:rPr>
        <w:t>is</w:t>
      </w:r>
      <w:r>
        <w:rPr>
          <w:color w:val="212121"/>
          <w:spacing w:val="-3"/>
        </w:rPr>
        <w:t xml:space="preserve"> </w:t>
      </w:r>
      <w:r>
        <w:rPr>
          <w:color w:val="212121"/>
        </w:rPr>
        <w:t>well</w:t>
      </w:r>
      <w:r>
        <w:rPr>
          <w:color w:val="212121"/>
          <w:spacing w:val="-1"/>
        </w:rPr>
        <w:t xml:space="preserve"> </w:t>
      </w:r>
      <w:r>
        <w:rPr>
          <w:color w:val="212121"/>
        </w:rPr>
        <w:t>described</w:t>
      </w:r>
      <w:r>
        <w:rPr>
          <w:color w:val="212121"/>
          <w:spacing w:val="-4"/>
        </w:rPr>
        <w:t xml:space="preserve"> </w:t>
      </w:r>
      <w:r>
        <w:rPr>
          <w:color w:val="212121"/>
        </w:rPr>
        <w:t>in</w:t>
      </w:r>
      <w:r>
        <w:rPr>
          <w:color w:val="212121"/>
          <w:spacing w:val="-4"/>
        </w:rPr>
        <w:t xml:space="preserve"> </w:t>
      </w:r>
      <w:r>
        <w:rPr>
          <w:color w:val="212121"/>
        </w:rPr>
        <w:t>late-presenting</w:t>
      </w:r>
      <w:r>
        <w:rPr>
          <w:color w:val="212121"/>
          <w:spacing w:val="-4"/>
        </w:rPr>
        <w:t xml:space="preserve"> </w:t>
      </w:r>
      <w:r>
        <w:rPr>
          <w:color w:val="212121"/>
        </w:rPr>
        <w:t>CDH,</w:t>
      </w:r>
      <w:r>
        <w:rPr>
          <w:color w:val="212121"/>
          <w:spacing w:val="-4"/>
        </w:rPr>
        <w:t xml:space="preserve"> </w:t>
      </w:r>
      <w:r>
        <w:rPr>
          <w:color w:val="212121"/>
        </w:rPr>
        <w:t>where</w:t>
      </w:r>
      <w:r>
        <w:rPr>
          <w:color w:val="212121"/>
          <w:spacing w:val="-4"/>
        </w:rPr>
        <w:t xml:space="preserve"> </w:t>
      </w:r>
      <w:r>
        <w:rPr>
          <w:color w:val="212121"/>
        </w:rPr>
        <w:t>altered anatomical</w:t>
      </w:r>
      <w:r>
        <w:rPr>
          <w:color w:val="212121"/>
          <w:spacing w:val="-2"/>
        </w:rPr>
        <w:t xml:space="preserve"> </w:t>
      </w:r>
      <w:r>
        <w:rPr>
          <w:color w:val="212121"/>
        </w:rPr>
        <w:t>positioning of</w:t>
      </w:r>
      <w:r>
        <w:rPr>
          <w:color w:val="212121"/>
          <w:spacing w:val="-4"/>
        </w:rPr>
        <w:t xml:space="preserve"> </w:t>
      </w:r>
      <w:r>
        <w:rPr>
          <w:color w:val="212121"/>
        </w:rPr>
        <w:t>the</w:t>
      </w:r>
      <w:r>
        <w:rPr>
          <w:color w:val="212121"/>
          <w:spacing w:val="-4"/>
        </w:rPr>
        <w:t xml:space="preserve"> </w:t>
      </w:r>
      <w:r>
        <w:rPr>
          <w:color w:val="212121"/>
        </w:rPr>
        <w:t>stomach predisposes</w:t>
      </w:r>
      <w:r>
        <w:rPr>
          <w:color w:val="212121"/>
          <w:spacing w:val="-8"/>
        </w:rPr>
        <w:t xml:space="preserve"> </w:t>
      </w:r>
      <w:r>
        <w:rPr>
          <w:color w:val="212121"/>
        </w:rPr>
        <w:t>it</w:t>
      </w:r>
      <w:r>
        <w:rPr>
          <w:color w:val="212121"/>
          <w:spacing w:val="-8"/>
        </w:rPr>
        <w:t xml:space="preserve"> </w:t>
      </w:r>
      <w:r>
        <w:rPr>
          <w:color w:val="212121"/>
        </w:rPr>
        <w:t>to</w:t>
      </w:r>
      <w:r>
        <w:rPr>
          <w:color w:val="212121"/>
          <w:spacing w:val="-5"/>
        </w:rPr>
        <w:t xml:space="preserve"> </w:t>
      </w:r>
      <w:r>
        <w:rPr>
          <w:color w:val="212121"/>
        </w:rPr>
        <w:t>torsion</w:t>
      </w:r>
      <w:r>
        <w:rPr>
          <w:color w:val="212121"/>
          <w:spacing w:val="-9"/>
        </w:rPr>
        <w:t xml:space="preserve"> </w:t>
      </w:r>
      <w:r>
        <w:rPr>
          <w:color w:val="212121"/>
        </w:rPr>
        <w:t>and</w:t>
      </w:r>
      <w:r>
        <w:rPr>
          <w:color w:val="212121"/>
          <w:spacing w:val="-9"/>
        </w:rPr>
        <w:t xml:space="preserve"> </w:t>
      </w:r>
      <w:r>
        <w:rPr>
          <w:color w:val="212121"/>
        </w:rPr>
        <w:t>functional</w:t>
      </w:r>
      <w:r>
        <w:rPr>
          <w:color w:val="212121"/>
          <w:spacing w:val="-3"/>
        </w:rPr>
        <w:t xml:space="preserve"> </w:t>
      </w:r>
      <w:r>
        <w:rPr>
          <w:color w:val="212121"/>
        </w:rPr>
        <w:t>obstruction</w:t>
      </w:r>
      <w:r>
        <w:rPr>
          <w:color w:val="212121"/>
          <w:spacing w:val="-4"/>
        </w:rPr>
        <w:t xml:space="preserve"> </w:t>
      </w:r>
      <w:r>
        <w:rPr>
          <w:color w:val="212121"/>
        </w:rPr>
        <w:t>(</w:t>
      </w:r>
      <w:r>
        <w:rPr>
          <w:rFonts w:ascii="Arial"/>
          <w:i/>
          <w:color w:val="212121"/>
        </w:rPr>
        <w:t>Mawson</w:t>
      </w:r>
      <w:r>
        <w:rPr>
          <w:rFonts w:ascii="Arial"/>
          <w:i/>
          <w:color w:val="212121"/>
          <w:spacing w:val="-9"/>
        </w:rPr>
        <w:t xml:space="preserve"> </w:t>
      </w:r>
      <w:r>
        <w:rPr>
          <w:rFonts w:ascii="Arial"/>
          <w:i/>
          <w:color w:val="212121"/>
        </w:rPr>
        <w:t>et</w:t>
      </w:r>
      <w:r>
        <w:rPr>
          <w:rFonts w:ascii="Arial"/>
          <w:i/>
          <w:color w:val="212121"/>
          <w:spacing w:val="-4"/>
        </w:rPr>
        <w:t xml:space="preserve"> </w:t>
      </w:r>
      <w:r>
        <w:rPr>
          <w:rFonts w:ascii="Arial"/>
          <w:i/>
          <w:color w:val="212121"/>
        </w:rPr>
        <w:t>al.,</w:t>
      </w:r>
      <w:r>
        <w:rPr>
          <w:rFonts w:ascii="Arial"/>
          <w:i/>
          <w:color w:val="212121"/>
          <w:spacing w:val="-9"/>
        </w:rPr>
        <w:t xml:space="preserve"> </w:t>
      </w:r>
      <w:r>
        <w:rPr>
          <w:rFonts w:ascii="Arial"/>
          <w:i/>
          <w:color w:val="212121"/>
        </w:rPr>
        <w:t>2019</w:t>
      </w:r>
      <w:r>
        <w:rPr>
          <w:color w:val="212121"/>
        </w:rPr>
        <w:t>).</w:t>
      </w:r>
      <w:r>
        <w:rPr>
          <w:color w:val="212121"/>
          <w:spacing w:val="-9"/>
        </w:rPr>
        <w:t xml:space="preserve"> </w:t>
      </w:r>
      <w:r>
        <w:rPr>
          <w:color w:val="212121"/>
        </w:rPr>
        <w:t>Some</w:t>
      </w:r>
      <w:r>
        <w:rPr>
          <w:color w:val="212121"/>
          <w:spacing w:val="-8"/>
        </w:rPr>
        <w:t xml:space="preserve"> </w:t>
      </w:r>
      <w:r>
        <w:t>studies</w:t>
      </w:r>
      <w:r>
        <w:rPr>
          <w:spacing w:val="-7"/>
        </w:rPr>
        <w:t xml:space="preserve"> </w:t>
      </w:r>
      <w:r>
        <w:rPr>
          <w:color w:val="212121"/>
        </w:rPr>
        <w:t>have</w:t>
      </w:r>
      <w:r>
        <w:rPr>
          <w:color w:val="212121"/>
          <w:spacing w:val="-9"/>
        </w:rPr>
        <w:t xml:space="preserve"> </w:t>
      </w:r>
      <w:r>
        <w:rPr>
          <w:color w:val="212121"/>
        </w:rPr>
        <w:t>reported</w:t>
      </w:r>
      <w:r>
        <w:rPr>
          <w:color w:val="212121"/>
          <w:spacing w:val="-9"/>
        </w:rPr>
        <w:t xml:space="preserve"> </w:t>
      </w:r>
      <w:r>
        <w:rPr>
          <w:color w:val="212121"/>
        </w:rPr>
        <w:t xml:space="preserve">that CDH might even mimic acute thoracic conditions, such as </w:t>
      </w:r>
      <w:r>
        <w:t xml:space="preserve">pneumothorax, which is another reason to consider CDH in the differential diagnosis </w:t>
      </w:r>
      <w:r>
        <w:rPr>
          <w:color w:val="212121"/>
        </w:rPr>
        <w:t>(</w:t>
      </w:r>
      <w:r>
        <w:rPr>
          <w:rFonts w:ascii="Arial"/>
          <w:i/>
          <w:color w:val="212121"/>
        </w:rPr>
        <w:t>Dalton et al., 2004</w:t>
      </w:r>
      <w:r>
        <w:rPr>
          <w:color w:val="212121"/>
        </w:rPr>
        <w:t>). Our case highlights this variability as well.</w:t>
      </w:r>
    </w:p>
    <w:p w14:paraId="6FB48F57" w14:textId="77777777" w:rsidR="002A190D" w:rsidRDefault="00F30076">
      <w:pPr>
        <w:pStyle w:val="BodyText"/>
        <w:spacing w:before="157" w:line="276" w:lineRule="auto"/>
        <w:ind w:right="357"/>
        <w:jc w:val="both"/>
      </w:pPr>
      <w:r>
        <w:rPr>
          <w:color w:val="212121"/>
        </w:rPr>
        <w:t>Imaging</w:t>
      </w:r>
      <w:r>
        <w:rPr>
          <w:color w:val="212121"/>
          <w:spacing w:val="-5"/>
        </w:rPr>
        <w:t xml:space="preserve"> </w:t>
      </w:r>
      <w:r>
        <w:rPr>
          <w:color w:val="212121"/>
        </w:rPr>
        <w:t>plays a</w:t>
      </w:r>
      <w:r>
        <w:rPr>
          <w:color w:val="212121"/>
          <w:spacing w:val="-5"/>
        </w:rPr>
        <w:t xml:space="preserve"> </w:t>
      </w:r>
      <w:r>
        <w:rPr>
          <w:color w:val="212121"/>
        </w:rPr>
        <w:t>pivotal</w:t>
      </w:r>
      <w:r>
        <w:rPr>
          <w:color w:val="212121"/>
          <w:spacing w:val="-4"/>
        </w:rPr>
        <w:t xml:space="preserve"> </w:t>
      </w:r>
      <w:r>
        <w:rPr>
          <w:color w:val="212121"/>
        </w:rPr>
        <w:t>role</w:t>
      </w:r>
      <w:r>
        <w:rPr>
          <w:color w:val="212121"/>
          <w:spacing w:val="-5"/>
        </w:rPr>
        <w:t xml:space="preserve"> </w:t>
      </w:r>
      <w:r>
        <w:rPr>
          <w:color w:val="212121"/>
        </w:rPr>
        <w:t>in</w:t>
      </w:r>
      <w:r>
        <w:rPr>
          <w:color w:val="212121"/>
          <w:spacing w:val="-5"/>
        </w:rPr>
        <w:t xml:space="preserve"> </w:t>
      </w:r>
      <w:r>
        <w:rPr>
          <w:color w:val="212121"/>
        </w:rPr>
        <w:t>the</w:t>
      </w:r>
      <w:r>
        <w:rPr>
          <w:color w:val="212121"/>
          <w:spacing w:val="-5"/>
        </w:rPr>
        <w:t xml:space="preserve"> </w:t>
      </w:r>
      <w:r>
        <w:rPr>
          <w:color w:val="212121"/>
        </w:rPr>
        <w:t>diagnosis.</w:t>
      </w:r>
      <w:r>
        <w:rPr>
          <w:color w:val="212121"/>
          <w:spacing w:val="-5"/>
        </w:rPr>
        <w:t xml:space="preserve"> </w:t>
      </w:r>
      <w:r>
        <w:rPr>
          <w:color w:val="212121"/>
        </w:rPr>
        <w:t>Ultrasonography</w:t>
      </w:r>
      <w:r>
        <w:rPr>
          <w:color w:val="212121"/>
          <w:spacing w:val="-5"/>
        </w:rPr>
        <w:t xml:space="preserve"> </w:t>
      </w:r>
      <w:r>
        <w:rPr>
          <w:color w:val="212121"/>
        </w:rPr>
        <w:t>and</w:t>
      </w:r>
      <w:r>
        <w:rPr>
          <w:color w:val="212121"/>
          <w:spacing w:val="-5"/>
        </w:rPr>
        <w:t xml:space="preserve"> </w:t>
      </w:r>
      <w:r>
        <w:rPr>
          <w:color w:val="212121"/>
        </w:rPr>
        <w:t>prenatal</w:t>
      </w:r>
      <w:r>
        <w:rPr>
          <w:color w:val="212121"/>
          <w:spacing w:val="-4"/>
        </w:rPr>
        <w:t xml:space="preserve"> </w:t>
      </w:r>
      <w:r>
        <w:rPr>
          <w:color w:val="212121"/>
        </w:rPr>
        <w:t>imaging</w:t>
      </w:r>
      <w:r>
        <w:rPr>
          <w:color w:val="212121"/>
          <w:spacing w:val="-5"/>
        </w:rPr>
        <w:t xml:space="preserve"> </w:t>
      </w:r>
      <w:r>
        <w:rPr>
          <w:color w:val="212121"/>
        </w:rPr>
        <w:t>are</w:t>
      </w:r>
      <w:r>
        <w:rPr>
          <w:color w:val="212121"/>
          <w:spacing w:val="-5"/>
        </w:rPr>
        <w:t xml:space="preserve"> </w:t>
      </w:r>
      <w:r>
        <w:rPr>
          <w:color w:val="212121"/>
        </w:rPr>
        <w:t>crucial</w:t>
      </w:r>
      <w:r>
        <w:rPr>
          <w:color w:val="212121"/>
          <w:spacing w:val="-4"/>
        </w:rPr>
        <w:t xml:space="preserve"> </w:t>
      </w:r>
      <w:r>
        <w:rPr>
          <w:color w:val="212121"/>
        </w:rPr>
        <w:t>in</w:t>
      </w:r>
      <w:r>
        <w:rPr>
          <w:color w:val="212121"/>
          <w:spacing w:val="-5"/>
        </w:rPr>
        <w:t xml:space="preserve"> </w:t>
      </w:r>
      <w:r>
        <w:rPr>
          <w:color w:val="212121"/>
        </w:rPr>
        <w:t>neonatal cases</w:t>
      </w:r>
      <w:r>
        <w:rPr>
          <w:color w:val="212121"/>
          <w:spacing w:val="-14"/>
        </w:rPr>
        <w:t xml:space="preserve"> </w:t>
      </w:r>
      <w:r>
        <w:rPr>
          <w:color w:val="212121"/>
        </w:rPr>
        <w:t>but</w:t>
      </w:r>
      <w:r>
        <w:rPr>
          <w:color w:val="212121"/>
          <w:spacing w:val="-9"/>
        </w:rPr>
        <w:t xml:space="preserve"> </w:t>
      </w:r>
      <w:r>
        <w:rPr>
          <w:color w:val="212121"/>
        </w:rPr>
        <w:t>not</w:t>
      </w:r>
      <w:r>
        <w:rPr>
          <w:color w:val="212121"/>
          <w:spacing w:val="-9"/>
        </w:rPr>
        <w:t xml:space="preserve"> </w:t>
      </w:r>
      <w:r>
        <w:rPr>
          <w:color w:val="212121"/>
        </w:rPr>
        <w:t>in</w:t>
      </w:r>
      <w:r>
        <w:rPr>
          <w:color w:val="212121"/>
          <w:spacing w:val="-14"/>
        </w:rPr>
        <w:t xml:space="preserve"> </w:t>
      </w:r>
      <w:r>
        <w:rPr>
          <w:color w:val="212121"/>
        </w:rPr>
        <w:t>adult-onset</w:t>
      </w:r>
      <w:r>
        <w:rPr>
          <w:color w:val="212121"/>
          <w:spacing w:val="-14"/>
        </w:rPr>
        <w:t xml:space="preserve"> </w:t>
      </w:r>
      <w:r>
        <w:rPr>
          <w:color w:val="212121"/>
        </w:rPr>
        <w:t>cases.</w:t>
      </w:r>
      <w:r>
        <w:rPr>
          <w:color w:val="212121"/>
          <w:spacing w:val="-14"/>
        </w:rPr>
        <w:t xml:space="preserve"> </w:t>
      </w:r>
      <w:r>
        <w:rPr>
          <w:color w:val="212121"/>
        </w:rPr>
        <w:t>Plain</w:t>
      </w:r>
      <w:r>
        <w:rPr>
          <w:color w:val="212121"/>
          <w:spacing w:val="-9"/>
        </w:rPr>
        <w:t xml:space="preserve"> </w:t>
      </w:r>
      <w:r>
        <w:rPr>
          <w:color w:val="212121"/>
        </w:rPr>
        <w:t>radiographs</w:t>
      </w:r>
      <w:r>
        <w:rPr>
          <w:color w:val="212121"/>
          <w:spacing w:val="-8"/>
        </w:rPr>
        <w:t xml:space="preserve"> </w:t>
      </w:r>
      <w:r>
        <w:rPr>
          <w:color w:val="212121"/>
        </w:rPr>
        <w:t>may</w:t>
      </w:r>
      <w:r>
        <w:rPr>
          <w:color w:val="212121"/>
          <w:spacing w:val="-8"/>
        </w:rPr>
        <w:t xml:space="preserve"> </w:t>
      </w:r>
      <w:r>
        <w:rPr>
          <w:color w:val="212121"/>
        </w:rPr>
        <w:t>be</w:t>
      </w:r>
      <w:r>
        <w:rPr>
          <w:color w:val="212121"/>
          <w:spacing w:val="-14"/>
        </w:rPr>
        <w:t xml:space="preserve"> </w:t>
      </w:r>
      <w:r>
        <w:rPr>
          <w:color w:val="212121"/>
        </w:rPr>
        <w:t>inconclusive</w:t>
      </w:r>
      <w:r>
        <w:rPr>
          <w:color w:val="212121"/>
          <w:spacing w:val="-14"/>
        </w:rPr>
        <w:t xml:space="preserve"> </w:t>
      </w:r>
      <w:r>
        <w:rPr>
          <w:color w:val="212121"/>
        </w:rPr>
        <w:t>or</w:t>
      </w:r>
      <w:r>
        <w:rPr>
          <w:color w:val="212121"/>
          <w:spacing w:val="-14"/>
        </w:rPr>
        <w:t xml:space="preserve"> </w:t>
      </w:r>
      <w:r>
        <w:rPr>
          <w:color w:val="212121"/>
        </w:rPr>
        <w:t>misleading.</w:t>
      </w:r>
      <w:r>
        <w:rPr>
          <w:color w:val="212121"/>
          <w:spacing w:val="-9"/>
        </w:rPr>
        <w:t xml:space="preserve"> </w:t>
      </w:r>
      <w:r>
        <w:rPr>
          <w:color w:val="212121"/>
        </w:rPr>
        <w:t>In</w:t>
      </w:r>
      <w:r>
        <w:rPr>
          <w:color w:val="212121"/>
          <w:spacing w:val="-14"/>
        </w:rPr>
        <w:t xml:space="preserve"> </w:t>
      </w:r>
      <w:r>
        <w:rPr>
          <w:color w:val="212121"/>
        </w:rPr>
        <w:t>contrast,</w:t>
      </w:r>
      <w:r>
        <w:rPr>
          <w:color w:val="212121"/>
          <w:spacing w:val="-14"/>
        </w:rPr>
        <w:t xml:space="preserve"> </w:t>
      </w:r>
      <w:r>
        <w:rPr>
          <w:color w:val="212121"/>
        </w:rPr>
        <w:t>CECT remains the most reliable modality because it confirms the diagnosis by defining the extent of herniation and</w:t>
      </w:r>
      <w:r>
        <w:rPr>
          <w:color w:val="212121"/>
          <w:spacing w:val="-5"/>
        </w:rPr>
        <w:t xml:space="preserve"> </w:t>
      </w:r>
      <w:r>
        <w:rPr>
          <w:color w:val="212121"/>
        </w:rPr>
        <w:t>associated</w:t>
      </w:r>
      <w:r>
        <w:rPr>
          <w:color w:val="212121"/>
          <w:spacing w:val="-4"/>
        </w:rPr>
        <w:t xml:space="preserve"> </w:t>
      </w:r>
      <w:r>
        <w:t xml:space="preserve">complications </w:t>
      </w:r>
      <w:r>
        <w:rPr>
          <w:color w:val="212121"/>
        </w:rPr>
        <w:t>(</w:t>
      </w:r>
      <w:proofErr w:type="spellStart"/>
      <w:r>
        <w:rPr>
          <w:rFonts w:ascii="Arial"/>
          <w:i/>
          <w:color w:val="212121"/>
        </w:rPr>
        <w:t>Puligandla</w:t>
      </w:r>
      <w:proofErr w:type="spellEnd"/>
      <w:r>
        <w:rPr>
          <w:rFonts w:ascii="Arial"/>
          <w:i/>
          <w:color w:val="212121"/>
        </w:rPr>
        <w:t xml:space="preserve"> et</w:t>
      </w:r>
      <w:r>
        <w:rPr>
          <w:rFonts w:ascii="Arial"/>
          <w:i/>
          <w:color w:val="212121"/>
          <w:spacing w:val="-5"/>
        </w:rPr>
        <w:t xml:space="preserve"> </w:t>
      </w:r>
      <w:r>
        <w:rPr>
          <w:rFonts w:ascii="Arial"/>
          <w:i/>
          <w:color w:val="212121"/>
        </w:rPr>
        <w:t>al.,</w:t>
      </w:r>
      <w:r>
        <w:rPr>
          <w:rFonts w:ascii="Arial"/>
          <w:i/>
          <w:color w:val="212121"/>
          <w:spacing w:val="-4"/>
        </w:rPr>
        <w:t xml:space="preserve"> </w:t>
      </w:r>
      <w:r>
        <w:rPr>
          <w:rFonts w:ascii="Arial"/>
          <w:i/>
          <w:color w:val="212121"/>
        </w:rPr>
        <w:t>2024</w:t>
      </w:r>
      <w:r>
        <w:rPr>
          <w:color w:val="212121"/>
        </w:rPr>
        <w:t>). These</w:t>
      </w:r>
      <w:r>
        <w:rPr>
          <w:color w:val="212121"/>
          <w:spacing w:val="-5"/>
        </w:rPr>
        <w:t xml:space="preserve"> </w:t>
      </w:r>
      <w:r>
        <w:rPr>
          <w:color w:val="212121"/>
        </w:rPr>
        <w:t>findings</w:t>
      </w:r>
      <w:r>
        <w:rPr>
          <w:color w:val="212121"/>
          <w:spacing w:val="-4"/>
        </w:rPr>
        <w:t xml:space="preserve"> </w:t>
      </w:r>
      <w:r>
        <w:rPr>
          <w:color w:val="212121"/>
        </w:rPr>
        <w:t>are</w:t>
      </w:r>
      <w:r>
        <w:rPr>
          <w:color w:val="212121"/>
          <w:spacing w:val="-5"/>
        </w:rPr>
        <w:t xml:space="preserve"> </w:t>
      </w:r>
      <w:r>
        <w:rPr>
          <w:color w:val="212121"/>
        </w:rPr>
        <w:t>similar</w:t>
      </w:r>
      <w:r>
        <w:rPr>
          <w:color w:val="212121"/>
          <w:spacing w:val="-5"/>
        </w:rPr>
        <w:t xml:space="preserve"> </w:t>
      </w:r>
      <w:r>
        <w:rPr>
          <w:color w:val="212121"/>
        </w:rPr>
        <w:t>to</w:t>
      </w:r>
      <w:r>
        <w:rPr>
          <w:color w:val="212121"/>
          <w:spacing w:val="-5"/>
        </w:rPr>
        <w:t xml:space="preserve"> </w:t>
      </w:r>
      <w:r>
        <w:rPr>
          <w:color w:val="212121"/>
        </w:rPr>
        <w:t>our</w:t>
      </w:r>
      <w:r>
        <w:rPr>
          <w:color w:val="212121"/>
          <w:spacing w:val="-5"/>
        </w:rPr>
        <w:t xml:space="preserve"> </w:t>
      </w:r>
      <w:r>
        <w:rPr>
          <w:color w:val="212121"/>
        </w:rPr>
        <w:t>case,</w:t>
      </w:r>
      <w:r>
        <w:rPr>
          <w:color w:val="212121"/>
          <w:spacing w:val="-5"/>
        </w:rPr>
        <w:t xml:space="preserve"> </w:t>
      </w:r>
      <w:r>
        <w:rPr>
          <w:color w:val="212121"/>
        </w:rPr>
        <w:t>in</w:t>
      </w:r>
      <w:r>
        <w:rPr>
          <w:color w:val="212121"/>
          <w:spacing w:val="-4"/>
        </w:rPr>
        <w:t xml:space="preserve"> </w:t>
      </w:r>
      <w:r>
        <w:rPr>
          <w:color w:val="212121"/>
        </w:rPr>
        <w:t>which</w:t>
      </w:r>
      <w:r>
        <w:rPr>
          <w:color w:val="212121"/>
          <w:spacing w:val="-5"/>
        </w:rPr>
        <w:t xml:space="preserve"> </w:t>
      </w:r>
      <w:r>
        <w:rPr>
          <w:color w:val="212121"/>
        </w:rPr>
        <w:t xml:space="preserve">CT </w:t>
      </w:r>
      <w:r>
        <w:t xml:space="preserve">imaging </w:t>
      </w:r>
      <w:r>
        <w:rPr>
          <w:color w:val="212121"/>
        </w:rPr>
        <w:t xml:space="preserve">alone clearly demonstrated the complex visceral herniation within the defect. Herniation of </w:t>
      </w:r>
      <w:r>
        <w:t xml:space="preserve">the stomach, </w:t>
      </w:r>
      <w:r>
        <w:rPr>
          <w:color w:val="212121"/>
        </w:rPr>
        <w:t>bowel, and</w:t>
      </w:r>
      <w:r>
        <w:rPr>
          <w:color w:val="212121"/>
          <w:spacing w:val="-1"/>
        </w:rPr>
        <w:t xml:space="preserve"> </w:t>
      </w:r>
      <w:r>
        <w:rPr>
          <w:color w:val="212121"/>
        </w:rPr>
        <w:t>spleen</w:t>
      </w:r>
      <w:r>
        <w:rPr>
          <w:color w:val="212121"/>
          <w:spacing w:val="-1"/>
        </w:rPr>
        <w:t xml:space="preserve"> </w:t>
      </w:r>
      <w:r>
        <w:rPr>
          <w:color w:val="212121"/>
        </w:rPr>
        <w:t>is commonly described</w:t>
      </w:r>
      <w:r>
        <w:rPr>
          <w:color w:val="212121"/>
          <w:spacing w:val="-1"/>
        </w:rPr>
        <w:t xml:space="preserve"> </w:t>
      </w:r>
      <w:r>
        <w:rPr>
          <w:color w:val="212121"/>
        </w:rPr>
        <w:t>in</w:t>
      </w:r>
      <w:r>
        <w:rPr>
          <w:color w:val="212121"/>
          <w:spacing w:val="-1"/>
        </w:rPr>
        <w:t xml:space="preserve"> </w:t>
      </w:r>
      <w:r>
        <w:rPr>
          <w:color w:val="212121"/>
        </w:rPr>
        <w:t>existing</w:t>
      </w:r>
      <w:r>
        <w:rPr>
          <w:color w:val="212121"/>
          <w:spacing w:val="-1"/>
        </w:rPr>
        <w:t xml:space="preserve"> </w:t>
      </w:r>
      <w:r>
        <w:rPr>
          <w:color w:val="212121"/>
        </w:rPr>
        <w:t>literature,</w:t>
      </w:r>
      <w:r>
        <w:rPr>
          <w:color w:val="212121"/>
          <w:spacing w:val="-1"/>
        </w:rPr>
        <w:t xml:space="preserve"> </w:t>
      </w:r>
      <w:r>
        <w:rPr>
          <w:color w:val="212121"/>
        </w:rPr>
        <w:t>but herniation</w:t>
      </w:r>
      <w:r>
        <w:rPr>
          <w:color w:val="212121"/>
          <w:spacing w:val="-1"/>
        </w:rPr>
        <w:t xml:space="preserve"> </w:t>
      </w:r>
      <w:r>
        <w:rPr>
          <w:color w:val="212121"/>
        </w:rPr>
        <w:t xml:space="preserve">of </w:t>
      </w:r>
      <w:r>
        <w:t>the</w:t>
      </w:r>
      <w:r>
        <w:rPr>
          <w:spacing w:val="-1"/>
        </w:rPr>
        <w:t xml:space="preserve"> </w:t>
      </w:r>
      <w:r>
        <w:t xml:space="preserve">pancreas </w:t>
      </w:r>
      <w:r>
        <w:rPr>
          <w:color w:val="212121"/>
        </w:rPr>
        <w:t>is rare and clinically significant. The associated pancreatitis can be explained by traction or vascular compromise</w:t>
      </w:r>
      <w:r>
        <w:rPr>
          <w:color w:val="212121"/>
          <w:spacing w:val="-13"/>
        </w:rPr>
        <w:t xml:space="preserve"> </w:t>
      </w:r>
      <w:r>
        <w:rPr>
          <w:color w:val="212121"/>
        </w:rPr>
        <w:t>of</w:t>
      </w:r>
      <w:r>
        <w:rPr>
          <w:color w:val="212121"/>
          <w:spacing w:val="-14"/>
        </w:rPr>
        <w:t xml:space="preserve"> </w:t>
      </w:r>
      <w:r>
        <w:rPr>
          <w:color w:val="212121"/>
        </w:rPr>
        <w:t>the</w:t>
      </w:r>
      <w:r>
        <w:rPr>
          <w:color w:val="212121"/>
          <w:spacing w:val="-11"/>
        </w:rPr>
        <w:t xml:space="preserve"> </w:t>
      </w:r>
      <w:r>
        <w:rPr>
          <w:color w:val="212121"/>
        </w:rPr>
        <w:t>pancreas</w:t>
      </w:r>
      <w:r>
        <w:rPr>
          <w:color w:val="212121"/>
          <w:spacing w:val="-10"/>
        </w:rPr>
        <w:t xml:space="preserve"> </w:t>
      </w:r>
      <w:r>
        <w:rPr>
          <w:color w:val="212121"/>
        </w:rPr>
        <w:t>due</w:t>
      </w:r>
      <w:r>
        <w:rPr>
          <w:color w:val="212121"/>
          <w:spacing w:val="-11"/>
        </w:rPr>
        <w:t xml:space="preserve"> </w:t>
      </w:r>
      <w:r>
        <w:rPr>
          <w:color w:val="212121"/>
        </w:rPr>
        <w:t>to</w:t>
      </w:r>
      <w:r>
        <w:rPr>
          <w:color w:val="212121"/>
          <w:spacing w:val="-12"/>
        </w:rPr>
        <w:t xml:space="preserve"> </w:t>
      </w:r>
      <w:r>
        <w:rPr>
          <w:color w:val="212121"/>
        </w:rPr>
        <w:t>its</w:t>
      </w:r>
      <w:r>
        <w:rPr>
          <w:color w:val="212121"/>
          <w:spacing w:val="-10"/>
        </w:rPr>
        <w:t xml:space="preserve"> </w:t>
      </w:r>
      <w:r>
        <w:rPr>
          <w:color w:val="212121"/>
        </w:rPr>
        <w:t>anatomical</w:t>
      </w:r>
      <w:r>
        <w:rPr>
          <w:color w:val="212121"/>
          <w:spacing w:val="-14"/>
        </w:rPr>
        <w:t xml:space="preserve"> </w:t>
      </w:r>
      <w:r>
        <w:rPr>
          <w:color w:val="212121"/>
        </w:rPr>
        <w:t>location,</w:t>
      </w:r>
      <w:r>
        <w:rPr>
          <w:color w:val="212121"/>
          <w:spacing w:val="-14"/>
        </w:rPr>
        <w:t xml:space="preserve"> </w:t>
      </w:r>
      <w:r>
        <w:rPr>
          <w:color w:val="212121"/>
        </w:rPr>
        <w:t>highlighting</w:t>
      </w:r>
      <w:r>
        <w:rPr>
          <w:color w:val="212121"/>
          <w:spacing w:val="-11"/>
        </w:rPr>
        <w:t xml:space="preserve"> </w:t>
      </w:r>
      <w:r>
        <w:rPr>
          <w:color w:val="212121"/>
        </w:rPr>
        <w:t>the</w:t>
      </w:r>
      <w:r>
        <w:rPr>
          <w:color w:val="212121"/>
          <w:spacing w:val="-11"/>
        </w:rPr>
        <w:t xml:space="preserve"> </w:t>
      </w:r>
      <w:r>
        <w:rPr>
          <w:color w:val="212121"/>
        </w:rPr>
        <w:t>altered</w:t>
      </w:r>
      <w:r>
        <w:rPr>
          <w:color w:val="212121"/>
          <w:spacing w:val="-11"/>
        </w:rPr>
        <w:t xml:space="preserve"> </w:t>
      </w:r>
      <w:r>
        <w:rPr>
          <w:color w:val="212121"/>
        </w:rPr>
        <w:t>anatomical</w:t>
      </w:r>
      <w:r>
        <w:rPr>
          <w:color w:val="212121"/>
          <w:spacing w:val="-3"/>
        </w:rPr>
        <w:t xml:space="preserve"> </w:t>
      </w:r>
      <w:r>
        <w:t xml:space="preserve">environment </w:t>
      </w:r>
      <w:r>
        <w:rPr>
          <w:color w:val="212121"/>
        </w:rPr>
        <w:t xml:space="preserve">created by CDH </w:t>
      </w:r>
      <w:r>
        <w:rPr>
          <w:rFonts w:ascii="Arial"/>
          <w:i/>
          <w:color w:val="212121"/>
        </w:rPr>
        <w:t>(</w:t>
      </w:r>
      <w:proofErr w:type="spellStart"/>
      <w:r>
        <w:rPr>
          <w:rFonts w:ascii="Arial"/>
          <w:i/>
        </w:rPr>
        <w:t>Khalyfa</w:t>
      </w:r>
      <w:proofErr w:type="spellEnd"/>
      <w:r>
        <w:rPr>
          <w:rFonts w:ascii="Arial"/>
          <w:i/>
        </w:rPr>
        <w:t xml:space="preserve"> et al., 2022</w:t>
      </w:r>
      <w:r>
        <w:rPr>
          <w:rFonts w:ascii="Arial"/>
          <w:i/>
          <w:color w:val="212121"/>
        </w:rPr>
        <w:t>)</w:t>
      </w:r>
      <w:r>
        <w:rPr>
          <w:color w:val="212121"/>
        </w:rPr>
        <w:t xml:space="preserve">. An additional noteworthy aspect of our case is the presence of </w:t>
      </w:r>
      <w:r>
        <w:t xml:space="preserve">an intrathoracic </w:t>
      </w:r>
      <w:r>
        <w:rPr>
          <w:color w:val="212121"/>
        </w:rPr>
        <w:t xml:space="preserve">ectopic kidney, which was functionally normal. There are a few cases in the literature which reported similar findings </w:t>
      </w:r>
      <w:r>
        <w:rPr>
          <w:rFonts w:ascii="Arial"/>
          <w:i/>
          <w:color w:val="212121"/>
        </w:rPr>
        <w:t xml:space="preserve">(Orlandi et </w:t>
      </w:r>
      <w:r>
        <w:t>al., 2023).</w:t>
      </w:r>
    </w:p>
    <w:p w14:paraId="7CEBE4D4" w14:textId="77777777" w:rsidR="002A190D" w:rsidRDefault="00F30076">
      <w:pPr>
        <w:pStyle w:val="BodyText"/>
        <w:spacing w:before="162" w:line="276" w:lineRule="auto"/>
        <w:ind w:right="358"/>
        <w:jc w:val="both"/>
        <w:rPr>
          <w:rFonts w:ascii="Arial"/>
          <w:i/>
        </w:rPr>
      </w:pPr>
      <w:r>
        <w:rPr>
          <w:color w:val="212121"/>
        </w:rPr>
        <w:t xml:space="preserve">In cases of late-presenting CDH, surgical management remains the cornerstone of treatment. Current evidence supports surgical repair following appropriate </w:t>
      </w:r>
      <w:proofErr w:type="spellStart"/>
      <w:r>
        <w:t>stabilisation</w:t>
      </w:r>
      <w:proofErr w:type="spellEnd"/>
      <w:r>
        <w:t xml:space="preserve">, </w:t>
      </w:r>
      <w:r>
        <w:rPr>
          <w:color w:val="212121"/>
        </w:rPr>
        <w:t>rather than routine emergency intervention</w:t>
      </w:r>
      <w:r>
        <w:rPr>
          <w:color w:val="212121"/>
          <w:spacing w:val="-14"/>
        </w:rPr>
        <w:t xml:space="preserve"> </w:t>
      </w:r>
      <w:r>
        <w:rPr>
          <w:color w:val="212121"/>
        </w:rPr>
        <w:t>in</w:t>
      </w:r>
      <w:r>
        <w:rPr>
          <w:color w:val="212121"/>
          <w:spacing w:val="-14"/>
        </w:rPr>
        <w:t xml:space="preserve"> </w:t>
      </w:r>
      <w:r>
        <w:rPr>
          <w:color w:val="212121"/>
        </w:rPr>
        <w:t>all</w:t>
      </w:r>
      <w:r>
        <w:rPr>
          <w:color w:val="212121"/>
          <w:spacing w:val="-14"/>
        </w:rPr>
        <w:t xml:space="preserve"> </w:t>
      </w:r>
      <w:r>
        <w:rPr>
          <w:color w:val="212121"/>
        </w:rPr>
        <w:t>cases</w:t>
      </w:r>
      <w:r>
        <w:rPr>
          <w:color w:val="212121"/>
          <w:spacing w:val="-14"/>
        </w:rPr>
        <w:t xml:space="preserve"> </w:t>
      </w:r>
      <w:r>
        <w:rPr>
          <w:color w:val="212121"/>
        </w:rPr>
        <w:t>(</w:t>
      </w:r>
      <w:proofErr w:type="spellStart"/>
      <w:r>
        <w:rPr>
          <w:rFonts w:ascii="Arial"/>
          <w:i/>
          <w:color w:val="212121"/>
        </w:rPr>
        <w:t>Puligandla</w:t>
      </w:r>
      <w:proofErr w:type="spellEnd"/>
      <w:r>
        <w:rPr>
          <w:rFonts w:ascii="Arial"/>
          <w:i/>
          <w:color w:val="212121"/>
          <w:spacing w:val="-11"/>
        </w:rPr>
        <w:t xml:space="preserve"> </w:t>
      </w:r>
      <w:r>
        <w:rPr>
          <w:rFonts w:ascii="Arial"/>
          <w:i/>
          <w:color w:val="212121"/>
        </w:rPr>
        <w:t>et</w:t>
      </w:r>
      <w:r>
        <w:rPr>
          <w:rFonts w:ascii="Arial"/>
          <w:i/>
          <w:color w:val="212121"/>
          <w:spacing w:val="-14"/>
        </w:rPr>
        <w:t xml:space="preserve"> </w:t>
      </w:r>
      <w:r>
        <w:rPr>
          <w:rFonts w:ascii="Arial"/>
          <w:i/>
          <w:color w:val="212121"/>
        </w:rPr>
        <w:t>al.,</w:t>
      </w:r>
      <w:r>
        <w:rPr>
          <w:rFonts w:ascii="Arial"/>
          <w:i/>
          <w:color w:val="212121"/>
          <w:spacing w:val="-11"/>
        </w:rPr>
        <w:t xml:space="preserve"> </w:t>
      </w:r>
      <w:r>
        <w:rPr>
          <w:rFonts w:ascii="Arial"/>
          <w:i/>
          <w:color w:val="212121"/>
        </w:rPr>
        <w:t>2024</w:t>
      </w:r>
      <w:r>
        <w:rPr>
          <w:color w:val="212121"/>
        </w:rPr>
        <w:t>).</w:t>
      </w:r>
      <w:r>
        <w:rPr>
          <w:color w:val="212121"/>
          <w:spacing w:val="-11"/>
        </w:rPr>
        <w:t xml:space="preserve"> </w:t>
      </w:r>
      <w:r>
        <w:rPr>
          <w:color w:val="212121"/>
        </w:rPr>
        <w:t>The</w:t>
      </w:r>
      <w:r>
        <w:rPr>
          <w:color w:val="212121"/>
          <w:spacing w:val="-14"/>
        </w:rPr>
        <w:t xml:space="preserve"> </w:t>
      </w:r>
      <w:r>
        <w:rPr>
          <w:color w:val="212121"/>
        </w:rPr>
        <w:t>fundamental</w:t>
      </w:r>
      <w:r>
        <w:rPr>
          <w:color w:val="212121"/>
          <w:spacing w:val="-9"/>
        </w:rPr>
        <w:t xml:space="preserve"> </w:t>
      </w:r>
      <w:r>
        <w:rPr>
          <w:color w:val="212121"/>
        </w:rPr>
        <w:t>principles</w:t>
      </w:r>
      <w:r>
        <w:rPr>
          <w:color w:val="212121"/>
          <w:spacing w:val="-10"/>
        </w:rPr>
        <w:t xml:space="preserve"> </w:t>
      </w:r>
      <w:r>
        <w:rPr>
          <w:color w:val="212121"/>
        </w:rPr>
        <w:t>include</w:t>
      </w:r>
      <w:r>
        <w:rPr>
          <w:color w:val="212121"/>
          <w:spacing w:val="-11"/>
        </w:rPr>
        <w:t xml:space="preserve"> </w:t>
      </w:r>
      <w:r>
        <w:rPr>
          <w:color w:val="212121"/>
        </w:rPr>
        <w:t>reducing</w:t>
      </w:r>
      <w:r>
        <w:rPr>
          <w:color w:val="212121"/>
          <w:spacing w:val="-14"/>
        </w:rPr>
        <w:t xml:space="preserve"> </w:t>
      </w:r>
      <w:r>
        <w:rPr>
          <w:color w:val="212121"/>
        </w:rPr>
        <w:t>the</w:t>
      </w:r>
      <w:r>
        <w:rPr>
          <w:color w:val="212121"/>
          <w:spacing w:val="-14"/>
        </w:rPr>
        <w:t xml:space="preserve"> </w:t>
      </w:r>
      <w:r>
        <w:rPr>
          <w:color w:val="212121"/>
        </w:rPr>
        <w:t>herniated contents</w:t>
      </w:r>
      <w:r>
        <w:rPr>
          <w:color w:val="212121"/>
          <w:spacing w:val="-4"/>
        </w:rPr>
        <w:t xml:space="preserve"> </w:t>
      </w:r>
      <w:r>
        <w:rPr>
          <w:color w:val="212121"/>
        </w:rPr>
        <w:t>and</w:t>
      </w:r>
      <w:r>
        <w:rPr>
          <w:color w:val="212121"/>
          <w:spacing w:val="-4"/>
        </w:rPr>
        <w:t xml:space="preserve"> </w:t>
      </w:r>
      <w:r>
        <w:rPr>
          <w:color w:val="212121"/>
        </w:rPr>
        <w:t>attaining</w:t>
      </w:r>
      <w:r>
        <w:rPr>
          <w:color w:val="212121"/>
          <w:spacing w:val="-4"/>
        </w:rPr>
        <w:t xml:space="preserve"> </w:t>
      </w:r>
      <w:r>
        <w:rPr>
          <w:color w:val="212121"/>
        </w:rPr>
        <w:t>a</w:t>
      </w:r>
      <w:r>
        <w:rPr>
          <w:color w:val="212121"/>
          <w:spacing w:val="-4"/>
        </w:rPr>
        <w:t xml:space="preserve"> </w:t>
      </w:r>
      <w:r>
        <w:rPr>
          <w:color w:val="212121"/>
        </w:rPr>
        <w:t>tension-free</w:t>
      </w:r>
      <w:r>
        <w:rPr>
          <w:color w:val="212121"/>
          <w:spacing w:val="-4"/>
        </w:rPr>
        <w:t xml:space="preserve"> </w:t>
      </w:r>
      <w:r>
        <w:rPr>
          <w:color w:val="212121"/>
        </w:rPr>
        <w:t>closure of</w:t>
      </w:r>
      <w:r>
        <w:rPr>
          <w:color w:val="212121"/>
          <w:spacing w:val="-4"/>
        </w:rPr>
        <w:t xml:space="preserve"> </w:t>
      </w:r>
      <w:r>
        <w:rPr>
          <w:color w:val="212121"/>
        </w:rPr>
        <w:t>the</w:t>
      </w:r>
      <w:r>
        <w:rPr>
          <w:color w:val="212121"/>
          <w:spacing w:val="-4"/>
        </w:rPr>
        <w:t xml:space="preserve"> </w:t>
      </w:r>
      <w:r>
        <w:rPr>
          <w:color w:val="212121"/>
        </w:rPr>
        <w:t>diaphragmatic</w:t>
      </w:r>
      <w:r>
        <w:rPr>
          <w:color w:val="212121"/>
          <w:spacing w:val="-4"/>
        </w:rPr>
        <w:t xml:space="preserve"> </w:t>
      </w:r>
      <w:r>
        <w:rPr>
          <w:color w:val="212121"/>
        </w:rPr>
        <w:t>defect</w:t>
      </w:r>
      <w:r>
        <w:rPr>
          <w:color w:val="212121"/>
          <w:spacing w:val="-4"/>
        </w:rPr>
        <w:t xml:space="preserve"> </w:t>
      </w:r>
      <w:r>
        <w:rPr>
          <w:color w:val="212121"/>
        </w:rPr>
        <w:t>(</w:t>
      </w:r>
      <w:r>
        <w:rPr>
          <w:rFonts w:ascii="Arial"/>
          <w:i/>
          <w:color w:val="212121"/>
        </w:rPr>
        <w:t>Jank</w:t>
      </w:r>
      <w:r>
        <w:rPr>
          <w:rFonts w:ascii="Arial"/>
          <w:i/>
          <w:color w:val="212121"/>
          <w:spacing w:val="-4"/>
        </w:rPr>
        <w:t xml:space="preserve"> </w:t>
      </w:r>
      <w:r>
        <w:rPr>
          <w:rFonts w:ascii="Arial"/>
          <w:i/>
          <w:color w:val="212121"/>
        </w:rPr>
        <w:t>et</w:t>
      </w:r>
      <w:r>
        <w:rPr>
          <w:rFonts w:ascii="Arial"/>
          <w:i/>
          <w:color w:val="212121"/>
          <w:spacing w:val="-4"/>
        </w:rPr>
        <w:t xml:space="preserve"> </w:t>
      </w:r>
      <w:r>
        <w:rPr>
          <w:rFonts w:ascii="Arial"/>
          <w:i/>
          <w:color w:val="212121"/>
        </w:rPr>
        <w:t>al., 2024</w:t>
      </w:r>
      <w:r>
        <w:rPr>
          <w:color w:val="212121"/>
        </w:rPr>
        <w:t>).</w:t>
      </w:r>
      <w:r>
        <w:rPr>
          <w:color w:val="212121"/>
          <w:spacing w:val="-4"/>
        </w:rPr>
        <w:t xml:space="preserve"> </w:t>
      </w:r>
      <w:r>
        <w:rPr>
          <w:color w:val="212121"/>
        </w:rPr>
        <w:t>The</w:t>
      </w:r>
      <w:r>
        <w:rPr>
          <w:color w:val="212121"/>
          <w:spacing w:val="-4"/>
        </w:rPr>
        <w:t xml:space="preserve"> </w:t>
      </w:r>
      <w:r>
        <w:rPr>
          <w:color w:val="212121"/>
        </w:rPr>
        <w:t>choice</w:t>
      </w:r>
      <w:r>
        <w:rPr>
          <w:color w:val="212121"/>
          <w:spacing w:val="-4"/>
        </w:rPr>
        <w:t xml:space="preserve"> </w:t>
      </w:r>
      <w:r>
        <w:rPr>
          <w:color w:val="212121"/>
        </w:rPr>
        <w:t xml:space="preserve">of repair technique depends on defect size and tissue </w:t>
      </w:r>
      <w:r>
        <w:t xml:space="preserve">availability. A primary closure is preferred when </w:t>
      </w:r>
      <w:r>
        <w:rPr>
          <w:color w:val="212121"/>
        </w:rPr>
        <w:t>adequate margins are present, whereas a patch repair is preserved for larger defects (</w:t>
      </w:r>
      <w:proofErr w:type="spellStart"/>
      <w:r>
        <w:rPr>
          <w:rFonts w:ascii="Arial"/>
          <w:i/>
          <w:color w:val="212121"/>
        </w:rPr>
        <w:t>Puligandla</w:t>
      </w:r>
      <w:proofErr w:type="spellEnd"/>
      <w:r>
        <w:rPr>
          <w:rFonts w:ascii="Arial"/>
          <w:i/>
          <w:color w:val="212121"/>
        </w:rPr>
        <w:t xml:space="preserve"> et al., 2024</w:t>
      </w:r>
      <w:r>
        <w:rPr>
          <w:color w:val="212121"/>
        </w:rPr>
        <w:t xml:space="preserve">). In our case, primary repair was successfully </w:t>
      </w:r>
      <w:r>
        <w:t>achieved without the need for prosthetic material, indicating adequate diaphragmatic margins. This approach is advantageous as it avoids complications associated</w:t>
      </w:r>
      <w:r>
        <w:rPr>
          <w:spacing w:val="-6"/>
        </w:rPr>
        <w:t xml:space="preserve"> </w:t>
      </w:r>
      <w:r>
        <w:t>with</w:t>
      </w:r>
      <w:r>
        <w:rPr>
          <w:spacing w:val="-6"/>
        </w:rPr>
        <w:t xml:space="preserve"> </w:t>
      </w:r>
      <w:r>
        <w:t>foreign</w:t>
      </w:r>
      <w:r>
        <w:rPr>
          <w:spacing w:val="-6"/>
        </w:rPr>
        <w:t xml:space="preserve"> </w:t>
      </w:r>
      <w:r>
        <w:t>prosthetic</w:t>
      </w:r>
      <w:r>
        <w:rPr>
          <w:spacing w:val="-5"/>
        </w:rPr>
        <w:t xml:space="preserve"> </w:t>
      </w:r>
      <w:r>
        <w:t>material</w:t>
      </w:r>
      <w:r>
        <w:rPr>
          <w:spacing w:val="-2"/>
        </w:rPr>
        <w:t xml:space="preserve"> </w:t>
      </w:r>
      <w:r>
        <w:rPr>
          <w:color w:val="212121"/>
        </w:rPr>
        <w:t>(</w:t>
      </w:r>
      <w:r>
        <w:rPr>
          <w:rFonts w:ascii="Arial"/>
          <w:i/>
          <w:color w:val="212121"/>
        </w:rPr>
        <w:t>Jank</w:t>
      </w:r>
      <w:r>
        <w:rPr>
          <w:rFonts w:ascii="Arial"/>
          <w:i/>
          <w:color w:val="212121"/>
          <w:spacing w:val="-5"/>
        </w:rPr>
        <w:t xml:space="preserve"> </w:t>
      </w:r>
      <w:r>
        <w:rPr>
          <w:rFonts w:ascii="Arial"/>
          <w:i/>
          <w:color w:val="212121"/>
        </w:rPr>
        <w:t>et</w:t>
      </w:r>
      <w:r>
        <w:rPr>
          <w:rFonts w:ascii="Arial"/>
          <w:i/>
          <w:color w:val="212121"/>
          <w:spacing w:val="-6"/>
        </w:rPr>
        <w:t xml:space="preserve"> </w:t>
      </w:r>
      <w:r>
        <w:rPr>
          <w:rFonts w:ascii="Arial"/>
          <w:i/>
          <w:color w:val="212121"/>
        </w:rPr>
        <w:t>al.,</w:t>
      </w:r>
      <w:r>
        <w:rPr>
          <w:rFonts w:ascii="Arial"/>
          <w:i/>
          <w:color w:val="212121"/>
          <w:spacing w:val="-6"/>
        </w:rPr>
        <w:t xml:space="preserve"> </w:t>
      </w:r>
      <w:r>
        <w:rPr>
          <w:rFonts w:ascii="Arial"/>
          <w:i/>
          <w:color w:val="212121"/>
        </w:rPr>
        <w:t>2024</w:t>
      </w:r>
      <w:r>
        <w:rPr>
          <w:color w:val="212121"/>
        </w:rPr>
        <w:t>).</w:t>
      </w:r>
      <w:r>
        <w:rPr>
          <w:color w:val="212121"/>
          <w:spacing w:val="-6"/>
        </w:rPr>
        <w:t xml:space="preserve"> </w:t>
      </w:r>
      <w:r>
        <w:rPr>
          <w:color w:val="212121"/>
        </w:rPr>
        <w:t>Although</w:t>
      </w:r>
      <w:r>
        <w:rPr>
          <w:color w:val="212121"/>
          <w:spacing w:val="-6"/>
        </w:rPr>
        <w:t xml:space="preserve"> </w:t>
      </w:r>
      <w:r>
        <w:rPr>
          <w:color w:val="212121"/>
        </w:rPr>
        <w:t>minimally</w:t>
      </w:r>
      <w:r>
        <w:rPr>
          <w:color w:val="212121"/>
          <w:spacing w:val="-10"/>
        </w:rPr>
        <w:t xml:space="preserve"> </w:t>
      </w:r>
      <w:r>
        <w:rPr>
          <w:color w:val="212121"/>
        </w:rPr>
        <w:t>invasive</w:t>
      </w:r>
      <w:r>
        <w:rPr>
          <w:color w:val="212121"/>
          <w:spacing w:val="-6"/>
        </w:rPr>
        <w:t xml:space="preserve"> </w:t>
      </w:r>
      <w:r>
        <w:rPr>
          <w:color w:val="212121"/>
        </w:rPr>
        <w:t>approaches</w:t>
      </w:r>
      <w:r>
        <w:rPr>
          <w:color w:val="212121"/>
          <w:spacing w:val="-5"/>
        </w:rPr>
        <w:t xml:space="preserve"> </w:t>
      </w:r>
      <w:r>
        <w:rPr>
          <w:color w:val="212121"/>
        </w:rPr>
        <w:t xml:space="preserve">are </w:t>
      </w:r>
      <w:r>
        <w:t xml:space="preserve">increasingly utilized, open surgeries continue to play an important role in complex cases </w:t>
      </w:r>
      <w:r>
        <w:rPr>
          <w:rFonts w:ascii="Arial"/>
          <w:i/>
          <w:color w:val="212121"/>
        </w:rPr>
        <w:t>(</w:t>
      </w:r>
      <w:proofErr w:type="spellStart"/>
      <w:r>
        <w:rPr>
          <w:rFonts w:ascii="Arial"/>
          <w:i/>
          <w:color w:val="212121"/>
        </w:rPr>
        <w:t>Abbastanira</w:t>
      </w:r>
      <w:proofErr w:type="spellEnd"/>
      <w:r>
        <w:rPr>
          <w:rFonts w:ascii="Arial"/>
          <w:i/>
          <w:color w:val="212121"/>
        </w:rPr>
        <w:t xml:space="preserve"> </w:t>
      </w:r>
      <w:r>
        <w:rPr>
          <w:rFonts w:ascii="Arial"/>
          <w:i/>
        </w:rPr>
        <w:t>et al., 2025</w:t>
      </w:r>
      <w:r>
        <w:rPr>
          <w:rFonts w:ascii="Arial"/>
          <w:i/>
          <w:color w:val="212121"/>
        </w:rPr>
        <w:t xml:space="preserve">) </w:t>
      </w:r>
      <w:r>
        <w:rPr>
          <w:color w:val="212121"/>
        </w:rPr>
        <w:t xml:space="preserve">The need to convert from laparoscopy to open laparotomy in our patient underscores the importance of intraoperative flexibility </w:t>
      </w:r>
      <w:proofErr w:type="spellStart"/>
      <w:r>
        <w:rPr>
          <w:rFonts w:ascii="Arial"/>
          <w:i/>
        </w:rPr>
        <w:t>Masuya</w:t>
      </w:r>
      <w:proofErr w:type="spellEnd"/>
      <w:r>
        <w:rPr>
          <w:rFonts w:ascii="Arial"/>
          <w:i/>
        </w:rPr>
        <w:t xml:space="preserve"> et al., 2024)</w:t>
      </w:r>
    </w:p>
    <w:p w14:paraId="00B68C56" w14:textId="77777777" w:rsidR="002A190D" w:rsidRDefault="00F30076">
      <w:pPr>
        <w:pStyle w:val="BodyText"/>
        <w:spacing w:before="162" w:line="276" w:lineRule="auto"/>
        <w:ind w:right="357"/>
        <w:jc w:val="both"/>
        <w:rPr>
          <w:rFonts w:ascii="Arial"/>
          <w:i/>
        </w:rPr>
      </w:pPr>
      <w:r>
        <w:rPr>
          <w:color w:val="212121"/>
        </w:rPr>
        <w:t>The</w:t>
      </w:r>
      <w:r>
        <w:rPr>
          <w:color w:val="212121"/>
          <w:spacing w:val="-9"/>
        </w:rPr>
        <w:t xml:space="preserve"> </w:t>
      </w:r>
      <w:r>
        <w:rPr>
          <w:color w:val="212121"/>
        </w:rPr>
        <w:t>ectopic</w:t>
      </w:r>
      <w:r>
        <w:rPr>
          <w:color w:val="212121"/>
          <w:spacing w:val="-13"/>
        </w:rPr>
        <w:t xml:space="preserve"> </w:t>
      </w:r>
      <w:r>
        <w:rPr>
          <w:color w:val="212121"/>
        </w:rPr>
        <w:t>kidney</w:t>
      </w:r>
      <w:r>
        <w:rPr>
          <w:color w:val="212121"/>
          <w:spacing w:val="-13"/>
        </w:rPr>
        <w:t xml:space="preserve"> </w:t>
      </w:r>
      <w:r>
        <w:rPr>
          <w:color w:val="212121"/>
        </w:rPr>
        <w:t>in</w:t>
      </w:r>
      <w:r>
        <w:rPr>
          <w:color w:val="212121"/>
          <w:spacing w:val="-9"/>
        </w:rPr>
        <w:t xml:space="preserve"> </w:t>
      </w:r>
      <w:r>
        <w:rPr>
          <w:color w:val="212121"/>
        </w:rPr>
        <w:t>our</w:t>
      </w:r>
      <w:r>
        <w:rPr>
          <w:color w:val="212121"/>
          <w:spacing w:val="-14"/>
        </w:rPr>
        <w:t xml:space="preserve"> </w:t>
      </w:r>
      <w:r>
        <w:rPr>
          <w:color w:val="212121"/>
        </w:rPr>
        <w:t>case</w:t>
      </w:r>
      <w:r>
        <w:rPr>
          <w:color w:val="212121"/>
          <w:spacing w:val="-9"/>
        </w:rPr>
        <w:t xml:space="preserve"> </w:t>
      </w:r>
      <w:r>
        <w:rPr>
          <w:color w:val="212121"/>
        </w:rPr>
        <w:t>was</w:t>
      </w:r>
      <w:r>
        <w:rPr>
          <w:color w:val="212121"/>
          <w:spacing w:val="-13"/>
        </w:rPr>
        <w:t xml:space="preserve"> </w:t>
      </w:r>
      <w:r>
        <w:rPr>
          <w:color w:val="212121"/>
        </w:rPr>
        <w:t>repositioned</w:t>
      </w:r>
      <w:r>
        <w:rPr>
          <w:color w:val="212121"/>
          <w:spacing w:val="-14"/>
        </w:rPr>
        <w:t xml:space="preserve"> </w:t>
      </w:r>
      <w:r>
        <w:rPr>
          <w:color w:val="212121"/>
        </w:rPr>
        <w:t>into</w:t>
      </w:r>
      <w:r>
        <w:rPr>
          <w:color w:val="212121"/>
          <w:spacing w:val="-14"/>
        </w:rPr>
        <w:t xml:space="preserve"> </w:t>
      </w:r>
      <w:r>
        <w:rPr>
          <w:color w:val="212121"/>
        </w:rPr>
        <w:t>the</w:t>
      </w:r>
      <w:r>
        <w:rPr>
          <w:color w:val="212121"/>
          <w:spacing w:val="-13"/>
        </w:rPr>
        <w:t xml:space="preserve"> </w:t>
      </w:r>
      <w:r>
        <w:rPr>
          <w:color w:val="212121"/>
        </w:rPr>
        <w:t>abdominal</w:t>
      </w:r>
      <w:r>
        <w:rPr>
          <w:color w:val="212121"/>
          <w:spacing w:val="-8"/>
        </w:rPr>
        <w:t xml:space="preserve"> </w:t>
      </w:r>
      <w:r>
        <w:rPr>
          <w:color w:val="212121"/>
        </w:rPr>
        <w:t>cavity.</w:t>
      </w:r>
      <w:r>
        <w:rPr>
          <w:color w:val="212121"/>
          <w:spacing w:val="-14"/>
        </w:rPr>
        <w:t xml:space="preserve"> </w:t>
      </w:r>
      <w:r>
        <w:rPr>
          <w:color w:val="212121"/>
        </w:rPr>
        <w:t>Whereas</w:t>
      </w:r>
      <w:r>
        <w:rPr>
          <w:color w:val="212121"/>
          <w:spacing w:val="-8"/>
        </w:rPr>
        <w:t xml:space="preserve"> </w:t>
      </w:r>
      <w:r>
        <w:rPr>
          <w:color w:val="212121"/>
        </w:rPr>
        <w:t>certain</w:t>
      </w:r>
      <w:r>
        <w:rPr>
          <w:color w:val="212121"/>
          <w:spacing w:val="-14"/>
        </w:rPr>
        <w:t xml:space="preserve"> </w:t>
      </w:r>
      <w:r>
        <w:rPr>
          <w:color w:val="212121"/>
        </w:rPr>
        <w:t>existing</w:t>
      </w:r>
      <w:r>
        <w:rPr>
          <w:color w:val="212121"/>
          <w:spacing w:val="-14"/>
        </w:rPr>
        <w:t xml:space="preserve"> </w:t>
      </w:r>
      <w:r>
        <w:rPr>
          <w:color w:val="212121"/>
        </w:rPr>
        <w:t xml:space="preserve">reports suggest that the ectopic kidney was left inside the thorax and was managed conservatively </w:t>
      </w:r>
      <w:r>
        <w:rPr>
          <w:rFonts w:ascii="Arial"/>
          <w:i/>
          <w:color w:val="212121"/>
        </w:rPr>
        <w:t xml:space="preserve">(Sarac et al., 2018). </w:t>
      </w:r>
      <w:r>
        <w:rPr>
          <w:color w:val="212121"/>
        </w:rPr>
        <w:t>In one of the reported cases, reduction of intrathoracic kidney led to subsequent severe hydronephrosis</w:t>
      </w:r>
      <w:r>
        <w:rPr>
          <w:color w:val="212121"/>
          <w:spacing w:val="-14"/>
        </w:rPr>
        <w:t xml:space="preserve"> </w:t>
      </w:r>
      <w:r>
        <w:rPr>
          <w:color w:val="212121"/>
        </w:rPr>
        <w:t>and</w:t>
      </w:r>
      <w:r>
        <w:rPr>
          <w:color w:val="212121"/>
          <w:spacing w:val="-10"/>
        </w:rPr>
        <w:t xml:space="preserve"> </w:t>
      </w:r>
      <w:r>
        <w:rPr>
          <w:color w:val="212121"/>
        </w:rPr>
        <w:t>ureteral</w:t>
      </w:r>
      <w:r>
        <w:rPr>
          <w:color w:val="212121"/>
          <w:spacing w:val="-9"/>
        </w:rPr>
        <w:t xml:space="preserve"> </w:t>
      </w:r>
      <w:r>
        <w:rPr>
          <w:color w:val="212121"/>
        </w:rPr>
        <w:t>obstruction</w:t>
      </w:r>
      <w:r>
        <w:rPr>
          <w:color w:val="212121"/>
          <w:spacing w:val="-10"/>
        </w:rPr>
        <w:t xml:space="preserve"> </w:t>
      </w:r>
      <w:r>
        <w:rPr>
          <w:color w:val="212121"/>
        </w:rPr>
        <w:t>due</w:t>
      </w:r>
      <w:r>
        <w:rPr>
          <w:color w:val="212121"/>
          <w:spacing w:val="-10"/>
        </w:rPr>
        <w:t xml:space="preserve"> </w:t>
      </w:r>
      <w:r>
        <w:rPr>
          <w:color w:val="212121"/>
        </w:rPr>
        <w:t>to</w:t>
      </w:r>
      <w:r>
        <w:rPr>
          <w:color w:val="212121"/>
          <w:spacing w:val="-11"/>
        </w:rPr>
        <w:t xml:space="preserve"> </w:t>
      </w:r>
      <w:r>
        <w:rPr>
          <w:color w:val="212121"/>
        </w:rPr>
        <w:t>ureteral</w:t>
      </w:r>
      <w:r>
        <w:rPr>
          <w:color w:val="212121"/>
          <w:spacing w:val="-9"/>
        </w:rPr>
        <w:t xml:space="preserve"> </w:t>
      </w:r>
      <w:r>
        <w:t>folding,</w:t>
      </w:r>
      <w:r>
        <w:rPr>
          <w:spacing w:val="-14"/>
        </w:rPr>
        <w:t xml:space="preserve"> </w:t>
      </w:r>
      <w:r>
        <w:rPr>
          <w:color w:val="212121"/>
        </w:rPr>
        <w:t>which</w:t>
      </w:r>
      <w:r>
        <w:rPr>
          <w:color w:val="212121"/>
          <w:spacing w:val="-14"/>
        </w:rPr>
        <w:t xml:space="preserve"> </w:t>
      </w:r>
      <w:r>
        <w:rPr>
          <w:color w:val="212121"/>
        </w:rPr>
        <w:t>led</w:t>
      </w:r>
      <w:r>
        <w:rPr>
          <w:color w:val="212121"/>
          <w:spacing w:val="-10"/>
        </w:rPr>
        <w:t xml:space="preserve"> </w:t>
      </w:r>
      <w:r>
        <w:rPr>
          <w:color w:val="212121"/>
        </w:rPr>
        <w:t>to</w:t>
      </w:r>
      <w:r>
        <w:rPr>
          <w:color w:val="212121"/>
          <w:spacing w:val="-11"/>
        </w:rPr>
        <w:t xml:space="preserve"> </w:t>
      </w:r>
      <w:r>
        <w:rPr>
          <w:color w:val="212121"/>
        </w:rPr>
        <w:t>repeated</w:t>
      </w:r>
      <w:r>
        <w:rPr>
          <w:color w:val="212121"/>
          <w:spacing w:val="-14"/>
        </w:rPr>
        <w:t xml:space="preserve"> </w:t>
      </w:r>
      <w:r>
        <w:rPr>
          <w:color w:val="212121"/>
        </w:rPr>
        <w:t>surgical</w:t>
      </w:r>
      <w:r>
        <w:rPr>
          <w:color w:val="212121"/>
          <w:spacing w:val="-9"/>
        </w:rPr>
        <w:t xml:space="preserve"> </w:t>
      </w:r>
      <w:r>
        <w:rPr>
          <w:color w:val="212121"/>
        </w:rPr>
        <w:t xml:space="preserve">interventions </w:t>
      </w:r>
      <w:r>
        <w:rPr>
          <w:rFonts w:ascii="Arial"/>
          <w:i/>
          <w:color w:val="212121"/>
        </w:rPr>
        <w:t>(Mustafa et al., 2022)</w:t>
      </w:r>
      <w:r>
        <w:rPr>
          <w:color w:val="212121"/>
        </w:rPr>
        <w:t xml:space="preserve">. This signifies the importance of preoperative urological assessment and planned imaging of renal vascular anatomy before any surgical intervention involving intrathoracic </w:t>
      </w:r>
      <w:r>
        <w:t xml:space="preserve">kidneys. </w:t>
      </w:r>
      <w:r>
        <w:rPr>
          <w:color w:val="212121"/>
        </w:rPr>
        <w:t>In our case,</w:t>
      </w:r>
      <w:r>
        <w:rPr>
          <w:color w:val="212121"/>
          <w:spacing w:val="-10"/>
        </w:rPr>
        <w:t xml:space="preserve"> </w:t>
      </w:r>
      <w:r>
        <w:rPr>
          <w:color w:val="212121"/>
        </w:rPr>
        <w:t>postoperative</w:t>
      </w:r>
      <w:r>
        <w:rPr>
          <w:color w:val="212121"/>
          <w:spacing w:val="-10"/>
        </w:rPr>
        <w:t xml:space="preserve"> </w:t>
      </w:r>
      <w:r>
        <w:rPr>
          <w:color w:val="212121"/>
        </w:rPr>
        <w:t>renal</w:t>
      </w:r>
      <w:r>
        <w:rPr>
          <w:color w:val="212121"/>
          <w:spacing w:val="-8"/>
        </w:rPr>
        <w:t xml:space="preserve"> </w:t>
      </w:r>
      <w:r>
        <w:rPr>
          <w:color w:val="212121"/>
        </w:rPr>
        <w:t>function</w:t>
      </w:r>
      <w:r>
        <w:rPr>
          <w:color w:val="212121"/>
          <w:spacing w:val="-10"/>
        </w:rPr>
        <w:t xml:space="preserve"> </w:t>
      </w:r>
      <w:r>
        <w:rPr>
          <w:color w:val="212121"/>
        </w:rPr>
        <w:t>tests</w:t>
      </w:r>
      <w:r>
        <w:rPr>
          <w:color w:val="212121"/>
          <w:spacing w:val="-9"/>
        </w:rPr>
        <w:t xml:space="preserve"> </w:t>
      </w:r>
      <w:r>
        <w:rPr>
          <w:color w:val="212121"/>
        </w:rPr>
        <w:t>were</w:t>
      </w:r>
      <w:r>
        <w:rPr>
          <w:color w:val="212121"/>
          <w:spacing w:val="-10"/>
        </w:rPr>
        <w:t xml:space="preserve"> </w:t>
      </w:r>
      <w:r>
        <w:rPr>
          <w:color w:val="212121"/>
        </w:rPr>
        <w:t>within</w:t>
      </w:r>
      <w:r>
        <w:rPr>
          <w:color w:val="212121"/>
          <w:spacing w:val="-7"/>
        </w:rPr>
        <w:t xml:space="preserve"> </w:t>
      </w:r>
      <w:r>
        <w:t>the</w:t>
      </w:r>
      <w:r>
        <w:rPr>
          <w:spacing w:val="-10"/>
        </w:rPr>
        <w:t xml:space="preserve"> </w:t>
      </w:r>
      <w:r>
        <w:t>normal</w:t>
      </w:r>
      <w:r>
        <w:rPr>
          <w:spacing w:val="-8"/>
        </w:rPr>
        <w:t xml:space="preserve"> </w:t>
      </w:r>
      <w:r>
        <w:t>range,</w:t>
      </w:r>
      <w:r>
        <w:rPr>
          <w:spacing w:val="-9"/>
        </w:rPr>
        <w:t xml:space="preserve"> </w:t>
      </w:r>
      <w:r>
        <w:rPr>
          <w:color w:val="212121"/>
        </w:rPr>
        <w:t>which</w:t>
      </w:r>
      <w:r>
        <w:rPr>
          <w:color w:val="212121"/>
          <w:spacing w:val="-10"/>
        </w:rPr>
        <w:t xml:space="preserve"> </w:t>
      </w:r>
      <w:r>
        <w:rPr>
          <w:color w:val="212121"/>
        </w:rPr>
        <w:t>suggests</w:t>
      </w:r>
      <w:r>
        <w:rPr>
          <w:color w:val="212121"/>
          <w:spacing w:val="-9"/>
        </w:rPr>
        <w:t xml:space="preserve"> </w:t>
      </w:r>
      <w:r>
        <w:rPr>
          <w:color w:val="212121"/>
        </w:rPr>
        <w:t>successful</w:t>
      </w:r>
      <w:r>
        <w:rPr>
          <w:color w:val="212121"/>
          <w:spacing w:val="-8"/>
        </w:rPr>
        <w:t xml:space="preserve"> </w:t>
      </w:r>
      <w:r>
        <w:rPr>
          <w:color w:val="212121"/>
        </w:rPr>
        <w:t xml:space="preserve">reduction of </w:t>
      </w:r>
      <w:r>
        <w:t xml:space="preserve">the ectopic </w:t>
      </w:r>
      <w:r>
        <w:rPr>
          <w:color w:val="212121"/>
        </w:rPr>
        <w:t xml:space="preserve">kidney. Long-term urological follow-up remains </w:t>
      </w:r>
      <w:r>
        <w:t xml:space="preserve">advisable, </w:t>
      </w:r>
      <w:r>
        <w:rPr>
          <w:color w:val="212121"/>
        </w:rPr>
        <w:t xml:space="preserve">as there might be risk for complications such as hydronephrosis, calculi, and renal cell carcinoma </w:t>
      </w:r>
      <w:r>
        <w:rPr>
          <w:rFonts w:ascii="Arial"/>
          <w:i/>
          <w:color w:val="212121"/>
        </w:rPr>
        <w:t>(</w:t>
      </w:r>
      <w:r>
        <w:rPr>
          <w:color w:val="212121"/>
        </w:rPr>
        <w:t xml:space="preserve">Schnell et </w:t>
      </w:r>
      <w:r>
        <w:t xml:space="preserve">al., </w:t>
      </w:r>
      <w:r>
        <w:rPr>
          <w:rFonts w:ascii="Arial"/>
          <w:i/>
        </w:rPr>
        <w:t>2025).</w:t>
      </w:r>
    </w:p>
    <w:p w14:paraId="76326155" w14:textId="77777777" w:rsidR="002A190D" w:rsidRDefault="002A190D">
      <w:pPr>
        <w:pStyle w:val="BodyText"/>
        <w:spacing w:line="276" w:lineRule="auto"/>
        <w:jc w:val="both"/>
        <w:rPr>
          <w:rFonts w:ascii="Arial"/>
          <w:i/>
        </w:rPr>
        <w:sectPr w:rsidR="002A190D">
          <w:pgSz w:w="12240" w:h="15840"/>
          <w:pgMar w:top="1780" w:right="1080" w:bottom="280" w:left="1440" w:header="720" w:footer="720" w:gutter="0"/>
          <w:cols w:space="720"/>
        </w:sectPr>
      </w:pPr>
    </w:p>
    <w:p w14:paraId="05CCEC86" w14:textId="77777777" w:rsidR="002A190D" w:rsidRDefault="00F30076">
      <w:pPr>
        <w:pStyle w:val="Heading2"/>
        <w:numPr>
          <w:ilvl w:val="0"/>
          <w:numId w:val="1"/>
        </w:numPr>
        <w:tabs>
          <w:tab w:val="left" w:pos="243"/>
        </w:tabs>
        <w:spacing w:before="69"/>
        <w:ind w:left="243" w:hanging="243"/>
        <w:rPr>
          <w:color w:val="212121"/>
        </w:rPr>
      </w:pPr>
      <w:r>
        <w:rPr>
          <w:color w:val="212121"/>
          <w:spacing w:val="-2"/>
        </w:rPr>
        <w:lastRenderedPageBreak/>
        <w:t>CONCLUSION:</w:t>
      </w:r>
    </w:p>
    <w:p w14:paraId="219A8C40" w14:textId="77777777" w:rsidR="002A190D" w:rsidRDefault="00F30076">
      <w:pPr>
        <w:pStyle w:val="BodyText"/>
        <w:spacing w:before="201" w:line="276" w:lineRule="auto"/>
        <w:ind w:right="357"/>
        <w:jc w:val="both"/>
      </w:pPr>
      <w:r>
        <w:rPr>
          <w:color w:val="212121"/>
        </w:rPr>
        <w:t xml:space="preserve">This case demonstrated how adult-onset congenital diaphragmatic hernia can present with misleading symptoms such as those of acute gastrointestinal tract obstruction due to gastric volvulus. The unique combination of </w:t>
      </w:r>
      <w:r>
        <w:t xml:space="preserve">symptoms – gastric volvulus, pancreatitis due to traction, and intrathoracic ectopic kidney in a 15-year-old male with CDH – has never been documented before. This case also </w:t>
      </w:r>
      <w:proofErr w:type="spellStart"/>
      <w:r>
        <w:t>emphasises</w:t>
      </w:r>
      <w:proofErr w:type="spellEnd"/>
      <w:r>
        <w:t xml:space="preserve"> the significance of cross-sectional imaging in the diagnosis of this illness and the </w:t>
      </w:r>
      <w:proofErr w:type="spellStart"/>
      <w:r>
        <w:t>favourable</w:t>
      </w:r>
      <w:proofErr w:type="spellEnd"/>
      <w:r>
        <w:t xml:space="preserve"> outcome of appropriate surgical intervention.</w:t>
      </w:r>
    </w:p>
    <w:p w14:paraId="4103363C" w14:textId="77777777" w:rsidR="002A190D" w:rsidRDefault="002A190D">
      <w:pPr>
        <w:pStyle w:val="BodyText"/>
      </w:pPr>
    </w:p>
    <w:p w14:paraId="33448479" w14:textId="77777777" w:rsidR="002A190D" w:rsidRDefault="002A190D">
      <w:pPr>
        <w:pStyle w:val="BodyText"/>
        <w:spacing w:before="126"/>
      </w:pPr>
    </w:p>
    <w:p w14:paraId="78C9E7EE" w14:textId="1B6B0EB1" w:rsidR="002A190D" w:rsidRDefault="002A190D">
      <w:pPr>
        <w:pStyle w:val="BodyText"/>
        <w:rPr>
          <w:sz w:val="22"/>
        </w:rPr>
      </w:pPr>
    </w:p>
    <w:p w14:paraId="751F55EB" w14:textId="4E300C5C" w:rsidR="001719DB" w:rsidRDefault="001719DB">
      <w:pPr>
        <w:pStyle w:val="BodyText"/>
        <w:rPr>
          <w:sz w:val="22"/>
        </w:rPr>
      </w:pPr>
    </w:p>
    <w:p w14:paraId="24570628" w14:textId="77777777" w:rsidR="001719DB" w:rsidRDefault="001719DB">
      <w:pPr>
        <w:pStyle w:val="BodyText"/>
        <w:rPr>
          <w:sz w:val="22"/>
        </w:rPr>
      </w:pPr>
      <w:bookmarkStart w:id="0" w:name="_GoBack"/>
      <w:bookmarkEnd w:id="0"/>
    </w:p>
    <w:p w14:paraId="74D380D5" w14:textId="77777777" w:rsidR="002A190D" w:rsidRDefault="002A190D">
      <w:pPr>
        <w:pStyle w:val="BodyText"/>
        <w:spacing w:before="38"/>
        <w:rPr>
          <w:sz w:val="22"/>
        </w:rPr>
      </w:pPr>
    </w:p>
    <w:p w14:paraId="71025074" w14:textId="77777777" w:rsidR="002A190D" w:rsidRDefault="00F30076">
      <w:pPr>
        <w:pStyle w:val="Heading1"/>
      </w:pPr>
      <w:r>
        <w:rPr>
          <w:color w:val="212121"/>
        </w:rPr>
        <w:t>DISCLAIMER</w:t>
      </w:r>
      <w:r>
        <w:rPr>
          <w:color w:val="212121"/>
          <w:spacing w:val="-6"/>
        </w:rPr>
        <w:t xml:space="preserve"> </w:t>
      </w:r>
      <w:r>
        <w:rPr>
          <w:color w:val="212121"/>
        </w:rPr>
        <w:t>(ARTIFICIAL</w:t>
      </w:r>
      <w:r>
        <w:rPr>
          <w:color w:val="212121"/>
          <w:spacing w:val="-7"/>
        </w:rPr>
        <w:t xml:space="preserve"> </w:t>
      </w:r>
      <w:r>
        <w:rPr>
          <w:color w:val="212121"/>
          <w:spacing w:val="-2"/>
        </w:rPr>
        <w:t>INTELLIGENCE):</w:t>
      </w:r>
    </w:p>
    <w:p w14:paraId="00D573B2" w14:textId="77777777" w:rsidR="002A190D" w:rsidRDefault="00F30076">
      <w:pPr>
        <w:pStyle w:val="BodyText"/>
        <w:spacing w:before="166" w:line="273" w:lineRule="auto"/>
        <w:ind w:right="366"/>
        <w:jc w:val="both"/>
      </w:pPr>
      <w:r>
        <w:t xml:space="preserve">The author(s) </w:t>
      </w:r>
      <w:r>
        <w:rPr>
          <w:color w:val="212121"/>
        </w:rPr>
        <w:t>hereby declare that NO generative AI technologies such as large language models (ChatGPT, Copilot, etc.)</w:t>
      </w:r>
      <w:r>
        <w:rPr>
          <w:color w:val="212121"/>
          <w:spacing w:val="-1"/>
        </w:rPr>
        <w:t xml:space="preserve"> </w:t>
      </w:r>
      <w:r>
        <w:rPr>
          <w:color w:val="212121"/>
        </w:rPr>
        <w:t>and text-to-image generators have been used during the writing or</w:t>
      </w:r>
      <w:r>
        <w:rPr>
          <w:color w:val="212121"/>
          <w:spacing w:val="-1"/>
        </w:rPr>
        <w:t xml:space="preserve"> </w:t>
      </w:r>
      <w:r>
        <w:rPr>
          <w:color w:val="212121"/>
        </w:rPr>
        <w:t xml:space="preserve">editing of this </w:t>
      </w:r>
      <w:r>
        <w:rPr>
          <w:color w:val="212121"/>
          <w:spacing w:val="-2"/>
        </w:rPr>
        <w:t>manuscript.</w:t>
      </w:r>
    </w:p>
    <w:p w14:paraId="17C42964" w14:textId="77777777" w:rsidR="002A190D" w:rsidRDefault="002A190D">
      <w:pPr>
        <w:pStyle w:val="BodyText"/>
      </w:pPr>
    </w:p>
    <w:p w14:paraId="5B749DDF" w14:textId="77777777" w:rsidR="002A190D" w:rsidRDefault="002A190D">
      <w:pPr>
        <w:pStyle w:val="BodyText"/>
        <w:spacing w:before="47"/>
      </w:pPr>
    </w:p>
    <w:p w14:paraId="23D9505D" w14:textId="77777777" w:rsidR="002A190D" w:rsidRDefault="00F30076">
      <w:pPr>
        <w:pStyle w:val="Heading1"/>
      </w:pPr>
      <w:r>
        <w:rPr>
          <w:color w:val="212121"/>
          <w:spacing w:val="-2"/>
        </w:rPr>
        <w:t>CONSENT:</w:t>
      </w:r>
    </w:p>
    <w:p w14:paraId="62ECC192" w14:textId="77777777" w:rsidR="002A190D" w:rsidRDefault="00F30076">
      <w:pPr>
        <w:pStyle w:val="BodyText"/>
        <w:spacing w:before="166" w:line="276" w:lineRule="auto"/>
        <w:ind w:right="360"/>
        <w:jc w:val="both"/>
      </w:pPr>
      <w:r>
        <w:rPr>
          <w:color w:val="212121"/>
        </w:rPr>
        <w:t>As</w:t>
      </w:r>
      <w:r>
        <w:rPr>
          <w:color w:val="212121"/>
          <w:spacing w:val="-9"/>
        </w:rPr>
        <w:t xml:space="preserve"> </w:t>
      </w:r>
      <w:r>
        <w:rPr>
          <w:color w:val="212121"/>
        </w:rPr>
        <w:t>per</w:t>
      </w:r>
      <w:r>
        <w:rPr>
          <w:color w:val="212121"/>
          <w:spacing w:val="-11"/>
        </w:rPr>
        <w:t xml:space="preserve"> </w:t>
      </w:r>
      <w:r>
        <w:rPr>
          <w:color w:val="212121"/>
        </w:rPr>
        <w:t>international</w:t>
      </w:r>
      <w:r>
        <w:rPr>
          <w:color w:val="212121"/>
          <w:spacing w:val="-8"/>
        </w:rPr>
        <w:t xml:space="preserve"> </w:t>
      </w:r>
      <w:r>
        <w:rPr>
          <w:color w:val="212121"/>
        </w:rPr>
        <w:t>standards</w:t>
      </w:r>
      <w:r>
        <w:rPr>
          <w:color w:val="212121"/>
          <w:spacing w:val="-9"/>
        </w:rPr>
        <w:t xml:space="preserve"> </w:t>
      </w:r>
      <w:r>
        <w:rPr>
          <w:color w:val="212121"/>
        </w:rPr>
        <w:t>or</w:t>
      </w:r>
      <w:r>
        <w:rPr>
          <w:color w:val="212121"/>
          <w:spacing w:val="-11"/>
        </w:rPr>
        <w:t xml:space="preserve"> </w:t>
      </w:r>
      <w:r>
        <w:rPr>
          <w:color w:val="212121"/>
        </w:rPr>
        <w:t>university</w:t>
      </w:r>
      <w:r>
        <w:rPr>
          <w:color w:val="212121"/>
          <w:spacing w:val="-10"/>
        </w:rPr>
        <w:t xml:space="preserve"> </w:t>
      </w:r>
      <w:r>
        <w:rPr>
          <w:color w:val="212121"/>
        </w:rPr>
        <w:t>standards,</w:t>
      </w:r>
      <w:r>
        <w:rPr>
          <w:color w:val="212121"/>
          <w:spacing w:val="-5"/>
        </w:rPr>
        <w:t xml:space="preserve"> </w:t>
      </w:r>
      <w:r>
        <w:t>the</w:t>
      </w:r>
      <w:r>
        <w:rPr>
          <w:spacing w:val="-5"/>
        </w:rPr>
        <w:t xml:space="preserve"> </w:t>
      </w:r>
      <w:r>
        <w:t>patient's</w:t>
      </w:r>
      <w:r>
        <w:rPr>
          <w:spacing w:val="-8"/>
        </w:rPr>
        <w:t xml:space="preserve"> </w:t>
      </w:r>
      <w:r>
        <w:rPr>
          <w:color w:val="212121"/>
        </w:rPr>
        <w:t>written</w:t>
      </w:r>
      <w:r>
        <w:rPr>
          <w:color w:val="212121"/>
          <w:spacing w:val="-10"/>
        </w:rPr>
        <w:t xml:space="preserve"> </w:t>
      </w:r>
      <w:r>
        <w:rPr>
          <w:color w:val="212121"/>
        </w:rPr>
        <w:t>consent</w:t>
      </w:r>
      <w:r>
        <w:rPr>
          <w:color w:val="212121"/>
          <w:spacing w:val="-5"/>
        </w:rPr>
        <w:t xml:space="preserve"> </w:t>
      </w:r>
      <w:r>
        <w:rPr>
          <w:color w:val="212121"/>
        </w:rPr>
        <w:t>has</w:t>
      </w:r>
      <w:r>
        <w:rPr>
          <w:color w:val="212121"/>
          <w:spacing w:val="-4"/>
        </w:rPr>
        <w:t xml:space="preserve"> </w:t>
      </w:r>
      <w:r>
        <w:rPr>
          <w:color w:val="212121"/>
        </w:rPr>
        <w:t>been</w:t>
      </w:r>
      <w:r>
        <w:rPr>
          <w:color w:val="212121"/>
          <w:spacing w:val="-5"/>
        </w:rPr>
        <w:t xml:space="preserve"> </w:t>
      </w:r>
      <w:r>
        <w:rPr>
          <w:color w:val="212121"/>
        </w:rPr>
        <w:t>collected</w:t>
      </w:r>
      <w:r>
        <w:rPr>
          <w:color w:val="212121"/>
          <w:spacing w:val="-5"/>
        </w:rPr>
        <w:t xml:space="preserve"> </w:t>
      </w:r>
      <w:r>
        <w:rPr>
          <w:color w:val="212121"/>
        </w:rPr>
        <w:t xml:space="preserve">and preserved by </w:t>
      </w:r>
      <w:r>
        <w:t>the author(s).</w:t>
      </w:r>
    </w:p>
    <w:p w14:paraId="2FCAEA50" w14:textId="77777777" w:rsidR="002A190D" w:rsidRDefault="002A190D">
      <w:pPr>
        <w:pStyle w:val="BodyText"/>
      </w:pPr>
    </w:p>
    <w:p w14:paraId="168BC499" w14:textId="77777777" w:rsidR="002A190D" w:rsidRDefault="002A190D">
      <w:pPr>
        <w:pStyle w:val="BodyText"/>
        <w:spacing w:before="39"/>
      </w:pPr>
    </w:p>
    <w:p w14:paraId="0B01EAA4" w14:textId="77777777" w:rsidR="002A190D" w:rsidRDefault="00F30076">
      <w:pPr>
        <w:pStyle w:val="Heading1"/>
        <w:spacing w:before="1"/>
      </w:pPr>
      <w:r>
        <w:rPr>
          <w:color w:val="212121"/>
        </w:rPr>
        <w:t xml:space="preserve">ETHICAL </w:t>
      </w:r>
      <w:r>
        <w:rPr>
          <w:color w:val="212121"/>
          <w:spacing w:val="-2"/>
        </w:rPr>
        <w:t>APPROVAL:</w:t>
      </w:r>
    </w:p>
    <w:p w14:paraId="63934CE0" w14:textId="77777777" w:rsidR="002A190D" w:rsidRDefault="00F30076">
      <w:pPr>
        <w:pStyle w:val="BodyText"/>
        <w:spacing w:before="166"/>
      </w:pPr>
      <w:r>
        <w:rPr>
          <w:color w:val="212121"/>
        </w:rPr>
        <w:t>It</w:t>
      </w:r>
      <w:r>
        <w:rPr>
          <w:color w:val="212121"/>
          <w:spacing w:val="-4"/>
        </w:rPr>
        <w:t xml:space="preserve"> </w:t>
      </w:r>
      <w:r>
        <w:rPr>
          <w:color w:val="212121"/>
        </w:rPr>
        <w:t>is</w:t>
      </w:r>
      <w:r>
        <w:rPr>
          <w:color w:val="212121"/>
          <w:spacing w:val="-2"/>
        </w:rPr>
        <w:t xml:space="preserve"> </w:t>
      </w:r>
      <w:r>
        <w:rPr>
          <w:color w:val="212121"/>
        </w:rPr>
        <w:t>not</w:t>
      </w:r>
      <w:r>
        <w:rPr>
          <w:color w:val="212121"/>
          <w:spacing w:val="-3"/>
        </w:rPr>
        <w:t xml:space="preserve"> </w:t>
      </w:r>
      <w:r>
        <w:rPr>
          <w:color w:val="212121"/>
          <w:spacing w:val="-2"/>
        </w:rPr>
        <w:t>applicable.</w:t>
      </w:r>
    </w:p>
    <w:p w14:paraId="24F9092A" w14:textId="77777777" w:rsidR="002A190D" w:rsidRDefault="002A190D">
      <w:pPr>
        <w:pStyle w:val="BodyText"/>
      </w:pPr>
    </w:p>
    <w:p w14:paraId="00E1574B" w14:textId="77777777" w:rsidR="002A190D" w:rsidRDefault="002A190D">
      <w:pPr>
        <w:pStyle w:val="BodyText"/>
        <w:spacing w:before="78"/>
      </w:pPr>
    </w:p>
    <w:p w14:paraId="5FDE9337" w14:textId="77777777" w:rsidR="002A190D" w:rsidRDefault="00F30076">
      <w:pPr>
        <w:pStyle w:val="Heading1"/>
      </w:pPr>
      <w:r>
        <w:rPr>
          <w:color w:val="212121"/>
        </w:rPr>
        <w:t>COMPETING</w:t>
      </w:r>
      <w:r>
        <w:rPr>
          <w:color w:val="212121"/>
          <w:spacing w:val="-3"/>
        </w:rPr>
        <w:t xml:space="preserve"> </w:t>
      </w:r>
      <w:r>
        <w:rPr>
          <w:color w:val="212121"/>
          <w:spacing w:val="-2"/>
        </w:rPr>
        <w:t>INTERESTS:</w:t>
      </w:r>
    </w:p>
    <w:p w14:paraId="78C27CF2" w14:textId="77777777" w:rsidR="002A190D" w:rsidRDefault="00F30076">
      <w:pPr>
        <w:pStyle w:val="BodyText"/>
        <w:spacing w:before="162"/>
      </w:pPr>
      <w:r>
        <w:rPr>
          <w:color w:val="212121"/>
        </w:rPr>
        <w:t>Authors</w:t>
      </w:r>
      <w:r>
        <w:rPr>
          <w:color w:val="212121"/>
          <w:spacing w:val="-4"/>
        </w:rPr>
        <w:t xml:space="preserve"> </w:t>
      </w:r>
      <w:r>
        <w:rPr>
          <w:color w:val="212121"/>
        </w:rPr>
        <w:t>have</w:t>
      </w:r>
      <w:r>
        <w:rPr>
          <w:color w:val="212121"/>
          <w:spacing w:val="-5"/>
        </w:rPr>
        <w:t xml:space="preserve"> </w:t>
      </w:r>
      <w:r>
        <w:rPr>
          <w:color w:val="212121"/>
        </w:rPr>
        <w:t>declared</w:t>
      </w:r>
      <w:r>
        <w:rPr>
          <w:color w:val="212121"/>
          <w:spacing w:val="-5"/>
        </w:rPr>
        <w:t xml:space="preserve"> </w:t>
      </w:r>
      <w:r>
        <w:rPr>
          <w:color w:val="212121"/>
        </w:rPr>
        <w:t>that</w:t>
      </w:r>
      <w:r>
        <w:rPr>
          <w:color w:val="212121"/>
          <w:spacing w:val="-5"/>
        </w:rPr>
        <w:t xml:space="preserve"> </w:t>
      </w:r>
      <w:r>
        <w:rPr>
          <w:color w:val="212121"/>
        </w:rPr>
        <w:t>no</w:t>
      </w:r>
      <w:r>
        <w:rPr>
          <w:color w:val="212121"/>
          <w:spacing w:val="-5"/>
        </w:rPr>
        <w:t xml:space="preserve"> </w:t>
      </w:r>
      <w:r>
        <w:rPr>
          <w:color w:val="212121"/>
        </w:rPr>
        <w:t>competing</w:t>
      </w:r>
      <w:r>
        <w:rPr>
          <w:color w:val="212121"/>
          <w:spacing w:val="-5"/>
        </w:rPr>
        <w:t xml:space="preserve"> </w:t>
      </w:r>
      <w:r>
        <w:rPr>
          <w:color w:val="212121"/>
        </w:rPr>
        <w:t xml:space="preserve">interests </w:t>
      </w:r>
      <w:r>
        <w:rPr>
          <w:spacing w:val="-2"/>
        </w:rPr>
        <w:t>exist.</w:t>
      </w:r>
    </w:p>
    <w:p w14:paraId="58403EA8" w14:textId="77777777" w:rsidR="002A190D" w:rsidRDefault="002A190D">
      <w:pPr>
        <w:pStyle w:val="BodyText"/>
        <w:sectPr w:rsidR="002A190D">
          <w:pgSz w:w="12240" w:h="15840"/>
          <w:pgMar w:top="1820" w:right="1080" w:bottom="280" w:left="1440" w:header="720" w:footer="720" w:gutter="0"/>
          <w:cols w:space="720"/>
        </w:sectPr>
      </w:pPr>
    </w:p>
    <w:p w14:paraId="33B09EDB" w14:textId="77777777" w:rsidR="002A190D" w:rsidRDefault="00F30076">
      <w:pPr>
        <w:spacing w:before="81"/>
        <w:rPr>
          <w:rFonts w:ascii="Arial"/>
          <w:b/>
          <w:sz w:val="17"/>
        </w:rPr>
      </w:pPr>
      <w:r>
        <w:rPr>
          <w:rFonts w:ascii="Arial"/>
          <w:b/>
          <w:spacing w:val="-2"/>
          <w:sz w:val="17"/>
        </w:rPr>
        <w:lastRenderedPageBreak/>
        <w:t>REFERENCES:</w:t>
      </w:r>
    </w:p>
    <w:p w14:paraId="19CAF9A6" w14:textId="77777777" w:rsidR="002A190D" w:rsidRPr="006D1D21" w:rsidRDefault="00F30076" w:rsidP="006D1D21">
      <w:pPr>
        <w:spacing w:before="149" w:line="276" w:lineRule="auto"/>
        <w:ind w:left="360" w:right="282"/>
        <w:rPr>
          <w:sz w:val="17"/>
        </w:rPr>
      </w:pPr>
      <w:r w:rsidRPr="006D1D21">
        <w:rPr>
          <w:color w:val="1A1A1A"/>
          <w:sz w:val="17"/>
        </w:rPr>
        <w:t>Gallot,</w:t>
      </w:r>
      <w:r w:rsidRPr="006D1D21">
        <w:rPr>
          <w:color w:val="1A1A1A"/>
          <w:spacing w:val="-15"/>
          <w:sz w:val="17"/>
        </w:rPr>
        <w:t xml:space="preserve"> </w:t>
      </w:r>
      <w:r w:rsidRPr="006D1D21">
        <w:rPr>
          <w:color w:val="1A1A1A"/>
          <w:sz w:val="17"/>
        </w:rPr>
        <w:t>D.,</w:t>
      </w:r>
      <w:r w:rsidRPr="006D1D21">
        <w:rPr>
          <w:color w:val="1A1A1A"/>
          <w:spacing w:val="-12"/>
          <w:sz w:val="17"/>
        </w:rPr>
        <w:t xml:space="preserve"> </w:t>
      </w:r>
      <w:r w:rsidRPr="006D1D21">
        <w:rPr>
          <w:color w:val="1A1A1A"/>
          <w:sz w:val="17"/>
        </w:rPr>
        <w:t>Boda,</w:t>
      </w:r>
      <w:r w:rsidRPr="006D1D21">
        <w:rPr>
          <w:color w:val="1A1A1A"/>
          <w:spacing w:val="-14"/>
          <w:sz w:val="17"/>
        </w:rPr>
        <w:t xml:space="preserve"> </w:t>
      </w:r>
      <w:r w:rsidRPr="006D1D21">
        <w:rPr>
          <w:color w:val="1A1A1A"/>
          <w:sz w:val="17"/>
        </w:rPr>
        <w:t>C.,</w:t>
      </w:r>
      <w:r w:rsidRPr="006D1D21">
        <w:rPr>
          <w:color w:val="1A1A1A"/>
          <w:spacing w:val="-12"/>
          <w:sz w:val="17"/>
        </w:rPr>
        <w:t xml:space="preserve"> </w:t>
      </w:r>
      <w:proofErr w:type="spellStart"/>
      <w:r w:rsidRPr="006D1D21">
        <w:rPr>
          <w:color w:val="1A1A1A"/>
          <w:sz w:val="17"/>
        </w:rPr>
        <w:t>Ughetto</w:t>
      </w:r>
      <w:proofErr w:type="spellEnd"/>
      <w:r w:rsidRPr="006D1D21">
        <w:rPr>
          <w:color w:val="1A1A1A"/>
          <w:sz w:val="17"/>
        </w:rPr>
        <w:t>,</w:t>
      </w:r>
      <w:r w:rsidRPr="006D1D21">
        <w:rPr>
          <w:color w:val="1A1A1A"/>
          <w:spacing w:val="-12"/>
          <w:sz w:val="17"/>
        </w:rPr>
        <w:t xml:space="preserve"> </w:t>
      </w:r>
      <w:r w:rsidRPr="006D1D21">
        <w:rPr>
          <w:color w:val="1A1A1A"/>
          <w:sz w:val="17"/>
        </w:rPr>
        <w:t>S.,</w:t>
      </w:r>
      <w:r w:rsidRPr="006D1D21">
        <w:rPr>
          <w:color w:val="1A1A1A"/>
          <w:spacing w:val="-12"/>
          <w:sz w:val="17"/>
        </w:rPr>
        <w:t xml:space="preserve"> </w:t>
      </w:r>
      <w:proofErr w:type="spellStart"/>
      <w:r w:rsidRPr="006D1D21">
        <w:rPr>
          <w:color w:val="1A1A1A"/>
          <w:sz w:val="17"/>
        </w:rPr>
        <w:t>Perthus</w:t>
      </w:r>
      <w:proofErr w:type="spellEnd"/>
      <w:r w:rsidRPr="006D1D21">
        <w:rPr>
          <w:color w:val="1A1A1A"/>
          <w:sz w:val="17"/>
        </w:rPr>
        <w:t>,</w:t>
      </w:r>
      <w:r w:rsidRPr="006D1D21">
        <w:rPr>
          <w:color w:val="1A1A1A"/>
          <w:spacing w:val="-11"/>
          <w:sz w:val="17"/>
        </w:rPr>
        <w:t xml:space="preserve"> </w:t>
      </w:r>
      <w:r w:rsidRPr="006D1D21">
        <w:rPr>
          <w:color w:val="1A1A1A"/>
          <w:sz w:val="17"/>
        </w:rPr>
        <w:t>I.,</w:t>
      </w:r>
      <w:r w:rsidRPr="006D1D21">
        <w:rPr>
          <w:color w:val="1A1A1A"/>
          <w:spacing w:val="-15"/>
          <w:sz w:val="17"/>
        </w:rPr>
        <w:t xml:space="preserve"> </w:t>
      </w:r>
      <w:r w:rsidRPr="006D1D21">
        <w:rPr>
          <w:color w:val="1A1A1A"/>
          <w:sz w:val="17"/>
        </w:rPr>
        <w:t>Robert-Gnansia,</w:t>
      </w:r>
      <w:r w:rsidRPr="006D1D21">
        <w:rPr>
          <w:color w:val="1A1A1A"/>
          <w:spacing w:val="-14"/>
          <w:sz w:val="17"/>
        </w:rPr>
        <w:t xml:space="preserve"> </w:t>
      </w:r>
      <w:r w:rsidRPr="006D1D21">
        <w:rPr>
          <w:color w:val="1A1A1A"/>
          <w:sz w:val="17"/>
        </w:rPr>
        <w:t>E.,</w:t>
      </w:r>
      <w:r w:rsidRPr="006D1D21">
        <w:rPr>
          <w:color w:val="1A1A1A"/>
          <w:spacing w:val="-15"/>
          <w:sz w:val="17"/>
        </w:rPr>
        <w:t xml:space="preserve"> </w:t>
      </w:r>
      <w:proofErr w:type="spellStart"/>
      <w:r w:rsidRPr="006D1D21">
        <w:rPr>
          <w:color w:val="1A1A1A"/>
          <w:sz w:val="17"/>
        </w:rPr>
        <w:t>Francannet</w:t>
      </w:r>
      <w:proofErr w:type="spellEnd"/>
      <w:r w:rsidRPr="006D1D21">
        <w:rPr>
          <w:color w:val="1A1A1A"/>
          <w:sz w:val="17"/>
        </w:rPr>
        <w:t>,</w:t>
      </w:r>
      <w:r w:rsidRPr="006D1D21">
        <w:rPr>
          <w:color w:val="1A1A1A"/>
          <w:spacing w:val="-15"/>
          <w:sz w:val="17"/>
        </w:rPr>
        <w:t xml:space="preserve"> </w:t>
      </w:r>
      <w:r w:rsidRPr="006D1D21">
        <w:rPr>
          <w:color w:val="1A1A1A"/>
          <w:sz w:val="17"/>
        </w:rPr>
        <w:t>C.,</w:t>
      </w:r>
      <w:r w:rsidRPr="006D1D21">
        <w:rPr>
          <w:color w:val="1A1A1A"/>
          <w:spacing w:val="-11"/>
          <w:sz w:val="17"/>
        </w:rPr>
        <w:t xml:space="preserve"> </w:t>
      </w:r>
      <w:r w:rsidRPr="006D1D21">
        <w:rPr>
          <w:color w:val="1A1A1A"/>
          <w:sz w:val="17"/>
        </w:rPr>
        <w:t>et</w:t>
      </w:r>
      <w:r w:rsidRPr="006D1D21">
        <w:rPr>
          <w:color w:val="1A1A1A"/>
          <w:spacing w:val="-14"/>
          <w:sz w:val="17"/>
        </w:rPr>
        <w:t xml:space="preserve"> </w:t>
      </w:r>
      <w:r w:rsidRPr="006D1D21">
        <w:rPr>
          <w:color w:val="1A1A1A"/>
          <w:sz w:val="17"/>
        </w:rPr>
        <w:t>al.</w:t>
      </w:r>
      <w:r w:rsidRPr="006D1D21">
        <w:rPr>
          <w:color w:val="1A1A1A"/>
          <w:spacing w:val="-11"/>
          <w:sz w:val="17"/>
        </w:rPr>
        <w:t xml:space="preserve"> </w:t>
      </w:r>
      <w:r w:rsidRPr="006D1D21">
        <w:rPr>
          <w:color w:val="1A1A1A"/>
          <w:sz w:val="17"/>
        </w:rPr>
        <w:t>(2007).</w:t>
      </w:r>
      <w:r w:rsidRPr="006D1D21">
        <w:rPr>
          <w:color w:val="1A1A1A"/>
          <w:spacing w:val="-10"/>
          <w:sz w:val="17"/>
        </w:rPr>
        <w:t xml:space="preserve"> </w:t>
      </w:r>
      <w:r w:rsidRPr="006D1D21">
        <w:rPr>
          <w:color w:val="1A1A1A"/>
          <w:sz w:val="17"/>
        </w:rPr>
        <w:t>Prenatal</w:t>
      </w:r>
      <w:r w:rsidRPr="006D1D21">
        <w:rPr>
          <w:color w:val="1A1A1A"/>
          <w:spacing w:val="-11"/>
          <w:sz w:val="17"/>
        </w:rPr>
        <w:t xml:space="preserve"> </w:t>
      </w:r>
      <w:r w:rsidRPr="006D1D21">
        <w:rPr>
          <w:color w:val="1A1A1A"/>
          <w:sz w:val="17"/>
        </w:rPr>
        <w:t>detection</w:t>
      </w:r>
      <w:r w:rsidRPr="006D1D21">
        <w:rPr>
          <w:color w:val="1A1A1A"/>
          <w:spacing w:val="-12"/>
          <w:sz w:val="17"/>
        </w:rPr>
        <w:t xml:space="preserve"> </w:t>
      </w:r>
      <w:r w:rsidRPr="006D1D21">
        <w:rPr>
          <w:color w:val="1A1A1A"/>
          <w:sz w:val="17"/>
        </w:rPr>
        <w:t>and</w:t>
      </w:r>
      <w:r w:rsidRPr="006D1D21">
        <w:rPr>
          <w:color w:val="1A1A1A"/>
          <w:spacing w:val="-12"/>
          <w:sz w:val="17"/>
        </w:rPr>
        <w:t xml:space="preserve"> </w:t>
      </w:r>
      <w:r w:rsidRPr="006D1D21">
        <w:rPr>
          <w:color w:val="1A1A1A"/>
          <w:sz w:val="17"/>
        </w:rPr>
        <w:t xml:space="preserve">outcome of congenital diaphragmatic hernia: A French registry-based study. Ultrasound in Obstetrics &amp; Gynecology, 29(3), 276–283. </w:t>
      </w:r>
      <w:hyperlink r:id="rId13">
        <w:r w:rsidRPr="006D1D21">
          <w:rPr>
            <w:color w:val="0F3BC0"/>
            <w:spacing w:val="-2"/>
            <w:sz w:val="17"/>
            <w:u w:val="single" w:color="0F3BC0"/>
          </w:rPr>
          <w:t>https://doi.org/10.1002/uog.3863</w:t>
        </w:r>
      </w:hyperlink>
    </w:p>
    <w:p w14:paraId="1AD810BA" w14:textId="77777777" w:rsidR="002A190D" w:rsidRPr="006D1D21" w:rsidRDefault="00F30076" w:rsidP="006D1D21">
      <w:pPr>
        <w:spacing w:before="1" w:line="276" w:lineRule="auto"/>
        <w:ind w:left="360"/>
        <w:rPr>
          <w:sz w:val="17"/>
        </w:rPr>
      </w:pPr>
      <w:r w:rsidRPr="006D1D21">
        <w:rPr>
          <w:color w:val="1A1A1A"/>
          <w:sz w:val="17"/>
        </w:rPr>
        <w:t>Bianchi,</w:t>
      </w:r>
      <w:r w:rsidRPr="006D1D21">
        <w:rPr>
          <w:color w:val="1A1A1A"/>
          <w:spacing w:val="-14"/>
          <w:sz w:val="17"/>
        </w:rPr>
        <w:t xml:space="preserve"> </w:t>
      </w:r>
      <w:r w:rsidRPr="006D1D21">
        <w:rPr>
          <w:color w:val="1A1A1A"/>
          <w:sz w:val="17"/>
        </w:rPr>
        <w:t>E.,</w:t>
      </w:r>
      <w:r w:rsidRPr="006D1D21">
        <w:rPr>
          <w:color w:val="1A1A1A"/>
          <w:spacing w:val="-14"/>
          <w:sz w:val="17"/>
        </w:rPr>
        <w:t xml:space="preserve"> </w:t>
      </w:r>
      <w:r w:rsidRPr="006D1D21">
        <w:rPr>
          <w:color w:val="1A1A1A"/>
          <w:sz w:val="17"/>
        </w:rPr>
        <w:t>Mancini,</w:t>
      </w:r>
      <w:r w:rsidRPr="006D1D21">
        <w:rPr>
          <w:color w:val="1A1A1A"/>
          <w:spacing w:val="-14"/>
          <w:sz w:val="17"/>
        </w:rPr>
        <w:t xml:space="preserve"> </w:t>
      </w:r>
      <w:r w:rsidRPr="006D1D21">
        <w:rPr>
          <w:color w:val="1A1A1A"/>
          <w:sz w:val="17"/>
        </w:rPr>
        <w:t>P.,</w:t>
      </w:r>
      <w:r w:rsidRPr="006D1D21">
        <w:rPr>
          <w:color w:val="1A1A1A"/>
          <w:spacing w:val="-14"/>
          <w:sz w:val="17"/>
        </w:rPr>
        <w:t xml:space="preserve"> </w:t>
      </w:r>
      <w:r w:rsidRPr="006D1D21">
        <w:rPr>
          <w:color w:val="1A1A1A"/>
          <w:sz w:val="17"/>
        </w:rPr>
        <w:t>De</w:t>
      </w:r>
      <w:r w:rsidRPr="006D1D21">
        <w:rPr>
          <w:color w:val="1A1A1A"/>
          <w:spacing w:val="-11"/>
          <w:sz w:val="17"/>
        </w:rPr>
        <w:t xml:space="preserve"> </w:t>
      </w:r>
      <w:r w:rsidRPr="006D1D21">
        <w:rPr>
          <w:color w:val="1A1A1A"/>
          <w:sz w:val="17"/>
        </w:rPr>
        <w:t>Vito,</w:t>
      </w:r>
      <w:r w:rsidRPr="006D1D21">
        <w:rPr>
          <w:color w:val="1A1A1A"/>
          <w:spacing w:val="-9"/>
          <w:sz w:val="17"/>
        </w:rPr>
        <w:t xml:space="preserve"> </w:t>
      </w:r>
      <w:r w:rsidRPr="006D1D21">
        <w:rPr>
          <w:color w:val="1A1A1A"/>
          <w:sz w:val="17"/>
        </w:rPr>
        <w:t>S.,</w:t>
      </w:r>
      <w:r w:rsidRPr="006D1D21">
        <w:rPr>
          <w:color w:val="1A1A1A"/>
          <w:spacing w:val="-9"/>
          <w:sz w:val="17"/>
        </w:rPr>
        <w:t xml:space="preserve"> </w:t>
      </w:r>
      <w:r w:rsidRPr="006D1D21">
        <w:rPr>
          <w:color w:val="1A1A1A"/>
          <w:sz w:val="17"/>
        </w:rPr>
        <w:t>Pompili,</w:t>
      </w:r>
      <w:r w:rsidRPr="006D1D21">
        <w:rPr>
          <w:color w:val="1A1A1A"/>
          <w:spacing w:val="-14"/>
          <w:sz w:val="17"/>
        </w:rPr>
        <w:t xml:space="preserve"> </w:t>
      </w:r>
      <w:r w:rsidRPr="006D1D21">
        <w:rPr>
          <w:color w:val="1A1A1A"/>
          <w:sz w:val="17"/>
        </w:rPr>
        <w:t>E.,</w:t>
      </w:r>
      <w:r w:rsidRPr="006D1D21">
        <w:rPr>
          <w:color w:val="1A1A1A"/>
          <w:spacing w:val="-14"/>
          <w:sz w:val="17"/>
        </w:rPr>
        <w:t xml:space="preserve"> </w:t>
      </w:r>
      <w:proofErr w:type="spellStart"/>
      <w:r w:rsidRPr="006D1D21">
        <w:rPr>
          <w:color w:val="1A1A1A"/>
          <w:sz w:val="17"/>
        </w:rPr>
        <w:t>Taurone</w:t>
      </w:r>
      <w:proofErr w:type="spellEnd"/>
      <w:r w:rsidRPr="006D1D21">
        <w:rPr>
          <w:color w:val="1A1A1A"/>
          <w:sz w:val="17"/>
        </w:rPr>
        <w:t>,</w:t>
      </w:r>
      <w:r w:rsidRPr="006D1D21">
        <w:rPr>
          <w:color w:val="1A1A1A"/>
          <w:spacing w:val="-13"/>
          <w:sz w:val="17"/>
        </w:rPr>
        <w:t xml:space="preserve"> </w:t>
      </w:r>
      <w:r w:rsidRPr="006D1D21">
        <w:rPr>
          <w:color w:val="1A1A1A"/>
          <w:sz w:val="17"/>
        </w:rPr>
        <w:t>S.,</w:t>
      </w:r>
      <w:r w:rsidRPr="006D1D21">
        <w:rPr>
          <w:color w:val="1A1A1A"/>
          <w:spacing w:val="-9"/>
          <w:sz w:val="17"/>
        </w:rPr>
        <w:t xml:space="preserve"> </w:t>
      </w:r>
      <w:proofErr w:type="spellStart"/>
      <w:r w:rsidRPr="006D1D21">
        <w:rPr>
          <w:color w:val="1A1A1A"/>
          <w:sz w:val="17"/>
        </w:rPr>
        <w:t>Guerrisi</w:t>
      </w:r>
      <w:proofErr w:type="spellEnd"/>
      <w:r w:rsidRPr="006D1D21">
        <w:rPr>
          <w:color w:val="1A1A1A"/>
          <w:sz w:val="17"/>
        </w:rPr>
        <w:t>,</w:t>
      </w:r>
      <w:r w:rsidRPr="006D1D21">
        <w:rPr>
          <w:color w:val="1A1A1A"/>
          <w:spacing w:val="-14"/>
          <w:sz w:val="17"/>
        </w:rPr>
        <w:t xml:space="preserve"> </w:t>
      </w:r>
      <w:r w:rsidRPr="006D1D21">
        <w:rPr>
          <w:color w:val="1A1A1A"/>
          <w:sz w:val="17"/>
        </w:rPr>
        <w:t>I.,</w:t>
      </w:r>
      <w:r w:rsidRPr="006D1D21">
        <w:rPr>
          <w:color w:val="1A1A1A"/>
          <w:spacing w:val="-14"/>
          <w:sz w:val="17"/>
        </w:rPr>
        <w:t xml:space="preserve"> </w:t>
      </w:r>
      <w:r w:rsidRPr="006D1D21">
        <w:rPr>
          <w:color w:val="1A1A1A"/>
          <w:sz w:val="17"/>
        </w:rPr>
        <w:t>et</w:t>
      </w:r>
      <w:r w:rsidRPr="006D1D21">
        <w:rPr>
          <w:color w:val="1A1A1A"/>
          <w:spacing w:val="-14"/>
          <w:sz w:val="17"/>
        </w:rPr>
        <w:t xml:space="preserve"> </w:t>
      </w:r>
      <w:r w:rsidRPr="006D1D21">
        <w:rPr>
          <w:color w:val="1A1A1A"/>
          <w:sz w:val="17"/>
        </w:rPr>
        <w:t>al.</w:t>
      </w:r>
      <w:r w:rsidRPr="006D1D21">
        <w:rPr>
          <w:color w:val="1A1A1A"/>
          <w:spacing w:val="-9"/>
          <w:sz w:val="17"/>
        </w:rPr>
        <w:t xml:space="preserve"> </w:t>
      </w:r>
      <w:r w:rsidRPr="006D1D21">
        <w:rPr>
          <w:color w:val="1A1A1A"/>
          <w:sz w:val="17"/>
        </w:rPr>
        <w:t>(2013).</w:t>
      </w:r>
      <w:r w:rsidRPr="006D1D21">
        <w:rPr>
          <w:color w:val="1A1A1A"/>
          <w:spacing w:val="-14"/>
          <w:sz w:val="17"/>
        </w:rPr>
        <w:t xml:space="preserve"> </w:t>
      </w:r>
      <w:r w:rsidRPr="006D1D21">
        <w:rPr>
          <w:color w:val="1A1A1A"/>
          <w:sz w:val="17"/>
        </w:rPr>
        <w:t>Congenital</w:t>
      </w:r>
      <w:r w:rsidRPr="006D1D21">
        <w:rPr>
          <w:color w:val="1A1A1A"/>
          <w:spacing w:val="-9"/>
          <w:sz w:val="17"/>
        </w:rPr>
        <w:t xml:space="preserve"> </w:t>
      </w:r>
      <w:r w:rsidRPr="006D1D21">
        <w:rPr>
          <w:color w:val="1A1A1A"/>
          <w:sz w:val="17"/>
        </w:rPr>
        <w:t>asymptomatic</w:t>
      </w:r>
      <w:r w:rsidRPr="006D1D21">
        <w:rPr>
          <w:color w:val="1A1A1A"/>
          <w:spacing w:val="-12"/>
          <w:sz w:val="17"/>
        </w:rPr>
        <w:t xml:space="preserve"> </w:t>
      </w:r>
      <w:r w:rsidRPr="006D1D21">
        <w:rPr>
          <w:color w:val="1A1A1A"/>
          <w:sz w:val="17"/>
        </w:rPr>
        <w:t>diaphragmatic hernias in adults: A case series. Journal of Medical Case Reports, 7, 125.</w:t>
      </w:r>
    </w:p>
    <w:p w14:paraId="6E06649E" w14:textId="77777777" w:rsidR="002A190D" w:rsidRPr="006D1D21" w:rsidRDefault="00F865FC" w:rsidP="006D1D21">
      <w:pPr>
        <w:spacing w:before="1"/>
        <w:ind w:left="360"/>
        <w:rPr>
          <w:sz w:val="17"/>
        </w:rPr>
      </w:pPr>
      <w:hyperlink r:id="rId14">
        <w:r w:rsidR="00F30076" w:rsidRPr="006D1D21">
          <w:rPr>
            <w:color w:val="0F3BC0"/>
            <w:spacing w:val="-2"/>
            <w:sz w:val="17"/>
            <w:u w:val="single" w:color="0F3BC0"/>
          </w:rPr>
          <w:t>https://doi.org/10.1186/1752-1947-7-</w:t>
        </w:r>
        <w:r w:rsidR="00F30076" w:rsidRPr="006D1D21">
          <w:rPr>
            <w:color w:val="0F3BC0"/>
            <w:spacing w:val="-5"/>
            <w:sz w:val="17"/>
            <w:u w:val="single" w:color="0F3BC0"/>
          </w:rPr>
          <w:t>125</w:t>
        </w:r>
      </w:hyperlink>
    </w:p>
    <w:p w14:paraId="064EF252" w14:textId="77777777" w:rsidR="002A190D" w:rsidRPr="006D1D21" w:rsidRDefault="00F30076" w:rsidP="006D1D21">
      <w:pPr>
        <w:spacing w:before="29" w:line="276" w:lineRule="auto"/>
        <w:ind w:left="360" w:right="363"/>
        <w:jc w:val="both"/>
        <w:rPr>
          <w:sz w:val="17"/>
        </w:rPr>
      </w:pPr>
      <w:proofErr w:type="spellStart"/>
      <w:r w:rsidRPr="006D1D21">
        <w:rPr>
          <w:color w:val="1A1A1A"/>
          <w:sz w:val="17"/>
        </w:rPr>
        <w:t>Puligandla</w:t>
      </w:r>
      <w:proofErr w:type="spellEnd"/>
      <w:r w:rsidRPr="006D1D21">
        <w:rPr>
          <w:color w:val="1A1A1A"/>
          <w:sz w:val="17"/>
        </w:rPr>
        <w:t xml:space="preserve">, P., </w:t>
      </w:r>
      <w:proofErr w:type="spellStart"/>
      <w:r w:rsidRPr="006D1D21">
        <w:rPr>
          <w:color w:val="1A1A1A"/>
          <w:sz w:val="17"/>
        </w:rPr>
        <w:t>Skarsgard</w:t>
      </w:r>
      <w:proofErr w:type="spellEnd"/>
      <w:r w:rsidRPr="006D1D21">
        <w:rPr>
          <w:color w:val="1A1A1A"/>
          <w:sz w:val="17"/>
        </w:rPr>
        <w:t xml:space="preserve">, E., Baird, R., Guadagno, E., Dimmer, A., </w:t>
      </w:r>
      <w:proofErr w:type="spellStart"/>
      <w:r w:rsidRPr="006D1D21">
        <w:rPr>
          <w:color w:val="1A1A1A"/>
          <w:sz w:val="17"/>
        </w:rPr>
        <w:t>Ganescu</w:t>
      </w:r>
      <w:proofErr w:type="spellEnd"/>
      <w:r w:rsidRPr="006D1D21">
        <w:rPr>
          <w:color w:val="1A1A1A"/>
          <w:sz w:val="17"/>
        </w:rPr>
        <w:t>, O., et al. (2024). Diagnosis and management of congenital diaphragmatic hernia: A 2023 update from the Canadian Congenital Diaphragmatic Hernia Collaborative. Archives of Disease in Childhood - Fetal and Neonatal Edition, 109, F239–F252.</w:t>
      </w:r>
    </w:p>
    <w:p w14:paraId="1DB2DD14" w14:textId="77777777" w:rsidR="002A190D" w:rsidRPr="006D1D21" w:rsidRDefault="00F865FC" w:rsidP="006D1D21">
      <w:pPr>
        <w:spacing w:before="1"/>
        <w:ind w:left="360"/>
        <w:rPr>
          <w:sz w:val="17"/>
        </w:rPr>
      </w:pPr>
      <w:hyperlink r:id="rId15">
        <w:r w:rsidR="00F30076" w:rsidRPr="006D1D21">
          <w:rPr>
            <w:color w:val="0F3BC0"/>
            <w:spacing w:val="-2"/>
            <w:sz w:val="17"/>
            <w:u w:val="single" w:color="0F3BC0"/>
          </w:rPr>
          <w:t>https://doi.org/10.1136/archdischild-2023-325865</w:t>
        </w:r>
      </w:hyperlink>
    </w:p>
    <w:p w14:paraId="71D7FEF6" w14:textId="77777777" w:rsidR="002A190D" w:rsidRPr="006D1D21" w:rsidRDefault="00F30076" w:rsidP="006D1D21">
      <w:pPr>
        <w:spacing w:before="30" w:line="276" w:lineRule="auto"/>
        <w:ind w:left="360"/>
        <w:rPr>
          <w:sz w:val="17"/>
        </w:rPr>
      </w:pPr>
      <w:r w:rsidRPr="006D1D21">
        <w:rPr>
          <w:color w:val="1A1A1A"/>
          <w:sz w:val="17"/>
        </w:rPr>
        <w:t>Jank,</w:t>
      </w:r>
      <w:r w:rsidRPr="006D1D21">
        <w:rPr>
          <w:color w:val="1A1A1A"/>
          <w:spacing w:val="-1"/>
          <w:sz w:val="17"/>
        </w:rPr>
        <w:t xml:space="preserve"> </w:t>
      </w:r>
      <w:r w:rsidRPr="006D1D21">
        <w:rPr>
          <w:color w:val="1A1A1A"/>
          <w:sz w:val="17"/>
        </w:rPr>
        <w:t>M.,</w:t>
      </w:r>
      <w:r w:rsidRPr="006D1D21">
        <w:rPr>
          <w:color w:val="1A1A1A"/>
          <w:spacing w:val="-1"/>
          <w:sz w:val="17"/>
        </w:rPr>
        <w:t xml:space="preserve"> </w:t>
      </w:r>
      <w:r w:rsidRPr="006D1D21">
        <w:rPr>
          <w:color w:val="1A1A1A"/>
          <w:sz w:val="17"/>
        </w:rPr>
        <w:t>Boettcher, M.,</w:t>
      </w:r>
      <w:r w:rsidRPr="006D1D21">
        <w:rPr>
          <w:color w:val="1A1A1A"/>
          <w:spacing w:val="-1"/>
          <w:sz w:val="17"/>
        </w:rPr>
        <w:t xml:space="preserve"> </w:t>
      </w:r>
      <w:r w:rsidRPr="006D1D21">
        <w:rPr>
          <w:color w:val="1A1A1A"/>
          <w:sz w:val="17"/>
        </w:rPr>
        <w:t>&amp; Keijzer,</w:t>
      </w:r>
      <w:r w:rsidRPr="006D1D21">
        <w:rPr>
          <w:color w:val="1A1A1A"/>
          <w:spacing w:val="-1"/>
          <w:sz w:val="17"/>
        </w:rPr>
        <w:t xml:space="preserve"> </w:t>
      </w:r>
      <w:r w:rsidRPr="006D1D21">
        <w:rPr>
          <w:color w:val="1A1A1A"/>
          <w:sz w:val="17"/>
        </w:rPr>
        <w:t>R.</w:t>
      </w:r>
      <w:r w:rsidRPr="006D1D21">
        <w:rPr>
          <w:color w:val="1A1A1A"/>
          <w:spacing w:val="-1"/>
          <w:sz w:val="17"/>
        </w:rPr>
        <w:t xml:space="preserve"> </w:t>
      </w:r>
      <w:r w:rsidRPr="006D1D21">
        <w:rPr>
          <w:color w:val="1A1A1A"/>
          <w:sz w:val="17"/>
        </w:rPr>
        <w:t>(2024).</w:t>
      </w:r>
      <w:r w:rsidRPr="006D1D21">
        <w:rPr>
          <w:color w:val="1A1A1A"/>
          <w:spacing w:val="-1"/>
          <w:sz w:val="17"/>
        </w:rPr>
        <w:t xml:space="preserve"> </w:t>
      </w:r>
      <w:r w:rsidRPr="006D1D21">
        <w:rPr>
          <w:color w:val="1A1A1A"/>
          <w:sz w:val="17"/>
        </w:rPr>
        <w:t>Surgical management of</w:t>
      </w:r>
      <w:r w:rsidRPr="006D1D21">
        <w:rPr>
          <w:color w:val="1A1A1A"/>
          <w:spacing w:val="-1"/>
          <w:sz w:val="17"/>
        </w:rPr>
        <w:t xml:space="preserve"> </w:t>
      </w:r>
      <w:r w:rsidRPr="006D1D21">
        <w:rPr>
          <w:color w:val="1A1A1A"/>
          <w:sz w:val="17"/>
        </w:rPr>
        <w:t>the diaphragmatic defect</w:t>
      </w:r>
      <w:r w:rsidRPr="006D1D21">
        <w:rPr>
          <w:color w:val="1A1A1A"/>
          <w:spacing w:val="-1"/>
          <w:sz w:val="17"/>
        </w:rPr>
        <w:t xml:space="preserve"> </w:t>
      </w:r>
      <w:r w:rsidRPr="006D1D21">
        <w:rPr>
          <w:color w:val="1A1A1A"/>
          <w:sz w:val="17"/>
        </w:rPr>
        <w:t>in congenital diaphragmatic hernia: A contemporary review. World Journal of Pediatric Surgery, 7, e000747.</w:t>
      </w:r>
    </w:p>
    <w:p w14:paraId="065D1423" w14:textId="77777777" w:rsidR="002A190D" w:rsidRPr="006D1D21" w:rsidRDefault="00F865FC" w:rsidP="006D1D21">
      <w:pPr>
        <w:spacing w:line="191" w:lineRule="exact"/>
        <w:ind w:left="360"/>
        <w:rPr>
          <w:sz w:val="17"/>
        </w:rPr>
      </w:pPr>
      <w:hyperlink r:id="rId16">
        <w:r w:rsidR="00F30076" w:rsidRPr="006D1D21">
          <w:rPr>
            <w:color w:val="0F3BC0"/>
            <w:spacing w:val="-2"/>
            <w:sz w:val="17"/>
            <w:u w:val="single" w:color="0F3BC0"/>
          </w:rPr>
          <w:t>https://doi.org/10.1136/wjps-2023-000747</w:t>
        </w:r>
      </w:hyperlink>
    </w:p>
    <w:p w14:paraId="3BDA446D" w14:textId="77777777" w:rsidR="002A190D" w:rsidRPr="006D1D21" w:rsidRDefault="00F30076" w:rsidP="006D1D21">
      <w:pPr>
        <w:spacing w:before="29" w:line="276" w:lineRule="auto"/>
        <w:ind w:left="360"/>
        <w:rPr>
          <w:sz w:val="17"/>
        </w:rPr>
      </w:pPr>
      <w:r w:rsidRPr="006D1D21">
        <w:rPr>
          <w:color w:val="1A1A1A"/>
          <w:sz w:val="17"/>
        </w:rPr>
        <w:t>de</w:t>
      </w:r>
      <w:r w:rsidRPr="006D1D21">
        <w:rPr>
          <w:color w:val="1A1A1A"/>
          <w:spacing w:val="17"/>
          <w:sz w:val="17"/>
        </w:rPr>
        <w:t xml:space="preserve"> </w:t>
      </w:r>
      <w:r w:rsidRPr="006D1D21">
        <w:rPr>
          <w:color w:val="1A1A1A"/>
          <w:sz w:val="17"/>
        </w:rPr>
        <w:t>Buys</w:t>
      </w:r>
      <w:r w:rsidRPr="006D1D21">
        <w:rPr>
          <w:color w:val="1A1A1A"/>
          <w:spacing w:val="17"/>
          <w:sz w:val="17"/>
        </w:rPr>
        <w:t xml:space="preserve"> </w:t>
      </w:r>
      <w:r w:rsidRPr="006D1D21">
        <w:rPr>
          <w:color w:val="1A1A1A"/>
          <w:sz w:val="17"/>
        </w:rPr>
        <w:t>Roessingh, A. S., &amp;</w:t>
      </w:r>
      <w:r w:rsidRPr="006D1D21">
        <w:rPr>
          <w:color w:val="1A1A1A"/>
          <w:spacing w:val="17"/>
          <w:sz w:val="17"/>
        </w:rPr>
        <w:t xml:space="preserve"> </w:t>
      </w:r>
      <w:r w:rsidRPr="006D1D21">
        <w:rPr>
          <w:color w:val="1A1A1A"/>
          <w:sz w:val="17"/>
        </w:rPr>
        <w:t>Dinh-Xuan, A.</w:t>
      </w:r>
      <w:r w:rsidRPr="006D1D21">
        <w:rPr>
          <w:color w:val="1A1A1A"/>
          <w:spacing w:val="19"/>
          <w:sz w:val="17"/>
        </w:rPr>
        <w:t xml:space="preserve"> </w:t>
      </w:r>
      <w:r w:rsidRPr="006D1D21">
        <w:rPr>
          <w:color w:val="1A1A1A"/>
          <w:sz w:val="17"/>
        </w:rPr>
        <w:t>T. (2009). Congenital diaphragmatic hernia: Current status</w:t>
      </w:r>
      <w:r w:rsidRPr="006D1D21">
        <w:rPr>
          <w:color w:val="1A1A1A"/>
          <w:spacing w:val="17"/>
          <w:sz w:val="17"/>
        </w:rPr>
        <w:t xml:space="preserve"> </w:t>
      </w:r>
      <w:r w:rsidRPr="006D1D21">
        <w:rPr>
          <w:color w:val="1A1A1A"/>
          <w:sz w:val="17"/>
        </w:rPr>
        <w:t>and</w:t>
      </w:r>
      <w:r w:rsidRPr="006D1D21">
        <w:rPr>
          <w:color w:val="1A1A1A"/>
          <w:spacing w:val="22"/>
          <w:sz w:val="17"/>
        </w:rPr>
        <w:t xml:space="preserve"> </w:t>
      </w:r>
      <w:r w:rsidRPr="006D1D21">
        <w:rPr>
          <w:color w:val="1A1A1A"/>
          <w:sz w:val="17"/>
        </w:rPr>
        <w:t>review</w:t>
      </w:r>
      <w:r w:rsidRPr="006D1D21">
        <w:rPr>
          <w:color w:val="1A1A1A"/>
          <w:spacing w:val="19"/>
          <w:sz w:val="17"/>
        </w:rPr>
        <w:t xml:space="preserve"> </w:t>
      </w:r>
      <w:r w:rsidRPr="006D1D21">
        <w:rPr>
          <w:color w:val="1A1A1A"/>
          <w:sz w:val="17"/>
        </w:rPr>
        <w:t>of the literature. European Journal of Pediatrics, 168(4), 393–406.</w:t>
      </w:r>
    </w:p>
    <w:p w14:paraId="3F7FEEE7" w14:textId="77777777" w:rsidR="002A190D" w:rsidRPr="006D1D21" w:rsidRDefault="00F865FC" w:rsidP="006D1D21">
      <w:pPr>
        <w:spacing w:before="1"/>
        <w:ind w:left="360"/>
        <w:rPr>
          <w:sz w:val="17"/>
        </w:rPr>
      </w:pPr>
      <w:hyperlink r:id="rId17">
        <w:r w:rsidR="00F30076" w:rsidRPr="006D1D21">
          <w:rPr>
            <w:color w:val="0F3BC0"/>
            <w:spacing w:val="-2"/>
            <w:sz w:val="17"/>
            <w:u w:val="single" w:color="0F3BC0"/>
          </w:rPr>
          <w:t>https://doi.org/10.1007/s00431-008-0904-</w:t>
        </w:r>
        <w:r w:rsidR="00F30076" w:rsidRPr="006D1D21">
          <w:rPr>
            <w:color w:val="0F3BC0"/>
            <w:spacing w:val="-10"/>
            <w:sz w:val="17"/>
            <w:u w:val="single" w:color="0F3BC0"/>
          </w:rPr>
          <w:t>x</w:t>
        </w:r>
      </w:hyperlink>
    </w:p>
    <w:p w14:paraId="29FCDD93" w14:textId="77777777" w:rsidR="002A190D" w:rsidRPr="006D1D21" w:rsidRDefault="00F30076" w:rsidP="006D1D21">
      <w:pPr>
        <w:spacing w:before="30" w:line="276" w:lineRule="auto"/>
        <w:ind w:left="360" w:right="367"/>
        <w:jc w:val="both"/>
        <w:rPr>
          <w:sz w:val="17"/>
        </w:rPr>
      </w:pPr>
      <w:r w:rsidRPr="006D1D21">
        <w:rPr>
          <w:color w:val="1A1A1A"/>
          <w:sz w:val="17"/>
        </w:rPr>
        <w:t xml:space="preserve">Haynes, C. V., Thaxton, C. T., Shaughnessy, M. P., &amp; </w:t>
      </w:r>
      <w:proofErr w:type="spellStart"/>
      <w:r w:rsidRPr="006D1D21">
        <w:rPr>
          <w:color w:val="1A1A1A"/>
          <w:sz w:val="17"/>
        </w:rPr>
        <w:t>Stitelman</w:t>
      </w:r>
      <w:proofErr w:type="spellEnd"/>
      <w:r w:rsidRPr="006D1D21">
        <w:rPr>
          <w:color w:val="1A1A1A"/>
          <w:sz w:val="17"/>
        </w:rPr>
        <w:t xml:space="preserve">, D. H. (2025). Atypical presentation of occult congenital diaphragmatic hernia as intermittent obstructive symptoms: A case report. Journal of Pediatric Surgery Case Reports, 117, </w:t>
      </w:r>
      <w:r w:rsidRPr="006D1D21">
        <w:rPr>
          <w:color w:val="1A1A1A"/>
          <w:spacing w:val="-2"/>
          <w:sz w:val="17"/>
        </w:rPr>
        <w:t>103018.</w:t>
      </w:r>
    </w:p>
    <w:p w14:paraId="64CD1915" w14:textId="77777777" w:rsidR="002A190D" w:rsidRPr="006D1D21" w:rsidRDefault="00F865FC" w:rsidP="006D1D21">
      <w:pPr>
        <w:ind w:left="360"/>
        <w:rPr>
          <w:sz w:val="17"/>
        </w:rPr>
      </w:pPr>
      <w:hyperlink r:id="rId18">
        <w:r w:rsidR="00F30076" w:rsidRPr="006D1D21">
          <w:rPr>
            <w:color w:val="0F3BC0"/>
            <w:spacing w:val="-2"/>
            <w:sz w:val="17"/>
            <w:u w:val="single" w:color="0F3BC0"/>
          </w:rPr>
          <w:t>https://doi.org/10.1016/j.epsc.2025.103018</w:t>
        </w:r>
      </w:hyperlink>
    </w:p>
    <w:p w14:paraId="2B481BD0" w14:textId="77777777" w:rsidR="002A190D" w:rsidRPr="006D1D21" w:rsidRDefault="00F30076" w:rsidP="006D1D21">
      <w:pPr>
        <w:spacing w:before="30" w:line="276" w:lineRule="auto"/>
        <w:ind w:left="360"/>
        <w:rPr>
          <w:sz w:val="17"/>
        </w:rPr>
      </w:pPr>
      <w:r w:rsidRPr="006D1D21">
        <w:rPr>
          <w:color w:val="1A1A1A"/>
          <w:sz w:val="17"/>
        </w:rPr>
        <w:t>Mawson,</w:t>
      </w:r>
      <w:r w:rsidRPr="006D1D21">
        <w:rPr>
          <w:color w:val="1A1A1A"/>
          <w:spacing w:val="25"/>
          <w:sz w:val="17"/>
        </w:rPr>
        <w:t xml:space="preserve"> </w:t>
      </w:r>
      <w:r w:rsidRPr="006D1D21">
        <w:rPr>
          <w:color w:val="1A1A1A"/>
          <w:sz w:val="17"/>
        </w:rPr>
        <w:t>R.,</w:t>
      </w:r>
      <w:r w:rsidRPr="006D1D21">
        <w:rPr>
          <w:color w:val="1A1A1A"/>
          <w:spacing w:val="25"/>
          <w:sz w:val="17"/>
        </w:rPr>
        <w:t xml:space="preserve"> </w:t>
      </w:r>
      <w:r w:rsidRPr="006D1D21">
        <w:rPr>
          <w:color w:val="1A1A1A"/>
          <w:sz w:val="17"/>
        </w:rPr>
        <w:t>Murdoch,</w:t>
      </w:r>
      <w:r w:rsidRPr="006D1D21">
        <w:rPr>
          <w:color w:val="1A1A1A"/>
          <w:spacing w:val="25"/>
          <w:sz w:val="17"/>
        </w:rPr>
        <w:t xml:space="preserve"> </w:t>
      </w:r>
      <w:r w:rsidRPr="006D1D21">
        <w:rPr>
          <w:color w:val="1A1A1A"/>
          <w:sz w:val="17"/>
        </w:rPr>
        <w:t>J.,</w:t>
      </w:r>
      <w:r w:rsidRPr="006D1D21">
        <w:rPr>
          <w:color w:val="1A1A1A"/>
          <w:spacing w:val="25"/>
          <w:sz w:val="17"/>
        </w:rPr>
        <w:t xml:space="preserve"> </w:t>
      </w:r>
      <w:r w:rsidRPr="006D1D21">
        <w:rPr>
          <w:color w:val="1A1A1A"/>
          <w:sz w:val="17"/>
        </w:rPr>
        <w:t>Kenwright,</w:t>
      </w:r>
      <w:r w:rsidRPr="006D1D21">
        <w:rPr>
          <w:color w:val="1A1A1A"/>
          <w:spacing w:val="25"/>
          <w:sz w:val="17"/>
        </w:rPr>
        <w:t xml:space="preserve"> </w:t>
      </w:r>
      <w:r w:rsidRPr="006D1D21">
        <w:rPr>
          <w:color w:val="1A1A1A"/>
          <w:sz w:val="17"/>
        </w:rPr>
        <w:t>D.,</w:t>
      </w:r>
      <w:r w:rsidRPr="006D1D21">
        <w:rPr>
          <w:color w:val="1A1A1A"/>
          <w:spacing w:val="25"/>
          <w:sz w:val="17"/>
        </w:rPr>
        <w:t xml:space="preserve"> </w:t>
      </w:r>
      <w:r w:rsidRPr="006D1D21">
        <w:rPr>
          <w:color w:val="1A1A1A"/>
          <w:sz w:val="17"/>
        </w:rPr>
        <w:t>&amp;</w:t>
      </w:r>
      <w:r w:rsidRPr="006D1D21">
        <w:rPr>
          <w:color w:val="1A1A1A"/>
          <w:spacing w:val="28"/>
          <w:sz w:val="17"/>
        </w:rPr>
        <w:t xml:space="preserve"> </w:t>
      </w:r>
      <w:r w:rsidRPr="006D1D21">
        <w:rPr>
          <w:color w:val="1A1A1A"/>
          <w:sz w:val="17"/>
        </w:rPr>
        <w:t>Stringer,</w:t>
      </w:r>
      <w:r w:rsidRPr="006D1D21">
        <w:rPr>
          <w:color w:val="1A1A1A"/>
          <w:spacing w:val="25"/>
          <w:sz w:val="17"/>
        </w:rPr>
        <w:t xml:space="preserve"> </w:t>
      </w:r>
      <w:r w:rsidRPr="006D1D21">
        <w:rPr>
          <w:color w:val="1A1A1A"/>
          <w:sz w:val="17"/>
        </w:rPr>
        <w:t>M.</w:t>
      </w:r>
      <w:r w:rsidRPr="006D1D21">
        <w:rPr>
          <w:color w:val="1A1A1A"/>
          <w:spacing w:val="25"/>
          <w:sz w:val="17"/>
        </w:rPr>
        <w:t xml:space="preserve"> </w:t>
      </w:r>
      <w:r w:rsidRPr="006D1D21">
        <w:rPr>
          <w:color w:val="1A1A1A"/>
          <w:sz w:val="17"/>
        </w:rPr>
        <w:t>D.</w:t>
      </w:r>
      <w:r w:rsidRPr="006D1D21">
        <w:rPr>
          <w:color w:val="1A1A1A"/>
          <w:spacing w:val="30"/>
          <w:sz w:val="17"/>
        </w:rPr>
        <w:t xml:space="preserve"> </w:t>
      </w:r>
      <w:r w:rsidRPr="006D1D21">
        <w:rPr>
          <w:color w:val="1A1A1A"/>
          <w:sz w:val="17"/>
        </w:rPr>
        <w:t>(2019).</w:t>
      </w:r>
      <w:r w:rsidRPr="006D1D21">
        <w:rPr>
          <w:color w:val="1A1A1A"/>
          <w:spacing w:val="25"/>
          <w:sz w:val="17"/>
        </w:rPr>
        <w:t xml:space="preserve"> </w:t>
      </w:r>
      <w:r w:rsidRPr="006D1D21">
        <w:rPr>
          <w:color w:val="1A1A1A"/>
          <w:sz w:val="17"/>
        </w:rPr>
        <w:t>Gastric</w:t>
      </w:r>
      <w:r w:rsidRPr="006D1D21">
        <w:rPr>
          <w:color w:val="1A1A1A"/>
          <w:spacing w:val="27"/>
          <w:sz w:val="17"/>
        </w:rPr>
        <w:t xml:space="preserve"> </w:t>
      </w:r>
      <w:r w:rsidRPr="006D1D21">
        <w:rPr>
          <w:color w:val="1A1A1A"/>
          <w:sz w:val="17"/>
        </w:rPr>
        <w:t>outlet</w:t>
      </w:r>
      <w:r w:rsidRPr="006D1D21">
        <w:rPr>
          <w:color w:val="1A1A1A"/>
          <w:spacing w:val="25"/>
          <w:sz w:val="17"/>
        </w:rPr>
        <w:t xml:space="preserve"> </w:t>
      </w:r>
      <w:r w:rsidRPr="006D1D21">
        <w:rPr>
          <w:color w:val="1A1A1A"/>
          <w:sz w:val="17"/>
        </w:rPr>
        <w:t>obstruction</w:t>
      </w:r>
      <w:r w:rsidRPr="006D1D21">
        <w:rPr>
          <w:color w:val="1A1A1A"/>
          <w:spacing w:val="28"/>
          <w:sz w:val="17"/>
        </w:rPr>
        <w:t xml:space="preserve"> </w:t>
      </w:r>
      <w:r w:rsidRPr="006D1D21">
        <w:rPr>
          <w:color w:val="1A1A1A"/>
          <w:sz w:val="17"/>
        </w:rPr>
        <w:t>associated</w:t>
      </w:r>
      <w:r w:rsidRPr="006D1D21">
        <w:rPr>
          <w:color w:val="1A1A1A"/>
          <w:spacing w:val="28"/>
          <w:sz w:val="17"/>
        </w:rPr>
        <w:t xml:space="preserve"> </w:t>
      </w:r>
      <w:r w:rsidRPr="006D1D21">
        <w:rPr>
          <w:color w:val="1A1A1A"/>
          <w:sz w:val="17"/>
        </w:rPr>
        <w:t>with</w:t>
      </w:r>
      <w:r w:rsidRPr="006D1D21">
        <w:rPr>
          <w:color w:val="1A1A1A"/>
          <w:spacing w:val="27"/>
          <w:sz w:val="17"/>
        </w:rPr>
        <w:t xml:space="preserve"> </w:t>
      </w:r>
      <w:r w:rsidRPr="006D1D21">
        <w:rPr>
          <w:color w:val="1A1A1A"/>
          <w:sz w:val="17"/>
        </w:rPr>
        <w:t>congenital diaphragmatic hernia. Journal of Pediatric Surgery Case Reports, 47, 101241.</w:t>
      </w:r>
    </w:p>
    <w:p w14:paraId="085FC498" w14:textId="77777777" w:rsidR="002A190D" w:rsidRPr="006D1D21" w:rsidRDefault="00F865FC" w:rsidP="006D1D21">
      <w:pPr>
        <w:ind w:left="360"/>
        <w:rPr>
          <w:sz w:val="17"/>
        </w:rPr>
      </w:pPr>
      <w:hyperlink r:id="rId19">
        <w:r w:rsidR="00F30076" w:rsidRPr="006D1D21">
          <w:rPr>
            <w:color w:val="0F3BC0"/>
            <w:spacing w:val="-2"/>
            <w:sz w:val="17"/>
            <w:u w:val="single" w:color="0F3BC0"/>
          </w:rPr>
          <w:t>https://doi.org/10.1016/j.epsc.2019.101241</w:t>
        </w:r>
      </w:hyperlink>
    </w:p>
    <w:p w14:paraId="5D05C060" w14:textId="77777777" w:rsidR="002A190D" w:rsidRPr="006D1D21" w:rsidRDefault="00F30076" w:rsidP="006D1D21">
      <w:pPr>
        <w:spacing w:before="30" w:line="276" w:lineRule="auto"/>
        <w:ind w:left="360"/>
        <w:rPr>
          <w:sz w:val="17"/>
        </w:rPr>
      </w:pPr>
      <w:r w:rsidRPr="006D1D21">
        <w:rPr>
          <w:color w:val="1A1A1A"/>
          <w:sz w:val="17"/>
        </w:rPr>
        <w:t>Dalton,</w:t>
      </w:r>
      <w:r w:rsidRPr="006D1D21">
        <w:rPr>
          <w:color w:val="1A1A1A"/>
          <w:spacing w:val="-15"/>
          <w:sz w:val="17"/>
        </w:rPr>
        <w:t xml:space="preserve"> </w:t>
      </w:r>
      <w:r w:rsidRPr="006D1D21">
        <w:rPr>
          <w:color w:val="1A1A1A"/>
          <w:sz w:val="17"/>
        </w:rPr>
        <w:t>A.</w:t>
      </w:r>
      <w:r w:rsidRPr="006D1D21">
        <w:rPr>
          <w:color w:val="1A1A1A"/>
          <w:spacing w:val="-15"/>
          <w:sz w:val="17"/>
        </w:rPr>
        <w:t xml:space="preserve"> </w:t>
      </w:r>
      <w:r w:rsidRPr="006D1D21">
        <w:rPr>
          <w:color w:val="1A1A1A"/>
          <w:sz w:val="17"/>
        </w:rPr>
        <w:t>M.,</w:t>
      </w:r>
      <w:r w:rsidRPr="006D1D21">
        <w:rPr>
          <w:color w:val="1A1A1A"/>
          <w:spacing w:val="-15"/>
          <w:sz w:val="17"/>
        </w:rPr>
        <w:t xml:space="preserve"> </w:t>
      </w:r>
      <w:r w:rsidRPr="006D1D21">
        <w:rPr>
          <w:color w:val="1A1A1A"/>
          <w:sz w:val="17"/>
        </w:rPr>
        <w:t>Hodgson,</w:t>
      </w:r>
      <w:r w:rsidRPr="006D1D21">
        <w:rPr>
          <w:color w:val="1A1A1A"/>
          <w:spacing w:val="-14"/>
          <w:sz w:val="17"/>
        </w:rPr>
        <w:t xml:space="preserve"> </w:t>
      </w:r>
      <w:r w:rsidRPr="006D1D21">
        <w:rPr>
          <w:color w:val="1A1A1A"/>
          <w:sz w:val="17"/>
        </w:rPr>
        <w:t>R.</w:t>
      </w:r>
      <w:r w:rsidRPr="006D1D21">
        <w:rPr>
          <w:color w:val="1A1A1A"/>
          <w:spacing w:val="-12"/>
          <w:sz w:val="17"/>
        </w:rPr>
        <w:t xml:space="preserve"> </w:t>
      </w:r>
      <w:r w:rsidRPr="006D1D21">
        <w:rPr>
          <w:color w:val="1A1A1A"/>
          <w:sz w:val="17"/>
        </w:rPr>
        <w:t>S.,</w:t>
      </w:r>
      <w:r w:rsidRPr="006D1D21">
        <w:rPr>
          <w:color w:val="1A1A1A"/>
          <w:spacing w:val="-12"/>
          <w:sz w:val="17"/>
        </w:rPr>
        <w:t xml:space="preserve"> </w:t>
      </w:r>
      <w:r w:rsidRPr="006D1D21">
        <w:rPr>
          <w:color w:val="1A1A1A"/>
          <w:sz w:val="17"/>
        </w:rPr>
        <w:t>&amp;</w:t>
      </w:r>
      <w:r w:rsidRPr="006D1D21">
        <w:rPr>
          <w:color w:val="1A1A1A"/>
          <w:spacing w:val="-12"/>
          <w:sz w:val="17"/>
        </w:rPr>
        <w:t xml:space="preserve"> </w:t>
      </w:r>
      <w:r w:rsidRPr="006D1D21">
        <w:rPr>
          <w:color w:val="1A1A1A"/>
          <w:sz w:val="17"/>
        </w:rPr>
        <w:t>Crossley,</w:t>
      </w:r>
      <w:r w:rsidRPr="006D1D21">
        <w:rPr>
          <w:color w:val="1A1A1A"/>
          <w:spacing w:val="-14"/>
          <w:sz w:val="17"/>
        </w:rPr>
        <w:t xml:space="preserve"> </w:t>
      </w:r>
      <w:r w:rsidRPr="006D1D21">
        <w:rPr>
          <w:color w:val="1A1A1A"/>
          <w:sz w:val="17"/>
        </w:rPr>
        <w:t>C.</w:t>
      </w:r>
      <w:r w:rsidRPr="006D1D21">
        <w:rPr>
          <w:color w:val="1A1A1A"/>
          <w:spacing w:val="-15"/>
          <w:sz w:val="17"/>
        </w:rPr>
        <w:t xml:space="preserve"> </w:t>
      </w:r>
      <w:r w:rsidRPr="006D1D21">
        <w:rPr>
          <w:color w:val="1A1A1A"/>
          <w:sz w:val="17"/>
        </w:rPr>
        <w:t>(2004).</w:t>
      </w:r>
      <w:r w:rsidRPr="006D1D21">
        <w:rPr>
          <w:color w:val="1A1A1A"/>
          <w:spacing w:val="-15"/>
          <w:sz w:val="17"/>
        </w:rPr>
        <w:t xml:space="preserve"> </w:t>
      </w:r>
      <w:proofErr w:type="spellStart"/>
      <w:r w:rsidRPr="006D1D21">
        <w:rPr>
          <w:color w:val="1A1A1A"/>
          <w:sz w:val="17"/>
        </w:rPr>
        <w:t>Bochdalek</w:t>
      </w:r>
      <w:proofErr w:type="spellEnd"/>
      <w:r w:rsidRPr="006D1D21">
        <w:rPr>
          <w:color w:val="1A1A1A"/>
          <w:spacing w:val="-12"/>
          <w:sz w:val="17"/>
        </w:rPr>
        <w:t xml:space="preserve"> </w:t>
      </w:r>
      <w:r w:rsidRPr="006D1D21">
        <w:rPr>
          <w:color w:val="1A1A1A"/>
          <w:sz w:val="17"/>
        </w:rPr>
        <w:t>hernia</w:t>
      </w:r>
      <w:r w:rsidRPr="006D1D21">
        <w:rPr>
          <w:color w:val="1A1A1A"/>
          <w:spacing w:val="-12"/>
          <w:sz w:val="17"/>
        </w:rPr>
        <w:t xml:space="preserve"> </w:t>
      </w:r>
      <w:r w:rsidRPr="006D1D21">
        <w:rPr>
          <w:color w:val="1A1A1A"/>
          <w:sz w:val="17"/>
        </w:rPr>
        <w:t>masquerading</w:t>
      </w:r>
      <w:r w:rsidRPr="006D1D21">
        <w:rPr>
          <w:color w:val="1A1A1A"/>
          <w:spacing w:val="-12"/>
          <w:sz w:val="17"/>
        </w:rPr>
        <w:t xml:space="preserve"> </w:t>
      </w:r>
      <w:r w:rsidRPr="006D1D21">
        <w:rPr>
          <w:color w:val="1A1A1A"/>
          <w:sz w:val="17"/>
        </w:rPr>
        <w:t>as</w:t>
      </w:r>
      <w:r w:rsidRPr="006D1D21">
        <w:rPr>
          <w:color w:val="1A1A1A"/>
          <w:spacing w:val="-12"/>
          <w:sz w:val="17"/>
        </w:rPr>
        <w:t xml:space="preserve"> </w:t>
      </w:r>
      <w:r w:rsidRPr="006D1D21">
        <w:rPr>
          <w:color w:val="1A1A1A"/>
          <w:sz w:val="17"/>
        </w:rPr>
        <w:t>a</w:t>
      </w:r>
      <w:r w:rsidRPr="006D1D21">
        <w:rPr>
          <w:color w:val="1A1A1A"/>
          <w:spacing w:val="-12"/>
          <w:sz w:val="17"/>
        </w:rPr>
        <w:t xml:space="preserve"> </w:t>
      </w:r>
      <w:r w:rsidRPr="006D1D21">
        <w:rPr>
          <w:color w:val="1A1A1A"/>
          <w:sz w:val="17"/>
        </w:rPr>
        <w:t>tension</w:t>
      </w:r>
      <w:r w:rsidRPr="006D1D21">
        <w:rPr>
          <w:color w:val="1A1A1A"/>
          <w:spacing w:val="-12"/>
          <w:sz w:val="17"/>
        </w:rPr>
        <w:t xml:space="preserve"> </w:t>
      </w:r>
      <w:r w:rsidRPr="006D1D21">
        <w:rPr>
          <w:color w:val="1A1A1A"/>
          <w:sz w:val="17"/>
        </w:rPr>
        <w:t>pneumothorax.</w:t>
      </w:r>
      <w:r w:rsidRPr="006D1D21">
        <w:rPr>
          <w:color w:val="1A1A1A"/>
          <w:spacing w:val="-11"/>
          <w:sz w:val="17"/>
        </w:rPr>
        <w:t xml:space="preserve"> </w:t>
      </w:r>
      <w:r w:rsidRPr="006D1D21">
        <w:rPr>
          <w:color w:val="1A1A1A"/>
          <w:sz w:val="17"/>
        </w:rPr>
        <w:t>Emergency Medicine Journal, 21, 393–394.</w:t>
      </w:r>
    </w:p>
    <w:p w14:paraId="40B215D1" w14:textId="77777777" w:rsidR="002A190D" w:rsidRPr="006D1D21" w:rsidRDefault="00F865FC" w:rsidP="006D1D21">
      <w:pPr>
        <w:spacing w:before="1"/>
        <w:ind w:left="360"/>
        <w:rPr>
          <w:sz w:val="17"/>
        </w:rPr>
      </w:pPr>
      <w:hyperlink r:id="rId20">
        <w:r w:rsidR="00F30076" w:rsidRPr="006D1D21">
          <w:rPr>
            <w:color w:val="0F3BC0"/>
            <w:spacing w:val="-2"/>
            <w:sz w:val="17"/>
            <w:u w:val="single" w:color="0F3BC0"/>
          </w:rPr>
          <w:t>https://doi.org/10.1136/emj.2002.004697</w:t>
        </w:r>
      </w:hyperlink>
    </w:p>
    <w:p w14:paraId="0AFBBED5" w14:textId="77777777" w:rsidR="002A190D" w:rsidRPr="006D1D21" w:rsidRDefault="00F30076" w:rsidP="006D1D21">
      <w:pPr>
        <w:spacing w:before="29" w:line="276" w:lineRule="auto"/>
        <w:ind w:left="360"/>
        <w:rPr>
          <w:sz w:val="17"/>
        </w:rPr>
      </w:pPr>
      <w:proofErr w:type="spellStart"/>
      <w:r w:rsidRPr="006D1D21">
        <w:rPr>
          <w:color w:val="212121"/>
          <w:sz w:val="17"/>
        </w:rPr>
        <w:t>Khalyfa</w:t>
      </w:r>
      <w:proofErr w:type="spellEnd"/>
      <w:r w:rsidRPr="006D1D21">
        <w:rPr>
          <w:color w:val="212121"/>
          <w:sz w:val="17"/>
        </w:rPr>
        <w:t>, A. A., Randhawa, N., Gabbert, D., &amp; Al-</w:t>
      </w:r>
      <w:proofErr w:type="spellStart"/>
      <w:r w:rsidRPr="006D1D21">
        <w:rPr>
          <w:color w:val="212121"/>
          <w:sz w:val="17"/>
        </w:rPr>
        <w:t>Ghanoudi</w:t>
      </w:r>
      <w:proofErr w:type="spellEnd"/>
      <w:r w:rsidRPr="006D1D21">
        <w:rPr>
          <w:color w:val="212121"/>
          <w:sz w:val="17"/>
        </w:rPr>
        <w:t>, A. (2022). Missed at Birth: A</w:t>
      </w:r>
      <w:r w:rsidRPr="006D1D21">
        <w:rPr>
          <w:color w:val="212121"/>
          <w:spacing w:val="19"/>
          <w:sz w:val="17"/>
        </w:rPr>
        <w:t xml:space="preserve"> </w:t>
      </w:r>
      <w:r w:rsidRPr="006D1D21">
        <w:rPr>
          <w:color w:val="212121"/>
          <w:sz w:val="17"/>
        </w:rPr>
        <w:t>Rare Case of Acute Pancreatitis</w:t>
      </w:r>
      <w:r w:rsidRPr="006D1D21">
        <w:rPr>
          <w:color w:val="212121"/>
          <w:spacing w:val="40"/>
          <w:sz w:val="17"/>
        </w:rPr>
        <w:t xml:space="preserve"> </w:t>
      </w:r>
      <w:r w:rsidRPr="006D1D21">
        <w:rPr>
          <w:color w:val="212121"/>
          <w:sz w:val="17"/>
        </w:rPr>
        <w:t xml:space="preserve">Secondary to Congenital Diaphragmatic Hernia. </w:t>
      </w:r>
      <w:r w:rsidRPr="006D1D21">
        <w:rPr>
          <w:rFonts w:ascii="Arial"/>
          <w:i/>
          <w:color w:val="212121"/>
          <w:sz w:val="17"/>
        </w:rPr>
        <w:t>Case Reports in Gastrointestinal Medicine</w:t>
      </w:r>
      <w:r w:rsidRPr="006D1D21">
        <w:rPr>
          <w:color w:val="212121"/>
          <w:sz w:val="17"/>
        </w:rPr>
        <w:t xml:space="preserve">, </w:t>
      </w:r>
      <w:r w:rsidRPr="006D1D21">
        <w:rPr>
          <w:rFonts w:ascii="Arial"/>
          <w:i/>
          <w:color w:val="212121"/>
          <w:sz w:val="17"/>
        </w:rPr>
        <w:t>2022</w:t>
      </w:r>
      <w:r w:rsidRPr="006D1D21">
        <w:rPr>
          <w:color w:val="212121"/>
          <w:sz w:val="17"/>
        </w:rPr>
        <w:t xml:space="preserve">(1), 7580807. </w:t>
      </w:r>
      <w:hyperlink r:id="rId21">
        <w:r w:rsidRPr="006D1D21">
          <w:rPr>
            <w:color w:val="0000FF"/>
            <w:spacing w:val="-2"/>
            <w:sz w:val="17"/>
            <w:u w:val="single" w:color="0000FF"/>
          </w:rPr>
          <w:t>https://doi.org/10.1155/2022/7580807</w:t>
        </w:r>
      </w:hyperlink>
    </w:p>
    <w:p w14:paraId="76D4A4ED" w14:textId="77777777" w:rsidR="002A190D" w:rsidRPr="006D1D21" w:rsidRDefault="00F30076" w:rsidP="006D1D21">
      <w:pPr>
        <w:spacing w:before="1" w:line="297" w:lineRule="auto"/>
        <w:ind w:left="360" w:right="349"/>
        <w:jc w:val="both"/>
        <w:rPr>
          <w:rFonts w:ascii="Cambria"/>
          <w:sz w:val="17"/>
        </w:rPr>
      </w:pPr>
      <w:r w:rsidRPr="006D1D21">
        <w:rPr>
          <w:color w:val="212121"/>
          <w:sz w:val="17"/>
        </w:rPr>
        <w:t>Orlandi, G., Toscano, P., Gabrielli, O., Di Lella, E., Lettieri, A., Manzo, L., ... &amp; Di Meglio, A. (2023). Prenatal diagnosis of an intrathoracic</w:t>
      </w:r>
      <w:r w:rsidRPr="006D1D21">
        <w:rPr>
          <w:color w:val="212121"/>
          <w:spacing w:val="-12"/>
          <w:sz w:val="17"/>
        </w:rPr>
        <w:t xml:space="preserve"> </w:t>
      </w:r>
      <w:r w:rsidRPr="006D1D21">
        <w:rPr>
          <w:color w:val="212121"/>
          <w:sz w:val="17"/>
        </w:rPr>
        <w:t>left</w:t>
      </w:r>
      <w:r w:rsidRPr="006D1D21">
        <w:rPr>
          <w:color w:val="212121"/>
          <w:spacing w:val="-12"/>
          <w:sz w:val="17"/>
        </w:rPr>
        <w:t xml:space="preserve"> </w:t>
      </w:r>
      <w:r w:rsidRPr="006D1D21">
        <w:rPr>
          <w:color w:val="212121"/>
          <w:sz w:val="17"/>
        </w:rPr>
        <w:t>kidney</w:t>
      </w:r>
      <w:r w:rsidRPr="006D1D21">
        <w:rPr>
          <w:color w:val="212121"/>
          <w:spacing w:val="-12"/>
          <w:sz w:val="17"/>
        </w:rPr>
        <w:t xml:space="preserve"> </w:t>
      </w:r>
      <w:r w:rsidRPr="006D1D21">
        <w:rPr>
          <w:color w:val="212121"/>
          <w:sz w:val="17"/>
        </w:rPr>
        <w:t>associated</w:t>
      </w:r>
      <w:r w:rsidRPr="006D1D21">
        <w:rPr>
          <w:color w:val="212121"/>
          <w:spacing w:val="-12"/>
          <w:sz w:val="17"/>
        </w:rPr>
        <w:t xml:space="preserve"> </w:t>
      </w:r>
      <w:r w:rsidRPr="006D1D21">
        <w:rPr>
          <w:color w:val="212121"/>
          <w:sz w:val="17"/>
        </w:rPr>
        <w:t>with</w:t>
      </w:r>
      <w:r w:rsidRPr="006D1D21">
        <w:rPr>
          <w:color w:val="212121"/>
          <w:spacing w:val="-12"/>
          <w:sz w:val="17"/>
        </w:rPr>
        <w:t xml:space="preserve"> </w:t>
      </w:r>
      <w:r w:rsidRPr="006D1D21">
        <w:rPr>
          <w:color w:val="212121"/>
          <w:sz w:val="17"/>
        </w:rPr>
        <w:t>congenital</w:t>
      </w:r>
      <w:r w:rsidRPr="006D1D21">
        <w:rPr>
          <w:color w:val="212121"/>
          <w:spacing w:val="-11"/>
          <w:sz w:val="17"/>
        </w:rPr>
        <w:t xml:space="preserve"> </w:t>
      </w:r>
      <w:r w:rsidRPr="006D1D21">
        <w:rPr>
          <w:color w:val="212121"/>
          <w:sz w:val="17"/>
        </w:rPr>
        <w:t>diaphragmatic</w:t>
      </w:r>
      <w:r w:rsidRPr="006D1D21">
        <w:rPr>
          <w:color w:val="212121"/>
          <w:spacing w:val="-12"/>
          <w:sz w:val="17"/>
        </w:rPr>
        <w:t xml:space="preserve"> </w:t>
      </w:r>
      <w:r w:rsidRPr="006D1D21">
        <w:rPr>
          <w:color w:val="212121"/>
          <w:sz w:val="17"/>
        </w:rPr>
        <w:t>hernia:</w:t>
      </w:r>
      <w:r w:rsidRPr="006D1D21">
        <w:rPr>
          <w:color w:val="212121"/>
          <w:spacing w:val="-12"/>
          <w:sz w:val="17"/>
        </w:rPr>
        <w:t xml:space="preserve"> </w:t>
      </w:r>
      <w:r w:rsidRPr="006D1D21">
        <w:rPr>
          <w:color w:val="212121"/>
          <w:sz w:val="17"/>
        </w:rPr>
        <w:t>case</w:t>
      </w:r>
      <w:r w:rsidRPr="006D1D21">
        <w:rPr>
          <w:color w:val="212121"/>
          <w:spacing w:val="-12"/>
          <w:sz w:val="17"/>
        </w:rPr>
        <w:t xml:space="preserve"> </w:t>
      </w:r>
      <w:r w:rsidRPr="006D1D21">
        <w:rPr>
          <w:color w:val="212121"/>
          <w:sz w:val="17"/>
        </w:rPr>
        <w:t>report</w:t>
      </w:r>
      <w:r w:rsidRPr="006D1D21">
        <w:rPr>
          <w:color w:val="212121"/>
          <w:spacing w:val="-12"/>
          <w:sz w:val="17"/>
        </w:rPr>
        <w:t xml:space="preserve"> </w:t>
      </w:r>
      <w:r w:rsidRPr="006D1D21">
        <w:rPr>
          <w:color w:val="212121"/>
          <w:sz w:val="17"/>
        </w:rPr>
        <w:t>and</w:t>
      </w:r>
      <w:r w:rsidRPr="006D1D21">
        <w:rPr>
          <w:color w:val="212121"/>
          <w:spacing w:val="-11"/>
          <w:sz w:val="17"/>
        </w:rPr>
        <w:t xml:space="preserve"> </w:t>
      </w:r>
      <w:r w:rsidRPr="006D1D21">
        <w:rPr>
          <w:color w:val="212121"/>
          <w:sz w:val="17"/>
        </w:rPr>
        <w:t>systematic</w:t>
      </w:r>
      <w:r w:rsidRPr="006D1D21">
        <w:rPr>
          <w:color w:val="212121"/>
          <w:spacing w:val="-12"/>
          <w:sz w:val="17"/>
        </w:rPr>
        <w:t xml:space="preserve"> </w:t>
      </w:r>
      <w:r w:rsidRPr="006D1D21">
        <w:rPr>
          <w:color w:val="212121"/>
          <w:sz w:val="17"/>
        </w:rPr>
        <w:t>review.</w:t>
      </w:r>
      <w:r w:rsidRPr="006D1D21">
        <w:rPr>
          <w:color w:val="212121"/>
          <w:spacing w:val="-10"/>
          <w:sz w:val="17"/>
        </w:rPr>
        <w:t xml:space="preserve"> </w:t>
      </w:r>
      <w:r w:rsidRPr="006D1D21">
        <w:rPr>
          <w:rFonts w:ascii="Arial"/>
          <w:i/>
          <w:color w:val="212121"/>
          <w:sz w:val="17"/>
        </w:rPr>
        <w:t>Journal</w:t>
      </w:r>
      <w:r w:rsidRPr="006D1D21">
        <w:rPr>
          <w:rFonts w:ascii="Arial"/>
          <w:i/>
          <w:color w:val="212121"/>
          <w:spacing w:val="-12"/>
          <w:sz w:val="17"/>
        </w:rPr>
        <w:t xml:space="preserve"> </w:t>
      </w:r>
      <w:r w:rsidRPr="006D1D21">
        <w:rPr>
          <w:rFonts w:ascii="Arial"/>
          <w:i/>
          <w:color w:val="212121"/>
          <w:sz w:val="17"/>
        </w:rPr>
        <w:t>of</w:t>
      </w:r>
      <w:r w:rsidRPr="006D1D21">
        <w:rPr>
          <w:rFonts w:ascii="Arial"/>
          <w:i/>
          <w:color w:val="212121"/>
          <w:spacing w:val="-12"/>
          <w:sz w:val="17"/>
        </w:rPr>
        <w:t xml:space="preserve"> </w:t>
      </w:r>
      <w:r w:rsidRPr="006D1D21">
        <w:rPr>
          <w:rFonts w:ascii="Arial"/>
          <w:i/>
          <w:color w:val="212121"/>
          <w:sz w:val="17"/>
        </w:rPr>
        <w:t>Clinical Medicine</w:t>
      </w:r>
      <w:r w:rsidRPr="006D1D21">
        <w:rPr>
          <w:color w:val="212121"/>
          <w:sz w:val="17"/>
        </w:rPr>
        <w:t xml:space="preserve">, </w:t>
      </w:r>
      <w:r w:rsidRPr="006D1D21">
        <w:rPr>
          <w:rFonts w:ascii="Arial"/>
          <w:i/>
          <w:color w:val="212121"/>
          <w:sz w:val="17"/>
        </w:rPr>
        <w:t>12</w:t>
      </w:r>
      <w:r w:rsidRPr="006D1D21">
        <w:rPr>
          <w:color w:val="212121"/>
          <w:sz w:val="17"/>
        </w:rPr>
        <w:t xml:space="preserve">(11), 3608. </w:t>
      </w:r>
      <w:r w:rsidRPr="006D1D21">
        <w:rPr>
          <w:rFonts w:ascii="Cambria"/>
          <w:color w:val="202020"/>
          <w:sz w:val="17"/>
        </w:rPr>
        <w:t>PMC10253368.</w:t>
      </w:r>
    </w:p>
    <w:p w14:paraId="56C8171A" w14:textId="77777777" w:rsidR="002A190D" w:rsidRPr="006D1D21" w:rsidRDefault="00F865FC" w:rsidP="006D1D21">
      <w:pPr>
        <w:spacing w:line="194" w:lineRule="exact"/>
        <w:ind w:left="360"/>
        <w:rPr>
          <w:sz w:val="17"/>
        </w:rPr>
      </w:pPr>
      <w:hyperlink r:id="rId22">
        <w:r w:rsidR="00F30076" w:rsidRPr="006D1D21">
          <w:rPr>
            <w:color w:val="0000FF"/>
            <w:spacing w:val="-2"/>
            <w:sz w:val="17"/>
            <w:u w:val="single" w:color="0000FF"/>
          </w:rPr>
          <w:t>https://doi.org/10.3390/jcm12113608</w:t>
        </w:r>
      </w:hyperlink>
    </w:p>
    <w:p w14:paraId="552B15CA" w14:textId="77777777" w:rsidR="002A190D" w:rsidRPr="006D1D21" w:rsidRDefault="00F30076" w:rsidP="006D1D21">
      <w:pPr>
        <w:spacing w:before="29" w:line="297" w:lineRule="auto"/>
        <w:ind w:left="360" w:right="282"/>
        <w:rPr>
          <w:sz w:val="17"/>
        </w:rPr>
      </w:pPr>
      <w:proofErr w:type="spellStart"/>
      <w:r w:rsidRPr="006D1D21">
        <w:rPr>
          <w:color w:val="212121"/>
          <w:sz w:val="17"/>
        </w:rPr>
        <w:t>Abbastanira</w:t>
      </w:r>
      <w:proofErr w:type="spellEnd"/>
      <w:r w:rsidRPr="006D1D21">
        <w:rPr>
          <w:color w:val="212121"/>
          <w:sz w:val="17"/>
        </w:rPr>
        <w:t>,</w:t>
      </w:r>
      <w:r w:rsidRPr="006D1D21">
        <w:rPr>
          <w:color w:val="212121"/>
          <w:spacing w:val="-4"/>
          <w:sz w:val="17"/>
        </w:rPr>
        <w:t xml:space="preserve"> </w:t>
      </w:r>
      <w:r w:rsidRPr="006D1D21">
        <w:rPr>
          <w:color w:val="212121"/>
          <w:sz w:val="17"/>
        </w:rPr>
        <w:t>S.,</w:t>
      </w:r>
      <w:r w:rsidRPr="006D1D21">
        <w:rPr>
          <w:color w:val="212121"/>
          <w:spacing w:val="-5"/>
          <w:sz w:val="17"/>
        </w:rPr>
        <w:t xml:space="preserve"> </w:t>
      </w:r>
      <w:proofErr w:type="spellStart"/>
      <w:r w:rsidRPr="006D1D21">
        <w:rPr>
          <w:color w:val="212121"/>
          <w:sz w:val="17"/>
        </w:rPr>
        <w:t>Almarzouqi</w:t>
      </w:r>
      <w:proofErr w:type="spellEnd"/>
      <w:r w:rsidRPr="006D1D21">
        <w:rPr>
          <w:color w:val="212121"/>
          <w:sz w:val="17"/>
        </w:rPr>
        <w:t>,</w:t>
      </w:r>
      <w:r w:rsidRPr="006D1D21">
        <w:rPr>
          <w:color w:val="212121"/>
          <w:spacing w:val="-5"/>
          <w:sz w:val="17"/>
        </w:rPr>
        <w:t xml:space="preserve"> </w:t>
      </w:r>
      <w:r w:rsidRPr="006D1D21">
        <w:rPr>
          <w:color w:val="212121"/>
          <w:sz w:val="17"/>
        </w:rPr>
        <w:t>O.,</w:t>
      </w:r>
      <w:r w:rsidRPr="006D1D21">
        <w:rPr>
          <w:color w:val="212121"/>
          <w:spacing w:val="-5"/>
          <w:sz w:val="17"/>
        </w:rPr>
        <w:t xml:space="preserve"> </w:t>
      </w:r>
      <w:r w:rsidRPr="006D1D21">
        <w:rPr>
          <w:color w:val="212121"/>
          <w:sz w:val="17"/>
        </w:rPr>
        <w:t>Al</w:t>
      </w:r>
      <w:r w:rsidRPr="006D1D21">
        <w:rPr>
          <w:color w:val="212121"/>
          <w:spacing w:val="-1"/>
          <w:sz w:val="17"/>
        </w:rPr>
        <w:t xml:space="preserve"> </w:t>
      </w:r>
      <w:r w:rsidRPr="006D1D21">
        <w:rPr>
          <w:color w:val="212121"/>
          <w:sz w:val="17"/>
        </w:rPr>
        <w:t>Rawi,</w:t>
      </w:r>
      <w:r w:rsidRPr="006D1D21">
        <w:rPr>
          <w:color w:val="212121"/>
          <w:spacing w:val="-5"/>
          <w:sz w:val="17"/>
        </w:rPr>
        <w:t xml:space="preserve"> </w:t>
      </w:r>
      <w:r w:rsidRPr="006D1D21">
        <w:rPr>
          <w:color w:val="212121"/>
          <w:sz w:val="17"/>
        </w:rPr>
        <w:t>S.,</w:t>
      </w:r>
      <w:r w:rsidRPr="006D1D21">
        <w:rPr>
          <w:color w:val="212121"/>
          <w:spacing w:val="-5"/>
          <w:sz w:val="17"/>
        </w:rPr>
        <w:t xml:space="preserve"> </w:t>
      </w:r>
      <w:r w:rsidRPr="006D1D21">
        <w:rPr>
          <w:color w:val="212121"/>
          <w:sz w:val="17"/>
        </w:rPr>
        <w:t>Kannas,</w:t>
      </w:r>
      <w:r w:rsidRPr="006D1D21">
        <w:rPr>
          <w:color w:val="212121"/>
          <w:spacing w:val="-5"/>
          <w:sz w:val="17"/>
        </w:rPr>
        <w:t xml:space="preserve"> </w:t>
      </w:r>
      <w:r w:rsidRPr="006D1D21">
        <w:rPr>
          <w:color w:val="212121"/>
          <w:sz w:val="17"/>
        </w:rPr>
        <w:t>S.,</w:t>
      </w:r>
      <w:r w:rsidRPr="006D1D21">
        <w:rPr>
          <w:color w:val="212121"/>
          <w:spacing w:val="-5"/>
          <w:sz w:val="17"/>
        </w:rPr>
        <w:t xml:space="preserve"> </w:t>
      </w:r>
      <w:r w:rsidRPr="006D1D21">
        <w:rPr>
          <w:color w:val="212121"/>
          <w:sz w:val="17"/>
        </w:rPr>
        <w:t>Bashier,</w:t>
      </w:r>
      <w:r w:rsidRPr="006D1D21">
        <w:rPr>
          <w:color w:val="212121"/>
          <w:spacing w:val="-5"/>
          <w:sz w:val="17"/>
        </w:rPr>
        <w:t xml:space="preserve"> </w:t>
      </w:r>
      <w:r w:rsidRPr="006D1D21">
        <w:rPr>
          <w:color w:val="212121"/>
          <w:sz w:val="17"/>
        </w:rPr>
        <w:t>S.,</w:t>
      </w:r>
      <w:r w:rsidRPr="006D1D21">
        <w:rPr>
          <w:color w:val="212121"/>
          <w:spacing w:val="-5"/>
          <w:sz w:val="17"/>
        </w:rPr>
        <w:t xml:space="preserve"> </w:t>
      </w:r>
      <w:proofErr w:type="spellStart"/>
      <w:r w:rsidRPr="006D1D21">
        <w:rPr>
          <w:color w:val="212121"/>
          <w:sz w:val="17"/>
        </w:rPr>
        <w:t>Mrayyan</w:t>
      </w:r>
      <w:proofErr w:type="spellEnd"/>
      <w:r w:rsidRPr="006D1D21">
        <w:rPr>
          <w:color w:val="212121"/>
          <w:sz w:val="17"/>
        </w:rPr>
        <w:t>,</w:t>
      </w:r>
      <w:r w:rsidRPr="006D1D21">
        <w:rPr>
          <w:color w:val="212121"/>
          <w:spacing w:val="-4"/>
          <w:sz w:val="17"/>
        </w:rPr>
        <w:t xml:space="preserve"> </w:t>
      </w:r>
      <w:r w:rsidRPr="006D1D21">
        <w:rPr>
          <w:color w:val="212121"/>
          <w:sz w:val="17"/>
        </w:rPr>
        <w:t>H., et</w:t>
      </w:r>
      <w:r w:rsidRPr="006D1D21">
        <w:rPr>
          <w:color w:val="212121"/>
          <w:spacing w:val="-4"/>
          <w:sz w:val="17"/>
        </w:rPr>
        <w:t xml:space="preserve"> </w:t>
      </w:r>
      <w:r w:rsidRPr="006D1D21">
        <w:rPr>
          <w:color w:val="212121"/>
          <w:sz w:val="17"/>
        </w:rPr>
        <w:t>al.</w:t>
      </w:r>
      <w:r w:rsidRPr="006D1D21">
        <w:rPr>
          <w:color w:val="212121"/>
          <w:spacing w:val="-5"/>
          <w:sz w:val="17"/>
        </w:rPr>
        <w:t xml:space="preserve"> </w:t>
      </w:r>
      <w:r w:rsidRPr="006D1D21">
        <w:rPr>
          <w:color w:val="212121"/>
          <w:sz w:val="17"/>
        </w:rPr>
        <w:t>(2025).</w:t>
      </w:r>
      <w:r w:rsidRPr="006D1D21">
        <w:rPr>
          <w:color w:val="212121"/>
          <w:spacing w:val="-5"/>
          <w:sz w:val="17"/>
        </w:rPr>
        <w:t xml:space="preserve"> </w:t>
      </w:r>
      <w:r w:rsidRPr="006D1D21">
        <w:rPr>
          <w:color w:val="212121"/>
          <w:sz w:val="17"/>
        </w:rPr>
        <w:t>Surgical repair</w:t>
      </w:r>
      <w:r w:rsidRPr="006D1D21">
        <w:rPr>
          <w:color w:val="212121"/>
          <w:spacing w:val="-4"/>
          <w:sz w:val="17"/>
        </w:rPr>
        <w:t xml:space="preserve"> </w:t>
      </w:r>
      <w:r w:rsidRPr="006D1D21">
        <w:rPr>
          <w:color w:val="212121"/>
          <w:sz w:val="17"/>
        </w:rPr>
        <w:t>of</w:t>
      </w:r>
      <w:r w:rsidRPr="006D1D21">
        <w:rPr>
          <w:color w:val="212121"/>
          <w:spacing w:val="-4"/>
          <w:sz w:val="17"/>
        </w:rPr>
        <w:t xml:space="preserve"> </w:t>
      </w:r>
      <w:r w:rsidRPr="006D1D21">
        <w:rPr>
          <w:color w:val="212121"/>
          <w:sz w:val="17"/>
        </w:rPr>
        <w:t>large</w:t>
      </w:r>
      <w:r w:rsidRPr="006D1D21">
        <w:rPr>
          <w:color w:val="212121"/>
          <w:spacing w:val="-2"/>
          <w:sz w:val="17"/>
        </w:rPr>
        <w:t xml:space="preserve"> </w:t>
      </w:r>
      <w:r w:rsidRPr="006D1D21">
        <w:rPr>
          <w:color w:val="212121"/>
          <w:sz w:val="17"/>
        </w:rPr>
        <w:t xml:space="preserve">adult </w:t>
      </w:r>
      <w:proofErr w:type="spellStart"/>
      <w:r w:rsidRPr="006D1D21">
        <w:rPr>
          <w:color w:val="212121"/>
          <w:sz w:val="17"/>
        </w:rPr>
        <w:t>Bochdalek</w:t>
      </w:r>
      <w:proofErr w:type="spellEnd"/>
      <w:r w:rsidRPr="006D1D21">
        <w:rPr>
          <w:color w:val="212121"/>
          <w:sz w:val="17"/>
        </w:rPr>
        <w:t xml:space="preserve"> hernia: Case series and literature review. </w:t>
      </w:r>
      <w:r w:rsidRPr="006D1D21">
        <w:rPr>
          <w:rFonts w:ascii="Arial"/>
          <w:i/>
          <w:color w:val="212121"/>
          <w:sz w:val="17"/>
        </w:rPr>
        <w:t>Frontiers in Surgery</w:t>
      </w:r>
      <w:r w:rsidRPr="006D1D21">
        <w:rPr>
          <w:color w:val="212121"/>
          <w:sz w:val="17"/>
        </w:rPr>
        <w:t xml:space="preserve">, </w:t>
      </w:r>
      <w:r w:rsidRPr="006D1D21">
        <w:rPr>
          <w:rFonts w:ascii="Arial"/>
          <w:i/>
          <w:color w:val="212121"/>
          <w:sz w:val="17"/>
        </w:rPr>
        <w:t>12</w:t>
      </w:r>
      <w:r w:rsidRPr="006D1D21">
        <w:rPr>
          <w:color w:val="212121"/>
          <w:sz w:val="17"/>
        </w:rPr>
        <w:t xml:space="preserve">, 1713049. </w:t>
      </w:r>
      <w:hyperlink r:id="rId23">
        <w:r w:rsidRPr="006D1D21">
          <w:rPr>
            <w:color w:val="0000FF"/>
            <w:spacing w:val="-2"/>
            <w:sz w:val="17"/>
            <w:u w:val="single" w:color="0000FF"/>
          </w:rPr>
          <w:t>https://doi.org/10.3389/fsurg.2025.1713049</w:t>
        </w:r>
      </w:hyperlink>
    </w:p>
    <w:p w14:paraId="70EFBBF3" w14:textId="77777777" w:rsidR="002A190D" w:rsidRPr="006D1D21" w:rsidRDefault="00F30076" w:rsidP="006D1D21">
      <w:pPr>
        <w:spacing w:line="295" w:lineRule="auto"/>
        <w:ind w:left="360" w:right="357"/>
        <w:jc w:val="both"/>
        <w:rPr>
          <w:sz w:val="17"/>
        </w:rPr>
      </w:pPr>
      <w:proofErr w:type="spellStart"/>
      <w:r w:rsidRPr="006D1D21">
        <w:rPr>
          <w:color w:val="212121"/>
          <w:sz w:val="17"/>
        </w:rPr>
        <w:t>Masuya</w:t>
      </w:r>
      <w:proofErr w:type="spellEnd"/>
      <w:r w:rsidRPr="006D1D21">
        <w:rPr>
          <w:color w:val="212121"/>
          <w:sz w:val="17"/>
        </w:rPr>
        <w:t xml:space="preserve">, R., </w:t>
      </w:r>
      <w:proofErr w:type="spellStart"/>
      <w:r w:rsidRPr="006D1D21">
        <w:rPr>
          <w:color w:val="212121"/>
          <w:sz w:val="17"/>
        </w:rPr>
        <w:t>Nakame</w:t>
      </w:r>
      <w:proofErr w:type="spellEnd"/>
      <w:r w:rsidRPr="006D1D21">
        <w:rPr>
          <w:color w:val="212121"/>
          <w:sz w:val="17"/>
        </w:rPr>
        <w:t>, K., Munakata, S., Takeno, S., Nanashima, A., &amp; Ieiri, S. (2024). A case of late-presenting congenital diaphragmatic</w:t>
      </w:r>
      <w:r w:rsidRPr="006D1D21">
        <w:rPr>
          <w:color w:val="212121"/>
          <w:spacing w:val="-2"/>
          <w:sz w:val="17"/>
        </w:rPr>
        <w:t xml:space="preserve"> </w:t>
      </w:r>
      <w:r w:rsidRPr="006D1D21">
        <w:rPr>
          <w:color w:val="212121"/>
          <w:sz w:val="17"/>
        </w:rPr>
        <w:t>hernia</w:t>
      </w:r>
      <w:r w:rsidRPr="006D1D21">
        <w:rPr>
          <w:color w:val="212121"/>
          <w:spacing w:val="-1"/>
          <w:sz w:val="17"/>
        </w:rPr>
        <w:t xml:space="preserve"> </w:t>
      </w:r>
      <w:r w:rsidRPr="006D1D21">
        <w:rPr>
          <w:color w:val="212121"/>
          <w:sz w:val="17"/>
        </w:rPr>
        <w:t>diagnosed</w:t>
      </w:r>
      <w:r w:rsidRPr="006D1D21">
        <w:rPr>
          <w:color w:val="212121"/>
          <w:spacing w:val="-1"/>
          <w:sz w:val="17"/>
        </w:rPr>
        <w:t xml:space="preserve"> </w:t>
      </w:r>
      <w:r w:rsidRPr="006D1D21">
        <w:rPr>
          <w:color w:val="212121"/>
          <w:sz w:val="17"/>
        </w:rPr>
        <w:t>at</w:t>
      </w:r>
      <w:r w:rsidRPr="006D1D21">
        <w:rPr>
          <w:color w:val="212121"/>
          <w:spacing w:val="-3"/>
          <w:sz w:val="17"/>
        </w:rPr>
        <w:t xml:space="preserve"> </w:t>
      </w:r>
      <w:r w:rsidRPr="006D1D21">
        <w:rPr>
          <w:color w:val="212121"/>
          <w:sz w:val="17"/>
        </w:rPr>
        <w:t>5</w:t>
      </w:r>
      <w:r w:rsidRPr="006D1D21">
        <w:rPr>
          <w:color w:val="212121"/>
          <w:spacing w:val="-1"/>
          <w:sz w:val="17"/>
        </w:rPr>
        <w:t xml:space="preserve"> </w:t>
      </w:r>
      <w:r w:rsidRPr="006D1D21">
        <w:rPr>
          <w:color w:val="212121"/>
          <w:sz w:val="17"/>
        </w:rPr>
        <w:t>years</w:t>
      </w:r>
      <w:r w:rsidRPr="006D1D21">
        <w:rPr>
          <w:color w:val="212121"/>
          <w:spacing w:val="-2"/>
          <w:sz w:val="17"/>
        </w:rPr>
        <w:t xml:space="preserve"> </w:t>
      </w:r>
      <w:r w:rsidRPr="006D1D21">
        <w:rPr>
          <w:color w:val="212121"/>
          <w:sz w:val="17"/>
        </w:rPr>
        <w:t>with</w:t>
      </w:r>
      <w:r w:rsidRPr="006D1D21">
        <w:rPr>
          <w:color w:val="212121"/>
          <w:spacing w:val="-1"/>
          <w:sz w:val="17"/>
        </w:rPr>
        <w:t xml:space="preserve"> </w:t>
      </w:r>
      <w:r w:rsidRPr="006D1D21">
        <w:rPr>
          <w:color w:val="212121"/>
          <w:sz w:val="17"/>
        </w:rPr>
        <w:t xml:space="preserve">acute abdomen. </w:t>
      </w:r>
      <w:r w:rsidRPr="006D1D21">
        <w:rPr>
          <w:rFonts w:ascii="Arial"/>
          <w:i/>
          <w:color w:val="212121"/>
          <w:sz w:val="17"/>
        </w:rPr>
        <w:t>Surgical Case</w:t>
      </w:r>
      <w:r w:rsidRPr="006D1D21">
        <w:rPr>
          <w:rFonts w:ascii="Arial"/>
          <w:i/>
          <w:color w:val="212121"/>
          <w:spacing w:val="-1"/>
          <w:sz w:val="17"/>
        </w:rPr>
        <w:t xml:space="preserve"> </w:t>
      </w:r>
      <w:r w:rsidRPr="006D1D21">
        <w:rPr>
          <w:rFonts w:ascii="Arial"/>
          <w:i/>
          <w:color w:val="212121"/>
          <w:sz w:val="17"/>
        </w:rPr>
        <w:t>Reports</w:t>
      </w:r>
      <w:r w:rsidRPr="006D1D21">
        <w:rPr>
          <w:color w:val="212121"/>
          <w:sz w:val="17"/>
        </w:rPr>
        <w:t>,</w:t>
      </w:r>
      <w:r w:rsidRPr="006D1D21">
        <w:rPr>
          <w:color w:val="212121"/>
          <w:spacing w:val="-4"/>
          <w:sz w:val="17"/>
        </w:rPr>
        <w:t xml:space="preserve"> </w:t>
      </w:r>
      <w:r w:rsidRPr="006D1D21">
        <w:rPr>
          <w:rFonts w:ascii="Arial"/>
          <w:i/>
          <w:color w:val="212121"/>
          <w:sz w:val="17"/>
        </w:rPr>
        <w:t>10</w:t>
      </w:r>
      <w:r w:rsidRPr="006D1D21">
        <w:rPr>
          <w:color w:val="212121"/>
          <w:sz w:val="17"/>
        </w:rPr>
        <w:t>(1), 177.</w:t>
      </w:r>
      <w:r w:rsidRPr="006D1D21">
        <w:rPr>
          <w:color w:val="212121"/>
          <w:spacing w:val="-3"/>
          <w:sz w:val="17"/>
        </w:rPr>
        <w:t xml:space="preserve"> </w:t>
      </w:r>
      <w:r w:rsidRPr="006D1D21">
        <w:rPr>
          <w:rFonts w:ascii="Consolas"/>
          <w:color w:val="1B1B1B"/>
          <w:sz w:val="17"/>
        </w:rPr>
        <w:t xml:space="preserve">PMCID: PMC11289203. </w:t>
      </w:r>
      <w:hyperlink r:id="rId24">
        <w:r w:rsidRPr="006D1D21">
          <w:rPr>
            <w:color w:val="0000FF"/>
            <w:spacing w:val="-2"/>
            <w:sz w:val="17"/>
            <w:u w:val="single" w:color="0000FF"/>
          </w:rPr>
          <w:t>https://doi.org/10.1186/s40792-024-01980-0</w:t>
        </w:r>
      </w:hyperlink>
    </w:p>
    <w:p w14:paraId="380A43C0" w14:textId="77777777" w:rsidR="002A190D" w:rsidRPr="006D1D21" w:rsidRDefault="00F30076" w:rsidP="006D1D21">
      <w:pPr>
        <w:spacing w:before="5" w:line="271" w:lineRule="auto"/>
        <w:ind w:left="360" w:right="351"/>
        <w:jc w:val="both"/>
        <w:rPr>
          <w:rFonts w:ascii="Cambria"/>
          <w:sz w:val="17"/>
        </w:rPr>
      </w:pPr>
      <w:r w:rsidRPr="006D1D21">
        <w:rPr>
          <w:color w:val="212121"/>
          <w:sz w:val="17"/>
        </w:rPr>
        <w:t>Sarac,</w:t>
      </w:r>
      <w:r w:rsidRPr="006D1D21">
        <w:rPr>
          <w:color w:val="212121"/>
          <w:spacing w:val="-8"/>
          <w:sz w:val="17"/>
        </w:rPr>
        <w:t xml:space="preserve"> </w:t>
      </w:r>
      <w:r w:rsidRPr="006D1D21">
        <w:rPr>
          <w:color w:val="212121"/>
          <w:sz w:val="17"/>
        </w:rPr>
        <w:t>M.,</w:t>
      </w:r>
      <w:r w:rsidRPr="006D1D21">
        <w:rPr>
          <w:color w:val="212121"/>
          <w:spacing w:val="-3"/>
          <w:sz w:val="17"/>
        </w:rPr>
        <w:t xml:space="preserve"> </w:t>
      </w:r>
      <w:r w:rsidRPr="006D1D21">
        <w:rPr>
          <w:color w:val="212121"/>
          <w:sz w:val="17"/>
        </w:rPr>
        <w:t>Bakal,</w:t>
      </w:r>
      <w:r w:rsidRPr="006D1D21">
        <w:rPr>
          <w:color w:val="212121"/>
          <w:spacing w:val="-9"/>
          <w:sz w:val="17"/>
        </w:rPr>
        <w:t xml:space="preserve"> </w:t>
      </w:r>
      <w:r w:rsidRPr="006D1D21">
        <w:rPr>
          <w:color w:val="212121"/>
          <w:sz w:val="17"/>
        </w:rPr>
        <w:t>U.,</w:t>
      </w:r>
      <w:r w:rsidRPr="006D1D21">
        <w:rPr>
          <w:color w:val="212121"/>
          <w:spacing w:val="-9"/>
          <w:sz w:val="17"/>
        </w:rPr>
        <w:t xml:space="preserve"> </w:t>
      </w:r>
      <w:r w:rsidRPr="006D1D21">
        <w:rPr>
          <w:color w:val="212121"/>
          <w:sz w:val="17"/>
        </w:rPr>
        <w:t>Tartar,</w:t>
      </w:r>
      <w:r w:rsidRPr="006D1D21">
        <w:rPr>
          <w:color w:val="212121"/>
          <w:spacing w:val="-9"/>
          <w:sz w:val="17"/>
        </w:rPr>
        <w:t xml:space="preserve"> </w:t>
      </w:r>
      <w:r w:rsidRPr="006D1D21">
        <w:rPr>
          <w:color w:val="212121"/>
          <w:sz w:val="17"/>
        </w:rPr>
        <w:t>T.,</w:t>
      </w:r>
      <w:r w:rsidRPr="006D1D21">
        <w:rPr>
          <w:color w:val="212121"/>
          <w:spacing w:val="-9"/>
          <w:sz w:val="17"/>
        </w:rPr>
        <w:t xml:space="preserve"> </w:t>
      </w:r>
      <w:r w:rsidRPr="006D1D21">
        <w:rPr>
          <w:color w:val="212121"/>
          <w:sz w:val="17"/>
        </w:rPr>
        <w:t>Canpolat,</w:t>
      </w:r>
      <w:r w:rsidRPr="006D1D21">
        <w:rPr>
          <w:color w:val="212121"/>
          <w:spacing w:val="-9"/>
          <w:sz w:val="17"/>
        </w:rPr>
        <w:t xml:space="preserve"> </w:t>
      </w:r>
      <w:r w:rsidRPr="006D1D21">
        <w:rPr>
          <w:color w:val="212121"/>
          <w:sz w:val="17"/>
        </w:rPr>
        <w:t>S.,</w:t>
      </w:r>
      <w:r w:rsidRPr="006D1D21">
        <w:rPr>
          <w:color w:val="212121"/>
          <w:spacing w:val="-9"/>
          <w:sz w:val="17"/>
        </w:rPr>
        <w:t xml:space="preserve"> </w:t>
      </w:r>
      <w:r w:rsidRPr="006D1D21">
        <w:rPr>
          <w:color w:val="212121"/>
          <w:sz w:val="17"/>
        </w:rPr>
        <w:t>Kara,</w:t>
      </w:r>
      <w:r w:rsidRPr="006D1D21">
        <w:rPr>
          <w:color w:val="212121"/>
          <w:spacing w:val="-9"/>
          <w:sz w:val="17"/>
        </w:rPr>
        <w:t xml:space="preserve"> </w:t>
      </w:r>
      <w:r w:rsidRPr="006D1D21">
        <w:rPr>
          <w:color w:val="212121"/>
          <w:sz w:val="17"/>
        </w:rPr>
        <w:t>A.,</w:t>
      </w:r>
      <w:r w:rsidRPr="006D1D21">
        <w:rPr>
          <w:color w:val="212121"/>
          <w:spacing w:val="-9"/>
          <w:sz w:val="17"/>
        </w:rPr>
        <w:t xml:space="preserve"> </w:t>
      </w:r>
      <w:r w:rsidRPr="006D1D21">
        <w:rPr>
          <w:color w:val="212121"/>
          <w:sz w:val="17"/>
        </w:rPr>
        <w:t>&amp;</w:t>
      </w:r>
      <w:r w:rsidRPr="006D1D21">
        <w:rPr>
          <w:color w:val="212121"/>
          <w:spacing w:val="-4"/>
          <w:sz w:val="17"/>
        </w:rPr>
        <w:t xml:space="preserve"> </w:t>
      </w:r>
      <w:r w:rsidRPr="006D1D21">
        <w:rPr>
          <w:color w:val="212121"/>
          <w:sz w:val="17"/>
        </w:rPr>
        <w:t>Kazez,</w:t>
      </w:r>
      <w:r w:rsidRPr="006D1D21">
        <w:rPr>
          <w:color w:val="212121"/>
          <w:spacing w:val="-3"/>
          <w:sz w:val="17"/>
        </w:rPr>
        <w:t xml:space="preserve"> </w:t>
      </w:r>
      <w:r w:rsidRPr="006D1D21">
        <w:rPr>
          <w:color w:val="212121"/>
          <w:sz w:val="17"/>
        </w:rPr>
        <w:t>A.</w:t>
      </w:r>
      <w:r w:rsidRPr="006D1D21">
        <w:rPr>
          <w:color w:val="212121"/>
          <w:spacing w:val="-3"/>
          <w:sz w:val="17"/>
        </w:rPr>
        <w:t xml:space="preserve"> </w:t>
      </w:r>
      <w:r w:rsidRPr="006D1D21">
        <w:rPr>
          <w:color w:val="212121"/>
          <w:sz w:val="17"/>
        </w:rPr>
        <w:t>(2018).</w:t>
      </w:r>
      <w:r w:rsidRPr="006D1D21">
        <w:rPr>
          <w:color w:val="212121"/>
          <w:spacing w:val="-9"/>
          <w:sz w:val="17"/>
        </w:rPr>
        <w:t xml:space="preserve"> </w:t>
      </w:r>
      <w:proofErr w:type="spellStart"/>
      <w:r w:rsidRPr="006D1D21">
        <w:rPr>
          <w:color w:val="212121"/>
          <w:sz w:val="17"/>
        </w:rPr>
        <w:t>Bochdalek</w:t>
      </w:r>
      <w:proofErr w:type="spellEnd"/>
      <w:r w:rsidRPr="006D1D21">
        <w:rPr>
          <w:color w:val="212121"/>
          <w:spacing w:val="-5"/>
          <w:sz w:val="17"/>
        </w:rPr>
        <w:t xml:space="preserve"> </w:t>
      </w:r>
      <w:r w:rsidRPr="006D1D21">
        <w:rPr>
          <w:color w:val="212121"/>
          <w:sz w:val="17"/>
        </w:rPr>
        <w:t>hernia</w:t>
      </w:r>
      <w:r w:rsidRPr="006D1D21">
        <w:rPr>
          <w:color w:val="212121"/>
          <w:spacing w:val="-5"/>
          <w:sz w:val="17"/>
        </w:rPr>
        <w:t xml:space="preserve"> </w:t>
      </w:r>
      <w:r w:rsidRPr="006D1D21">
        <w:rPr>
          <w:color w:val="212121"/>
          <w:sz w:val="17"/>
        </w:rPr>
        <w:t>and</w:t>
      </w:r>
      <w:r w:rsidRPr="006D1D21">
        <w:rPr>
          <w:color w:val="212121"/>
          <w:spacing w:val="-5"/>
          <w:sz w:val="17"/>
        </w:rPr>
        <w:t xml:space="preserve"> </w:t>
      </w:r>
      <w:r w:rsidRPr="006D1D21">
        <w:rPr>
          <w:color w:val="212121"/>
          <w:sz w:val="17"/>
        </w:rPr>
        <w:t>intrathoracic</w:t>
      </w:r>
      <w:r w:rsidRPr="006D1D21">
        <w:rPr>
          <w:color w:val="212121"/>
          <w:spacing w:val="-7"/>
          <w:sz w:val="17"/>
        </w:rPr>
        <w:t xml:space="preserve"> </w:t>
      </w:r>
      <w:r w:rsidRPr="006D1D21">
        <w:rPr>
          <w:color w:val="212121"/>
          <w:sz w:val="17"/>
        </w:rPr>
        <w:t>ectopic</w:t>
      </w:r>
      <w:r w:rsidRPr="006D1D21">
        <w:rPr>
          <w:color w:val="212121"/>
          <w:spacing w:val="-7"/>
          <w:sz w:val="17"/>
        </w:rPr>
        <w:t xml:space="preserve"> </w:t>
      </w:r>
      <w:r w:rsidRPr="006D1D21">
        <w:rPr>
          <w:color w:val="212121"/>
          <w:sz w:val="17"/>
        </w:rPr>
        <w:t xml:space="preserve">kidney: Presentation of two case reports and review of the literature. </w:t>
      </w:r>
      <w:r w:rsidRPr="006D1D21">
        <w:rPr>
          <w:rFonts w:ascii="Arial"/>
          <w:i/>
          <w:color w:val="212121"/>
          <w:sz w:val="17"/>
        </w:rPr>
        <w:t>Nigerian journal of clinical practice</w:t>
      </w:r>
      <w:r w:rsidRPr="006D1D21">
        <w:rPr>
          <w:color w:val="212121"/>
          <w:sz w:val="17"/>
        </w:rPr>
        <w:t xml:space="preserve">, </w:t>
      </w:r>
      <w:r w:rsidRPr="006D1D21">
        <w:rPr>
          <w:rFonts w:ascii="Arial"/>
          <w:i/>
          <w:color w:val="212121"/>
          <w:sz w:val="17"/>
        </w:rPr>
        <w:t>21</w:t>
      </w:r>
      <w:r w:rsidRPr="006D1D21">
        <w:rPr>
          <w:color w:val="212121"/>
          <w:sz w:val="17"/>
        </w:rPr>
        <w:t xml:space="preserve">(5), 681-686. </w:t>
      </w:r>
      <w:r w:rsidRPr="006D1D21">
        <w:rPr>
          <w:rFonts w:ascii="Cambria"/>
          <w:color w:val="202020"/>
          <w:sz w:val="17"/>
        </w:rPr>
        <w:t>PMID:</w:t>
      </w:r>
      <w:r w:rsidRPr="006D1D21">
        <w:rPr>
          <w:rFonts w:ascii="Cambria"/>
          <w:color w:val="202020"/>
          <w:spacing w:val="40"/>
          <w:sz w:val="17"/>
        </w:rPr>
        <w:t xml:space="preserve"> </w:t>
      </w:r>
      <w:r w:rsidRPr="006D1D21">
        <w:rPr>
          <w:rFonts w:ascii="Cambria"/>
          <w:color w:val="202020"/>
          <w:spacing w:val="-2"/>
          <w:sz w:val="17"/>
        </w:rPr>
        <w:t>29735873.</w:t>
      </w:r>
    </w:p>
    <w:p w14:paraId="7CD5FAEE" w14:textId="77777777" w:rsidR="002A190D" w:rsidRPr="006D1D21" w:rsidRDefault="00F865FC" w:rsidP="006D1D21">
      <w:pPr>
        <w:spacing w:before="8"/>
        <w:ind w:left="360"/>
        <w:rPr>
          <w:sz w:val="17"/>
        </w:rPr>
      </w:pPr>
      <w:hyperlink r:id="rId25">
        <w:r w:rsidR="00F30076" w:rsidRPr="006D1D21">
          <w:rPr>
            <w:color w:val="0000FF"/>
            <w:spacing w:val="-2"/>
            <w:sz w:val="17"/>
            <w:u w:val="single" w:color="0000FF"/>
          </w:rPr>
          <w:t>http://doi.org/10.4103/njcp.njcp_217_17</w:t>
        </w:r>
      </w:hyperlink>
    </w:p>
    <w:p w14:paraId="38088907" w14:textId="77777777" w:rsidR="002A190D" w:rsidRPr="006D1D21" w:rsidRDefault="00F30076" w:rsidP="006D1D21">
      <w:pPr>
        <w:spacing w:before="30" w:line="276" w:lineRule="auto"/>
        <w:ind w:left="360"/>
        <w:rPr>
          <w:sz w:val="17"/>
        </w:rPr>
      </w:pPr>
      <w:r w:rsidRPr="006D1D21">
        <w:rPr>
          <w:color w:val="212121"/>
          <w:sz w:val="17"/>
        </w:rPr>
        <w:t>Mustafa</w:t>
      </w:r>
      <w:r w:rsidRPr="006D1D21">
        <w:rPr>
          <w:color w:val="212121"/>
          <w:spacing w:val="-3"/>
          <w:sz w:val="17"/>
        </w:rPr>
        <w:t xml:space="preserve"> </w:t>
      </w:r>
      <w:r w:rsidRPr="006D1D21">
        <w:rPr>
          <w:color w:val="212121"/>
          <w:sz w:val="17"/>
        </w:rPr>
        <w:t>Y,</w:t>
      </w:r>
      <w:r w:rsidRPr="006D1D21">
        <w:rPr>
          <w:color w:val="212121"/>
          <w:spacing w:val="-6"/>
          <w:sz w:val="17"/>
        </w:rPr>
        <w:t xml:space="preserve"> </w:t>
      </w:r>
      <w:r w:rsidRPr="006D1D21">
        <w:rPr>
          <w:color w:val="212121"/>
          <w:sz w:val="17"/>
        </w:rPr>
        <w:t>Zaher</w:t>
      </w:r>
      <w:r w:rsidRPr="006D1D21">
        <w:rPr>
          <w:color w:val="212121"/>
          <w:spacing w:val="-5"/>
          <w:sz w:val="17"/>
        </w:rPr>
        <w:t xml:space="preserve"> </w:t>
      </w:r>
      <w:r w:rsidRPr="006D1D21">
        <w:rPr>
          <w:color w:val="212121"/>
          <w:sz w:val="17"/>
        </w:rPr>
        <w:t>A,</w:t>
      </w:r>
      <w:r w:rsidRPr="006D1D21">
        <w:rPr>
          <w:color w:val="212121"/>
          <w:spacing w:val="-1"/>
          <w:sz w:val="17"/>
        </w:rPr>
        <w:t xml:space="preserve"> </w:t>
      </w:r>
      <w:proofErr w:type="spellStart"/>
      <w:r w:rsidRPr="006D1D21">
        <w:rPr>
          <w:color w:val="212121"/>
          <w:sz w:val="17"/>
        </w:rPr>
        <w:t>Alkhaled</w:t>
      </w:r>
      <w:proofErr w:type="spellEnd"/>
      <w:r w:rsidRPr="006D1D21">
        <w:rPr>
          <w:color w:val="212121"/>
          <w:spacing w:val="-3"/>
          <w:sz w:val="17"/>
        </w:rPr>
        <w:t xml:space="preserve"> </w:t>
      </w:r>
      <w:r w:rsidRPr="006D1D21">
        <w:rPr>
          <w:color w:val="212121"/>
          <w:sz w:val="17"/>
        </w:rPr>
        <w:t>H.</w:t>
      </w:r>
      <w:r w:rsidRPr="006D1D21">
        <w:rPr>
          <w:color w:val="212121"/>
          <w:spacing w:val="-6"/>
          <w:sz w:val="17"/>
        </w:rPr>
        <w:t xml:space="preserve"> </w:t>
      </w:r>
      <w:r w:rsidRPr="006D1D21">
        <w:rPr>
          <w:color w:val="212121"/>
          <w:sz w:val="17"/>
        </w:rPr>
        <w:t>Intrathoracic</w:t>
      </w:r>
      <w:r w:rsidRPr="006D1D21">
        <w:rPr>
          <w:color w:val="212121"/>
          <w:spacing w:val="-4"/>
          <w:sz w:val="17"/>
        </w:rPr>
        <w:t xml:space="preserve"> </w:t>
      </w:r>
      <w:r w:rsidRPr="006D1D21">
        <w:rPr>
          <w:color w:val="212121"/>
          <w:sz w:val="17"/>
        </w:rPr>
        <w:t>ectopic</w:t>
      </w:r>
      <w:r w:rsidRPr="006D1D21">
        <w:rPr>
          <w:color w:val="212121"/>
          <w:spacing w:val="-4"/>
          <w:sz w:val="17"/>
        </w:rPr>
        <w:t xml:space="preserve"> </w:t>
      </w:r>
      <w:r w:rsidRPr="006D1D21">
        <w:rPr>
          <w:color w:val="212121"/>
          <w:sz w:val="17"/>
        </w:rPr>
        <w:t>kidney:</w:t>
      </w:r>
      <w:r w:rsidRPr="006D1D21">
        <w:rPr>
          <w:color w:val="212121"/>
          <w:spacing w:val="-5"/>
          <w:sz w:val="17"/>
        </w:rPr>
        <w:t xml:space="preserve"> </w:t>
      </w:r>
      <w:r w:rsidRPr="006D1D21">
        <w:rPr>
          <w:color w:val="212121"/>
          <w:sz w:val="17"/>
        </w:rPr>
        <w:t>surgical</w:t>
      </w:r>
      <w:r w:rsidRPr="006D1D21">
        <w:rPr>
          <w:color w:val="212121"/>
          <w:spacing w:val="-1"/>
          <w:sz w:val="17"/>
        </w:rPr>
        <w:t xml:space="preserve"> </w:t>
      </w:r>
      <w:r w:rsidRPr="006D1D21">
        <w:rPr>
          <w:color w:val="212121"/>
          <w:sz w:val="17"/>
        </w:rPr>
        <w:t>intervention</w:t>
      </w:r>
      <w:r w:rsidRPr="006D1D21">
        <w:rPr>
          <w:color w:val="212121"/>
          <w:spacing w:val="-3"/>
          <w:sz w:val="17"/>
        </w:rPr>
        <w:t xml:space="preserve"> </w:t>
      </w:r>
      <w:r w:rsidRPr="006D1D21">
        <w:rPr>
          <w:color w:val="212121"/>
          <w:sz w:val="17"/>
        </w:rPr>
        <w:t>and</w:t>
      </w:r>
      <w:r w:rsidRPr="006D1D21">
        <w:rPr>
          <w:color w:val="212121"/>
          <w:spacing w:val="-3"/>
          <w:sz w:val="17"/>
        </w:rPr>
        <w:t xml:space="preserve"> </w:t>
      </w:r>
      <w:r w:rsidRPr="006D1D21">
        <w:rPr>
          <w:color w:val="212121"/>
          <w:sz w:val="17"/>
        </w:rPr>
        <w:t>its</w:t>
      </w:r>
      <w:r w:rsidRPr="006D1D21">
        <w:rPr>
          <w:color w:val="212121"/>
          <w:spacing w:val="-4"/>
          <w:sz w:val="17"/>
        </w:rPr>
        <w:t xml:space="preserve"> </w:t>
      </w:r>
      <w:r w:rsidRPr="006D1D21">
        <w:rPr>
          <w:color w:val="212121"/>
          <w:sz w:val="17"/>
        </w:rPr>
        <w:t>consequences.</w:t>
      </w:r>
      <w:r w:rsidRPr="006D1D21">
        <w:rPr>
          <w:color w:val="212121"/>
          <w:spacing w:val="-6"/>
          <w:sz w:val="17"/>
        </w:rPr>
        <w:t xml:space="preserve"> </w:t>
      </w:r>
      <w:r w:rsidRPr="006D1D21">
        <w:rPr>
          <w:color w:val="212121"/>
          <w:sz w:val="17"/>
        </w:rPr>
        <w:t>Journal</w:t>
      </w:r>
      <w:r w:rsidRPr="006D1D21">
        <w:rPr>
          <w:color w:val="212121"/>
          <w:spacing w:val="-2"/>
          <w:sz w:val="17"/>
        </w:rPr>
        <w:t xml:space="preserve"> </w:t>
      </w:r>
      <w:r w:rsidRPr="006D1D21">
        <w:rPr>
          <w:color w:val="212121"/>
          <w:sz w:val="17"/>
        </w:rPr>
        <w:t>of</w:t>
      </w:r>
      <w:r w:rsidRPr="006D1D21">
        <w:rPr>
          <w:color w:val="212121"/>
          <w:spacing w:val="-5"/>
          <w:sz w:val="17"/>
        </w:rPr>
        <w:t xml:space="preserve"> </w:t>
      </w:r>
      <w:r w:rsidRPr="006D1D21">
        <w:rPr>
          <w:color w:val="212121"/>
          <w:sz w:val="17"/>
        </w:rPr>
        <w:t xml:space="preserve">Pediatric Surgery Case Reports. 2022 Sep </w:t>
      </w:r>
      <w:proofErr w:type="gramStart"/>
      <w:r w:rsidRPr="006D1D21">
        <w:rPr>
          <w:color w:val="212121"/>
          <w:sz w:val="17"/>
        </w:rPr>
        <w:t>1;84:102371</w:t>
      </w:r>
      <w:proofErr w:type="gramEnd"/>
      <w:r w:rsidRPr="006D1D21">
        <w:rPr>
          <w:color w:val="212121"/>
          <w:sz w:val="17"/>
        </w:rPr>
        <w:t>.</w:t>
      </w:r>
    </w:p>
    <w:p w14:paraId="3A7DA217" w14:textId="77777777" w:rsidR="002A190D" w:rsidRPr="006D1D21" w:rsidRDefault="00F865FC" w:rsidP="006D1D21">
      <w:pPr>
        <w:spacing w:before="1"/>
        <w:ind w:left="360"/>
        <w:rPr>
          <w:sz w:val="17"/>
        </w:rPr>
      </w:pPr>
      <w:hyperlink r:id="rId26">
        <w:r w:rsidR="00F30076" w:rsidRPr="006D1D21">
          <w:rPr>
            <w:color w:val="0171B0"/>
            <w:spacing w:val="-2"/>
            <w:sz w:val="17"/>
            <w:u w:val="single" w:color="0171B0"/>
          </w:rPr>
          <w:t>https://doi.org/10.1016/j.epsc.2022.102371</w:t>
        </w:r>
      </w:hyperlink>
    </w:p>
    <w:p w14:paraId="00C03050" w14:textId="77777777" w:rsidR="002A190D" w:rsidRDefault="00F30076" w:rsidP="006D1D21">
      <w:pPr>
        <w:spacing w:before="29" w:line="276" w:lineRule="auto"/>
        <w:ind w:left="360" w:right="350"/>
        <w:jc w:val="both"/>
      </w:pPr>
      <w:r w:rsidRPr="006D1D21">
        <w:rPr>
          <w:color w:val="212121"/>
          <w:sz w:val="17"/>
        </w:rPr>
        <w:t>Schnell,</w:t>
      </w:r>
      <w:r w:rsidRPr="006D1D21">
        <w:rPr>
          <w:color w:val="212121"/>
          <w:spacing w:val="-9"/>
          <w:sz w:val="17"/>
        </w:rPr>
        <w:t xml:space="preserve"> </w:t>
      </w:r>
      <w:r w:rsidRPr="006D1D21">
        <w:rPr>
          <w:color w:val="212121"/>
          <w:sz w:val="17"/>
        </w:rPr>
        <w:t>E.</w:t>
      </w:r>
      <w:r w:rsidRPr="006D1D21">
        <w:rPr>
          <w:color w:val="212121"/>
          <w:spacing w:val="-9"/>
          <w:sz w:val="17"/>
        </w:rPr>
        <w:t xml:space="preserve"> </w:t>
      </w:r>
      <w:r w:rsidRPr="006D1D21">
        <w:rPr>
          <w:color w:val="212121"/>
          <w:sz w:val="17"/>
        </w:rPr>
        <w:t>C.,</w:t>
      </w:r>
      <w:r w:rsidRPr="006D1D21">
        <w:rPr>
          <w:color w:val="212121"/>
          <w:spacing w:val="-9"/>
          <w:sz w:val="17"/>
        </w:rPr>
        <w:t xml:space="preserve"> </w:t>
      </w:r>
      <w:r w:rsidRPr="006D1D21">
        <w:rPr>
          <w:color w:val="212121"/>
          <w:sz w:val="17"/>
        </w:rPr>
        <w:t>Becker,</w:t>
      </w:r>
      <w:r w:rsidRPr="006D1D21">
        <w:rPr>
          <w:color w:val="212121"/>
          <w:spacing w:val="-4"/>
          <w:sz w:val="17"/>
        </w:rPr>
        <w:t xml:space="preserve"> </w:t>
      </w:r>
      <w:r w:rsidRPr="006D1D21">
        <w:rPr>
          <w:color w:val="212121"/>
          <w:sz w:val="17"/>
        </w:rPr>
        <w:t>M.</w:t>
      </w:r>
      <w:r w:rsidRPr="006D1D21">
        <w:rPr>
          <w:color w:val="212121"/>
          <w:spacing w:val="-9"/>
          <w:sz w:val="17"/>
        </w:rPr>
        <w:t xml:space="preserve"> </w:t>
      </w:r>
      <w:r w:rsidRPr="006D1D21">
        <w:rPr>
          <w:color w:val="212121"/>
          <w:sz w:val="17"/>
        </w:rPr>
        <w:t>E.,</w:t>
      </w:r>
      <w:r w:rsidRPr="006D1D21">
        <w:rPr>
          <w:color w:val="212121"/>
          <w:spacing w:val="-4"/>
          <w:sz w:val="17"/>
        </w:rPr>
        <w:t xml:space="preserve"> </w:t>
      </w:r>
      <w:r w:rsidRPr="006D1D21">
        <w:rPr>
          <w:color w:val="212121"/>
          <w:sz w:val="17"/>
        </w:rPr>
        <w:t>McQuillen,</w:t>
      </w:r>
      <w:r w:rsidRPr="006D1D21">
        <w:rPr>
          <w:color w:val="212121"/>
          <w:spacing w:val="-9"/>
          <w:sz w:val="17"/>
        </w:rPr>
        <w:t xml:space="preserve"> </w:t>
      </w:r>
      <w:r w:rsidRPr="006D1D21">
        <w:rPr>
          <w:color w:val="212121"/>
          <w:sz w:val="17"/>
        </w:rPr>
        <w:t>P.</w:t>
      </w:r>
      <w:r w:rsidRPr="006D1D21">
        <w:rPr>
          <w:color w:val="212121"/>
          <w:spacing w:val="-9"/>
          <w:sz w:val="17"/>
        </w:rPr>
        <w:t xml:space="preserve"> </w:t>
      </w:r>
      <w:r w:rsidRPr="006D1D21">
        <w:rPr>
          <w:color w:val="212121"/>
          <w:sz w:val="17"/>
        </w:rPr>
        <w:t>G.,</w:t>
      </w:r>
      <w:r w:rsidRPr="006D1D21">
        <w:rPr>
          <w:color w:val="212121"/>
          <w:spacing w:val="-4"/>
          <w:sz w:val="17"/>
        </w:rPr>
        <w:t xml:space="preserve"> </w:t>
      </w:r>
      <w:r w:rsidRPr="006D1D21">
        <w:rPr>
          <w:color w:val="212121"/>
          <w:sz w:val="17"/>
        </w:rPr>
        <w:t>Foster,</w:t>
      </w:r>
      <w:r w:rsidRPr="006D1D21">
        <w:rPr>
          <w:color w:val="212121"/>
          <w:spacing w:val="-9"/>
          <w:sz w:val="17"/>
        </w:rPr>
        <w:t xml:space="preserve"> </w:t>
      </w:r>
      <w:r w:rsidRPr="006D1D21">
        <w:rPr>
          <w:color w:val="212121"/>
          <w:sz w:val="17"/>
        </w:rPr>
        <w:t>A.</w:t>
      </w:r>
      <w:r w:rsidRPr="006D1D21">
        <w:rPr>
          <w:color w:val="212121"/>
          <w:spacing w:val="-4"/>
          <w:sz w:val="17"/>
        </w:rPr>
        <w:t xml:space="preserve"> </w:t>
      </w:r>
      <w:r w:rsidRPr="006D1D21">
        <w:rPr>
          <w:color w:val="212121"/>
          <w:sz w:val="17"/>
        </w:rPr>
        <w:t>P.,</w:t>
      </w:r>
      <w:r w:rsidRPr="006D1D21">
        <w:rPr>
          <w:color w:val="212121"/>
          <w:spacing w:val="-4"/>
          <w:sz w:val="17"/>
        </w:rPr>
        <w:t xml:space="preserve"> </w:t>
      </w:r>
      <w:r w:rsidRPr="006D1D21">
        <w:rPr>
          <w:color w:val="212121"/>
          <w:sz w:val="17"/>
        </w:rPr>
        <w:t>Allen,</w:t>
      </w:r>
      <w:r w:rsidRPr="006D1D21">
        <w:rPr>
          <w:color w:val="212121"/>
          <w:spacing w:val="-4"/>
          <w:sz w:val="17"/>
        </w:rPr>
        <w:t xml:space="preserve"> </w:t>
      </w:r>
      <w:r w:rsidRPr="006D1D21">
        <w:rPr>
          <w:color w:val="212121"/>
          <w:sz w:val="17"/>
        </w:rPr>
        <w:t>E.</w:t>
      </w:r>
      <w:r w:rsidRPr="006D1D21">
        <w:rPr>
          <w:color w:val="212121"/>
          <w:spacing w:val="-9"/>
          <w:sz w:val="17"/>
        </w:rPr>
        <w:t xml:space="preserve"> </w:t>
      </w:r>
      <w:r w:rsidRPr="006D1D21">
        <w:rPr>
          <w:color w:val="212121"/>
          <w:sz w:val="17"/>
        </w:rPr>
        <w:t>A.,</w:t>
      </w:r>
      <w:r w:rsidRPr="006D1D21">
        <w:rPr>
          <w:color w:val="212121"/>
          <w:spacing w:val="-4"/>
          <w:sz w:val="17"/>
        </w:rPr>
        <w:t xml:space="preserve"> </w:t>
      </w:r>
      <w:r w:rsidRPr="006D1D21">
        <w:rPr>
          <w:color w:val="212121"/>
          <w:sz w:val="17"/>
        </w:rPr>
        <w:t>Bransky</w:t>
      </w:r>
      <w:r w:rsidRPr="006D1D21">
        <w:rPr>
          <w:color w:val="212121"/>
          <w:spacing w:val="-7"/>
          <w:sz w:val="17"/>
        </w:rPr>
        <w:t xml:space="preserve"> </w:t>
      </w:r>
      <w:r w:rsidRPr="006D1D21">
        <w:rPr>
          <w:color w:val="212121"/>
          <w:sz w:val="17"/>
        </w:rPr>
        <w:t>Jr,</w:t>
      </w:r>
      <w:r w:rsidRPr="006D1D21">
        <w:rPr>
          <w:color w:val="212121"/>
          <w:spacing w:val="-9"/>
          <w:sz w:val="17"/>
        </w:rPr>
        <w:t xml:space="preserve"> </w:t>
      </w:r>
      <w:r w:rsidRPr="006D1D21">
        <w:rPr>
          <w:color w:val="212121"/>
          <w:sz w:val="17"/>
        </w:rPr>
        <w:t>J.</w:t>
      </w:r>
      <w:r w:rsidRPr="006D1D21">
        <w:rPr>
          <w:color w:val="212121"/>
          <w:spacing w:val="-9"/>
          <w:sz w:val="17"/>
        </w:rPr>
        <w:t xml:space="preserve"> </w:t>
      </w:r>
      <w:r w:rsidRPr="006D1D21">
        <w:rPr>
          <w:color w:val="212121"/>
          <w:sz w:val="17"/>
        </w:rPr>
        <w:t>E.,</w:t>
      </w:r>
      <w:r w:rsidRPr="006D1D21">
        <w:rPr>
          <w:color w:val="212121"/>
          <w:spacing w:val="-4"/>
          <w:sz w:val="17"/>
        </w:rPr>
        <w:t xml:space="preserve"> </w:t>
      </w:r>
      <w:r w:rsidRPr="006D1D21">
        <w:rPr>
          <w:color w:val="212121"/>
          <w:sz w:val="17"/>
        </w:rPr>
        <w:t>...</w:t>
      </w:r>
      <w:r w:rsidRPr="006D1D21">
        <w:rPr>
          <w:color w:val="212121"/>
          <w:spacing w:val="-9"/>
          <w:sz w:val="17"/>
        </w:rPr>
        <w:t xml:space="preserve"> </w:t>
      </w:r>
      <w:r w:rsidRPr="006D1D21">
        <w:rPr>
          <w:color w:val="212121"/>
          <w:sz w:val="17"/>
        </w:rPr>
        <w:t>&amp; Mullins,</w:t>
      </w:r>
      <w:r w:rsidRPr="006D1D21">
        <w:rPr>
          <w:color w:val="212121"/>
          <w:spacing w:val="-8"/>
          <w:sz w:val="17"/>
        </w:rPr>
        <w:t xml:space="preserve"> </w:t>
      </w:r>
      <w:r w:rsidRPr="006D1D21">
        <w:rPr>
          <w:color w:val="212121"/>
          <w:sz w:val="17"/>
        </w:rPr>
        <w:t>J.</w:t>
      </w:r>
      <w:r w:rsidRPr="006D1D21">
        <w:rPr>
          <w:color w:val="212121"/>
          <w:spacing w:val="-9"/>
          <w:sz w:val="17"/>
        </w:rPr>
        <w:t xml:space="preserve"> </w:t>
      </w:r>
      <w:r w:rsidRPr="006D1D21">
        <w:rPr>
          <w:color w:val="212121"/>
          <w:sz w:val="17"/>
        </w:rPr>
        <w:t>K.</w:t>
      </w:r>
      <w:r w:rsidRPr="006D1D21">
        <w:rPr>
          <w:color w:val="212121"/>
          <w:spacing w:val="-4"/>
          <w:sz w:val="17"/>
        </w:rPr>
        <w:t xml:space="preserve"> </w:t>
      </w:r>
      <w:r w:rsidRPr="006D1D21">
        <w:rPr>
          <w:color w:val="212121"/>
          <w:sz w:val="17"/>
        </w:rPr>
        <w:t>(2025). Papillary renal</w:t>
      </w:r>
      <w:r w:rsidRPr="006D1D21">
        <w:rPr>
          <w:color w:val="212121"/>
          <w:spacing w:val="-6"/>
          <w:sz w:val="17"/>
        </w:rPr>
        <w:t xml:space="preserve"> </w:t>
      </w:r>
      <w:r w:rsidRPr="006D1D21">
        <w:rPr>
          <w:color w:val="212121"/>
          <w:sz w:val="17"/>
        </w:rPr>
        <w:t>cell</w:t>
      </w:r>
      <w:r w:rsidRPr="006D1D21">
        <w:rPr>
          <w:color w:val="212121"/>
          <w:spacing w:val="-7"/>
          <w:sz w:val="17"/>
        </w:rPr>
        <w:t xml:space="preserve"> </w:t>
      </w:r>
      <w:r w:rsidRPr="006D1D21">
        <w:rPr>
          <w:color w:val="212121"/>
          <w:sz w:val="17"/>
        </w:rPr>
        <w:t>carcinoma</w:t>
      </w:r>
      <w:r w:rsidRPr="006D1D21">
        <w:rPr>
          <w:color w:val="212121"/>
          <w:spacing w:val="-8"/>
          <w:sz w:val="17"/>
        </w:rPr>
        <w:t xml:space="preserve"> </w:t>
      </w:r>
      <w:r w:rsidRPr="006D1D21">
        <w:rPr>
          <w:color w:val="212121"/>
          <w:sz w:val="17"/>
        </w:rPr>
        <w:t>in</w:t>
      </w:r>
      <w:r w:rsidRPr="006D1D21">
        <w:rPr>
          <w:color w:val="212121"/>
          <w:spacing w:val="-8"/>
          <w:sz w:val="17"/>
        </w:rPr>
        <w:t xml:space="preserve"> </w:t>
      </w:r>
      <w:r w:rsidRPr="006D1D21">
        <w:rPr>
          <w:color w:val="212121"/>
          <w:sz w:val="17"/>
        </w:rPr>
        <w:t>an</w:t>
      </w:r>
      <w:r w:rsidRPr="006D1D21">
        <w:rPr>
          <w:color w:val="212121"/>
          <w:spacing w:val="-8"/>
          <w:sz w:val="17"/>
        </w:rPr>
        <w:t xml:space="preserve"> </w:t>
      </w:r>
      <w:r w:rsidRPr="006D1D21">
        <w:rPr>
          <w:color w:val="212121"/>
          <w:sz w:val="17"/>
        </w:rPr>
        <w:t>ectopic</w:t>
      </w:r>
      <w:r w:rsidRPr="006D1D21">
        <w:rPr>
          <w:color w:val="212121"/>
          <w:spacing w:val="-9"/>
          <w:sz w:val="17"/>
        </w:rPr>
        <w:t xml:space="preserve"> </w:t>
      </w:r>
      <w:r w:rsidRPr="006D1D21">
        <w:rPr>
          <w:color w:val="212121"/>
          <w:sz w:val="17"/>
        </w:rPr>
        <w:t>intrathoracic</w:t>
      </w:r>
      <w:r w:rsidRPr="006D1D21">
        <w:rPr>
          <w:color w:val="212121"/>
          <w:spacing w:val="-9"/>
          <w:sz w:val="17"/>
        </w:rPr>
        <w:t xml:space="preserve"> </w:t>
      </w:r>
      <w:r w:rsidRPr="006D1D21">
        <w:rPr>
          <w:color w:val="212121"/>
          <w:sz w:val="17"/>
        </w:rPr>
        <w:t>kidney</w:t>
      </w:r>
      <w:r w:rsidRPr="006D1D21">
        <w:rPr>
          <w:color w:val="212121"/>
          <w:spacing w:val="-8"/>
          <w:sz w:val="17"/>
        </w:rPr>
        <w:t xml:space="preserve"> </w:t>
      </w:r>
      <w:r w:rsidRPr="006D1D21">
        <w:rPr>
          <w:color w:val="212121"/>
          <w:sz w:val="17"/>
        </w:rPr>
        <w:t>within</w:t>
      </w:r>
      <w:r w:rsidRPr="006D1D21">
        <w:rPr>
          <w:color w:val="212121"/>
          <w:spacing w:val="-8"/>
          <w:sz w:val="17"/>
        </w:rPr>
        <w:t xml:space="preserve"> </w:t>
      </w:r>
      <w:proofErr w:type="spellStart"/>
      <w:r w:rsidRPr="006D1D21">
        <w:rPr>
          <w:color w:val="212121"/>
          <w:sz w:val="17"/>
        </w:rPr>
        <w:t>Bochdalek</w:t>
      </w:r>
      <w:proofErr w:type="spellEnd"/>
      <w:r w:rsidRPr="006D1D21">
        <w:rPr>
          <w:color w:val="212121"/>
          <w:spacing w:val="-8"/>
          <w:sz w:val="17"/>
        </w:rPr>
        <w:t xml:space="preserve"> </w:t>
      </w:r>
      <w:r w:rsidRPr="006D1D21">
        <w:rPr>
          <w:color w:val="212121"/>
          <w:sz w:val="17"/>
        </w:rPr>
        <w:t>hernia:</w:t>
      </w:r>
      <w:r w:rsidRPr="006D1D21">
        <w:rPr>
          <w:color w:val="212121"/>
          <w:spacing w:val="-10"/>
          <w:sz w:val="17"/>
        </w:rPr>
        <w:t xml:space="preserve"> </w:t>
      </w:r>
      <w:r w:rsidRPr="006D1D21">
        <w:rPr>
          <w:color w:val="212121"/>
          <w:sz w:val="17"/>
        </w:rPr>
        <w:t>A</w:t>
      </w:r>
      <w:r w:rsidRPr="006D1D21">
        <w:rPr>
          <w:color w:val="212121"/>
          <w:spacing w:val="-7"/>
          <w:sz w:val="17"/>
        </w:rPr>
        <w:t xml:space="preserve"> </w:t>
      </w:r>
      <w:r w:rsidRPr="006D1D21">
        <w:rPr>
          <w:color w:val="212121"/>
          <w:sz w:val="17"/>
        </w:rPr>
        <w:t>case</w:t>
      </w:r>
      <w:r w:rsidRPr="006D1D21">
        <w:rPr>
          <w:color w:val="212121"/>
          <w:spacing w:val="-8"/>
          <w:sz w:val="17"/>
        </w:rPr>
        <w:t xml:space="preserve"> </w:t>
      </w:r>
      <w:r w:rsidRPr="006D1D21">
        <w:rPr>
          <w:color w:val="212121"/>
          <w:sz w:val="17"/>
        </w:rPr>
        <w:t>report.</w:t>
      </w:r>
      <w:r w:rsidRPr="006D1D21">
        <w:rPr>
          <w:color w:val="212121"/>
          <w:spacing w:val="-3"/>
          <w:sz w:val="17"/>
        </w:rPr>
        <w:t xml:space="preserve"> </w:t>
      </w:r>
      <w:r w:rsidRPr="006D1D21">
        <w:rPr>
          <w:rFonts w:ascii="Arial"/>
          <w:i/>
          <w:color w:val="212121"/>
          <w:sz w:val="17"/>
        </w:rPr>
        <w:t>Urology</w:t>
      </w:r>
      <w:r w:rsidRPr="006D1D21">
        <w:rPr>
          <w:rFonts w:ascii="Arial"/>
          <w:i/>
          <w:color w:val="212121"/>
          <w:spacing w:val="-9"/>
          <w:sz w:val="17"/>
        </w:rPr>
        <w:t xml:space="preserve"> </w:t>
      </w:r>
      <w:r w:rsidRPr="006D1D21">
        <w:rPr>
          <w:rFonts w:ascii="Arial"/>
          <w:i/>
          <w:color w:val="212121"/>
          <w:sz w:val="17"/>
        </w:rPr>
        <w:t>Case</w:t>
      </w:r>
      <w:r w:rsidRPr="006D1D21">
        <w:rPr>
          <w:rFonts w:ascii="Arial"/>
          <w:i/>
          <w:color w:val="212121"/>
          <w:spacing w:val="-8"/>
          <w:sz w:val="17"/>
        </w:rPr>
        <w:t xml:space="preserve"> </w:t>
      </w:r>
      <w:r w:rsidRPr="006D1D21">
        <w:rPr>
          <w:rFonts w:ascii="Arial"/>
          <w:i/>
          <w:color w:val="212121"/>
          <w:sz w:val="17"/>
        </w:rPr>
        <w:t>Reports</w:t>
      </w:r>
      <w:r w:rsidRPr="006D1D21">
        <w:rPr>
          <w:color w:val="212121"/>
          <w:sz w:val="17"/>
        </w:rPr>
        <w:t>,</w:t>
      </w:r>
      <w:r w:rsidRPr="006D1D21">
        <w:rPr>
          <w:color w:val="212121"/>
          <w:spacing w:val="-11"/>
          <w:sz w:val="17"/>
        </w:rPr>
        <w:t xml:space="preserve"> </w:t>
      </w:r>
      <w:r w:rsidRPr="006D1D21">
        <w:rPr>
          <w:color w:val="212121"/>
          <w:sz w:val="17"/>
        </w:rPr>
        <w:t xml:space="preserve">103217. </w:t>
      </w:r>
      <w:hyperlink r:id="rId27">
        <w:r w:rsidRPr="006D1D21">
          <w:rPr>
            <w:color w:val="0000FF"/>
            <w:spacing w:val="-2"/>
            <w:sz w:val="17"/>
            <w:u w:val="single" w:color="0000FF"/>
          </w:rPr>
          <w:t>http://doi.org/10.1016/j.eucr.2025.103217</w:t>
        </w:r>
      </w:hyperlink>
    </w:p>
    <w:p w14:paraId="25C098A5" w14:textId="77777777" w:rsidR="00C439C4" w:rsidRDefault="00C439C4" w:rsidP="006D1D21">
      <w:pPr>
        <w:spacing w:before="29" w:line="276" w:lineRule="auto"/>
        <w:ind w:right="350"/>
        <w:jc w:val="both"/>
      </w:pPr>
    </w:p>
    <w:p w14:paraId="45FBE162" w14:textId="77777777" w:rsidR="00C439C4" w:rsidRDefault="00C439C4" w:rsidP="006D1D21">
      <w:pPr>
        <w:spacing w:before="29" w:line="276" w:lineRule="auto"/>
        <w:ind w:right="350"/>
        <w:jc w:val="both"/>
      </w:pPr>
    </w:p>
    <w:p w14:paraId="512730CB" w14:textId="77777777" w:rsidR="00C439C4" w:rsidRDefault="00C439C4">
      <w:pPr>
        <w:spacing w:before="29" w:line="276" w:lineRule="auto"/>
        <w:ind w:right="350"/>
        <w:jc w:val="both"/>
      </w:pPr>
    </w:p>
    <w:p w14:paraId="5AA4A04E" w14:textId="77777777" w:rsidR="00C439C4" w:rsidRDefault="00C439C4">
      <w:pPr>
        <w:spacing w:before="29" w:line="276" w:lineRule="auto"/>
        <w:ind w:right="350"/>
        <w:jc w:val="both"/>
      </w:pPr>
    </w:p>
    <w:p w14:paraId="2C349986" w14:textId="77777777" w:rsidR="00C439C4" w:rsidRDefault="00C439C4">
      <w:pPr>
        <w:spacing w:before="29" w:line="276" w:lineRule="auto"/>
        <w:ind w:right="350"/>
        <w:jc w:val="both"/>
      </w:pPr>
    </w:p>
    <w:p w14:paraId="45C38329" w14:textId="77777777" w:rsidR="00C439C4" w:rsidRDefault="00C439C4">
      <w:pPr>
        <w:spacing w:before="29" w:line="276" w:lineRule="auto"/>
        <w:ind w:right="350"/>
        <w:jc w:val="both"/>
      </w:pPr>
    </w:p>
    <w:p w14:paraId="1B80DB8D" w14:textId="77777777" w:rsidR="00C439C4" w:rsidRDefault="00C439C4">
      <w:pPr>
        <w:spacing w:before="29" w:line="276" w:lineRule="auto"/>
        <w:ind w:right="350"/>
        <w:jc w:val="both"/>
      </w:pPr>
    </w:p>
    <w:p w14:paraId="1EF7AB55" w14:textId="77777777" w:rsidR="00C439C4" w:rsidRDefault="00C439C4">
      <w:pPr>
        <w:spacing w:before="29" w:line="276" w:lineRule="auto"/>
        <w:ind w:right="350"/>
        <w:jc w:val="both"/>
      </w:pPr>
    </w:p>
    <w:p w14:paraId="3B805CD7" w14:textId="77777777" w:rsidR="00C439C4" w:rsidRDefault="00C439C4" w:rsidP="00C439C4">
      <w:pPr>
        <w:pStyle w:val="BodyText"/>
        <w:ind w:left="2268"/>
        <w:rPr>
          <w:rFonts w:ascii="Times New Roman"/>
          <w:b/>
        </w:rPr>
      </w:pPr>
      <w:r>
        <w:rPr>
          <w:rFonts w:ascii="Times New Roman"/>
          <w:b/>
          <w:noProof/>
        </w:rPr>
        <w:drawing>
          <wp:inline distT="0" distB="0" distL="0" distR="0" wp14:anchorId="1AEDD195" wp14:editId="308E1221">
            <wp:extent cx="2881980" cy="38404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2881980" cy="3840479"/>
                    </a:xfrm>
                    <a:prstGeom prst="rect">
                      <a:avLst/>
                    </a:prstGeom>
                  </pic:spPr>
                </pic:pic>
              </a:graphicData>
            </a:graphic>
          </wp:inline>
        </w:drawing>
      </w:r>
    </w:p>
    <w:p w14:paraId="467674CE" w14:textId="77777777" w:rsidR="00C439C4" w:rsidRDefault="00C439C4" w:rsidP="00C439C4">
      <w:pPr>
        <w:pStyle w:val="BodyText"/>
        <w:spacing w:before="207" w:line="276" w:lineRule="auto"/>
        <w:ind w:left="4255" w:right="69" w:hanging="4188"/>
      </w:pPr>
      <w:r>
        <w:t>Fig.</w:t>
      </w:r>
      <w:r>
        <w:rPr>
          <w:spacing w:val="-5"/>
        </w:rPr>
        <w:t xml:space="preserve"> </w:t>
      </w:r>
      <w:r>
        <w:t>1 Intraoperative</w:t>
      </w:r>
      <w:r>
        <w:rPr>
          <w:spacing w:val="-5"/>
        </w:rPr>
        <w:t xml:space="preserve"> </w:t>
      </w:r>
      <w:r>
        <w:t>image</w:t>
      </w:r>
      <w:r>
        <w:rPr>
          <w:spacing w:val="-5"/>
        </w:rPr>
        <w:t xml:space="preserve"> </w:t>
      </w:r>
      <w:r>
        <w:t>showing</w:t>
      </w:r>
      <w:r>
        <w:rPr>
          <w:spacing w:val="-1"/>
        </w:rPr>
        <w:t xml:space="preserve"> </w:t>
      </w:r>
      <w:r>
        <w:t>the ectopic kidney following</w:t>
      </w:r>
      <w:r>
        <w:rPr>
          <w:spacing w:val="-6"/>
        </w:rPr>
        <w:t xml:space="preserve"> </w:t>
      </w:r>
      <w:r>
        <w:t>reduction</w:t>
      </w:r>
      <w:r>
        <w:rPr>
          <w:spacing w:val="-6"/>
        </w:rPr>
        <w:t xml:space="preserve"> </w:t>
      </w:r>
      <w:r>
        <w:t>into</w:t>
      </w:r>
      <w:r>
        <w:rPr>
          <w:spacing w:val="-6"/>
        </w:rPr>
        <w:t xml:space="preserve"> </w:t>
      </w:r>
      <w:r>
        <w:t>the</w:t>
      </w:r>
      <w:r>
        <w:rPr>
          <w:spacing w:val="-5"/>
        </w:rPr>
        <w:t xml:space="preserve"> </w:t>
      </w:r>
      <w:r>
        <w:t xml:space="preserve">abdominal </w:t>
      </w:r>
      <w:r>
        <w:rPr>
          <w:spacing w:val="-2"/>
        </w:rPr>
        <w:t>cavity</w:t>
      </w:r>
    </w:p>
    <w:p w14:paraId="496BCE5D" w14:textId="77777777" w:rsidR="00C439C4" w:rsidRDefault="00C439C4" w:rsidP="00C439C4">
      <w:pPr>
        <w:pStyle w:val="BodyText"/>
      </w:pPr>
    </w:p>
    <w:p w14:paraId="47D8A338" w14:textId="77777777" w:rsidR="00C439C4" w:rsidRDefault="00C439C4" w:rsidP="00C439C4">
      <w:pPr>
        <w:pStyle w:val="BodyText"/>
        <w:spacing w:before="126"/>
      </w:pPr>
    </w:p>
    <w:tbl>
      <w:tblPr>
        <w:tblW w:w="0" w:type="auto"/>
        <w:tblInd w:w="250" w:type="dxa"/>
        <w:tblLayout w:type="fixed"/>
        <w:tblCellMar>
          <w:left w:w="0" w:type="dxa"/>
          <w:right w:w="0" w:type="dxa"/>
        </w:tblCellMar>
        <w:tblLook w:val="01E0" w:firstRow="1" w:lastRow="1" w:firstColumn="1" w:lastColumn="1" w:noHBand="0" w:noVBand="0"/>
      </w:tblPr>
      <w:tblGrid>
        <w:gridCol w:w="4288"/>
        <w:gridCol w:w="4288"/>
      </w:tblGrid>
      <w:tr w:rsidR="00C439C4" w14:paraId="280DC7A4" w14:textId="77777777" w:rsidTr="005B6BC4">
        <w:trPr>
          <w:trHeight w:val="5521"/>
        </w:trPr>
        <w:tc>
          <w:tcPr>
            <w:tcW w:w="4288" w:type="dxa"/>
          </w:tcPr>
          <w:p w14:paraId="5CFA8896" w14:textId="77777777" w:rsidR="00C439C4" w:rsidRDefault="00C439C4" w:rsidP="005B6BC4">
            <w:pPr>
              <w:pStyle w:val="TableParagraph"/>
              <w:rPr>
                <w:sz w:val="20"/>
              </w:rPr>
            </w:pPr>
            <w:r>
              <w:rPr>
                <w:noProof/>
                <w:sz w:val="20"/>
              </w:rPr>
              <w:drawing>
                <wp:inline distT="0" distB="0" distL="0" distR="0" wp14:anchorId="555A3D06" wp14:editId="01E40280">
                  <wp:extent cx="2517582" cy="3352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stretch>
                            <a:fillRect/>
                          </a:stretch>
                        </pic:blipFill>
                        <pic:spPr>
                          <a:xfrm>
                            <a:off x="0" y="0"/>
                            <a:ext cx="2517582" cy="3352800"/>
                          </a:xfrm>
                          <a:prstGeom prst="rect">
                            <a:avLst/>
                          </a:prstGeom>
                        </pic:spPr>
                      </pic:pic>
                    </a:graphicData>
                  </a:graphic>
                </wp:inline>
              </w:drawing>
            </w:r>
          </w:p>
          <w:p w14:paraId="1256DC41" w14:textId="77777777" w:rsidR="00C439C4" w:rsidRDefault="00C439C4" w:rsidP="005B6BC4">
            <w:pPr>
              <w:pStyle w:val="TableParagraph"/>
              <w:spacing w:before="11" w:line="210" w:lineRule="exact"/>
              <w:ind w:left="214" w:right="435"/>
              <w:jc w:val="center"/>
              <w:rPr>
                <w:b/>
                <w:sz w:val="20"/>
              </w:rPr>
            </w:pPr>
            <w:r>
              <w:rPr>
                <w:b/>
                <w:spacing w:val="-5"/>
                <w:sz w:val="20"/>
              </w:rPr>
              <w:t>(a)</w:t>
            </w:r>
          </w:p>
        </w:tc>
        <w:tc>
          <w:tcPr>
            <w:tcW w:w="4288" w:type="dxa"/>
          </w:tcPr>
          <w:p w14:paraId="294C6376" w14:textId="77777777" w:rsidR="00C439C4" w:rsidRDefault="00C439C4" w:rsidP="005B6BC4">
            <w:pPr>
              <w:pStyle w:val="TableParagraph"/>
              <w:ind w:left="270"/>
              <w:rPr>
                <w:sz w:val="20"/>
              </w:rPr>
            </w:pPr>
            <w:r>
              <w:rPr>
                <w:noProof/>
                <w:sz w:val="20"/>
              </w:rPr>
              <w:drawing>
                <wp:inline distT="0" distB="0" distL="0" distR="0" wp14:anchorId="23408A85" wp14:editId="7E0ED5A0">
                  <wp:extent cx="2517582" cy="3352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0" cstate="print"/>
                          <a:stretch>
                            <a:fillRect/>
                          </a:stretch>
                        </pic:blipFill>
                        <pic:spPr>
                          <a:xfrm>
                            <a:off x="0" y="0"/>
                            <a:ext cx="2517582" cy="3352800"/>
                          </a:xfrm>
                          <a:prstGeom prst="rect">
                            <a:avLst/>
                          </a:prstGeom>
                        </pic:spPr>
                      </pic:pic>
                    </a:graphicData>
                  </a:graphic>
                </wp:inline>
              </w:drawing>
            </w:r>
          </w:p>
          <w:p w14:paraId="72906208" w14:textId="77777777" w:rsidR="00C439C4" w:rsidRDefault="00C439C4" w:rsidP="005B6BC4">
            <w:pPr>
              <w:pStyle w:val="TableParagraph"/>
              <w:spacing w:before="11" w:line="210" w:lineRule="exact"/>
              <w:ind w:left="435" w:right="221"/>
              <w:jc w:val="center"/>
              <w:rPr>
                <w:b/>
                <w:sz w:val="20"/>
              </w:rPr>
            </w:pPr>
            <w:r>
              <w:rPr>
                <w:b/>
                <w:spacing w:val="-5"/>
                <w:sz w:val="20"/>
              </w:rPr>
              <w:t>(b)</w:t>
            </w:r>
          </w:p>
        </w:tc>
      </w:tr>
    </w:tbl>
    <w:p w14:paraId="33B0A66F" w14:textId="77777777" w:rsidR="00C439C4" w:rsidRDefault="00C439C4" w:rsidP="00C439C4">
      <w:pPr>
        <w:pStyle w:val="BodyText"/>
        <w:spacing w:line="276" w:lineRule="auto"/>
        <w:ind w:left="1854" w:right="39" w:hanging="1817"/>
      </w:pPr>
      <w:r>
        <w:t>Fig.</w:t>
      </w:r>
      <w:r>
        <w:rPr>
          <w:spacing w:val="-4"/>
        </w:rPr>
        <w:t xml:space="preserve"> </w:t>
      </w:r>
      <w:r>
        <w:t>2 Intraoperatively,</w:t>
      </w:r>
      <w:r>
        <w:rPr>
          <w:spacing w:val="-4"/>
        </w:rPr>
        <w:t xml:space="preserve"> </w:t>
      </w:r>
      <w:r>
        <w:t>a</w:t>
      </w:r>
      <w:r>
        <w:rPr>
          <w:spacing w:val="-4"/>
        </w:rPr>
        <w:t xml:space="preserve"> </w:t>
      </w:r>
      <w:r>
        <w:t>collapsed</w:t>
      </w:r>
      <w:r>
        <w:rPr>
          <w:spacing w:val="-5"/>
        </w:rPr>
        <w:t xml:space="preserve"> </w:t>
      </w:r>
      <w:r>
        <w:t>left</w:t>
      </w:r>
      <w:r>
        <w:rPr>
          <w:spacing w:val="-4"/>
        </w:rPr>
        <w:t xml:space="preserve"> </w:t>
      </w:r>
      <w:r>
        <w:t>lung</w:t>
      </w:r>
      <w:r>
        <w:rPr>
          <w:spacing w:val="-5"/>
        </w:rPr>
        <w:t xml:space="preserve"> </w:t>
      </w:r>
      <w:r>
        <w:t>was</w:t>
      </w:r>
      <w:r>
        <w:rPr>
          <w:spacing w:val="-4"/>
        </w:rPr>
        <w:t xml:space="preserve"> </w:t>
      </w:r>
      <w:r>
        <w:t>noted</w:t>
      </w:r>
      <w:r>
        <w:rPr>
          <w:spacing w:val="-5"/>
        </w:rPr>
        <w:t xml:space="preserve"> </w:t>
      </w:r>
      <w:r>
        <w:t>due</w:t>
      </w:r>
      <w:r>
        <w:rPr>
          <w:spacing w:val="-4"/>
        </w:rPr>
        <w:t xml:space="preserve"> </w:t>
      </w:r>
      <w:r>
        <w:t>to</w:t>
      </w:r>
      <w:r>
        <w:rPr>
          <w:spacing w:val="-5"/>
        </w:rPr>
        <w:t xml:space="preserve"> </w:t>
      </w:r>
      <w:r>
        <w:t>herniation of</w:t>
      </w:r>
      <w:r>
        <w:rPr>
          <w:spacing w:val="-4"/>
        </w:rPr>
        <w:t xml:space="preserve"> </w:t>
      </w:r>
      <w:r>
        <w:t>abdominal</w:t>
      </w:r>
      <w:r>
        <w:rPr>
          <w:spacing w:val="-4"/>
        </w:rPr>
        <w:t xml:space="preserve"> </w:t>
      </w:r>
      <w:r>
        <w:t>contents (a), which re-</w:t>
      </w:r>
      <w:r>
        <w:lastRenderedPageBreak/>
        <w:t>expanded following reduction of viscera (b)</w:t>
      </w:r>
    </w:p>
    <w:p w14:paraId="7D5831ED" w14:textId="77777777" w:rsidR="00C439C4" w:rsidRDefault="00C439C4">
      <w:pPr>
        <w:spacing w:before="29" w:line="276" w:lineRule="auto"/>
        <w:ind w:right="350"/>
        <w:jc w:val="both"/>
      </w:pPr>
    </w:p>
    <w:p w14:paraId="062E8AB9" w14:textId="77777777" w:rsidR="00C439C4" w:rsidRDefault="00C439C4">
      <w:pPr>
        <w:spacing w:before="29" w:line="276" w:lineRule="auto"/>
        <w:ind w:right="350"/>
        <w:jc w:val="both"/>
      </w:pPr>
    </w:p>
    <w:p w14:paraId="251123D6" w14:textId="77777777" w:rsidR="00C439C4" w:rsidRDefault="00C439C4">
      <w:pPr>
        <w:spacing w:before="29" w:line="276" w:lineRule="auto"/>
        <w:ind w:right="350"/>
        <w:jc w:val="both"/>
      </w:pPr>
    </w:p>
    <w:p w14:paraId="7EAB78F6" w14:textId="77777777" w:rsidR="00C439C4" w:rsidRDefault="00C439C4">
      <w:pPr>
        <w:spacing w:before="29" w:line="276" w:lineRule="auto"/>
        <w:ind w:right="350"/>
        <w:jc w:val="both"/>
      </w:pPr>
    </w:p>
    <w:p w14:paraId="743956F6" w14:textId="7A00E860" w:rsidR="00C439C4" w:rsidRDefault="00C439C4">
      <w:pPr>
        <w:spacing w:before="29" w:line="276" w:lineRule="auto"/>
        <w:ind w:right="350"/>
        <w:jc w:val="both"/>
      </w:pPr>
      <w:r w:rsidRPr="00C439C4">
        <w:t>supplementary video</w:t>
      </w:r>
    </w:p>
    <w:p w14:paraId="1F0CCA58" w14:textId="413EFD67" w:rsidR="00C439C4" w:rsidRDefault="00C439C4">
      <w:pPr>
        <w:spacing w:before="29" w:line="276" w:lineRule="auto"/>
        <w:ind w:right="350"/>
        <w:jc w:val="both"/>
      </w:pPr>
      <w:r>
        <w:object w:dxaOrig="1543" w:dyaOrig="990" w14:anchorId="11493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pt" o:ole="">
            <v:imagedata r:id="rId31" o:title=""/>
          </v:shape>
          <o:OLEObject Type="Embed" ProgID="Package" ShapeID="_x0000_i1025" DrawAspect="Icon" ObjectID="_1839853830" r:id="rId32"/>
        </w:object>
      </w:r>
    </w:p>
    <w:p w14:paraId="11751087" w14:textId="77777777" w:rsidR="00C439C4" w:rsidRDefault="00C439C4">
      <w:pPr>
        <w:spacing w:before="29" w:line="276" w:lineRule="auto"/>
        <w:ind w:right="350"/>
        <w:jc w:val="both"/>
        <w:rPr>
          <w:sz w:val="17"/>
        </w:rPr>
      </w:pPr>
    </w:p>
    <w:sectPr w:rsidR="00C439C4">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55A9D" w14:textId="77777777" w:rsidR="00F865FC" w:rsidRDefault="00F865FC" w:rsidP="001719DB">
      <w:r>
        <w:separator/>
      </w:r>
    </w:p>
  </w:endnote>
  <w:endnote w:type="continuationSeparator" w:id="0">
    <w:p w14:paraId="20138869" w14:textId="77777777" w:rsidR="00F865FC" w:rsidRDefault="00F865FC" w:rsidP="0017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0F0D8" w14:textId="77777777" w:rsidR="001719DB" w:rsidRDefault="00171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44DD" w14:textId="77777777" w:rsidR="001719DB" w:rsidRDefault="00171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9CCD1" w14:textId="77777777" w:rsidR="001719DB" w:rsidRDefault="00171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B8B57" w14:textId="77777777" w:rsidR="00F865FC" w:rsidRDefault="00F865FC" w:rsidP="001719DB">
      <w:r>
        <w:separator/>
      </w:r>
    </w:p>
  </w:footnote>
  <w:footnote w:type="continuationSeparator" w:id="0">
    <w:p w14:paraId="3FA57DED" w14:textId="77777777" w:rsidR="00F865FC" w:rsidRDefault="00F865FC" w:rsidP="00171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89398" w14:textId="76F5E881" w:rsidR="001719DB" w:rsidRDefault="001719DB">
    <w:pPr>
      <w:pStyle w:val="Header"/>
    </w:pPr>
    <w:r>
      <w:rPr>
        <w:noProof/>
      </w:rPr>
      <w:pict w14:anchorId="367D1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38422" o:spid="_x0000_s2050"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B4EA" w14:textId="0B40C4CE" w:rsidR="001719DB" w:rsidRDefault="001719DB">
    <w:pPr>
      <w:pStyle w:val="Header"/>
    </w:pPr>
    <w:r>
      <w:rPr>
        <w:noProof/>
      </w:rPr>
      <w:pict w14:anchorId="2D3FF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38423" o:spid="_x0000_s2051"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F30" w14:textId="4C48C204" w:rsidR="001719DB" w:rsidRDefault="001719DB">
    <w:pPr>
      <w:pStyle w:val="Header"/>
    </w:pPr>
    <w:r>
      <w:rPr>
        <w:noProof/>
      </w:rPr>
      <w:pict w14:anchorId="032F6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338421" o:spid="_x0000_s2049"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64AA4"/>
    <w:multiLevelType w:val="hybridMultilevel"/>
    <w:tmpl w:val="5F98C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C4DB2"/>
    <w:multiLevelType w:val="hybridMultilevel"/>
    <w:tmpl w:val="F6D4EB94"/>
    <w:lvl w:ilvl="0" w:tplc="1BF87248">
      <w:start w:val="1"/>
      <w:numFmt w:val="decimal"/>
      <w:lvlText w:val="%1."/>
      <w:lvlJc w:val="left"/>
      <w:pPr>
        <w:ind w:left="245" w:hanging="245"/>
        <w:jc w:val="left"/>
      </w:pPr>
      <w:rPr>
        <w:rFonts w:hint="default"/>
        <w:spacing w:val="0"/>
        <w:w w:val="100"/>
        <w:lang w:val="en-US" w:eastAsia="en-US" w:bidi="ar-SA"/>
      </w:rPr>
    </w:lvl>
    <w:lvl w:ilvl="1" w:tplc="C0BEBF54">
      <w:numFmt w:val="bullet"/>
      <w:lvlText w:val="•"/>
      <w:lvlJc w:val="left"/>
      <w:pPr>
        <w:ind w:left="1188" w:hanging="245"/>
      </w:pPr>
      <w:rPr>
        <w:rFonts w:hint="default"/>
        <w:lang w:val="en-US" w:eastAsia="en-US" w:bidi="ar-SA"/>
      </w:rPr>
    </w:lvl>
    <w:lvl w:ilvl="2" w:tplc="89061D66">
      <w:numFmt w:val="bullet"/>
      <w:lvlText w:val="•"/>
      <w:lvlJc w:val="left"/>
      <w:pPr>
        <w:ind w:left="2136" w:hanging="245"/>
      </w:pPr>
      <w:rPr>
        <w:rFonts w:hint="default"/>
        <w:lang w:val="en-US" w:eastAsia="en-US" w:bidi="ar-SA"/>
      </w:rPr>
    </w:lvl>
    <w:lvl w:ilvl="3" w:tplc="48FC5140">
      <w:numFmt w:val="bullet"/>
      <w:lvlText w:val="•"/>
      <w:lvlJc w:val="left"/>
      <w:pPr>
        <w:ind w:left="3084" w:hanging="245"/>
      </w:pPr>
      <w:rPr>
        <w:rFonts w:hint="default"/>
        <w:lang w:val="en-US" w:eastAsia="en-US" w:bidi="ar-SA"/>
      </w:rPr>
    </w:lvl>
    <w:lvl w:ilvl="4" w:tplc="7C28AB7E">
      <w:numFmt w:val="bullet"/>
      <w:lvlText w:val="•"/>
      <w:lvlJc w:val="left"/>
      <w:pPr>
        <w:ind w:left="4032" w:hanging="245"/>
      </w:pPr>
      <w:rPr>
        <w:rFonts w:hint="default"/>
        <w:lang w:val="en-US" w:eastAsia="en-US" w:bidi="ar-SA"/>
      </w:rPr>
    </w:lvl>
    <w:lvl w:ilvl="5" w:tplc="ABE4E4EC">
      <w:numFmt w:val="bullet"/>
      <w:lvlText w:val="•"/>
      <w:lvlJc w:val="left"/>
      <w:pPr>
        <w:ind w:left="4980" w:hanging="245"/>
      </w:pPr>
      <w:rPr>
        <w:rFonts w:hint="default"/>
        <w:lang w:val="en-US" w:eastAsia="en-US" w:bidi="ar-SA"/>
      </w:rPr>
    </w:lvl>
    <w:lvl w:ilvl="6" w:tplc="DB863EF6">
      <w:numFmt w:val="bullet"/>
      <w:lvlText w:val="•"/>
      <w:lvlJc w:val="left"/>
      <w:pPr>
        <w:ind w:left="5928" w:hanging="245"/>
      </w:pPr>
      <w:rPr>
        <w:rFonts w:hint="default"/>
        <w:lang w:val="en-US" w:eastAsia="en-US" w:bidi="ar-SA"/>
      </w:rPr>
    </w:lvl>
    <w:lvl w:ilvl="7" w:tplc="CD1AE7E0">
      <w:numFmt w:val="bullet"/>
      <w:lvlText w:val="•"/>
      <w:lvlJc w:val="left"/>
      <w:pPr>
        <w:ind w:left="6876" w:hanging="245"/>
      </w:pPr>
      <w:rPr>
        <w:rFonts w:hint="default"/>
        <w:lang w:val="en-US" w:eastAsia="en-US" w:bidi="ar-SA"/>
      </w:rPr>
    </w:lvl>
    <w:lvl w:ilvl="8" w:tplc="0992741E">
      <w:numFmt w:val="bullet"/>
      <w:lvlText w:val="•"/>
      <w:lvlJc w:val="left"/>
      <w:pPr>
        <w:ind w:left="7824" w:hanging="245"/>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190D"/>
    <w:rsid w:val="001719DB"/>
    <w:rsid w:val="00203418"/>
    <w:rsid w:val="002A190D"/>
    <w:rsid w:val="004A2157"/>
    <w:rsid w:val="006D1D21"/>
    <w:rsid w:val="00C439C4"/>
    <w:rsid w:val="00D65FCD"/>
    <w:rsid w:val="00F30076"/>
    <w:rsid w:val="00F865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5AFA8C"/>
  <w15:docId w15:val="{86934C71-70F3-4054-B72C-6AC3BC4D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outlineLvl w:val="0"/>
    </w:pPr>
    <w:rPr>
      <w:rFonts w:ascii="Arial" w:eastAsia="Arial" w:hAnsi="Arial" w:cs="Arial"/>
      <w:b/>
      <w:bCs/>
      <w:sz w:val="24"/>
      <w:szCs w:val="24"/>
    </w:rPr>
  </w:style>
  <w:style w:type="paragraph" w:styleId="Heading2">
    <w:name w:val="heading 2"/>
    <w:basedOn w:val="Normal"/>
    <w:uiPriority w:val="9"/>
    <w:unhideWhenUsed/>
    <w:qFormat/>
    <w:pPr>
      <w:ind w:left="243" w:hanging="243"/>
      <w:outlineLvl w:val="1"/>
    </w:pPr>
    <w:rPr>
      <w:rFonts w:ascii="Arial" w:eastAsia="Arial" w:hAnsi="Arial" w:cs="Arial"/>
      <w:b/>
      <w:bCs/>
    </w:rPr>
  </w:style>
  <w:style w:type="paragraph" w:styleId="Heading3">
    <w:name w:val="heading 3"/>
    <w:basedOn w:val="Normal"/>
    <w:uiPriority w:val="9"/>
    <w:unhideWhenUsed/>
    <w:qFormat/>
    <w:pPr>
      <w:spacing w:before="157"/>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9"/>
      <w:ind w:left="243" w:hanging="243"/>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19DB"/>
    <w:pPr>
      <w:tabs>
        <w:tab w:val="center" w:pos="4680"/>
        <w:tab w:val="right" w:pos="9360"/>
      </w:tabs>
    </w:pPr>
  </w:style>
  <w:style w:type="character" w:customStyle="1" w:styleId="HeaderChar">
    <w:name w:val="Header Char"/>
    <w:basedOn w:val="DefaultParagraphFont"/>
    <w:link w:val="Header"/>
    <w:uiPriority w:val="99"/>
    <w:rsid w:val="001719DB"/>
    <w:rPr>
      <w:rFonts w:ascii="Arial MT" w:eastAsia="Arial MT" w:hAnsi="Arial MT" w:cs="Arial MT"/>
    </w:rPr>
  </w:style>
  <w:style w:type="paragraph" w:styleId="Footer">
    <w:name w:val="footer"/>
    <w:basedOn w:val="Normal"/>
    <w:link w:val="FooterChar"/>
    <w:uiPriority w:val="99"/>
    <w:unhideWhenUsed/>
    <w:rsid w:val="001719DB"/>
    <w:pPr>
      <w:tabs>
        <w:tab w:val="center" w:pos="4680"/>
        <w:tab w:val="right" w:pos="9360"/>
      </w:tabs>
    </w:pPr>
  </w:style>
  <w:style w:type="character" w:customStyle="1" w:styleId="FooterChar">
    <w:name w:val="Footer Char"/>
    <w:basedOn w:val="DefaultParagraphFont"/>
    <w:link w:val="Footer"/>
    <w:uiPriority w:val="99"/>
    <w:rsid w:val="001719DB"/>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2/uog.3863" TargetMode="External"/><Relationship Id="rId18" Type="http://schemas.openxmlformats.org/officeDocument/2006/relationships/hyperlink" Target="https://doi.org/10.1016/j.epsc.2025.103018" TargetMode="External"/><Relationship Id="rId26" Type="http://schemas.openxmlformats.org/officeDocument/2006/relationships/hyperlink" Target="https://doi.org/10.1016/j.epsc.2022.102371" TargetMode="External"/><Relationship Id="rId3" Type="http://schemas.openxmlformats.org/officeDocument/2006/relationships/settings" Target="settings.xml"/><Relationship Id="rId21" Type="http://schemas.openxmlformats.org/officeDocument/2006/relationships/hyperlink" Target="https://doi.org/10.1155/2022/7580807"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07/s00431-008-0904-x" TargetMode="External"/><Relationship Id="rId25" Type="http://schemas.openxmlformats.org/officeDocument/2006/relationships/hyperlink" Target="http://doi.org/10.4103/njcp.njcp_217_1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36/wjps-2023-000747" TargetMode="External"/><Relationship Id="rId20" Type="http://schemas.openxmlformats.org/officeDocument/2006/relationships/hyperlink" Target="https://doi.org/10.1136/emj.2002.004697"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186/s40792-024-01980-0" TargetMode="External"/><Relationship Id="rId32"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https://doi.org/10.1136/archdischild-2023-325865" TargetMode="External"/><Relationship Id="rId23" Type="http://schemas.openxmlformats.org/officeDocument/2006/relationships/hyperlink" Target="https://doi.org/10.3389/fsurg.2025.1713049" TargetMode="External"/><Relationship Id="rId28" Type="http://schemas.openxmlformats.org/officeDocument/2006/relationships/image" Target="media/image1.jpeg"/><Relationship Id="rId10" Type="http://schemas.openxmlformats.org/officeDocument/2006/relationships/footer" Target="footer2.xml"/><Relationship Id="rId19" Type="http://schemas.openxmlformats.org/officeDocument/2006/relationships/hyperlink" Target="https://doi.org/10.1016/j.epsc.2019.101241" TargetMode="External"/><Relationship Id="rId31"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186/1752-1947-7-125" TargetMode="External"/><Relationship Id="rId22" Type="http://schemas.openxmlformats.org/officeDocument/2006/relationships/hyperlink" Target="https://doi.org/10.3390/jcm12113608" TargetMode="External"/><Relationship Id="rId27" Type="http://schemas.openxmlformats.org/officeDocument/2006/relationships/hyperlink" Target="http://doi.org/10.1016/j.eucr.2025.103217" TargetMode="External"/><Relationship Id="rId30" Type="http://schemas.openxmlformats.org/officeDocument/2006/relationships/image" Target="media/image3.jpe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2026-05-08T11:39:00Z</dcterms:created>
  <dcterms:modified xsi:type="dcterms:W3CDTF">2026-05-09T12:14:00Z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2026-05-08T00:00:00Z</vt:filetime>
  </property>
  <property fmtid="{D5CDD505-2E9C-101B-9397-08002B2CF9AE}" pid="4" name="Creator">
    <vt:lpwstr>Microsoft Word</vt:lpwstr>
  </property>
  <property fmtid="{D5CDD505-2E9C-101B-9397-08002B2CF9AE}" pid="5" name="LastSaved">
    <vt:filetime>2026-05-08T00:00:00Z</vt:filetime>
  </property>
</Properties>
</file>