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5F5C6" w14:textId="26347E0C" w:rsidR="00DB3E4F" w:rsidRDefault="00DB3E4F" w:rsidP="00DB3E4F">
      <w:pPr>
        <w:spacing w:before="240" w:after="0" w:line="360" w:lineRule="auto"/>
        <w:jc w:val="both"/>
        <w:rPr>
          <w:rFonts w:ascii="Arial" w:hAnsi="Arial" w:cs="Arial"/>
        </w:rPr>
      </w:pPr>
      <w:bookmarkStart w:id="0" w:name="_Hlk128336135"/>
      <w:bookmarkStart w:id="1" w:name="_Hlk184295883"/>
      <w:bookmarkStart w:id="2" w:name="_Hlk182049987"/>
      <w:bookmarkStart w:id="3" w:name="_Hlk182050669"/>
      <w:r w:rsidRPr="00DB3E4F">
        <w:rPr>
          <w:rFonts w:ascii="Arial" w:hAnsi="Arial" w:cs="Arial"/>
        </w:rPr>
        <w:t xml:space="preserve">Original Research Article </w:t>
      </w:r>
    </w:p>
    <w:p w14:paraId="46D44D07" w14:textId="77777777" w:rsidR="000C4FD6" w:rsidRPr="00DB3E4F" w:rsidRDefault="000C4FD6" w:rsidP="00DB3E4F">
      <w:pPr>
        <w:spacing w:before="240" w:after="0" w:line="360" w:lineRule="auto"/>
        <w:jc w:val="both"/>
        <w:rPr>
          <w:rFonts w:ascii="Arial" w:hAnsi="Arial" w:cs="Arial"/>
        </w:rPr>
      </w:pPr>
    </w:p>
    <w:p w14:paraId="7FF2A38A" w14:textId="08BD68A7" w:rsidR="00DB3E4F" w:rsidRPr="00DB3E4F" w:rsidRDefault="00DB3E4F" w:rsidP="00DB3E4F">
      <w:pPr>
        <w:jc w:val="both"/>
        <w:rPr>
          <w:rFonts w:ascii="Arial" w:hAnsi="Arial" w:cs="Arial"/>
          <w:b/>
          <w:bCs/>
        </w:rPr>
      </w:pPr>
      <w:r w:rsidRPr="00DB3E4F">
        <w:rPr>
          <w:rFonts w:ascii="Arial" w:hAnsi="Arial" w:cs="Arial"/>
        </w:rPr>
        <w:t>Spatial Clustering and Risk Factors Associated with Acute Respiratory Infection among Under-five Children in India: A District-level Perspective</w:t>
      </w:r>
      <w:r w:rsidRPr="00DB3E4F">
        <w:rPr>
          <w:rFonts w:ascii="Arial" w:hAnsi="Arial" w:cs="Arial"/>
          <w:b/>
          <w:bCs/>
        </w:rPr>
        <w:t xml:space="preserve"> </w:t>
      </w:r>
    </w:p>
    <w:p w14:paraId="719B701B" w14:textId="6672076E" w:rsidR="000C4FD6" w:rsidRPr="00DB3E4F" w:rsidRDefault="000C4FD6" w:rsidP="00DB3E4F">
      <w:pPr>
        <w:spacing w:after="0"/>
        <w:contextualSpacing/>
        <w:jc w:val="both"/>
        <w:rPr>
          <w:rFonts w:ascii="Arial" w:hAnsi="Arial" w:cs="Arial"/>
        </w:rPr>
      </w:pPr>
    </w:p>
    <w:bookmarkEnd w:id="0"/>
    <w:bookmarkEnd w:id="1"/>
    <w:bookmarkEnd w:id="2"/>
    <w:p w14:paraId="6C6F1A04" w14:textId="707B2193" w:rsidR="00DB3E4F" w:rsidRDefault="00DB3E4F">
      <w:pPr>
        <w:spacing w:after="0" w:line="240" w:lineRule="auto"/>
        <w:rPr>
          <w:rFonts w:ascii="Arial" w:hAnsi="Arial" w:cs="Arial"/>
          <w:b/>
          <w:bCs/>
        </w:rPr>
      </w:pPr>
    </w:p>
    <w:p w14:paraId="40B993DB" w14:textId="111F5521" w:rsidR="009E70E1" w:rsidRPr="00DB3E4F" w:rsidRDefault="005A3B55" w:rsidP="005A3B55">
      <w:pPr>
        <w:rPr>
          <w:rFonts w:ascii="Arial" w:hAnsi="Arial" w:cs="Arial"/>
          <w:b/>
          <w:bCs/>
        </w:rPr>
      </w:pPr>
      <w:r w:rsidRPr="00DB3E4F">
        <w:rPr>
          <w:rFonts w:ascii="Arial" w:hAnsi="Arial" w:cs="Arial"/>
          <w:b/>
          <w:bCs/>
        </w:rPr>
        <w:t>ABSTRACT</w:t>
      </w:r>
    </w:p>
    <w:p w14:paraId="78C3BC89" w14:textId="479C7B12" w:rsidR="00F53450" w:rsidRPr="00DB3E4F" w:rsidRDefault="00F53450" w:rsidP="00F53450">
      <w:pPr>
        <w:spacing w:line="360" w:lineRule="auto"/>
        <w:jc w:val="both"/>
        <w:rPr>
          <w:rFonts w:ascii="Arial" w:hAnsi="Arial" w:cs="Arial"/>
        </w:rPr>
      </w:pPr>
      <w:r w:rsidRPr="00DB3E4F">
        <w:rPr>
          <w:rFonts w:ascii="Arial" w:eastAsia="SimSun" w:hAnsi="Arial" w:cs="Arial"/>
          <w:b/>
          <w:bCs/>
          <w:i/>
          <w:iCs/>
        </w:rPr>
        <w:t>Background:</w:t>
      </w:r>
      <w:r w:rsidRPr="00DB3E4F">
        <w:rPr>
          <w:rFonts w:ascii="Arial" w:eastAsia="SimSun" w:hAnsi="Arial" w:cs="Arial"/>
        </w:rPr>
        <w:t xml:space="preserve"> Acute Respiratory Infection (ARI) is one of the </w:t>
      </w:r>
      <w:r w:rsidRPr="00DB3E4F">
        <w:rPr>
          <w:rFonts w:ascii="Arial" w:hAnsi="Arial" w:cs="Arial"/>
          <w:color w:val="000000" w:themeColor="text1"/>
        </w:rPr>
        <w:t>major causes of mortality among children Under-five years (U5), especially in low and middle-income and developing countries like India</w:t>
      </w:r>
      <w:r w:rsidRPr="00DB3E4F">
        <w:rPr>
          <w:rFonts w:ascii="Arial" w:eastAsia="SimSun" w:hAnsi="Arial" w:cs="Arial"/>
        </w:rPr>
        <w:t xml:space="preserve">. </w:t>
      </w:r>
      <w:r w:rsidRPr="00DB3E4F">
        <w:rPr>
          <w:rFonts w:ascii="Arial" w:hAnsi="Arial" w:cs="Arial"/>
        </w:rPr>
        <w:t xml:space="preserve">Despite various efforts by international and national agencies, the </w:t>
      </w:r>
      <w:r w:rsidRPr="00DB3E4F">
        <w:rPr>
          <w:rFonts w:ascii="Arial" w:eastAsia="SimSun" w:hAnsi="Arial" w:cs="Arial"/>
        </w:rPr>
        <w:t>ARI prevalence among children has increased from 2016 to 2021 in India. Therefore, the present study aimed to investigate the prevalence and the contextual factors associated with ARI among U5 children across the districts in India.</w:t>
      </w:r>
      <w:r w:rsidRPr="00DB3E4F">
        <w:rPr>
          <w:rFonts w:ascii="Arial" w:hAnsi="Arial" w:cs="Arial"/>
        </w:rPr>
        <w:t xml:space="preserve"> </w:t>
      </w:r>
    </w:p>
    <w:p w14:paraId="0824D7B9" w14:textId="77777777" w:rsidR="00F53450" w:rsidRPr="00DB3E4F" w:rsidRDefault="00F53450" w:rsidP="00F53450">
      <w:pPr>
        <w:spacing w:line="360" w:lineRule="auto"/>
        <w:jc w:val="both"/>
        <w:rPr>
          <w:rFonts w:ascii="Arial" w:hAnsi="Arial" w:cs="Arial"/>
        </w:rPr>
      </w:pPr>
      <w:r w:rsidRPr="00DB3E4F">
        <w:rPr>
          <w:rFonts w:ascii="Arial" w:hAnsi="Arial" w:cs="Arial"/>
          <w:b/>
          <w:bCs/>
          <w:i/>
          <w:iCs/>
        </w:rPr>
        <w:t>Methods:</w:t>
      </w:r>
      <w:r w:rsidRPr="00DB3E4F">
        <w:rPr>
          <w:rFonts w:ascii="Arial" w:hAnsi="Arial" w:cs="Arial"/>
        </w:rPr>
        <w:t xml:space="preserve"> The study used the National Family Health Survey-5 conducted in 2019-21. Spatial analysis software (ArcGIS and GeoDa) has been used to show the spatial prevalence and clustering across districts in India. A multilevel logistic regression model was applied to identify the risk factors associated with ARI. </w:t>
      </w:r>
    </w:p>
    <w:p w14:paraId="087482BE" w14:textId="77777777" w:rsidR="00F53450" w:rsidRPr="00DB3E4F" w:rsidRDefault="00F53450" w:rsidP="00F53450">
      <w:pPr>
        <w:spacing w:line="360" w:lineRule="auto"/>
        <w:jc w:val="both"/>
        <w:rPr>
          <w:rFonts w:ascii="Arial" w:hAnsi="Arial" w:cs="Arial"/>
        </w:rPr>
      </w:pPr>
      <w:r w:rsidRPr="00DB3E4F">
        <w:rPr>
          <w:rFonts w:ascii="Arial" w:hAnsi="Arial" w:cs="Arial"/>
          <w:b/>
          <w:bCs/>
          <w:i/>
          <w:iCs/>
        </w:rPr>
        <w:t>Results:</w:t>
      </w:r>
      <w:r w:rsidRPr="00DB3E4F">
        <w:rPr>
          <w:rFonts w:ascii="Arial" w:hAnsi="Arial" w:cs="Arial"/>
        </w:rPr>
        <w:t xml:space="preserve"> The study highlighted that the prevalence of ARI in India is 2.8 percent. The clustering analysis (Moran’s I=0.27) </w:t>
      </w:r>
      <w:r w:rsidRPr="00DB3E4F">
        <w:rPr>
          <w:rFonts w:ascii="Arial" w:hAnsi="Arial" w:cs="Arial"/>
          <w:bCs/>
          <w:iCs/>
          <w:color w:val="000000"/>
        </w:rPr>
        <w:t xml:space="preserve">detects 58 hot-spot and 66 cold-spot districts in India. </w:t>
      </w:r>
      <w:r w:rsidRPr="00DB3E4F">
        <w:rPr>
          <w:rFonts w:ascii="Arial" w:hAnsi="Arial" w:cs="Arial"/>
        </w:rPr>
        <w:t xml:space="preserve">Most hot-spot districts are from Uttar Pradesh, Maharashtra, Panjab, Delhi, Jammu &amp; Kashmir, Odisha and Assam. The study also highlighted that exposure to smoking in the household </w:t>
      </w:r>
      <w:r w:rsidRPr="00DB3E4F">
        <w:rPr>
          <w:rFonts w:ascii="Arial" w:eastAsia="Times New Roman" w:hAnsi="Arial" w:cs="Arial"/>
          <w:color w:val="000000"/>
          <w:lang w:eastAsia="en-IN"/>
        </w:rPr>
        <w:t xml:space="preserve">(AOR:1.13; 95% CI: 1.06-1.19), </w:t>
      </w:r>
      <w:r w:rsidRPr="00DB3E4F">
        <w:rPr>
          <w:rFonts w:ascii="Arial" w:hAnsi="Arial" w:cs="Arial"/>
        </w:rPr>
        <w:t xml:space="preserve">mothers with respiratory illness/asthma </w:t>
      </w:r>
      <w:r w:rsidRPr="00DB3E4F">
        <w:rPr>
          <w:rFonts w:ascii="Arial" w:eastAsia="Times New Roman" w:hAnsi="Arial" w:cs="Arial"/>
          <w:color w:val="000000"/>
          <w:lang w:eastAsia="en-IN"/>
        </w:rPr>
        <w:t>(AOR:2.33; 95% CI: 1.93-2.8)</w:t>
      </w:r>
      <w:r w:rsidRPr="00DB3E4F">
        <w:rPr>
          <w:rFonts w:ascii="Arial" w:hAnsi="Arial" w:cs="Arial"/>
        </w:rPr>
        <w:t xml:space="preserve">, mothers' smoking behaviour </w:t>
      </w:r>
      <w:r w:rsidRPr="00DB3E4F">
        <w:rPr>
          <w:rFonts w:ascii="Arial" w:eastAsia="Times New Roman" w:hAnsi="Arial" w:cs="Arial"/>
          <w:color w:val="000000"/>
          <w:lang w:eastAsia="en-IN"/>
        </w:rPr>
        <w:t xml:space="preserve">(AOR:1.34; 95% CI:1.2-1.5) </w:t>
      </w:r>
      <w:r w:rsidRPr="00DB3E4F">
        <w:rPr>
          <w:rFonts w:ascii="Arial" w:hAnsi="Arial" w:cs="Arial"/>
        </w:rPr>
        <w:t xml:space="preserve">child malnutrition </w:t>
      </w:r>
      <w:r w:rsidRPr="00DB3E4F">
        <w:rPr>
          <w:rFonts w:ascii="Arial" w:eastAsia="Times New Roman" w:hAnsi="Arial" w:cs="Arial"/>
          <w:color w:val="000000"/>
          <w:lang w:eastAsia="en-IN"/>
        </w:rPr>
        <w:t>(AOR:1.08; 95% CI: 1.02-1.18)</w:t>
      </w:r>
      <w:r w:rsidRPr="00DB3E4F">
        <w:rPr>
          <w:rFonts w:ascii="Arial" w:hAnsi="Arial" w:cs="Arial"/>
        </w:rPr>
        <w:t xml:space="preserve">,  and history of diarrhoea </w:t>
      </w:r>
      <w:r w:rsidRPr="00DB3E4F">
        <w:rPr>
          <w:rFonts w:ascii="Arial" w:eastAsia="Times New Roman" w:hAnsi="Arial" w:cs="Arial"/>
          <w:color w:val="000000"/>
          <w:lang w:eastAsia="en-IN"/>
        </w:rPr>
        <w:t xml:space="preserve">(AOR:3.76, 95% CI: 3.52-4.02) </w:t>
      </w:r>
      <w:r w:rsidRPr="00DB3E4F">
        <w:rPr>
          <w:rFonts w:ascii="Arial" w:hAnsi="Arial" w:cs="Arial"/>
        </w:rPr>
        <w:t xml:space="preserve">significantly associated with ARI prevalence in India. </w:t>
      </w:r>
    </w:p>
    <w:p w14:paraId="78C85EC7" w14:textId="77777777" w:rsidR="00F53450" w:rsidRPr="00DB3E4F" w:rsidRDefault="00F53450" w:rsidP="00F53450">
      <w:pPr>
        <w:spacing w:line="360" w:lineRule="auto"/>
        <w:jc w:val="both"/>
        <w:rPr>
          <w:rFonts w:ascii="Arial" w:hAnsi="Arial" w:cs="Arial"/>
        </w:rPr>
      </w:pPr>
      <w:r w:rsidRPr="00DB3E4F">
        <w:rPr>
          <w:rFonts w:ascii="Arial" w:hAnsi="Arial" w:cs="Arial"/>
          <w:b/>
          <w:bCs/>
          <w:i/>
          <w:iCs/>
        </w:rPr>
        <w:t>Conclusion:</w:t>
      </w:r>
      <w:r w:rsidRPr="00DB3E4F">
        <w:rPr>
          <w:rFonts w:ascii="Arial" w:hAnsi="Arial" w:cs="Arial"/>
        </w:rPr>
        <w:t xml:space="preserve"> The study recommends that public health programs focus on the high prevalence and hotspot districts and implement a district and state-level policy to control the incidence and burden of childhood ARI in India. </w:t>
      </w:r>
    </w:p>
    <w:p w14:paraId="72900B1E" w14:textId="7ED1159E" w:rsidR="009E70E1" w:rsidRPr="00DB3E4F" w:rsidRDefault="001442EF">
      <w:pPr>
        <w:rPr>
          <w:rFonts w:ascii="Arial" w:hAnsi="Arial" w:cs="Arial"/>
        </w:rPr>
      </w:pPr>
      <w:r w:rsidRPr="00DB3E4F">
        <w:rPr>
          <w:rFonts w:ascii="Arial" w:hAnsi="Arial" w:cs="Arial"/>
          <w:b/>
          <w:bCs/>
        </w:rPr>
        <w:t>Kew Words:</w:t>
      </w:r>
      <w:r w:rsidRPr="00DB3E4F">
        <w:rPr>
          <w:rFonts w:ascii="Arial" w:hAnsi="Arial" w:cs="Arial"/>
        </w:rPr>
        <w:t xml:space="preserve"> Acute Respiratory Infection, Spatial clustering, Hot-spot, </w:t>
      </w:r>
      <w:r w:rsidR="003F0E76" w:rsidRPr="00DB3E4F">
        <w:rPr>
          <w:rFonts w:ascii="Arial" w:hAnsi="Arial" w:cs="Arial"/>
        </w:rPr>
        <w:t>multilevel logistic regression model, ArcGIS</w:t>
      </w:r>
    </w:p>
    <w:p w14:paraId="1B077C3B" w14:textId="77777777" w:rsidR="009E70E1" w:rsidRPr="00DB3E4F" w:rsidRDefault="001442EF">
      <w:pPr>
        <w:spacing w:line="278" w:lineRule="auto"/>
        <w:rPr>
          <w:rFonts w:ascii="Arial" w:eastAsiaTheme="majorEastAsia" w:hAnsi="Arial" w:cs="Arial"/>
          <w:b/>
          <w:color w:val="000000" w:themeColor="text1"/>
        </w:rPr>
      </w:pPr>
      <w:r w:rsidRPr="00DB3E4F">
        <w:rPr>
          <w:rFonts w:ascii="Arial" w:hAnsi="Arial" w:cs="Arial"/>
        </w:rPr>
        <w:br w:type="page"/>
      </w:r>
    </w:p>
    <w:p w14:paraId="0935A081" w14:textId="0290AD92" w:rsidR="009E70E1" w:rsidRPr="00DB3E4F" w:rsidRDefault="00DB3E4F" w:rsidP="00DB3E4F">
      <w:pPr>
        <w:pStyle w:val="Heading1"/>
        <w:rPr>
          <w:rFonts w:ascii="Arial" w:hAnsi="Arial" w:cs="Arial"/>
          <w:sz w:val="22"/>
          <w:szCs w:val="22"/>
        </w:rPr>
      </w:pPr>
      <w:r w:rsidRPr="00DB3E4F">
        <w:rPr>
          <w:rFonts w:ascii="Arial" w:hAnsi="Arial" w:cs="Arial"/>
          <w:sz w:val="22"/>
          <w:szCs w:val="22"/>
        </w:rPr>
        <w:lastRenderedPageBreak/>
        <w:t>INTRODUCTION</w:t>
      </w:r>
    </w:p>
    <w:p w14:paraId="695E00D1" w14:textId="57821B85" w:rsidR="009E70E1" w:rsidRPr="00DB3E4F" w:rsidRDefault="00E92BD0">
      <w:pPr>
        <w:spacing w:line="360" w:lineRule="auto"/>
        <w:jc w:val="both"/>
        <w:rPr>
          <w:rFonts w:ascii="Arial" w:hAnsi="Arial" w:cs="Arial"/>
          <w:color w:val="000000" w:themeColor="text1"/>
        </w:rPr>
      </w:pPr>
      <w:r w:rsidRPr="00DB3E4F">
        <w:rPr>
          <w:rFonts w:ascii="Arial" w:hAnsi="Arial" w:cs="Arial"/>
          <w:color w:val="000000" w:themeColor="text1"/>
        </w:rPr>
        <w:t xml:space="preserve">Worldwide, Acute respiratory infections (ARIs) are common respiratory diseases among </w:t>
      </w:r>
      <w:r w:rsidR="00073BFB" w:rsidRPr="00DB3E4F">
        <w:rPr>
          <w:rFonts w:ascii="Arial" w:hAnsi="Arial" w:cs="Arial"/>
          <w:color w:val="000000" w:themeColor="text1"/>
        </w:rPr>
        <w:t>under five (U5)</w:t>
      </w:r>
      <w:r w:rsidR="002F7CCB" w:rsidRPr="00DB3E4F">
        <w:rPr>
          <w:rFonts w:ascii="Arial" w:hAnsi="Arial" w:cs="Arial"/>
          <w:color w:val="000000" w:themeColor="text1"/>
        </w:rPr>
        <w:t xml:space="preserve"> children</w:t>
      </w:r>
      <w:r w:rsidRPr="00DB3E4F">
        <w:rPr>
          <w:rFonts w:ascii="Arial" w:hAnsi="Arial" w:cs="Arial"/>
          <w:color w:val="000000" w:themeColor="text1"/>
        </w:rPr>
        <w:t xml:space="preserve">. </w:t>
      </w:r>
      <w:r w:rsidR="00AB19C8" w:rsidRPr="00DB3E4F">
        <w:rPr>
          <w:rFonts w:ascii="Arial" w:hAnsi="Arial" w:cs="Arial"/>
          <w:color w:val="000000" w:themeColor="text1"/>
        </w:rPr>
        <w:t xml:space="preserve">According to </w:t>
      </w:r>
      <w:r w:rsidR="00E57DDC" w:rsidRPr="00DB3E4F">
        <w:rPr>
          <w:rFonts w:ascii="Arial" w:hAnsi="Arial" w:cs="Arial"/>
          <w:color w:val="000000" w:themeColor="text1"/>
        </w:rPr>
        <w:t xml:space="preserve">the </w:t>
      </w:r>
      <w:r w:rsidR="00AB19C8" w:rsidRPr="00DB3E4F">
        <w:rPr>
          <w:rFonts w:ascii="Arial" w:hAnsi="Arial" w:cs="Arial"/>
          <w:color w:val="000000" w:themeColor="text1"/>
        </w:rPr>
        <w:t>World Health Organization (WHO)</w:t>
      </w:r>
      <w:r w:rsidR="002324CF" w:rsidRPr="00DB3E4F">
        <w:rPr>
          <w:rFonts w:ascii="Arial" w:hAnsi="Arial" w:cs="Arial"/>
          <w:color w:val="000000" w:themeColor="text1"/>
        </w:rPr>
        <w:t>,</w:t>
      </w:r>
      <w:r w:rsidR="00AB19C8" w:rsidRPr="00DB3E4F">
        <w:rPr>
          <w:rFonts w:ascii="Arial" w:hAnsi="Arial" w:cs="Arial"/>
          <w:color w:val="000000" w:themeColor="text1"/>
        </w:rPr>
        <w:t xml:space="preserve"> </w:t>
      </w:r>
      <w:r w:rsidRPr="00DB3E4F">
        <w:rPr>
          <w:rFonts w:ascii="Arial" w:eastAsia="SimSun" w:hAnsi="Arial" w:cs="Arial"/>
          <w:color w:val="000000" w:themeColor="text1"/>
        </w:rPr>
        <w:t xml:space="preserve">ARIs account for </w:t>
      </w:r>
      <w:r w:rsidR="007C5633" w:rsidRPr="00DB3E4F">
        <w:rPr>
          <w:rFonts w:ascii="Arial" w:eastAsia="SimSun" w:hAnsi="Arial" w:cs="Arial"/>
          <w:color w:val="000000" w:themeColor="text1"/>
        </w:rPr>
        <w:t>20</w:t>
      </w:r>
      <w:r w:rsidR="00AB19C8" w:rsidRPr="00DB3E4F">
        <w:rPr>
          <w:rFonts w:ascii="Arial" w:eastAsia="SimSun" w:hAnsi="Arial" w:cs="Arial"/>
          <w:color w:val="000000" w:themeColor="text1"/>
        </w:rPr>
        <w:t xml:space="preserve"> percent</w:t>
      </w:r>
      <w:r w:rsidRPr="00DB3E4F">
        <w:rPr>
          <w:rFonts w:ascii="Arial" w:eastAsia="SimSun" w:hAnsi="Arial" w:cs="Arial"/>
          <w:color w:val="000000" w:themeColor="text1"/>
        </w:rPr>
        <w:t xml:space="preserve"> of all deaths among children under five </w:t>
      </w:r>
      <w:r w:rsidR="00DA7F01" w:rsidRPr="00DB3E4F">
        <w:rPr>
          <w:rFonts w:ascii="Arial" w:eastAsia="SimSun" w:hAnsi="Arial" w:cs="Arial"/>
          <w:color w:val="000000" w:themeColor="text1"/>
        </w:rPr>
        <w:t>(U5) years of age globally</w:t>
      </w:r>
      <w:r w:rsidRPr="00DB3E4F">
        <w:rPr>
          <w:rFonts w:ascii="Arial" w:eastAsia="SimSun" w:hAnsi="Arial" w:cs="Arial"/>
          <w:color w:val="000000" w:themeColor="text1"/>
        </w:rPr>
        <w:t xml:space="preserve"> (WHO, 2022a)</w:t>
      </w:r>
      <w:r w:rsidR="00AB19C8" w:rsidRPr="00DB3E4F">
        <w:rPr>
          <w:rFonts w:ascii="Arial" w:hAnsi="Arial" w:cs="Arial"/>
          <w:color w:val="000000" w:themeColor="text1"/>
        </w:rPr>
        <w:t>.</w:t>
      </w:r>
      <w:r w:rsidRPr="00DB3E4F">
        <w:rPr>
          <w:rFonts w:ascii="Arial" w:hAnsi="Arial" w:cs="Arial"/>
          <w:color w:val="000000" w:themeColor="text1"/>
        </w:rPr>
        <w:t xml:space="preserve"> </w:t>
      </w:r>
      <w:r w:rsidR="00073BFB" w:rsidRPr="00DB3E4F">
        <w:rPr>
          <w:rFonts w:ascii="Arial" w:hAnsi="Arial" w:cs="Arial"/>
          <w:color w:val="000000" w:themeColor="text1"/>
        </w:rPr>
        <w:t>The</w:t>
      </w:r>
      <w:r w:rsidRPr="00DB3E4F">
        <w:rPr>
          <w:rFonts w:ascii="Arial" w:hAnsi="Arial" w:cs="Arial"/>
          <w:color w:val="000000" w:themeColor="text1"/>
        </w:rPr>
        <w:t xml:space="preserve"> influenza virus (IV), parainfluenza viruses (PIV), adenovirus (ADVs), and coronaviruses (CVs) </w:t>
      </w:r>
      <w:r w:rsidRPr="00DB3E4F">
        <w:rPr>
          <w:rFonts w:ascii="Arial" w:hAnsi="Arial" w:cs="Arial"/>
          <w:color w:val="000000" w:themeColor="text1"/>
          <w:lang w:val="en-US"/>
        </w:rPr>
        <w:t xml:space="preserve">are </w:t>
      </w:r>
      <w:r w:rsidR="00073BFB" w:rsidRPr="00DB3E4F">
        <w:rPr>
          <w:rFonts w:ascii="Arial" w:hAnsi="Arial" w:cs="Arial"/>
          <w:color w:val="000000" w:themeColor="text1"/>
        </w:rPr>
        <w:t xml:space="preserve">the main infectious agents responsible </w:t>
      </w:r>
      <w:r w:rsidRPr="00DB3E4F">
        <w:rPr>
          <w:rFonts w:ascii="Arial" w:hAnsi="Arial" w:cs="Arial"/>
          <w:color w:val="000000" w:themeColor="text1"/>
        </w:rPr>
        <w:t xml:space="preserve">for </w:t>
      </w:r>
      <w:r w:rsidR="00073BFB" w:rsidRPr="00DB3E4F">
        <w:rPr>
          <w:rFonts w:ascii="Arial" w:hAnsi="Arial" w:cs="Arial"/>
          <w:color w:val="000000" w:themeColor="text1"/>
        </w:rPr>
        <w:t>ARIs</w:t>
      </w:r>
      <w:r w:rsidR="00BB6FAB" w:rsidRPr="00DB3E4F">
        <w:rPr>
          <w:rFonts w:ascii="Arial" w:hAnsi="Arial" w:cs="Arial"/>
          <w:color w:val="000000" w:themeColor="text1"/>
        </w:rPr>
        <w:t xml:space="preserve"> (Lukšić et al., 2013)</w:t>
      </w:r>
      <w:r w:rsidR="00691EF6" w:rsidRPr="00DB3E4F">
        <w:rPr>
          <w:rFonts w:ascii="Arial" w:hAnsi="Arial" w:cs="Arial"/>
          <w:color w:val="000000" w:themeColor="text1"/>
        </w:rPr>
        <w:t>.</w:t>
      </w:r>
      <w:r w:rsidR="00F5527D" w:rsidRPr="00DB3E4F">
        <w:rPr>
          <w:rFonts w:ascii="Arial" w:hAnsi="Arial" w:cs="Arial"/>
          <w:color w:val="000000" w:themeColor="text1"/>
        </w:rPr>
        <w:t xml:space="preserve"> </w:t>
      </w:r>
      <w:r w:rsidRPr="00DB3E4F">
        <w:rPr>
          <w:rFonts w:ascii="Arial" w:hAnsi="Arial" w:cs="Arial"/>
          <w:color w:val="000000" w:themeColor="text1"/>
        </w:rPr>
        <w:t>Globally</w:t>
      </w:r>
      <w:r w:rsidR="00BB6FAB" w:rsidRPr="00DB3E4F">
        <w:rPr>
          <w:rFonts w:ascii="Arial" w:hAnsi="Arial" w:cs="Arial"/>
          <w:color w:val="000000" w:themeColor="text1"/>
        </w:rPr>
        <w:t xml:space="preserve">, </w:t>
      </w:r>
      <w:r w:rsidRPr="00DB3E4F">
        <w:rPr>
          <w:rFonts w:ascii="Arial" w:hAnsi="Arial" w:cs="Arial"/>
          <w:color w:val="000000" w:themeColor="text1"/>
        </w:rPr>
        <w:t>Lower respiratory tract infections (LRTIs) are the leading causes of morbidity and mortality among children under five years</w:t>
      </w:r>
      <w:r w:rsidR="00BB6FAB" w:rsidRPr="00DB3E4F">
        <w:rPr>
          <w:rFonts w:ascii="Arial" w:hAnsi="Arial" w:cs="Arial"/>
          <w:color w:val="000000" w:themeColor="text1"/>
        </w:rPr>
        <w:t xml:space="preserve"> (Troeger et al., 2018; WHO, 2022b)</w:t>
      </w:r>
      <w:r w:rsidRPr="00DB3E4F">
        <w:rPr>
          <w:rFonts w:ascii="Arial" w:hAnsi="Arial" w:cs="Arial"/>
          <w:color w:val="000000" w:themeColor="text1"/>
        </w:rPr>
        <w:t>. It</w:t>
      </w:r>
      <w:r w:rsidRPr="00DB3E4F">
        <w:rPr>
          <w:rFonts w:ascii="Arial" w:hAnsi="Arial" w:cs="Arial"/>
          <w:color w:val="000000" w:themeColor="text1"/>
          <w:lang w:val="en-US"/>
        </w:rPr>
        <w:t xml:space="preserve"> </w:t>
      </w:r>
      <w:r w:rsidRPr="00DB3E4F">
        <w:rPr>
          <w:rFonts w:ascii="Arial" w:hAnsi="Arial" w:cs="Arial"/>
          <w:color w:val="000000" w:themeColor="text1"/>
        </w:rPr>
        <w:t>caused 652, 572 deaths in children younger than 5 years worldwide in 2016</w:t>
      </w:r>
      <w:r w:rsidR="00BB6FAB" w:rsidRPr="00DB3E4F">
        <w:rPr>
          <w:rFonts w:ascii="Arial" w:hAnsi="Arial" w:cs="Arial"/>
          <w:color w:val="000000" w:themeColor="text1"/>
        </w:rPr>
        <w:t xml:space="preserve"> (Troeger et al., 2018)</w:t>
      </w:r>
      <w:r w:rsidRPr="00DB3E4F">
        <w:rPr>
          <w:rFonts w:ascii="Arial" w:hAnsi="Arial" w:cs="Arial"/>
          <w:color w:val="000000" w:themeColor="text1"/>
        </w:rPr>
        <w:t xml:space="preserve">. Mortality due to ARIs varies significantly across the regions </w:t>
      </w:r>
      <w:r w:rsidR="00BB6FAB" w:rsidRPr="00DB3E4F">
        <w:rPr>
          <w:rFonts w:ascii="Arial" w:hAnsi="Arial" w:cs="Arial"/>
          <w:color w:val="000000" w:themeColor="text1"/>
        </w:rPr>
        <w:t>(Wang et al., 2017)</w:t>
      </w:r>
      <w:r w:rsidRPr="00DB3E4F">
        <w:rPr>
          <w:rFonts w:ascii="Arial" w:hAnsi="Arial" w:cs="Arial"/>
          <w:color w:val="000000" w:themeColor="text1"/>
        </w:rPr>
        <w:t xml:space="preserve">. A study conducted to assess the prevalence of </w:t>
      </w:r>
      <w:r w:rsidRPr="00DB3E4F">
        <w:rPr>
          <w:rFonts w:ascii="Arial" w:hAnsi="Arial" w:cs="Arial"/>
          <w:color w:val="000000" w:themeColor="text1"/>
          <w:lang w:val="en-US"/>
        </w:rPr>
        <w:t>ARIs</w:t>
      </w:r>
      <w:r w:rsidRPr="00DB3E4F">
        <w:rPr>
          <w:rFonts w:ascii="Arial" w:hAnsi="Arial" w:cs="Arial"/>
          <w:color w:val="000000" w:themeColor="text1"/>
        </w:rPr>
        <w:t xml:space="preserve"> among children under-five years from 28 sub-Saharan African </w:t>
      </w:r>
      <w:r w:rsidRPr="00DB3E4F">
        <w:rPr>
          <w:rFonts w:ascii="Arial" w:hAnsi="Arial" w:cs="Arial"/>
          <w:color w:val="000000" w:themeColor="text1"/>
          <w:lang w:val="en-US"/>
        </w:rPr>
        <w:t>countries revealed that the overall prevalence of ARI for all the countries was 25.3</w:t>
      </w:r>
      <w:r w:rsidR="00BB6FAB" w:rsidRPr="00DB3E4F">
        <w:rPr>
          <w:rFonts w:ascii="Arial" w:hAnsi="Arial" w:cs="Arial"/>
          <w:color w:val="000000" w:themeColor="text1"/>
          <w:lang w:val="en-US"/>
        </w:rPr>
        <w:t xml:space="preserve"> percent (Seidu et al., 2019)</w:t>
      </w:r>
      <w:r w:rsidRPr="00DB3E4F">
        <w:rPr>
          <w:rFonts w:ascii="Arial" w:hAnsi="Arial" w:cs="Arial"/>
          <w:color w:val="000000" w:themeColor="text1"/>
          <w:lang w:val="en-US"/>
        </w:rPr>
        <w:t>.</w:t>
      </w:r>
      <w:r w:rsidRPr="00DB3E4F">
        <w:rPr>
          <w:rFonts w:ascii="Arial" w:hAnsi="Arial" w:cs="Arial"/>
          <w:color w:val="000000" w:themeColor="text1"/>
        </w:rPr>
        <w:t xml:space="preserve"> </w:t>
      </w:r>
    </w:p>
    <w:p w14:paraId="5652501B" w14:textId="633AA561" w:rsidR="009E70E1" w:rsidRPr="00DB3E4F" w:rsidRDefault="001442EF">
      <w:pPr>
        <w:spacing w:line="360" w:lineRule="auto"/>
        <w:jc w:val="both"/>
        <w:rPr>
          <w:rFonts w:ascii="Arial" w:hAnsi="Arial" w:cs="Arial"/>
          <w:color w:val="000000" w:themeColor="text1"/>
        </w:rPr>
      </w:pPr>
      <w:r w:rsidRPr="00DB3E4F">
        <w:rPr>
          <w:rFonts w:ascii="Arial" w:hAnsi="Arial" w:cs="Arial"/>
          <w:color w:val="000000" w:themeColor="text1"/>
        </w:rPr>
        <w:t>ARI is the major cause of mortality among children aged less than 5 years, especially in low-income</w:t>
      </w:r>
      <w:r w:rsidR="00BB6FAB" w:rsidRPr="00DB3E4F">
        <w:rPr>
          <w:rFonts w:ascii="Arial" w:hAnsi="Arial" w:cs="Arial"/>
          <w:color w:val="000000" w:themeColor="text1"/>
        </w:rPr>
        <w:t xml:space="preserve"> (Walker et al., 2013)</w:t>
      </w:r>
      <w:r w:rsidRPr="00DB3E4F">
        <w:rPr>
          <w:rFonts w:ascii="Arial" w:hAnsi="Arial" w:cs="Arial"/>
          <w:color w:val="000000" w:themeColor="text1"/>
        </w:rPr>
        <w:t xml:space="preserve"> and developing countries</w:t>
      </w:r>
      <w:r w:rsidR="00BB6FAB" w:rsidRPr="00DB3E4F">
        <w:rPr>
          <w:rFonts w:ascii="Arial" w:hAnsi="Arial" w:cs="Arial"/>
          <w:color w:val="000000" w:themeColor="text1"/>
        </w:rPr>
        <w:t xml:space="preserve"> (Frese et al., 2011)</w:t>
      </w:r>
      <w:r w:rsidRPr="00DB3E4F">
        <w:rPr>
          <w:rFonts w:ascii="Arial" w:hAnsi="Arial" w:cs="Arial"/>
          <w:color w:val="000000" w:themeColor="text1"/>
        </w:rPr>
        <w:t xml:space="preserve"> like India</w:t>
      </w:r>
      <w:r w:rsidR="00691EF6" w:rsidRPr="00DB3E4F">
        <w:rPr>
          <w:rFonts w:ascii="Arial" w:hAnsi="Arial" w:cs="Arial"/>
          <w:color w:val="000000" w:themeColor="text1"/>
        </w:rPr>
        <w:t xml:space="preserve"> </w:t>
      </w:r>
      <w:r w:rsidR="00BB6FAB" w:rsidRPr="00DB3E4F">
        <w:rPr>
          <w:rFonts w:ascii="Arial" w:hAnsi="Arial" w:cs="Arial"/>
          <w:color w:val="000000" w:themeColor="text1"/>
        </w:rPr>
        <w:t>(WHO, 1998)</w:t>
      </w:r>
      <w:r w:rsidRPr="00DB3E4F">
        <w:rPr>
          <w:rFonts w:ascii="Arial" w:hAnsi="Arial" w:cs="Arial"/>
          <w:color w:val="000000" w:themeColor="text1"/>
        </w:rPr>
        <w:t>. It is estimated that Bangladesh, India, Indonesia, and Nepal together account for 40% of the global ARI mortality</w:t>
      </w:r>
      <w:r w:rsidR="00BB6FAB" w:rsidRPr="00DB3E4F">
        <w:rPr>
          <w:rFonts w:ascii="Arial" w:hAnsi="Arial" w:cs="Arial"/>
          <w:color w:val="000000" w:themeColor="text1"/>
        </w:rPr>
        <w:t xml:space="preserve"> (Kumar et al., 2015)</w:t>
      </w:r>
      <w:r w:rsidRPr="00DB3E4F">
        <w:rPr>
          <w:rFonts w:ascii="Arial" w:hAnsi="Arial" w:cs="Arial"/>
          <w:color w:val="000000" w:themeColor="text1"/>
        </w:rPr>
        <w:t>. In India, ARI accounts for 30</w:t>
      </w:r>
      <w:r w:rsidR="00BB6FAB" w:rsidRPr="00DB3E4F">
        <w:rPr>
          <w:rFonts w:ascii="Arial" w:hAnsi="Arial" w:cs="Arial"/>
          <w:color w:val="000000" w:themeColor="text1"/>
        </w:rPr>
        <w:t>-50 percent</w:t>
      </w:r>
      <w:r w:rsidRPr="00DB3E4F">
        <w:rPr>
          <w:rFonts w:ascii="Arial" w:hAnsi="Arial" w:cs="Arial"/>
          <w:color w:val="000000" w:themeColor="text1"/>
        </w:rPr>
        <w:t xml:space="preserve"> of visits to health facilities and 20-40</w:t>
      </w:r>
      <w:r w:rsidR="00BB6FAB" w:rsidRPr="00DB3E4F">
        <w:rPr>
          <w:rFonts w:ascii="Arial" w:hAnsi="Arial" w:cs="Arial"/>
          <w:color w:val="000000" w:themeColor="text1"/>
        </w:rPr>
        <w:t xml:space="preserve"> percent</w:t>
      </w:r>
      <w:r w:rsidRPr="00DB3E4F">
        <w:rPr>
          <w:rFonts w:ascii="Arial" w:hAnsi="Arial" w:cs="Arial"/>
          <w:color w:val="000000" w:themeColor="text1"/>
        </w:rPr>
        <w:t xml:space="preserve"> of hospital admissions</w:t>
      </w:r>
      <w:r w:rsidR="00BB6FAB" w:rsidRPr="00DB3E4F">
        <w:rPr>
          <w:rFonts w:ascii="Arial" w:hAnsi="Arial" w:cs="Arial"/>
          <w:color w:val="000000" w:themeColor="text1"/>
        </w:rPr>
        <w:t xml:space="preserve"> (Vashishtha, 2010)</w:t>
      </w:r>
      <w:r w:rsidRPr="00DB3E4F">
        <w:rPr>
          <w:rFonts w:ascii="Arial" w:hAnsi="Arial" w:cs="Arial"/>
          <w:color w:val="000000" w:themeColor="text1"/>
        </w:rPr>
        <w:t>. Besides these, ARI is also the cause of economic loss to both families as well as society</w:t>
      </w:r>
      <w:r w:rsidR="00BB6FAB" w:rsidRPr="00DB3E4F">
        <w:rPr>
          <w:rFonts w:ascii="Arial" w:hAnsi="Arial" w:cs="Arial"/>
          <w:color w:val="000000" w:themeColor="text1"/>
        </w:rPr>
        <w:t xml:space="preserve"> (Ramaekers et al., 2017)</w:t>
      </w:r>
      <w:r w:rsidRPr="00DB3E4F">
        <w:rPr>
          <w:rFonts w:ascii="Arial" w:hAnsi="Arial" w:cs="Arial"/>
          <w:color w:val="000000" w:themeColor="text1"/>
        </w:rPr>
        <w:t xml:space="preserve">. </w:t>
      </w:r>
    </w:p>
    <w:p w14:paraId="2ED7F127" w14:textId="6375920B" w:rsidR="009E70E1" w:rsidRPr="00DB3E4F" w:rsidRDefault="00F5527D">
      <w:pPr>
        <w:spacing w:line="360" w:lineRule="auto"/>
        <w:jc w:val="both"/>
        <w:rPr>
          <w:rFonts w:ascii="Arial" w:hAnsi="Arial" w:cs="Arial"/>
          <w:color w:val="000000" w:themeColor="text1"/>
        </w:rPr>
      </w:pPr>
      <w:r w:rsidRPr="00DB3E4F">
        <w:rPr>
          <w:rFonts w:ascii="Arial" w:hAnsi="Arial" w:cs="Arial"/>
          <w:color w:val="000000" w:themeColor="text1"/>
        </w:rPr>
        <w:t xml:space="preserve">This is also important for India to achieve the target </w:t>
      </w:r>
      <w:r w:rsidR="00C37C71" w:rsidRPr="00DB3E4F">
        <w:rPr>
          <w:rFonts w:ascii="Arial" w:hAnsi="Arial" w:cs="Arial"/>
          <w:color w:val="000000" w:themeColor="text1"/>
        </w:rPr>
        <w:t xml:space="preserve">of the Sustainable Development Goals (SDGs) </w:t>
      </w:r>
      <w:r w:rsidRPr="00DB3E4F">
        <w:rPr>
          <w:rFonts w:ascii="Arial" w:hAnsi="Arial" w:cs="Arial"/>
          <w:color w:val="000000" w:themeColor="text1"/>
        </w:rPr>
        <w:t>set by the United Nations (SDG-3.2: ending preventable deaths of newborns and under-five children by 2030)</w:t>
      </w:r>
      <w:r w:rsidR="00BB6FAB" w:rsidRPr="00DB3E4F">
        <w:rPr>
          <w:rFonts w:ascii="Arial" w:hAnsi="Arial" w:cs="Arial"/>
          <w:color w:val="000000" w:themeColor="text1"/>
        </w:rPr>
        <w:t xml:space="preserve"> (SDG-UN, 2015)</w:t>
      </w:r>
      <w:r w:rsidRPr="00DB3E4F">
        <w:rPr>
          <w:rFonts w:ascii="Arial" w:hAnsi="Arial" w:cs="Arial"/>
          <w:color w:val="000000" w:themeColor="text1"/>
        </w:rPr>
        <w:t xml:space="preserve">. WHO and UNICEF have also framed a global strategy to prevent pneumonia and diarrhoea deaths by 2025 by the Global Action Plan for Pneumonia and Diarrhoea (GAPPD). </w:t>
      </w:r>
      <w:r w:rsidR="00073BFB" w:rsidRPr="00DB3E4F">
        <w:rPr>
          <w:rFonts w:ascii="Arial" w:hAnsi="Arial" w:cs="Arial"/>
          <w:color w:val="000000" w:themeColor="text1"/>
        </w:rPr>
        <w:t xml:space="preserve">In that context, </w:t>
      </w:r>
      <w:r w:rsidRPr="00DB3E4F">
        <w:rPr>
          <w:rFonts w:ascii="Arial" w:hAnsi="Arial" w:cs="Arial"/>
          <w:color w:val="000000" w:themeColor="text1"/>
        </w:rPr>
        <w:t>India has already set its goal to achieve the SDGs target to reduce under-five child mortality by 25/1000 live births in 2030</w:t>
      </w:r>
      <w:r w:rsidR="00BB6FAB" w:rsidRPr="00DB3E4F">
        <w:rPr>
          <w:rFonts w:ascii="Arial" w:hAnsi="Arial" w:cs="Arial"/>
          <w:color w:val="000000" w:themeColor="text1"/>
        </w:rPr>
        <w:t xml:space="preserve"> (SDG-UN, 2015)</w:t>
      </w:r>
      <w:r w:rsidR="00AD131C" w:rsidRPr="00DB3E4F">
        <w:rPr>
          <w:rFonts w:ascii="Arial" w:hAnsi="Arial" w:cs="Arial"/>
          <w:color w:val="000000" w:themeColor="text1"/>
        </w:rPr>
        <w:t xml:space="preserve"> </w:t>
      </w:r>
      <w:r w:rsidRPr="00DB3E4F">
        <w:rPr>
          <w:rFonts w:ascii="Arial" w:hAnsi="Arial" w:cs="Arial"/>
          <w:color w:val="000000" w:themeColor="text1"/>
        </w:rPr>
        <w:t xml:space="preserve">which is </w:t>
      </w:r>
      <w:r w:rsidR="0019203D" w:rsidRPr="00DB3E4F">
        <w:rPr>
          <w:rFonts w:ascii="Arial" w:hAnsi="Arial" w:cs="Arial"/>
          <w:color w:val="000000" w:themeColor="text1"/>
        </w:rPr>
        <w:t>42</w:t>
      </w:r>
      <w:r w:rsidRPr="00DB3E4F">
        <w:rPr>
          <w:rFonts w:ascii="Arial" w:hAnsi="Arial" w:cs="Arial"/>
          <w:color w:val="000000" w:themeColor="text1"/>
        </w:rPr>
        <w:t>/1000 live births as per the National Family Health Survey</w:t>
      </w:r>
      <w:r w:rsidR="0019203D" w:rsidRPr="00DB3E4F">
        <w:rPr>
          <w:rFonts w:ascii="Arial" w:hAnsi="Arial" w:cs="Arial"/>
          <w:color w:val="000000" w:themeColor="text1"/>
        </w:rPr>
        <w:t>-V (NFHS-V, 2019-21)</w:t>
      </w:r>
      <w:r w:rsidRPr="00DB3E4F">
        <w:rPr>
          <w:rFonts w:ascii="Arial" w:hAnsi="Arial" w:cs="Arial"/>
          <w:color w:val="000000" w:themeColor="text1"/>
        </w:rPr>
        <w:t xml:space="preserve"> </w:t>
      </w:r>
      <w:r w:rsidR="00AF0BBD" w:rsidRPr="00DB3E4F">
        <w:rPr>
          <w:rFonts w:ascii="Arial" w:hAnsi="Arial" w:cs="Arial"/>
          <w:color w:val="000000" w:themeColor="text1"/>
        </w:rPr>
        <w:t>(SDG-UN, 2015, IIPS IC, 2021)</w:t>
      </w:r>
      <w:r w:rsidRPr="00DB3E4F">
        <w:rPr>
          <w:rFonts w:ascii="Arial" w:hAnsi="Arial" w:cs="Arial"/>
          <w:color w:val="000000" w:themeColor="text1"/>
        </w:rPr>
        <w:t>. It's important to note that in India the prevalence of ARIs increased 2.7 percent to 2.8 percent between the year 2016 to 2019</w:t>
      </w:r>
      <w:r w:rsidR="00AF0BBD" w:rsidRPr="00DB3E4F">
        <w:rPr>
          <w:rFonts w:ascii="Arial" w:hAnsi="Arial" w:cs="Arial"/>
          <w:color w:val="000000" w:themeColor="text1"/>
        </w:rPr>
        <w:t xml:space="preserve"> (IIPS IC, 2021)</w:t>
      </w:r>
      <w:r w:rsidRPr="00DB3E4F">
        <w:rPr>
          <w:rFonts w:ascii="Arial" w:hAnsi="Arial" w:cs="Arial"/>
          <w:color w:val="000000" w:themeColor="text1"/>
        </w:rPr>
        <w:t>. Despite various efforts by International and National agencies to control and prevent childhood diseases like diarrhoea, pneumonia, and ARI, still, a large number of children from varied backgrounds suffer from these preventable diseases that eventually lead to unprecedented levels of child mortality and morbidity in developing countries, including India</w:t>
      </w:r>
      <w:r w:rsidR="00AF0BBD" w:rsidRPr="00DB3E4F">
        <w:rPr>
          <w:rFonts w:ascii="Arial" w:hAnsi="Arial" w:cs="Arial"/>
          <w:color w:val="000000" w:themeColor="text1"/>
        </w:rPr>
        <w:t xml:space="preserve"> (Tiwari et al., 2016)</w:t>
      </w:r>
      <w:r w:rsidRPr="00DB3E4F">
        <w:rPr>
          <w:rFonts w:ascii="Arial" w:hAnsi="Arial" w:cs="Arial"/>
          <w:color w:val="000000" w:themeColor="text1"/>
        </w:rPr>
        <w:t xml:space="preserve">. </w:t>
      </w:r>
    </w:p>
    <w:p w14:paraId="3A1928C5" w14:textId="500959F6" w:rsidR="009E70E1" w:rsidRPr="00DB3E4F" w:rsidRDefault="001442EF">
      <w:pPr>
        <w:pStyle w:val="NormalWeb"/>
        <w:spacing w:line="360" w:lineRule="auto"/>
        <w:jc w:val="both"/>
        <w:rPr>
          <w:rFonts w:ascii="Arial" w:hAnsi="Arial" w:cs="Arial"/>
          <w:color w:val="000000" w:themeColor="text1"/>
          <w:sz w:val="22"/>
          <w:szCs w:val="22"/>
        </w:rPr>
      </w:pPr>
      <w:bookmarkStart w:id="4" w:name="_Hlk168582826"/>
      <w:r w:rsidRPr="00DB3E4F">
        <w:rPr>
          <w:rFonts w:ascii="Arial" w:hAnsi="Arial" w:cs="Arial"/>
          <w:color w:val="000000" w:themeColor="text1"/>
          <w:sz w:val="22"/>
          <w:szCs w:val="22"/>
        </w:rPr>
        <w:lastRenderedPageBreak/>
        <w:t>A study by Varghese and Muhammad (2023) recommends conducting future research using multilevel regression models, as community, district, and state-level factors may influence results</w:t>
      </w:r>
      <w:r w:rsidR="00AF0BBD" w:rsidRPr="00DB3E4F">
        <w:rPr>
          <w:rFonts w:ascii="Arial" w:hAnsi="Arial" w:cs="Arial"/>
          <w:color w:val="000000" w:themeColor="text1"/>
          <w:sz w:val="22"/>
          <w:szCs w:val="22"/>
        </w:rPr>
        <w:t xml:space="preserve"> (</w:t>
      </w:r>
      <w:r w:rsidR="00AF0BBD" w:rsidRPr="00DB3E4F">
        <w:rPr>
          <w:rFonts w:ascii="Arial" w:hAnsi="Arial" w:cs="Arial"/>
          <w:sz w:val="22"/>
          <w:szCs w:val="22"/>
        </w:rPr>
        <w:t>Varghese and Muhammad, 2023)</w:t>
      </w:r>
      <w:r w:rsidRPr="00DB3E4F">
        <w:rPr>
          <w:rFonts w:ascii="Arial" w:hAnsi="Arial" w:cs="Arial"/>
          <w:color w:val="000000" w:themeColor="text1"/>
          <w:sz w:val="22"/>
          <w:szCs w:val="22"/>
        </w:rPr>
        <w:t xml:space="preserve">. The incidence of ARI episodes across different districts of India has yet to be fully explored. The achievement of the child mortality target in the SDGs depends mainly on progress in India, which accounts for a significant portion of global live births and neonatal mortality. </w:t>
      </w:r>
      <w:r w:rsidR="00B12F57" w:rsidRPr="00DB3E4F">
        <w:rPr>
          <w:rFonts w:ascii="Arial" w:hAnsi="Arial" w:cs="Arial"/>
          <w:color w:val="000000" w:themeColor="text1"/>
          <w:sz w:val="22"/>
          <w:szCs w:val="22"/>
        </w:rPr>
        <w:t xml:space="preserve">Therefore, it </w:t>
      </w:r>
      <w:r w:rsidRPr="00DB3E4F">
        <w:rPr>
          <w:rFonts w:ascii="Arial" w:hAnsi="Arial" w:cs="Arial"/>
          <w:color w:val="000000" w:themeColor="text1"/>
          <w:sz w:val="22"/>
          <w:szCs w:val="22"/>
        </w:rPr>
        <w:t xml:space="preserve">is essential to understand the prevalence and </w:t>
      </w:r>
      <w:r w:rsidR="00B12F57" w:rsidRPr="00DB3E4F">
        <w:rPr>
          <w:rFonts w:ascii="Arial" w:hAnsi="Arial" w:cs="Arial"/>
          <w:color w:val="000000" w:themeColor="text1"/>
          <w:sz w:val="22"/>
          <w:szCs w:val="22"/>
        </w:rPr>
        <w:t xml:space="preserve">risk factors associated with </w:t>
      </w:r>
      <w:r w:rsidRPr="00DB3E4F">
        <w:rPr>
          <w:rFonts w:ascii="Arial" w:hAnsi="Arial" w:cs="Arial"/>
          <w:color w:val="000000" w:themeColor="text1"/>
          <w:sz w:val="22"/>
          <w:szCs w:val="22"/>
        </w:rPr>
        <w:t xml:space="preserve">ARI </w:t>
      </w:r>
      <w:r w:rsidR="00B12F57" w:rsidRPr="00DB3E4F">
        <w:rPr>
          <w:rFonts w:ascii="Arial" w:hAnsi="Arial" w:cs="Arial"/>
          <w:color w:val="000000" w:themeColor="text1"/>
          <w:sz w:val="22"/>
          <w:szCs w:val="22"/>
        </w:rPr>
        <w:t>across districts in India.</w:t>
      </w:r>
      <w:r w:rsidRPr="00DB3E4F">
        <w:rPr>
          <w:rFonts w:ascii="Arial" w:hAnsi="Arial" w:cs="Arial"/>
          <w:color w:val="000000" w:themeColor="text1"/>
          <w:sz w:val="22"/>
          <w:szCs w:val="22"/>
        </w:rPr>
        <w:t xml:space="preserve"> </w:t>
      </w:r>
      <w:bookmarkStart w:id="5" w:name="_Hlk182223215"/>
      <w:r w:rsidRPr="00DB3E4F">
        <w:rPr>
          <w:rFonts w:ascii="Arial" w:hAnsi="Arial" w:cs="Arial"/>
          <w:color w:val="000000" w:themeColor="text1"/>
          <w:sz w:val="22"/>
          <w:szCs w:val="22"/>
        </w:rPr>
        <w:t xml:space="preserve">Accordingly, </w:t>
      </w:r>
      <w:bookmarkStart w:id="6" w:name="_Hlk182223398"/>
      <w:r w:rsidRPr="00DB3E4F">
        <w:rPr>
          <w:rFonts w:ascii="Arial" w:hAnsi="Arial" w:cs="Arial"/>
          <w:color w:val="000000" w:themeColor="text1"/>
          <w:sz w:val="22"/>
          <w:szCs w:val="22"/>
        </w:rPr>
        <w:t xml:space="preserve">this study aimed to investigate the prevalence and spatial clustering of ARI among children and the contextual factors associated with this in districts in India </w:t>
      </w:r>
      <w:bookmarkEnd w:id="6"/>
      <w:r w:rsidRPr="00DB3E4F">
        <w:rPr>
          <w:rFonts w:ascii="Arial" w:hAnsi="Arial" w:cs="Arial"/>
          <w:color w:val="000000" w:themeColor="text1"/>
          <w:sz w:val="22"/>
          <w:szCs w:val="22"/>
        </w:rPr>
        <w:t>with hot-spot analysis</w:t>
      </w:r>
      <w:bookmarkEnd w:id="5"/>
      <w:r w:rsidRPr="00DB3E4F">
        <w:rPr>
          <w:rFonts w:ascii="Arial" w:hAnsi="Arial" w:cs="Arial"/>
          <w:color w:val="000000" w:themeColor="text1"/>
          <w:sz w:val="22"/>
          <w:szCs w:val="22"/>
        </w:rPr>
        <w:t xml:space="preserve">. Understanding and quantifying the risk factors associated with ARI infants and young children is crucial to health practitioners and policymakers in India. </w:t>
      </w:r>
      <w:bookmarkEnd w:id="4"/>
      <w:r w:rsidRPr="00DB3E4F">
        <w:rPr>
          <w:rFonts w:ascii="Arial" w:hAnsi="Arial" w:cs="Arial"/>
          <w:color w:val="000000" w:themeColor="text1"/>
          <w:sz w:val="22"/>
          <w:szCs w:val="22"/>
        </w:rPr>
        <w:t xml:space="preserve">The study will highlight the hot-spot districts and responsible factors associated with ARI among children across the districts in India. This may help to reduce the risk of ARI and contribute to achieving the country's SDG target of 3.2 by 2030. </w:t>
      </w:r>
    </w:p>
    <w:p w14:paraId="723DEBAC" w14:textId="41A906A1" w:rsidR="009E70E1" w:rsidRPr="00DB3E4F" w:rsidRDefault="00DB3E4F" w:rsidP="00DB3E4F">
      <w:pPr>
        <w:pStyle w:val="Heading1"/>
        <w:rPr>
          <w:rFonts w:ascii="Arial" w:hAnsi="Arial" w:cs="Arial"/>
          <w:sz w:val="22"/>
          <w:szCs w:val="22"/>
        </w:rPr>
      </w:pPr>
      <w:r w:rsidRPr="00DB3E4F">
        <w:rPr>
          <w:rFonts w:ascii="Arial" w:hAnsi="Arial" w:cs="Arial"/>
          <w:sz w:val="22"/>
          <w:szCs w:val="22"/>
        </w:rPr>
        <w:t>DATA SOURCE AND METHODOLOGY</w:t>
      </w:r>
    </w:p>
    <w:p w14:paraId="4C872B15" w14:textId="0DD7A51A" w:rsidR="009E70E1" w:rsidRPr="00DB3E4F" w:rsidRDefault="00DB3E4F" w:rsidP="00DB3E4F">
      <w:pPr>
        <w:pStyle w:val="Heading2"/>
        <w:rPr>
          <w:rFonts w:ascii="Arial" w:hAnsi="Arial" w:cs="Arial"/>
          <w:sz w:val="22"/>
          <w:szCs w:val="22"/>
        </w:rPr>
      </w:pPr>
      <w:r w:rsidRPr="00DB3E4F">
        <w:rPr>
          <w:rFonts w:ascii="Arial" w:hAnsi="Arial" w:cs="Arial"/>
          <w:sz w:val="22"/>
          <w:szCs w:val="22"/>
        </w:rPr>
        <w:t xml:space="preserve">2.1 </w:t>
      </w:r>
      <w:r w:rsidR="009A4E77" w:rsidRPr="00DB3E4F">
        <w:rPr>
          <w:rFonts w:ascii="Arial" w:hAnsi="Arial" w:cs="Arial"/>
          <w:sz w:val="22"/>
          <w:szCs w:val="22"/>
        </w:rPr>
        <w:t>Data Source</w:t>
      </w:r>
    </w:p>
    <w:p w14:paraId="788C995F" w14:textId="0373628C" w:rsidR="009E70E1" w:rsidRPr="00DB3E4F" w:rsidRDefault="001442EF">
      <w:pPr>
        <w:spacing w:line="360" w:lineRule="auto"/>
        <w:jc w:val="both"/>
        <w:rPr>
          <w:rFonts w:ascii="Arial" w:hAnsi="Arial" w:cs="Arial"/>
        </w:rPr>
      </w:pPr>
      <w:r w:rsidRPr="00DB3E4F">
        <w:rPr>
          <w:rFonts w:ascii="Arial" w:hAnsi="Arial" w:cs="Arial"/>
        </w:rPr>
        <w:t>The current study has used the National Family Health Survey-5</w:t>
      </w:r>
      <w:r w:rsidR="00AD36CF" w:rsidRPr="00DB3E4F">
        <w:rPr>
          <w:rFonts w:ascii="Arial" w:hAnsi="Arial" w:cs="Arial"/>
        </w:rPr>
        <w:t>,</w:t>
      </w:r>
      <w:r w:rsidRPr="00DB3E4F">
        <w:rPr>
          <w:rFonts w:ascii="Arial" w:hAnsi="Arial" w:cs="Arial"/>
        </w:rPr>
        <w:t xml:space="preserve"> conducted in 2019-21. It is an India-based Demographic and Health Survey (DHS). </w:t>
      </w:r>
      <w:r w:rsidR="00085242" w:rsidRPr="00DB3E4F">
        <w:rPr>
          <w:rFonts w:ascii="Arial" w:hAnsi="Arial" w:cs="Arial"/>
        </w:rPr>
        <w:t xml:space="preserve">The survey provides state and national data on various aspects of maternal and child health domain. </w:t>
      </w:r>
      <w:r w:rsidR="00E6795A" w:rsidRPr="00DB3E4F">
        <w:rPr>
          <w:rFonts w:ascii="Arial" w:hAnsi="Arial" w:cs="Arial"/>
        </w:rPr>
        <w:t>NFHS-5 covered 37 States/UTs and 707 districts in India. The kid's file provides c</w:t>
      </w:r>
      <w:r w:rsidR="00085242" w:rsidRPr="00DB3E4F">
        <w:rPr>
          <w:rFonts w:ascii="Arial" w:hAnsi="Arial" w:cs="Arial"/>
        </w:rPr>
        <w:t xml:space="preserve">hild health-related information such as infant and child mortality, </w:t>
      </w:r>
      <w:proofErr w:type="spellStart"/>
      <w:r w:rsidR="00085242" w:rsidRPr="00DB3E4F">
        <w:rPr>
          <w:rFonts w:ascii="Arial" w:hAnsi="Arial" w:cs="Arial"/>
        </w:rPr>
        <w:t>Diarrohea</w:t>
      </w:r>
      <w:proofErr w:type="spellEnd"/>
      <w:r w:rsidR="00085242" w:rsidRPr="00DB3E4F">
        <w:rPr>
          <w:rFonts w:ascii="Arial" w:hAnsi="Arial" w:cs="Arial"/>
        </w:rPr>
        <w:t xml:space="preserve">, ARI, </w:t>
      </w:r>
      <w:proofErr w:type="spellStart"/>
      <w:r w:rsidR="00085242" w:rsidRPr="00DB3E4F">
        <w:rPr>
          <w:rFonts w:ascii="Arial" w:hAnsi="Arial" w:cs="Arial"/>
        </w:rPr>
        <w:t>Anemia</w:t>
      </w:r>
      <w:proofErr w:type="spellEnd"/>
      <w:r w:rsidR="00085242" w:rsidRPr="00DB3E4F">
        <w:rPr>
          <w:rFonts w:ascii="Arial" w:hAnsi="Arial" w:cs="Arial"/>
        </w:rPr>
        <w:t xml:space="preserve">, and nutritional indicators </w:t>
      </w:r>
      <w:r w:rsidR="00E6795A" w:rsidRPr="00DB3E4F">
        <w:rPr>
          <w:rFonts w:ascii="Arial" w:hAnsi="Arial" w:cs="Arial"/>
        </w:rPr>
        <w:t xml:space="preserve">that </w:t>
      </w:r>
      <w:r w:rsidR="00085242" w:rsidRPr="00DB3E4F">
        <w:rPr>
          <w:rFonts w:ascii="Arial" w:hAnsi="Arial" w:cs="Arial"/>
        </w:rPr>
        <w:t xml:space="preserve">were captured in the </w:t>
      </w:r>
      <w:r w:rsidR="00E6795A" w:rsidRPr="00DB3E4F">
        <w:rPr>
          <w:rFonts w:ascii="Arial" w:hAnsi="Arial" w:cs="Arial"/>
        </w:rPr>
        <w:t xml:space="preserve">NFHS </w:t>
      </w:r>
      <w:r w:rsidR="00085242" w:rsidRPr="00DB3E4F">
        <w:rPr>
          <w:rFonts w:ascii="Arial" w:hAnsi="Arial" w:cs="Arial"/>
        </w:rPr>
        <w:t>survey</w:t>
      </w:r>
      <w:r w:rsidRPr="00DB3E4F">
        <w:rPr>
          <w:rFonts w:ascii="Arial" w:hAnsi="Arial" w:cs="Arial"/>
        </w:rPr>
        <w:t>.</w:t>
      </w:r>
      <w:r w:rsidR="00E3651C" w:rsidRPr="00DB3E4F">
        <w:rPr>
          <w:rFonts w:ascii="Arial" w:hAnsi="Arial" w:cs="Arial"/>
        </w:rPr>
        <w:t xml:space="preserve"> The data is freely available on</w:t>
      </w:r>
      <w:r w:rsidR="00E6795A" w:rsidRPr="00DB3E4F">
        <w:rPr>
          <w:rFonts w:ascii="Arial" w:hAnsi="Arial" w:cs="Arial"/>
        </w:rPr>
        <w:t xml:space="preserve"> DHS website: </w:t>
      </w:r>
      <w:r w:rsidR="00E3651C" w:rsidRPr="00DB3E4F">
        <w:rPr>
          <w:rFonts w:ascii="Arial" w:hAnsi="Arial" w:cs="Arial"/>
        </w:rPr>
        <w:t xml:space="preserve"> </w:t>
      </w:r>
      <w:hyperlink r:id="rId7" w:history="1">
        <w:r w:rsidR="00E3651C" w:rsidRPr="00DB3E4F">
          <w:rPr>
            <w:rStyle w:val="Hyperlink"/>
            <w:rFonts w:ascii="Arial" w:hAnsi="Arial" w:cs="Arial"/>
          </w:rPr>
          <w:t>https://dhsprogram.com/data/dataset_admin/login_main.cfm</w:t>
        </w:r>
      </w:hyperlink>
      <w:r w:rsidR="00E3651C" w:rsidRPr="00DB3E4F">
        <w:rPr>
          <w:rFonts w:ascii="Arial" w:hAnsi="Arial" w:cs="Arial"/>
        </w:rPr>
        <w:t xml:space="preserve"> </w:t>
      </w:r>
    </w:p>
    <w:p w14:paraId="44E4BC0F" w14:textId="750D3A92" w:rsidR="009E70E1" w:rsidRPr="00DB3E4F" w:rsidRDefault="00DB3E4F" w:rsidP="00D8242A">
      <w:pPr>
        <w:pStyle w:val="Heading3"/>
        <w:rPr>
          <w:rFonts w:ascii="Arial" w:hAnsi="Arial" w:cs="Arial"/>
          <w:sz w:val="22"/>
          <w:szCs w:val="22"/>
        </w:rPr>
      </w:pPr>
      <w:r w:rsidRPr="00DB3E4F">
        <w:rPr>
          <w:rFonts w:ascii="Arial" w:hAnsi="Arial" w:cs="Arial"/>
          <w:sz w:val="22"/>
          <w:szCs w:val="22"/>
        </w:rPr>
        <w:t xml:space="preserve">2.2 </w:t>
      </w:r>
      <w:r w:rsidR="009A4E77" w:rsidRPr="00DB3E4F">
        <w:rPr>
          <w:rFonts w:ascii="Arial" w:hAnsi="Arial" w:cs="Arial"/>
          <w:sz w:val="22"/>
          <w:szCs w:val="22"/>
        </w:rPr>
        <w:t>Study Design and Sample Size</w:t>
      </w:r>
    </w:p>
    <w:p w14:paraId="160F70AE" w14:textId="419EDD73" w:rsidR="009E70E1" w:rsidRPr="00DB3E4F" w:rsidRDefault="001442EF">
      <w:pPr>
        <w:spacing w:line="360" w:lineRule="auto"/>
        <w:jc w:val="both"/>
        <w:rPr>
          <w:rFonts w:ascii="Arial" w:hAnsi="Arial" w:cs="Arial"/>
        </w:rPr>
      </w:pPr>
      <w:r w:rsidRPr="00DB3E4F">
        <w:rPr>
          <w:rFonts w:ascii="Arial" w:hAnsi="Arial" w:cs="Arial"/>
        </w:rPr>
        <w:t xml:space="preserve">Two-stage stratified sampling techniques have been used for this large-scale survey. In urban area, Census Enumeration Blocks (CEB) </w:t>
      </w:r>
      <w:r w:rsidR="008E421C" w:rsidRPr="00DB3E4F">
        <w:rPr>
          <w:rFonts w:ascii="Arial" w:hAnsi="Arial" w:cs="Arial"/>
        </w:rPr>
        <w:t>are</w:t>
      </w:r>
      <w:r w:rsidRPr="00DB3E4F">
        <w:rPr>
          <w:rFonts w:ascii="Arial" w:hAnsi="Arial" w:cs="Arial"/>
        </w:rPr>
        <w:t xml:space="preserve"> selected</w:t>
      </w:r>
      <w:r w:rsidR="008E421C" w:rsidRPr="00DB3E4F">
        <w:rPr>
          <w:rFonts w:ascii="Arial" w:hAnsi="Arial" w:cs="Arial"/>
        </w:rPr>
        <w:t>,</w:t>
      </w:r>
      <w:r w:rsidRPr="00DB3E4F">
        <w:rPr>
          <w:rFonts w:ascii="Arial" w:hAnsi="Arial" w:cs="Arial"/>
        </w:rPr>
        <w:t xml:space="preserve"> and from rural residences, villages are selected as Primary </w:t>
      </w:r>
      <w:r w:rsidRPr="00DB3E4F">
        <w:rPr>
          <w:rFonts w:ascii="Arial" w:hAnsi="Arial" w:cs="Arial"/>
          <w:color w:val="000000" w:themeColor="text1"/>
        </w:rPr>
        <w:t>Sampling Units (PSUs). In the second stage, households have been selected both in urban and rural areas</w:t>
      </w:r>
      <w:r w:rsidR="000F0C71" w:rsidRPr="00DB3E4F">
        <w:rPr>
          <w:rFonts w:ascii="Arial" w:hAnsi="Arial" w:cs="Arial"/>
          <w:color w:val="000000" w:themeColor="text1"/>
        </w:rPr>
        <w:t xml:space="preserve"> (IIPS IC, 2021)</w:t>
      </w:r>
      <w:r w:rsidRPr="00DB3E4F">
        <w:rPr>
          <w:rFonts w:ascii="Arial" w:hAnsi="Arial" w:cs="Arial"/>
          <w:color w:val="000000" w:themeColor="text1"/>
        </w:rPr>
        <w:t xml:space="preserve">. </w:t>
      </w:r>
      <w:r w:rsidRPr="00DB3E4F">
        <w:rPr>
          <w:rFonts w:ascii="Arial" w:hAnsi="Arial" w:cs="Arial"/>
        </w:rPr>
        <w:t>NFHS-5 gathered information from 636,699 households, of which 724,115 were women respondents (15-49) and 101,839 (15-54) were men respondents. Considering our study objectives, we have chosen responses from women respondents for the analysis. The total number of children was 230,870</w:t>
      </w:r>
      <w:r w:rsidR="008E421C" w:rsidRPr="00DB3E4F">
        <w:rPr>
          <w:rFonts w:ascii="Arial" w:hAnsi="Arial" w:cs="Arial"/>
        </w:rPr>
        <w:t>,</w:t>
      </w:r>
      <w:r w:rsidRPr="00DB3E4F">
        <w:rPr>
          <w:rFonts w:ascii="Arial" w:hAnsi="Arial" w:cs="Arial"/>
        </w:rPr>
        <w:t xml:space="preserve"> children’s mothers interviewed, who were live born in the last five years (n=230,870). Among them, 8637 dead children were excluded, excluding children who lived elsewhere or who did not live with their mothers (N=8637). Finally, a total of 2,22,233 under-five children were alive </w:t>
      </w:r>
      <w:r w:rsidRPr="00DB3E4F">
        <w:rPr>
          <w:rFonts w:ascii="Arial" w:hAnsi="Arial" w:cs="Arial"/>
        </w:rPr>
        <w:lastRenderedPageBreak/>
        <w:t>during the interview and had been born to the women interviewed in the five years before the survey (</w:t>
      </w:r>
      <w:r w:rsidRPr="00DB3E4F">
        <w:rPr>
          <w:rFonts w:ascii="Arial" w:hAnsi="Arial" w:cs="Arial"/>
          <w:b/>
          <w:bCs/>
          <w:i/>
          <w:iCs/>
        </w:rPr>
        <w:t>Figure 1</w:t>
      </w:r>
      <w:r w:rsidRPr="00DB3E4F">
        <w:rPr>
          <w:rFonts w:ascii="Arial" w:hAnsi="Arial" w:cs="Arial"/>
        </w:rPr>
        <w:t>)</w:t>
      </w:r>
      <w:r w:rsidR="00A5721D" w:rsidRPr="00DB3E4F">
        <w:rPr>
          <w:rFonts w:ascii="Arial" w:hAnsi="Arial" w:cs="Arial"/>
        </w:rPr>
        <w:t>.</w:t>
      </w:r>
    </w:p>
    <w:p w14:paraId="696285E5" w14:textId="16A9CD91" w:rsidR="009E70E1" w:rsidRPr="00DB3E4F" w:rsidRDefault="00DB3E4F" w:rsidP="00D8242A">
      <w:pPr>
        <w:pStyle w:val="Heading3"/>
        <w:rPr>
          <w:rFonts w:ascii="Arial" w:hAnsi="Arial" w:cs="Arial"/>
          <w:sz w:val="22"/>
          <w:szCs w:val="22"/>
        </w:rPr>
      </w:pPr>
      <w:r w:rsidRPr="00DB3E4F">
        <w:rPr>
          <w:rFonts w:ascii="Arial" w:hAnsi="Arial" w:cs="Arial"/>
          <w:sz w:val="22"/>
          <w:szCs w:val="22"/>
        </w:rPr>
        <w:t xml:space="preserve">2.3 </w:t>
      </w:r>
      <w:r w:rsidR="009A4E77" w:rsidRPr="00DB3E4F">
        <w:rPr>
          <w:rFonts w:ascii="Arial" w:hAnsi="Arial" w:cs="Arial"/>
          <w:sz w:val="22"/>
          <w:szCs w:val="22"/>
        </w:rPr>
        <w:t xml:space="preserve">Dependent and Independent </w:t>
      </w:r>
      <w:r w:rsidRPr="00DB3E4F">
        <w:rPr>
          <w:rFonts w:ascii="Arial" w:hAnsi="Arial" w:cs="Arial"/>
          <w:sz w:val="22"/>
          <w:szCs w:val="22"/>
        </w:rPr>
        <w:t>Variables</w:t>
      </w:r>
      <w:r w:rsidR="009A4E77" w:rsidRPr="00DB3E4F">
        <w:rPr>
          <w:rFonts w:ascii="Arial" w:hAnsi="Arial" w:cs="Arial"/>
          <w:sz w:val="22"/>
          <w:szCs w:val="22"/>
        </w:rPr>
        <w:t xml:space="preserve"> </w:t>
      </w:r>
    </w:p>
    <w:p w14:paraId="03B7955C" w14:textId="7738E9E5" w:rsidR="009E70E1" w:rsidRPr="00DB3E4F" w:rsidRDefault="001442EF">
      <w:pPr>
        <w:spacing w:line="360" w:lineRule="auto"/>
        <w:jc w:val="both"/>
        <w:rPr>
          <w:rFonts w:ascii="Arial" w:hAnsi="Arial" w:cs="Arial"/>
          <w:color w:val="000000" w:themeColor="text1"/>
        </w:rPr>
      </w:pPr>
      <w:r w:rsidRPr="00DB3E4F">
        <w:rPr>
          <w:rFonts w:ascii="Arial" w:hAnsi="Arial" w:cs="Arial"/>
          <w:b/>
          <w:bCs/>
          <w:i/>
          <w:iCs/>
          <w:color w:val="000000" w:themeColor="text1"/>
        </w:rPr>
        <w:t>Acute Respiratory Infection (ARI):</w:t>
      </w:r>
      <w:r w:rsidRPr="00DB3E4F">
        <w:rPr>
          <w:rFonts w:ascii="Arial" w:hAnsi="Arial" w:cs="Arial"/>
          <w:color w:val="000000" w:themeColor="text1"/>
        </w:rPr>
        <w:t xml:space="preserve"> In the NFHS survey, mothers were asked if their children had experienced a cough in the two weeks before the survey. This type of cough </w:t>
      </w:r>
      <w:r w:rsidR="00593444" w:rsidRPr="00DB3E4F">
        <w:rPr>
          <w:rFonts w:ascii="Arial" w:hAnsi="Arial" w:cs="Arial"/>
          <w:color w:val="000000" w:themeColor="text1"/>
        </w:rPr>
        <w:t>is marked by rapid, shallow breathing along with discomfort in the chest</w:t>
      </w:r>
      <w:r w:rsidRPr="00DB3E4F">
        <w:rPr>
          <w:rFonts w:ascii="Arial" w:hAnsi="Arial" w:cs="Arial"/>
          <w:color w:val="000000" w:themeColor="text1"/>
        </w:rPr>
        <w:t xml:space="preserve">. If the response was "yes," the corresponding variable was recoded as 1, indicating the presence of Acute Respiratory Infection (ARI). If the response was "no," it was </w:t>
      </w:r>
      <w:r w:rsidR="002078ED" w:rsidRPr="00DB3E4F">
        <w:rPr>
          <w:rFonts w:ascii="Arial" w:hAnsi="Arial" w:cs="Arial"/>
          <w:color w:val="000000" w:themeColor="text1"/>
        </w:rPr>
        <w:t>recorded</w:t>
      </w:r>
      <w:r w:rsidRPr="00DB3E4F">
        <w:rPr>
          <w:rFonts w:ascii="Arial" w:hAnsi="Arial" w:cs="Arial"/>
          <w:color w:val="000000" w:themeColor="text1"/>
        </w:rPr>
        <w:t xml:space="preserve"> as 0, indicating no ARI.</w:t>
      </w:r>
    </w:p>
    <w:p w14:paraId="0266A634" w14:textId="4E7F72BC" w:rsidR="00B12F57" w:rsidRPr="00DB3E4F" w:rsidRDefault="001442EF">
      <w:pPr>
        <w:spacing w:line="360" w:lineRule="auto"/>
        <w:jc w:val="both"/>
        <w:rPr>
          <w:rFonts w:ascii="Arial" w:hAnsi="Arial" w:cs="Arial"/>
          <w:color w:val="000000" w:themeColor="text1"/>
        </w:rPr>
      </w:pPr>
      <w:r w:rsidRPr="00DB3E4F">
        <w:rPr>
          <w:rFonts w:ascii="Arial" w:hAnsi="Arial" w:cs="Arial"/>
          <w:b/>
          <w:bCs/>
          <w:i/>
          <w:iCs/>
          <w:lang w:val="en-US"/>
        </w:rPr>
        <w:t xml:space="preserve">Independent Variable: </w:t>
      </w:r>
      <w:r w:rsidRPr="00DB3E4F">
        <w:rPr>
          <w:rFonts w:ascii="Arial" w:hAnsi="Arial" w:cs="Arial"/>
          <w:color w:val="000000" w:themeColor="text1"/>
        </w:rPr>
        <w:t xml:space="preserve">The </w:t>
      </w:r>
      <w:r w:rsidR="00B12F57" w:rsidRPr="00DB3E4F">
        <w:rPr>
          <w:rFonts w:ascii="Arial" w:hAnsi="Arial" w:cs="Arial"/>
          <w:color w:val="000000" w:themeColor="text1"/>
        </w:rPr>
        <w:t xml:space="preserve">independent </w:t>
      </w:r>
      <w:r w:rsidRPr="00DB3E4F">
        <w:rPr>
          <w:rFonts w:ascii="Arial" w:hAnsi="Arial" w:cs="Arial"/>
          <w:color w:val="000000" w:themeColor="text1"/>
        </w:rPr>
        <w:t xml:space="preserve">variables were selected based on previous studies </w:t>
      </w:r>
      <w:r w:rsidR="00C37C71" w:rsidRPr="00DB3E4F">
        <w:rPr>
          <w:rFonts w:ascii="Arial" w:hAnsi="Arial" w:cs="Arial"/>
          <w:color w:val="000000" w:themeColor="text1"/>
        </w:rPr>
        <w:t>and available data sets</w:t>
      </w:r>
      <w:r w:rsidR="000F0C71" w:rsidRPr="00DB3E4F">
        <w:rPr>
          <w:rFonts w:ascii="Arial" w:hAnsi="Arial" w:cs="Arial"/>
          <w:color w:val="000000" w:themeColor="text1"/>
        </w:rPr>
        <w:t xml:space="preserve"> (Varghese and Muhammad, 2023; Hasan et al., 2022)</w:t>
      </w:r>
      <w:r w:rsidRPr="00DB3E4F">
        <w:rPr>
          <w:rFonts w:ascii="Arial" w:hAnsi="Arial" w:cs="Arial"/>
          <w:color w:val="000000" w:themeColor="text1"/>
        </w:rPr>
        <w:t xml:space="preserve">. The description of the </w:t>
      </w:r>
      <w:r w:rsidR="00B12F57" w:rsidRPr="00DB3E4F">
        <w:rPr>
          <w:rFonts w:ascii="Arial" w:hAnsi="Arial" w:cs="Arial"/>
          <w:color w:val="000000" w:themeColor="text1"/>
        </w:rPr>
        <w:t xml:space="preserve">selected </w:t>
      </w:r>
      <w:r w:rsidRPr="00DB3E4F">
        <w:rPr>
          <w:rFonts w:ascii="Arial" w:hAnsi="Arial" w:cs="Arial"/>
          <w:color w:val="000000" w:themeColor="text1"/>
        </w:rPr>
        <w:t xml:space="preserve">variables </w:t>
      </w:r>
      <w:r w:rsidR="00B12F57" w:rsidRPr="00DB3E4F">
        <w:rPr>
          <w:rFonts w:ascii="Arial" w:hAnsi="Arial" w:cs="Arial"/>
          <w:color w:val="000000" w:themeColor="text1"/>
        </w:rPr>
        <w:t>is</w:t>
      </w:r>
      <w:r w:rsidRPr="00DB3E4F">
        <w:rPr>
          <w:rFonts w:ascii="Arial" w:hAnsi="Arial" w:cs="Arial"/>
          <w:color w:val="000000" w:themeColor="text1"/>
        </w:rPr>
        <w:t xml:space="preserve"> </w:t>
      </w:r>
      <w:r w:rsidR="00B12F57" w:rsidRPr="00DB3E4F">
        <w:rPr>
          <w:rFonts w:ascii="Arial" w:hAnsi="Arial" w:cs="Arial"/>
          <w:color w:val="000000" w:themeColor="text1"/>
        </w:rPr>
        <w:t xml:space="preserve">in </w:t>
      </w:r>
      <w:r w:rsidR="00C37C71" w:rsidRPr="00DB3E4F">
        <w:rPr>
          <w:rFonts w:ascii="Arial" w:hAnsi="Arial" w:cs="Arial"/>
          <w:color w:val="000000" w:themeColor="text1"/>
        </w:rPr>
        <w:t>Table</w:t>
      </w:r>
      <w:r w:rsidR="00B12F57" w:rsidRPr="00DB3E4F">
        <w:rPr>
          <w:rFonts w:ascii="Arial" w:hAnsi="Arial" w:cs="Arial"/>
          <w:color w:val="000000" w:themeColor="text1"/>
        </w:rPr>
        <w:t xml:space="preserve"> 1. </w:t>
      </w:r>
      <w:bookmarkStart w:id="7" w:name="_Hlk182050703"/>
      <w:bookmarkEnd w:id="3"/>
    </w:p>
    <w:p w14:paraId="303708A6" w14:textId="5787E5C6" w:rsidR="009A4E77" w:rsidRPr="00DB3E4F" w:rsidRDefault="00DB3E4F" w:rsidP="00DB3E4F">
      <w:pPr>
        <w:pStyle w:val="Heading2"/>
        <w:rPr>
          <w:rFonts w:ascii="Arial" w:hAnsi="Arial" w:cs="Arial"/>
          <w:sz w:val="22"/>
          <w:szCs w:val="22"/>
        </w:rPr>
      </w:pPr>
      <w:r w:rsidRPr="00DB3E4F">
        <w:rPr>
          <w:rFonts w:ascii="Arial" w:hAnsi="Arial" w:cs="Arial"/>
          <w:sz w:val="22"/>
          <w:szCs w:val="22"/>
        </w:rPr>
        <w:t xml:space="preserve">2.4 </w:t>
      </w:r>
      <w:r w:rsidR="009A4E77" w:rsidRPr="00DB3E4F">
        <w:rPr>
          <w:rFonts w:ascii="Arial" w:hAnsi="Arial" w:cs="Arial"/>
          <w:sz w:val="22"/>
          <w:szCs w:val="22"/>
        </w:rPr>
        <w:t xml:space="preserve">Spatial Analysis </w:t>
      </w:r>
    </w:p>
    <w:p w14:paraId="7284D187" w14:textId="7441F89D" w:rsidR="009E70E1" w:rsidRPr="00DB3E4F" w:rsidRDefault="00B12F57">
      <w:pPr>
        <w:spacing w:line="360" w:lineRule="auto"/>
        <w:jc w:val="both"/>
        <w:rPr>
          <w:rFonts w:ascii="Arial" w:hAnsi="Arial" w:cs="Arial"/>
        </w:rPr>
      </w:pPr>
      <w:r w:rsidRPr="00DB3E4F">
        <w:rPr>
          <w:rFonts w:ascii="Arial" w:hAnsi="Arial" w:cs="Arial"/>
        </w:rPr>
        <w:t xml:space="preserve">We did </w:t>
      </w:r>
      <w:r w:rsidR="00B921BE" w:rsidRPr="00DB3E4F">
        <w:rPr>
          <w:rFonts w:ascii="Arial" w:hAnsi="Arial" w:cs="Arial"/>
        </w:rPr>
        <w:t>some studies</w:t>
      </w:r>
      <w:r w:rsidRPr="00DB3E4F">
        <w:rPr>
          <w:rFonts w:ascii="Arial" w:hAnsi="Arial" w:cs="Arial"/>
        </w:rPr>
        <w:t xml:space="preserve"> using a spatial autocorrelation analysis to identify patterns of spatial clusters in childhood </w:t>
      </w:r>
      <w:proofErr w:type="spellStart"/>
      <w:r w:rsidRPr="00DB3E4F">
        <w:rPr>
          <w:rFonts w:ascii="Arial" w:hAnsi="Arial" w:cs="Arial"/>
        </w:rPr>
        <w:t>diarrohea</w:t>
      </w:r>
      <w:proofErr w:type="spellEnd"/>
      <w:r w:rsidRPr="00DB3E4F">
        <w:rPr>
          <w:rFonts w:ascii="Arial" w:hAnsi="Arial" w:cs="Arial"/>
        </w:rPr>
        <w:t xml:space="preserve"> across the districts in India by using NFHS-</w:t>
      </w:r>
      <w:r w:rsidR="00593444" w:rsidRPr="00DB3E4F">
        <w:rPr>
          <w:rFonts w:ascii="Arial" w:hAnsi="Arial" w:cs="Arial"/>
        </w:rPr>
        <w:t>V</w:t>
      </w:r>
      <w:r w:rsidRPr="00DB3E4F">
        <w:rPr>
          <w:rFonts w:ascii="Arial" w:hAnsi="Arial" w:cs="Arial"/>
        </w:rPr>
        <w:t xml:space="preserve"> data </w:t>
      </w:r>
      <w:r w:rsidR="000F0C71" w:rsidRPr="00DB3E4F">
        <w:rPr>
          <w:rFonts w:ascii="Arial" w:hAnsi="Arial" w:cs="Arial"/>
        </w:rPr>
        <w:t>(Ghosh et al., 2023)</w:t>
      </w:r>
      <w:r w:rsidRPr="00DB3E4F">
        <w:rPr>
          <w:rFonts w:ascii="Arial" w:hAnsi="Arial" w:cs="Arial"/>
        </w:rPr>
        <w:t>. We</w:t>
      </w:r>
      <w:r w:rsidRPr="00DB3E4F">
        <w:rPr>
          <w:rFonts w:ascii="Arial" w:hAnsi="Arial" w:cs="Arial"/>
          <w:color w:val="000000" w:themeColor="text1"/>
        </w:rPr>
        <w:t> employed the same mea</w:t>
      </w:r>
      <w:r w:rsidRPr="00DB3E4F">
        <w:rPr>
          <w:rFonts w:ascii="Arial" w:hAnsi="Arial" w:cs="Arial"/>
        </w:rPr>
        <w:t xml:space="preserve">sure for ARI prevalence and the clustering analysis by using </w:t>
      </w:r>
      <w:r w:rsidR="000726A6" w:rsidRPr="00DB3E4F">
        <w:rPr>
          <w:rFonts w:ascii="Arial" w:hAnsi="Arial" w:cs="Arial"/>
        </w:rPr>
        <w:t>recently</w:t>
      </w:r>
      <w:r w:rsidRPr="00DB3E4F">
        <w:rPr>
          <w:rFonts w:ascii="Arial" w:hAnsi="Arial" w:cs="Arial"/>
        </w:rPr>
        <w:t xml:space="preserve"> available data </w:t>
      </w:r>
      <w:r w:rsidR="000726A6" w:rsidRPr="00DB3E4F">
        <w:rPr>
          <w:rFonts w:ascii="Arial" w:hAnsi="Arial" w:cs="Arial"/>
        </w:rPr>
        <w:t>on</w:t>
      </w:r>
      <w:r w:rsidRPr="00DB3E4F">
        <w:rPr>
          <w:rFonts w:ascii="Arial" w:hAnsi="Arial" w:cs="Arial"/>
        </w:rPr>
        <w:t xml:space="preserve"> NFHS-5. We </w:t>
      </w:r>
      <w:r w:rsidR="000726A6" w:rsidRPr="00DB3E4F">
        <w:rPr>
          <w:rFonts w:ascii="Arial" w:hAnsi="Arial" w:cs="Arial"/>
        </w:rPr>
        <w:t xml:space="preserve">adopted the </w:t>
      </w:r>
      <w:r w:rsidRPr="00DB3E4F">
        <w:rPr>
          <w:rFonts w:ascii="Arial" w:hAnsi="Arial" w:cs="Arial"/>
        </w:rPr>
        <w:t xml:space="preserve">two methods to </w:t>
      </w:r>
      <w:proofErr w:type="spellStart"/>
      <w:r w:rsidRPr="00DB3E4F">
        <w:rPr>
          <w:rFonts w:ascii="Arial" w:hAnsi="Arial" w:cs="Arial"/>
        </w:rPr>
        <w:t>analyze</w:t>
      </w:r>
      <w:proofErr w:type="spellEnd"/>
      <w:r w:rsidRPr="00DB3E4F">
        <w:rPr>
          <w:rFonts w:ascii="Arial" w:hAnsi="Arial" w:cs="Arial"/>
        </w:rPr>
        <w:t xml:space="preserve"> the data. </w:t>
      </w:r>
      <w:r w:rsidR="000726A6" w:rsidRPr="00DB3E4F">
        <w:rPr>
          <w:rFonts w:ascii="Arial" w:hAnsi="Arial" w:cs="Arial"/>
        </w:rPr>
        <w:t>(</w:t>
      </w:r>
      <w:proofErr w:type="spellStart"/>
      <w:r w:rsidR="000726A6" w:rsidRPr="00DB3E4F">
        <w:rPr>
          <w:rFonts w:ascii="Arial" w:hAnsi="Arial" w:cs="Arial"/>
        </w:rPr>
        <w:t>i</w:t>
      </w:r>
      <w:proofErr w:type="spellEnd"/>
      <w:r w:rsidR="000726A6" w:rsidRPr="00DB3E4F">
        <w:rPr>
          <w:rFonts w:ascii="Arial" w:hAnsi="Arial" w:cs="Arial"/>
        </w:rPr>
        <w:t xml:space="preserve">) </w:t>
      </w:r>
      <w:r w:rsidRPr="00DB3E4F">
        <w:rPr>
          <w:rFonts w:ascii="Arial" w:hAnsi="Arial" w:cs="Arial"/>
        </w:rPr>
        <w:t>Moran's I, provides a general indication of the spatial autocorrelation of a dataset</w:t>
      </w:r>
      <w:r w:rsidR="000726A6" w:rsidRPr="00DB3E4F">
        <w:rPr>
          <w:rFonts w:ascii="Arial" w:hAnsi="Arial" w:cs="Arial"/>
        </w:rPr>
        <w:t xml:space="preserve"> across the neighbourhood districts</w:t>
      </w:r>
      <w:r w:rsidRPr="00DB3E4F">
        <w:rPr>
          <w:rFonts w:ascii="Arial" w:hAnsi="Arial" w:cs="Arial"/>
        </w:rPr>
        <w:t xml:space="preserve">. </w:t>
      </w:r>
      <w:r w:rsidR="000726A6" w:rsidRPr="00DB3E4F">
        <w:rPr>
          <w:rFonts w:ascii="Arial" w:hAnsi="Arial" w:cs="Arial"/>
        </w:rPr>
        <w:t>(ii) L</w:t>
      </w:r>
      <w:r w:rsidRPr="00DB3E4F">
        <w:rPr>
          <w:rFonts w:ascii="Arial" w:hAnsi="Arial" w:cs="Arial"/>
        </w:rPr>
        <w:t xml:space="preserve">ocal indicator of spatial association (LISA), which </w:t>
      </w:r>
      <w:r w:rsidR="000726A6" w:rsidRPr="00DB3E4F">
        <w:rPr>
          <w:rFonts w:ascii="Arial" w:hAnsi="Arial" w:cs="Arial"/>
        </w:rPr>
        <w:t xml:space="preserve">detects the </w:t>
      </w:r>
      <w:r w:rsidRPr="00DB3E4F">
        <w:rPr>
          <w:rFonts w:ascii="Arial" w:hAnsi="Arial" w:cs="Arial"/>
        </w:rPr>
        <w:t>spatial clusters or outliers for each location in a dataset.</w:t>
      </w:r>
    </w:p>
    <w:p w14:paraId="6C672A0B" w14:textId="2B34550A" w:rsidR="009E70E1" w:rsidRPr="00DB3E4F" w:rsidRDefault="001442EF" w:rsidP="009A4E77">
      <w:pPr>
        <w:spacing w:line="360" w:lineRule="auto"/>
        <w:jc w:val="both"/>
        <w:rPr>
          <w:rFonts w:ascii="Arial" w:hAnsi="Arial" w:cs="Arial"/>
        </w:rPr>
      </w:pPr>
      <w:bookmarkStart w:id="8" w:name="_Hlk168589059"/>
      <w:r w:rsidRPr="00DB3E4F">
        <w:rPr>
          <w:rStyle w:val="Heading3Char"/>
          <w:rFonts w:ascii="Arial" w:hAnsi="Arial" w:cs="Arial"/>
          <w:i/>
          <w:iCs/>
          <w:szCs w:val="22"/>
        </w:rPr>
        <w:t>Moran’s I</w:t>
      </w:r>
      <w:r w:rsidR="00503A81" w:rsidRPr="00DB3E4F">
        <w:rPr>
          <w:rStyle w:val="Heading3Char"/>
          <w:rFonts w:ascii="Arial" w:hAnsi="Arial" w:cs="Arial"/>
          <w:i/>
          <w:iCs/>
          <w:szCs w:val="22"/>
        </w:rPr>
        <w:t>:</w:t>
      </w:r>
      <w:r w:rsidR="00C37C71" w:rsidRPr="00DB3E4F">
        <w:rPr>
          <w:rFonts w:ascii="Arial" w:hAnsi="Arial" w:cs="Arial"/>
          <w:b/>
          <w:bCs/>
        </w:rPr>
        <w:t xml:space="preserve"> </w:t>
      </w:r>
      <w:r w:rsidRPr="00DB3E4F">
        <w:rPr>
          <w:rFonts w:ascii="Arial" w:hAnsi="Arial" w:cs="Arial"/>
        </w:rPr>
        <w:t xml:space="preserve">Moran’s I statistics is a summary measure of spatial autocorrelation that evaluates the extent to which data points are random or perfectly clustered and similar to their spatial neighbours </w:t>
      </w:r>
      <w:r w:rsidR="000F0C71" w:rsidRPr="00DB3E4F">
        <w:rPr>
          <w:rFonts w:ascii="Arial" w:hAnsi="Arial" w:cs="Arial"/>
        </w:rPr>
        <w:t>(</w:t>
      </w:r>
      <w:proofErr w:type="spellStart"/>
      <w:r w:rsidR="000F0C71" w:rsidRPr="00DB3E4F">
        <w:rPr>
          <w:rFonts w:ascii="Arial" w:hAnsi="Arial" w:cs="Arial"/>
        </w:rPr>
        <w:t>Anselin</w:t>
      </w:r>
      <w:proofErr w:type="spellEnd"/>
      <w:r w:rsidR="000F0C71" w:rsidRPr="00DB3E4F">
        <w:rPr>
          <w:rFonts w:ascii="Arial" w:hAnsi="Arial" w:cs="Arial"/>
        </w:rPr>
        <w:t xml:space="preserve">, 2013; </w:t>
      </w:r>
      <w:proofErr w:type="spellStart"/>
      <w:r w:rsidR="000F0C71" w:rsidRPr="00DB3E4F">
        <w:rPr>
          <w:rFonts w:ascii="Arial" w:hAnsi="Arial" w:cs="Arial"/>
        </w:rPr>
        <w:t>Bivand</w:t>
      </w:r>
      <w:proofErr w:type="spellEnd"/>
      <w:r w:rsidR="000F0C71" w:rsidRPr="00DB3E4F">
        <w:rPr>
          <w:rFonts w:ascii="Arial" w:hAnsi="Arial" w:cs="Arial"/>
        </w:rPr>
        <w:t xml:space="preserve"> et al., 2015)</w:t>
      </w:r>
      <w:r w:rsidRPr="00DB3E4F">
        <w:rPr>
          <w:rFonts w:ascii="Arial" w:hAnsi="Arial" w:cs="Arial"/>
        </w:rPr>
        <w:t>. It calculates a correlation</w:t>
      </w:r>
      <w:r w:rsidRPr="00DB3E4F">
        <w:rPr>
          <w:rFonts w:ascii="Arial" w:hAnsi="Arial" w:cs="Arial"/>
          <w:color w:val="000000" w:themeColor="text1"/>
        </w:rPr>
        <w:t xml:space="preserve"> coefficient that indicates the overall spatial autocorrelation of the dataset by measuring how similar an object is to its </w:t>
      </w:r>
      <w:r w:rsidRPr="00DB3E4F">
        <w:rPr>
          <w:rFonts w:ascii="Arial" w:hAnsi="Arial" w:cs="Arial"/>
        </w:rPr>
        <w:t>surrounding objects. The value of Moran’s- I range from −1 to +1</w:t>
      </w:r>
      <w:r w:rsidR="000F0C71" w:rsidRPr="00DB3E4F">
        <w:rPr>
          <w:rFonts w:ascii="Arial" w:hAnsi="Arial" w:cs="Arial"/>
        </w:rPr>
        <w:t xml:space="preserve"> (</w:t>
      </w:r>
      <w:proofErr w:type="spellStart"/>
      <w:r w:rsidR="000F0C71" w:rsidRPr="00DB3E4F">
        <w:rPr>
          <w:rFonts w:ascii="Arial" w:hAnsi="Arial" w:cs="Arial"/>
        </w:rPr>
        <w:t>Anselin</w:t>
      </w:r>
      <w:proofErr w:type="spellEnd"/>
      <w:r w:rsidR="000F0C71" w:rsidRPr="00DB3E4F">
        <w:rPr>
          <w:rFonts w:ascii="Arial" w:hAnsi="Arial" w:cs="Arial"/>
        </w:rPr>
        <w:t xml:space="preserve">, 2013; </w:t>
      </w:r>
      <w:proofErr w:type="spellStart"/>
      <w:r w:rsidR="000F0C71" w:rsidRPr="00DB3E4F">
        <w:rPr>
          <w:rFonts w:ascii="Arial" w:hAnsi="Arial" w:cs="Arial"/>
        </w:rPr>
        <w:t>Bivand</w:t>
      </w:r>
      <w:proofErr w:type="spellEnd"/>
      <w:r w:rsidR="000F0C71" w:rsidRPr="00DB3E4F">
        <w:rPr>
          <w:rFonts w:ascii="Arial" w:hAnsi="Arial" w:cs="Arial"/>
        </w:rPr>
        <w:t xml:space="preserve"> et al., 2015; Ghosh et al., 2020)</w:t>
      </w:r>
      <w:r w:rsidR="00E420CE" w:rsidRPr="00DB3E4F">
        <w:rPr>
          <w:rFonts w:ascii="Arial" w:hAnsi="Arial" w:cs="Arial"/>
        </w:rPr>
        <w:t>.</w:t>
      </w:r>
    </w:p>
    <w:p w14:paraId="4CC4C787" w14:textId="5663470E" w:rsidR="009E70E1" w:rsidRPr="00DB3E4F" w:rsidRDefault="001442EF" w:rsidP="009A4E77">
      <w:pPr>
        <w:spacing w:line="360" w:lineRule="auto"/>
        <w:jc w:val="both"/>
        <w:rPr>
          <w:rFonts w:ascii="Arial" w:hAnsi="Arial" w:cs="Arial"/>
          <w:b/>
          <w:bCs/>
        </w:rPr>
      </w:pPr>
      <w:bookmarkStart w:id="9" w:name="_Hlk168589081"/>
      <w:bookmarkEnd w:id="8"/>
      <w:r w:rsidRPr="00DB3E4F">
        <w:rPr>
          <w:rStyle w:val="Heading3Char"/>
          <w:rFonts w:ascii="Arial" w:hAnsi="Arial" w:cs="Arial"/>
          <w:i/>
          <w:iCs/>
          <w:szCs w:val="22"/>
        </w:rPr>
        <w:t>Local Indicators of Spatial Autocorrelation (LISA)</w:t>
      </w:r>
      <w:r w:rsidR="00503A81" w:rsidRPr="00DB3E4F">
        <w:rPr>
          <w:rStyle w:val="Heading3Char"/>
          <w:rFonts w:ascii="Arial" w:hAnsi="Arial" w:cs="Arial"/>
          <w:i/>
          <w:iCs/>
          <w:szCs w:val="22"/>
        </w:rPr>
        <w:t>:</w:t>
      </w:r>
      <w:r w:rsidR="00AF65CA" w:rsidRPr="00DB3E4F">
        <w:rPr>
          <w:rFonts w:ascii="Arial" w:hAnsi="Arial" w:cs="Arial"/>
          <w:b/>
          <w:bCs/>
        </w:rPr>
        <w:t xml:space="preserve"> </w:t>
      </w:r>
      <w:r w:rsidR="00B921BE" w:rsidRPr="00DB3E4F">
        <w:rPr>
          <w:rFonts w:ascii="Arial" w:hAnsi="Arial" w:cs="Arial"/>
        </w:rPr>
        <w:t>LISA map measures</w:t>
      </w:r>
      <w:r w:rsidRPr="00DB3E4F">
        <w:rPr>
          <w:rFonts w:ascii="Arial" w:hAnsi="Arial" w:cs="Arial"/>
        </w:rPr>
        <w:t xml:space="preserve"> the extent of autocorrelation </w:t>
      </w:r>
      <w:r w:rsidR="00AD36CF" w:rsidRPr="00DB3E4F">
        <w:rPr>
          <w:rFonts w:ascii="Arial" w:hAnsi="Arial" w:cs="Arial"/>
        </w:rPr>
        <w:t xml:space="preserve">across </w:t>
      </w:r>
      <w:r w:rsidRPr="00DB3E4F">
        <w:rPr>
          <w:rFonts w:ascii="Arial" w:hAnsi="Arial" w:cs="Arial"/>
        </w:rPr>
        <w:t>the neighbourhood districts</w:t>
      </w:r>
      <w:r w:rsidR="000F0C71" w:rsidRPr="00DB3E4F">
        <w:rPr>
          <w:rFonts w:ascii="Arial" w:hAnsi="Arial" w:cs="Arial"/>
        </w:rPr>
        <w:t xml:space="preserve"> </w:t>
      </w:r>
      <w:proofErr w:type="spellStart"/>
      <w:r w:rsidR="000F0C71" w:rsidRPr="00DB3E4F">
        <w:rPr>
          <w:rFonts w:ascii="Arial" w:hAnsi="Arial" w:cs="Arial"/>
        </w:rPr>
        <w:t>Anselin</w:t>
      </w:r>
      <w:proofErr w:type="spellEnd"/>
      <w:r w:rsidR="000F0C71" w:rsidRPr="00DB3E4F">
        <w:rPr>
          <w:rFonts w:ascii="Arial" w:hAnsi="Arial" w:cs="Arial"/>
        </w:rPr>
        <w:t xml:space="preserve">, 2013; </w:t>
      </w:r>
      <w:proofErr w:type="spellStart"/>
      <w:r w:rsidR="000F0C71" w:rsidRPr="00DB3E4F">
        <w:rPr>
          <w:rFonts w:ascii="Arial" w:hAnsi="Arial" w:cs="Arial"/>
        </w:rPr>
        <w:t>Bivand</w:t>
      </w:r>
      <w:proofErr w:type="spellEnd"/>
      <w:r w:rsidR="000F0C71" w:rsidRPr="00DB3E4F">
        <w:rPr>
          <w:rFonts w:ascii="Arial" w:hAnsi="Arial" w:cs="Arial"/>
        </w:rPr>
        <w:t xml:space="preserve"> et al., 2015; Ghosh et al., 2020; Ghosh et al., 2023)</w:t>
      </w:r>
      <w:r w:rsidRPr="00DB3E4F">
        <w:rPr>
          <w:rFonts w:ascii="Arial" w:hAnsi="Arial" w:cs="Arial"/>
        </w:rPr>
        <w:t xml:space="preserve">. The LISA values consent </w:t>
      </w:r>
      <w:r w:rsidR="00B921BE" w:rsidRPr="00DB3E4F">
        <w:rPr>
          <w:rFonts w:ascii="Arial" w:hAnsi="Arial" w:cs="Arial"/>
        </w:rPr>
        <w:t xml:space="preserve">to </w:t>
      </w:r>
      <w:r w:rsidRPr="00DB3E4F">
        <w:rPr>
          <w:rFonts w:ascii="Arial" w:hAnsi="Arial" w:cs="Arial"/>
        </w:rPr>
        <w:t>the computation of its similarity with its neighbour districts and also test the level of significance for each location. LISA map portrays results in three scenarios-</w:t>
      </w:r>
    </w:p>
    <w:p w14:paraId="342776A9" w14:textId="77777777" w:rsidR="009E70E1" w:rsidRPr="00DB3E4F" w:rsidRDefault="001442EF">
      <w:pPr>
        <w:pStyle w:val="ListParagraph"/>
        <w:numPr>
          <w:ilvl w:val="0"/>
          <w:numId w:val="1"/>
        </w:numPr>
        <w:tabs>
          <w:tab w:val="left" w:pos="1161"/>
        </w:tabs>
        <w:spacing w:line="240" w:lineRule="auto"/>
        <w:jc w:val="both"/>
        <w:rPr>
          <w:rFonts w:ascii="Arial" w:hAnsi="Arial" w:cs="Arial"/>
          <w:b/>
          <w:bCs/>
        </w:rPr>
      </w:pPr>
      <w:r w:rsidRPr="00DB3E4F">
        <w:rPr>
          <w:rFonts w:ascii="Arial" w:hAnsi="Arial" w:cs="Arial"/>
          <w:b/>
          <w:bCs/>
        </w:rPr>
        <w:t>Hot-Spots</w:t>
      </w:r>
    </w:p>
    <w:p w14:paraId="69000B75" w14:textId="77777777" w:rsidR="009E70E1" w:rsidRPr="00DB3E4F" w:rsidRDefault="001442EF">
      <w:pPr>
        <w:pStyle w:val="ListParagraph"/>
        <w:numPr>
          <w:ilvl w:val="0"/>
          <w:numId w:val="2"/>
        </w:numPr>
        <w:tabs>
          <w:tab w:val="left" w:pos="1161"/>
        </w:tabs>
        <w:spacing w:line="240" w:lineRule="auto"/>
        <w:jc w:val="both"/>
        <w:rPr>
          <w:rFonts w:ascii="Arial" w:hAnsi="Arial" w:cs="Arial"/>
        </w:rPr>
      </w:pPr>
      <w:r w:rsidRPr="00DB3E4F">
        <w:rPr>
          <w:rFonts w:ascii="Arial" w:hAnsi="Arial" w:cs="Arial"/>
        </w:rPr>
        <w:t xml:space="preserve">High-high: High values with similar neighbours. </w:t>
      </w:r>
    </w:p>
    <w:p w14:paraId="41C46E15" w14:textId="77777777" w:rsidR="009E70E1" w:rsidRPr="00DB3E4F" w:rsidRDefault="001442EF">
      <w:pPr>
        <w:pStyle w:val="ListParagraph"/>
        <w:numPr>
          <w:ilvl w:val="0"/>
          <w:numId w:val="1"/>
        </w:numPr>
        <w:tabs>
          <w:tab w:val="left" w:pos="1161"/>
        </w:tabs>
        <w:spacing w:line="240" w:lineRule="auto"/>
        <w:jc w:val="both"/>
        <w:rPr>
          <w:rFonts w:ascii="Arial" w:hAnsi="Arial" w:cs="Arial"/>
          <w:b/>
          <w:bCs/>
        </w:rPr>
      </w:pPr>
      <w:r w:rsidRPr="00DB3E4F">
        <w:rPr>
          <w:rFonts w:ascii="Arial" w:hAnsi="Arial" w:cs="Arial"/>
          <w:b/>
          <w:bCs/>
        </w:rPr>
        <w:t>Cold-Spots:</w:t>
      </w:r>
    </w:p>
    <w:p w14:paraId="27BFE8A8" w14:textId="77777777" w:rsidR="009E70E1" w:rsidRPr="00DB3E4F" w:rsidRDefault="001442EF">
      <w:pPr>
        <w:pStyle w:val="ListParagraph"/>
        <w:numPr>
          <w:ilvl w:val="0"/>
          <w:numId w:val="2"/>
        </w:numPr>
        <w:tabs>
          <w:tab w:val="left" w:pos="1161"/>
        </w:tabs>
        <w:spacing w:line="240" w:lineRule="auto"/>
        <w:jc w:val="both"/>
        <w:rPr>
          <w:rFonts w:ascii="Arial" w:hAnsi="Arial" w:cs="Arial"/>
        </w:rPr>
      </w:pPr>
      <w:r w:rsidRPr="00DB3E4F">
        <w:rPr>
          <w:rFonts w:ascii="Arial" w:hAnsi="Arial" w:cs="Arial"/>
        </w:rPr>
        <w:t xml:space="preserve">Low-low: Low values with similar neighbours. </w:t>
      </w:r>
    </w:p>
    <w:p w14:paraId="084D4462" w14:textId="77777777" w:rsidR="009E70E1" w:rsidRPr="00DB3E4F" w:rsidRDefault="001442EF">
      <w:pPr>
        <w:pStyle w:val="ListParagraph"/>
        <w:numPr>
          <w:ilvl w:val="0"/>
          <w:numId w:val="1"/>
        </w:numPr>
        <w:tabs>
          <w:tab w:val="left" w:pos="1161"/>
        </w:tabs>
        <w:spacing w:line="240" w:lineRule="auto"/>
        <w:jc w:val="both"/>
        <w:rPr>
          <w:rFonts w:ascii="Arial" w:hAnsi="Arial" w:cs="Arial"/>
          <w:b/>
          <w:bCs/>
        </w:rPr>
      </w:pPr>
      <w:r w:rsidRPr="00DB3E4F">
        <w:rPr>
          <w:rFonts w:ascii="Arial" w:hAnsi="Arial" w:cs="Arial"/>
          <w:b/>
          <w:bCs/>
        </w:rPr>
        <w:t>Spatial Outliers</w:t>
      </w:r>
    </w:p>
    <w:p w14:paraId="174524CB" w14:textId="77777777" w:rsidR="009E70E1" w:rsidRPr="00DB3E4F" w:rsidRDefault="001442EF">
      <w:pPr>
        <w:pStyle w:val="ListParagraph"/>
        <w:numPr>
          <w:ilvl w:val="0"/>
          <w:numId w:val="3"/>
        </w:numPr>
        <w:tabs>
          <w:tab w:val="left" w:pos="1161"/>
        </w:tabs>
        <w:spacing w:line="240" w:lineRule="auto"/>
        <w:jc w:val="both"/>
        <w:rPr>
          <w:rFonts w:ascii="Arial" w:hAnsi="Arial" w:cs="Arial"/>
        </w:rPr>
      </w:pPr>
      <w:r w:rsidRPr="00DB3E4F">
        <w:rPr>
          <w:rFonts w:ascii="Arial" w:hAnsi="Arial" w:cs="Arial"/>
        </w:rPr>
        <w:t xml:space="preserve">Low-high: Low values but with higher values of neighbours. </w:t>
      </w:r>
    </w:p>
    <w:p w14:paraId="52A13445" w14:textId="77777777" w:rsidR="009E70E1" w:rsidRPr="00DB3E4F" w:rsidRDefault="001442EF">
      <w:pPr>
        <w:pStyle w:val="ListParagraph"/>
        <w:numPr>
          <w:ilvl w:val="0"/>
          <w:numId w:val="3"/>
        </w:numPr>
        <w:tabs>
          <w:tab w:val="left" w:pos="1161"/>
        </w:tabs>
        <w:spacing w:line="240" w:lineRule="auto"/>
        <w:jc w:val="both"/>
        <w:rPr>
          <w:rFonts w:ascii="Arial" w:hAnsi="Arial" w:cs="Arial"/>
        </w:rPr>
      </w:pPr>
      <w:r w:rsidRPr="00DB3E4F">
        <w:rPr>
          <w:rFonts w:ascii="Arial" w:hAnsi="Arial" w:cs="Arial"/>
        </w:rPr>
        <w:lastRenderedPageBreak/>
        <w:t>High-low: High values but with low-value neighbours.</w:t>
      </w:r>
    </w:p>
    <w:p w14:paraId="0D5F2192" w14:textId="77777777" w:rsidR="009E70E1" w:rsidRPr="00DB3E4F" w:rsidRDefault="001442EF">
      <w:pPr>
        <w:pStyle w:val="ListParagraph"/>
        <w:numPr>
          <w:ilvl w:val="0"/>
          <w:numId w:val="3"/>
        </w:numPr>
        <w:tabs>
          <w:tab w:val="left" w:pos="1161"/>
        </w:tabs>
        <w:spacing w:line="360" w:lineRule="auto"/>
        <w:jc w:val="both"/>
        <w:rPr>
          <w:rFonts w:ascii="Arial" w:hAnsi="Arial" w:cs="Arial"/>
        </w:rPr>
      </w:pPr>
      <w:r w:rsidRPr="00DB3E4F">
        <w:rPr>
          <w:rFonts w:ascii="Arial" w:hAnsi="Arial" w:cs="Arial"/>
        </w:rPr>
        <w:t>no significant local autocorrelation</w:t>
      </w:r>
    </w:p>
    <w:bookmarkEnd w:id="7"/>
    <w:bookmarkEnd w:id="9"/>
    <w:p w14:paraId="1597A41A" w14:textId="4DB2ED00" w:rsidR="009E70E1" w:rsidRPr="00DB3E4F" w:rsidRDefault="00DB3E4F" w:rsidP="00DB3E4F">
      <w:pPr>
        <w:pStyle w:val="Heading2"/>
        <w:rPr>
          <w:rFonts w:ascii="Arial" w:hAnsi="Arial" w:cs="Arial"/>
          <w:sz w:val="22"/>
          <w:szCs w:val="22"/>
        </w:rPr>
      </w:pPr>
      <w:r w:rsidRPr="00DB3E4F">
        <w:rPr>
          <w:rFonts w:ascii="Arial" w:hAnsi="Arial" w:cs="Arial"/>
          <w:sz w:val="22"/>
          <w:szCs w:val="22"/>
        </w:rPr>
        <w:t xml:space="preserve">2.5 </w:t>
      </w:r>
      <w:r w:rsidR="009A4E77" w:rsidRPr="00DB3E4F">
        <w:rPr>
          <w:rFonts w:ascii="Arial" w:hAnsi="Arial" w:cs="Arial"/>
          <w:sz w:val="22"/>
          <w:szCs w:val="22"/>
        </w:rPr>
        <w:t>Statistical Analysis</w:t>
      </w:r>
    </w:p>
    <w:p w14:paraId="757F268D" w14:textId="003F75EA" w:rsidR="009E70E1" w:rsidRPr="00DB3E4F" w:rsidRDefault="001442EF">
      <w:pPr>
        <w:spacing w:line="360" w:lineRule="auto"/>
        <w:jc w:val="both"/>
        <w:rPr>
          <w:rFonts w:ascii="Arial" w:hAnsi="Arial" w:cs="Arial"/>
        </w:rPr>
      </w:pPr>
      <w:r w:rsidRPr="00DB3E4F">
        <w:rPr>
          <w:rStyle w:val="Heading3Char"/>
          <w:rFonts w:ascii="Arial" w:hAnsi="Arial" w:cs="Arial"/>
          <w:i/>
          <w:iCs/>
          <w:szCs w:val="22"/>
        </w:rPr>
        <w:t>Multilevel Logistics Regression:</w:t>
      </w:r>
      <w:r w:rsidRPr="00DB3E4F">
        <w:rPr>
          <w:rStyle w:val="Heading3Char"/>
          <w:rFonts w:ascii="Arial" w:hAnsi="Arial" w:cs="Arial"/>
          <w:szCs w:val="22"/>
        </w:rPr>
        <w:t xml:space="preserve"> </w:t>
      </w:r>
      <w:r w:rsidRPr="00DB3E4F">
        <w:rPr>
          <w:rStyle w:val="Heading3Char"/>
          <w:rFonts w:ascii="Arial" w:hAnsi="Arial" w:cs="Arial"/>
          <w:b w:val="0"/>
          <w:bCs w:val="0"/>
          <w:szCs w:val="22"/>
        </w:rPr>
        <w:t>Multilevel</w:t>
      </w:r>
      <w:r w:rsidRPr="00DB3E4F">
        <w:rPr>
          <w:rFonts w:ascii="Arial" w:hAnsi="Arial" w:cs="Arial"/>
        </w:rPr>
        <w:t xml:space="preserve"> models allow for hierarchical and clustered data, which, if ignored, could generate improper standard errors for the coefficients of the predictor variables and error terms. NFHS datasets, due to the sampling procedures used, have a hierarchical structure with women and men nested within the household, which is nested in a PSU or village</w:t>
      </w:r>
      <w:r w:rsidR="00593444" w:rsidRPr="00DB3E4F">
        <w:rPr>
          <w:rFonts w:ascii="Arial" w:hAnsi="Arial" w:cs="Arial"/>
        </w:rPr>
        <w:t>,</w:t>
      </w:r>
      <w:r w:rsidRPr="00DB3E4F">
        <w:rPr>
          <w:rFonts w:ascii="Arial" w:hAnsi="Arial" w:cs="Arial"/>
        </w:rPr>
        <w:t xml:space="preserve"> followed by districts and states.</w:t>
      </w:r>
    </w:p>
    <w:p w14:paraId="29F6D667" w14:textId="66AB5437" w:rsidR="009E70E1" w:rsidRPr="00DB3E4F" w:rsidRDefault="001442EF">
      <w:pPr>
        <w:spacing w:line="360" w:lineRule="auto"/>
        <w:jc w:val="both"/>
        <w:rPr>
          <w:rFonts w:ascii="Arial" w:hAnsi="Arial" w:cs="Arial"/>
          <w:color w:val="000000" w:themeColor="text1"/>
        </w:rPr>
      </w:pPr>
      <w:r w:rsidRPr="00DB3E4F">
        <w:rPr>
          <w:rFonts w:ascii="Arial" w:hAnsi="Arial" w:cs="Arial"/>
        </w:rPr>
        <w:t xml:space="preserve">This data structure generates a dataset where observations are not entirely independent because they come from the same household or primary sampling unit (PSU). This goes against the assumption of independent observations in </w:t>
      </w:r>
      <w:r w:rsidR="00593444" w:rsidRPr="00DB3E4F">
        <w:rPr>
          <w:rFonts w:ascii="Arial" w:hAnsi="Arial" w:cs="Arial"/>
        </w:rPr>
        <w:t xml:space="preserve">a </w:t>
      </w:r>
      <w:r w:rsidRPr="00DB3E4F">
        <w:rPr>
          <w:rFonts w:ascii="Arial" w:hAnsi="Arial" w:cs="Arial"/>
        </w:rPr>
        <w:t xml:space="preserve">simple regression </w:t>
      </w:r>
      <w:r w:rsidR="00593444" w:rsidRPr="00DB3E4F">
        <w:rPr>
          <w:rFonts w:ascii="Arial" w:hAnsi="Arial" w:cs="Arial"/>
        </w:rPr>
        <w:t>model</w:t>
      </w:r>
      <w:r w:rsidRPr="00DB3E4F">
        <w:rPr>
          <w:rFonts w:ascii="Arial" w:hAnsi="Arial" w:cs="Arial"/>
        </w:rPr>
        <w:t xml:space="preserve">. </w:t>
      </w:r>
      <w:r w:rsidR="00593444" w:rsidRPr="00DB3E4F">
        <w:rPr>
          <w:rFonts w:ascii="Arial" w:hAnsi="Arial" w:cs="Arial"/>
        </w:rPr>
        <w:t xml:space="preserve">A </w:t>
      </w:r>
      <w:r w:rsidRPr="00DB3E4F">
        <w:rPr>
          <w:rFonts w:ascii="Arial" w:hAnsi="Arial" w:cs="Arial"/>
        </w:rPr>
        <w:t xml:space="preserve">Multilevel </w:t>
      </w:r>
      <w:r w:rsidR="00593444" w:rsidRPr="00DB3E4F">
        <w:rPr>
          <w:rFonts w:ascii="Arial" w:hAnsi="Arial" w:cs="Arial"/>
        </w:rPr>
        <w:t>model</w:t>
      </w:r>
      <w:r w:rsidRPr="00DB3E4F">
        <w:rPr>
          <w:rFonts w:ascii="Arial" w:hAnsi="Arial" w:cs="Arial"/>
        </w:rPr>
        <w:t xml:space="preserve"> can accommodate such datasets and provide standard error adjustments for clustered observations. Another reason for using multilevel logistic regression in this study is to estimate the impact of contextual, village, or community-level variables on </w:t>
      </w:r>
      <w:r w:rsidRPr="00DB3E4F">
        <w:rPr>
          <w:rFonts w:ascii="Arial" w:hAnsi="Arial" w:cs="Arial"/>
          <w:color w:val="000000" w:themeColor="text1"/>
        </w:rPr>
        <w:t>childhood ARI prevalence. These variables do not vary from person to person within a single community, creating a clustering effect that can only be addressed by fitting a multilevel regression model</w:t>
      </w:r>
      <w:r w:rsidR="000F0C71" w:rsidRPr="00DB3E4F">
        <w:rPr>
          <w:rFonts w:ascii="Arial" w:hAnsi="Arial" w:cs="Arial"/>
          <w:color w:val="000000" w:themeColor="text1"/>
        </w:rPr>
        <w:t xml:space="preserve"> (</w:t>
      </w:r>
      <w:r w:rsidR="000F0C71" w:rsidRPr="00DB3E4F">
        <w:rPr>
          <w:rFonts w:ascii="Arial" w:hAnsi="Arial" w:cs="Arial"/>
        </w:rPr>
        <w:t>Ghosh et al., 2023)</w:t>
      </w:r>
      <w:r w:rsidRPr="00DB3E4F">
        <w:rPr>
          <w:rFonts w:ascii="Arial" w:hAnsi="Arial" w:cs="Arial"/>
          <w:color w:val="000000" w:themeColor="text1"/>
        </w:rPr>
        <w:t>. A four-level logit model can be expressed as follows:</w:t>
      </w:r>
    </w:p>
    <w:p w14:paraId="7D8BE589" w14:textId="77777777" w:rsidR="009E70E1" w:rsidRPr="00DB3E4F" w:rsidRDefault="009E70E1">
      <w:pPr>
        <w:spacing w:after="0" w:line="360" w:lineRule="auto"/>
        <w:rPr>
          <w:rFonts w:ascii="Arial" w:hAnsi="Arial" w:cs="Arial"/>
          <w:shd w:val="clear" w:color="auto" w:fill="FFFFFF"/>
        </w:rPr>
      </w:pPr>
    </w:p>
    <w:p w14:paraId="7AF1BAD7" w14:textId="77777777" w:rsidR="009E70E1" w:rsidRPr="00DB3E4F" w:rsidRDefault="001442EF">
      <w:pPr>
        <w:spacing w:after="0" w:line="360" w:lineRule="auto"/>
        <w:ind w:right="-20"/>
        <w:jc w:val="center"/>
        <w:rPr>
          <w:rFonts w:ascii="Arial" w:eastAsia="Times New Roman" w:hAnsi="Arial" w:cs="Arial"/>
          <w:vertAlign w:val="subscript"/>
        </w:rPr>
      </w:pPr>
      <w:r w:rsidRPr="00DB3E4F">
        <w:rPr>
          <w:rFonts w:ascii="Arial" w:hAnsi="Arial" w:cs="Arial"/>
        </w:rPr>
        <w:t>logit</w:t>
      </w:r>
      <w:r w:rsidRPr="00DB3E4F">
        <w:rPr>
          <w:rFonts w:ascii="Arial" w:hAnsi="Arial" w:cs="Arial"/>
          <w:position w:val="-14"/>
        </w:rPr>
        <w:object w:dxaOrig="424" w:dyaOrig="375" w14:anchorId="49470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8.85pt" o:ole="">
            <v:imagedata r:id="rId8" o:title=""/>
          </v:shape>
          <o:OLEObject Type="Embed" ProgID="Equation.3" ShapeID="_x0000_i1025" DrawAspect="Content" ObjectID="_1839506444" r:id="rId9"/>
        </w:object>
      </w:r>
      <w:r w:rsidRPr="00DB3E4F">
        <w:rPr>
          <w:rFonts w:ascii="Arial" w:hAnsi="Arial" w:cs="Arial"/>
        </w:rPr>
        <w:t>=</w:t>
      </w:r>
      <w:r w:rsidRPr="00DB3E4F">
        <w:rPr>
          <w:rFonts w:ascii="Arial" w:eastAsia="Times New Roman" w:hAnsi="Arial" w:cs="Arial"/>
        </w:rPr>
        <w:t xml:space="preserve"> </w:t>
      </w:r>
      <w:r w:rsidRPr="00DB3E4F">
        <w:rPr>
          <w:rFonts w:ascii="Arial" w:eastAsia="Times New Roman" w:hAnsi="Arial" w:cs="Arial"/>
          <w:position w:val="-12"/>
        </w:rPr>
        <w:object w:dxaOrig="3364" w:dyaOrig="351" w14:anchorId="44F1672D">
          <v:shape id="_x0000_i1026" type="#_x0000_t75" style="width:167.15pt;height:18pt" o:ole="">
            <v:imagedata r:id="rId10" o:title=""/>
          </v:shape>
          <o:OLEObject Type="Embed" ProgID="Equation.3" ShapeID="_x0000_i1026" DrawAspect="Content" ObjectID="_1839506445" r:id="rId11"/>
        </w:object>
      </w:r>
    </w:p>
    <w:p w14:paraId="2699D6E6" w14:textId="77777777" w:rsidR="009E70E1" w:rsidRPr="00DB3E4F" w:rsidRDefault="009E70E1">
      <w:pPr>
        <w:spacing w:after="0" w:line="360" w:lineRule="auto"/>
        <w:rPr>
          <w:rFonts w:ascii="Arial" w:hAnsi="Arial" w:cs="Arial"/>
        </w:rPr>
      </w:pPr>
    </w:p>
    <w:p w14:paraId="76D5F4B7" w14:textId="77777777" w:rsidR="009E70E1" w:rsidRPr="00DB3E4F" w:rsidRDefault="001442EF">
      <w:pPr>
        <w:spacing w:after="0" w:line="360" w:lineRule="auto"/>
        <w:jc w:val="both"/>
        <w:rPr>
          <w:rFonts w:ascii="Arial" w:hAnsi="Arial" w:cs="Arial"/>
        </w:rPr>
      </w:pPr>
      <w:r w:rsidRPr="00DB3E4F">
        <w:rPr>
          <w:rFonts w:ascii="Arial" w:hAnsi="Arial" w:cs="Arial"/>
        </w:rPr>
        <w:t>Whereas,</w:t>
      </w:r>
    </w:p>
    <w:p w14:paraId="091A1568" w14:textId="77777777" w:rsidR="009E70E1" w:rsidRPr="00DB3E4F" w:rsidRDefault="001442EF">
      <w:pPr>
        <w:spacing w:after="0" w:line="240" w:lineRule="auto"/>
        <w:jc w:val="both"/>
        <w:rPr>
          <w:rFonts w:ascii="Arial" w:hAnsi="Arial" w:cs="Arial"/>
        </w:rPr>
      </w:pPr>
      <w:r w:rsidRPr="00DB3E4F">
        <w:rPr>
          <w:rFonts w:ascii="Arial" w:hAnsi="Arial" w:cs="Arial"/>
        </w:rPr>
        <w:t xml:space="preserve"> </w:t>
      </w:r>
      <w:proofErr w:type="spellStart"/>
      <w:r w:rsidRPr="00DB3E4F">
        <w:rPr>
          <w:rFonts w:ascii="Arial" w:hAnsi="Arial" w:cs="Arial"/>
        </w:rPr>
        <w:t>i</w:t>
      </w:r>
      <w:proofErr w:type="spellEnd"/>
      <w:r w:rsidRPr="00DB3E4F">
        <w:rPr>
          <w:rFonts w:ascii="Arial" w:hAnsi="Arial" w:cs="Arial"/>
        </w:rPr>
        <w:t>, j, k, and l are the level one (individual)</w:t>
      </w:r>
    </w:p>
    <w:p w14:paraId="48B3F340" w14:textId="77777777" w:rsidR="009E70E1" w:rsidRPr="00DB3E4F" w:rsidRDefault="001442EF">
      <w:pPr>
        <w:spacing w:after="0" w:line="240" w:lineRule="auto"/>
        <w:jc w:val="both"/>
        <w:rPr>
          <w:rFonts w:ascii="Arial" w:hAnsi="Arial" w:cs="Arial"/>
        </w:rPr>
      </w:pPr>
      <w:r w:rsidRPr="00DB3E4F">
        <w:rPr>
          <w:rFonts w:ascii="Arial" w:hAnsi="Arial" w:cs="Arial"/>
        </w:rPr>
        <w:t>level 2 (village or PSU)</w:t>
      </w:r>
    </w:p>
    <w:p w14:paraId="3A87A821" w14:textId="77777777" w:rsidR="009E70E1" w:rsidRPr="00DB3E4F" w:rsidRDefault="001442EF">
      <w:pPr>
        <w:spacing w:after="0" w:line="240" w:lineRule="auto"/>
        <w:jc w:val="both"/>
        <w:rPr>
          <w:rFonts w:ascii="Arial" w:hAnsi="Arial" w:cs="Arial"/>
        </w:rPr>
      </w:pPr>
      <w:r w:rsidRPr="00DB3E4F">
        <w:rPr>
          <w:rFonts w:ascii="Arial" w:hAnsi="Arial" w:cs="Arial"/>
        </w:rPr>
        <w:t>level 3 (district) and level 4 (state) or community units, respectively</w:t>
      </w:r>
    </w:p>
    <w:p w14:paraId="0149D794" w14:textId="6D1E2450" w:rsidR="009E70E1" w:rsidRPr="00DB3E4F" w:rsidRDefault="001442EF">
      <w:pPr>
        <w:spacing w:after="0" w:line="240" w:lineRule="auto"/>
        <w:jc w:val="both"/>
        <w:rPr>
          <w:rFonts w:ascii="Arial" w:hAnsi="Arial" w:cs="Arial"/>
        </w:rPr>
      </w:pPr>
      <w:r w:rsidRPr="00DB3E4F">
        <w:rPr>
          <w:rFonts w:ascii="Arial" w:hAnsi="Arial" w:cs="Arial"/>
          <w:position w:val="-14"/>
        </w:rPr>
        <w:object w:dxaOrig="290" w:dyaOrig="375" w14:anchorId="7C1009A1">
          <v:shape id="_x0000_i1027" type="#_x0000_t75" style="width:13.7pt;height:18.85pt" o:ole="">
            <v:imagedata r:id="rId12" o:title=""/>
          </v:shape>
          <o:OLEObject Type="Embed" ProgID="Equation.3" ShapeID="_x0000_i1027" DrawAspect="Content" ObjectID="_1839506446" r:id="rId13"/>
        </w:object>
      </w:r>
      <w:r w:rsidRPr="00DB3E4F">
        <w:rPr>
          <w:rFonts w:ascii="Arial" w:hAnsi="Arial" w:cs="Arial"/>
        </w:rPr>
        <w:t xml:space="preserve">is the probability of suffering from ARI, for the </w:t>
      </w:r>
      <w:proofErr w:type="spellStart"/>
      <w:r w:rsidRPr="00DB3E4F">
        <w:rPr>
          <w:rFonts w:ascii="Arial" w:hAnsi="Arial" w:cs="Arial"/>
          <w:i/>
          <w:iCs/>
        </w:rPr>
        <w:t>i</w:t>
      </w:r>
      <w:r w:rsidRPr="00DB3E4F">
        <w:rPr>
          <w:rFonts w:ascii="Arial" w:hAnsi="Arial" w:cs="Arial"/>
          <w:vertAlign w:val="superscript"/>
        </w:rPr>
        <w:t>th</w:t>
      </w:r>
      <w:proofErr w:type="spellEnd"/>
      <w:r w:rsidRPr="00DB3E4F">
        <w:rPr>
          <w:rFonts w:ascii="Arial" w:hAnsi="Arial" w:cs="Arial"/>
        </w:rPr>
        <w:t xml:space="preserve"> children in the </w:t>
      </w:r>
      <w:proofErr w:type="spellStart"/>
      <w:r w:rsidRPr="00DB3E4F">
        <w:rPr>
          <w:rFonts w:ascii="Arial" w:hAnsi="Arial" w:cs="Arial"/>
          <w:i/>
          <w:iCs/>
        </w:rPr>
        <w:t>j</w:t>
      </w:r>
      <w:r w:rsidRPr="00DB3E4F">
        <w:rPr>
          <w:rFonts w:ascii="Arial" w:hAnsi="Arial" w:cs="Arial"/>
          <w:vertAlign w:val="superscript"/>
        </w:rPr>
        <w:t>th</w:t>
      </w:r>
      <w:proofErr w:type="spellEnd"/>
      <w:r w:rsidRPr="00DB3E4F">
        <w:rPr>
          <w:rFonts w:ascii="Arial" w:hAnsi="Arial" w:cs="Arial"/>
        </w:rPr>
        <w:t>, k</w:t>
      </w:r>
      <w:r w:rsidRPr="00DB3E4F">
        <w:rPr>
          <w:rFonts w:ascii="Arial" w:hAnsi="Arial" w:cs="Arial"/>
          <w:vertAlign w:val="superscript"/>
        </w:rPr>
        <w:t>th</w:t>
      </w:r>
      <w:r w:rsidRPr="00DB3E4F">
        <w:rPr>
          <w:rFonts w:ascii="Arial" w:hAnsi="Arial" w:cs="Arial"/>
        </w:rPr>
        <w:t xml:space="preserve"> and l</w:t>
      </w:r>
      <w:r w:rsidRPr="00DB3E4F">
        <w:rPr>
          <w:rFonts w:ascii="Arial" w:hAnsi="Arial" w:cs="Arial"/>
          <w:vertAlign w:val="superscript"/>
        </w:rPr>
        <w:t>th</w:t>
      </w:r>
      <w:r w:rsidRPr="00DB3E4F">
        <w:rPr>
          <w:rFonts w:ascii="Arial" w:hAnsi="Arial" w:cs="Arial"/>
        </w:rPr>
        <w:t xml:space="preserve"> PSUs, districts</w:t>
      </w:r>
      <w:r w:rsidR="00352DFA" w:rsidRPr="00DB3E4F">
        <w:rPr>
          <w:rFonts w:ascii="Arial" w:hAnsi="Arial" w:cs="Arial"/>
        </w:rPr>
        <w:t>,</w:t>
      </w:r>
      <w:r w:rsidRPr="00DB3E4F">
        <w:rPr>
          <w:rFonts w:ascii="Arial" w:hAnsi="Arial" w:cs="Arial"/>
        </w:rPr>
        <w:t xml:space="preserve"> and state </w:t>
      </w:r>
      <w:proofErr w:type="gramStart"/>
      <w:r w:rsidRPr="00DB3E4F">
        <w:rPr>
          <w:rFonts w:ascii="Arial" w:hAnsi="Arial" w:cs="Arial"/>
        </w:rPr>
        <w:t>level.</w:t>
      </w:r>
      <w:proofErr w:type="gramEnd"/>
    </w:p>
    <w:p w14:paraId="08DFF73A" w14:textId="77777777" w:rsidR="009E70E1" w:rsidRPr="00DB3E4F" w:rsidRDefault="009E70E1">
      <w:pPr>
        <w:spacing w:line="360" w:lineRule="auto"/>
        <w:jc w:val="both"/>
        <w:rPr>
          <w:rFonts w:ascii="Arial" w:hAnsi="Arial" w:cs="Arial"/>
        </w:rPr>
      </w:pPr>
    </w:p>
    <w:p w14:paraId="131C10DD" w14:textId="03681AED" w:rsidR="009E70E1" w:rsidRPr="00DB3E4F" w:rsidRDefault="001442EF">
      <w:pPr>
        <w:spacing w:line="360" w:lineRule="auto"/>
        <w:jc w:val="both"/>
        <w:rPr>
          <w:rFonts w:ascii="Arial" w:hAnsi="Arial" w:cs="Arial"/>
          <w:color w:val="000000" w:themeColor="text1"/>
        </w:rPr>
      </w:pPr>
      <w:r w:rsidRPr="00DB3E4F">
        <w:rPr>
          <w:rFonts w:ascii="Arial" w:hAnsi="Arial" w:cs="Arial"/>
        </w:rPr>
        <w:t xml:space="preserve">We applied multilevel logistic regression analysis, incorporating district-level analysis using STATA 14 software. Before applying multilevel models, it is always good to look at the extent to which the outcome of interest varies at a higher level. We </w:t>
      </w:r>
      <w:r w:rsidR="00AD36CF" w:rsidRPr="00DB3E4F">
        <w:rPr>
          <w:rFonts w:ascii="Arial" w:hAnsi="Arial" w:cs="Arial"/>
        </w:rPr>
        <w:t>employed</w:t>
      </w:r>
      <w:r w:rsidRPr="00DB3E4F">
        <w:rPr>
          <w:rFonts w:ascii="Arial" w:hAnsi="Arial" w:cs="Arial"/>
        </w:rPr>
        <w:t xml:space="preserve"> a logistic model,</w:t>
      </w:r>
      <w:r w:rsidR="00AD36CF" w:rsidRPr="00DB3E4F">
        <w:rPr>
          <w:rFonts w:ascii="Arial" w:hAnsi="Arial" w:cs="Arial"/>
        </w:rPr>
        <w:t xml:space="preserve"> in</w:t>
      </w:r>
      <w:r w:rsidRPr="00DB3E4F">
        <w:rPr>
          <w:rFonts w:ascii="Arial" w:hAnsi="Arial" w:cs="Arial"/>
        </w:rPr>
        <w:t xml:space="preserve"> which the Hosmer</w:t>
      </w:r>
      <w:r w:rsidR="00724968" w:rsidRPr="00DB3E4F">
        <w:rPr>
          <w:rFonts w:ascii="Arial" w:hAnsi="Arial" w:cs="Arial"/>
        </w:rPr>
        <w:t>-</w:t>
      </w:r>
      <w:proofErr w:type="spellStart"/>
      <w:r w:rsidRPr="00DB3E4F">
        <w:rPr>
          <w:rFonts w:ascii="Arial" w:hAnsi="Arial" w:cs="Arial"/>
        </w:rPr>
        <w:t>Lemeshow</w:t>
      </w:r>
      <w:proofErr w:type="spellEnd"/>
      <w:r w:rsidRPr="00DB3E4F">
        <w:rPr>
          <w:rFonts w:ascii="Arial" w:hAnsi="Arial" w:cs="Arial"/>
        </w:rPr>
        <w:t xml:space="preserve"> chi-square (p=0.678) </w:t>
      </w:r>
      <w:r w:rsidR="00287E53" w:rsidRPr="00DB3E4F">
        <w:rPr>
          <w:rFonts w:ascii="Arial" w:hAnsi="Arial" w:cs="Arial"/>
        </w:rPr>
        <w:t xml:space="preserve">shows an insignificant relationship </w:t>
      </w:r>
      <w:r w:rsidRPr="00DB3E4F">
        <w:rPr>
          <w:rFonts w:ascii="Arial" w:hAnsi="Arial" w:cs="Arial"/>
        </w:rPr>
        <w:t xml:space="preserve">which means that the model </w:t>
      </w:r>
      <w:r w:rsidR="00287E53" w:rsidRPr="00DB3E4F">
        <w:rPr>
          <w:rFonts w:ascii="Arial" w:hAnsi="Arial" w:cs="Arial"/>
        </w:rPr>
        <w:t xml:space="preserve">fits </w:t>
      </w:r>
      <w:r w:rsidRPr="00DB3E4F">
        <w:rPr>
          <w:rFonts w:ascii="Arial" w:hAnsi="Arial" w:cs="Arial"/>
        </w:rPr>
        <w:t xml:space="preserve">for logistic regression. Further, after taking </w:t>
      </w:r>
      <w:r w:rsidRPr="00DB3E4F">
        <w:rPr>
          <w:rFonts w:ascii="Arial" w:hAnsi="Arial" w:cs="Arial"/>
          <w:color w:val="000000" w:themeColor="text1"/>
        </w:rPr>
        <w:t xml:space="preserve">the </w:t>
      </w:r>
      <w:r w:rsidR="00287E53" w:rsidRPr="00DB3E4F">
        <w:rPr>
          <w:rFonts w:ascii="Arial" w:hAnsi="Arial" w:cs="Arial"/>
          <w:color w:val="000000" w:themeColor="text1"/>
        </w:rPr>
        <w:t>district</w:t>
      </w:r>
      <w:r w:rsidRPr="00DB3E4F">
        <w:rPr>
          <w:rFonts w:ascii="Arial" w:hAnsi="Arial" w:cs="Arial"/>
          <w:color w:val="000000" w:themeColor="text1"/>
        </w:rPr>
        <w:t xml:space="preserve"> </w:t>
      </w:r>
      <w:r w:rsidR="00287E53" w:rsidRPr="00DB3E4F">
        <w:rPr>
          <w:rFonts w:ascii="Arial" w:hAnsi="Arial" w:cs="Arial"/>
          <w:color w:val="000000" w:themeColor="text1"/>
        </w:rPr>
        <w:t xml:space="preserve">we applied </w:t>
      </w:r>
      <w:r w:rsidRPr="00DB3E4F">
        <w:rPr>
          <w:rFonts w:ascii="Arial" w:hAnsi="Arial" w:cs="Arial"/>
          <w:color w:val="000000" w:themeColor="text1"/>
        </w:rPr>
        <w:t xml:space="preserve">a multilevel logistic model, </w:t>
      </w:r>
      <w:r w:rsidR="00287E53" w:rsidRPr="00DB3E4F">
        <w:rPr>
          <w:rFonts w:ascii="Arial" w:hAnsi="Arial" w:cs="Arial"/>
          <w:color w:val="000000" w:themeColor="text1"/>
        </w:rPr>
        <w:t>which</w:t>
      </w:r>
      <w:r w:rsidRPr="00DB3E4F">
        <w:rPr>
          <w:rFonts w:ascii="Arial" w:hAnsi="Arial" w:cs="Arial"/>
          <w:color w:val="000000" w:themeColor="text1"/>
        </w:rPr>
        <w:t xml:space="preserve"> gives a significant intra-cluster correlation coefficient (ICC), which suggests that a multilevel model is appropriate and best fit for our study</w:t>
      </w:r>
      <w:r w:rsidR="000F0C71" w:rsidRPr="00DB3E4F">
        <w:rPr>
          <w:rFonts w:ascii="Arial" w:hAnsi="Arial" w:cs="Arial"/>
          <w:color w:val="000000" w:themeColor="text1"/>
        </w:rPr>
        <w:t xml:space="preserve"> (</w:t>
      </w:r>
      <w:r w:rsidR="000F0C71" w:rsidRPr="00DB3E4F">
        <w:rPr>
          <w:rFonts w:ascii="Arial" w:hAnsi="Arial" w:cs="Arial"/>
        </w:rPr>
        <w:t>Ghosh et al., 2023)</w:t>
      </w:r>
      <w:r w:rsidRPr="00DB3E4F">
        <w:rPr>
          <w:rFonts w:ascii="Arial" w:hAnsi="Arial" w:cs="Arial"/>
          <w:color w:val="000000" w:themeColor="text1"/>
        </w:rPr>
        <w:t>.</w:t>
      </w:r>
    </w:p>
    <w:p w14:paraId="0511283C" w14:textId="5D777CA5" w:rsidR="00DB35A9" w:rsidRPr="00DB3E4F" w:rsidRDefault="00DB35A9" w:rsidP="00DB35A9">
      <w:pPr>
        <w:spacing w:line="360" w:lineRule="auto"/>
        <w:jc w:val="both"/>
        <w:rPr>
          <w:rFonts w:ascii="Arial" w:hAnsi="Arial" w:cs="Arial"/>
          <w:b/>
          <w:bCs/>
        </w:rPr>
      </w:pPr>
      <w:r w:rsidRPr="00DB3E4F">
        <w:rPr>
          <w:rStyle w:val="Heading3Char"/>
          <w:rFonts w:ascii="Arial" w:hAnsi="Arial" w:cs="Arial"/>
          <w:i/>
          <w:iCs/>
          <w:szCs w:val="22"/>
        </w:rPr>
        <w:lastRenderedPageBreak/>
        <w:t>Multicollinearity Check:</w:t>
      </w:r>
      <w:r w:rsidRPr="00DB3E4F">
        <w:rPr>
          <w:rFonts w:ascii="Arial" w:hAnsi="Arial" w:cs="Arial"/>
          <w:b/>
          <w:bCs/>
          <w:color w:val="000000" w:themeColor="text1"/>
        </w:rPr>
        <w:t xml:space="preserve"> </w:t>
      </w:r>
      <w:r w:rsidRPr="00DB3E4F">
        <w:rPr>
          <w:rFonts w:ascii="Arial" w:hAnsi="Arial" w:cs="Arial"/>
          <w:color w:val="000000" w:themeColor="text1"/>
        </w:rPr>
        <w:t xml:space="preserve">The </w:t>
      </w:r>
      <w:r w:rsidR="009A4E77" w:rsidRPr="00DB3E4F">
        <w:rPr>
          <w:rFonts w:ascii="Arial" w:hAnsi="Arial" w:cs="Arial"/>
          <w:color w:val="000000" w:themeColor="text1"/>
        </w:rPr>
        <w:t>Variance Inflation Factors (VIFs) were measured to determine</w:t>
      </w:r>
      <w:r w:rsidRPr="00DB3E4F">
        <w:rPr>
          <w:rFonts w:ascii="Arial" w:hAnsi="Arial" w:cs="Arial"/>
          <w:color w:val="000000" w:themeColor="text1"/>
        </w:rPr>
        <w:t xml:space="preserve"> the degree of multicollinearity in the model</w:t>
      </w:r>
      <w:r w:rsidR="000F0C71" w:rsidRPr="00DB3E4F">
        <w:rPr>
          <w:rFonts w:ascii="Arial" w:hAnsi="Arial" w:cs="Arial"/>
          <w:color w:val="000000" w:themeColor="text1"/>
        </w:rPr>
        <w:t xml:space="preserve"> (Midi et al., 2010)</w:t>
      </w:r>
      <w:r w:rsidRPr="00DB3E4F">
        <w:rPr>
          <w:rFonts w:ascii="Arial" w:hAnsi="Arial" w:cs="Arial"/>
          <w:color w:val="000000" w:themeColor="text1"/>
        </w:rPr>
        <w:t xml:space="preserve">. The computed mean </w:t>
      </w:r>
      <w:r w:rsidRPr="00DB3E4F">
        <w:rPr>
          <w:rFonts w:ascii="Arial" w:hAnsi="Arial" w:cs="Arial"/>
        </w:rPr>
        <w:t xml:space="preserve">VIF </w:t>
      </w:r>
      <w:r w:rsidR="00724968" w:rsidRPr="00DB3E4F">
        <w:rPr>
          <w:rFonts w:ascii="Arial" w:hAnsi="Arial" w:cs="Arial"/>
        </w:rPr>
        <w:t>was estimated at 1.83, which is well below the commonly accepted cutoff of five, suggesting that multicollinearity is not a concern in the models under analysis</w:t>
      </w:r>
      <w:r w:rsidRPr="00DB3E4F">
        <w:rPr>
          <w:rFonts w:ascii="Arial" w:hAnsi="Arial" w:cs="Arial"/>
        </w:rPr>
        <w:t xml:space="preserve"> (</w:t>
      </w:r>
      <w:r w:rsidR="000F0C71" w:rsidRPr="00DB3E4F">
        <w:rPr>
          <w:rFonts w:ascii="Arial" w:hAnsi="Arial" w:cs="Arial"/>
          <w:b/>
          <w:bCs/>
          <w:i/>
          <w:iCs/>
        </w:rPr>
        <w:t xml:space="preserve">See in </w:t>
      </w:r>
      <w:bookmarkStart w:id="10" w:name="_Hlk228889505"/>
      <w:r w:rsidRPr="00DB3E4F">
        <w:rPr>
          <w:rFonts w:ascii="Arial" w:hAnsi="Arial" w:cs="Arial"/>
          <w:b/>
          <w:bCs/>
          <w:i/>
          <w:iCs/>
        </w:rPr>
        <w:t>Supplementary file 1</w:t>
      </w:r>
      <w:bookmarkEnd w:id="10"/>
      <w:r w:rsidRPr="00DB3E4F">
        <w:rPr>
          <w:rFonts w:ascii="Arial" w:hAnsi="Arial" w:cs="Arial"/>
        </w:rPr>
        <w:t>).</w:t>
      </w:r>
    </w:p>
    <w:p w14:paraId="36BFB462" w14:textId="3EC5AFD6" w:rsidR="009E70E1" w:rsidRPr="00DB3E4F" w:rsidRDefault="001442EF" w:rsidP="00DB3E4F">
      <w:pPr>
        <w:pStyle w:val="Heading1"/>
        <w:rPr>
          <w:rFonts w:ascii="Arial" w:hAnsi="Arial" w:cs="Arial"/>
          <w:sz w:val="22"/>
          <w:szCs w:val="22"/>
        </w:rPr>
      </w:pPr>
      <w:r w:rsidRPr="00DB3E4F">
        <w:rPr>
          <w:rFonts w:ascii="Arial" w:hAnsi="Arial" w:cs="Arial"/>
          <w:sz w:val="22"/>
          <w:szCs w:val="22"/>
        </w:rPr>
        <w:t>Results</w:t>
      </w:r>
    </w:p>
    <w:p w14:paraId="7377D75F" w14:textId="03C360CA" w:rsidR="009E70E1" w:rsidRPr="00DB3E4F" w:rsidRDefault="00DB3E4F" w:rsidP="00DB3E4F">
      <w:pPr>
        <w:pStyle w:val="Heading2"/>
        <w:rPr>
          <w:rFonts w:ascii="Arial" w:hAnsi="Arial" w:cs="Arial"/>
          <w:sz w:val="22"/>
          <w:szCs w:val="22"/>
        </w:rPr>
      </w:pPr>
      <w:r w:rsidRPr="00DB3E4F">
        <w:rPr>
          <w:rStyle w:val="Heading3Char"/>
          <w:rFonts w:ascii="Arial" w:hAnsi="Arial" w:cs="Arial"/>
          <w:b/>
          <w:sz w:val="22"/>
          <w:szCs w:val="22"/>
        </w:rPr>
        <w:t xml:space="preserve">3.1 </w:t>
      </w:r>
      <w:r w:rsidR="009A4E77" w:rsidRPr="00DB3E4F">
        <w:rPr>
          <w:rStyle w:val="Heading3Char"/>
          <w:rFonts w:ascii="Arial" w:hAnsi="Arial" w:cs="Arial"/>
          <w:b/>
          <w:sz w:val="22"/>
          <w:szCs w:val="22"/>
        </w:rPr>
        <w:t>Prevalence with Geographical Variance of ARI among under-five children across the State/UTs in India</w:t>
      </w:r>
      <w:r w:rsidR="009A4E77" w:rsidRPr="00DB3E4F">
        <w:rPr>
          <w:rFonts w:ascii="Arial" w:hAnsi="Arial" w:cs="Arial"/>
          <w:sz w:val="22"/>
          <w:szCs w:val="22"/>
        </w:rPr>
        <w:t xml:space="preserve"> </w:t>
      </w:r>
    </w:p>
    <w:p w14:paraId="578E4FD8" w14:textId="3C8DFCD3" w:rsidR="009E70E1" w:rsidRPr="00DB3E4F" w:rsidRDefault="001442EF">
      <w:pPr>
        <w:spacing w:after="0" w:line="360" w:lineRule="auto"/>
        <w:jc w:val="both"/>
        <w:rPr>
          <w:rFonts w:ascii="Arial" w:hAnsi="Arial" w:cs="Arial"/>
        </w:rPr>
      </w:pPr>
      <w:r w:rsidRPr="00DB3E4F">
        <w:rPr>
          <w:rFonts w:ascii="Arial" w:hAnsi="Arial" w:cs="Arial"/>
          <w:bCs/>
          <w:color w:val="000000"/>
        </w:rPr>
        <w:t xml:space="preserve">Table 2 represents the prevalence of childhood ARI across the State/UTs in India. </w:t>
      </w:r>
      <w:bookmarkStart w:id="11" w:name="_Hlk168670137"/>
      <w:r w:rsidR="00222493" w:rsidRPr="00DB3E4F">
        <w:rPr>
          <w:rFonts w:ascii="Arial" w:hAnsi="Arial" w:cs="Arial"/>
          <w:bCs/>
          <w:color w:val="000000"/>
        </w:rPr>
        <w:t>At the national level, ARI</w:t>
      </w:r>
      <w:r w:rsidRPr="00DB3E4F">
        <w:rPr>
          <w:rFonts w:ascii="Arial" w:hAnsi="Arial" w:cs="Arial"/>
        </w:rPr>
        <w:t xml:space="preserve"> prevalence has </w:t>
      </w:r>
      <w:r w:rsidR="00222493" w:rsidRPr="00DB3E4F">
        <w:rPr>
          <w:rFonts w:ascii="Arial" w:hAnsi="Arial" w:cs="Arial"/>
        </w:rPr>
        <w:t>marginally</w:t>
      </w:r>
      <w:r w:rsidRPr="00DB3E4F">
        <w:rPr>
          <w:rFonts w:ascii="Arial" w:hAnsi="Arial" w:cs="Arial"/>
        </w:rPr>
        <w:t xml:space="preserve"> increased from 2.7 to 2.8 percent from 2016 to 2021. Children from rural (2.3%) India reported a higher prevalence of ARI as compared to urban (3.0%) children. Delhi (5.6%) shows the highest prevalence of ARI whereas Dadra &amp; Nagar Haveli/Daman &amp; Diu (0.3%) shows a low prevalence of ARI in 2021. Around 72 percent of States/UTs show more ARI prevalence among children than the national average (</w:t>
      </w:r>
      <w:proofErr w:type="spellStart"/>
      <w:r w:rsidRPr="00DB3E4F">
        <w:rPr>
          <w:rFonts w:ascii="Arial" w:hAnsi="Arial" w:cs="Arial"/>
        </w:rPr>
        <w:t>i.e</w:t>
      </w:r>
      <w:proofErr w:type="spellEnd"/>
      <w:r w:rsidRPr="00DB3E4F">
        <w:rPr>
          <w:rFonts w:ascii="Arial" w:hAnsi="Arial" w:cs="Arial"/>
        </w:rPr>
        <w:t xml:space="preserve">, 2.8%). </w:t>
      </w:r>
      <w:bookmarkEnd w:id="11"/>
      <w:r w:rsidRPr="00DB3E4F">
        <w:rPr>
          <w:rFonts w:ascii="Arial" w:hAnsi="Arial" w:cs="Arial"/>
        </w:rPr>
        <w:t xml:space="preserve">The northeast, eastern, and central regions are more prevalent than the national average (i.e. 2.8%). </w:t>
      </w:r>
    </w:p>
    <w:p w14:paraId="7506D7C7" w14:textId="26EAF14D" w:rsidR="009E70E1" w:rsidRPr="00DB3E4F" w:rsidRDefault="00DB3E4F" w:rsidP="00DB3E4F">
      <w:pPr>
        <w:pStyle w:val="Heading2"/>
        <w:rPr>
          <w:rFonts w:ascii="Arial" w:hAnsi="Arial" w:cs="Arial"/>
          <w:sz w:val="22"/>
          <w:szCs w:val="22"/>
        </w:rPr>
      </w:pPr>
      <w:bookmarkStart w:id="12" w:name="_Hlk168670614"/>
      <w:r w:rsidRPr="00DB3E4F">
        <w:rPr>
          <w:rFonts w:ascii="Arial" w:hAnsi="Arial" w:cs="Arial"/>
          <w:sz w:val="22"/>
          <w:szCs w:val="22"/>
        </w:rPr>
        <w:t xml:space="preserve">3.2 </w:t>
      </w:r>
      <w:r w:rsidR="009A4E77" w:rsidRPr="00DB3E4F">
        <w:rPr>
          <w:rFonts w:ascii="Arial" w:hAnsi="Arial" w:cs="Arial"/>
          <w:sz w:val="22"/>
          <w:szCs w:val="22"/>
        </w:rPr>
        <w:t xml:space="preserve">Spatial </w:t>
      </w:r>
      <w:r w:rsidR="00C8260F" w:rsidRPr="00DB3E4F">
        <w:rPr>
          <w:rFonts w:ascii="Arial" w:hAnsi="Arial" w:cs="Arial"/>
          <w:sz w:val="22"/>
          <w:szCs w:val="22"/>
        </w:rPr>
        <w:t>p</w:t>
      </w:r>
      <w:r w:rsidR="009A4E77" w:rsidRPr="00DB3E4F">
        <w:rPr>
          <w:rFonts w:ascii="Arial" w:hAnsi="Arial" w:cs="Arial"/>
          <w:sz w:val="22"/>
          <w:szCs w:val="22"/>
        </w:rPr>
        <w:t xml:space="preserve">revalence of ARI among children (0–5 years) across the districts in India (2019-21) </w:t>
      </w:r>
    </w:p>
    <w:p w14:paraId="2290D8AB" w14:textId="77777777" w:rsidR="009E70E1" w:rsidRPr="00DB3E4F" w:rsidRDefault="001442EF">
      <w:pPr>
        <w:spacing w:line="360" w:lineRule="auto"/>
        <w:jc w:val="both"/>
        <w:rPr>
          <w:rFonts w:ascii="Arial" w:hAnsi="Arial" w:cs="Arial"/>
          <w:bCs/>
          <w:iCs/>
          <w:color w:val="000000"/>
        </w:rPr>
      </w:pPr>
      <w:r w:rsidRPr="00DB3E4F">
        <w:rPr>
          <w:rFonts w:ascii="Arial" w:hAnsi="Arial" w:cs="Arial"/>
          <w:bCs/>
          <w:iCs/>
          <w:color w:val="000000"/>
        </w:rPr>
        <w:t>The map in Figure 2 illustrates the spatial prevalence of ARI across the 707 districts in India in the year 2019-21. The map indicates that approximately 36% of districts (254 out of 640) in India reported a prevalence of ARI higher than the national average of 2.8 percent. Moreover, for 15% (109 districts), the prevalence ranged between 2% and 2.8%, while the remaining 49% reported a prevalence of less than 2% in 2016.</w:t>
      </w:r>
    </w:p>
    <w:p w14:paraId="29D4D6D6" w14:textId="77777777" w:rsidR="009E70E1" w:rsidRPr="00DB3E4F" w:rsidRDefault="001442EF">
      <w:pPr>
        <w:spacing w:line="360" w:lineRule="auto"/>
        <w:jc w:val="both"/>
        <w:rPr>
          <w:rFonts w:ascii="Arial" w:hAnsi="Arial" w:cs="Arial"/>
          <w:bCs/>
          <w:iCs/>
          <w:color w:val="000000"/>
        </w:rPr>
      </w:pPr>
      <w:r w:rsidRPr="00DB3E4F">
        <w:rPr>
          <w:rFonts w:ascii="Arial" w:hAnsi="Arial" w:cs="Arial"/>
          <w:bCs/>
          <w:iCs/>
          <w:color w:val="000000"/>
        </w:rPr>
        <w:t xml:space="preserve">Gonda (19.5%) and Bundi (16.6%) districts in Uttar Pradesh and Rajasthan exhibited the highest prevalence of ARI. These high prevalence districts are located primarily in the states of Uttar Pradesh, Bihar, Madhya Pradesh, Jammu &amp; Kashmir, Chhattisgarh, Meghalaya, Delhi, Odisha, Rajasthan, Telangana, and Andhra Pradesh. </w:t>
      </w:r>
    </w:p>
    <w:bookmarkEnd w:id="12"/>
    <w:p w14:paraId="49A1689A" w14:textId="2868DDBF" w:rsidR="009E70E1" w:rsidRPr="00DB3E4F" w:rsidRDefault="00DB3E4F" w:rsidP="00DB3E4F">
      <w:pPr>
        <w:pStyle w:val="Heading2"/>
        <w:rPr>
          <w:rStyle w:val="Heading3Char"/>
          <w:rFonts w:ascii="Arial" w:hAnsi="Arial" w:cs="Arial"/>
          <w:b/>
          <w:bCs w:val="0"/>
          <w:sz w:val="22"/>
          <w:szCs w:val="22"/>
        </w:rPr>
      </w:pPr>
      <w:r w:rsidRPr="00DB3E4F">
        <w:rPr>
          <w:rStyle w:val="Heading3Char"/>
          <w:rFonts w:ascii="Arial" w:hAnsi="Arial" w:cs="Arial"/>
          <w:b/>
          <w:sz w:val="22"/>
          <w:szCs w:val="22"/>
        </w:rPr>
        <w:t xml:space="preserve">3.3 </w:t>
      </w:r>
      <w:r w:rsidR="009A4E77" w:rsidRPr="00DB3E4F">
        <w:rPr>
          <w:rStyle w:val="Heading3Char"/>
          <w:rFonts w:ascii="Arial" w:hAnsi="Arial" w:cs="Arial"/>
          <w:b/>
          <w:sz w:val="22"/>
          <w:szCs w:val="22"/>
        </w:rPr>
        <w:t xml:space="preserve">Spatial </w:t>
      </w:r>
      <w:r w:rsidR="00C8260F" w:rsidRPr="00DB3E4F">
        <w:rPr>
          <w:rStyle w:val="Heading3Char"/>
          <w:rFonts w:ascii="Arial" w:hAnsi="Arial" w:cs="Arial"/>
          <w:b/>
          <w:sz w:val="22"/>
          <w:szCs w:val="22"/>
        </w:rPr>
        <w:t>c</w:t>
      </w:r>
      <w:r w:rsidR="009A4E77" w:rsidRPr="00DB3E4F">
        <w:rPr>
          <w:rStyle w:val="Heading3Char"/>
          <w:rFonts w:ascii="Arial" w:hAnsi="Arial" w:cs="Arial"/>
          <w:b/>
          <w:sz w:val="22"/>
          <w:szCs w:val="22"/>
        </w:rPr>
        <w:t xml:space="preserve">lustering of ARI across the </w:t>
      </w:r>
      <w:r w:rsidR="00C8260F" w:rsidRPr="00DB3E4F">
        <w:rPr>
          <w:rStyle w:val="Heading3Char"/>
          <w:rFonts w:ascii="Arial" w:hAnsi="Arial" w:cs="Arial"/>
          <w:b/>
          <w:sz w:val="22"/>
          <w:szCs w:val="22"/>
        </w:rPr>
        <w:t>d</w:t>
      </w:r>
      <w:r w:rsidR="009A4E77" w:rsidRPr="00DB3E4F">
        <w:rPr>
          <w:rStyle w:val="Heading3Char"/>
          <w:rFonts w:ascii="Arial" w:hAnsi="Arial" w:cs="Arial"/>
          <w:b/>
          <w:sz w:val="22"/>
          <w:szCs w:val="22"/>
        </w:rPr>
        <w:t>istricts in India</w:t>
      </w:r>
    </w:p>
    <w:p w14:paraId="5036BC01" w14:textId="72F4521D" w:rsidR="009E70E1" w:rsidRPr="00DB3E4F" w:rsidRDefault="001442EF">
      <w:pPr>
        <w:spacing w:after="0" w:line="360" w:lineRule="auto"/>
        <w:jc w:val="both"/>
        <w:rPr>
          <w:rFonts w:ascii="Arial" w:hAnsi="Arial" w:cs="Arial"/>
        </w:rPr>
      </w:pPr>
      <w:r w:rsidRPr="00DB3E4F">
        <w:rPr>
          <w:rFonts w:ascii="Arial" w:hAnsi="Arial" w:cs="Arial"/>
          <w:lang w:val="en-US"/>
        </w:rPr>
        <w:t xml:space="preserve">Figure 3 describes </w:t>
      </w:r>
      <w:r w:rsidR="00C8260F" w:rsidRPr="00DB3E4F">
        <w:rPr>
          <w:rFonts w:ascii="Arial" w:hAnsi="Arial" w:cs="Arial"/>
          <w:lang w:val="en-US"/>
        </w:rPr>
        <w:t>spatial</w:t>
      </w:r>
      <w:r w:rsidRPr="00DB3E4F">
        <w:rPr>
          <w:rFonts w:ascii="Arial" w:hAnsi="Arial" w:cs="Arial"/>
          <w:lang w:val="en-US"/>
        </w:rPr>
        <w:t xml:space="preserve"> clustering in the prevalence of ARI in the </w:t>
      </w:r>
      <w:r w:rsidR="00DB35A9" w:rsidRPr="00DB3E4F">
        <w:rPr>
          <w:rFonts w:ascii="Arial" w:hAnsi="Arial" w:cs="Arial"/>
          <w:lang w:val="en-US"/>
        </w:rPr>
        <w:t>districts</w:t>
      </w:r>
      <w:r w:rsidRPr="00DB3E4F">
        <w:rPr>
          <w:rFonts w:ascii="Arial" w:hAnsi="Arial" w:cs="Arial"/>
          <w:lang w:val="en-US"/>
        </w:rPr>
        <w:t xml:space="preserve"> of the country. The results </w:t>
      </w:r>
      <w:r w:rsidR="00C8260F" w:rsidRPr="00DB3E4F">
        <w:rPr>
          <w:rFonts w:ascii="Arial" w:hAnsi="Arial" w:cs="Arial"/>
          <w:lang w:val="en-US"/>
        </w:rPr>
        <w:t>show</w:t>
      </w:r>
      <w:r w:rsidRPr="00DB3E4F">
        <w:rPr>
          <w:rFonts w:ascii="Arial" w:hAnsi="Arial" w:cs="Arial"/>
          <w:lang w:val="en-US"/>
        </w:rPr>
        <w:t xml:space="preserve"> that o</w:t>
      </w:r>
      <w:proofErr w:type="spellStart"/>
      <w:r w:rsidRPr="00DB3E4F">
        <w:rPr>
          <w:rFonts w:ascii="Arial" w:hAnsi="Arial" w:cs="Arial"/>
        </w:rPr>
        <w:t>ut</w:t>
      </w:r>
      <w:proofErr w:type="spellEnd"/>
      <w:r w:rsidRPr="00DB3E4F">
        <w:rPr>
          <w:rFonts w:ascii="Arial" w:hAnsi="Arial" w:cs="Arial"/>
        </w:rPr>
        <w:t xml:space="preserve"> of 707 districts</w:t>
      </w:r>
      <w:r w:rsidR="00C8260F" w:rsidRPr="00DB3E4F">
        <w:rPr>
          <w:rFonts w:ascii="Arial" w:hAnsi="Arial" w:cs="Arial"/>
        </w:rPr>
        <w:t>,</w:t>
      </w:r>
      <w:r w:rsidRPr="00DB3E4F">
        <w:rPr>
          <w:rFonts w:ascii="Arial" w:hAnsi="Arial" w:cs="Arial"/>
        </w:rPr>
        <w:t xml:space="preserve"> 58 districts are </w:t>
      </w:r>
      <w:r w:rsidR="002D179E" w:rsidRPr="00DB3E4F">
        <w:rPr>
          <w:rFonts w:ascii="Arial" w:hAnsi="Arial" w:cs="Arial"/>
        </w:rPr>
        <w:t>identified</w:t>
      </w:r>
      <w:r w:rsidRPr="00DB3E4F">
        <w:rPr>
          <w:rFonts w:ascii="Arial" w:hAnsi="Arial" w:cs="Arial"/>
        </w:rPr>
        <w:t xml:space="preserve"> as hotspot areas (Figure 3-A</w:t>
      </w:r>
      <w:r w:rsidR="002D179E" w:rsidRPr="00DB3E4F">
        <w:rPr>
          <w:rFonts w:ascii="Arial" w:hAnsi="Arial" w:cs="Arial"/>
        </w:rPr>
        <w:t>), with</w:t>
      </w:r>
      <w:r w:rsidRPr="00DB3E4F">
        <w:rPr>
          <w:rFonts w:ascii="Arial" w:hAnsi="Arial" w:cs="Arial"/>
        </w:rPr>
        <w:t xml:space="preserve"> a Moran’s Index value of 0.27</w:t>
      </w:r>
      <w:r w:rsidR="002D179E" w:rsidRPr="00DB3E4F">
        <w:rPr>
          <w:rFonts w:ascii="Arial" w:hAnsi="Arial" w:cs="Arial"/>
        </w:rPr>
        <w:t xml:space="preserve">, indicating a positive spatial autocorrelation. The most of the hotspot districts are predominantly located in Maharashtra, </w:t>
      </w:r>
      <w:r w:rsidRPr="00DB3E4F">
        <w:rPr>
          <w:rFonts w:ascii="Arial" w:hAnsi="Arial" w:cs="Arial"/>
        </w:rPr>
        <w:t>Uttar Pradesh, Panjab, Jammu &amp; Kashmir,</w:t>
      </w:r>
      <w:r w:rsidR="002D179E" w:rsidRPr="00DB3E4F">
        <w:rPr>
          <w:rFonts w:ascii="Arial" w:hAnsi="Arial" w:cs="Arial"/>
        </w:rPr>
        <w:t xml:space="preserve"> Assam, and </w:t>
      </w:r>
      <w:r w:rsidRPr="00DB3E4F">
        <w:rPr>
          <w:rFonts w:ascii="Arial" w:hAnsi="Arial" w:cs="Arial"/>
        </w:rPr>
        <w:t xml:space="preserve">Odisha. </w:t>
      </w:r>
      <w:r w:rsidR="002D179E" w:rsidRPr="00DB3E4F">
        <w:rPr>
          <w:rFonts w:ascii="Arial" w:hAnsi="Arial" w:cs="Arial"/>
        </w:rPr>
        <w:t xml:space="preserve">In contrast, </w:t>
      </w:r>
      <w:r w:rsidRPr="00DB3E4F">
        <w:rPr>
          <w:rFonts w:ascii="Arial" w:hAnsi="Arial" w:cs="Arial"/>
        </w:rPr>
        <w:t xml:space="preserve">66 </w:t>
      </w:r>
      <w:r w:rsidR="002D179E" w:rsidRPr="00DB3E4F">
        <w:rPr>
          <w:rFonts w:ascii="Arial" w:hAnsi="Arial" w:cs="Arial"/>
        </w:rPr>
        <w:t xml:space="preserve">cold spot </w:t>
      </w:r>
      <w:r w:rsidRPr="00DB3E4F">
        <w:rPr>
          <w:rFonts w:ascii="Arial" w:hAnsi="Arial" w:cs="Arial"/>
        </w:rPr>
        <w:t xml:space="preserve">districts are </w:t>
      </w:r>
      <w:r w:rsidR="002D179E" w:rsidRPr="00DB3E4F">
        <w:rPr>
          <w:rFonts w:ascii="Arial" w:hAnsi="Arial" w:cs="Arial"/>
        </w:rPr>
        <w:t>classified, largely located in</w:t>
      </w:r>
      <w:r w:rsidRPr="00DB3E4F">
        <w:rPr>
          <w:rFonts w:ascii="Arial" w:hAnsi="Arial" w:cs="Arial"/>
        </w:rPr>
        <w:t xml:space="preserve"> </w:t>
      </w:r>
      <w:r w:rsidR="002D179E" w:rsidRPr="00DB3E4F">
        <w:rPr>
          <w:rFonts w:ascii="Arial" w:hAnsi="Arial" w:cs="Arial"/>
        </w:rPr>
        <w:t xml:space="preserve">Mizoram, </w:t>
      </w:r>
      <w:r w:rsidRPr="00DB3E4F">
        <w:rPr>
          <w:rFonts w:ascii="Arial" w:hAnsi="Arial" w:cs="Arial"/>
        </w:rPr>
        <w:t>Gujarat,</w:t>
      </w:r>
      <w:r w:rsidR="002D179E" w:rsidRPr="00DB3E4F">
        <w:rPr>
          <w:rFonts w:ascii="Arial" w:hAnsi="Arial" w:cs="Arial"/>
        </w:rPr>
        <w:t xml:space="preserve"> and</w:t>
      </w:r>
      <w:r w:rsidRPr="00DB3E4F">
        <w:rPr>
          <w:rFonts w:ascii="Arial" w:hAnsi="Arial" w:cs="Arial"/>
        </w:rPr>
        <w:t xml:space="preserve"> Tamil Nadu. The significance map </w:t>
      </w:r>
      <w:r w:rsidR="002D179E" w:rsidRPr="00DB3E4F">
        <w:rPr>
          <w:rFonts w:ascii="Arial" w:hAnsi="Arial" w:cs="Arial"/>
        </w:rPr>
        <w:t xml:space="preserve">further indicates that approximately </w:t>
      </w:r>
      <w:r w:rsidRPr="00DB3E4F">
        <w:rPr>
          <w:rFonts w:ascii="Arial" w:hAnsi="Arial" w:cs="Arial"/>
        </w:rPr>
        <w:t xml:space="preserve">152 districts </w:t>
      </w:r>
      <w:r w:rsidR="002D179E" w:rsidRPr="00DB3E4F">
        <w:rPr>
          <w:rFonts w:ascii="Arial" w:hAnsi="Arial" w:cs="Arial"/>
        </w:rPr>
        <w:t xml:space="preserve">were found statistically significant </w:t>
      </w:r>
      <w:r w:rsidRPr="00DB3E4F">
        <w:rPr>
          <w:rFonts w:ascii="Arial" w:hAnsi="Arial" w:cs="Arial"/>
        </w:rPr>
        <w:t xml:space="preserve">with </w:t>
      </w:r>
      <w:r w:rsidR="002D179E" w:rsidRPr="00DB3E4F">
        <w:rPr>
          <w:rFonts w:ascii="Arial" w:hAnsi="Arial" w:cs="Arial"/>
        </w:rPr>
        <w:t xml:space="preserve">a </w:t>
      </w:r>
      <w:r w:rsidRPr="00DB3E4F">
        <w:rPr>
          <w:rFonts w:ascii="Arial" w:hAnsi="Arial" w:cs="Arial"/>
        </w:rPr>
        <w:t>≤5% significance level (Figure 3-B).</w:t>
      </w:r>
    </w:p>
    <w:p w14:paraId="5ED746F5" w14:textId="77777777" w:rsidR="009E70E1" w:rsidRPr="00DB3E4F" w:rsidRDefault="009E70E1">
      <w:pPr>
        <w:spacing w:after="0" w:line="360" w:lineRule="auto"/>
        <w:jc w:val="both"/>
        <w:rPr>
          <w:rFonts w:ascii="Arial" w:hAnsi="Arial" w:cs="Arial"/>
        </w:rPr>
      </w:pPr>
    </w:p>
    <w:p w14:paraId="77ACD15A" w14:textId="5B1A3989" w:rsidR="009E70E1" w:rsidRPr="00DB3E4F" w:rsidRDefault="00DB3E4F" w:rsidP="00DB3E4F">
      <w:pPr>
        <w:pStyle w:val="Heading2"/>
        <w:rPr>
          <w:rFonts w:ascii="Arial" w:hAnsi="Arial" w:cs="Arial"/>
          <w:sz w:val="22"/>
          <w:szCs w:val="22"/>
          <w:lang w:eastAsia="en-IN"/>
        </w:rPr>
      </w:pPr>
      <w:r w:rsidRPr="00DB3E4F">
        <w:rPr>
          <w:rFonts w:ascii="Arial" w:hAnsi="Arial" w:cs="Arial"/>
          <w:sz w:val="22"/>
          <w:szCs w:val="22"/>
          <w:lang w:eastAsia="en-IN"/>
        </w:rPr>
        <w:t xml:space="preserve">3.4 </w:t>
      </w:r>
      <w:r w:rsidR="009A4E77" w:rsidRPr="00DB3E4F">
        <w:rPr>
          <w:rFonts w:ascii="Arial" w:hAnsi="Arial" w:cs="Arial"/>
          <w:sz w:val="22"/>
          <w:szCs w:val="22"/>
          <w:lang w:eastAsia="en-IN"/>
        </w:rPr>
        <w:t>Prevalence of ARI with background characteristics</w:t>
      </w:r>
    </w:p>
    <w:p w14:paraId="5E478D78" w14:textId="22CBF44A" w:rsidR="009E70E1" w:rsidRPr="00DB3E4F" w:rsidRDefault="001442EF">
      <w:pPr>
        <w:spacing w:after="0" w:line="36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Table 3 shows the prevalence of ARI among children </w:t>
      </w:r>
      <w:r w:rsidR="005A7E7F" w:rsidRPr="00DB3E4F">
        <w:rPr>
          <w:rFonts w:ascii="Arial" w:eastAsia="Times New Roman" w:hAnsi="Arial" w:cs="Arial"/>
          <w:color w:val="000000"/>
          <w:lang w:eastAsia="en-IN"/>
        </w:rPr>
        <w:t xml:space="preserve">with the background characteristics </w:t>
      </w:r>
      <w:r w:rsidRPr="00DB3E4F">
        <w:rPr>
          <w:rFonts w:ascii="Arial" w:eastAsia="Times New Roman" w:hAnsi="Arial" w:cs="Arial"/>
          <w:color w:val="000000"/>
          <w:lang w:eastAsia="en-IN"/>
        </w:rPr>
        <w:t xml:space="preserve">in India </w:t>
      </w:r>
      <w:r w:rsidR="005A7E7F" w:rsidRPr="00DB3E4F">
        <w:rPr>
          <w:rFonts w:ascii="Arial" w:eastAsia="Times New Roman" w:hAnsi="Arial" w:cs="Arial"/>
          <w:color w:val="000000"/>
          <w:lang w:eastAsia="en-IN"/>
        </w:rPr>
        <w:t>in 2021</w:t>
      </w:r>
      <w:r w:rsidRPr="00DB3E4F">
        <w:rPr>
          <w:rFonts w:ascii="Arial" w:eastAsia="Times New Roman" w:hAnsi="Arial" w:cs="Arial"/>
          <w:color w:val="000000"/>
          <w:lang w:eastAsia="en-IN"/>
        </w:rPr>
        <w:t xml:space="preserve">. The analysis revealed that </w:t>
      </w:r>
      <w:r w:rsidR="005A7E7F" w:rsidRPr="00DB3E4F">
        <w:rPr>
          <w:rFonts w:ascii="Arial" w:eastAsia="Times New Roman" w:hAnsi="Arial" w:cs="Arial"/>
          <w:color w:val="000000"/>
          <w:lang w:eastAsia="en-IN"/>
        </w:rPr>
        <w:t xml:space="preserve">semi-pucca houses (3.7%) </w:t>
      </w:r>
      <w:r w:rsidRPr="00DB3E4F">
        <w:rPr>
          <w:rFonts w:ascii="Arial" w:eastAsia="Times New Roman" w:hAnsi="Arial" w:cs="Arial"/>
          <w:color w:val="000000"/>
          <w:lang w:eastAsia="en-IN"/>
        </w:rPr>
        <w:t xml:space="preserve">and households using unclean cooking fuel (2.9%) have a higher prevalence of ARI </w:t>
      </w:r>
      <w:r w:rsidR="00F5527D" w:rsidRPr="00DB3E4F">
        <w:rPr>
          <w:rFonts w:ascii="Arial" w:eastAsia="Times New Roman" w:hAnsi="Arial" w:cs="Arial"/>
          <w:color w:val="000000"/>
          <w:lang w:eastAsia="en-IN"/>
        </w:rPr>
        <w:t>than</w:t>
      </w:r>
      <w:r w:rsidRPr="00DB3E4F">
        <w:rPr>
          <w:rFonts w:ascii="Arial" w:eastAsia="Times New Roman" w:hAnsi="Arial" w:cs="Arial"/>
          <w:color w:val="000000"/>
          <w:lang w:eastAsia="en-IN"/>
        </w:rPr>
        <w:t xml:space="preserve"> their counterparts. Additionally, households with smoking exposure (3.2%) and without separate kitchens (3.3%) also have a higher prevalence of childhood ARI.</w:t>
      </w:r>
    </w:p>
    <w:p w14:paraId="7A0B256F" w14:textId="5CBF46B7" w:rsidR="009E70E1" w:rsidRPr="00DB3E4F" w:rsidRDefault="001442EF">
      <w:pPr>
        <w:spacing w:after="0" w:line="36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The results indicate that children from rural areas (3%) and poor households (3.2%) have a higher prevalence of ARI </w:t>
      </w:r>
      <w:r w:rsidR="005A7E7F" w:rsidRPr="00DB3E4F">
        <w:rPr>
          <w:rFonts w:ascii="Arial" w:eastAsia="Times New Roman" w:hAnsi="Arial" w:cs="Arial"/>
          <w:color w:val="000000"/>
          <w:lang w:eastAsia="en-IN"/>
        </w:rPr>
        <w:t xml:space="preserve">than their counterparts. Among social groups, the prevalence was highest among children </w:t>
      </w:r>
      <w:r w:rsidR="00F5527D" w:rsidRPr="00DB3E4F">
        <w:rPr>
          <w:rFonts w:ascii="Arial" w:eastAsia="Times New Roman" w:hAnsi="Arial" w:cs="Arial"/>
          <w:color w:val="000000"/>
          <w:lang w:eastAsia="en-IN"/>
        </w:rPr>
        <w:t>in</w:t>
      </w:r>
      <w:r w:rsidR="005A7E7F" w:rsidRPr="00DB3E4F">
        <w:rPr>
          <w:rFonts w:ascii="Arial" w:eastAsia="Times New Roman" w:hAnsi="Arial" w:cs="Arial"/>
          <w:color w:val="000000"/>
          <w:lang w:eastAsia="en-IN"/>
        </w:rPr>
        <w:t xml:space="preserve"> the SC caste</w:t>
      </w:r>
      <w:r w:rsidRPr="00DB3E4F">
        <w:rPr>
          <w:rFonts w:ascii="Arial" w:eastAsia="Times New Roman" w:hAnsi="Arial" w:cs="Arial"/>
          <w:color w:val="000000"/>
          <w:lang w:eastAsia="en-IN"/>
        </w:rPr>
        <w:t xml:space="preserve"> (3.0%) and lowest in the ST (2.4%) caste group. </w:t>
      </w:r>
    </w:p>
    <w:p w14:paraId="18A8024C" w14:textId="74781D00" w:rsidR="009E70E1" w:rsidRPr="00DB3E4F" w:rsidRDefault="001442EF">
      <w:pPr>
        <w:spacing w:after="0" w:line="36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Based on the mother's characteristics, it was found that </w:t>
      </w:r>
      <w:r w:rsidR="005A7E7F" w:rsidRPr="00DB3E4F">
        <w:rPr>
          <w:rFonts w:ascii="Arial" w:eastAsia="Times New Roman" w:hAnsi="Arial" w:cs="Arial"/>
          <w:color w:val="000000"/>
          <w:lang w:eastAsia="en-IN"/>
        </w:rPr>
        <w:t xml:space="preserve">the </w:t>
      </w:r>
      <w:r w:rsidRPr="00DB3E4F">
        <w:rPr>
          <w:rFonts w:ascii="Arial" w:eastAsia="Times New Roman" w:hAnsi="Arial" w:cs="Arial"/>
          <w:color w:val="000000"/>
          <w:lang w:eastAsia="en-IN"/>
        </w:rPr>
        <w:t>mother's smoking exposure (</w:t>
      </w:r>
      <w:r w:rsidR="00A5721D" w:rsidRPr="00DB3E4F">
        <w:rPr>
          <w:rFonts w:ascii="Arial" w:eastAsia="Times New Roman" w:hAnsi="Arial" w:cs="Arial"/>
          <w:color w:val="000000"/>
          <w:lang w:eastAsia="en-IN"/>
        </w:rPr>
        <w:t>4.07%</w:t>
      </w:r>
      <w:r w:rsidRPr="00DB3E4F">
        <w:rPr>
          <w:rFonts w:ascii="Arial" w:eastAsia="Times New Roman" w:hAnsi="Arial" w:cs="Arial"/>
          <w:color w:val="000000"/>
          <w:lang w:eastAsia="en-IN"/>
        </w:rPr>
        <w:t>) and her having respiratory diseases/asthma (</w:t>
      </w:r>
      <w:r w:rsidR="00A5721D" w:rsidRPr="00DB3E4F">
        <w:rPr>
          <w:rFonts w:ascii="Arial" w:eastAsia="Times New Roman" w:hAnsi="Arial" w:cs="Arial"/>
          <w:color w:val="000000"/>
          <w:lang w:eastAsia="en-IN"/>
        </w:rPr>
        <w:t>7.03%</w:t>
      </w:r>
      <w:r w:rsidRPr="00DB3E4F">
        <w:rPr>
          <w:rFonts w:ascii="Arial" w:eastAsia="Times New Roman" w:hAnsi="Arial" w:cs="Arial"/>
          <w:color w:val="000000"/>
          <w:lang w:eastAsia="en-IN"/>
        </w:rPr>
        <w:t xml:space="preserve">) </w:t>
      </w:r>
      <w:r w:rsidR="00A5721D" w:rsidRPr="00DB3E4F">
        <w:rPr>
          <w:rFonts w:ascii="Arial" w:eastAsia="Times New Roman" w:hAnsi="Arial" w:cs="Arial"/>
          <w:color w:val="000000"/>
          <w:lang w:eastAsia="en-IN"/>
        </w:rPr>
        <w:t xml:space="preserve">increased the </w:t>
      </w:r>
      <w:r w:rsidRPr="00DB3E4F">
        <w:rPr>
          <w:rFonts w:ascii="Arial" w:eastAsia="Times New Roman" w:hAnsi="Arial" w:cs="Arial"/>
          <w:color w:val="000000"/>
          <w:lang w:eastAsia="en-IN"/>
        </w:rPr>
        <w:t>childhood ARI</w:t>
      </w:r>
      <w:r w:rsidR="00A5721D" w:rsidRPr="00DB3E4F">
        <w:rPr>
          <w:rFonts w:ascii="Arial" w:eastAsia="Times New Roman" w:hAnsi="Arial" w:cs="Arial"/>
          <w:color w:val="000000"/>
          <w:lang w:eastAsia="en-IN"/>
        </w:rPr>
        <w:t xml:space="preserve"> prevalence</w:t>
      </w:r>
      <w:r w:rsidRPr="00DB3E4F">
        <w:rPr>
          <w:rFonts w:ascii="Arial" w:eastAsia="Times New Roman" w:hAnsi="Arial" w:cs="Arial"/>
          <w:color w:val="000000"/>
          <w:lang w:eastAsia="en-IN"/>
        </w:rPr>
        <w:t xml:space="preserve">. </w:t>
      </w:r>
      <w:r w:rsidR="00A5721D" w:rsidRPr="00DB3E4F">
        <w:rPr>
          <w:rFonts w:ascii="Arial" w:eastAsia="Times New Roman" w:hAnsi="Arial" w:cs="Arial"/>
          <w:color w:val="000000"/>
          <w:lang w:eastAsia="en-IN"/>
        </w:rPr>
        <w:t>Additionally, m</w:t>
      </w:r>
      <w:r w:rsidRPr="00DB3E4F">
        <w:rPr>
          <w:rFonts w:ascii="Arial" w:eastAsia="Times New Roman" w:hAnsi="Arial" w:cs="Arial"/>
          <w:color w:val="000000"/>
          <w:lang w:eastAsia="en-IN"/>
        </w:rPr>
        <w:t>others with primary education (3.4%) and those aged 15-24 years (3.1%) also have a higher incidence of childhood ARI. It was observed that the prevalence of childhood ARI was higher (7%) if the mother had respiratory diseases/asthma. Interestingly, Children of smoking mothers have a significantly lower incidence of ARI than those of non-smoking mothers.</w:t>
      </w:r>
    </w:p>
    <w:p w14:paraId="006CD18A" w14:textId="4859BD3D" w:rsidR="009E70E1" w:rsidRPr="00DB3E4F" w:rsidRDefault="00DB3E4F" w:rsidP="00DB3E4F">
      <w:pPr>
        <w:pStyle w:val="Heading2"/>
        <w:rPr>
          <w:rFonts w:ascii="Arial" w:hAnsi="Arial" w:cs="Arial"/>
          <w:sz w:val="22"/>
          <w:szCs w:val="22"/>
          <w:lang w:eastAsia="en-IN"/>
        </w:rPr>
      </w:pPr>
      <w:r w:rsidRPr="00DB3E4F">
        <w:rPr>
          <w:rFonts w:ascii="Arial" w:hAnsi="Arial" w:cs="Arial"/>
          <w:sz w:val="22"/>
          <w:szCs w:val="22"/>
          <w:lang w:eastAsia="en-IN"/>
        </w:rPr>
        <w:t xml:space="preserve">3.4 </w:t>
      </w:r>
      <w:r w:rsidR="009A4E77" w:rsidRPr="00DB3E4F">
        <w:rPr>
          <w:rFonts w:ascii="Arial" w:hAnsi="Arial" w:cs="Arial"/>
          <w:sz w:val="22"/>
          <w:szCs w:val="22"/>
          <w:lang w:eastAsia="en-IN"/>
        </w:rPr>
        <w:t>Factors associated with ARI among children (0-59 Months) in India (2019-21)</w:t>
      </w:r>
    </w:p>
    <w:p w14:paraId="69AF49E3" w14:textId="5A5222A8" w:rsidR="009E70E1" w:rsidRPr="00DB3E4F" w:rsidRDefault="001442EF">
      <w:pPr>
        <w:spacing w:after="0" w:line="360" w:lineRule="auto"/>
        <w:contextualSpacing/>
        <w:jc w:val="both"/>
        <w:rPr>
          <w:rFonts w:ascii="Arial" w:eastAsia="Times New Roman" w:hAnsi="Arial" w:cs="Arial"/>
          <w:color w:val="000000"/>
          <w:lang w:eastAsia="en-IN"/>
        </w:rPr>
      </w:pPr>
      <w:bookmarkStart w:id="13" w:name="_Hlk168673102"/>
      <w:r w:rsidRPr="00DB3E4F">
        <w:rPr>
          <w:rFonts w:ascii="Arial" w:eastAsia="Times New Roman" w:hAnsi="Arial" w:cs="Arial"/>
          <w:color w:val="000000"/>
          <w:lang w:eastAsia="en-IN"/>
        </w:rPr>
        <w:t>A multilevel logistic regression model was used to assess the factors associated with ARI among children aged 0-59 months in the districts of India during NFHS 5 (2019-21) in Table 3.</w:t>
      </w:r>
      <w:r w:rsidR="00B921BE" w:rsidRPr="00DB3E4F">
        <w:rPr>
          <w:rFonts w:ascii="Arial" w:eastAsia="Times New Roman" w:hAnsi="Arial" w:cs="Arial"/>
          <w:color w:val="000000"/>
          <w:lang w:eastAsia="en-IN"/>
        </w:rPr>
        <w:t xml:space="preserve"> </w:t>
      </w:r>
      <w:r w:rsidRPr="00DB3E4F">
        <w:rPr>
          <w:rFonts w:ascii="Arial" w:eastAsia="Times New Roman" w:hAnsi="Arial" w:cs="Arial"/>
          <w:color w:val="000000"/>
          <w:lang w:eastAsia="en-IN"/>
        </w:rPr>
        <w:t xml:space="preserve">Based on the household characteristics, it has been observed that the smoking </w:t>
      </w:r>
      <w:r w:rsidR="00C8260F" w:rsidRPr="00DB3E4F">
        <w:rPr>
          <w:rFonts w:ascii="Arial" w:eastAsia="Times New Roman" w:hAnsi="Arial" w:cs="Arial"/>
          <w:color w:val="000000"/>
          <w:lang w:eastAsia="en-IN"/>
        </w:rPr>
        <w:t>behaviour</w:t>
      </w:r>
      <w:r w:rsidRPr="00DB3E4F">
        <w:rPr>
          <w:rFonts w:ascii="Arial" w:eastAsia="Times New Roman" w:hAnsi="Arial" w:cs="Arial"/>
          <w:color w:val="000000"/>
          <w:lang w:eastAsia="en-IN"/>
        </w:rPr>
        <w:t xml:space="preserve"> of a household member increases the risk of childhood ARI by 1.13 times </w:t>
      </w:r>
      <w:bookmarkStart w:id="14" w:name="_Hlk182225088"/>
      <w:r w:rsidRPr="00DB3E4F">
        <w:rPr>
          <w:rFonts w:ascii="Arial" w:eastAsia="Times New Roman" w:hAnsi="Arial" w:cs="Arial"/>
          <w:color w:val="000000"/>
          <w:lang w:eastAsia="en-IN"/>
        </w:rPr>
        <w:t xml:space="preserve">(AOR:1.13; 95% CI: 1.06-1.19) </w:t>
      </w:r>
      <w:bookmarkEnd w:id="14"/>
      <w:r w:rsidRPr="00DB3E4F">
        <w:rPr>
          <w:rFonts w:ascii="Arial" w:eastAsia="Times New Roman" w:hAnsi="Arial" w:cs="Arial"/>
          <w:color w:val="000000"/>
          <w:lang w:eastAsia="en-IN"/>
        </w:rPr>
        <w:t xml:space="preserve">compared to households without smokers. </w:t>
      </w:r>
      <w:bookmarkStart w:id="15" w:name="_Hlk168672594"/>
      <w:r w:rsidR="00B921BE" w:rsidRPr="00DB3E4F">
        <w:rPr>
          <w:rFonts w:ascii="Arial" w:eastAsia="Times New Roman" w:hAnsi="Arial" w:cs="Arial"/>
          <w:color w:val="000000"/>
          <w:lang w:eastAsia="en-IN"/>
        </w:rPr>
        <w:t>The h</w:t>
      </w:r>
      <w:r w:rsidRPr="00DB3E4F">
        <w:rPr>
          <w:rFonts w:ascii="Arial" w:eastAsia="Times New Roman" w:hAnsi="Arial" w:cs="Arial"/>
          <w:color w:val="000000"/>
          <w:lang w:eastAsia="en-IN"/>
        </w:rPr>
        <w:t xml:space="preserve">ouseholds with </w:t>
      </w:r>
      <w:r w:rsidR="00B921BE" w:rsidRPr="00DB3E4F">
        <w:rPr>
          <w:rFonts w:ascii="Arial" w:eastAsia="Times New Roman" w:hAnsi="Arial" w:cs="Arial"/>
          <w:color w:val="000000"/>
          <w:lang w:eastAsia="en-IN"/>
        </w:rPr>
        <w:t>a separate kitchen</w:t>
      </w:r>
      <w:r w:rsidRPr="00DB3E4F">
        <w:rPr>
          <w:rFonts w:ascii="Arial" w:eastAsia="Times New Roman" w:hAnsi="Arial" w:cs="Arial"/>
          <w:color w:val="000000"/>
          <w:lang w:eastAsia="en-IN"/>
        </w:rPr>
        <w:t xml:space="preserve"> have reduced </w:t>
      </w:r>
      <w:r w:rsidR="00B921BE" w:rsidRPr="00DB3E4F">
        <w:rPr>
          <w:rFonts w:ascii="Arial" w:eastAsia="Times New Roman" w:hAnsi="Arial" w:cs="Arial"/>
          <w:color w:val="000000"/>
          <w:lang w:eastAsia="en-IN"/>
        </w:rPr>
        <w:t xml:space="preserve">the </w:t>
      </w:r>
      <w:r w:rsidRPr="00DB3E4F">
        <w:rPr>
          <w:rFonts w:ascii="Arial" w:eastAsia="Times New Roman" w:hAnsi="Arial" w:cs="Arial"/>
          <w:color w:val="000000"/>
          <w:lang w:eastAsia="en-IN"/>
        </w:rPr>
        <w:t>risk of ARI by 0.95 times (AOR:1.13; 95% CI:0.89-0.97) compared to households without a separate kitchen.</w:t>
      </w:r>
      <w:bookmarkStart w:id="16" w:name="_Hlk168672627"/>
      <w:bookmarkEnd w:id="15"/>
      <w:r w:rsidRPr="00DB3E4F">
        <w:rPr>
          <w:rFonts w:ascii="Arial" w:eastAsia="Times New Roman" w:hAnsi="Arial" w:cs="Arial"/>
          <w:color w:val="000000"/>
          <w:lang w:eastAsia="en-IN"/>
        </w:rPr>
        <w:t xml:space="preserve"> The research findings suggest that children from the Schedule Tribe (ST) group have a lower likelihood (AOR: 0.86; 95% CI: 0.77-0.95) of contracting Acute Respiratory Infection (ARI) compared to children from the Schedule Cast (SC) group. </w:t>
      </w:r>
      <w:bookmarkStart w:id="17" w:name="_Hlk168672645"/>
      <w:bookmarkEnd w:id="16"/>
      <w:r w:rsidRPr="00DB3E4F">
        <w:rPr>
          <w:rFonts w:ascii="Arial" w:eastAsia="Times New Roman" w:hAnsi="Arial" w:cs="Arial"/>
          <w:color w:val="000000"/>
          <w:lang w:eastAsia="en-IN"/>
        </w:rPr>
        <w:t>Furthermore, the study found that the household's wealth quantile is also significantly associated with the diseases, with children from middle (AOR: 0.91; 95% CI: 0.83-1.01) and richer (AOR: 0.89; 95% CI:0.79-1.0) households having a reduced risk of contracting ARI compared to those from poorer households.</w:t>
      </w:r>
      <w:bookmarkEnd w:id="17"/>
      <w:r w:rsidR="00352DFA" w:rsidRPr="00DB3E4F">
        <w:rPr>
          <w:rFonts w:ascii="Arial" w:eastAsia="Times New Roman" w:hAnsi="Arial" w:cs="Arial"/>
          <w:color w:val="000000"/>
          <w:lang w:eastAsia="en-IN"/>
        </w:rPr>
        <w:t xml:space="preserve"> </w:t>
      </w:r>
      <w:r w:rsidRPr="00DB3E4F">
        <w:rPr>
          <w:rFonts w:ascii="Arial" w:eastAsia="Times New Roman" w:hAnsi="Arial" w:cs="Arial"/>
          <w:color w:val="000000"/>
          <w:lang w:eastAsia="en-IN"/>
        </w:rPr>
        <w:t xml:space="preserve">Maternal characteristics were also found to be a significant risk factor for childhood ARI. Mothers' smoking behaviour was also found to be a significant relation with the development of their children's ARI. Mothers with smoking exposure are 1.34 times more likely </w:t>
      </w:r>
      <w:bookmarkStart w:id="18" w:name="_Hlk182224767"/>
      <w:r w:rsidRPr="00DB3E4F">
        <w:rPr>
          <w:rFonts w:ascii="Arial" w:eastAsia="Times New Roman" w:hAnsi="Arial" w:cs="Arial"/>
          <w:color w:val="000000"/>
          <w:lang w:eastAsia="en-IN"/>
        </w:rPr>
        <w:t xml:space="preserve">(AOR:1.34; 95% CI:1.2-1.5) to have their child ARI as compared to mothers who do to have smoking exposure. Surprisingly, mothers exposed to mass media (AOR: 1.18; 95% CI:1.1-1.26) and mothers with primary education (AOR: 1.21; </w:t>
      </w:r>
      <w:r w:rsidRPr="00DB3E4F">
        <w:rPr>
          <w:rFonts w:ascii="Arial" w:eastAsia="Times New Roman" w:hAnsi="Arial" w:cs="Arial"/>
          <w:color w:val="000000"/>
          <w:lang w:eastAsia="en-IN"/>
        </w:rPr>
        <w:lastRenderedPageBreak/>
        <w:t xml:space="preserve">95% CI: 1.11-1.32) have increased the risk of the diseases as compared to their counterparts. It has been observed that mothers who have respiratory diseases or asthma have a significantly higher risk of their children developing ARI. Mothers with respiratory diseases or asthma have 2.33 times (AOR:2.33; 95% CI: 1.93-2.8) higher risk of their children getting ARI compared to mothers who do not have these conditions. </w:t>
      </w:r>
    </w:p>
    <w:p w14:paraId="04B2707F" w14:textId="5BD4AEDD" w:rsidR="009E70E1" w:rsidRPr="00DB3E4F" w:rsidRDefault="001442EF">
      <w:pPr>
        <w:spacing w:after="0" w:line="360" w:lineRule="auto"/>
        <w:contextualSpacing/>
        <w:jc w:val="both"/>
        <w:rPr>
          <w:rFonts w:ascii="Arial" w:eastAsia="Times New Roman" w:hAnsi="Arial" w:cs="Arial"/>
          <w:color w:val="000000"/>
          <w:lang w:eastAsia="en-IN"/>
        </w:rPr>
      </w:pPr>
      <w:r w:rsidRPr="00DB3E4F">
        <w:rPr>
          <w:rFonts w:ascii="Arial" w:eastAsia="Times New Roman" w:hAnsi="Arial" w:cs="Arial"/>
          <w:color w:val="000000"/>
          <w:lang w:eastAsia="en-IN"/>
        </w:rPr>
        <w:t xml:space="preserve">Considering the childhood characteristics, the risk of ARI decreases with increasing the child's age. Children aged 24-35 months (AOR: 0.89; 95% CI: 0.82-0.96), 36-47 months (AOR: 0.86; 95% CI: 0.79-0.93), and 48-59 months (AOR: 0.77; 95% CI: 0.71-0.84) have significantly lower chances of getting the disease compared to children aged 0-11 months. The risk of ARI was 0.9 times (AOR: 0.9; 95% CI: 0.84-0.96) less likely among children with normal birth weight than those with low birth weight. Moreover, the risk of ARI is higher among severely underweight children (AOR:1.08; 95% CI: </w:t>
      </w:r>
      <w:r w:rsidR="004D293E" w:rsidRPr="00DB3E4F">
        <w:rPr>
          <w:rFonts w:ascii="Arial" w:eastAsia="Times New Roman" w:hAnsi="Arial" w:cs="Arial"/>
          <w:color w:val="000000"/>
          <w:lang w:eastAsia="en-IN"/>
        </w:rPr>
        <w:t>1</w:t>
      </w:r>
      <w:r w:rsidRPr="00DB3E4F">
        <w:rPr>
          <w:rFonts w:ascii="Arial" w:eastAsia="Times New Roman" w:hAnsi="Arial" w:cs="Arial"/>
          <w:color w:val="000000"/>
          <w:lang w:eastAsia="en-IN"/>
        </w:rPr>
        <w:t>.</w:t>
      </w:r>
      <w:r w:rsidR="004D293E" w:rsidRPr="00DB3E4F">
        <w:rPr>
          <w:rFonts w:ascii="Arial" w:eastAsia="Times New Roman" w:hAnsi="Arial" w:cs="Arial"/>
          <w:color w:val="000000"/>
          <w:lang w:eastAsia="en-IN"/>
        </w:rPr>
        <w:t>02</w:t>
      </w:r>
      <w:r w:rsidRPr="00DB3E4F">
        <w:rPr>
          <w:rFonts w:ascii="Arial" w:eastAsia="Times New Roman" w:hAnsi="Arial" w:cs="Arial"/>
          <w:color w:val="000000"/>
          <w:lang w:eastAsia="en-IN"/>
        </w:rPr>
        <w:t>-1.18) than normal-weight children. Children suffering from diarrhoea were 3.76 times (AOR: 3.76, 95% CI: 3.52-4.02) more likely to have ARI than those not suffering from diarrhoea within two weeks before the survey. The risk of developing ARI was less likely in the northeast (AOR: 0.75; 95% CI: 0.6-0.95), west (AOR: 0.70; 95% CI: 0.54-0.91), and south (AOR: 0.69; 95% CI: 0.56-0.86) regions compared to the north region.</w:t>
      </w:r>
      <w:bookmarkEnd w:id="13"/>
    </w:p>
    <w:bookmarkEnd w:id="18"/>
    <w:p w14:paraId="2887B416" w14:textId="367048A6" w:rsidR="009E70E1" w:rsidRPr="00DB3E4F" w:rsidRDefault="001442EF" w:rsidP="00DB3E4F">
      <w:pPr>
        <w:pStyle w:val="Heading1"/>
        <w:rPr>
          <w:rFonts w:ascii="Arial" w:hAnsi="Arial" w:cs="Arial"/>
          <w:sz w:val="22"/>
          <w:szCs w:val="22"/>
        </w:rPr>
      </w:pPr>
      <w:r w:rsidRPr="00DB3E4F">
        <w:rPr>
          <w:rFonts w:ascii="Arial" w:hAnsi="Arial" w:cs="Arial"/>
          <w:sz w:val="22"/>
          <w:szCs w:val="22"/>
        </w:rPr>
        <w:t xml:space="preserve">Discussion: </w:t>
      </w:r>
    </w:p>
    <w:p w14:paraId="79148914" w14:textId="77777777" w:rsidR="009E70E1" w:rsidRPr="00DB3E4F" w:rsidRDefault="001442EF">
      <w:pPr>
        <w:spacing w:line="360" w:lineRule="auto"/>
        <w:jc w:val="both"/>
        <w:rPr>
          <w:rFonts w:ascii="Arial" w:hAnsi="Arial" w:cs="Arial"/>
        </w:rPr>
      </w:pPr>
      <w:r w:rsidRPr="00DB3E4F">
        <w:rPr>
          <w:rFonts w:ascii="Arial" w:hAnsi="Arial" w:cs="Arial"/>
        </w:rPr>
        <w:t xml:space="preserve">This study aims to evaluate the geographical prevalence and identify spatial clusters of ARI among children aged 0-59 months across the districts in India. The study will also </w:t>
      </w:r>
      <w:proofErr w:type="spellStart"/>
      <w:r w:rsidRPr="00DB3E4F">
        <w:rPr>
          <w:rFonts w:ascii="Arial" w:hAnsi="Arial" w:cs="Arial"/>
        </w:rPr>
        <w:t>analyze</w:t>
      </w:r>
      <w:proofErr w:type="spellEnd"/>
      <w:r w:rsidRPr="00DB3E4F">
        <w:rPr>
          <w:rFonts w:ascii="Arial" w:hAnsi="Arial" w:cs="Arial"/>
        </w:rPr>
        <w:t xml:space="preserve"> the contextual factors associated with this morbid condition and health-seeking </w:t>
      </w:r>
      <w:proofErr w:type="spellStart"/>
      <w:r w:rsidRPr="00DB3E4F">
        <w:rPr>
          <w:rFonts w:ascii="Arial" w:hAnsi="Arial" w:cs="Arial"/>
        </w:rPr>
        <w:t>behavior</w:t>
      </w:r>
      <w:proofErr w:type="spellEnd"/>
      <w:r w:rsidRPr="00DB3E4F">
        <w:rPr>
          <w:rFonts w:ascii="Arial" w:hAnsi="Arial" w:cs="Arial"/>
        </w:rPr>
        <w:t xml:space="preserve"> using data from the National Family Health Survey (NFHS) IV (2015-16) and NFHS V (2019-21). </w:t>
      </w:r>
    </w:p>
    <w:p w14:paraId="40E1E335" w14:textId="4E8E95BA" w:rsidR="009E70E1" w:rsidRPr="00DB3E4F" w:rsidRDefault="005E367E">
      <w:pPr>
        <w:spacing w:line="360" w:lineRule="auto"/>
        <w:jc w:val="both"/>
        <w:rPr>
          <w:rFonts w:ascii="Arial" w:hAnsi="Arial" w:cs="Arial"/>
        </w:rPr>
      </w:pPr>
      <w:r w:rsidRPr="00DB3E4F">
        <w:rPr>
          <w:rFonts w:ascii="Arial" w:hAnsi="Arial" w:cs="Arial"/>
        </w:rPr>
        <w:t xml:space="preserve">The prevalence of ARI has slightly increased from 2.7 to 2.8 percent from 2016 to 2021. Delhi shows the highest prevalence of ARI whereas Dadra &amp; Nagar Haveli/Daman &amp; Diu </w:t>
      </w:r>
      <w:r w:rsidR="004453A1" w:rsidRPr="00DB3E4F">
        <w:rPr>
          <w:rFonts w:ascii="Arial" w:hAnsi="Arial" w:cs="Arial"/>
        </w:rPr>
        <w:t>show</w:t>
      </w:r>
      <w:r w:rsidRPr="00DB3E4F">
        <w:rPr>
          <w:rFonts w:ascii="Arial" w:hAnsi="Arial" w:cs="Arial"/>
        </w:rPr>
        <w:t xml:space="preserve"> a low prevalence of ARI in 2021. Around 72 percent of States/UTs show more ARI prevalence among children than the national average (i.e., 2.8%). On the other hand, the district-level map indicates that approximately </w:t>
      </w:r>
      <w:bookmarkStart w:id="19" w:name="_Hlk169100639"/>
      <w:r w:rsidRPr="00DB3E4F">
        <w:rPr>
          <w:rFonts w:ascii="Arial" w:hAnsi="Arial" w:cs="Arial"/>
        </w:rPr>
        <w:t>36 percent of districts in India reported a prevalence of ARI higher than the national average of 2.8 percent.</w:t>
      </w:r>
      <w:bookmarkEnd w:id="19"/>
      <w:r w:rsidRPr="00DB3E4F">
        <w:rPr>
          <w:rFonts w:ascii="Arial" w:hAnsi="Arial" w:cs="Arial"/>
        </w:rPr>
        <w:t xml:space="preserve"> These high prevalence districts are located primarily in the states of Uttar Pradesh, Bihar, Madhya Pradesh, Jammu &amp; Kashmir, Chhattisgarh, Meghalaya, Delhi, Odisha, Rajasthan, Telangana, and Andhra Pradesh. </w:t>
      </w:r>
      <w:bookmarkStart w:id="20" w:name="_Hlk182224034"/>
      <w:r w:rsidR="00653561" w:rsidRPr="00DB3E4F">
        <w:rPr>
          <w:rFonts w:ascii="Arial" w:hAnsi="Arial" w:cs="Arial"/>
        </w:rPr>
        <w:t>A Moran’s I value of 0.27 (p &lt; 0.001) confirms the presence of significant spatial clustering in childhood ARI prevalence across districts in India. Accordingly, the analysis identifies 58 districts as hotspots and 66 districts as cold spots</w:t>
      </w:r>
      <w:r w:rsidRPr="00DB3E4F">
        <w:rPr>
          <w:rFonts w:ascii="Arial" w:hAnsi="Arial" w:cs="Arial"/>
        </w:rPr>
        <w:t xml:space="preserve">. Most of the hotspot districts are from Uttar Pradesh, Maharashtra, </w:t>
      </w:r>
      <w:r w:rsidR="00653561" w:rsidRPr="00DB3E4F">
        <w:rPr>
          <w:rFonts w:ascii="Arial" w:hAnsi="Arial" w:cs="Arial"/>
        </w:rPr>
        <w:t>Punjab</w:t>
      </w:r>
      <w:r w:rsidRPr="00DB3E4F">
        <w:rPr>
          <w:rFonts w:ascii="Arial" w:hAnsi="Arial" w:cs="Arial"/>
        </w:rPr>
        <w:t>, Jammu &amp; Kashmir, Odisha</w:t>
      </w:r>
      <w:r w:rsidR="00653561" w:rsidRPr="00DB3E4F">
        <w:rPr>
          <w:rFonts w:ascii="Arial" w:hAnsi="Arial" w:cs="Arial"/>
        </w:rPr>
        <w:t>,</w:t>
      </w:r>
      <w:r w:rsidRPr="00DB3E4F">
        <w:rPr>
          <w:rFonts w:ascii="Arial" w:hAnsi="Arial" w:cs="Arial"/>
        </w:rPr>
        <w:t xml:space="preserve"> and Assam.</w:t>
      </w:r>
      <w:bookmarkEnd w:id="20"/>
      <w:r w:rsidRPr="00DB3E4F">
        <w:rPr>
          <w:rFonts w:ascii="Arial" w:hAnsi="Arial" w:cs="Arial"/>
        </w:rPr>
        <w:t xml:space="preserve"> A study conducted by Balasubramani et al. (2022) also reveals that the districts with the highest occurrences of </w:t>
      </w:r>
      <w:r w:rsidRPr="00DB3E4F">
        <w:rPr>
          <w:rFonts w:ascii="Arial" w:hAnsi="Arial" w:cs="Arial"/>
        </w:rPr>
        <w:lastRenderedPageBreak/>
        <w:t>ARI cases were primarily located in the states/union territories of Uttar Pradesh, Bihar, Delhi, Haryana, and Punjab, which are inhabited by Indo-Gangetic Plain residents</w:t>
      </w:r>
      <w:r w:rsidR="000F0C71" w:rsidRPr="00DB3E4F">
        <w:rPr>
          <w:rFonts w:ascii="Arial" w:hAnsi="Arial" w:cs="Arial"/>
        </w:rPr>
        <w:t xml:space="preserve"> (Balasubramani et al., 2022)</w:t>
      </w:r>
      <w:r w:rsidRPr="00DB3E4F">
        <w:rPr>
          <w:rFonts w:ascii="Arial" w:hAnsi="Arial" w:cs="Arial"/>
        </w:rPr>
        <w:t xml:space="preserve">. The literature suggests that the northern and northwest borders of the western section of Punjab are adjacent to the Khyber </w:t>
      </w:r>
      <w:proofErr w:type="spellStart"/>
      <w:r w:rsidRPr="00DB3E4F">
        <w:rPr>
          <w:rFonts w:ascii="Arial" w:hAnsi="Arial" w:cs="Arial"/>
        </w:rPr>
        <w:t>Pakhtun</w:t>
      </w:r>
      <w:proofErr w:type="spellEnd"/>
      <w:r w:rsidRPr="00DB3E4F">
        <w:rPr>
          <w:rFonts w:ascii="Arial" w:hAnsi="Arial" w:cs="Arial"/>
        </w:rPr>
        <w:t xml:space="preserve"> </w:t>
      </w:r>
      <w:proofErr w:type="spellStart"/>
      <w:r w:rsidRPr="00DB3E4F">
        <w:rPr>
          <w:rFonts w:ascii="Arial" w:hAnsi="Arial" w:cs="Arial"/>
        </w:rPr>
        <w:t>Khawan</w:t>
      </w:r>
      <w:proofErr w:type="spellEnd"/>
      <w:r w:rsidRPr="00DB3E4F">
        <w:rPr>
          <w:rFonts w:ascii="Arial" w:hAnsi="Arial" w:cs="Arial"/>
        </w:rPr>
        <w:t xml:space="preserve">, the </w:t>
      </w:r>
      <w:proofErr w:type="spellStart"/>
      <w:r w:rsidRPr="00DB3E4F">
        <w:rPr>
          <w:rFonts w:ascii="Arial" w:hAnsi="Arial" w:cs="Arial"/>
        </w:rPr>
        <w:t>snowcapped</w:t>
      </w:r>
      <w:proofErr w:type="spellEnd"/>
      <w:r w:rsidRPr="00DB3E4F">
        <w:rPr>
          <w:rFonts w:ascii="Arial" w:hAnsi="Arial" w:cs="Arial"/>
        </w:rPr>
        <w:t xml:space="preserve"> Hindu Kush mountains, and the high Karakoram Range</w:t>
      </w:r>
      <w:r w:rsidR="000F0C71" w:rsidRPr="00DB3E4F">
        <w:rPr>
          <w:rFonts w:ascii="Arial" w:hAnsi="Arial" w:cs="Arial"/>
        </w:rPr>
        <w:t xml:space="preserve"> (Kumar et al., 2015; </w:t>
      </w:r>
      <w:r w:rsidR="00E33F9B" w:rsidRPr="00DB3E4F">
        <w:rPr>
          <w:rFonts w:ascii="Arial" w:hAnsi="Arial" w:cs="Arial"/>
        </w:rPr>
        <w:t>Aftab et al., 2022)</w:t>
      </w:r>
      <w:r w:rsidRPr="00DB3E4F">
        <w:rPr>
          <w:rFonts w:ascii="Arial" w:hAnsi="Arial" w:cs="Arial"/>
        </w:rPr>
        <w:t xml:space="preserve">. </w:t>
      </w:r>
      <w:r w:rsidR="00D80FF9" w:rsidRPr="00DB3E4F">
        <w:rPr>
          <w:rFonts w:ascii="Arial" w:hAnsi="Arial" w:cs="Arial"/>
        </w:rPr>
        <w:t xml:space="preserve">A </w:t>
      </w:r>
      <w:r w:rsidRPr="00DB3E4F">
        <w:rPr>
          <w:rFonts w:ascii="Arial" w:hAnsi="Arial" w:cs="Arial"/>
        </w:rPr>
        <w:t xml:space="preserve">dry seasonal pattern in western Punjab </w:t>
      </w:r>
      <w:r w:rsidR="00E33F9B" w:rsidRPr="00DB3E4F">
        <w:rPr>
          <w:rFonts w:ascii="Arial" w:hAnsi="Arial" w:cs="Arial"/>
        </w:rPr>
        <w:t xml:space="preserve">(Kumar et al., 2015; Aftab et al., 2022) </w:t>
      </w:r>
      <w:r w:rsidRPr="00DB3E4F">
        <w:rPr>
          <w:rFonts w:ascii="Arial" w:hAnsi="Arial" w:cs="Arial"/>
        </w:rPr>
        <w:t>may result in a higher likelihood of children experiencing ARI symptoms. During dry seasons, pathogens are often transported in the air with dust, thereby increasing the risk of infections in children</w:t>
      </w:r>
      <w:r w:rsidR="00E33F9B" w:rsidRPr="00DB3E4F">
        <w:rPr>
          <w:rFonts w:ascii="Arial" w:hAnsi="Arial" w:cs="Arial"/>
        </w:rPr>
        <w:t xml:space="preserve"> (Akinyemi and </w:t>
      </w:r>
      <w:proofErr w:type="spellStart"/>
      <w:r w:rsidR="00E33F9B" w:rsidRPr="00DB3E4F">
        <w:rPr>
          <w:rFonts w:ascii="Arial" w:hAnsi="Arial" w:cs="Arial"/>
        </w:rPr>
        <w:t>Morakinyo</w:t>
      </w:r>
      <w:proofErr w:type="spellEnd"/>
      <w:r w:rsidR="00E33F9B" w:rsidRPr="00DB3E4F">
        <w:rPr>
          <w:rFonts w:ascii="Arial" w:hAnsi="Arial" w:cs="Arial"/>
        </w:rPr>
        <w:t>, 2018)</w:t>
      </w:r>
      <w:r w:rsidRPr="00DB3E4F">
        <w:rPr>
          <w:rFonts w:ascii="Arial" w:hAnsi="Arial" w:cs="Arial"/>
        </w:rPr>
        <w:t xml:space="preserve">. </w:t>
      </w:r>
      <w:r w:rsidR="00D80FF9" w:rsidRPr="00DB3E4F">
        <w:rPr>
          <w:rFonts w:ascii="Arial" w:hAnsi="Arial" w:cs="Arial"/>
        </w:rPr>
        <w:t>A</w:t>
      </w:r>
      <w:r w:rsidRPr="00DB3E4F">
        <w:rPr>
          <w:rFonts w:ascii="Arial" w:hAnsi="Arial" w:cs="Arial"/>
        </w:rPr>
        <w:t xml:space="preserve"> study </w:t>
      </w:r>
      <w:r w:rsidR="00D80FF9" w:rsidRPr="00DB3E4F">
        <w:rPr>
          <w:rFonts w:ascii="Arial" w:hAnsi="Arial" w:cs="Arial"/>
        </w:rPr>
        <w:t xml:space="preserve">also </w:t>
      </w:r>
      <w:r w:rsidRPr="00DB3E4F">
        <w:rPr>
          <w:rFonts w:ascii="Arial" w:hAnsi="Arial" w:cs="Arial"/>
        </w:rPr>
        <w:t xml:space="preserve">revealed that exposure to PM2.5 pollution was associated with an increased likelihood of ARI </w:t>
      </w:r>
      <w:r w:rsidR="00D80FF9" w:rsidRPr="00DB3E4F">
        <w:rPr>
          <w:rFonts w:ascii="Arial" w:hAnsi="Arial" w:cs="Arial"/>
        </w:rPr>
        <w:t xml:space="preserve">among </w:t>
      </w:r>
      <w:r w:rsidRPr="00DB3E4F">
        <w:rPr>
          <w:rFonts w:ascii="Arial" w:hAnsi="Arial" w:cs="Arial"/>
        </w:rPr>
        <w:t>children</w:t>
      </w:r>
      <w:r w:rsidR="00D80FF9" w:rsidRPr="00DB3E4F">
        <w:rPr>
          <w:rFonts w:ascii="Arial" w:hAnsi="Arial" w:cs="Arial"/>
        </w:rPr>
        <w:t xml:space="preserve"> in Delhi</w:t>
      </w:r>
      <w:r w:rsidR="00E33F9B" w:rsidRPr="00DB3E4F">
        <w:rPr>
          <w:rFonts w:ascii="Arial" w:hAnsi="Arial" w:cs="Arial"/>
        </w:rPr>
        <w:t xml:space="preserve"> (</w:t>
      </w:r>
      <w:proofErr w:type="spellStart"/>
      <w:r w:rsidR="00E33F9B" w:rsidRPr="00DB3E4F">
        <w:rPr>
          <w:rFonts w:ascii="Arial" w:hAnsi="Arial" w:cs="Arial"/>
        </w:rPr>
        <w:t>Nidhiet</w:t>
      </w:r>
      <w:proofErr w:type="spellEnd"/>
      <w:r w:rsidR="00E33F9B" w:rsidRPr="00DB3E4F">
        <w:rPr>
          <w:rFonts w:ascii="Arial" w:hAnsi="Arial" w:cs="Arial"/>
        </w:rPr>
        <w:t xml:space="preserve"> al., 2007; Adhikary et al., 2024)</w:t>
      </w:r>
      <w:r w:rsidRPr="00DB3E4F">
        <w:rPr>
          <w:rFonts w:ascii="Arial" w:hAnsi="Arial" w:cs="Arial"/>
        </w:rPr>
        <w:t xml:space="preserve">. </w:t>
      </w:r>
      <w:r w:rsidR="00E62A50" w:rsidRPr="00DB3E4F">
        <w:rPr>
          <w:rFonts w:ascii="Arial" w:hAnsi="Arial" w:cs="Arial"/>
        </w:rPr>
        <w:t>Exposure to fine particulate matter induces oxidative stress and inflammatory responses in the respiratory tract, which can damage respiratory epithelial cells and impair their capacity to clear pathogens and pollutants from the airways (</w:t>
      </w:r>
      <w:r w:rsidR="00E33F9B" w:rsidRPr="00DB3E4F">
        <w:rPr>
          <w:rFonts w:ascii="Arial" w:hAnsi="Arial" w:cs="Arial"/>
        </w:rPr>
        <w:t>Adhikary et al., 2024)</w:t>
      </w:r>
      <w:r w:rsidRPr="00DB3E4F">
        <w:rPr>
          <w:rFonts w:ascii="Arial" w:hAnsi="Arial" w:cs="Arial"/>
        </w:rPr>
        <w:t xml:space="preserve">. This can result in an increased susceptibility to respiratory infections, such as ARI </w:t>
      </w:r>
      <w:r w:rsidR="00E33F9B" w:rsidRPr="00DB3E4F">
        <w:rPr>
          <w:rFonts w:ascii="Arial" w:hAnsi="Arial" w:cs="Arial"/>
        </w:rPr>
        <w:t>(</w:t>
      </w:r>
      <w:proofErr w:type="spellStart"/>
      <w:r w:rsidR="00E33F9B" w:rsidRPr="00DB3E4F">
        <w:rPr>
          <w:rFonts w:ascii="Arial" w:hAnsi="Arial" w:cs="Arial"/>
        </w:rPr>
        <w:t>Sigaud</w:t>
      </w:r>
      <w:proofErr w:type="spellEnd"/>
      <w:r w:rsidR="00E33F9B" w:rsidRPr="00DB3E4F">
        <w:rPr>
          <w:rFonts w:ascii="Arial" w:hAnsi="Arial" w:cs="Arial"/>
        </w:rPr>
        <w:t xml:space="preserve"> et al., 2007)</w:t>
      </w:r>
      <w:r w:rsidRPr="00DB3E4F">
        <w:rPr>
          <w:rFonts w:ascii="Arial" w:hAnsi="Arial" w:cs="Arial"/>
        </w:rPr>
        <w:t>. Another suggested mechanism is that PM pollution may hinder the immune system's function, especially in children with developing immune systems</w:t>
      </w:r>
      <w:r w:rsidR="00E33F9B" w:rsidRPr="00DB3E4F">
        <w:rPr>
          <w:rFonts w:ascii="Arial" w:hAnsi="Arial" w:cs="Arial"/>
        </w:rPr>
        <w:t xml:space="preserve"> (Adhikary et al., 2024; </w:t>
      </w:r>
      <w:proofErr w:type="spellStart"/>
      <w:r w:rsidR="00E33F9B" w:rsidRPr="00DB3E4F">
        <w:rPr>
          <w:rFonts w:ascii="Arial" w:hAnsi="Arial" w:cs="Arial"/>
        </w:rPr>
        <w:t>Sigaud</w:t>
      </w:r>
      <w:proofErr w:type="spellEnd"/>
      <w:r w:rsidR="00E33F9B" w:rsidRPr="00DB3E4F">
        <w:rPr>
          <w:rFonts w:ascii="Arial" w:hAnsi="Arial" w:cs="Arial"/>
        </w:rPr>
        <w:t xml:space="preserve"> et al., 2007)</w:t>
      </w:r>
      <w:r w:rsidRPr="00DB3E4F">
        <w:rPr>
          <w:rFonts w:ascii="Arial" w:hAnsi="Arial" w:cs="Arial"/>
        </w:rPr>
        <w:t>.</w:t>
      </w:r>
    </w:p>
    <w:p w14:paraId="34D632BC" w14:textId="32855CE5" w:rsidR="009E70E1" w:rsidRPr="00DB3E4F" w:rsidRDefault="00D80FF9">
      <w:pPr>
        <w:spacing w:line="360" w:lineRule="auto"/>
        <w:jc w:val="both"/>
        <w:rPr>
          <w:rFonts w:ascii="Arial" w:hAnsi="Arial" w:cs="Arial"/>
        </w:rPr>
      </w:pPr>
      <w:r w:rsidRPr="00DB3E4F">
        <w:rPr>
          <w:rFonts w:ascii="Arial" w:hAnsi="Arial" w:cs="Arial"/>
        </w:rPr>
        <w:t xml:space="preserve">The results of the logistic regression model to identify the factors influencing ARI among children in India. It indicates that children residing in pucca houses are less likely to experience ARI compared to those living in </w:t>
      </w:r>
      <w:proofErr w:type="spellStart"/>
      <w:r w:rsidRPr="00DB3E4F">
        <w:rPr>
          <w:rFonts w:ascii="Arial" w:hAnsi="Arial" w:cs="Arial"/>
        </w:rPr>
        <w:t>kuchha</w:t>
      </w:r>
      <w:proofErr w:type="spellEnd"/>
      <w:r w:rsidRPr="00DB3E4F">
        <w:rPr>
          <w:rFonts w:ascii="Arial" w:hAnsi="Arial" w:cs="Arial"/>
        </w:rPr>
        <w:t xml:space="preserve"> houses. </w:t>
      </w:r>
      <w:r w:rsidR="00552E94" w:rsidRPr="00DB3E4F">
        <w:rPr>
          <w:rFonts w:ascii="Arial" w:hAnsi="Arial" w:cs="Arial"/>
        </w:rPr>
        <w:t xml:space="preserve">These findings align with the previous study conducted by </w:t>
      </w:r>
      <w:r w:rsidRPr="00DB3E4F">
        <w:rPr>
          <w:rFonts w:ascii="Arial" w:hAnsi="Arial" w:cs="Arial"/>
        </w:rPr>
        <w:t xml:space="preserve">Akinyemi </w:t>
      </w:r>
      <w:r w:rsidR="00D122D3" w:rsidRPr="00DB3E4F">
        <w:rPr>
          <w:rFonts w:ascii="Arial" w:hAnsi="Arial" w:cs="Arial"/>
        </w:rPr>
        <w:t xml:space="preserve">and </w:t>
      </w:r>
      <w:proofErr w:type="spellStart"/>
      <w:r w:rsidRPr="00DB3E4F">
        <w:rPr>
          <w:rFonts w:ascii="Arial" w:hAnsi="Arial" w:cs="Arial"/>
        </w:rPr>
        <w:t>Morakinyo</w:t>
      </w:r>
      <w:proofErr w:type="spellEnd"/>
      <w:r w:rsidRPr="00DB3E4F">
        <w:rPr>
          <w:rFonts w:ascii="Arial" w:hAnsi="Arial" w:cs="Arial"/>
        </w:rPr>
        <w:t xml:space="preserve"> in 2018</w:t>
      </w:r>
      <w:r w:rsidR="00E33F9B" w:rsidRPr="00DB3E4F">
        <w:rPr>
          <w:rFonts w:ascii="Arial" w:hAnsi="Arial" w:cs="Arial"/>
        </w:rPr>
        <w:t xml:space="preserve"> (Akinyemi and </w:t>
      </w:r>
      <w:proofErr w:type="spellStart"/>
      <w:r w:rsidR="00E33F9B" w:rsidRPr="00DB3E4F">
        <w:rPr>
          <w:rFonts w:ascii="Arial" w:hAnsi="Arial" w:cs="Arial"/>
        </w:rPr>
        <w:t>Morakinyo</w:t>
      </w:r>
      <w:proofErr w:type="spellEnd"/>
      <w:r w:rsidR="00E33F9B" w:rsidRPr="00DB3E4F">
        <w:rPr>
          <w:rFonts w:ascii="Arial" w:hAnsi="Arial" w:cs="Arial"/>
        </w:rPr>
        <w:t>, 2018)</w:t>
      </w:r>
      <w:r w:rsidR="00552E94" w:rsidRPr="00DB3E4F">
        <w:rPr>
          <w:rFonts w:ascii="Arial" w:hAnsi="Arial" w:cs="Arial"/>
        </w:rPr>
        <w:t xml:space="preserve">. The study has </w:t>
      </w:r>
      <w:r w:rsidRPr="00DB3E4F">
        <w:rPr>
          <w:rFonts w:ascii="Arial" w:hAnsi="Arial" w:cs="Arial"/>
        </w:rPr>
        <w:t>found a significant association between living in houses with poor-quality materials and an increased risk of ARI, particularly pneumonia and bronchiolitis among children</w:t>
      </w:r>
      <w:r w:rsidR="00194113" w:rsidRPr="00DB3E4F">
        <w:rPr>
          <w:rFonts w:ascii="Arial" w:hAnsi="Arial" w:cs="Arial"/>
        </w:rPr>
        <w:t xml:space="preserve"> </w:t>
      </w:r>
      <w:r w:rsidR="00E33F9B" w:rsidRPr="00DB3E4F">
        <w:rPr>
          <w:rFonts w:ascii="Arial" w:hAnsi="Arial" w:cs="Arial"/>
        </w:rPr>
        <w:t xml:space="preserve">(Akinyemi JO, </w:t>
      </w:r>
      <w:proofErr w:type="spellStart"/>
      <w:proofErr w:type="gramStart"/>
      <w:r w:rsidR="00E33F9B" w:rsidRPr="00DB3E4F">
        <w:rPr>
          <w:rFonts w:ascii="Arial" w:hAnsi="Arial" w:cs="Arial"/>
        </w:rPr>
        <w:t>Morakinyo</w:t>
      </w:r>
      <w:proofErr w:type="spellEnd"/>
      <w:r w:rsidR="00E33F9B" w:rsidRPr="00DB3E4F">
        <w:rPr>
          <w:rFonts w:ascii="Arial" w:hAnsi="Arial" w:cs="Arial"/>
        </w:rPr>
        <w:t xml:space="preserve"> )</w:t>
      </w:r>
      <w:proofErr w:type="gramEnd"/>
      <w:r w:rsidRPr="00DB3E4F">
        <w:rPr>
          <w:rFonts w:ascii="Arial" w:hAnsi="Arial" w:cs="Arial"/>
        </w:rPr>
        <w:t xml:space="preserve">. Furthermore, our </w:t>
      </w:r>
      <w:r w:rsidR="00552E94" w:rsidRPr="00DB3E4F">
        <w:rPr>
          <w:rFonts w:ascii="Arial" w:hAnsi="Arial" w:cs="Arial"/>
        </w:rPr>
        <w:t xml:space="preserve">research has </w:t>
      </w:r>
      <w:r w:rsidRPr="00DB3E4F">
        <w:rPr>
          <w:rFonts w:ascii="Arial" w:hAnsi="Arial" w:cs="Arial"/>
        </w:rPr>
        <w:t>investigat</w:t>
      </w:r>
      <w:r w:rsidR="00552E94" w:rsidRPr="00DB3E4F">
        <w:rPr>
          <w:rFonts w:ascii="Arial" w:hAnsi="Arial" w:cs="Arial"/>
        </w:rPr>
        <w:t>ed</w:t>
      </w:r>
      <w:r w:rsidRPr="00DB3E4F">
        <w:rPr>
          <w:rFonts w:ascii="Arial" w:hAnsi="Arial" w:cs="Arial"/>
        </w:rPr>
        <w:t xml:space="preserve"> </w:t>
      </w:r>
      <w:r w:rsidR="00552E94" w:rsidRPr="00DB3E4F">
        <w:rPr>
          <w:rFonts w:ascii="Arial" w:hAnsi="Arial" w:cs="Arial"/>
        </w:rPr>
        <w:t>the</w:t>
      </w:r>
      <w:r w:rsidRPr="00DB3E4F">
        <w:rPr>
          <w:rFonts w:ascii="Arial" w:hAnsi="Arial" w:cs="Arial"/>
        </w:rPr>
        <w:t xml:space="preserve"> presence of smoking </w:t>
      </w:r>
      <w:r w:rsidR="00552E94" w:rsidRPr="00DB3E4F">
        <w:rPr>
          <w:rFonts w:ascii="Arial" w:hAnsi="Arial" w:cs="Arial"/>
        </w:rPr>
        <w:t xml:space="preserve">members </w:t>
      </w:r>
      <w:r w:rsidRPr="00DB3E4F">
        <w:rPr>
          <w:rFonts w:ascii="Arial" w:hAnsi="Arial" w:cs="Arial"/>
        </w:rPr>
        <w:t xml:space="preserve">in the household and the lack of a separate kitchen </w:t>
      </w:r>
      <w:r w:rsidR="00552E94" w:rsidRPr="00DB3E4F">
        <w:rPr>
          <w:rFonts w:ascii="Arial" w:hAnsi="Arial" w:cs="Arial"/>
        </w:rPr>
        <w:t>is</w:t>
      </w:r>
      <w:r w:rsidRPr="00DB3E4F">
        <w:rPr>
          <w:rFonts w:ascii="Arial" w:hAnsi="Arial" w:cs="Arial"/>
        </w:rPr>
        <w:t xml:space="preserve"> the increased risk of </w:t>
      </w:r>
      <w:r w:rsidR="00552E94" w:rsidRPr="00DB3E4F">
        <w:rPr>
          <w:rFonts w:ascii="Arial" w:hAnsi="Arial" w:cs="Arial"/>
        </w:rPr>
        <w:t xml:space="preserve">developing </w:t>
      </w:r>
      <w:r w:rsidRPr="00DB3E4F">
        <w:rPr>
          <w:rFonts w:ascii="Arial" w:hAnsi="Arial" w:cs="Arial"/>
        </w:rPr>
        <w:t>ARI</w:t>
      </w:r>
      <w:r w:rsidR="00552E94" w:rsidRPr="00DB3E4F">
        <w:rPr>
          <w:rFonts w:ascii="Arial" w:hAnsi="Arial" w:cs="Arial"/>
        </w:rPr>
        <w:t xml:space="preserve"> among living children in the household</w:t>
      </w:r>
      <w:r w:rsidRPr="00DB3E4F">
        <w:rPr>
          <w:rFonts w:ascii="Arial" w:hAnsi="Arial" w:cs="Arial"/>
        </w:rPr>
        <w:t xml:space="preserve">. This finding is consistent with </w:t>
      </w:r>
      <w:r w:rsidR="00552E94" w:rsidRPr="00DB3E4F">
        <w:rPr>
          <w:rFonts w:ascii="Arial" w:hAnsi="Arial" w:cs="Arial"/>
        </w:rPr>
        <w:t xml:space="preserve">the </w:t>
      </w:r>
      <w:r w:rsidRPr="00DB3E4F">
        <w:rPr>
          <w:rFonts w:ascii="Arial" w:hAnsi="Arial" w:cs="Arial"/>
        </w:rPr>
        <w:t>previous studies</w:t>
      </w:r>
      <w:r w:rsidR="00E33F9B" w:rsidRPr="00DB3E4F">
        <w:rPr>
          <w:rFonts w:ascii="Arial" w:hAnsi="Arial" w:cs="Arial"/>
        </w:rPr>
        <w:t xml:space="preserve"> (Varghese and Muhammad, 2023; Savitha and Gopalakrishnan, 2018)</w:t>
      </w:r>
      <w:r w:rsidRPr="00DB3E4F">
        <w:rPr>
          <w:rFonts w:ascii="Arial" w:hAnsi="Arial" w:cs="Arial"/>
        </w:rPr>
        <w:t xml:space="preserve">. </w:t>
      </w:r>
      <w:r w:rsidR="00843E88" w:rsidRPr="00DB3E4F">
        <w:rPr>
          <w:rFonts w:ascii="Arial" w:hAnsi="Arial" w:cs="Arial"/>
        </w:rPr>
        <w:t>E</w:t>
      </w:r>
      <w:r w:rsidRPr="00DB3E4F">
        <w:rPr>
          <w:rFonts w:ascii="Arial" w:hAnsi="Arial" w:cs="Arial"/>
        </w:rPr>
        <w:t>xposure to household smoke can elevate children's risk of respiratory infections due to passive smoking</w:t>
      </w:r>
      <w:r w:rsidR="00E33F9B" w:rsidRPr="00DB3E4F">
        <w:rPr>
          <w:rFonts w:ascii="Arial" w:hAnsi="Arial" w:cs="Arial"/>
        </w:rPr>
        <w:t xml:space="preserve"> (Varghese and Muhammad, 2023)</w:t>
      </w:r>
      <w:r w:rsidRPr="00DB3E4F">
        <w:rPr>
          <w:rFonts w:ascii="Arial" w:hAnsi="Arial" w:cs="Arial"/>
        </w:rPr>
        <w:t>. Additionally, having a separate room as a kitchen can help prevent children from inhaling smoke, which can be particularly harmful if solid fuels are used for cooking</w:t>
      </w:r>
      <w:r w:rsidR="00E33F9B" w:rsidRPr="00DB3E4F">
        <w:rPr>
          <w:rFonts w:ascii="Arial" w:hAnsi="Arial" w:cs="Arial"/>
        </w:rPr>
        <w:t xml:space="preserve"> (Varghese and Muhammad, 2023; Savitha and Gopalakrishnan, 2018)</w:t>
      </w:r>
      <w:r w:rsidRPr="00DB3E4F">
        <w:rPr>
          <w:rFonts w:ascii="Arial" w:hAnsi="Arial" w:cs="Arial"/>
        </w:rPr>
        <w:t>.</w:t>
      </w:r>
      <w:r w:rsidR="00843E88" w:rsidRPr="00DB3E4F">
        <w:rPr>
          <w:rFonts w:ascii="Arial" w:hAnsi="Arial" w:cs="Arial"/>
        </w:rPr>
        <w:t xml:space="preserve"> </w:t>
      </w:r>
      <w:r w:rsidRPr="00DB3E4F">
        <w:rPr>
          <w:rFonts w:ascii="Arial" w:hAnsi="Arial" w:cs="Arial"/>
        </w:rPr>
        <w:t xml:space="preserve">Our </w:t>
      </w:r>
      <w:r w:rsidR="00843E88" w:rsidRPr="00DB3E4F">
        <w:rPr>
          <w:rFonts w:ascii="Arial" w:hAnsi="Arial" w:cs="Arial"/>
        </w:rPr>
        <w:t>research</w:t>
      </w:r>
      <w:r w:rsidRPr="00DB3E4F">
        <w:rPr>
          <w:rFonts w:ascii="Arial" w:hAnsi="Arial" w:cs="Arial"/>
        </w:rPr>
        <w:t xml:space="preserve"> </w:t>
      </w:r>
      <w:r w:rsidR="00843E88" w:rsidRPr="00DB3E4F">
        <w:rPr>
          <w:rFonts w:ascii="Arial" w:hAnsi="Arial" w:cs="Arial"/>
        </w:rPr>
        <w:t>revealed</w:t>
      </w:r>
      <w:r w:rsidRPr="00DB3E4F">
        <w:rPr>
          <w:rFonts w:ascii="Arial" w:hAnsi="Arial" w:cs="Arial"/>
        </w:rPr>
        <w:t xml:space="preserve"> that mothers with respiratory diseases or asthma are more likely to get </w:t>
      </w:r>
      <w:r w:rsidR="00843E88" w:rsidRPr="00DB3E4F">
        <w:rPr>
          <w:rFonts w:ascii="Arial" w:hAnsi="Arial" w:cs="Arial"/>
        </w:rPr>
        <w:t xml:space="preserve">their children </w:t>
      </w:r>
      <w:r w:rsidRPr="00DB3E4F">
        <w:rPr>
          <w:rFonts w:ascii="Arial" w:hAnsi="Arial" w:cs="Arial"/>
        </w:rPr>
        <w:t xml:space="preserve">ARI compared to those without these conditions </w:t>
      </w:r>
      <w:r w:rsidR="00E33F9B" w:rsidRPr="00DB3E4F">
        <w:rPr>
          <w:rFonts w:ascii="Arial" w:hAnsi="Arial" w:cs="Arial"/>
        </w:rPr>
        <w:t>(Sharma eta al., 2008)</w:t>
      </w:r>
      <w:r w:rsidRPr="00DB3E4F">
        <w:rPr>
          <w:rFonts w:ascii="Arial" w:hAnsi="Arial" w:cs="Arial"/>
        </w:rPr>
        <w:t xml:space="preserve">. The possible reason may be that since children typically spend most of their time indoors, they are more vulnerable to contracting infections from family members with respiratory illnesses </w:t>
      </w:r>
      <w:r w:rsidR="00E33F9B" w:rsidRPr="00DB3E4F">
        <w:rPr>
          <w:rFonts w:ascii="Arial" w:hAnsi="Arial" w:cs="Arial"/>
        </w:rPr>
        <w:t>(Savitha and Gopalakrishnan, 2018)</w:t>
      </w:r>
      <w:r w:rsidRPr="00DB3E4F">
        <w:rPr>
          <w:rFonts w:ascii="Arial" w:hAnsi="Arial" w:cs="Arial"/>
        </w:rPr>
        <w:t>.</w:t>
      </w:r>
    </w:p>
    <w:p w14:paraId="18651EE8" w14:textId="5077420B" w:rsidR="009E70E1" w:rsidRPr="00DB3E4F" w:rsidRDefault="001442EF">
      <w:pPr>
        <w:spacing w:line="360" w:lineRule="auto"/>
        <w:jc w:val="both"/>
        <w:rPr>
          <w:rFonts w:ascii="Arial" w:hAnsi="Arial" w:cs="Arial"/>
          <w:color w:val="000000" w:themeColor="text1"/>
        </w:rPr>
      </w:pPr>
      <w:r w:rsidRPr="00DB3E4F">
        <w:rPr>
          <w:rFonts w:ascii="Arial" w:hAnsi="Arial" w:cs="Arial"/>
        </w:rPr>
        <w:lastRenderedPageBreak/>
        <w:t xml:space="preserve">The current study </w:t>
      </w:r>
      <w:r w:rsidR="00843E88" w:rsidRPr="00DB3E4F">
        <w:rPr>
          <w:rFonts w:ascii="Arial" w:hAnsi="Arial" w:cs="Arial"/>
        </w:rPr>
        <w:t xml:space="preserve">also </w:t>
      </w:r>
      <w:r w:rsidRPr="00DB3E4F">
        <w:rPr>
          <w:rFonts w:ascii="Arial" w:hAnsi="Arial" w:cs="Arial"/>
        </w:rPr>
        <w:t xml:space="preserve">revealed that the socioeconomic characteristics of the household significantly influence the development of children's ARIs. </w:t>
      </w:r>
      <w:r w:rsidR="00843E88" w:rsidRPr="00DB3E4F">
        <w:rPr>
          <w:rFonts w:ascii="Arial" w:hAnsi="Arial" w:cs="Arial"/>
        </w:rPr>
        <w:t>C</w:t>
      </w:r>
      <w:r w:rsidRPr="00DB3E4F">
        <w:rPr>
          <w:rFonts w:ascii="Arial" w:hAnsi="Arial" w:cs="Arial"/>
        </w:rPr>
        <w:t>hildren from middle and higher-income households exhibit a reduced risk of contracting ARI as compared to those from lower-income households. Extant research suggests that children from rural areas and low-income families face an elevated risk of ARIs</w:t>
      </w:r>
      <w:r w:rsidR="00623F45" w:rsidRPr="00DB3E4F">
        <w:rPr>
          <w:rFonts w:ascii="Arial" w:hAnsi="Arial" w:cs="Arial"/>
        </w:rPr>
        <w:t xml:space="preserve"> (Sultana et al., 2019)</w:t>
      </w:r>
      <w:r w:rsidRPr="00DB3E4F">
        <w:rPr>
          <w:rFonts w:ascii="Arial" w:hAnsi="Arial" w:cs="Arial"/>
        </w:rPr>
        <w:t>. This heightened susceptibility has been linked to the disadvantaged socioeconomic status of households in rural settings, aligning with comparable findings from other low- and middle-income countries</w:t>
      </w:r>
      <w:r w:rsidR="00623F45" w:rsidRPr="00DB3E4F">
        <w:rPr>
          <w:rFonts w:ascii="Arial" w:hAnsi="Arial" w:cs="Arial"/>
        </w:rPr>
        <w:t xml:space="preserve"> (Sultana et al., 2019)</w:t>
      </w:r>
      <w:r w:rsidR="00FA1E1E" w:rsidRPr="00DB3E4F">
        <w:rPr>
          <w:rFonts w:ascii="Arial" w:hAnsi="Arial" w:cs="Arial"/>
        </w:rPr>
        <w:t xml:space="preserve">. </w:t>
      </w:r>
      <w:r w:rsidRPr="00DB3E4F">
        <w:rPr>
          <w:rFonts w:ascii="Arial" w:hAnsi="Arial" w:cs="Arial"/>
        </w:rPr>
        <w:t xml:space="preserve">Our </w:t>
      </w:r>
      <w:r w:rsidR="00843E88" w:rsidRPr="00DB3E4F">
        <w:rPr>
          <w:rFonts w:ascii="Arial" w:hAnsi="Arial" w:cs="Arial"/>
        </w:rPr>
        <w:t>research findings</w:t>
      </w:r>
      <w:r w:rsidRPr="00DB3E4F">
        <w:rPr>
          <w:rFonts w:ascii="Arial" w:hAnsi="Arial" w:cs="Arial"/>
        </w:rPr>
        <w:t xml:space="preserve"> align with other </w:t>
      </w:r>
      <w:r w:rsidR="00843E88" w:rsidRPr="00DB3E4F">
        <w:rPr>
          <w:rFonts w:ascii="Arial" w:hAnsi="Arial" w:cs="Arial"/>
        </w:rPr>
        <w:t>research</w:t>
      </w:r>
      <w:r w:rsidRPr="00DB3E4F">
        <w:rPr>
          <w:rFonts w:ascii="Arial" w:hAnsi="Arial" w:cs="Arial"/>
        </w:rPr>
        <w:t xml:space="preserve">, suggesting that maternal smoking </w:t>
      </w:r>
      <w:r w:rsidR="00843E88" w:rsidRPr="00DB3E4F">
        <w:rPr>
          <w:rFonts w:ascii="Arial" w:hAnsi="Arial" w:cs="Arial"/>
        </w:rPr>
        <w:t>behaviour</w:t>
      </w:r>
      <w:r w:rsidR="00843E88" w:rsidRPr="00DB3E4F">
        <w:rPr>
          <w:rFonts w:ascii="Arial" w:eastAsia="Times New Roman" w:hAnsi="Arial" w:cs="Arial"/>
          <w:color w:val="000000" w:themeColor="text1"/>
          <w:lang w:eastAsia="en-IN"/>
        </w:rPr>
        <w:t xml:space="preserve"> </w:t>
      </w:r>
      <w:r w:rsidRPr="00DB3E4F">
        <w:rPr>
          <w:rFonts w:ascii="Arial" w:hAnsi="Arial" w:cs="Arial"/>
        </w:rPr>
        <w:t xml:space="preserve">increases the risk of ARI among children in India </w:t>
      </w:r>
      <w:r w:rsidR="00623F45" w:rsidRPr="00DB3E4F">
        <w:rPr>
          <w:rFonts w:ascii="Arial" w:hAnsi="Arial" w:cs="Arial"/>
        </w:rPr>
        <w:t>(Ramani eta l., 2016; Savitha et al., 2007)</w:t>
      </w:r>
      <w:r w:rsidRPr="00DB3E4F">
        <w:rPr>
          <w:rFonts w:ascii="Arial" w:hAnsi="Arial" w:cs="Arial"/>
        </w:rPr>
        <w:t xml:space="preserve">. Our </w:t>
      </w:r>
      <w:r w:rsidR="00843E88" w:rsidRPr="00DB3E4F">
        <w:rPr>
          <w:rFonts w:ascii="Arial" w:hAnsi="Arial" w:cs="Arial"/>
        </w:rPr>
        <w:t>findings</w:t>
      </w:r>
      <w:r w:rsidRPr="00DB3E4F">
        <w:rPr>
          <w:rFonts w:ascii="Arial" w:hAnsi="Arial" w:cs="Arial"/>
        </w:rPr>
        <w:t xml:space="preserve"> </w:t>
      </w:r>
      <w:r w:rsidR="00843E88" w:rsidRPr="00DB3E4F">
        <w:rPr>
          <w:rFonts w:ascii="Arial" w:hAnsi="Arial" w:cs="Arial"/>
        </w:rPr>
        <w:t xml:space="preserve">suggest that </w:t>
      </w:r>
      <w:r w:rsidRPr="00DB3E4F">
        <w:rPr>
          <w:rFonts w:ascii="Arial" w:hAnsi="Arial" w:cs="Arial"/>
        </w:rPr>
        <w:t>exposed to mass media and mothers with primary education have increased the risk of the diseases as compared to their counterparts. One potential explanation is that women who are qualified and knowledgeable about this disease tend to remember and report more accurately</w:t>
      </w:r>
      <w:r w:rsidR="00E420CE" w:rsidRPr="00DB3E4F">
        <w:rPr>
          <w:rFonts w:ascii="Arial" w:hAnsi="Arial" w:cs="Arial"/>
        </w:rPr>
        <w:t xml:space="preserve"> </w:t>
      </w:r>
      <w:r w:rsidR="00623F45" w:rsidRPr="00DB3E4F">
        <w:rPr>
          <w:rFonts w:ascii="Arial" w:hAnsi="Arial" w:cs="Arial"/>
        </w:rPr>
        <w:t>(Ghosh et al., 2023)</w:t>
      </w:r>
      <w:r w:rsidRPr="00DB3E4F">
        <w:rPr>
          <w:rFonts w:ascii="Arial" w:hAnsi="Arial" w:cs="Arial"/>
        </w:rPr>
        <w:t>.</w:t>
      </w:r>
    </w:p>
    <w:p w14:paraId="7A5F5E21" w14:textId="3B38FF50" w:rsidR="009E70E1" w:rsidRPr="00DB3E4F" w:rsidRDefault="00843E88">
      <w:pPr>
        <w:spacing w:line="360" w:lineRule="auto"/>
        <w:jc w:val="both"/>
        <w:rPr>
          <w:rFonts w:ascii="Arial" w:hAnsi="Arial" w:cs="Arial"/>
        </w:rPr>
      </w:pPr>
      <w:r w:rsidRPr="00DB3E4F">
        <w:rPr>
          <w:rFonts w:ascii="Arial" w:hAnsi="Arial" w:cs="Arial"/>
        </w:rPr>
        <w:t xml:space="preserve">Considering a child's characteristics, </w:t>
      </w:r>
      <w:r w:rsidR="00A814B3" w:rsidRPr="00DB3E4F">
        <w:rPr>
          <w:rFonts w:ascii="Arial" w:hAnsi="Arial" w:cs="Arial"/>
        </w:rPr>
        <w:t>o</w:t>
      </w:r>
      <w:r w:rsidRPr="00DB3E4F">
        <w:rPr>
          <w:rFonts w:ascii="Arial" w:hAnsi="Arial" w:cs="Arial"/>
        </w:rPr>
        <w:t xml:space="preserve">ur study findings indicate a clear inverse relationship between the </w:t>
      </w:r>
      <w:r w:rsidR="00A814B3" w:rsidRPr="00DB3E4F">
        <w:rPr>
          <w:rFonts w:ascii="Arial" w:hAnsi="Arial" w:cs="Arial"/>
        </w:rPr>
        <w:t xml:space="preserve">prevalence </w:t>
      </w:r>
      <w:r w:rsidRPr="00DB3E4F">
        <w:rPr>
          <w:rFonts w:ascii="Arial" w:hAnsi="Arial" w:cs="Arial"/>
        </w:rPr>
        <w:t>of ARI and the age of children</w:t>
      </w:r>
      <w:r w:rsidR="00A814B3" w:rsidRPr="00DB3E4F">
        <w:rPr>
          <w:rFonts w:ascii="Arial" w:hAnsi="Arial" w:cs="Arial"/>
        </w:rPr>
        <w:t>. It</w:t>
      </w:r>
      <w:r w:rsidRPr="00DB3E4F">
        <w:rPr>
          <w:rFonts w:ascii="Arial" w:hAnsi="Arial" w:cs="Arial"/>
        </w:rPr>
        <w:t xml:space="preserve"> </w:t>
      </w:r>
      <w:r w:rsidR="00A814B3" w:rsidRPr="00DB3E4F">
        <w:rPr>
          <w:rFonts w:ascii="Arial" w:hAnsi="Arial" w:cs="Arial"/>
        </w:rPr>
        <w:t>suggests</w:t>
      </w:r>
      <w:r w:rsidRPr="00DB3E4F">
        <w:rPr>
          <w:rFonts w:ascii="Arial" w:hAnsi="Arial" w:cs="Arial"/>
        </w:rPr>
        <w:t xml:space="preserve"> </w:t>
      </w:r>
      <w:r w:rsidR="00A814B3" w:rsidRPr="00DB3E4F">
        <w:rPr>
          <w:rFonts w:ascii="Arial" w:hAnsi="Arial" w:cs="Arial"/>
        </w:rPr>
        <w:t>that the risk of ARI increases with decreasing age</w:t>
      </w:r>
      <w:r w:rsidRPr="00DB3E4F">
        <w:rPr>
          <w:rFonts w:ascii="Arial" w:hAnsi="Arial" w:cs="Arial"/>
        </w:rPr>
        <w:t xml:space="preserve">. These results are in alignment with the previous </w:t>
      </w:r>
      <w:r w:rsidR="00A814B3" w:rsidRPr="00DB3E4F">
        <w:rPr>
          <w:rFonts w:ascii="Arial" w:hAnsi="Arial" w:cs="Arial"/>
        </w:rPr>
        <w:t>study</w:t>
      </w:r>
      <w:r w:rsidR="00623F45" w:rsidRPr="00DB3E4F">
        <w:rPr>
          <w:rFonts w:ascii="Arial" w:hAnsi="Arial" w:cs="Arial"/>
        </w:rPr>
        <w:t xml:space="preserve"> (Sultana et al., 2019; Kai et al., 2019)</w:t>
      </w:r>
      <w:r w:rsidRPr="00DB3E4F">
        <w:rPr>
          <w:rFonts w:ascii="Arial" w:hAnsi="Arial" w:cs="Arial"/>
        </w:rPr>
        <w:t xml:space="preserve">. Our research indicates that malnourished children and those who have recently experienced diarrhoea are at a higher risk of </w:t>
      </w:r>
      <w:r w:rsidR="00A814B3" w:rsidRPr="00DB3E4F">
        <w:rPr>
          <w:rFonts w:ascii="Arial" w:hAnsi="Arial" w:cs="Arial"/>
        </w:rPr>
        <w:t>developing ARI</w:t>
      </w:r>
      <w:r w:rsidRPr="00DB3E4F">
        <w:rPr>
          <w:rFonts w:ascii="Arial" w:hAnsi="Arial" w:cs="Arial"/>
        </w:rPr>
        <w:t xml:space="preserve">. This </w:t>
      </w:r>
      <w:r w:rsidR="00A814B3" w:rsidRPr="00DB3E4F">
        <w:rPr>
          <w:rFonts w:ascii="Arial" w:hAnsi="Arial" w:cs="Arial"/>
        </w:rPr>
        <w:t xml:space="preserve">association </w:t>
      </w:r>
      <w:r w:rsidRPr="00DB3E4F">
        <w:rPr>
          <w:rFonts w:ascii="Arial" w:hAnsi="Arial" w:cs="Arial"/>
        </w:rPr>
        <w:t>was also observed in recent research conducted in both India and Ethiopia</w:t>
      </w:r>
      <w:r w:rsidR="00623F45" w:rsidRPr="00DB3E4F">
        <w:rPr>
          <w:rFonts w:ascii="Arial" w:hAnsi="Arial" w:cs="Arial"/>
        </w:rPr>
        <w:t xml:space="preserve"> (</w:t>
      </w:r>
      <w:proofErr w:type="spellStart"/>
      <w:r w:rsidR="00623F45" w:rsidRPr="00DB3E4F">
        <w:rPr>
          <w:rFonts w:ascii="Arial" w:hAnsi="Arial" w:cs="Arial"/>
        </w:rPr>
        <w:t>Merera</w:t>
      </w:r>
      <w:proofErr w:type="spellEnd"/>
      <w:r w:rsidR="00623F45" w:rsidRPr="00DB3E4F">
        <w:rPr>
          <w:rFonts w:ascii="Arial" w:hAnsi="Arial" w:cs="Arial"/>
        </w:rPr>
        <w:t>, 2021; Hasan et al., 2022)</w:t>
      </w:r>
      <w:r w:rsidRPr="00DB3E4F">
        <w:rPr>
          <w:rFonts w:ascii="Arial" w:hAnsi="Arial" w:cs="Arial"/>
        </w:rPr>
        <w:t xml:space="preserve">. A recent episode of </w:t>
      </w:r>
      <w:proofErr w:type="spellStart"/>
      <w:r w:rsidRPr="00DB3E4F">
        <w:rPr>
          <w:rFonts w:ascii="Arial" w:hAnsi="Arial" w:cs="Arial"/>
        </w:rPr>
        <w:t>diarrhea</w:t>
      </w:r>
      <w:proofErr w:type="spellEnd"/>
      <w:r w:rsidRPr="00DB3E4F">
        <w:rPr>
          <w:rFonts w:ascii="Arial" w:hAnsi="Arial" w:cs="Arial"/>
        </w:rPr>
        <w:t xml:space="preserve"> may indicate weakened immunity, which could make the child more susceptible to further infections. </w:t>
      </w:r>
    </w:p>
    <w:p w14:paraId="37AB0C81" w14:textId="286FB79C" w:rsidR="009E70E1" w:rsidRPr="00DB3E4F" w:rsidRDefault="001442EF">
      <w:pPr>
        <w:spacing w:line="360" w:lineRule="auto"/>
        <w:jc w:val="both"/>
        <w:rPr>
          <w:rFonts w:ascii="Arial" w:hAnsi="Arial" w:cs="Arial"/>
        </w:rPr>
      </w:pPr>
      <w:r w:rsidRPr="00DB3E4F">
        <w:rPr>
          <w:rFonts w:ascii="Arial" w:hAnsi="Arial" w:cs="Arial"/>
        </w:rPr>
        <w:t xml:space="preserve">Our study also found that children born with </w:t>
      </w:r>
      <w:r w:rsidR="00A814B3" w:rsidRPr="00DB3E4F">
        <w:rPr>
          <w:rFonts w:ascii="Arial" w:hAnsi="Arial" w:cs="Arial"/>
        </w:rPr>
        <w:t xml:space="preserve">low </w:t>
      </w:r>
      <w:r w:rsidRPr="00DB3E4F">
        <w:rPr>
          <w:rFonts w:ascii="Arial" w:hAnsi="Arial" w:cs="Arial"/>
        </w:rPr>
        <w:t xml:space="preserve">normal birth weight had a </w:t>
      </w:r>
      <w:r w:rsidR="00A814B3" w:rsidRPr="00DB3E4F">
        <w:rPr>
          <w:rFonts w:ascii="Arial" w:hAnsi="Arial" w:cs="Arial"/>
        </w:rPr>
        <w:t>higher the</w:t>
      </w:r>
      <w:r w:rsidRPr="00DB3E4F">
        <w:rPr>
          <w:rFonts w:ascii="Arial" w:hAnsi="Arial" w:cs="Arial"/>
        </w:rPr>
        <w:t xml:space="preserve"> risk of ARI compared to those born with </w:t>
      </w:r>
      <w:r w:rsidR="00A814B3" w:rsidRPr="00DB3E4F">
        <w:rPr>
          <w:rFonts w:ascii="Arial" w:hAnsi="Arial" w:cs="Arial"/>
        </w:rPr>
        <w:t xml:space="preserve">normal </w:t>
      </w:r>
      <w:r w:rsidRPr="00DB3E4F">
        <w:rPr>
          <w:rFonts w:ascii="Arial" w:hAnsi="Arial" w:cs="Arial"/>
        </w:rPr>
        <w:t>low birth weight. Birth weight plays a crucial role in the physical and mental growth and development of infants. Infants with low birth weight are at a higher risk of mortality compared to those with adequate birth weight, especially in the first few months after birth. This increased risk is due to the inadequate formation of anti-immune substances, which makes them more vulnerable to infectious diseases such as pneumonia and other respiratory illnesses. Low birth weight infants often encounter respiratory issues like ARIs because of underdeveloped lungs and weak respiratory muscles</w:t>
      </w:r>
      <w:r w:rsidR="00623F45" w:rsidRPr="00DB3E4F">
        <w:rPr>
          <w:rFonts w:ascii="Arial" w:hAnsi="Arial" w:cs="Arial"/>
        </w:rPr>
        <w:t xml:space="preserve"> (Kai et al., 2019)</w:t>
      </w:r>
      <w:r w:rsidR="00FA1E1E" w:rsidRPr="00DB3E4F">
        <w:rPr>
          <w:rFonts w:ascii="Arial" w:hAnsi="Arial" w:cs="Arial"/>
        </w:rPr>
        <w:t>.</w:t>
      </w:r>
    </w:p>
    <w:p w14:paraId="380B75B9" w14:textId="25E214E7" w:rsidR="009E70E1" w:rsidRPr="00DB3E4F" w:rsidRDefault="001442EF">
      <w:pPr>
        <w:spacing w:line="360" w:lineRule="auto"/>
        <w:jc w:val="both"/>
        <w:rPr>
          <w:rFonts w:ascii="Arial" w:hAnsi="Arial" w:cs="Arial"/>
        </w:rPr>
      </w:pPr>
      <w:r w:rsidRPr="00DB3E4F">
        <w:rPr>
          <w:rFonts w:ascii="Arial" w:hAnsi="Arial" w:cs="Arial"/>
        </w:rPr>
        <w:t xml:space="preserve">The </w:t>
      </w:r>
      <w:r w:rsidR="00A814B3" w:rsidRPr="00DB3E4F">
        <w:rPr>
          <w:rFonts w:ascii="Arial" w:hAnsi="Arial" w:cs="Arial"/>
        </w:rPr>
        <w:t xml:space="preserve">present </w:t>
      </w:r>
      <w:r w:rsidRPr="00DB3E4F">
        <w:rPr>
          <w:rFonts w:ascii="Arial" w:hAnsi="Arial" w:cs="Arial"/>
        </w:rPr>
        <w:t xml:space="preserve">study has some limitations. Firstly, ARI was classified as per the signs and symptoms reported by </w:t>
      </w:r>
      <w:r w:rsidR="00A814B3" w:rsidRPr="00DB3E4F">
        <w:rPr>
          <w:rFonts w:ascii="Arial" w:hAnsi="Arial" w:cs="Arial"/>
        </w:rPr>
        <w:t>the children's mothers</w:t>
      </w:r>
      <w:r w:rsidRPr="00DB3E4F">
        <w:rPr>
          <w:rFonts w:ascii="Arial" w:hAnsi="Arial" w:cs="Arial"/>
        </w:rPr>
        <w:t>, without confirmation from medical professionals. Secondly, mothers were asked to recall their children's symptoms from the past 2 weeks of the survey, which may raise the possibility of recall bias. Thirdly, a cross-sectional design prevented the establishment of a cause-and-effect relationship</w:t>
      </w:r>
      <w:r w:rsidR="009A4E77" w:rsidRPr="00DB3E4F">
        <w:rPr>
          <w:rFonts w:ascii="Arial" w:hAnsi="Arial" w:cs="Arial"/>
        </w:rPr>
        <w:t xml:space="preserve">. </w:t>
      </w:r>
    </w:p>
    <w:p w14:paraId="2AB01146" w14:textId="43602E63" w:rsidR="009E70E1" w:rsidRPr="00DB3E4F" w:rsidRDefault="001442EF" w:rsidP="00DB3E4F">
      <w:pPr>
        <w:pStyle w:val="Heading1"/>
        <w:rPr>
          <w:rFonts w:ascii="Arial" w:hAnsi="Arial" w:cs="Arial"/>
          <w:sz w:val="22"/>
          <w:szCs w:val="22"/>
        </w:rPr>
      </w:pPr>
      <w:r w:rsidRPr="00DB3E4F">
        <w:rPr>
          <w:rFonts w:ascii="Arial" w:hAnsi="Arial" w:cs="Arial"/>
          <w:sz w:val="22"/>
          <w:szCs w:val="22"/>
        </w:rPr>
        <w:lastRenderedPageBreak/>
        <w:t>Conclusion</w:t>
      </w:r>
    </w:p>
    <w:p w14:paraId="2E3F0870" w14:textId="77777777" w:rsidR="0096243E" w:rsidRPr="00DB3E4F" w:rsidRDefault="0096243E" w:rsidP="00AF65CA">
      <w:pPr>
        <w:spacing w:after="0"/>
        <w:rPr>
          <w:rFonts w:ascii="Arial" w:hAnsi="Arial" w:cs="Arial"/>
        </w:rPr>
      </w:pPr>
    </w:p>
    <w:p w14:paraId="19A7D858" w14:textId="3AEB8F0A" w:rsidR="009E70E1" w:rsidRPr="00DB3E4F" w:rsidRDefault="001442EF" w:rsidP="00AF65CA">
      <w:pPr>
        <w:spacing w:after="0" w:line="360" w:lineRule="auto"/>
        <w:jc w:val="both"/>
        <w:rPr>
          <w:rFonts w:ascii="Arial" w:hAnsi="Arial" w:cs="Arial"/>
        </w:rPr>
      </w:pPr>
      <w:bookmarkStart w:id="21" w:name="_Hlk182223128"/>
      <w:r w:rsidRPr="00DB3E4F">
        <w:rPr>
          <w:rFonts w:ascii="Arial" w:hAnsi="Arial" w:cs="Arial"/>
        </w:rPr>
        <w:t xml:space="preserve">ARI is the major cause of under-five mortality and morbidity in low-income and developing countries like India. </w:t>
      </w:r>
      <w:bookmarkEnd w:id="21"/>
      <w:r w:rsidRPr="00DB3E4F">
        <w:rPr>
          <w:rFonts w:ascii="Arial" w:hAnsi="Arial" w:cs="Arial"/>
        </w:rPr>
        <w:t xml:space="preserve">The present study aimed to investigate the prevalence and factors associated with ARI in districts of Indian children along with hot-spot analysis. The study highlighted the high prevalence and hot-spot districts of childhood ARI in India. </w:t>
      </w:r>
      <w:bookmarkStart w:id="22" w:name="_Hlk182224176"/>
      <w:r w:rsidRPr="00DB3E4F">
        <w:rPr>
          <w:rFonts w:ascii="Arial" w:hAnsi="Arial" w:cs="Arial"/>
        </w:rPr>
        <w:t>The current study also identifies that exposure to smoking in the household, mothers with respiratory illness/asthma, cooking not in a separate kitchen, children's malnutrition status, low birth weight, and history of diarrhoea increase the risk of the diseases.</w:t>
      </w:r>
      <w:bookmarkEnd w:id="22"/>
      <w:r w:rsidRPr="00DB3E4F">
        <w:rPr>
          <w:rFonts w:ascii="Arial" w:hAnsi="Arial" w:cs="Arial"/>
        </w:rPr>
        <w:t xml:space="preserve"> Based on these findings, </w:t>
      </w:r>
      <w:bookmarkStart w:id="23" w:name="_Hlk182224442"/>
      <w:r w:rsidRPr="00DB3E4F">
        <w:rPr>
          <w:rFonts w:ascii="Arial" w:hAnsi="Arial" w:cs="Arial"/>
        </w:rPr>
        <w:t>the study recommends that public health programs focus on the high prevalence and hotspot districts and implement a district and state-level policy to control the incidence and burden of childhood ARI in India.</w:t>
      </w:r>
      <w:bookmarkEnd w:id="23"/>
      <w:r w:rsidRPr="00DB3E4F">
        <w:rPr>
          <w:rFonts w:ascii="Arial" w:hAnsi="Arial" w:cs="Arial"/>
        </w:rPr>
        <w:t xml:space="preserve"> The study also recommended targeting the identified indicators that can reduce child morbidity and mortality due to ARI in India. This may help to reduce the risk of ARI and contribute to achieving the country's SDG target of 3.2 by 2030.</w:t>
      </w:r>
    </w:p>
    <w:p w14:paraId="096EAF64" w14:textId="257B4AE4" w:rsidR="00D8242A" w:rsidRPr="00DB3E4F" w:rsidRDefault="00D8242A">
      <w:pPr>
        <w:spacing w:after="0" w:line="240" w:lineRule="auto"/>
        <w:rPr>
          <w:rFonts w:ascii="Arial" w:hAnsi="Arial" w:cs="Arial"/>
        </w:rPr>
      </w:pPr>
    </w:p>
    <w:p w14:paraId="65E267BB" w14:textId="77777777" w:rsidR="00503A81" w:rsidRPr="00DB3E4F" w:rsidRDefault="00503A81" w:rsidP="00503A81">
      <w:pPr>
        <w:spacing w:after="0" w:line="360" w:lineRule="auto"/>
        <w:rPr>
          <w:rFonts w:ascii="Arial" w:hAnsi="Arial" w:cs="Arial"/>
        </w:rPr>
      </w:pPr>
    </w:p>
    <w:p w14:paraId="092A5544" w14:textId="77777777" w:rsidR="00503A81" w:rsidRPr="00DB3E4F" w:rsidRDefault="001442EF" w:rsidP="00503A81">
      <w:pPr>
        <w:spacing w:after="0" w:line="360" w:lineRule="auto"/>
        <w:jc w:val="both"/>
        <w:rPr>
          <w:rFonts w:ascii="Arial" w:hAnsi="Arial" w:cs="Arial"/>
        </w:rPr>
      </w:pPr>
      <w:bookmarkStart w:id="24" w:name="_Hlk183013429"/>
      <w:r w:rsidRPr="00DB3E4F">
        <w:rPr>
          <w:rFonts w:ascii="Arial" w:hAnsi="Arial" w:cs="Arial"/>
          <w:b/>
          <w:bCs/>
        </w:rPr>
        <w:t>Abbreviation:</w:t>
      </w:r>
      <w:r w:rsidRPr="00DB3E4F">
        <w:rPr>
          <w:rFonts w:ascii="Arial" w:hAnsi="Arial" w:cs="Arial"/>
        </w:rPr>
        <w:t xml:space="preserve"> </w:t>
      </w:r>
      <w:bookmarkEnd w:id="24"/>
    </w:p>
    <w:p w14:paraId="178AF7B5" w14:textId="7161AF08" w:rsidR="009E70E1" w:rsidRPr="00DB3E4F" w:rsidRDefault="001442EF" w:rsidP="00503A81">
      <w:pPr>
        <w:spacing w:after="0" w:line="360" w:lineRule="auto"/>
        <w:jc w:val="both"/>
        <w:rPr>
          <w:rFonts w:ascii="Arial" w:hAnsi="Arial" w:cs="Arial"/>
        </w:rPr>
      </w:pPr>
      <w:r w:rsidRPr="00DB3E4F">
        <w:rPr>
          <w:rFonts w:ascii="Arial" w:hAnsi="Arial" w:cs="Arial"/>
          <w:b/>
          <w:bCs/>
        </w:rPr>
        <w:t>ARI</w:t>
      </w:r>
      <w:r w:rsidRPr="00DB3E4F">
        <w:rPr>
          <w:rFonts w:ascii="Arial" w:hAnsi="Arial" w:cs="Arial"/>
        </w:rPr>
        <w:t xml:space="preserve"> - Acute Respiratory Infection; </w:t>
      </w:r>
      <w:r w:rsidRPr="00DB3E4F">
        <w:rPr>
          <w:rFonts w:ascii="Arial" w:hAnsi="Arial" w:cs="Arial"/>
          <w:b/>
          <w:bCs/>
        </w:rPr>
        <w:t>NFHS</w:t>
      </w:r>
      <w:r w:rsidRPr="00DB3E4F">
        <w:rPr>
          <w:rFonts w:ascii="Arial" w:hAnsi="Arial" w:cs="Arial"/>
        </w:rPr>
        <w:t xml:space="preserve"> - National Family Health Survey; </w:t>
      </w:r>
      <w:r w:rsidRPr="00DB3E4F">
        <w:rPr>
          <w:rFonts w:ascii="Arial" w:hAnsi="Arial" w:cs="Arial"/>
          <w:b/>
          <w:bCs/>
        </w:rPr>
        <w:t>SDGs</w:t>
      </w:r>
      <w:r w:rsidRPr="00DB3E4F">
        <w:rPr>
          <w:rFonts w:ascii="Arial" w:hAnsi="Arial" w:cs="Arial"/>
        </w:rPr>
        <w:t xml:space="preserve"> - Sustainable Development Goals; </w:t>
      </w:r>
      <w:r w:rsidRPr="00DB3E4F">
        <w:rPr>
          <w:rFonts w:ascii="Arial" w:hAnsi="Arial" w:cs="Arial"/>
          <w:b/>
          <w:bCs/>
        </w:rPr>
        <w:t>DHS</w:t>
      </w:r>
      <w:r w:rsidRPr="00DB3E4F">
        <w:rPr>
          <w:rFonts w:ascii="Arial" w:hAnsi="Arial" w:cs="Arial"/>
        </w:rPr>
        <w:t xml:space="preserve"> - Demographic and Health Survey; </w:t>
      </w:r>
      <w:r w:rsidRPr="00DB3E4F">
        <w:rPr>
          <w:rFonts w:ascii="Arial" w:hAnsi="Arial" w:cs="Arial"/>
          <w:b/>
          <w:bCs/>
        </w:rPr>
        <w:t>CEB</w:t>
      </w:r>
      <w:r w:rsidRPr="00DB3E4F">
        <w:rPr>
          <w:rFonts w:ascii="Arial" w:hAnsi="Arial" w:cs="Arial"/>
        </w:rPr>
        <w:t xml:space="preserve"> - Census Enumeration </w:t>
      </w:r>
      <w:r w:rsidR="00EB0F24" w:rsidRPr="00DB3E4F">
        <w:rPr>
          <w:rFonts w:ascii="Arial" w:hAnsi="Arial" w:cs="Arial"/>
        </w:rPr>
        <w:t>Blocks; PSU</w:t>
      </w:r>
      <w:r w:rsidRPr="00DB3E4F">
        <w:rPr>
          <w:rFonts w:ascii="Arial" w:hAnsi="Arial" w:cs="Arial"/>
        </w:rPr>
        <w:t xml:space="preserve"> - Primary Sampling Unit; </w:t>
      </w:r>
      <w:r w:rsidRPr="00DB3E4F">
        <w:rPr>
          <w:rFonts w:ascii="Arial" w:hAnsi="Arial" w:cs="Arial"/>
          <w:b/>
          <w:bCs/>
        </w:rPr>
        <w:t>LISA</w:t>
      </w:r>
      <w:r w:rsidRPr="00DB3E4F">
        <w:rPr>
          <w:rFonts w:ascii="Arial" w:hAnsi="Arial" w:cs="Arial"/>
        </w:rPr>
        <w:t xml:space="preserve"> - Local Indicator of Spatial Association; </w:t>
      </w:r>
      <w:r w:rsidRPr="00DB3E4F">
        <w:rPr>
          <w:rFonts w:ascii="Arial" w:hAnsi="Arial" w:cs="Arial"/>
          <w:b/>
          <w:bCs/>
        </w:rPr>
        <w:t>IIPS</w:t>
      </w:r>
      <w:r w:rsidRPr="00DB3E4F">
        <w:rPr>
          <w:rFonts w:ascii="Arial" w:hAnsi="Arial" w:cs="Arial"/>
        </w:rPr>
        <w:t xml:space="preserve"> - International Institute for Population Sciences</w:t>
      </w:r>
      <w:r w:rsidR="00503A81" w:rsidRPr="00DB3E4F">
        <w:rPr>
          <w:rFonts w:ascii="Arial" w:hAnsi="Arial" w:cs="Arial"/>
        </w:rPr>
        <w:t xml:space="preserve">; </w:t>
      </w:r>
      <w:r w:rsidR="00503A81" w:rsidRPr="00DB3E4F">
        <w:rPr>
          <w:rFonts w:ascii="Arial" w:hAnsi="Arial" w:cs="Arial"/>
          <w:b/>
          <w:bCs/>
        </w:rPr>
        <w:t>U5-</w:t>
      </w:r>
      <w:r w:rsidR="00503A81" w:rsidRPr="00DB3E4F">
        <w:rPr>
          <w:rFonts w:ascii="Arial" w:hAnsi="Arial" w:cs="Arial"/>
        </w:rPr>
        <w:t xml:space="preserve"> Under-five</w:t>
      </w:r>
      <w:r w:rsidR="00156B20" w:rsidRPr="00DB3E4F">
        <w:rPr>
          <w:rFonts w:ascii="Arial" w:hAnsi="Arial" w:cs="Arial"/>
        </w:rPr>
        <w:t>.</w:t>
      </w:r>
    </w:p>
    <w:p w14:paraId="3EAE3D8F" w14:textId="77777777" w:rsidR="00156B20" w:rsidRPr="00DB3E4F" w:rsidRDefault="00156B20" w:rsidP="00503A81">
      <w:pPr>
        <w:spacing w:after="0" w:line="360" w:lineRule="auto"/>
        <w:jc w:val="both"/>
        <w:rPr>
          <w:rFonts w:ascii="Arial" w:hAnsi="Arial" w:cs="Arial"/>
        </w:rPr>
      </w:pPr>
    </w:p>
    <w:p w14:paraId="25F387B9" w14:textId="77777777" w:rsidR="00FB31B5" w:rsidRPr="00DB3E4F" w:rsidRDefault="00FB31B5">
      <w:pPr>
        <w:spacing w:after="0" w:line="240" w:lineRule="auto"/>
        <w:rPr>
          <w:rFonts w:ascii="Arial" w:hAnsi="Arial" w:cs="Arial"/>
        </w:rPr>
      </w:pPr>
    </w:p>
    <w:p w14:paraId="0AAA91C3" w14:textId="2E2BBEE2" w:rsidR="00FB31B5" w:rsidRDefault="00FB31B5" w:rsidP="00FB31B5">
      <w:pPr>
        <w:spacing w:after="0" w:line="360" w:lineRule="auto"/>
        <w:jc w:val="both"/>
        <w:rPr>
          <w:rStyle w:val="Hyperlink"/>
          <w:rFonts w:ascii="Arial" w:hAnsi="Arial" w:cs="Arial"/>
          <w:shd w:val="clear" w:color="auto" w:fill="FFFFFF"/>
        </w:rPr>
      </w:pPr>
      <w:r w:rsidRPr="00DB3E4F">
        <w:rPr>
          <w:rFonts w:ascii="Arial" w:hAnsi="Arial" w:cs="Arial"/>
          <w:b/>
          <w:bCs/>
          <w:color w:val="222222"/>
          <w:shd w:val="clear" w:color="auto" w:fill="FFFFFF"/>
        </w:rPr>
        <w:t>Ethic</w:t>
      </w:r>
      <w:r w:rsidR="00156B20" w:rsidRPr="00DB3E4F">
        <w:rPr>
          <w:rFonts w:ascii="Arial" w:hAnsi="Arial" w:cs="Arial"/>
          <w:b/>
          <w:bCs/>
          <w:color w:val="222222"/>
          <w:shd w:val="clear" w:color="auto" w:fill="FFFFFF"/>
        </w:rPr>
        <w:t>al</w:t>
      </w:r>
      <w:r w:rsidRPr="00DB3E4F">
        <w:rPr>
          <w:rFonts w:ascii="Arial" w:hAnsi="Arial" w:cs="Arial"/>
          <w:b/>
          <w:bCs/>
          <w:color w:val="222222"/>
          <w:shd w:val="clear" w:color="auto" w:fill="FFFFFF"/>
        </w:rPr>
        <w:t xml:space="preserve"> approval:</w:t>
      </w:r>
      <w:r w:rsidRPr="00DB3E4F">
        <w:rPr>
          <w:rFonts w:ascii="Arial" w:hAnsi="Arial" w:cs="Arial"/>
          <w:color w:val="222222"/>
          <w:shd w:val="clear" w:color="auto" w:fill="FFFFFF"/>
        </w:rPr>
        <w:t xml:space="preserve"> No formal ethics approval is required for this study, as it is based on secondary data and the survey data are </w:t>
      </w:r>
      <w:r w:rsidR="00156B20" w:rsidRPr="00DB3E4F">
        <w:rPr>
          <w:rFonts w:ascii="Arial" w:hAnsi="Arial" w:cs="Arial"/>
          <w:color w:val="222222"/>
          <w:shd w:val="clear" w:color="auto" w:fill="FFFFFF"/>
        </w:rPr>
        <w:t>publicly available</w:t>
      </w:r>
      <w:r w:rsidRPr="00DB3E4F">
        <w:rPr>
          <w:rFonts w:ascii="Arial" w:hAnsi="Arial" w:cs="Arial"/>
          <w:color w:val="222222"/>
          <w:shd w:val="clear" w:color="auto" w:fill="FFFFFF"/>
        </w:rPr>
        <w:t xml:space="preserve">. The data can be extracted from: </w:t>
      </w:r>
      <w:hyperlink r:id="rId14" w:history="1">
        <w:r w:rsidRPr="00DB3E4F">
          <w:rPr>
            <w:rStyle w:val="Hyperlink"/>
            <w:rFonts w:ascii="Arial" w:hAnsi="Arial" w:cs="Arial"/>
            <w:shd w:val="clear" w:color="auto" w:fill="FFFFFF"/>
          </w:rPr>
          <w:t>https://dhsprogram.com/Data/</w:t>
        </w:r>
      </w:hyperlink>
    </w:p>
    <w:p w14:paraId="5F46AD28" w14:textId="1F02525A" w:rsidR="000C4FD6" w:rsidRDefault="000C4FD6" w:rsidP="00FB31B5">
      <w:pPr>
        <w:spacing w:after="0" w:line="360" w:lineRule="auto"/>
        <w:jc w:val="both"/>
        <w:rPr>
          <w:rFonts w:ascii="Arial" w:hAnsi="Arial" w:cs="Arial"/>
          <w:color w:val="222222"/>
          <w:shd w:val="clear" w:color="auto" w:fill="FFFFFF"/>
        </w:rPr>
      </w:pPr>
    </w:p>
    <w:p w14:paraId="0995401F" w14:textId="77777777" w:rsidR="000C4FD6" w:rsidRPr="00DB3E4F" w:rsidRDefault="000C4FD6" w:rsidP="000C4FD6">
      <w:pPr>
        <w:spacing w:before="240" w:after="0"/>
        <w:jc w:val="both"/>
        <w:rPr>
          <w:rFonts w:ascii="Arial" w:hAnsi="Arial" w:cs="Arial"/>
          <w:b/>
          <w:bCs/>
          <w:color w:val="222222"/>
          <w:shd w:val="clear" w:color="auto" w:fill="FFFFFF"/>
        </w:rPr>
      </w:pPr>
      <w:r w:rsidRPr="00DB3E4F">
        <w:rPr>
          <w:rFonts w:ascii="Arial" w:hAnsi="Arial" w:cs="Arial"/>
          <w:b/>
          <w:bCs/>
          <w:color w:val="222222"/>
          <w:shd w:val="clear" w:color="auto" w:fill="FFFFFF"/>
        </w:rPr>
        <w:t>Declarations:</w:t>
      </w:r>
    </w:p>
    <w:p w14:paraId="79B8FF0B" w14:textId="77777777" w:rsidR="000C4FD6" w:rsidRPr="00DB3E4F" w:rsidRDefault="000C4FD6" w:rsidP="000C4FD6">
      <w:pPr>
        <w:spacing w:after="0"/>
        <w:jc w:val="both"/>
        <w:rPr>
          <w:rFonts w:ascii="Arial" w:hAnsi="Arial" w:cs="Arial"/>
          <w:color w:val="222222"/>
          <w:shd w:val="clear" w:color="auto" w:fill="FFFFFF"/>
        </w:rPr>
      </w:pPr>
      <w:bookmarkStart w:id="25" w:name="_GoBack"/>
      <w:bookmarkEnd w:id="25"/>
      <w:r w:rsidRPr="00DB3E4F">
        <w:rPr>
          <w:rFonts w:ascii="Arial" w:hAnsi="Arial" w:cs="Arial"/>
          <w:b/>
          <w:bCs/>
          <w:i/>
          <w:iCs/>
          <w:color w:val="222222"/>
          <w:shd w:val="clear" w:color="auto" w:fill="FFFFFF"/>
        </w:rPr>
        <w:t>Conflicts of interest/Competing interests:</w:t>
      </w:r>
      <w:r w:rsidRPr="00DB3E4F">
        <w:rPr>
          <w:rFonts w:ascii="Arial" w:hAnsi="Arial" w:cs="Arial"/>
          <w:b/>
          <w:bCs/>
          <w:color w:val="222222"/>
          <w:shd w:val="clear" w:color="auto" w:fill="FFFFFF"/>
        </w:rPr>
        <w:t xml:space="preserve"> </w:t>
      </w:r>
      <w:r w:rsidRPr="00DB3E4F">
        <w:rPr>
          <w:rFonts w:ascii="Arial" w:hAnsi="Arial" w:cs="Arial"/>
          <w:color w:val="222222"/>
          <w:shd w:val="clear" w:color="auto" w:fill="FFFFFF"/>
        </w:rPr>
        <w:t xml:space="preserve">Not Applicable </w:t>
      </w:r>
    </w:p>
    <w:p w14:paraId="491D5290" w14:textId="77777777" w:rsidR="000C4FD6" w:rsidRPr="00DB3E4F" w:rsidRDefault="000C4FD6" w:rsidP="000C4FD6">
      <w:pPr>
        <w:spacing w:after="0"/>
        <w:jc w:val="both"/>
        <w:rPr>
          <w:rFonts w:ascii="Arial" w:hAnsi="Arial" w:cs="Arial"/>
          <w:color w:val="222222"/>
          <w:shd w:val="clear" w:color="auto" w:fill="FFFFFF"/>
        </w:rPr>
      </w:pPr>
      <w:bookmarkStart w:id="26" w:name="_Hlk217990063"/>
      <w:r w:rsidRPr="00DB3E4F">
        <w:rPr>
          <w:rFonts w:ascii="Arial" w:hAnsi="Arial" w:cs="Arial"/>
          <w:b/>
          <w:bCs/>
          <w:i/>
          <w:iCs/>
          <w:color w:val="222222"/>
          <w:shd w:val="clear" w:color="auto" w:fill="FFFFFF"/>
        </w:rPr>
        <w:t>Ethics approval:</w:t>
      </w:r>
      <w:r w:rsidRPr="00DB3E4F">
        <w:rPr>
          <w:rFonts w:ascii="Arial" w:hAnsi="Arial" w:cs="Arial"/>
          <w:color w:val="222222"/>
          <w:shd w:val="clear" w:color="auto" w:fill="FFFFFF"/>
        </w:rPr>
        <w:t xml:space="preserve"> There is no formal ethics approval required for this particular study since the study is based on secondary data and the survey data is available in the public domain.</w:t>
      </w:r>
    </w:p>
    <w:p w14:paraId="04F54B0A" w14:textId="77777777" w:rsidR="000C4FD6" w:rsidRPr="00DB3E4F" w:rsidRDefault="000C4FD6" w:rsidP="000C4FD6">
      <w:pPr>
        <w:spacing w:after="0"/>
        <w:jc w:val="both"/>
        <w:rPr>
          <w:rFonts w:ascii="Arial" w:hAnsi="Arial" w:cs="Arial"/>
          <w:color w:val="222222"/>
          <w:shd w:val="clear" w:color="auto" w:fill="FFFFFF"/>
        </w:rPr>
      </w:pPr>
      <w:bookmarkStart w:id="27" w:name="_Hlk217990089"/>
      <w:bookmarkEnd w:id="26"/>
      <w:r w:rsidRPr="00DB3E4F">
        <w:rPr>
          <w:rFonts w:ascii="Arial" w:hAnsi="Arial" w:cs="Arial"/>
          <w:b/>
          <w:bCs/>
          <w:i/>
          <w:iCs/>
          <w:color w:val="222222"/>
          <w:shd w:val="clear" w:color="auto" w:fill="FFFFFF"/>
        </w:rPr>
        <w:t>Consent to participate:</w:t>
      </w:r>
      <w:r w:rsidRPr="00DB3E4F">
        <w:rPr>
          <w:rFonts w:ascii="Arial" w:hAnsi="Arial" w:cs="Arial"/>
          <w:color w:val="222222"/>
          <w:shd w:val="clear" w:color="auto" w:fill="FFFFFF"/>
        </w:rPr>
        <w:t xml:space="preserve"> Not Applicable </w:t>
      </w:r>
    </w:p>
    <w:p w14:paraId="514C6140" w14:textId="77777777" w:rsidR="000C4FD6" w:rsidRPr="00DB3E4F" w:rsidRDefault="000C4FD6" w:rsidP="000C4FD6">
      <w:pPr>
        <w:spacing w:after="0"/>
        <w:jc w:val="both"/>
        <w:rPr>
          <w:rFonts w:ascii="Arial" w:hAnsi="Arial" w:cs="Arial"/>
          <w:color w:val="222222"/>
          <w:shd w:val="clear" w:color="auto" w:fill="FFFFFF"/>
        </w:rPr>
      </w:pPr>
      <w:r w:rsidRPr="00DB3E4F">
        <w:rPr>
          <w:rFonts w:ascii="Arial" w:hAnsi="Arial" w:cs="Arial"/>
          <w:b/>
          <w:bCs/>
          <w:i/>
          <w:iCs/>
          <w:color w:val="222222"/>
          <w:shd w:val="clear" w:color="auto" w:fill="FFFFFF"/>
        </w:rPr>
        <w:t>Availability of data and material:</w:t>
      </w:r>
      <w:r w:rsidRPr="00DB3E4F">
        <w:rPr>
          <w:rFonts w:ascii="Arial" w:hAnsi="Arial" w:cs="Arial"/>
          <w:color w:val="222222"/>
          <w:shd w:val="clear" w:color="auto" w:fill="FFFFFF"/>
        </w:rPr>
        <w:t xml:space="preserve"> The data of a particular study is available in the public domain and can be extracted from: </w:t>
      </w:r>
      <w:hyperlink r:id="rId15" w:history="1">
        <w:r w:rsidRPr="00DB3E4F">
          <w:rPr>
            <w:rStyle w:val="Hyperlink"/>
            <w:rFonts w:ascii="Arial" w:hAnsi="Arial" w:cs="Arial"/>
            <w:shd w:val="clear" w:color="auto" w:fill="FFFFFF"/>
          </w:rPr>
          <w:t>https://dhsprogram.com/Data/</w:t>
        </w:r>
      </w:hyperlink>
      <w:r w:rsidRPr="00DB3E4F">
        <w:rPr>
          <w:rFonts w:ascii="Arial" w:hAnsi="Arial" w:cs="Arial"/>
          <w:color w:val="222222"/>
          <w:shd w:val="clear" w:color="auto" w:fill="FFFFFF"/>
        </w:rPr>
        <w:t xml:space="preserve"> </w:t>
      </w:r>
    </w:p>
    <w:p w14:paraId="7A3BAAF0" w14:textId="77777777" w:rsidR="000C4FD6" w:rsidRPr="00DB3E4F" w:rsidRDefault="000C4FD6" w:rsidP="000C4FD6">
      <w:pPr>
        <w:spacing w:after="0"/>
        <w:jc w:val="both"/>
        <w:rPr>
          <w:rFonts w:ascii="Arial" w:hAnsi="Arial" w:cs="Arial"/>
          <w:color w:val="222222"/>
          <w:shd w:val="clear" w:color="auto" w:fill="FFFFFF"/>
        </w:rPr>
      </w:pPr>
      <w:r w:rsidRPr="00DB3E4F">
        <w:rPr>
          <w:rFonts w:ascii="Arial" w:hAnsi="Arial" w:cs="Arial"/>
          <w:b/>
          <w:bCs/>
          <w:i/>
          <w:iCs/>
          <w:color w:val="222222"/>
          <w:shd w:val="clear" w:color="auto" w:fill="FFFFFF"/>
        </w:rPr>
        <w:t>Code availability:</w:t>
      </w:r>
      <w:r w:rsidRPr="00DB3E4F">
        <w:rPr>
          <w:rFonts w:ascii="Arial" w:hAnsi="Arial" w:cs="Arial"/>
          <w:color w:val="222222"/>
          <w:shd w:val="clear" w:color="auto" w:fill="FFFFFF"/>
        </w:rPr>
        <w:t xml:space="preserve"> Not Applicable </w:t>
      </w:r>
    </w:p>
    <w:bookmarkEnd w:id="27"/>
    <w:p w14:paraId="371DFF6B" w14:textId="77777777" w:rsidR="000C4FD6" w:rsidRPr="00DB3E4F" w:rsidRDefault="000C4FD6" w:rsidP="00FB31B5">
      <w:pPr>
        <w:spacing w:after="0" w:line="360" w:lineRule="auto"/>
        <w:jc w:val="both"/>
        <w:rPr>
          <w:rFonts w:ascii="Arial" w:hAnsi="Arial" w:cs="Arial"/>
          <w:color w:val="222222"/>
          <w:shd w:val="clear" w:color="auto" w:fill="FFFFFF"/>
        </w:rPr>
      </w:pPr>
    </w:p>
    <w:p w14:paraId="3E704974" w14:textId="7B55CF02" w:rsidR="009A4E77" w:rsidRPr="00DB3E4F" w:rsidRDefault="009A4E77">
      <w:pPr>
        <w:spacing w:after="0" w:line="240" w:lineRule="auto"/>
        <w:rPr>
          <w:rFonts w:ascii="Arial" w:hAnsi="Arial" w:cs="Arial"/>
        </w:rPr>
      </w:pPr>
      <w:r w:rsidRPr="00DB3E4F">
        <w:rPr>
          <w:rFonts w:ascii="Arial" w:hAnsi="Arial" w:cs="Arial"/>
        </w:rPr>
        <w:br w:type="page"/>
      </w:r>
    </w:p>
    <w:p w14:paraId="74BEB0F1" w14:textId="77777777" w:rsidR="009E70E1" w:rsidRPr="00DB3E4F" w:rsidRDefault="001442EF">
      <w:pPr>
        <w:spacing w:line="360" w:lineRule="auto"/>
        <w:jc w:val="both"/>
        <w:rPr>
          <w:rFonts w:ascii="Arial" w:hAnsi="Arial" w:cs="Arial"/>
          <w:b/>
          <w:bCs/>
        </w:rPr>
      </w:pPr>
      <w:r w:rsidRPr="00DB3E4F">
        <w:rPr>
          <w:rFonts w:ascii="Arial" w:hAnsi="Arial" w:cs="Arial"/>
          <w:b/>
          <w:bCs/>
        </w:rPr>
        <w:lastRenderedPageBreak/>
        <w:t>References:</w:t>
      </w:r>
    </w:p>
    <w:p w14:paraId="5B0E103F" w14:textId="77777777" w:rsidR="002F4826" w:rsidRPr="00DB3E4F" w:rsidRDefault="002F4826" w:rsidP="002F4826">
      <w:pPr>
        <w:ind w:hanging="284"/>
        <w:jc w:val="both"/>
        <w:rPr>
          <w:rFonts w:ascii="Arial" w:hAnsi="Arial" w:cs="Arial"/>
        </w:rPr>
      </w:pPr>
      <w:r w:rsidRPr="00DB3E4F">
        <w:rPr>
          <w:rFonts w:ascii="Arial" w:hAnsi="Arial" w:cs="Arial"/>
        </w:rPr>
        <w:t xml:space="preserve">Adhikary M, Mal P, Saikia N (2024) Exploring the link between particulate matter pollution and acute respiratory infection risk in children using generalized estimating equations analysis: A robust statistical approach. </w:t>
      </w:r>
      <w:r w:rsidRPr="00DB3E4F">
        <w:rPr>
          <w:rFonts w:ascii="Arial" w:hAnsi="Arial" w:cs="Arial"/>
          <w:i/>
          <w:iCs/>
        </w:rPr>
        <w:t>Environmental Health</w:t>
      </w:r>
      <w:r w:rsidRPr="00DB3E4F">
        <w:rPr>
          <w:rFonts w:ascii="Arial" w:hAnsi="Arial" w:cs="Arial"/>
        </w:rPr>
        <w:t xml:space="preserve"> 23(1): 12.</w:t>
      </w:r>
    </w:p>
    <w:p w14:paraId="45923939" w14:textId="77777777" w:rsidR="002F4826" w:rsidRPr="00DB3E4F" w:rsidRDefault="002F4826" w:rsidP="002F4826">
      <w:pPr>
        <w:ind w:hanging="284"/>
        <w:jc w:val="both"/>
        <w:rPr>
          <w:rFonts w:ascii="Arial" w:hAnsi="Arial" w:cs="Arial"/>
        </w:rPr>
      </w:pPr>
      <w:r w:rsidRPr="00DB3E4F">
        <w:rPr>
          <w:rFonts w:ascii="Arial" w:hAnsi="Arial" w:cs="Arial"/>
        </w:rPr>
        <w:t xml:space="preserve">Aftab A, Noor A, Aslam M (2022) Housing quality and its impact on acute respiratory infection (ARI) symptoms among children in Punjab, Pakistan. </w:t>
      </w:r>
      <w:r w:rsidRPr="00DB3E4F">
        <w:rPr>
          <w:rFonts w:ascii="Arial" w:hAnsi="Arial" w:cs="Arial"/>
          <w:i/>
          <w:iCs/>
        </w:rPr>
        <w:t>PLOS Global Public Health</w:t>
      </w:r>
      <w:r w:rsidRPr="00DB3E4F">
        <w:rPr>
          <w:rFonts w:ascii="Arial" w:hAnsi="Arial" w:cs="Arial"/>
        </w:rPr>
        <w:t xml:space="preserve"> 2(9): e0000949.</w:t>
      </w:r>
    </w:p>
    <w:p w14:paraId="15AA0E9C" w14:textId="77777777" w:rsidR="002F4826" w:rsidRPr="00DB3E4F" w:rsidRDefault="002F4826" w:rsidP="002F4826">
      <w:pPr>
        <w:ind w:hanging="284"/>
        <w:jc w:val="both"/>
        <w:rPr>
          <w:rFonts w:ascii="Arial" w:hAnsi="Arial" w:cs="Arial"/>
        </w:rPr>
      </w:pPr>
      <w:r w:rsidRPr="00DB3E4F">
        <w:rPr>
          <w:rFonts w:ascii="Arial" w:hAnsi="Arial" w:cs="Arial"/>
        </w:rPr>
        <w:t xml:space="preserve">Akinyemi JO, </w:t>
      </w:r>
      <w:proofErr w:type="spellStart"/>
      <w:r w:rsidRPr="00DB3E4F">
        <w:rPr>
          <w:rFonts w:ascii="Arial" w:hAnsi="Arial" w:cs="Arial"/>
        </w:rPr>
        <w:t>Morakinyo</w:t>
      </w:r>
      <w:proofErr w:type="spellEnd"/>
      <w:r w:rsidRPr="00DB3E4F">
        <w:rPr>
          <w:rFonts w:ascii="Arial" w:hAnsi="Arial" w:cs="Arial"/>
        </w:rPr>
        <w:t xml:space="preserve"> OM (2018) Household environment and symptoms of childhood acute respiratory tract infections in Nigeria, 2003–2013: A decade of progress and stagnation. </w:t>
      </w:r>
      <w:r w:rsidRPr="00DB3E4F">
        <w:rPr>
          <w:rFonts w:ascii="Arial" w:hAnsi="Arial" w:cs="Arial"/>
          <w:i/>
          <w:iCs/>
        </w:rPr>
        <w:t>BMC Infectious Diseases</w:t>
      </w:r>
      <w:r w:rsidRPr="00DB3E4F">
        <w:rPr>
          <w:rFonts w:ascii="Arial" w:hAnsi="Arial" w:cs="Arial"/>
        </w:rPr>
        <w:t xml:space="preserve"> 18: 1–12.</w:t>
      </w:r>
    </w:p>
    <w:p w14:paraId="37FF346A" w14:textId="77777777" w:rsidR="002F4826" w:rsidRPr="00DB3E4F" w:rsidRDefault="002F4826" w:rsidP="002F4826">
      <w:pPr>
        <w:ind w:hanging="284"/>
        <w:jc w:val="both"/>
        <w:rPr>
          <w:rFonts w:ascii="Arial" w:hAnsi="Arial" w:cs="Arial"/>
        </w:rPr>
      </w:pPr>
      <w:proofErr w:type="spellStart"/>
      <w:r w:rsidRPr="00DB3E4F">
        <w:rPr>
          <w:rFonts w:ascii="Arial" w:hAnsi="Arial" w:cs="Arial"/>
        </w:rPr>
        <w:t>Anselin</w:t>
      </w:r>
      <w:proofErr w:type="spellEnd"/>
      <w:r w:rsidRPr="00DB3E4F">
        <w:rPr>
          <w:rFonts w:ascii="Arial" w:hAnsi="Arial" w:cs="Arial"/>
        </w:rPr>
        <w:t xml:space="preserve"> L (2013) </w:t>
      </w:r>
      <w:r w:rsidRPr="00DB3E4F">
        <w:rPr>
          <w:rFonts w:ascii="Arial" w:hAnsi="Arial" w:cs="Arial"/>
          <w:i/>
          <w:iCs/>
        </w:rPr>
        <w:t>Spatial econometrics: Methods and models</w:t>
      </w:r>
      <w:r w:rsidRPr="00DB3E4F">
        <w:rPr>
          <w:rFonts w:ascii="Arial" w:hAnsi="Arial" w:cs="Arial"/>
        </w:rPr>
        <w:t>. Vol. 4. Springer Science &amp; Business Media.</w:t>
      </w:r>
    </w:p>
    <w:p w14:paraId="548A93C2" w14:textId="77777777" w:rsidR="002F4826" w:rsidRPr="00DB3E4F" w:rsidRDefault="002F4826" w:rsidP="002F4826">
      <w:pPr>
        <w:ind w:hanging="284"/>
        <w:jc w:val="both"/>
        <w:rPr>
          <w:rFonts w:ascii="Arial" w:hAnsi="Arial" w:cs="Arial"/>
        </w:rPr>
      </w:pPr>
      <w:r w:rsidRPr="00DB3E4F">
        <w:rPr>
          <w:rFonts w:ascii="Arial" w:hAnsi="Arial" w:cs="Arial"/>
        </w:rPr>
        <w:t xml:space="preserve">Balasubramani K, Prasad KA, Kodali NK, Abdul Rasheed NK, Chellappan S, Sarma DK, Balabaskaran Nina P (2022) Spatial epidemiology of acute respiratory infections in children under 5 years and associated risk factors in India: District-level analysis of health, household, and environmental datasets. </w:t>
      </w:r>
      <w:r w:rsidRPr="00DB3E4F">
        <w:rPr>
          <w:rFonts w:ascii="Arial" w:hAnsi="Arial" w:cs="Arial"/>
          <w:i/>
          <w:iCs/>
        </w:rPr>
        <w:t>Frontiers in Public Health</w:t>
      </w:r>
      <w:r w:rsidRPr="00DB3E4F">
        <w:rPr>
          <w:rFonts w:ascii="Arial" w:hAnsi="Arial" w:cs="Arial"/>
        </w:rPr>
        <w:t xml:space="preserve"> 10: 906248.</w:t>
      </w:r>
    </w:p>
    <w:p w14:paraId="63535DBB" w14:textId="77777777" w:rsidR="002F4826" w:rsidRPr="00DB3E4F" w:rsidRDefault="002F4826" w:rsidP="002F4826">
      <w:pPr>
        <w:ind w:hanging="284"/>
        <w:jc w:val="both"/>
        <w:rPr>
          <w:rFonts w:ascii="Arial" w:hAnsi="Arial" w:cs="Arial"/>
        </w:rPr>
      </w:pPr>
      <w:proofErr w:type="spellStart"/>
      <w:r w:rsidRPr="00DB3E4F">
        <w:rPr>
          <w:rFonts w:ascii="Arial" w:hAnsi="Arial" w:cs="Arial"/>
        </w:rPr>
        <w:t>Bivand</w:t>
      </w:r>
      <w:proofErr w:type="spellEnd"/>
      <w:r w:rsidRPr="00DB3E4F">
        <w:rPr>
          <w:rFonts w:ascii="Arial" w:hAnsi="Arial" w:cs="Arial"/>
        </w:rPr>
        <w:t xml:space="preserve"> R, Altman M, </w:t>
      </w:r>
      <w:proofErr w:type="spellStart"/>
      <w:r w:rsidRPr="00DB3E4F">
        <w:rPr>
          <w:rFonts w:ascii="Arial" w:hAnsi="Arial" w:cs="Arial"/>
        </w:rPr>
        <w:t>Anselin</w:t>
      </w:r>
      <w:proofErr w:type="spellEnd"/>
      <w:r w:rsidRPr="00DB3E4F">
        <w:rPr>
          <w:rFonts w:ascii="Arial" w:hAnsi="Arial" w:cs="Arial"/>
        </w:rPr>
        <w:t xml:space="preserve"> L, </w:t>
      </w:r>
      <w:proofErr w:type="spellStart"/>
      <w:r w:rsidRPr="00DB3E4F">
        <w:rPr>
          <w:rFonts w:ascii="Arial" w:hAnsi="Arial" w:cs="Arial"/>
        </w:rPr>
        <w:t>Assunção</w:t>
      </w:r>
      <w:proofErr w:type="spellEnd"/>
      <w:r w:rsidRPr="00DB3E4F">
        <w:rPr>
          <w:rFonts w:ascii="Arial" w:hAnsi="Arial" w:cs="Arial"/>
        </w:rPr>
        <w:t xml:space="preserve"> R (2015) Spatial dependence: Weighting schemes, statistics and models. </w:t>
      </w:r>
      <w:r w:rsidRPr="00DB3E4F">
        <w:rPr>
          <w:rFonts w:ascii="Arial" w:hAnsi="Arial" w:cs="Arial"/>
          <w:i/>
          <w:iCs/>
        </w:rPr>
        <w:t>White Paper</w:t>
      </w:r>
      <w:r w:rsidRPr="00DB3E4F">
        <w:rPr>
          <w:rFonts w:ascii="Arial" w:hAnsi="Arial" w:cs="Arial"/>
        </w:rPr>
        <w:t xml:space="preserve"> 8–10.</w:t>
      </w:r>
    </w:p>
    <w:p w14:paraId="103FAA20" w14:textId="77777777" w:rsidR="002F4826" w:rsidRPr="00DB3E4F" w:rsidRDefault="002F4826" w:rsidP="002F4826">
      <w:pPr>
        <w:ind w:hanging="284"/>
        <w:jc w:val="both"/>
        <w:rPr>
          <w:rFonts w:ascii="Arial" w:hAnsi="Arial" w:cs="Arial"/>
        </w:rPr>
      </w:pPr>
      <w:r w:rsidRPr="00DB3E4F">
        <w:rPr>
          <w:rFonts w:ascii="Arial" w:hAnsi="Arial" w:cs="Arial"/>
        </w:rPr>
        <w:t xml:space="preserve">Chhabra SK, Chhabra P, Rajpal S, Gupta RK (2001) Ambient air pollution and chronic respiratory morbidity in Delhi. </w:t>
      </w:r>
      <w:r w:rsidRPr="00DB3E4F">
        <w:rPr>
          <w:rFonts w:ascii="Arial" w:hAnsi="Arial" w:cs="Arial"/>
          <w:i/>
          <w:iCs/>
        </w:rPr>
        <w:t>Archives of Environmental Health</w:t>
      </w:r>
      <w:r w:rsidRPr="00DB3E4F">
        <w:rPr>
          <w:rFonts w:ascii="Arial" w:hAnsi="Arial" w:cs="Arial"/>
        </w:rPr>
        <w:t xml:space="preserve"> 56(1): 58–64.</w:t>
      </w:r>
    </w:p>
    <w:p w14:paraId="756E4345" w14:textId="77777777" w:rsidR="002F4826" w:rsidRPr="00DB3E4F" w:rsidRDefault="002F4826" w:rsidP="002F4826">
      <w:pPr>
        <w:ind w:hanging="284"/>
        <w:jc w:val="both"/>
        <w:rPr>
          <w:rFonts w:ascii="Arial" w:hAnsi="Arial" w:cs="Arial"/>
        </w:rPr>
      </w:pPr>
      <w:r w:rsidRPr="00DB3E4F">
        <w:rPr>
          <w:rFonts w:ascii="Arial" w:hAnsi="Arial" w:cs="Arial"/>
        </w:rPr>
        <w:t xml:space="preserve">Frese T, Klauss S, Herrmann K, </w:t>
      </w:r>
      <w:proofErr w:type="spellStart"/>
      <w:r w:rsidRPr="00DB3E4F">
        <w:rPr>
          <w:rFonts w:ascii="Arial" w:hAnsi="Arial" w:cs="Arial"/>
        </w:rPr>
        <w:t>Sandholzer</w:t>
      </w:r>
      <w:proofErr w:type="spellEnd"/>
      <w:r w:rsidRPr="00DB3E4F">
        <w:rPr>
          <w:rFonts w:ascii="Arial" w:hAnsi="Arial" w:cs="Arial"/>
        </w:rPr>
        <w:t xml:space="preserve"> H (2011) Children and adolescents as patients in general practice: The reasons for encounter. </w:t>
      </w:r>
      <w:r w:rsidRPr="00DB3E4F">
        <w:rPr>
          <w:rFonts w:ascii="Arial" w:hAnsi="Arial" w:cs="Arial"/>
          <w:i/>
          <w:iCs/>
        </w:rPr>
        <w:t>Journal of Clinical Medicine Research</w:t>
      </w:r>
      <w:r w:rsidRPr="00DB3E4F">
        <w:rPr>
          <w:rFonts w:ascii="Arial" w:hAnsi="Arial" w:cs="Arial"/>
        </w:rPr>
        <w:t xml:space="preserve"> 3(4): 177.</w:t>
      </w:r>
    </w:p>
    <w:p w14:paraId="2217B05E" w14:textId="77777777" w:rsidR="002F4826" w:rsidRPr="00DB3E4F" w:rsidRDefault="002F4826" w:rsidP="002F4826">
      <w:pPr>
        <w:ind w:hanging="284"/>
        <w:jc w:val="both"/>
        <w:rPr>
          <w:rFonts w:ascii="Arial" w:hAnsi="Arial" w:cs="Arial"/>
        </w:rPr>
      </w:pPr>
      <w:r w:rsidRPr="00DB3E4F">
        <w:rPr>
          <w:rFonts w:ascii="Arial" w:hAnsi="Arial" w:cs="Arial"/>
        </w:rPr>
        <w:t xml:space="preserve">Ghosh K, Chakraborty AS, </w:t>
      </w:r>
      <w:proofErr w:type="spellStart"/>
      <w:r w:rsidRPr="00DB3E4F">
        <w:rPr>
          <w:rFonts w:ascii="Arial" w:hAnsi="Arial" w:cs="Arial"/>
        </w:rPr>
        <w:t>SenGupta</w:t>
      </w:r>
      <w:proofErr w:type="spellEnd"/>
      <w:r w:rsidRPr="00DB3E4F">
        <w:rPr>
          <w:rFonts w:ascii="Arial" w:hAnsi="Arial" w:cs="Arial"/>
        </w:rPr>
        <w:t xml:space="preserve"> S (2023) Identifying spatial clustering of diarrhoea among children under 5 years across 707 districts in India: A cross-sectional study. </w:t>
      </w:r>
      <w:r w:rsidRPr="00DB3E4F">
        <w:rPr>
          <w:rFonts w:ascii="Arial" w:hAnsi="Arial" w:cs="Arial"/>
          <w:i/>
          <w:iCs/>
        </w:rPr>
        <w:t xml:space="preserve">BMC </w:t>
      </w:r>
      <w:proofErr w:type="spellStart"/>
      <w:r w:rsidRPr="00DB3E4F">
        <w:rPr>
          <w:rFonts w:ascii="Arial" w:hAnsi="Arial" w:cs="Arial"/>
          <w:i/>
          <w:iCs/>
        </w:rPr>
        <w:t>Pediatrics</w:t>
      </w:r>
      <w:proofErr w:type="spellEnd"/>
      <w:r w:rsidRPr="00DB3E4F">
        <w:rPr>
          <w:rFonts w:ascii="Arial" w:hAnsi="Arial" w:cs="Arial"/>
        </w:rPr>
        <w:t xml:space="preserve"> 23(1): 272.</w:t>
      </w:r>
    </w:p>
    <w:p w14:paraId="01D5DB32" w14:textId="77777777" w:rsidR="002F4826" w:rsidRPr="00DB3E4F" w:rsidRDefault="002F4826" w:rsidP="002F4826">
      <w:pPr>
        <w:ind w:hanging="284"/>
        <w:jc w:val="both"/>
        <w:rPr>
          <w:rFonts w:ascii="Arial" w:hAnsi="Arial" w:cs="Arial"/>
        </w:rPr>
      </w:pPr>
      <w:r w:rsidRPr="00DB3E4F">
        <w:rPr>
          <w:rFonts w:ascii="Arial" w:hAnsi="Arial" w:cs="Arial"/>
        </w:rPr>
        <w:t xml:space="preserve">Ghosh K, Dhillon P, Agrawal G (2020) Prevalence and detecting spatial clustering of diabetes at the district level in India. </w:t>
      </w:r>
      <w:r w:rsidRPr="00DB3E4F">
        <w:rPr>
          <w:rFonts w:ascii="Arial" w:hAnsi="Arial" w:cs="Arial"/>
          <w:i/>
          <w:iCs/>
        </w:rPr>
        <w:t>Journal of Public Health</w:t>
      </w:r>
      <w:r w:rsidRPr="00DB3E4F">
        <w:rPr>
          <w:rFonts w:ascii="Arial" w:hAnsi="Arial" w:cs="Arial"/>
        </w:rPr>
        <w:t xml:space="preserve"> 28: 535–545.</w:t>
      </w:r>
    </w:p>
    <w:p w14:paraId="0446C6DD" w14:textId="77777777" w:rsidR="002F4826" w:rsidRPr="00DB3E4F" w:rsidRDefault="002F4826" w:rsidP="002F4826">
      <w:pPr>
        <w:ind w:hanging="284"/>
        <w:jc w:val="both"/>
        <w:rPr>
          <w:rFonts w:ascii="Arial" w:hAnsi="Arial" w:cs="Arial"/>
        </w:rPr>
      </w:pPr>
      <w:r w:rsidRPr="00DB3E4F">
        <w:rPr>
          <w:rFonts w:ascii="Arial" w:hAnsi="Arial" w:cs="Arial"/>
        </w:rPr>
        <w:t xml:space="preserve">Hasan MM, Saha KK, Yunus RM, Alam K (2022) Prevalence of acute respiratory infections among children in India: Regional inequalities and risk factors. </w:t>
      </w:r>
      <w:r w:rsidRPr="00DB3E4F">
        <w:rPr>
          <w:rFonts w:ascii="Arial" w:hAnsi="Arial" w:cs="Arial"/>
          <w:i/>
          <w:iCs/>
        </w:rPr>
        <w:t>Maternal and Child Health Journal</w:t>
      </w:r>
      <w:r w:rsidRPr="00DB3E4F">
        <w:rPr>
          <w:rFonts w:ascii="Arial" w:hAnsi="Arial" w:cs="Arial"/>
        </w:rPr>
        <w:t xml:space="preserve"> 26(7): 1594–1602.</w:t>
      </w:r>
    </w:p>
    <w:p w14:paraId="2A47BA85" w14:textId="77777777" w:rsidR="002F4826" w:rsidRPr="00DB3E4F" w:rsidRDefault="002F4826" w:rsidP="002F4826">
      <w:pPr>
        <w:ind w:hanging="284"/>
        <w:jc w:val="both"/>
        <w:rPr>
          <w:rFonts w:ascii="Arial" w:hAnsi="Arial" w:cs="Arial"/>
        </w:rPr>
      </w:pPr>
      <w:r w:rsidRPr="00DB3E4F">
        <w:rPr>
          <w:rFonts w:ascii="Arial" w:hAnsi="Arial" w:cs="Arial"/>
        </w:rPr>
        <w:t xml:space="preserve">International Institute for Population Sciences (IIPS) (2021) </w:t>
      </w:r>
      <w:r w:rsidRPr="00DB3E4F">
        <w:rPr>
          <w:rFonts w:ascii="Arial" w:hAnsi="Arial" w:cs="Arial"/>
          <w:i/>
          <w:iCs/>
        </w:rPr>
        <w:t>National Family Health Survey (NFHS-5), 2019–21: India</w:t>
      </w:r>
      <w:r w:rsidRPr="00DB3E4F">
        <w:rPr>
          <w:rFonts w:ascii="Arial" w:hAnsi="Arial" w:cs="Arial"/>
        </w:rPr>
        <w:t>. IIPS.</w:t>
      </w:r>
    </w:p>
    <w:p w14:paraId="1CCB4D90" w14:textId="77777777" w:rsidR="002F4826" w:rsidRPr="00DB3E4F" w:rsidRDefault="002F4826" w:rsidP="002F4826">
      <w:pPr>
        <w:ind w:hanging="284"/>
        <w:jc w:val="both"/>
        <w:rPr>
          <w:rFonts w:ascii="Arial" w:hAnsi="Arial" w:cs="Arial"/>
        </w:rPr>
      </w:pPr>
      <w:r w:rsidRPr="00DB3E4F">
        <w:rPr>
          <w:rFonts w:ascii="Arial" w:hAnsi="Arial" w:cs="Arial"/>
        </w:rPr>
        <w:t xml:space="preserve">Kai MW, </w:t>
      </w:r>
      <w:proofErr w:type="spellStart"/>
      <w:r w:rsidRPr="00DB3E4F">
        <w:rPr>
          <w:rFonts w:ascii="Arial" w:hAnsi="Arial" w:cs="Arial"/>
        </w:rPr>
        <w:t>Tomayahu</w:t>
      </w:r>
      <w:proofErr w:type="spellEnd"/>
      <w:r w:rsidRPr="00DB3E4F">
        <w:rPr>
          <w:rFonts w:ascii="Arial" w:hAnsi="Arial" w:cs="Arial"/>
        </w:rPr>
        <w:t xml:space="preserve"> MB, </w:t>
      </w:r>
      <w:proofErr w:type="spellStart"/>
      <w:r w:rsidRPr="00DB3E4F">
        <w:rPr>
          <w:rFonts w:ascii="Arial" w:hAnsi="Arial" w:cs="Arial"/>
        </w:rPr>
        <w:t>Syamsidar</w:t>
      </w:r>
      <w:proofErr w:type="spellEnd"/>
      <w:r w:rsidRPr="00DB3E4F">
        <w:rPr>
          <w:rFonts w:ascii="Arial" w:hAnsi="Arial" w:cs="Arial"/>
        </w:rPr>
        <w:t xml:space="preserve"> S, </w:t>
      </w:r>
      <w:proofErr w:type="spellStart"/>
      <w:r w:rsidRPr="00DB3E4F">
        <w:rPr>
          <w:rFonts w:ascii="Arial" w:hAnsi="Arial" w:cs="Arial"/>
        </w:rPr>
        <w:t>Anggraini</w:t>
      </w:r>
      <w:proofErr w:type="spellEnd"/>
      <w:r w:rsidRPr="00DB3E4F">
        <w:rPr>
          <w:rFonts w:ascii="Arial" w:hAnsi="Arial" w:cs="Arial"/>
        </w:rPr>
        <w:t xml:space="preserve"> R (2019) The relationship of low birth weight with acute respiratory infection (ARI) among toddlers. In: </w:t>
      </w:r>
      <w:r w:rsidRPr="00DB3E4F">
        <w:rPr>
          <w:rFonts w:ascii="Arial" w:hAnsi="Arial" w:cs="Arial"/>
          <w:i/>
          <w:iCs/>
        </w:rPr>
        <w:t>Proceedings of the Surabaya International Health Conference 2019</w:t>
      </w:r>
      <w:r w:rsidRPr="00DB3E4F">
        <w:rPr>
          <w:rFonts w:ascii="Arial" w:hAnsi="Arial" w:cs="Arial"/>
        </w:rPr>
        <w:t xml:space="preserve"> 1(1): 268–276.</w:t>
      </w:r>
    </w:p>
    <w:p w14:paraId="3E6B3BF5" w14:textId="77777777" w:rsidR="002F4826" w:rsidRPr="00DB3E4F" w:rsidRDefault="002F4826" w:rsidP="002F4826">
      <w:pPr>
        <w:ind w:hanging="284"/>
        <w:jc w:val="both"/>
        <w:rPr>
          <w:rFonts w:ascii="Arial" w:hAnsi="Arial" w:cs="Arial"/>
        </w:rPr>
      </w:pPr>
      <w:r w:rsidRPr="00DB3E4F">
        <w:rPr>
          <w:rFonts w:ascii="Arial" w:hAnsi="Arial" w:cs="Arial"/>
        </w:rPr>
        <w:t xml:space="preserve">Kumar SG, Majumdar A, Kumar V, Naik BN, Selvaraj K, Balajee K (2015) Prevalence of acute respiratory infection among under-five children in urban and rural areas of Puducherry, India. </w:t>
      </w:r>
      <w:r w:rsidRPr="00DB3E4F">
        <w:rPr>
          <w:rFonts w:ascii="Arial" w:hAnsi="Arial" w:cs="Arial"/>
          <w:i/>
          <w:iCs/>
        </w:rPr>
        <w:t>Journal of Natural Science, Biology and Medicine</w:t>
      </w:r>
      <w:r w:rsidRPr="00DB3E4F">
        <w:rPr>
          <w:rFonts w:ascii="Arial" w:hAnsi="Arial" w:cs="Arial"/>
        </w:rPr>
        <w:t xml:space="preserve"> 6(1): 3–6.</w:t>
      </w:r>
    </w:p>
    <w:p w14:paraId="32E7EF66" w14:textId="77777777" w:rsidR="002F4826" w:rsidRPr="00DB3E4F" w:rsidRDefault="002F4826" w:rsidP="002F4826">
      <w:pPr>
        <w:ind w:hanging="284"/>
        <w:jc w:val="both"/>
        <w:rPr>
          <w:rFonts w:ascii="Arial" w:hAnsi="Arial" w:cs="Arial"/>
        </w:rPr>
      </w:pPr>
      <w:r w:rsidRPr="00DB3E4F">
        <w:rPr>
          <w:rFonts w:ascii="Arial" w:hAnsi="Arial" w:cs="Arial"/>
        </w:rPr>
        <w:t xml:space="preserve">Lukšić I, Kearns PK, Scott F, Rudan I, Campbell H, Nair H (2013) Viral </w:t>
      </w:r>
      <w:proofErr w:type="spellStart"/>
      <w:r w:rsidRPr="00DB3E4F">
        <w:rPr>
          <w:rFonts w:ascii="Arial" w:hAnsi="Arial" w:cs="Arial"/>
        </w:rPr>
        <w:t>etiology</w:t>
      </w:r>
      <w:proofErr w:type="spellEnd"/>
      <w:r w:rsidRPr="00DB3E4F">
        <w:rPr>
          <w:rFonts w:ascii="Arial" w:hAnsi="Arial" w:cs="Arial"/>
        </w:rPr>
        <w:t xml:space="preserve"> of hospitalized acute lower respiratory infections in children under 5 years of age: A systematic review and meta-analysis. </w:t>
      </w:r>
      <w:r w:rsidRPr="00DB3E4F">
        <w:rPr>
          <w:rFonts w:ascii="Arial" w:hAnsi="Arial" w:cs="Arial"/>
          <w:i/>
          <w:iCs/>
        </w:rPr>
        <w:t>Croatian Medical Journal</w:t>
      </w:r>
      <w:r w:rsidRPr="00DB3E4F">
        <w:rPr>
          <w:rFonts w:ascii="Arial" w:hAnsi="Arial" w:cs="Arial"/>
        </w:rPr>
        <w:t xml:space="preserve"> 54(2): 122–134.</w:t>
      </w:r>
    </w:p>
    <w:p w14:paraId="06D7DF7E" w14:textId="77777777" w:rsidR="002F4826" w:rsidRPr="00DB3E4F" w:rsidRDefault="002F4826" w:rsidP="002F4826">
      <w:pPr>
        <w:ind w:hanging="284"/>
        <w:jc w:val="both"/>
        <w:rPr>
          <w:rFonts w:ascii="Arial" w:hAnsi="Arial" w:cs="Arial"/>
        </w:rPr>
      </w:pPr>
      <w:proofErr w:type="spellStart"/>
      <w:r w:rsidRPr="00DB3E4F">
        <w:rPr>
          <w:rFonts w:ascii="Arial" w:hAnsi="Arial" w:cs="Arial"/>
        </w:rPr>
        <w:lastRenderedPageBreak/>
        <w:t>Merera</w:t>
      </w:r>
      <w:proofErr w:type="spellEnd"/>
      <w:r w:rsidRPr="00DB3E4F">
        <w:rPr>
          <w:rFonts w:ascii="Arial" w:hAnsi="Arial" w:cs="Arial"/>
        </w:rPr>
        <w:t xml:space="preserve"> AM (2021) Determinants of acute respiratory infection among under-five children in rural Ethiopia. </w:t>
      </w:r>
      <w:r w:rsidRPr="00DB3E4F">
        <w:rPr>
          <w:rFonts w:ascii="Arial" w:hAnsi="Arial" w:cs="Arial"/>
          <w:i/>
          <w:iCs/>
        </w:rPr>
        <w:t>BMC Infectious Diseases</w:t>
      </w:r>
      <w:r w:rsidRPr="00DB3E4F">
        <w:rPr>
          <w:rFonts w:ascii="Arial" w:hAnsi="Arial" w:cs="Arial"/>
        </w:rPr>
        <w:t xml:space="preserve"> 21: 1–12.</w:t>
      </w:r>
    </w:p>
    <w:p w14:paraId="22A5AA89" w14:textId="77777777" w:rsidR="002F4826" w:rsidRPr="00DB3E4F" w:rsidRDefault="002F4826" w:rsidP="002F4826">
      <w:pPr>
        <w:ind w:hanging="284"/>
        <w:jc w:val="both"/>
        <w:rPr>
          <w:rFonts w:ascii="Arial" w:hAnsi="Arial" w:cs="Arial"/>
        </w:rPr>
      </w:pPr>
      <w:r w:rsidRPr="00DB3E4F">
        <w:rPr>
          <w:rFonts w:ascii="Arial" w:hAnsi="Arial" w:cs="Arial"/>
        </w:rPr>
        <w:t xml:space="preserve">Midi H, Sarkar SK, Rana S (2010) Collinearity diagnostics of binary logistic regression model. </w:t>
      </w:r>
      <w:r w:rsidRPr="00DB3E4F">
        <w:rPr>
          <w:rFonts w:ascii="Arial" w:hAnsi="Arial" w:cs="Arial"/>
          <w:i/>
          <w:iCs/>
        </w:rPr>
        <w:t>Journal of Interdisciplinary Mathematics</w:t>
      </w:r>
      <w:r w:rsidRPr="00DB3E4F">
        <w:rPr>
          <w:rFonts w:ascii="Arial" w:hAnsi="Arial" w:cs="Arial"/>
        </w:rPr>
        <w:t xml:space="preserve"> 13(3): 253–267.</w:t>
      </w:r>
      <w:r w:rsidRPr="00DB3E4F">
        <w:rPr>
          <w:rFonts w:ascii="Arial" w:hAnsi="Arial" w:cs="Arial"/>
        </w:rPr>
        <w:br/>
        <w:t xml:space="preserve">Nidhi, Jayaraman G (2007) Air quality and respiratory health in Delhi. </w:t>
      </w:r>
      <w:r w:rsidRPr="00DB3E4F">
        <w:rPr>
          <w:rFonts w:ascii="Arial" w:hAnsi="Arial" w:cs="Arial"/>
          <w:i/>
          <w:iCs/>
        </w:rPr>
        <w:t>Environmental Monitoring and Assessment</w:t>
      </w:r>
      <w:r w:rsidRPr="00DB3E4F">
        <w:rPr>
          <w:rFonts w:ascii="Arial" w:hAnsi="Arial" w:cs="Arial"/>
        </w:rPr>
        <w:t xml:space="preserve"> 135: 313–325.</w:t>
      </w:r>
    </w:p>
    <w:p w14:paraId="488C015E" w14:textId="77777777" w:rsidR="002F4826" w:rsidRPr="00DB3E4F" w:rsidRDefault="002F4826" w:rsidP="002F4826">
      <w:pPr>
        <w:ind w:hanging="284"/>
        <w:jc w:val="both"/>
        <w:rPr>
          <w:rFonts w:ascii="Arial" w:hAnsi="Arial" w:cs="Arial"/>
        </w:rPr>
      </w:pPr>
      <w:proofErr w:type="spellStart"/>
      <w:r w:rsidRPr="00DB3E4F">
        <w:rPr>
          <w:rFonts w:ascii="Arial" w:hAnsi="Arial" w:cs="Arial"/>
        </w:rPr>
        <w:t>Ramaekers</w:t>
      </w:r>
      <w:proofErr w:type="spellEnd"/>
      <w:r w:rsidRPr="00DB3E4F">
        <w:rPr>
          <w:rFonts w:ascii="Arial" w:hAnsi="Arial" w:cs="Arial"/>
        </w:rPr>
        <w:t xml:space="preserve"> K, </w:t>
      </w:r>
      <w:proofErr w:type="spellStart"/>
      <w:r w:rsidRPr="00DB3E4F">
        <w:rPr>
          <w:rFonts w:ascii="Arial" w:hAnsi="Arial" w:cs="Arial"/>
        </w:rPr>
        <w:t>Keyaerts</w:t>
      </w:r>
      <w:proofErr w:type="spellEnd"/>
      <w:r w:rsidRPr="00DB3E4F">
        <w:rPr>
          <w:rFonts w:ascii="Arial" w:hAnsi="Arial" w:cs="Arial"/>
        </w:rPr>
        <w:t xml:space="preserve"> E, Rector A, </w:t>
      </w:r>
      <w:proofErr w:type="spellStart"/>
      <w:r w:rsidRPr="00DB3E4F">
        <w:rPr>
          <w:rFonts w:ascii="Arial" w:hAnsi="Arial" w:cs="Arial"/>
        </w:rPr>
        <w:t>Borremans</w:t>
      </w:r>
      <w:proofErr w:type="spellEnd"/>
      <w:r w:rsidRPr="00DB3E4F">
        <w:rPr>
          <w:rFonts w:ascii="Arial" w:hAnsi="Arial" w:cs="Arial"/>
        </w:rPr>
        <w:t xml:space="preserve"> A, </w:t>
      </w:r>
      <w:proofErr w:type="spellStart"/>
      <w:r w:rsidRPr="00DB3E4F">
        <w:rPr>
          <w:rFonts w:ascii="Arial" w:hAnsi="Arial" w:cs="Arial"/>
        </w:rPr>
        <w:t>Beuselinck</w:t>
      </w:r>
      <w:proofErr w:type="spellEnd"/>
      <w:r w:rsidRPr="00DB3E4F">
        <w:rPr>
          <w:rFonts w:ascii="Arial" w:hAnsi="Arial" w:cs="Arial"/>
        </w:rPr>
        <w:t xml:space="preserve"> K, </w:t>
      </w:r>
      <w:proofErr w:type="spellStart"/>
      <w:r w:rsidRPr="00DB3E4F">
        <w:rPr>
          <w:rFonts w:ascii="Arial" w:hAnsi="Arial" w:cs="Arial"/>
        </w:rPr>
        <w:t>Lagrou</w:t>
      </w:r>
      <w:proofErr w:type="spellEnd"/>
      <w:r w:rsidRPr="00DB3E4F">
        <w:rPr>
          <w:rFonts w:ascii="Arial" w:hAnsi="Arial" w:cs="Arial"/>
        </w:rPr>
        <w:t xml:space="preserve"> K, Van </w:t>
      </w:r>
      <w:proofErr w:type="spellStart"/>
      <w:r w:rsidRPr="00DB3E4F">
        <w:rPr>
          <w:rFonts w:ascii="Arial" w:hAnsi="Arial" w:cs="Arial"/>
        </w:rPr>
        <w:t>Ranst</w:t>
      </w:r>
      <w:proofErr w:type="spellEnd"/>
      <w:r w:rsidRPr="00DB3E4F">
        <w:rPr>
          <w:rFonts w:ascii="Arial" w:hAnsi="Arial" w:cs="Arial"/>
        </w:rPr>
        <w:t xml:space="preserve"> M (2017) Prevalence and seasonality of six respiratory viruses during five consecutive epidemic seasons in Belgium. </w:t>
      </w:r>
      <w:r w:rsidRPr="00DB3E4F">
        <w:rPr>
          <w:rFonts w:ascii="Arial" w:hAnsi="Arial" w:cs="Arial"/>
          <w:i/>
          <w:iCs/>
        </w:rPr>
        <w:t>Journal of Clinical Virology</w:t>
      </w:r>
      <w:r w:rsidRPr="00DB3E4F">
        <w:rPr>
          <w:rFonts w:ascii="Arial" w:hAnsi="Arial" w:cs="Arial"/>
        </w:rPr>
        <w:t xml:space="preserve"> 94: 72–78.</w:t>
      </w:r>
    </w:p>
    <w:p w14:paraId="3E1D4472" w14:textId="77777777" w:rsidR="002F4826" w:rsidRPr="00DB3E4F" w:rsidRDefault="002F4826" w:rsidP="002F4826">
      <w:pPr>
        <w:ind w:hanging="284"/>
        <w:jc w:val="both"/>
        <w:rPr>
          <w:rFonts w:ascii="Arial" w:hAnsi="Arial" w:cs="Arial"/>
        </w:rPr>
      </w:pPr>
      <w:r w:rsidRPr="00DB3E4F">
        <w:rPr>
          <w:rFonts w:ascii="Arial" w:hAnsi="Arial" w:cs="Arial"/>
        </w:rPr>
        <w:t xml:space="preserve">Ramani VK, </w:t>
      </w:r>
      <w:proofErr w:type="spellStart"/>
      <w:r w:rsidRPr="00DB3E4F">
        <w:rPr>
          <w:rFonts w:ascii="Arial" w:hAnsi="Arial" w:cs="Arial"/>
        </w:rPr>
        <w:t>Pattankar</w:t>
      </w:r>
      <w:proofErr w:type="spellEnd"/>
      <w:r w:rsidRPr="00DB3E4F">
        <w:rPr>
          <w:rFonts w:ascii="Arial" w:hAnsi="Arial" w:cs="Arial"/>
        </w:rPr>
        <w:t xml:space="preserve"> J, </w:t>
      </w:r>
      <w:proofErr w:type="spellStart"/>
      <w:r w:rsidRPr="00DB3E4F">
        <w:rPr>
          <w:rFonts w:ascii="Arial" w:hAnsi="Arial" w:cs="Arial"/>
        </w:rPr>
        <w:t>Puttahonnappa</w:t>
      </w:r>
      <w:proofErr w:type="spellEnd"/>
      <w:r w:rsidRPr="00DB3E4F">
        <w:rPr>
          <w:rFonts w:ascii="Arial" w:hAnsi="Arial" w:cs="Arial"/>
        </w:rPr>
        <w:t xml:space="preserve"> SK (2016) Acute respiratory infections among under-five children in urban slums of Gulbarga city: A longitudinal study. </w:t>
      </w:r>
      <w:r w:rsidRPr="00DB3E4F">
        <w:rPr>
          <w:rFonts w:ascii="Arial" w:hAnsi="Arial" w:cs="Arial"/>
          <w:i/>
          <w:iCs/>
        </w:rPr>
        <w:t>Journal of Clinical and Diagnostic Research</w:t>
      </w:r>
      <w:r w:rsidRPr="00DB3E4F">
        <w:rPr>
          <w:rFonts w:ascii="Arial" w:hAnsi="Arial" w:cs="Arial"/>
        </w:rPr>
        <w:t xml:space="preserve"> 10(5): LC08.</w:t>
      </w:r>
    </w:p>
    <w:p w14:paraId="03D7A654" w14:textId="77777777" w:rsidR="002F4826" w:rsidRPr="00DB3E4F" w:rsidRDefault="002F4826" w:rsidP="002F4826">
      <w:pPr>
        <w:ind w:hanging="284"/>
        <w:jc w:val="both"/>
        <w:rPr>
          <w:rFonts w:ascii="Arial" w:hAnsi="Arial" w:cs="Arial"/>
        </w:rPr>
      </w:pPr>
      <w:r w:rsidRPr="00DB3E4F">
        <w:rPr>
          <w:rFonts w:ascii="Arial" w:hAnsi="Arial" w:cs="Arial"/>
        </w:rPr>
        <w:t xml:space="preserve">Savitha AK, Gopalakrishnan S (2018) Determinants of acute respiratory infections among under-five children in a rural area of Tamil Nadu, India. </w:t>
      </w:r>
      <w:r w:rsidRPr="00DB3E4F">
        <w:rPr>
          <w:rFonts w:ascii="Arial" w:hAnsi="Arial" w:cs="Arial"/>
          <w:i/>
          <w:iCs/>
        </w:rPr>
        <w:t>Journal of Family Medicine and Primary Care</w:t>
      </w:r>
      <w:r w:rsidRPr="00DB3E4F">
        <w:rPr>
          <w:rFonts w:ascii="Arial" w:hAnsi="Arial" w:cs="Arial"/>
        </w:rPr>
        <w:t xml:space="preserve"> 7(6): 1268–1273.</w:t>
      </w:r>
    </w:p>
    <w:p w14:paraId="0314A0FD" w14:textId="77777777" w:rsidR="002F4826" w:rsidRPr="00DB3E4F" w:rsidRDefault="002F4826" w:rsidP="002F4826">
      <w:pPr>
        <w:ind w:hanging="284"/>
        <w:jc w:val="both"/>
        <w:rPr>
          <w:rFonts w:ascii="Arial" w:hAnsi="Arial" w:cs="Arial"/>
        </w:rPr>
      </w:pPr>
      <w:r w:rsidRPr="00DB3E4F">
        <w:rPr>
          <w:rFonts w:ascii="Arial" w:hAnsi="Arial" w:cs="Arial"/>
        </w:rPr>
        <w:t xml:space="preserve">Savitha MR, </w:t>
      </w:r>
      <w:proofErr w:type="spellStart"/>
      <w:r w:rsidRPr="00DB3E4F">
        <w:rPr>
          <w:rFonts w:ascii="Arial" w:hAnsi="Arial" w:cs="Arial"/>
        </w:rPr>
        <w:t>Nandeeshwara</w:t>
      </w:r>
      <w:proofErr w:type="spellEnd"/>
      <w:r w:rsidRPr="00DB3E4F">
        <w:rPr>
          <w:rFonts w:ascii="Arial" w:hAnsi="Arial" w:cs="Arial"/>
        </w:rPr>
        <w:t xml:space="preserve"> SB, Pradeep Kumar MJ, Raju CK (2007) Modifiable risk factors for acute lower respiratory tract infections. </w:t>
      </w:r>
      <w:r w:rsidRPr="00DB3E4F">
        <w:rPr>
          <w:rFonts w:ascii="Arial" w:hAnsi="Arial" w:cs="Arial"/>
          <w:i/>
          <w:iCs/>
        </w:rPr>
        <w:t xml:space="preserve">Indian Journal of </w:t>
      </w:r>
      <w:proofErr w:type="spellStart"/>
      <w:r w:rsidRPr="00DB3E4F">
        <w:rPr>
          <w:rFonts w:ascii="Arial" w:hAnsi="Arial" w:cs="Arial"/>
          <w:i/>
          <w:iCs/>
        </w:rPr>
        <w:t>Pediatrics</w:t>
      </w:r>
      <w:proofErr w:type="spellEnd"/>
      <w:r w:rsidRPr="00DB3E4F">
        <w:rPr>
          <w:rFonts w:ascii="Arial" w:hAnsi="Arial" w:cs="Arial"/>
        </w:rPr>
        <w:t xml:space="preserve"> 74: 477–482.</w:t>
      </w:r>
    </w:p>
    <w:p w14:paraId="4970AD6D" w14:textId="77777777" w:rsidR="002F4826" w:rsidRPr="00DB3E4F" w:rsidRDefault="002F4826" w:rsidP="002F4826">
      <w:pPr>
        <w:ind w:hanging="284"/>
        <w:jc w:val="both"/>
        <w:rPr>
          <w:rFonts w:ascii="Arial" w:hAnsi="Arial" w:cs="Arial"/>
        </w:rPr>
      </w:pPr>
      <w:r w:rsidRPr="00DB3E4F">
        <w:rPr>
          <w:rFonts w:ascii="Arial" w:hAnsi="Arial" w:cs="Arial"/>
        </w:rPr>
        <w:t xml:space="preserve">Seidu AA, Dickson KS, </w:t>
      </w:r>
      <w:proofErr w:type="spellStart"/>
      <w:r w:rsidRPr="00DB3E4F">
        <w:rPr>
          <w:rFonts w:ascii="Arial" w:hAnsi="Arial" w:cs="Arial"/>
        </w:rPr>
        <w:t>Ahinkorah</w:t>
      </w:r>
      <w:proofErr w:type="spellEnd"/>
      <w:r w:rsidRPr="00DB3E4F">
        <w:rPr>
          <w:rFonts w:ascii="Arial" w:hAnsi="Arial" w:cs="Arial"/>
        </w:rPr>
        <w:t xml:space="preserve"> BO, Amu H, </w:t>
      </w:r>
      <w:proofErr w:type="spellStart"/>
      <w:r w:rsidRPr="00DB3E4F">
        <w:rPr>
          <w:rFonts w:ascii="Arial" w:hAnsi="Arial" w:cs="Arial"/>
        </w:rPr>
        <w:t>Darteh</w:t>
      </w:r>
      <w:proofErr w:type="spellEnd"/>
      <w:r w:rsidRPr="00DB3E4F">
        <w:rPr>
          <w:rFonts w:ascii="Arial" w:hAnsi="Arial" w:cs="Arial"/>
        </w:rPr>
        <w:t xml:space="preserve"> EKM, </w:t>
      </w:r>
      <w:proofErr w:type="spellStart"/>
      <w:r w:rsidRPr="00DB3E4F">
        <w:rPr>
          <w:rFonts w:ascii="Arial" w:hAnsi="Arial" w:cs="Arial"/>
        </w:rPr>
        <w:t>Kumi-Kyereme</w:t>
      </w:r>
      <w:proofErr w:type="spellEnd"/>
      <w:r w:rsidRPr="00DB3E4F">
        <w:rPr>
          <w:rFonts w:ascii="Arial" w:hAnsi="Arial" w:cs="Arial"/>
        </w:rPr>
        <w:t xml:space="preserve"> A (2019) Prevalence and determinants of acute lower respiratory infections among children under five years in sub-Saharan Africa. </w:t>
      </w:r>
      <w:r w:rsidRPr="00DB3E4F">
        <w:rPr>
          <w:rFonts w:ascii="Arial" w:hAnsi="Arial" w:cs="Arial"/>
          <w:i/>
          <w:iCs/>
        </w:rPr>
        <w:t>SSM – Population Health</w:t>
      </w:r>
      <w:r w:rsidRPr="00DB3E4F">
        <w:rPr>
          <w:rFonts w:ascii="Arial" w:hAnsi="Arial" w:cs="Arial"/>
        </w:rPr>
        <w:t xml:space="preserve"> 8: 100443.</w:t>
      </w:r>
    </w:p>
    <w:p w14:paraId="02BA0C31" w14:textId="77777777" w:rsidR="002F4826" w:rsidRPr="00DB3E4F" w:rsidRDefault="002F4826" w:rsidP="002F4826">
      <w:pPr>
        <w:ind w:hanging="284"/>
        <w:jc w:val="both"/>
        <w:rPr>
          <w:rFonts w:ascii="Arial" w:hAnsi="Arial" w:cs="Arial"/>
        </w:rPr>
      </w:pPr>
      <w:proofErr w:type="spellStart"/>
      <w:r w:rsidRPr="00DB3E4F">
        <w:rPr>
          <w:rFonts w:ascii="Arial" w:hAnsi="Arial" w:cs="Arial"/>
        </w:rPr>
        <w:t>Sigaud</w:t>
      </w:r>
      <w:proofErr w:type="spellEnd"/>
      <w:r w:rsidRPr="00DB3E4F">
        <w:rPr>
          <w:rFonts w:ascii="Arial" w:hAnsi="Arial" w:cs="Arial"/>
        </w:rPr>
        <w:t xml:space="preserve"> S, Goldsmith CAW, Zhou H, Yang Z, </w:t>
      </w:r>
      <w:proofErr w:type="spellStart"/>
      <w:r w:rsidRPr="00DB3E4F">
        <w:rPr>
          <w:rFonts w:ascii="Arial" w:hAnsi="Arial" w:cs="Arial"/>
        </w:rPr>
        <w:t>Fedulov</w:t>
      </w:r>
      <w:proofErr w:type="spellEnd"/>
      <w:r w:rsidRPr="00DB3E4F">
        <w:rPr>
          <w:rFonts w:ascii="Arial" w:hAnsi="Arial" w:cs="Arial"/>
        </w:rPr>
        <w:t xml:space="preserve"> A, </w:t>
      </w:r>
      <w:proofErr w:type="spellStart"/>
      <w:r w:rsidRPr="00DB3E4F">
        <w:rPr>
          <w:rFonts w:ascii="Arial" w:hAnsi="Arial" w:cs="Arial"/>
        </w:rPr>
        <w:t>Imrich</w:t>
      </w:r>
      <w:proofErr w:type="spellEnd"/>
      <w:r w:rsidRPr="00DB3E4F">
        <w:rPr>
          <w:rFonts w:ascii="Arial" w:hAnsi="Arial" w:cs="Arial"/>
        </w:rPr>
        <w:t xml:space="preserve"> A, </w:t>
      </w:r>
      <w:proofErr w:type="spellStart"/>
      <w:r w:rsidRPr="00DB3E4F">
        <w:rPr>
          <w:rFonts w:ascii="Arial" w:hAnsi="Arial" w:cs="Arial"/>
        </w:rPr>
        <w:t>Kobzik</w:t>
      </w:r>
      <w:proofErr w:type="spellEnd"/>
      <w:r w:rsidRPr="00DB3E4F">
        <w:rPr>
          <w:rFonts w:ascii="Arial" w:hAnsi="Arial" w:cs="Arial"/>
        </w:rPr>
        <w:t xml:space="preserve"> L (2007) Air pollution particles diminish bacterial clearance in the primed lungs of mice. </w:t>
      </w:r>
      <w:r w:rsidRPr="00DB3E4F">
        <w:rPr>
          <w:rFonts w:ascii="Arial" w:hAnsi="Arial" w:cs="Arial"/>
          <w:i/>
          <w:iCs/>
        </w:rPr>
        <w:t>Toxicology and Applied Pharmacology</w:t>
      </w:r>
      <w:r w:rsidRPr="00DB3E4F">
        <w:rPr>
          <w:rFonts w:ascii="Arial" w:hAnsi="Arial" w:cs="Arial"/>
        </w:rPr>
        <w:t xml:space="preserve"> 223(1): 1–9.</w:t>
      </w:r>
    </w:p>
    <w:p w14:paraId="367252E6" w14:textId="77777777" w:rsidR="002F4826" w:rsidRPr="00DB3E4F" w:rsidRDefault="002F4826" w:rsidP="002F4826">
      <w:pPr>
        <w:ind w:hanging="284"/>
        <w:jc w:val="both"/>
        <w:rPr>
          <w:rFonts w:ascii="Arial" w:hAnsi="Arial" w:cs="Arial"/>
        </w:rPr>
      </w:pPr>
      <w:r w:rsidRPr="00DB3E4F">
        <w:rPr>
          <w:rFonts w:ascii="Arial" w:hAnsi="Arial" w:cs="Arial"/>
        </w:rPr>
        <w:t xml:space="preserve">Sultana M, Sarker AR, Sheikh N, Akram R, Ali N, </w:t>
      </w:r>
      <w:proofErr w:type="spellStart"/>
      <w:r w:rsidRPr="00DB3E4F">
        <w:rPr>
          <w:rFonts w:ascii="Arial" w:hAnsi="Arial" w:cs="Arial"/>
        </w:rPr>
        <w:t>Mahumud</w:t>
      </w:r>
      <w:proofErr w:type="spellEnd"/>
      <w:r w:rsidRPr="00DB3E4F">
        <w:rPr>
          <w:rFonts w:ascii="Arial" w:hAnsi="Arial" w:cs="Arial"/>
        </w:rPr>
        <w:t xml:space="preserve"> RA, </w:t>
      </w:r>
      <w:proofErr w:type="spellStart"/>
      <w:r w:rsidRPr="00DB3E4F">
        <w:rPr>
          <w:rFonts w:ascii="Arial" w:hAnsi="Arial" w:cs="Arial"/>
        </w:rPr>
        <w:t>Alam</w:t>
      </w:r>
      <w:proofErr w:type="spellEnd"/>
      <w:r w:rsidRPr="00DB3E4F">
        <w:rPr>
          <w:rFonts w:ascii="Arial" w:hAnsi="Arial" w:cs="Arial"/>
        </w:rPr>
        <w:t xml:space="preserve"> NH (2019) Prevalence, determinants and healthcare-seeking </w:t>
      </w:r>
      <w:proofErr w:type="spellStart"/>
      <w:r w:rsidRPr="00DB3E4F">
        <w:rPr>
          <w:rFonts w:ascii="Arial" w:hAnsi="Arial" w:cs="Arial"/>
        </w:rPr>
        <w:t>behavior</w:t>
      </w:r>
      <w:proofErr w:type="spellEnd"/>
      <w:r w:rsidRPr="00DB3E4F">
        <w:rPr>
          <w:rFonts w:ascii="Arial" w:hAnsi="Arial" w:cs="Arial"/>
        </w:rPr>
        <w:t xml:space="preserve"> of childhood acute respiratory tract infections in Bangladesh. </w:t>
      </w:r>
      <w:r w:rsidRPr="00DB3E4F">
        <w:rPr>
          <w:rFonts w:ascii="Arial" w:hAnsi="Arial" w:cs="Arial"/>
          <w:i/>
          <w:iCs/>
        </w:rPr>
        <w:t>PLOS ONE</w:t>
      </w:r>
      <w:r w:rsidRPr="00DB3E4F">
        <w:rPr>
          <w:rFonts w:ascii="Arial" w:hAnsi="Arial" w:cs="Arial"/>
        </w:rPr>
        <w:t xml:space="preserve"> 14(1): e0210433.</w:t>
      </w:r>
    </w:p>
    <w:p w14:paraId="5AE303A4" w14:textId="77777777" w:rsidR="002F4826" w:rsidRPr="00DB3E4F" w:rsidRDefault="002F4826" w:rsidP="002F4826">
      <w:pPr>
        <w:ind w:hanging="284"/>
        <w:jc w:val="both"/>
        <w:rPr>
          <w:rFonts w:ascii="Arial" w:hAnsi="Arial" w:cs="Arial"/>
        </w:rPr>
      </w:pPr>
      <w:r w:rsidRPr="00DB3E4F">
        <w:rPr>
          <w:rFonts w:ascii="Arial" w:hAnsi="Arial" w:cs="Arial"/>
        </w:rPr>
        <w:t xml:space="preserve">Tiwari S, </w:t>
      </w:r>
      <w:proofErr w:type="spellStart"/>
      <w:r w:rsidRPr="00DB3E4F">
        <w:rPr>
          <w:rFonts w:ascii="Arial" w:hAnsi="Arial" w:cs="Arial"/>
        </w:rPr>
        <w:t>Bharadva</w:t>
      </w:r>
      <w:proofErr w:type="spellEnd"/>
      <w:r w:rsidRPr="00DB3E4F">
        <w:rPr>
          <w:rFonts w:ascii="Arial" w:hAnsi="Arial" w:cs="Arial"/>
        </w:rPr>
        <w:t xml:space="preserve"> K, Yadav B, Malik S, </w:t>
      </w:r>
      <w:proofErr w:type="spellStart"/>
      <w:r w:rsidRPr="00DB3E4F">
        <w:rPr>
          <w:rFonts w:ascii="Arial" w:hAnsi="Arial" w:cs="Arial"/>
        </w:rPr>
        <w:t>Gangal</w:t>
      </w:r>
      <w:proofErr w:type="spellEnd"/>
      <w:r w:rsidRPr="00DB3E4F">
        <w:rPr>
          <w:rFonts w:ascii="Arial" w:hAnsi="Arial" w:cs="Arial"/>
        </w:rPr>
        <w:t xml:space="preserve"> P, </w:t>
      </w:r>
      <w:proofErr w:type="spellStart"/>
      <w:r w:rsidRPr="00DB3E4F">
        <w:rPr>
          <w:rFonts w:ascii="Arial" w:hAnsi="Arial" w:cs="Arial"/>
        </w:rPr>
        <w:t>Banapurmath</w:t>
      </w:r>
      <w:proofErr w:type="spellEnd"/>
      <w:r w:rsidRPr="00DB3E4F">
        <w:rPr>
          <w:rFonts w:ascii="Arial" w:hAnsi="Arial" w:cs="Arial"/>
        </w:rPr>
        <w:t xml:space="preserve"> CR, IYCF Chapter of IAP (2016) Infant and young child feeding guidelines. </w:t>
      </w:r>
      <w:r w:rsidRPr="00DB3E4F">
        <w:rPr>
          <w:rFonts w:ascii="Arial" w:hAnsi="Arial" w:cs="Arial"/>
          <w:i/>
          <w:iCs/>
        </w:rPr>
        <w:t xml:space="preserve">Indian </w:t>
      </w:r>
      <w:proofErr w:type="spellStart"/>
      <w:r w:rsidRPr="00DB3E4F">
        <w:rPr>
          <w:rFonts w:ascii="Arial" w:hAnsi="Arial" w:cs="Arial"/>
          <w:i/>
          <w:iCs/>
        </w:rPr>
        <w:t>Pediatrics</w:t>
      </w:r>
      <w:proofErr w:type="spellEnd"/>
      <w:r w:rsidRPr="00DB3E4F">
        <w:rPr>
          <w:rFonts w:ascii="Arial" w:hAnsi="Arial" w:cs="Arial"/>
        </w:rPr>
        <w:t xml:space="preserve"> 53: 703–713.</w:t>
      </w:r>
    </w:p>
    <w:p w14:paraId="520FA35D" w14:textId="77777777" w:rsidR="002F4826" w:rsidRPr="00DB3E4F" w:rsidRDefault="002F4826" w:rsidP="002F4826">
      <w:pPr>
        <w:ind w:hanging="284"/>
        <w:jc w:val="both"/>
        <w:rPr>
          <w:rFonts w:ascii="Arial" w:hAnsi="Arial" w:cs="Arial"/>
        </w:rPr>
      </w:pPr>
      <w:r w:rsidRPr="00DB3E4F">
        <w:rPr>
          <w:rFonts w:ascii="Arial" w:hAnsi="Arial" w:cs="Arial"/>
        </w:rPr>
        <w:t xml:space="preserve">Troeger C, Blacker B, Khalil IA, Rao PC, Cao J, </w:t>
      </w:r>
      <w:proofErr w:type="spellStart"/>
      <w:r w:rsidRPr="00DB3E4F">
        <w:rPr>
          <w:rFonts w:ascii="Arial" w:hAnsi="Arial" w:cs="Arial"/>
        </w:rPr>
        <w:t>Zimsen</w:t>
      </w:r>
      <w:proofErr w:type="spellEnd"/>
      <w:r w:rsidRPr="00DB3E4F">
        <w:rPr>
          <w:rFonts w:ascii="Arial" w:hAnsi="Arial" w:cs="Arial"/>
        </w:rPr>
        <w:t xml:space="preserve"> SR, Reiner RC (2018) Estimates of the global burden of lower respiratory infections, 1990–2016. </w:t>
      </w:r>
      <w:r w:rsidRPr="00DB3E4F">
        <w:rPr>
          <w:rFonts w:ascii="Arial" w:hAnsi="Arial" w:cs="Arial"/>
          <w:i/>
          <w:iCs/>
        </w:rPr>
        <w:t>The Lancet Infectious Diseases</w:t>
      </w:r>
      <w:r w:rsidRPr="00DB3E4F">
        <w:rPr>
          <w:rFonts w:ascii="Arial" w:hAnsi="Arial" w:cs="Arial"/>
        </w:rPr>
        <w:t xml:space="preserve"> 18(11): 1191–1210.</w:t>
      </w:r>
    </w:p>
    <w:p w14:paraId="3CFAF922" w14:textId="77777777" w:rsidR="002F4826" w:rsidRPr="00DB3E4F" w:rsidRDefault="002F4826" w:rsidP="002F4826">
      <w:pPr>
        <w:ind w:hanging="284"/>
        <w:jc w:val="both"/>
        <w:rPr>
          <w:rFonts w:ascii="Arial" w:hAnsi="Arial" w:cs="Arial"/>
        </w:rPr>
      </w:pPr>
      <w:r w:rsidRPr="00DB3E4F">
        <w:rPr>
          <w:rFonts w:ascii="Arial" w:hAnsi="Arial" w:cs="Arial"/>
        </w:rPr>
        <w:t xml:space="preserve">United Nations (2015) </w:t>
      </w:r>
      <w:r w:rsidRPr="00DB3E4F">
        <w:rPr>
          <w:rFonts w:ascii="Arial" w:hAnsi="Arial" w:cs="Arial"/>
          <w:i/>
          <w:iCs/>
        </w:rPr>
        <w:t>Transforming our world: The 2030 agenda for sustainable development</w:t>
      </w:r>
      <w:r w:rsidRPr="00DB3E4F">
        <w:rPr>
          <w:rFonts w:ascii="Arial" w:hAnsi="Arial" w:cs="Arial"/>
        </w:rPr>
        <w:t>. United Nations.</w:t>
      </w:r>
    </w:p>
    <w:p w14:paraId="033458BC" w14:textId="77777777" w:rsidR="002F4826" w:rsidRPr="00DB3E4F" w:rsidRDefault="002F4826" w:rsidP="002F4826">
      <w:pPr>
        <w:ind w:hanging="284"/>
        <w:jc w:val="both"/>
        <w:rPr>
          <w:rFonts w:ascii="Arial" w:hAnsi="Arial" w:cs="Arial"/>
        </w:rPr>
      </w:pPr>
      <w:r w:rsidRPr="00DB3E4F">
        <w:rPr>
          <w:rFonts w:ascii="Arial" w:hAnsi="Arial" w:cs="Arial"/>
        </w:rPr>
        <w:t xml:space="preserve">Varghese JS, Muhammad T (2023) Prevalence, potential determinants, and treatment-seeking </w:t>
      </w:r>
      <w:proofErr w:type="spellStart"/>
      <w:r w:rsidRPr="00DB3E4F">
        <w:rPr>
          <w:rFonts w:ascii="Arial" w:hAnsi="Arial" w:cs="Arial"/>
        </w:rPr>
        <w:t>behavior</w:t>
      </w:r>
      <w:proofErr w:type="spellEnd"/>
      <w:r w:rsidRPr="00DB3E4F">
        <w:rPr>
          <w:rFonts w:ascii="Arial" w:hAnsi="Arial" w:cs="Arial"/>
        </w:rPr>
        <w:t xml:space="preserve"> of acute respiratory infection among children under five in India. </w:t>
      </w:r>
      <w:r w:rsidRPr="00DB3E4F">
        <w:rPr>
          <w:rFonts w:ascii="Arial" w:hAnsi="Arial" w:cs="Arial"/>
          <w:i/>
          <w:iCs/>
        </w:rPr>
        <w:t>BMC Pulmonary Medicine</w:t>
      </w:r>
      <w:r w:rsidRPr="00DB3E4F">
        <w:rPr>
          <w:rFonts w:ascii="Arial" w:hAnsi="Arial" w:cs="Arial"/>
        </w:rPr>
        <w:t xml:space="preserve"> 23(1): 195.</w:t>
      </w:r>
    </w:p>
    <w:p w14:paraId="0A3CCD70" w14:textId="77777777" w:rsidR="002F4826" w:rsidRPr="00DB3E4F" w:rsidRDefault="002F4826" w:rsidP="002F4826">
      <w:pPr>
        <w:ind w:hanging="284"/>
        <w:jc w:val="both"/>
        <w:rPr>
          <w:rFonts w:ascii="Arial" w:hAnsi="Arial" w:cs="Arial"/>
        </w:rPr>
      </w:pPr>
      <w:proofErr w:type="spellStart"/>
      <w:r w:rsidRPr="00DB3E4F">
        <w:rPr>
          <w:rFonts w:ascii="Arial" w:hAnsi="Arial" w:cs="Arial"/>
        </w:rPr>
        <w:t>Vashishtha</w:t>
      </w:r>
      <w:proofErr w:type="spellEnd"/>
      <w:r w:rsidRPr="00DB3E4F">
        <w:rPr>
          <w:rFonts w:ascii="Arial" w:hAnsi="Arial" w:cs="Arial"/>
        </w:rPr>
        <w:t xml:space="preserve"> VM (2010) Current status of tuberculosis and acute respiratory infections in India. </w:t>
      </w:r>
      <w:r w:rsidRPr="00DB3E4F">
        <w:rPr>
          <w:rFonts w:ascii="Arial" w:hAnsi="Arial" w:cs="Arial"/>
          <w:i/>
          <w:iCs/>
        </w:rPr>
        <w:t xml:space="preserve">Indian </w:t>
      </w:r>
      <w:proofErr w:type="spellStart"/>
      <w:r w:rsidRPr="00DB3E4F">
        <w:rPr>
          <w:rFonts w:ascii="Arial" w:hAnsi="Arial" w:cs="Arial"/>
          <w:i/>
          <w:iCs/>
        </w:rPr>
        <w:t>Pediatrics</w:t>
      </w:r>
      <w:proofErr w:type="spellEnd"/>
      <w:r w:rsidRPr="00DB3E4F">
        <w:rPr>
          <w:rFonts w:ascii="Arial" w:hAnsi="Arial" w:cs="Arial"/>
        </w:rPr>
        <w:t xml:space="preserve"> 47(1): 88–89.</w:t>
      </w:r>
    </w:p>
    <w:p w14:paraId="59A1EA73" w14:textId="77777777" w:rsidR="002F4826" w:rsidRPr="00DB3E4F" w:rsidRDefault="002F4826" w:rsidP="002F4826">
      <w:pPr>
        <w:ind w:hanging="284"/>
        <w:jc w:val="both"/>
        <w:rPr>
          <w:rFonts w:ascii="Arial" w:hAnsi="Arial" w:cs="Arial"/>
        </w:rPr>
      </w:pPr>
      <w:r w:rsidRPr="00DB3E4F">
        <w:rPr>
          <w:rFonts w:ascii="Arial" w:hAnsi="Arial" w:cs="Arial"/>
        </w:rPr>
        <w:t xml:space="preserve">Walker CLF, Rudan I, Liu L, Nair H, </w:t>
      </w:r>
      <w:proofErr w:type="spellStart"/>
      <w:r w:rsidRPr="00DB3E4F">
        <w:rPr>
          <w:rFonts w:ascii="Arial" w:hAnsi="Arial" w:cs="Arial"/>
        </w:rPr>
        <w:t>Theodoratou</w:t>
      </w:r>
      <w:proofErr w:type="spellEnd"/>
      <w:r w:rsidRPr="00DB3E4F">
        <w:rPr>
          <w:rFonts w:ascii="Arial" w:hAnsi="Arial" w:cs="Arial"/>
        </w:rPr>
        <w:t xml:space="preserve"> E, </w:t>
      </w:r>
      <w:proofErr w:type="spellStart"/>
      <w:r w:rsidRPr="00DB3E4F">
        <w:rPr>
          <w:rFonts w:ascii="Arial" w:hAnsi="Arial" w:cs="Arial"/>
        </w:rPr>
        <w:t>Bhutta</w:t>
      </w:r>
      <w:proofErr w:type="spellEnd"/>
      <w:r w:rsidRPr="00DB3E4F">
        <w:rPr>
          <w:rFonts w:ascii="Arial" w:hAnsi="Arial" w:cs="Arial"/>
        </w:rPr>
        <w:t xml:space="preserve"> ZA, Black RE (2013) Global burden of childhood pneumonia and diarrhoea. </w:t>
      </w:r>
      <w:r w:rsidRPr="00DB3E4F">
        <w:rPr>
          <w:rFonts w:ascii="Arial" w:hAnsi="Arial" w:cs="Arial"/>
          <w:i/>
          <w:iCs/>
        </w:rPr>
        <w:t>The Lancet</w:t>
      </w:r>
      <w:r w:rsidRPr="00DB3E4F">
        <w:rPr>
          <w:rFonts w:ascii="Arial" w:hAnsi="Arial" w:cs="Arial"/>
        </w:rPr>
        <w:t xml:space="preserve"> 381(9875): 1405–1416.</w:t>
      </w:r>
    </w:p>
    <w:p w14:paraId="33AC276B" w14:textId="77777777" w:rsidR="002F4826" w:rsidRPr="00DB3E4F" w:rsidRDefault="002F4826" w:rsidP="002F4826">
      <w:pPr>
        <w:ind w:hanging="284"/>
        <w:jc w:val="both"/>
        <w:rPr>
          <w:rFonts w:ascii="Arial" w:hAnsi="Arial" w:cs="Arial"/>
        </w:rPr>
      </w:pPr>
      <w:r w:rsidRPr="00DB3E4F">
        <w:rPr>
          <w:rFonts w:ascii="Arial" w:hAnsi="Arial" w:cs="Arial"/>
        </w:rPr>
        <w:lastRenderedPageBreak/>
        <w:t xml:space="preserve">Wang H, Bhutta ZA, Coates MM, Coggeshall M, </w:t>
      </w:r>
      <w:proofErr w:type="spellStart"/>
      <w:r w:rsidRPr="00DB3E4F">
        <w:rPr>
          <w:rFonts w:ascii="Arial" w:hAnsi="Arial" w:cs="Arial"/>
        </w:rPr>
        <w:t>Dandona</w:t>
      </w:r>
      <w:proofErr w:type="spellEnd"/>
      <w:r w:rsidRPr="00DB3E4F">
        <w:rPr>
          <w:rFonts w:ascii="Arial" w:hAnsi="Arial" w:cs="Arial"/>
        </w:rPr>
        <w:t xml:space="preserve"> L, Diallo K, </w:t>
      </w:r>
      <w:proofErr w:type="spellStart"/>
      <w:r w:rsidRPr="00DB3E4F">
        <w:rPr>
          <w:rFonts w:ascii="Arial" w:hAnsi="Arial" w:cs="Arial"/>
        </w:rPr>
        <w:t>Damtew</w:t>
      </w:r>
      <w:proofErr w:type="spellEnd"/>
      <w:r w:rsidRPr="00DB3E4F">
        <w:rPr>
          <w:rFonts w:ascii="Arial" w:hAnsi="Arial" w:cs="Arial"/>
        </w:rPr>
        <w:t xml:space="preserve"> SA (2016) Global, regional, and national levels of child mortality, 1980–2015. </w:t>
      </w:r>
      <w:r w:rsidRPr="00DB3E4F">
        <w:rPr>
          <w:rFonts w:ascii="Arial" w:hAnsi="Arial" w:cs="Arial"/>
          <w:i/>
          <w:iCs/>
        </w:rPr>
        <w:t>The Lancet</w:t>
      </w:r>
      <w:r w:rsidRPr="00DB3E4F">
        <w:rPr>
          <w:rFonts w:ascii="Arial" w:hAnsi="Arial" w:cs="Arial"/>
        </w:rPr>
        <w:t xml:space="preserve"> 388(10053): 1725–1774.</w:t>
      </w:r>
    </w:p>
    <w:p w14:paraId="6E7102C5" w14:textId="77777777" w:rsidR="002F4826" w:rsidRPr="00DB3E4F" w:rsidRDefault="002F4826" w:rsidP="002F4826">
      <w:pPr>
        <w:ind w:hanging="284"/>
        <w:jc w:val="both"/>
        <w:rPr>
          <w:rFonts w:ascii="Arial" w:hAnsi="Arial" w:cs="Arial"/>
        </w:rPr>
      </w:pPr>
      <w:r w:rsidRPr="00DB3E4F">
        <w:rPr>
          <w:rFonts w:ascii="Arial" w:hAnsi="Arial" w:cs="Arial"/>
        </w:rPr>
        <w:t xml:space="preserve">World Health Organization (2022a) </w:t>
      </w:r>
      <w:r w:rsidRPr="00DB3E4F">
        <w:rPr>
          <w:rFonts w:ascii="Arial" w:hAnsi="Arial" w:cs="Arial"/>
          <w:i/>
          <w:iCs/>
        </w:rPr>
        <w:t>Child mortality (under 5 years): Fact sheet</w:t>
      </w:r>
      <w:r w:rsidRPr="00DB3E4F">
        <w:rPr>
          <w:rFonts w:ascii="Arial" w:hAnsi="Arial" w:cs="Arial"/>
        </w:rPr>
        <w:t>. WHO.</w:t>
      </w:r>
    </w:p>
    <w:p w14:paraId="008423AD" w14:textId="77777777" w:rsidR="002F4826" w:rsidRPr="00DB3E4F" w:rsidRDefault="002F4826" w:rsidP="002F4826">
      <w:pPr>
        <w:ind w:hanging="284"/>
        <w:jc w:val="both"/>
        <w:rPr>
          <w:rFonts w:ascii="Arial" w:hAnsi="Arial" w:cs="Arial"/>
        </w:rPr>
      </w:pPr>
      <w:r w:rsidRPr="00DB3E4F">
        <w:rPr>
          <w:rFonts w:ascii="Arial" w:hAnsi="Arial" w:cs="Arial"/>
        </w:rPr>
        <w:t xml:space="preserve">World Health Organization (2022b) </w:t>
      </w:r>
      <w:r w:rsidRPr="00DB3E4F">
        <w:rPr>
          <w:rFonts w:ascii="Arial" w:hAnsi="Arial" w:cs="Arial"/>
          <w:i/>
          <w:iCs/>
        </w:rPr>
        <w:t>Pneumonia in children: Fact sheet</w:t>
      </w:r>
      <w:r w:rsidRPr="00DB3E4F">
        <w:rPr>
          <w:rFonts w:ascii="Arial" w:hAnsi="Arial" w:cs="Arial"/>
        </w:rPr>
        <w:t>. WHO.</w:t>
      </w:r>
    </w:p>
    <w:p w14:paraId="68594ABC" w14:textId="77777777" w:rsidR="002F4826" w:rsidRPr="00DB3E4F" w:rsidRDefault="002F4826" w:rsidP="002F4826">
      <w:pPr>
        <w:ind w:hanging="284"/>
        <w:jc w:val="both"/>
        <w:rPr>
          <w:rFonts w:ascii="Arial" w:hAnsi="Arial" w:cs="Arial"/>
        </w:rPr>
      </w:pPr>
      <w:r w:rsidRPr="00DB3E4F">
        <w:rPr>
          <w:rFonts w:ascii="Arial" w:hAnsi="Arial" w:cs="Arial"/>
        </w:rPr>
        <w:t xml:space="preserve">World Health Organization, UNICEF (1998) </w:t>
      </w:r>
      <w:r w:rsidRPr="00DB3E4F">
        <w:rPr>
          <w:rFonts w:ascii="Arial" w:hAnsi="Arial" w:cs="Arial"/>
          <w:i/>
          <w:iCs/>
        </w:rPr>
        <w:t>Management of childhood illness in developing countries: Rationale for an integrated strategy</w:t>
      </w:r>
      <w:r w:rsidRPr="00DB3E4F">
        <w:rPr>
          <w:rFonts w:ascii="Arial" w:hAnsi="Arial" w:cs="Arial"/>
        </w:rPr>
        <w:t>. WHO &amp; UNICEF.</w:t>
      </w:r>
    </w:p>
    <w:p w14:paraId="0F64BC4C" w14:textId="77777777" w:rsidR="00DD600D" w:rsidRPr="00DB3E4F" w:rsidRDefault="00DD600D" w:rsidP="00DD600D">
      <w:pPr>
        <w:rPr>
          <w:rFonts w:ascii="Arial" w:hAnsi="Arial" w:cs="Arial"/>
        </w:rPr>
      </w:pPr>
    </w:p>
    <w:p w14:paraId="53C1B655" w14:textId="69D9B6F0" w:rsidR="00A3335E" w:rsidRPr="00DB3E4F" w:rsidRDefault="00A3335E">
      <w:pPr>
        <w:spacing w:after="0" w:line="240" w:lineRule="auto"/>
        <w:rPr>
          <w:rFonts w:ascii="Arial" w:hAnsi="Arial" w:cs="Arial"/>
        </w:rPr>
      </w:pPr>
      <w:r w:rsidRPr="00DB3E4F">
        <w:rPr>
          <w:rFonts w:ascii="Arial" w:hAnsi="Arial" w:cs="Arial"/>
        </w:rPr>
        <w:br w:type="page"/>
      </w:r>
    </w:p>
    <w:p w14:paraId="01A0D786" w14:textId="77777777" w:rsidR="00A3335E" w:rsidRPr="00DB3E4F" w:rsidRDefault="00A3335E" w:rsidP="00A3335E">
      <w:pPr>
        <w:spacing w:line="360" w:lineRule="auto"/>
        <w:jc w:val="both"/>
        <w:rPr>
          <w:rFonts w:ascii="Arial" w:hAnsi="Arial" w:cs="Arial"/>
          <w:color w:val="000000" w:themeColor="text1"/>
        </w:rPr>
      </w:pPr>
      <w:r w:rsidRPr="00DB3E4F">
        <w:rPr>
          <w:rFonts w:ascii="Arial" w:hAnsi="Arial" w:cs="Arial"/>
          <w:b/>
          <w:bCs/>
          <w:color w:val="000000" w:themeColor="text1"/>
        </w:rPr>
        <w:lastRenderedPageBreak/>
        <w:t>Figure 1:</w:t>
      </w:r>
      <w:r w:rsidRPr="00DB3E4F">
        <w:rPr>
          <w:rFonts w:ascii="Arial" w:hAnsi="Arial" w:cs="Arial"/>
          <w:color w:val="000000" w:themeColor="text1"/>
        </w:rPr>
        <w:t xml:space="preserve"> Flow diagram showing children aged 0-59 months included in the study for analysis from NFHS-5, 2019-2021, India</w:t>
      </w:r>
    </w:p>
    <w:p w14:paraId="1278D91E" w14:textId="77777777" w:rsidR="00A3335E" w:rsidRPr="00DB3E4F" w:rsidRDefault="00A3335E" w:rsidP="00A3335E">
      <w:pPr>
        <w:spacing w:line="360" w:lineRule="auto"/>
        <w:jc w:val="both"/>
        <w:rPr>
          <w:rFonts w:ascii="Arial" w:hAnsi="Arial" w:cs="Arial"/>
          <w:color w:val="000000" w:themeColor="text1"/>
        </w:rPr>
      </w:pPr>
    </w:p>
    <w:p w14:paraId="412E1889" w14:textId="77777777" w:rsidR="00A3335E" w:rsidRPr="00DB3E4F" w:rsidRDefault="00A3335E" w:rsidP="00A3335E">
      <w:pPr>
        <w:spacing w:line="360" w:lineRule="auto"/>
        <w:jc w:val="both"/>
        <w:rPr>
          <w:rFonts w:ascii="Arial" w:hAnsi="Arial" w:cs="Arial"/>
          <w:color w:val="000000" w:themeColor="text1"/>
        </w:rPr>
      </w:pPr>
      <w:r w:rsidRPr="00DB3E4F">
        <w:rPr>
          <w:rFonts w:ascii="Arial" w:hAnsi="Arial" w:cs="Arial"/>
          <w:noProof/>
        </w:rPr>
        <w:drawing>
          <wp:anchor distT="0" distB="0" distL="114300" distR="114300" simplePos="0" relativeHeight="251659264" behindDoc="0" locked="0" layoutInCell="1" allowOverlap="1" wp14:anchorId="1F87DD78" wp14:editId="3A5FA395">
            <wp:simplePos x="0" y="0"/>
            <wp:positionH relativeFrom="column">
              <wp:posOffset>1442720</wp:posOffset>
            </wp:positionH>
            <wp:positionV relativeFrom="paragraph">
              <wp:posOffset>487680</wp:posOffset>
            </wp:positionV>
            <wp:extent cx="3422015" cy="2646045"/>
            <wp:effectExtent l="0" t="0" r="6985" b="1905"/>
            <wp:wrapTopAndBottom/>
            <wp:docPr id="2045414162" name="Picture 19" descr="A map of india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14162" name="Picture 19" descr="A map of india with different colored area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22015" cy="2646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00D6F" w14:textId="77777777" w:rsidR="00A3335E" w:rsidRPr="00DB3E4F" w:rsidRDefault="00A3335E" w:rsidP="00A3335E">
      <w:pPr>
        <w:spacing w:line="360" w:lineRule="auto"/>
        <w:jc w:val="both"/>
        <w:rPr>
          <w:rFonts w:ascii="Arial" w:hAnsi="Arial" w:cs="Arial"/>
        </w:rPr>
      </w:pPr>
    </w:p>
    <w:p w14:paraId="05C02C67" w14:textId="77777777" w:rsidR="00A3335E" w:rsidRPr="00DB3E4F" w:rsidRDefault="00A3335E" w:rsidP="00A3335E">
      <w:pPr>
        <w:tabs>
          <w:tab w:val="left" w:pos="2179"/>
        </w:tabs>
        <w:spacing w:line="278" w:lineRule="auto"/>
        <w:rPr>
          <w:rFonts w:ascii="Arial" w:hAnsi="Arial" w:cs="Arial"/>
        </w:rPr>
      </w:pPr>
      <w:bookmarkStart w:id="28" w:name="_Hlk191635893"/>
      <w:r w:rsidRPr="00DB3E4F">
        <w:rPr>
          <w:rFonts w:ascii="Arial" w:hAnsi="Arial" w:cs="Arial"/>
          <w:b/>
          <w:bCs/>
          <w:lang w:val="en-US"/>
        </w:rPr>
        <w:t>Figure 2:</w:t>
      </w:r>
      <w:r w:rsidRPr="00DB3E4F">
        <w:rPr>
          <w:rFonts w:ascii="Arial" w:hAnsi="Arial" w:cs="Arial"/>
          <w:lang w:val="en-US"/>
        </w:rPr>
        <w:t xml:space="preserve"> Prevalence of ARI among </w:t>
      </w:r>
      <w:r w:rsidRPr="00DB3E4F">
        <w:rPr>
          <w:rFonts w:ascii="Arial" w:hAnsi="Arial" w:cs="Arial"/>
          <w:color w:val="000000"/>
        </w:rPr>
        <w:t>children (0–5 years) across the districts in India (2019-21</w:t>
      </w:r>
    </w:p>
    <w:bookmarkEnd w:id="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4537"/>
      </w:tblGrid>
      <w:tr w:rsidR="00A3335E" w:rsidRPr="00DB3E4F" w14:paraId="64346DB2" w14:textId="77777777" w:rsidTr="00887133">
        <w:tc>
          <w:tcPr>
            <w:tcW w:w="4484" w:type="dxa"/>
          </w:tcPr>
          <w:p w14:paraId="38740D10" w14:textId="77777777" w:rsidR="00A3335E" w:rsidRPr="00DB3E4F" w:rsidRDefault="00A3335E" w:rsidP="00A3335E">
            <w:pPr>
              <w:pStyle w:val="ListParagraph"/>
              <w:numPr>
                <w:ilvl w:val="0"/>
                <w:numId w:val="5"/>
              </w:numPr>
              <w:spacing w:after="0" w:line="360" w:lineRule="auto"/>
              <w:rPr>
                <w:rFonts w:ascii="Arial" w:hAnsi="Arial" w:cs="Arial"/>
                <w:lang w:val="en-US"/>
              </w:rPr>
            </w:pPr>
            <w:r w:rsidRPr="00DB3E4F">
              <w:rPr>
                <w:rFonts w:ascii="Arial" w:hAnsi="Arial" w:cs="Arial"/>
              </w:rPr>
              <w:br w:type="page"/>
            </w:r>
            <w:bookmarkStart w:id="29" w:name="_Hlk191635933"/>
            <w:r w:rsidRPr="00DB3E4F">
              <w:rPr>
                <w:rFonts w:ascii="Arial" w:hAnsi="Arial" w:cs="Arial"/>
                <w:lang w:val="en-US"/>
              </w:rPr>
              <w:t>LISA cluster map</w:t>
            </w:r>
          </w:p>
        </w:tc>
        <w:tc>
          <w:tcPr>
            <w:tcW w:w="4537" w:type="dxa"/>
          </w:tcPr>
          <w:p w14:paraId="5725E7A4" w14:textId="77777777" w:rsidR="00A3335E" w:rsidRPr="00DB3E4F" w:rsidRDefault="00A3335E" w:rsidP="00A3335E">
            <w:pPr>
              <w:pStyle w:val="ListParagraph"/>
              <w:numPr>
                <w:ilvl w:val="0"/>
                <w:numId w:val="5"/>
              </w:numPr>
              <w:spacing w:after="0" w:line="360" w:lineRule="auto"/>
              <w:rPr>
                <w:rFonts w:ascii="Arial" w:hAnsi="Arial" w:cs="Arial"/>
                <w:lang w:val="en-US"/>
              </w:rPr>
            </w:pPr>
            <w:r w:rsidRPr="00DB3E4F">
              <w:rPr>
                <w:rFonts w:ascii="Arial" w:hAnsi="Arial" w:cs="Arial"/>
                <w:lang w:val="en-US"/>
              </w:rPr>
              <w:t>LISA significance map</w:t>
            </w:r>
          </w:p>
        </w:tc>
      </w:tr>
      <w:tr w:rsidR="00A3335E" w:rsidRPr="00DB3E4F" w14:paraId="3D208747" w14:textId="77777777" w:rsidTr="00887133">
        <w:tc>
          <w:tcPr>
            <w:tcW w:w="4484" w:type="dxa"/>
          </w:tcPr>
          <w:p w14:paraId="4A612DD0" w14:textId="77777777" w:rsidR="00A3335E" w:rsidRPr="00DB3E4F" w:rsidRDefault="00A3335E" w:rsidP="00887133">
            <w:pPr>
              <w:pStyle w:val="NormalWeb"/>
              <w:spacing w:line="360" w:lineRule="auto"/>
              <w:rPr>
                <w:rFonts w:ascii="Arial" w:hAnsi="Arial" w:cs="Arial"/>
                <w:sz w:val="22"/>
                <w:szCs w:val="22"/>
                <w:lang w:val="en-US"/>
              </w:rPr>
            </w:pPr>
            <w:r w:rsidRPr="00DB3E4F">
              <w:rPr>
                <w:rFonts w:ascii="Arial" w:hAnsi="Arial" w:cs="Arial"/>
                <w:noProof/>
                <w:sz w:val="22"/>
                <w:szCs w:val="22"/>
              </w:rPr>
              <w:drawing>
                <wp:inline distT="0" distB="0" distL="0" distR="0" wp14:anchorId="79E44F97" wp14:editId="46CE5149">
                  <wp:extent cx="2710180" cy="2737485"/>
                  <wp:effectExtent l="0" t="0" r="0" b="5715"/>
                  <wp:docPr id="353173828" name="Picture 4" descr="A map of india with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73828" name="Picture 4" descr="A map of india with different colored area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19923" cy="2746742"/>
                          </a:xfrm>
                          <a:prstGeom prst="rect">
                            <a:avLst/>
                          </a:prstGeom>
                          <a:noFill/>
                          <a:ln>
                            <a:noFill/>
                          </a:ln>
                        </pic:spPr>
                      </pic:pic>
                    </a:graphicData>
                  </a:graphic>
                </wp:inline>
              </w:drawing>
            </w:r>
          </w:p>
        </w:tc>
        <w:tc>
          <w:tcPr>
            <w:tcW w:w="4537" w:type="dxa"/>
          </w:tcPr>
          <w:p w14:paraId="0D2770D6" w14:textId="77777777" w:rsidR="00A3335E" w:rsidRPr="00DB3E4F" w:rsidRDefault="00A3335E" w:rsidP="00887133">
            <w:pPr>
              <w:pStyle w:val="NormalWeb"/>
              <w:spacing w:line="360" w:lineRule="auto"/>
              <w:rPr>
                <w:rFonts w:ascii="Arial" w:hAnsi="Arial" w:cs="Arial"/>
                <w:sz w:val="22"/>
                <w:szCs w:val="22"/>
                <w:lang w:val="en-US"/>
              </w:rPr>
            </w:pPr>
            <w:r w:rsidRPr="00DB3E4F">
              <w:rPr>
                <w:rFonts w:ascii="Arial" w:hAnsi="Arial" w:cs="Arial"/>
                <w:noProof/>
                <w:sz w:val="22"/>
                <w:szCs w:val="22"/>
              </w:rPr>
              <w:drawing>
                <wp:inline distT="0" distB="0" distL="0" distR="0" wp14:anchorId="74113A0E" wp14:editId="53ED1170">
                  <wp:extent cx="2743835" cy="2723515"/>
                  <wp:effectExtent l="0" t="0" r="0" b="635"/>
                  <wp:docPr id="1666542669" name="Picture 3" descr="A map of india with green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42669" name="Picture 3" descr="A map of india with green and white color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71140" cy="2750569"/>
                          </a:xfrm>
                          <a:prstGeom prst="rect">
                            <a:avLst/>
                          </a:prstGeom>
                          <a:noFill/>
                          <a:ln>
                            <a:noFill/>
                          </a:ln>
                        </pic:spPr>
                      </pic:pic>
                    </a:graphicData>
                  </a:graphic>
                </wp:inline>
              </w:drawing>
            </w:r>
          </w:p>
        </w:tc>
      </w:tr>
    </w:tbl>
    <w:p w14:paraId="23F277DA" w14:textId="77777777" w:rsidR="00A3335E" w:rsidRPr="00DB3E4F" w:rsidRDefault="00A3335E" w:rsidP="00A3335E">
      <w:pPr>
        <w:rPr>
          <w:rFonts w:ascii="Arial" w:hAnsi="Arial" w:cs="Arial"/>
          <w:lang w:val="en-US"/>
        </w:rPr>
      </w:pPr>
    </w:p>
    <w:p w14:paraId="27EC9D7F" w14:textId="77777777" w:rsidR="00A3335E" w:rsidRPr="00DB3E4F" w:rsidRDefault="00A3335E" w:rsidP="00A3335E">
      <w:pPr>
        <w:spacing w:line="360" w:lineRule="auto"/>
        <w:rPr>
          <w:rFonts w:ascii="Arial" w:hAnsi="Arial" w:cs="Arial"/>
        </w:rPr>
      </w:pPr>
      <w:r w:rsidRPr="00DB3E4F">
        <w:rPr>
          <w:rFonts w:ascii="Arial" w:hAnsi="Arial" w:cs="Arial"/>
          <w:b/>
          <w:bCs/>
        </w:rPr>
        <w:t>Figure 3:</w:t>
      </w:r>
      <w:r w:rsidRPr="00DB3E4F">
        <w:rPr>
          <w:rFonts w:ascii="Arial" w:hAnsi="Arial" w:cs="Arial"/>
        </w:rPr>
        <w:t xml:space="preserve"> LISA cluster map and significance map for ARI prevalence among children in districts of India, 2019–21 (NFHS-5)</w:t>
      </w:r>
    </w:p>
    <w:bookmarkEnd w:id="29"/>
    <w:p w14:paraId="73F880B5" w14:textId="77777777" w:rsidR="00A3335E" w:rsidRPr="00DB3E4F" w:rsidRDefault="00A3335E" w:rsidP="00A3335E">
      <w:pPr>
        <w:spacing w:line="360" w:lineRule="auto"/>
        <w:jc w:val="both"/>
        <w:rPr>
          <w:rFonts w:ascii="Arial" w:hAnsi="Arial" w:cs="Arial"/>
          <w:color w:val="000000" w:themeColor="text1"/>
        </w:rPr>
      </w:pPr>
      <w:r w:rsidRPr="00DB3E4F">
        <w:rPr>
          <w:rFonts w:ascii="Arial" w:hAnsi="Arial" w:cs="Arial"/>
          <w:b/>
          <w:bCs/>
          <w:color w:val="000000" w:themeColor="text1"/>
        </w:rPr>
        <w:lastRenderedPageBreak/>
        <w:t>Table 1:</w:t>
      </w:r>
      <w:r w:rsidRPr="00DB3E4F">
        <w:rPr>
          <w:rFonts w:ascii="Arial" w:hAnsi="Arial" w:cs="Arial"/>
          <w:color w:val="000000" w:themeColor="text1"/>
        </w:rPr>
        <w:t xml:space="preserve"> Description of the Explanatory Variable</w:t>
      </w:r>
    </w:p>
    <w:tbl>
      <w:tblPr>
        <w:tblStyle w:val="PlainTable21"/>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174"/>
      </w:tblGrid>
      <w:tr w:rsidR="00A3335E" w:rsidRPr="00DB3E4F" w14:paraId="1BE87715" w14:textId="77777777" w:rsidTr="00887133">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980" w:type="dxa"/>
            <w:tcBorders>
              <w:bottom w:val="none" w:sz="0" w:space="0" w:color="auto"/>
            </w:tcBorders>
            <w:noWrap/>
          </w:tcPr>
          <w:p w14:paraId="1F6E8CB4" w14:textId="77777777" w:rsidR="00A3335E" w:rsidRPr="00DB3E4F" w:rsidRDefault="00A3335E" w:rsidP="00887133">
            <w:pPr>
              <w:jc w:val="center"/>
              <w:rPr>
                <w:rFonts w:ascii="Arial" w:eastAsia="Times New Roman" w:hAnsi="Arial" w:cs="Arial"/>
                <w:b w:val="0"/>
                <w:bCs w:val="0"/>
                <w:color w:val="000000"/>
              </w:rPr>
            </w:pPr>
            <w:r w:rsidRPr="00DB3E4F">
              <w:rPr>
                <w:rFonts w:ascii="Arial" w:eastAsia="Times New Roman" w:hAnsi="Arial" w:cs="Arial"/>
                <w:color w:val="000000"/>
              </w:rPr>
              <w:t>Variables</w:t>
            </w:r>
          </w:p>
        </w:tc>
        <w:tc>
          <w:tcPr>
            <w:tcW w:w="7174" w:type="dxa"/>
            <w:tcBorders>
              <w:bottom w:val="none" w:sz="0" w:space="0" w:color="auto"/>
            </w:tcBorders>
          </w:tcPr>
          <w:p w14:paraId="6F188D0F" w14:textId="77777777" w:rsidR="00A3335E" w:rsidRPr="00DB3E4F" w:rsidRDefault="00A3335E" w:rsidP="0088713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DB3E4F">
              <w:rPr>
                <w:rFonts w:ascii="Arial" w:eastAsia="Times New Roman" w:hAnsi="Arial" w:cs="Arial"/>
                <w:color w:val="000000"/>
              </w:rPr>
              <w:t>Description of the Variable</w:t>
            </w:r>
          </w:p>
        </w:tc>
      </w:tr>
      <w:tr w:rsidR="00A3335E" w:rsidRPr="00DB3E4F" w14:paraId="1C46A309" w14:textId="77777777" w:rsidTr="00887133">
        <w:trPr>
          <w:trHeight w:val="419"/>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402D1335" w14:textId="77777777" w:rsidR="00A3335E" w:rsidRPr="00DB3E4F" w:rsidRDefault="00A3335E" w:rsidP="00A3335E">
            <w:pPr>
              <w:pStyle w:val="ListParagraph"/>
              <w:numPr>
                <w:ilvl w:val="0"/>
                <w:numId w:val="4"/>
              </w:numPr>
              <w:spacing w:after="0" w:line="276" w:lineRule="auto"/>
              <w:jc w:val="center"/>
              <w:rPr>
                <w:rFonts w:ascii="Arial" w:eastAsia="Times New Roman" w:hAnsi="Arial" w:cs="Arial"/>
                <w:b w:val="0"/>
                <w:bCs w:val="0"/>
                <w:color w:val="000000"/>
              </w:rPr>
            </w:pPr>
            <w:r w:rsidRPr="00DB3E4F">
              <w:rPr>
                <w:rFonts w:ascii="Arial" w:eastAsia="Times New Roman" w:hAnsi="Arial" w:cs="Arial"/>
                <w:color w:val="000000"/>
              </w:rPr>
              <w:t>Household Environment</w:t>
            </w:r>
          </w:p>
        </w:tc>
      </w:tr>
      <w:tr w:rsidR="00A3335E" w:rsidRPr="00DB3E4F" w14:paraId="718E7D4F" w14:textId="77777777" w:rsidTr="00887133">
        <w:trPr>
          <w:trHeight w:val="456"/>
        </w:trPr>
        <w:tc>
          <w:tcPr>
            <w:cnfStyle w:val="001000000000" w:firstRow="0" w:lastRow="0" w:firstColumn="1" w:lastColumn="0" w:oddVBand="0" w:evenVBand="0" w:oddHBand="0" w:evenHBand="0" w:firstRowFirstColumn="0" w:firstRowLastColumn="0" w:lastRowFirstColumn="0" w:lastRowLastColumn="0"/>
            <w:tcW w:w="1980" w:type="dxa"/>
            <w:noWrap/>
          </w:tcPr>
          <w:p w14:paraId="5CE94E62"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Type of House </w:t>
            </w:r>
          </w:p>
        </w:tc>
        <w:tc>
          <w:tcPr>
            <w:tcW w:w="7174" w:type="dxa"/>
          </w:tcPr>
          <w:p w14:paraId="7D70F5B1"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House type categories as (1) Kaccha house (2) Semi-pucca houses </w:t>
            </w:r>
          </w:p>
        </w:tc>
      </w:tr>
      <w:tr w:rsidR="00A3335E" w:rsidRPr="00DB3E4F" w14:paraId="50E4574E" w14:textId="77777777" w:rsidTr="00887133">
        <w:trPr>
          <w:trHeight w:val="1095"/>
        </w:trPr>
        <w:tc>
          <w:tcPr>
            <w:cnfStyle w:val="001000000000" w:firstRow="0" w:lastRow="0" w:firstColumn="1" w:lastColumn="0" w:oddVBand="0" w:evenVBand="0" w:oddHBand="0" w:evenHBand="0" w:firstRowFirstColumn="0" w:firstRowLastColumn="0" w:lastRowFirstColumn="0" w:lastRowLastColumn="0"/>
            <w:tcW w:w="1980" w:type="dxa"/>
            <w:noWrap/>
          </w:tcPr>
          <w:p w14:paraId="026A4334"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Type of fuel used for cooking</w:t>
            </w:r>
          </w:p>
        </w:tc>
        <w:tc>
          <w:tcPr>
            <w:tcW w:w="7174" w:type="dxa"/>
          </w:tcPr>
          <w:p w14:paraId="41A0CCFA"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Cooking fuel categories as (1) Unclean Fuel (kerosene, coal, lignite, charcoal, wood, straw/shrubs/grass, agricultural crop, animal dung, and other); and (2) Clean fuel /no food cooked at home (electricity, LPG, biogas, no food cooked in house)</w:t>
            </w:r>
          </w:p>
        </w:tc>
      </w:tr>
      <w:tr w:rsidR="00A3335E" w:rsidRPr="00DB3E4F" w14:paraId="6D4E158B"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62F63CED"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Smoke exposure in the household</w:t>
            </w:r>
          </w:p>
        </w:tc>
        <w:tc>
          <w:tcPr>
            <w:tcW w:w="7174" w:type="dxa"/>
          </w:tcPr>
          <w:p w14:paraId="1B8C3807" w14:textId="77777777" w:rsidR="00A3335E" w:rsidRPr="00DB3E4F" w:rsidRDefault="00A3335E" w:rsidP="00887133">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Household’s smoking exposure recorded as (0) No and (1) Yes </w:t>
            </w:r>
          </w:p>
        </w:tc>
      </w:tr>
      <w:tr w:rsidR="00A3335E" w:rsidRPr="00DB3E4F" w14:paraId="16C324E1"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679D6DC1" w14:textId="77777777" w:rsidR="00A3335E" w:rsidRPr="00DB3E4F" w:rsidRDefault="00A3335E" w:rsidP="00887133">
            <w:pPr>
              <w:jc w:val="both"/>
              <w:rPr>
                <w:rFonts w:ascii="Arial" w:eastAsia="Times New Roman" w:hAnsi="Arial" w:cs="Arial"/>
                <w:b w:val="0"/>
                <w:bCs w:val="0"/>
                <w:color w:val="000000"/>
              </w:rPr>
            </w:pPr>
            <w:r w:rsidRPr="00DB3E4F">
              <w:rPr>
                <w:rFonts w:ascii="Arial" w:eastAsia="Times New Roman" w:hAnsi="Arial" w:cs="Arial"/>
                <w:color w:val="000000"/>
              </w:rPr>
              <w:t xml:space="preserve">Separate kitchen </w:t>
            </w:r>
          </w:p>
        </w:tc>
        <w:tc>
          <w:tcPr>
            <w:tcW w:w="7174" w:type="dxa"/>
          </w:tcPr>
          <w:p w14:paraId="1D88737C"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Availability of a separate kitchen is coded as (0) for a household without a separate kitchen, and (1) for a household with a separate kitchen.</w:t>
            </w:r>
          </w:p>
        </w:tc>
      </w:tr>
      <w:tr w:rsidR="00A3335E" w:rsidRPr="00DB3E4F" w14:paraId="6B848301" w14:textId="77777777" w:rsidTr="00887133">
        <w:trPr>
          <w:trHeight w:val="730"/>
        </w:trPr>
        <w:tc>
          <w:tcPr>
            <w:cnfStyle w:val="001000000000" w:firstRow="0" w:lastRow="0" w:firstColumn="1" w:lastColumn="0" w:oddVBand="0" w:evenVBand="0" w:oddHBand="0" w:evenHBand="0" w:firstRowFirstColumn="0" w:firstRowLastColumn="0" w:lastRowFirstColumn="0" w:lastRowLastColumn="0"/>
            <w:tcW w:w="1980" w:type="dxa"/>
            <w:noWrap/>
          </w:tcPr>
          <w:p w14:paraId="576A947E"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Household crowding</w:t>
            </w:r>
          </w:p>
        </w:tc>
        <w:tc>
          <w:tcPr>
            <w:tcW w:w="7174" w:type="dxa"/>
          </w:tcPr>
          <w:p w14:paraId="2ECF8DED"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Household crowding is classified as follows: (1) Not crowded (&lt;= 3 persons sleep in a room); (2) Crowded (&gt; 3 persons sleep in a room); and (3) No room for sleep.</w:t>
            </w:r>
          </w:p>
        </w:tc>
      </w:tr>
      <w:tr w:rsidR="00A3335E" w:rsidRPr="00DB3E4F" w14:paraId="4034585A"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55A2A942"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Place of handwashing in household</w:t>
            </w:r>
          </w:p>
        </w:tc>
        <w:tc>
          <w:tcPr>
            <w:tcW w:w="7174" w:type="dxa"/>
          </w:tcPr>
          <w:p w14:paraId="5C443865" w14:textId="77777777" w:rsidR="00A3335E" w:rsidRPr="00DB3E4F" w:rsidRDefault="00A3335E" w:rsidP="00887133">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Handwashing in households is categorized as (0) if not observed and (1) if observed.</w:t>
            </w:r>
          </w:p>
        </w:tc>
      </w:tr>
      <w:tr w:rsidR="00A3335E" w:rsidRPr="00DB3E4F" w14:paraId="2D891C99" w14:textId="77777777" w:rsidTr="00887133">
        <w:trPr>
          <w:trHeight w:val="638"/>
        </w:trPr>
        <w:tc>
          <w:tcPr>
            <w:cnfStyle w:val="001000000000" w:firstRow="0" w:lastRow="0" w:firstColumn="1" w:lastColumn="0" w:oddVBand="0" w:evenVBand="0" w:oddHBand="0" w:evenHBand="0" w:firstRowFirstColumn="0" w:firstRowLastColumn="0" w:lastRowFirstColumn="0" w:lastRowLastColumn="0"/>
            <w:tcW w:w="1980" w:type="dxa"/>
            <w:noWrap/>
          </w:tcPr>
          <w:p w14:paraId="332E507C"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Season of interview</w:t>
            </w:r>
          </w:p>
        </w:tc>
        <w:tc>
          <w:tcPr>
            <w:tcW w:w="7174" w:type="dxa"/>
          </w:tcPr>
          <w:p w14:paraId="12D26C15" w14:textId="77777777" w:rsidR="00A3335E" w:rsidRPr="00DB3E4F" w:rsidRDefault="00A3335E" w:rsidP="00887133">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season of the interview was considered and was classified as (1) Winter Season (October-January); (2) Summer Season (February-May); and (3) Rainy Season (June-September)</w:t>
            </w:r>
          </w:p>
        </w:tc>
      </w:tr>
      <w:tr w:rsidR="00A3335E" w:rsidRPr="00DB3E4F" w14:paraId="24B16B24"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001AF18D" w14:textId="77777777" w:rsidR="00A3335E" w:rsidRPr="00DB3E4F" w:rsidRDefault="00A3335E" w:rsidP="00A3335E">
            <w:pPr>
              <w:pStyle w:val="ListParagraph"/>
              <w:numPr>
                <w:ilvl w:val="0"/>
                <w:numId w:val="4"/>
              </w:numPr>
              <w:spacing w:after="0" w:line="276" w:lineRule="auto"/>
              <w:jc w:val="center"/>
              <w:rPr>
                <w:rFonts w:ascii="Arial" w:eastAsia="Times New Roman" w:hAnsi="Arial" w:cs="Arial"/>
                <w:b w:val="0"/>
                <w:bCs w:val="0"/>
              </w:rPr>
            </w:pPr>
            <w:r w:rsidRPr="00DB3E4F">
              <w:rPr>
                <w:rFonts w:ascii="Arial" w:eastAsia="Times New Roman" w:hAnsi="Arial" w:cs="Arial"/>
              </w:rPr>
              <w:t>Socio-Economic Characteristics</w:t>
            </w:r>
          </w:p>
        </w:tc>
      </w:tr>
      <w:tr w:rsidR="00A3335E" w:rsidRPr="00DB3E4F" w14:paraId="2E385CD1"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45681168"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Place of Residence</w:t>
            </w:r>
          </w:p>
        </w:tc>
        <w:tc>
          <w:tcPr>
            <w:tcW w:w="7174" w:type="dxa"/>
          </w:tcPr>
          <w:p w14:paraId="44709607" w14:textId="77777777" w:rsidR="00A3335E" w:rsidRPr="00DB3E4F" w:rsidRDefault="00A3335E" w:rsidP="00887133">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Place of residence has two categories: (1) urban and (2) rural</w:t>
            </w:r>
          </w:p>
        </w:tc>
      </w:tr>
      <w:tr w:rsidR="00A3335E" w:rsidRPr="00DB3E4F" w14:paraId="535E1D09" w14:textId="77777777" w:rsidTr="00887133">
        <w:trPr>
          <w:trHeight w:val="881"/>
        </w:trPr>
        <w:tc>
          <w:tcPr>
            <w:cnfStyle w:val="001000000000" w:firstRow="0" w:lastRow="0" w:firstColumn="1" w:lastColumn="0" w:oddVBand="0" w:evenVBand="0" w:oddHBand="0" w:evenHBand="0" w:firstRowFirstColumn="0" w:firstRowLastColumn="0" w:lastRowFirstColumn="0" w:lastRowLastColumn="0"/>
            <w:tcW w:w="1980" w:type="dxa"/>
            <w:noWrap/>
          </w:tcPr>
          <w:p w14:paraId="434D8256"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Social Group </w:t>
            </w:r>
          </w:p>
        </w:tc>
        <w:tc>
          <w:tcPr>
            <w:tcW w:w="7174" w:type="dxa"/>
          </w:tcPr>
          <w:p w14:paraId="0F8DF0DE"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Social groups are coded into four categories: Scheduled Caste (SC) (1), Scheduled Tribe (ST) (2), Other Backward Classes (OBC) (3), 'Others' (4)</w:t>
            </w:r>
          </w:p>
        </w:tc>
      </w:tr>
      <w:tr w:rsidR="00A3335E" w:rsidRPr="00DB3E4F" w14:paraId="309EA638" w14:textId="77777777" w:rsidTr="00887133">
        <w:trPr>
          <w:trHeight w:val="638"/>
        </w:trPr>
        <w:tc>
          <w:tcPr>
            <w:cnfStyle w:val="001000000000" w:firstRow="0" w:lastRow="0" w:firstColumn="1" w:lastColumn="0" w:oddVBand="0" w:evenVBand="0" w:oddHBand="0" w:evenHBand="0" w:firstRowFirstColumn="0" w:firstRowLastColumn="0" w:lastRowFirstColumn="0" w:lastRowLastColumn="0"/>
            <w:tcW w:w="1980" w:type="dxa"/>
            <w:noWrap/>
          </w:tcPr>
          <w:p w14:paraId="5C8CB870"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Religion Group </w:t>
            </w:r>
          </w:p>
        </w:tc>
        <w:tc>
          <w:tcPr>
            <w:tcW w:w="7174" w:type="dxa"/>
          </w:tcPr>
          <w:p w14:paraId="1D8C762F"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Religion is categorized into two groups: (1) Hindu, (2) Non-Hindu (including Muslim, Christian, Sikh, Buddhist, neo-Buddhist, Jain, Jewish, and others).</w:t>
            </w:r>
          </w:p>
        </w:tc>
      </w:tr>
      <w:tr w:rsidR="00A3335E" w:rsidRPr="00DB3E4F" w14:paraId="013FDC84" w14:textId="77777777" w:rsidTr="00887133">
        <w:trPr>
          <w:trHeight w:val="841"/>
        </w:trPr>
        <w:tc>
          <w:tcPr>
            <w:cnfStyle w:val="001000000000" w:firstRow="0" w:lastRow="0" w:firstColumn="1" w:lastColumn="0" w:oddVBand="0" w:evenVBand="0" w:oddHBand="0" w:evenHBand="0" w:firstRowFirstColumn="0" w:firstRowLastColumn="0" w:lastRowFirstColumn="0" w:lastRowLastColumn="0"/>
            <w:tcW w:w="1980" w:type="dxa"/>
            <w:noWrap/>
          </w:tcPr>
          <w:p w14:paraId="515B6E36"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Wealth Quintile</w:t>
            </w:r>
          </w:p>
        </w:tc>
        <w:tc>
          <w:tcPr>
            <w:tcW w:w="7174" w:type="dxa"/>
          </w:tcPr>
          <w:p w14:paraId="3B9FEC7A"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wealth index is a measure of a household's wealth based on the possessions and facilities they have. It reflects their socio-economic status, with each household receiving a score based on the goods they own. To calculate this score, 33 different assets and housing features were considered using Principal Component Analysis. The resulting score is then divided into five equal categories: (1) poorest, (2) poorer, (3) middle, (4) richer, and (5) richest, each representing 20% of the population.</w:t>
            </w:r>
          </w:p>
        </w:tc>
      </w:tr>
      <w:tr w:rsidR="00A3335E" w:rsidRPr="00DB3E4F" w14:paraId="0B88267A"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09FB5F6A" w14:textId="77777777" w:rsidR="00A3335E" w:rsidRPr="00DB3E4F" w:rsidRDefault="00A3335E" w:rsidP="00A3335E">
            <w:pPr>
              <w:pStyle w:val="ListParagraph"/>
              <w:numPr>
                <w:ilvl w:val="0"/>
                <w:numId w:val="4"/>
              </w:numPr>
              <w:spacing w:after="0" w:line="276" w:lineRule="auto"/>
              <w:jc w:val="center"/>
              <w:rPr>
                <w:rFonts w:ascii="Arial" w:eastAsia="Times New Roman" w:hAnsi="Arial" w:cs="Arial"/>
                <w:b w:val="0"/>
                <w:bCs w:val="0"/>
              </w:rPr>
            </w:pPr>
            <w:r w:rsidRPr="00DB3E4F">
              <w:rPr>
                <w:rFonts w:ascii="Arial" w:eastAsia="Times New Roman" w:hAnsi="Arial" w:cs="Arial"/>
              </w:rPr>
              <w:t>Maternal Characteristics</w:t>
            </w:r>
          </w:p>
        </w:tc>
      </w:tr>
      <w:tr w:rsidR="00A3335E" w:rsidRPr="00DB3E4F" w14:paraId="3BEF7B3D"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0138C172"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lastRenderedPageBreak/>
              <w:t xml:space="preserve">Mother's education </w:t>
            </w:r>
          </w:p>
        </w:tc>
        <w:tc>
          <w:tcPr>
            <w:tcW w:w="7174" w:type="dxa"/>
          </w:tcPr>
          <w:p w14:paraId="7961E733"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education level of women is classified into four categories: 'no education' (0), 'primary' (1), 'secondary' (2), 'higher' (3).</w:t>
            </w:r>
          </w:p>
        </w:tc>
      </w:tr>
      <w:tr w:rsidR="00A3335E" w:rsidRPr="00DB3E4F" w14:paraId="2CBD5AE8"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6D57A98D"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Mother's age</w:t>
            </w:r>
          </w:p>
        </w:tc>
        <w:tc>
          <w:tcPr>
            <w:tcW w:w="7174" w:type="dxa"/>
          </w:tcPr>
          <w:p w14:paraId="5710709F"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age of women has four categories: '15–19' (1), '20–29' (2), '30–29' (3), '40–49' (4)</w:t>
            </w:r>
          </w:p>
        </w:tc>
      </w:tr>
      <w:tr w:rsidR="00A3335E" w:rsidRPr="00DB3E4F" w14:paraId="0E331863"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77553345"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Mother smoking exposure</w:t>
            </w:r>
          </w:p>
        </w:tc>
        <w:tc>
          <w:tcPr>
            <w:tcW w:w="7174" w:type="dxa"/>
          </w:tcPr>
          <w:p w14:paraId="1A9CD8BA"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Mother's smoking </w:t>
            </w:r>
            <w:proofErr w:type="spellStart"/>
            <w:r w:rsidRPr="00DB3E4F">
              <w:rPr>
                <w:rFonts w:ascii="Arial" w:eastAsia="Times New Roman" w:hAnsi="Arial" w:cs="Arial"/>
                <w:color w:val="000000"/>
              </w:rPr>
              <w:t>behavior</w:t>
            </w:r>
            <w:proofErr w:type="spellEnd"/>
            <w:r w:rsidRPr="00DB3E4F">
              <w:rPr>
                <w:rFonts w:ascii="Arial" w:eastAsia="Times New Roman" w:hAnsi="Arial" w:cs="Arial"/>
                <w:color w:val="000000"/>
              </w:rPr>
              <w:t xml:space="preserve"> is recorded as follows: (1) if she smokes bidis and cigarettes regularly, and (2) for never smokers.</w:t>
            </w:r>
          </w:p>
        </w:tc>
      </w:tr>
      <w:tr w:rsidR="00A3335E" w:rsidRPr="00DB3E4F" w14:paraId="73C196ED" w14:textId="77777777" w:rsidTr="00887133">
        <w:trPr>
          <w:trHeight w:val="1881"/>
        </w:trPr>
        <w:tc>
          <w:tcPr>
            <w:cnfStyle w:val="001000000000" w:firstRow="0" w:lastRow="0" w:firstColumn="1" w:lastColumn="0" w:oddVBand="0" w:evenVBand="0" w:oddHBand="0" w:evenHBand="0" w:firstRowFirstColumn="0" w:firstRowLastColumn="0" w:lastRowFirstColumn="0" w:lastRowLastColumn="0"/>
            <w:tcW w:w="1980" w:type="dxa"/>
            <w:noWrap/>
          </w:tcPr>
          <w:p w14:paraId="593B4603"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Mother exposure to mass media </w:t>
            </w:r>
          </w:p>
        </w:tc>
        <w:tc>
          <w:tcPr>
            <w:tcW w:w="7174" w:type="dxa"/>
          </w:tcPr>
          <w:p w14:paraId="51F9B5D5"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Exposure to mass media (contents of newspapers/magazines, television, and radio) is divided into four categories: (0) 'no' (the respondent is not exposed to any mass media), (1) 'low' (the respondent is exposed to any one type of mass media); (2)  'medium' (exposed to any two types of mass media); (3) 'high' (the respondent is exposed to all three types of mass media).</w:t>
            </w:r>
          </w:p>
        </w:tc>
      </w:tr>
      <w:tr w:rsidR="00A3335E" w:rsidRPr="00DB3E4F" w14:paraId="697557C7"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64C7E72D"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Mother had respiratory diseases/asthma</w:t>
            </w:r>
          </w:p>
        </w:tc>
        <w:tc>
          <w:tcPr>
            <w:tcW w:w="7174" w:type="dxa"/>
          </w:tcPr>
          <w:p w14:paraId="63FC8489"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Chronic respiratory disease in women, including asthma, is classified as: (0) No, and (1) Yes."</w:t>
            </w:r>
          </w:p>
        </w:tc>
      </w:tr>
      <w:tr w:rsidR="00A3335E" w:rsidRPr="00DB3E4F" w14:paraId="2C86EF30"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55B56F98" w14:textId="77777777" w:rsidR="00A3335E" w:rsidRPr="00DB3E4F" w:rsidRDefault="00A3335E" w:rsidP="00A3335E">
            <w:pPr>
              <w:pStyle w:val="ListParagraph"/>
              <w:numPr>
                <w:ilvl w:val="0"/>
                <w:numId w:val="4"/>
              </w:numPr>
              <w:spacing w:after="0" w:line="276" w:lineRule="auto"/>
              <w:jc w:val="center"/>
              <w:rPr>
                <w:rFonts w:ascii="Arial" w:eastAsia="Times New Roman" w:hAnsi="Arial" w:cs="Arial"/>
                <w:b w:val="0"/>
                <w:bCs w:val="0"/>
              </w:rPr>
            </w:pPr>
            <w:r w:rsidRPr="00DB3E4F">
              <w:rPr>
                <w:rFonts w:ascii="Arial" w:eastAsia="Times New Roman" w:hAnsi="Arial" w:cs="Arial"/>
              </w:rPr>
              <w:t>Children Characteristics</w:t>
            </w:r>
          </w:p>
        </w:tc>
      </w:tr>
      <w:tr w:rsidR="00A3335E" w:rsidRPr="00DB3E4F" w14:paraId="29785AB7" w14:textId="77777777" w:rsidTr="00887133">
        <w:trPr>
          <w:trHeight w:val="730"/>
        </w:trPr>
        <w:tc>
          <w:tcPr>
            <w:cnfStyle w:val="001000000000" w:firstRow="0" w:lastRow="0" w:firstColumn="1" w:lastColumn="0" w:oddVBand="0" w:evenVBand="0" w:oddHBand="0" w:evenHBand="0" w:firstRowFirstColumn="0" w:firstRowLastColumn="0" w:lastRowFirstColumn="0" w:lastRowLastColumn="0"/>
            <w:tcW w:w="1980" w:type="dxa"/>
            <w:noWrap/>
          </w:tcPr>
          <w:p w14:paraId="4F92DD87"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Age of Child (Months)</w:t>
            </w:r>
          </w:p>
        </w:tc>
        <w:tc>
          <w:tcPr>
            <w:tcW w:w="7174" w:type="dxa"/>
          </w:tcPr>
          <w:p w14:paraId="50495CC2"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age of the child at the time of survey is recorded in completed months as follows: (1) 0-11 months; (2) 12-23 months; (3) 24-35 months; (4) 36-47 months; and (5) 48-59 months.</w:t>
            </w:r>
          </w:p>
        </w:tc>
      </w:tr>
      <w:tr w:rsidR="00A3335E" w:rsidRPr="00DB3E4F" w14:paraId="2AD343AC"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093CE8F6"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Sex of the child </w:t>
            </w:r>
          </w:p>
        </w:tc>
        <w:tc>
          <w:tcPr>
            <w:tcW w:w="7174" w:type="dxa"/>
          </w:tcPr>
          <w:p w14:paraId="00C1EDFA"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sex of the child was used as original (1) male (2) female</w:t>
            </w:r>
          </w:p>
        </w:tc>
      </w:tr>
      <w:tr w:rsidR="00A3335E" w:rsidRPr="00DB3E4F" w14:paraId="52BBB93F" w14:textId="77777777" w:rsidTr="00887133">
        <w:trPr>
          <w:trHeight w:val="1095"/>
        </w:trPr>
        <w:tc>
          <w:tcPr>
            <w:cnfStyle w:val="001000000000" w:firstRow="0" w:lastRow="0" w:firstColumn="1" w:lastColumn="0" w:oddVBand="0" w:evenVBand="0" w:oddHBand="0" w:evenHBand="0" w:firstRowFirstColumn="0" w:firstRowLastColumn="0" w:lastRowFirstColumn="0" w:lastRowLastColumn="0"/>
            <w:tcW w:w="1980" w:type="dxa"/>
            <w:noWrap/>
          </w:tcPr>
          <w:p w14:paraId="05D7EBA4"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Child Nutrition Status </w:t>
            </w:r>
          </w:p>
        </w:tc>
        <w:tc>
          <w:tcPr>
            <w:tcW w:w="7174" w:type="dxa"/>
          </w:tcPr>
          <w:p w14:paraId="47779C80"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As per the NFHS guideline, the children whose weight-for-age Z-score (WAZ) is below minus two standard deviations (-2 SD) from the median are classified as underweight. On the other hand, children whose WAZ score is below minus three standard deviations (-3 SD) from the median are considered as severely underweight. </w:t>
            </w:r>
          </w:p>
        </w:tc>
      </w:tr>
      <w:tr w:rsidR="00A3335E" w:rsidRPr="00DB3E4F" w14:paraId="1F9A7387" w14:textId="77777777" w:rsidTr="00887133">
        <w:trPr>
          <w:trHeight w:val="730"/>
        </w:trPr>
        <w:tc>
          <w:tcPr>
            <w:cnfStyle w:val="001000000000" w:firstRow="0" w:lastRow="0" w:firstColumn="1" w:lastColumn="0" w:oddVBand="0" w:evenVBand="0" w:oddHBand="0" w:evenHBand="0" w:firstRowFirstColumn="0" w:firstRowLastColumn="0" w:lastRowFirstColumn="0" w:lastRowLastColumn="0"/>
            <w:tcW w:w="1980" w:type="dxa"/>
            <w:noWrap/>
          </w:tcPr>
          <w:p w14:paraId="06BE86D9"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Whether the child had diarrhoea</w:t>
            </w:r>
          </w:p>
        </w:tc>
        <w:tc>
          <w:tcPr>
            <w:tcW w:w="7174" w:type="dxa"/>
          </w:tcPr>
          <w:p w14:paraId="5647E7F5"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Childhood </w:t>
            </w:r>
            <w:proofErr w:type="spellStart"/>
            <w:r w:rsidRPr="00DB3E4F">
              <w:rPr>
                <w:rFonts w:ascii="Arial" w:eastAsia="Times New Roman" w:hAnsi="Arial" w:cs="Arial"/>
                <w:color w:val="000000"/>
              </w:rPr>
              <w:t>diarrohea</w:t>
            </w:r>
            <w:proofErr w:type="spellEnd"/>
            <w:r w:rsidRPr="00DB3E4F">
              <w:rPr>
                <w:rFonts w:ascii="Arial" w:eastAsia="Times New Roman" w:hAnsi="Arial" w:cs="Arial"/>
                <w:color w:val="000000"/>
              </w:rPr>
              <w:t xml:space="preserve"> is classified as: (0) No, and (1) Yes.</w:t>
            </w:r>
          </w:p>
        </w:tc>
      </w:tr>
      <w:tr w:rsidR="00A3335E" w:rsidRPr="00DB3E4F" w14:paraId="69E3A050"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1980" w:type="dxa"/>
            <w:noWrap/>
          </w:tcPr>
          <w:p w14:paraId="034ECD80"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Child’s birth order</w:t>
            </w:r>
          </w:p>
        </w:tc>
        <w:tc>
          <w:tcPr>
            <w:tcW w:w="7174" w:type="dxa"/>
          </w:tcPr>
          <w:p w14:paraId="012E579C"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The original birth order of the child was categorized into two groups: (1) less than 3, and (2) 3 or more.</w:t>
            </w:r>
          </w:p>
        </w:tc>
      </w:tr>
      <w:tr w:rsidR="00A3335E" w:rsidRPr="00DB3E4F" w14:paraId="363E7830" w14:textId="77777777" w:rsidTr="00887133">
        <w:trPr>
          <w:trHeight w:val="364"/>
        </w:trPr>
        <w:tc>
          <w:tcPr>
            <w:cnfStyle w:val="001000000000" w:firstRow="0" w:lastRow="0" w:firstColumn="1" w:lastColumn="0" w:oddVBand="0" w:evenVBand="0" w:oddHBand="0" w:evenHBand="0" w:firstRowFirstColumn="0" w:firstRowLastColumn="0" w:lastRowFirstColumn="0" w:lastRowLastColumn="0"/>
            <w:tcW w:w="9154" w:type="dxa"/>
            <w:gridSpan w:val="2"/>
            <w:noWrap/>
          </w:tcPr>
          <w:p w14:paraId="5C8A0714" w14:textId="77777777" w:rsidR="00A3335E" w:rsidRPr="00DB3E4F" w:rsidRDefault="00A3335E" w:rsidP="00A3335E">
            <w:pPr>
              <w:pStyle w:val="ListParagraph"/>
              <w:numPr>
                <w:ilvl w:val="0"/>
                <w:numId w:val="4"/>
              </w:numPr>
              <w:spacing w:after="0" w:line="276" w:lineRule="auto"/>
              <w:jc w:val="center"/>
              <w:rPr>
                <w:rFonts w:ascii="Arial" w:eastAsia="Times New Roman" w:hAnsi="Arial" w:cs="Arial"/>
                <w:b w:val="0"/>
                <w:bCs w:val="0"/>
              </w:rPr>
            </w:pPr>
            <w:r w:rsidRPr="00DB3E4F">
              <w:rPr>
                <w:rFonts w:ascii="Arial" w:eastAsia="Times New Roman" w:hAnsi="Arial" w:cs="Arial"/>
              </w:rPr>
              <w:t>Others</w:t>
            </w:r>
          </w:p>
        </w:tc>
      </w:tr>
      <w:tr w:rsidR="00A3335E" w:rsidRPr="00DB3E4F" w14:paraId="5DBF3E78" w14:textId="77777777" w:rsidTr="00887133">
        <w:trPr>
          <w:trHeight w:val="699"/>
        </w:trPr>
        <w:tc>
          <w:tcPr>
            <w:cnfStyle w:val="001000000000" w:firstRow="0" w:lastRow="0" w:firstColumn="1" w:lastColumn="0" w:oddVBand="0" w:evenVBand="0" w:oddHBand="0" w:evenHBand="0" w:firstRowFirstColumn="0" w:firstRowLastColumn="0" w:lastRowFirstColumn="0" w:lastRowLastColumn="0"/>
            <w:tcW w:w="1980" w:type="dxa"/>
            <w:noWrap/>
          </w:tcPr>
          <w:p w14:paraId="15958ED3" w14:textId="77777777" w:rsidR="00A3335E" w:rsidRPr="00DB3E4F" w:rsidRDefault="00A3335E" w:rsidP="00887133">
            <w:pPr>
              <w:rPr>
                <w:rFonts w:ascii="Arial" w:eastAsia="Times New Roman" w:hAnsi="Arial" w:cs="Arial"/>
                <w:b w:val="0"/>
                <w:bCs w:val="0"/>
                <w:color w:val="000000"/>
              </w:rPr>
            </w:pPr>
            <w:r w:rsidRPr="00DB3E4F">
              <w:rPr>
                <w:rFonts w:ascii="Arial" w:eastAsia="Times New Roman" w:hAnsi="Arial" w:cs="Arial"/>
                <w:color w:val="000000"/>
              </w:rPr>
              <w:t xml:space="preserve">Regions in India </w:t>
            </w:r>
          </w:p>
        </w:tc>
        <w:tc>
          <w:tcPr>
            <w:tcW w:w="7174" w:type="dxa"/>
          </w:tcPr>
          <w:p w14:paraId="2594EFC6" w14:textId="77777777" w:rsidR="00A3335E" w:rsidRPr="00DB3E4F" w:rsidRDefault="00A3335E" w:rsidP="0088713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DB3E4F">
              <w:rPr>
                <w:rFonts w:ascii="Arial" w:eastAsia="Times New Roman" w:hAnsi="Arial" w:cs="Arial"/>
                <w:color w:val="000000"/>
              </w:rPr>
              <w:t xml:space="preserve">The NFHS categorizes the regions as follows: The Northern region comprises Chandigarh, Delhi, Haryana, Himachal Pradesh, Jammu &amp; Kashmir, Punjab, Rajasthan, Uttarakhand, and Ladakh. The Eastern region includes Bihar, Jharkhand, Odisha, and West Bengal. The North-Eastern region is made up of Arunachal Pradesh, Assam, Manipur, Meghalaya, Mizoram, Nagaland, Sikkim, and Tripura. The Central region consists of Chhattisgarh, Madhya Pradesh, and Uttar Pradesh. The Western region encompasses Dadra &amp; Nagar Haveli, Daman &amp; Diu, Goa, Gujarat, and Maharashtra. Lastly, the Southern region contains </w:t>
            </w:r>
            <w:r w:rsidRPr="00DB3E4F">
              <w:rPr>
                <w:rFonts w:ascii="Arial" w:eastAsia="Times New Roman" w:hAnsi="Arial" w:cs="Arial"/>
                <w:color w:val="000000"/>
              </w:rPr>
              <w:lastRenderedPageBreak/>
              <w:t>Andaman &amp; Nicobar Islands, Andhra Pradesh, Karnataka, Kerala, Lakshadweep, Puducherry, Tamil Nadu, and Telangana.</w:t>
            </w:r>
          </w:p>
        </w:tc>
      </w:tr>
    </w:tbl>
    <w:p w14:paraId="0CCC5CA3" w14:textId="77777777" w:rsidR="00A3335E" w:rsidRPr="00DB3E4F" w:rsidRDefault="00A3335E" w:rsidP="00A3335E">
      <w:pPr>
        <w:spacing w:line="360" w:lineRule="auto"/>
        <w:jc w:val="both"/>
        <w:rPr>
          <w:rFonts w:ascii="Arial" w:hAnsi="Arial" w:cs="Arial"/>
          <w:color w:val="000000" w:themeColor="text1"/>
        </w:rPr>
      </w:pPr>
    </w:p>
    <w:p w14:paraId="170A80EE" w14:textId="77777777" w:rsidR="00A3335E" w:rsidRPr="00DB3E4F" w:rsidRDefault="00A3335E" w:rsidP="00A3335E">
      <w:pPr>
        <w:rPr>
          <w:rFonts w:ascii="Arial" w:hAnsi="Arial" w:cs="Arial"/>
        </w:rPr>
      </w:pPr>
      <w:r w:rsidRPr="00DB3E4F">
        <w:rPr>
          <w:rFonts w:ascii="Arial" w:hAnsi="Arial" w:cs="Arial"/>
          <w:b/>
        </w:rPr>
        <w:t>Table 2:</w:t>
      </w:r>
      <w:r w:rsidRPr="00DB3E4F">
        <w:rPr>
          <w:rFonts w:ascii="Arial" w:hAnsi="Arial" w:cs="Arial"/>
        </w:rPr>
        <w:t xml:space="preserve"> Prevalence of ARI among children (0-5 years) across the state and UTs in India in NFHS-IV (2019-21)</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908"/>
        <w:gridCol w:w="988"/>
        <w:gridCol w:w="892"/>
        <w:gridCol w:w="1793"/>
      </w:tblGrid>
      <w:tr w:rsidR="00A3335E" w:rsidRPr="00DB3E4F" w14:paraId="43621339" w14:textId="77777777" w:rsidTr="00887133">
        <w:trPr>
          <w:trHeight w:val="275"/>
        </w:trPr>
        <w:tc>
          <w:tcPr>
            <w:tcW w:w="4902" w:type="dxa"/>
            <w:vMerge w:val="restart"/>
            <w:noWrap/>
            <w:vAlign w:val="center"/>
          </w:tcPr>
          <w:p w14:paraId="0900E848"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State/UTs</w:t>
            </w:r>
          </w:p>
        </w:tc>
        <w:tc>
          <w:tcPr>
            <w:tcW w:w="4581" w:type="dxa"/>
            <w:gridSpan w:val="4"/>
            <w:noWrap/>
            <w:vAlign w:val="center"/>
          </w:tcPr>
          <w:p w14:paraId="02DBC00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Weighted Prevalence of ARI (in Percentage)</w:t>
            </w:r>
          </w:p>
        </w:tc>
      </w:tr>
      <w:tr w:rsidR="00A3335E" w:rsidRPr="00DB3E4F" w14:paraId="203EFEBF" w14:textId="77777777" w:rsidTr="00887133">
        <w:trPr>
          <w:trHeight w:val="285"/>
        </w:trPr>
        <w:tc>
          <w:tcPr>
            <w:tcW w:w="4902" w:type="dxa"/>
            <w:vMerge/>
            <w:vAlign w:val="center"/>
          </w:tcPr>
          <w:p w14:paraId="24884D46" w14:textId="77777777" w:rsidR="00A3335E" w:rsidRPr="00DB3E4F" w:rsidRDefault="00A3335E" w:rsidP="00887133">
            <w:pPr>
              <w:spacing w:after="0" w:line="240" w:lineRule="auto"/>
              <w:rPr>
                <w:rFonts w:ascii="Arial" w:eastAsia="Times New Roman" w:hAnsi="Arial" w:cs="Arial"/>
                <w:b/>
                <w:bCs/>
                <w:color w:val="000000"/>
                <w:lang w:eastAsia="en-IN"/>
              </w:rPr>
            </w:pPr>
          </w:p>
        </w:tc>
        <w:tc>
          <w:tcPr>
            <w:tcW w:w="908" w:type="dxa"/>
            <w:noWrap/>
            <w:vAlign w:val="center"/>
          </w:tcPr>
          <w:p w14:paraId="1C093F90"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Total </w:t>
            </w:r>
          </w:p>
        </w:tc>
        <w:tc>
          <w:tcPr>
            <w:tcW w:w="988" w:type="dxa"/>
            <w:noWrap/>
            <w:vAlign w:val="center"/>
          </w:tcPr>
          <w:p w14:paraId="29D83594"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 xml:space="preserve">Urban </w:t>
            </w:r>
          </w:p>
        </w:tc>
        <w:tc>
          <w:tcPr>
            <w:tcW w:w="892" w:type="dxa"/>
            <w:noWrap/>
            <w:vAlign w:val="center"/>
          </w:tcPr>
          <w:p w14:paraId="668C466E"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 xml:space="preserve">Rural </w:t>
            </w:r>
          </w:p>
        </w:tc>
        <w:tc>
          <w:tcPr>
            <w:tcW w:w="1793" w:type="dxa"/>
            <w:noWrap/>
            <w:vAlign w:val="center"/>
          </w:tcPr>
          <w:p w14:paraId="2E76D7BB"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Sample (N)</w:t>
            </w:r>
          </w:p>
        </w:tc>
      </w:tr>
      <w:tr w:rsidR="00A3335E" w:rsidRPr="00DB3E4F" w14:paraId="782A97A8" w14:textId="77777777" w:rsidTr="00887133">
        <w:trPr>
          <w:trHeight w:val="285"/>
        </w:trPr>
        <w:tc>
          <w:tcPr>
            <w:tcW w:w="4902" w:type="dxa"/>
            <w:noWrap/>
            <w:vAlign w:val="center"/>
          </w:tcPr>
          <w:p w14:paraId="2BBFA8C0"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A. North Region </w:t>
            </w:r>
          </w:p>
        </w:tc>
        <w:tc>
          <w:tcPr>
            <w:tcW w:w="908" w:type="dxa"/>
            <w:noWrap/>
            <w:vAlign w:val="center"/>
          </w:tcPr>
          <w:p w14:paraId="72B98C8A"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3.0</w:t>
            </w:r>
          </w:p>
        </w:tc>
        <w:tc>
          <w:tcPr>
            <w:tcW w:w="988" w:type="dxa"/>
            <w:noWrap/>
            <w:vAlign w:val="center"/>
          </w:tcPr>
          <w:p w14:paraId="53516C37"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3.2</w:t>
            </w:r>
          </w:p>
        </w:tc>
        <w:tc>
          <w:tcPr>
            <w:tcW w:w="892" w:type="dxa"/>
            <w:noWrap/>
            <w:vAlign w:val="center"/>
          </w:tcPr>
          <w:p w14:paraId="75B14AFA"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2.9</w:t>
            </w:r>
          </w:p>
        </w:tc>
        <w:tc>
          <w:tcPr>
            <w:tcW w:w="1793" w:type="dxa"/>
            <w:noWrap/>
            <w:vAlign w:val="center"/>
          </w:tcPr>
          <w:p w14:paraId="2D964039"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29, 963</w:t>
            </w:r>
          </w:p>
        </w:tc>
      </w:tr>
      <w:tr w:rsidR="00A3335E" w:rsidRPr="00DB3E4F" w14:paraId="75BE4DF5" w14:textId="77777777" w:rsidTr="00887133">
        <w:trPr>
          <w:trHeight w:val="285"/>
        </w:trPr>
        <w:tc>
          <w:tcPr>
            <w:tcW w:w="4902" w:type="dxa"/>
            <w:noWrap/>
            <w:vAlign w:val="center"/>
          </w:tcPr>
          <w:p w14:paraId="1508F6C7"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Chandigarh</w:t>
            </w:r>
          </w:p>
        </w:tc>
        <w:tc>
          <w:tcPr>
            <w:tcW w:w="908" w:type="dxa"/>
            <w:noWrap/>
            <w:vAlign w:val="center"/>
          </w:tcPr>
          <w:p w14:paraId="13EFF5C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0.3</w:t>
            </w:r>
          </w:p>
        </w:tc>
        <w:tc>
          <w:tcPr>
            <w:tcW w:w="988" w:type="dxa"/>
            <w:noWrap/>
            <w:vAlign w:val="center"/>
          </w:tcPr>
          <w:p w14:paraId="77B3AF3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0.3</w:t>
            </w:r>
          </w:p>
        </w:tc>
        <w:tc>
          <w:tcPr>
            <w:tcW w:w="892" w:type="dxa"/>
            <w:noWrap/>
            <w:vAlign w:val="center"/>
          </w:tcPr>
          <w:p w14:paraId="4355194F"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1793" w:type="dxa"/>
            <w:noWrap/>
            <w:vAlign w:val="center"/>
          </w:tcPr>
          <w:p w14:paraId="32B8C73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141</w:t>
            </w:r>
          </w:p>
        </w:tc>
      </w:tr>
      <w:tr w:rsidR="00A3335E" w:rsidRPr="00DB3E4F" w14:paraId="6107AB67" w14:textId="77777777" w:rsidTr="00887133">
        <w:trPr>
          <w:trHeight w:val="285"/>
        </w:trPr>
        <w:tc>
          <w:tcPr>
            <w:tcW w:w="4902" w:type="dxa"/>
            <w:noWrap/>
            <w:vAlign w:val="center"/>
          </w:tcPr>
          <w:p w14:paraId="20C1A1D2" w14:textId="77777777" w:rsidR="00A3335E" w:rsidRPr="00DB3E4F" w:rsidRDefault="00A3335E" w:rsidP="00887133">
            <w:pPr>
              <w:spacing w:after="0" w:line="240" w:lineRule="auto"/>
              <w:rPr>
                <w:rFonts w:ascii="Arial" w:eastAsia="Times New Roman" w:hAnsi="Arial" w:cs="Arial"/>
                <w:color w:val="000000"/>
                <w:lang w:eastAsia="en-IN"/>
              </w:rPr>
            </w:pPr>
            <w:proofErr w:type="spellStart"/>
            <w:r w:rsidRPr="00DB3E4F">
              <w:rPr>
                <w:rFonts w:ascii="Arial" w:eastAsia="Times New Roman" w:hAnsi="Arial" w:cs="Arial"/>
                <w:color w:val="000000"/>
                <w:lang w:eastAsia="en-IN"/>
              </w:rPr>
              <w:t>Nct</w:t>
            </w:r>
            <w:proofErr w:type="spellEnd"/>
            <w:r w:rsidRPr="00DB3E4F">
              <w:rPr>
                <w:rFonts w:ascii="Arial" w:eastAsia="Times New Roman" w:hAnsi="Arial" w:cs="Arial"/>
                <w:color w:val="000000"/>
                <w:lang w:eastAsia="en-IN"/>
              </w:rPr>
              <w:t xml:space="preserve"> Of Delhi</w:t>
            </w:r>
          </w:p>
        </w:tc>
        <w:tc>
          <w:tcPr>
            <w:tcW w:w="908" w:type="dxa"/>
            <w:noWrap/>
            <w:vAlign w:val="center"/>
          </w:tcPr>
          <w:p w14:paraId="3F69CBD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5.6</w:t>
            </w:r>
          </w:p>
        </w:tc>
        <w:tc>
          <w:tcPr>
            <w:tcW w:w="988" w:type="dxa"/>
            <w:noWrap/>
            <w:vAlign w:val="center"/>
          </w:tcPr>
          <w:p w14:paraId="58BD7C5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5.5</w:t>
            </w:r>
          </w:p>
        </w:tc>
        <w:tc>
          <w:tcPr>
            <w:tcW w:w="892" w:type="dxa"/>
            <w:noWrap/>
            <w:vAlign w:val="center"/>
          </w:tcPr>
          <w:p w14:paraId="78585797"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6.0</w:t>
            </w:r>
          </w:p>
        </w:tc>
        <w:tc>
          <w:tcPr>
            <w:tcW w:w="1793" w:type="dxa"/>
            <w:noWrap/>
            <w:vAlign w:val="center"/>
          </w:tcPr>
          <w:p w14:paraId="7025465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2, 868</w:t>
            </w:r>
          </w:p>
        </w:tc>
      </w:tr>
      <w:tr w:rsidR="00A3335E" w:rsidRPr="00DB3E4F" w14:paraId="7369297C" w14:textId="77777777" w:rsidTr="00887133">
        <w:trPr>
          <w:trHeight w:val="285"/>
        </w:trPr>
        <w:tc>
          <w:tcPr>
            <w:tcW w:w="4902" w:type="dxa"/>
            <w:noWrap/>
            <w:vAlign w:val="center"/>
          </w:tcPr>
          <w:p w14:paraId="7E4772BE"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Haryana</w:t>
            </w:r>
          </w:p>
        </w:tc>
        <w:tc>
          <w:tcPr>
            <w:tcW w:w="908" w:type="dxa"/>
            <w:noWrap/>
            <w:vAlign w:val="center"/>
          </w:tcPr>
          <w:p w14:paraId="1609EB8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2.3</w:t>
            </w:r>
          </w:p>
        </w:tc>
        <w:tc>
          <w:tcPr>
            <w:tcW w:w="988" w:type="dxa"/>
            <w:noWrap/>
            <w:vAlign w:val="center"/>
          </w:tcPr>
          <w:p w14:paraId="159E0B8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892" w:type="dxa"/>
            <w:noWrap/>
            <w:vAlign w:val="center"/>
          </w:tcPr>
          <w:p w14:paraId="6B2D710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4955960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4, 256</w:t>
            </w:r>
          </w:p>
        </w:tc>
      </w:tr>
      <w:tr w:rsidR="00A3335E" w:rsidRPr="00DB3E4F" w14:paraId="486E5032" w14:textId="77777777" w:rsidTr="00887133">
        <w:trPr>
          <w:trHeight w:val="285"/>
        </w:trPr>
        <w:tc>
          <w:tcPr>
            <w:tcW w:w="4902" w:type="dxa"/>
            <w:noWrap/>
            <w:vAlign w:val="center"/>
          </w:tcPr>
          <w:p w14:paraId="24697AED"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Himachal Pradesh</w:t>
            </w:r>
          </w:p>
        </w:tc>
        <w:tc>
          <w:tcPr>
            <w:tcW w:w="908" w:type="dxa"/>
            <w:noWrap/>
            <w:vAlign w:val="center"/>
          </w:tcPr>
          <w:p w14:paraId="7D9D99C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988" w:type="dxa"/>
            <w:noWrap/>
            <w:vAlign w:val="center"/>
          </w:tcPr>
          <w:p w14:paraId="2220822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4.0</w:t>
            </w:r>
          </w:p>
        </w:tc>
        <w:tc>
          <w:tcPr>
            <w:tcW w:w="892" w:type="dxa"/>
            <w:noWrap/>
            <w:vAlign w:val="center"/>
          </w:tcPr>
          <w:p w14:paraId="542D70D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1793" w:type="dxa"/>
            <w:noWrap/>
            <w:vAlign w:val="center"/>
          </w:tcPr>
          <w:p w14:paraId="6E4E2F0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934</w:t>
            </w:r>
          </w:p>
        </w:tc>
      </w:tr>
      <w:tr w:rsidR="00A3335E" w:rsidRPr="00DB3E4F" w14:paraId="2ADBB2B9" w14:textId="77777777" w:rsidTr="00887133">
        <w:trPr>
          <w:trHeight w:val="285"/>
        </w:trPr>
        <w:tc>
          <w:tcPr>
            <w:tcW w:w="4902" w:type="dxa"/>
            <w:noWrap/>
            <w:vAlign w:val="center"/>
          </w:tcPr>
          <w:p w14:paraId="4B075A5E"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Jammu &amp; Kashmir</w:t>
            </w:r>
          </w:p>
        </w:tc>
        <w:tc>
          <w:tcPr>
            <w:tcW w:w="908" w:type="dxa"/>
            <w:noWrap/>
            <w:vAlign w:val="center"/>
          </w:tcPr>
          <w:p w14:paraId="7422979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3.9</w:t>
            </w:r>
          </w:p>
        </w:tc>
        <w:tc>
          <w:tcPr>
            <w:tcW w:w="988" w:type="dxa"/>
            <w:noWrap/>
            <w:vAlign w:val="center"/>
          </w:tcPr>
          <w:p w14:paraId="6E1DAA8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892" w:type="dxa"/>
            <w:noWrap/>
            <w:vAlign w:val="center"/>
          </w:tcPr>
          <w:p w14:paraId="032506C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4.1</w:t>
            </w:r>
          </w:p>
        </w:tc>
        <w:tc>
          <w:tcPr>
            <w:tcW w:w="1793" w:type="dxa"/>
            <w:noWrap/>
            <w:vAlign w:val="center"/>
          </w:tcPr>
          <w:p w14:paraId="3E82614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1, 611</w:t>
            </w:r>
          </w:p>
        </w:tc>
      </w:tr>
      <w:tr w:rsidR="00A3335E" w:rsidRPr="00DB3E4F" w14:paraId="55005DC0" w14:textId="77777777" w:rsidTr="00887133">
        <w:trPr>
          <w:trHeight w:val="285"/>
        </w:trPr>
        <w:tc>
          <w:tcPr>
            <w:tcW w:w="4902" w:type="dxa"/>
            <w:noWrap/>
            <w:vAlign w:val="center"/>
          </w:tcPr>
          <w:p w14:paraId="49643554"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Punjab</w:t>
            </w:r>
          </w:p>
        </w:tc>
        <w:tc>
          <w:tcPr>
            <w:tcW w:w="908" w:type="dxa"/>
            <w:noWrap/>
            <w:vAlign w:val="center"/>
          </w:tcPr>
          <w:p w14:paraId="245EB45B"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988" w:type="dxa"/>
            <w:noWrap/>
            <w:vAlign w:val="center"/>
          </w:tcPr>
          <w:p w14:paraId="6039BC8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1.3</w:t>
            </w:r>
          </w:p>
        </w:tc>
        <w:tc>
          <w:tcPr>
            <w:tcW w:w="892" w:type="dxa"/>
            <w:noWrap/>
            <w:vAlign w:val="center"/>
          </w:tcPr>
          <w:p w14:paraId="220387F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3.1</w:t>
            </w:r>
          </w:p>
        </w:tc>
        <w:tc>
          <w:tcPr>
            <w:tcW w:w="1793" w:type="dxa"/>
            <w:noWrap/>
            <w:vAlign w:val="center"/>
          </w:tcPr>
          <w:p w14:paraId="7C83527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3, 949</w:t>
            </w:r>
          </w:p>
        </w:tc>
      </w:tr>
      <w:tr w:rsidR="00A3335E" w:rsidRPr="00DB3E4F" w14:paraId="6D47954F" w14:textId="77777777" w:rsidTr="00887133">
        <w:trPr>
          <w:trHeight w:val="285"/>
        </w:trPr>
        <w:tc>
          <w:tcPr>
            <w:tcW w:w="4902" w:type="dxa"/>
            <w:noWrap/>
            <w:vAlign w:val="center"/>
          </w:tcPr>
          <w:p w14:paraId="0A196E96"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Rajasthan</w:t>
            </w:r>
          </w:p>
        </w:tc>
        <w:tc>
          <w:tcPr>
            <w:tcW w:w="908" w:type="dxa"/>
            <w:noWrap/>
            <w:vAlign w:val="center"/>
          </w:tcPr>
          <w:p w14:paraId="0CB4302F"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988" w:type="dxa"/>
            <w:noWrap/>
            <w:vAlign w:val="center"/>
          </w:tcPr>
          <w:p w14:paraId="77A93DAF"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2.6</w:t>
            </w:r>
          </w:p>
        </w:tc>
        <w:tc>
          <w:tcPr>
            <w:tcW w:w="892" w:type="dxa"/>
            <w:noWrap/>
            <w:vAlign w:val="center"/>
          </w:tcPr>
          <w:p w14:paraId="32B04EC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3.0</w:t>
            </w:r>
          </w:p>
        </w:tc>
        <w:tc>
          <w:tcPr>
            <w:tcW w:w="1793" w:type="dxa"/>
            <w:noWrap/>
            <w:vAlign w:val="center"/>
          </w:tcPr>
          <w:p w14:paraId="30CAC07F"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14, 430</w:t>
            </w:r>
          </w:p>
        </w:tc>
      </w:tr>
      <w:tr w:rsidR="00A3335E" w:rsidRPr="00DB3E4F" w14:paraId="21D290E4" w14:textId="77777777" w:rsidTr="00887133">
        <w:trPr>
          <w:trHeight w:val="285"/>
        </w:trPr>
        <w:tc>
          <w:tcPr>
            <w:tcW w:w="4902" w:type="dxa"/>
            <w:noWrap/>
            <w:vAlign w:val="center"/>
          </w:tcPr>
          <w:p w14:paraId="6E37FB59"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Uttarakhand</w:t>
            </w:r>
          </w:p>
        </w:tc>
        <w:tc>
          <w:tcPr>
            <w:tcW w:w="908" w:type="dxa"/>
            <w:noWrap/>
            <w:vAlign w:val="center"/>
          </w:tcPr>
          <w:p w14:paraId="74B264B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2.3</w:t>
            </w:r>
          </w:p>
        </w:tc>
        <w:tc>
          <w:tcPr>
            <w:tcW w:w="988" w:type="dxa"/>
            <w:noWrap/>
            <w:vAlign w:val="center"/>
          </w:tcPr>
          <w:p w14:paraId="7ACEA32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892" w:type="dxa"/>
            <w:noWrap/>
            <w:vAlign w:val="center"/>
          </w:tcPr>
          <w:p w14:paraId="64563E4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1793" w:type="dxa"/>
            <w:noWrap/>
            <w:vAlign w:val="center"/>
          </w:tcPr>
          <w:p w14:paraId="5B9FF04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1, 748</w:t>
            </w:r>
          </w:p>
        </w:tc>
      </w:tr>
      <w:tr w:rsidR="00A3335E" w:rsidRPr="00DB3E4F" w14:paraId="5C633188" w14:textId="77777777" w:rsidTr="00887133">
        <w:trPr>
          <w:trHeight w:val="285"/>
        </w:trPr>
        <w:tc>
          <w:tcPr>
            <w:tcW w:w="4902" w:type="dxa"/>
            <w:noWrap/>
            <w:vAlign w:val="center"/>
          </w:tcPr>
          <w:p w14:paraId="260D4948"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Ladakh</w:t>
            </w:r>
          </w:p>
        </w:tc>
        <w:tc>
          <w:tcPr>
            <w:tcW w:w="908" w:type="dxa"/>
            <w:noWrap/>
            <w:vAlign w:val="center"/>
          </w:tcPr>
          <w:p w14:paraId="66C1097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5.3</w:t>
            </w:r>
          </w:p>
        </w:tc>
        <w:tc>
          <w:tcPr>
            <w:tcW w:w="988" w:type="dxa"/>
            <w:noWrap/>
            <w:vAlign w:val="center"/>
          </w:tcPr>
          <w:p w14:paraId="169466C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10.5</w:t>
            </w:r>
          </w:p>
        </w:tc>
        <w:tc>
          <w:tcPr>
            <w:tcW w:w="892" w:type="dxa"/>
            <w:noWrap/>
            <w:vAlign w:val="center"/>
          </w:tcPr>
          <w:p w14:paraId="5636DC1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4.0</w:t>
            </w:r>
          </w:p>
        </w:tc>
        <w:tc>
          <w:tcPr>
            <w:tcW w:w="1793" w:type="dxa"/>
            <w:noWrap/>
            <w:vAlign w:val="center"/>
          </w:tcPr>
          <w:p w14:paraId="11A75B3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26</w:t>
            </w:r>
          </w:p>
        </w:tc>
      </w:tr>
      <w:tr w:rsidR="00A3335E" w:rsidRPr="00DB3E4F" w14:paraId="04BDC8D8" w14:textId="77777777" w:rsidTr="00887133">
        <w:trPr>
          <w:trHeight w:val="285"/>
        </w:trPr>
        <w:tc>
          <w:tcPr>
            <w:tcW w:w="4902" w:type="dxa"/>
            <w:noWrap/>
            <w:vAlign w:val="center"/>
          </w:tcPr>
          <w:p w14:paraId="64702577"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B. Central Region </w:t>
            </w:r>
          </w:p>
        </w:tc>
        <w:tc>
          <w:tcPr>
            <w:tcW w:w="908" w:type="dxa"/>
            <w:noWrap/>
            <w:vAlign w:val="center"/>
          </w:tcPr>
          <w:p w14:paraId="3D5A381F"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3.2</w:t>
            </w:r>
          </w:p>
        </w:tc>
        <w:tc>
          <w:tcPr>
            <w:tcW w:w="988" w:type="dxa"/>
            <w:noWrap/>
            <w:vAlign w:val="center"/>
          </w:tcPr>
          <w:p w14:paraId="4927DAB2"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2.7</w:t>
            </w:r>
          </w:p>
        </w:tc>
        <w:tc>
          <w:tcPr>
            <w:tcW w:w="892" w:type="dxa"/>
            <w:noWrap/>
            <w:vAlign w:val="center"/>
          </w:tcPr>
          <w:p w14:paraId="18FDCBEA"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3.3</w:t>
            </w:r>
          </w:p>
        </w:tc>
        <w:tc>
          <w:tcPr>
            <w:tcW w:w="1793" w:type="dxa"/>
            <w:noWrap/>
            <w:vAlign w:val="center"/>
          </w:tcPr>
          <w:p w14:paraId="5B847D0A"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61, 096</w:t>
            </w:r>
          </w:p>
        </w:tc>
      </w:tr>
      <w:tr w:rsidR="00A3335E" w:rsidRPr="00DB3E4F" w14:paraId="29B6C3AC" w14:textId="77777777" w:rsidTr="00887133">
        <w:trPr>
          <w:trHeight w:val="285"/>
        </w:trPr>
        <w:tc>
          <w:tcPr>
            <w:tcW w:w="4902" w:type="dxa"/>
            <w:noWrap/>
            <w:vAlign w:val="center"/>
          </w:tcPr>
          <w:p w14:paraId="7FCEC2A2"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Chhattisgarh</w:t>
            </w:r>
          </w:p>
        </w:tc>
        <w:tc>
          <w:tcPr>
            <w:tcW w:w="908" w:type="dxa"/>
            <w:noWrap/>
            <w:vAlign w:val="center"/>
          </w:tcPr>
          <w:p w14:paraId="3A0DBB9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988" w:type="dxa"/>
            <w:noWrap/>
            <w:vAlign w:val="center"/>
          </w:tcPr>
          <w:p w14:paraId="3BE2315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892" w:type="dxa"/>
            <w:noWrap/>
            <w:vAlign w:val="center"/>
          </w:tcPr>
          <w:p w14:paraId="6F8C049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1793" w:type="dxa"/>
            <w:noWrap/>
            <w:vAlign w:val="center"/>
          </w:tcPr>
          <w:p w14:paraId="6998E5D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4, 849</w:t>
            </w:r>
          </w:p>
        </w:tc>
      </w:tr>
      <w:tr w:rsidR="00A3335E" w:rsidRPr="00DB3E4F" w14:paraId="71FFBB3C" w14:textId="77777777" w:rsidTr="00887133">
        <w:trPr>
          <w:trHeight w:val="285"/>
        </w:trPr>
        <w:tc>
          <w:tcPr>
            <w:tcW w:w="4902" w:type="dxa"/>
            <w:noWrap/>
            <w:vAlign w:val="center"/>
          </w:tcPr>
          <w:p w14:paraId="637D7167"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Madhya Pradesh</w:t>
            </w:r>
          </w:p>
        </w:tc>
        <w:tc>
          <w:tcPr>
            <w:tcW w:w="908" w:type="dxa"/>
            <w:noWrap/>
            <w:vAlign w:val="center"/>
          </w:tcPr>
          <w:p w14:paraId="5E74670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2.6</w:t>
            </w:r>
          </w:p>
        </w:tc>
        <w:tc>
          <w:tcPr>
            <w:tcW w:w="988" w:type="dxa"/>
            <w:noWrap/>
            <w:vAlign w:val="center"/>
          </w:tcPr>
          <w:p w14:paraId="32A1D6A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892" w:type="dxa"/>
            <w:noWrap/>
            <w:vAlign w:val="center"/>
          </w:tcPr>
          <w:p w14:paraId="05B5A83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2502A85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13, 271</w:t>
            </w:r>
          </w:p>
        </w:tc>
      </w:tr>
      <w:tr w:rsidR="00A3335E" w:rsidRPr="00DB3E4F" w14:paraId="4AE73239" w14:textId="77777777" w:rsidTr="00887133">
        <w:trPr>
          <w:trHeight w:val="285"/>
        </w:trPr>
        <w:tc>
          <w:tcPr>
            <w:tcW w:w="4902" w:type="dxa"/>
            <w:noWrap/>
            <w:vAlign w:val="center"/>
          </w:tcPr>
          <w:p w14:paraId="7ABED325"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Uttar Pradesh</w:t>
            </w:r>
          </w:p>
        </w:tc>
        <w:tc>
          <w:tcPr>
            <w:tcW w:w="908" w:type="dxa"/>
            <w:noWrap/>
            <w:vAlign w:val="center"/>
          </w:tcPr>
          <w:p w14:paraId="05B7377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3.5</w:t>
            </w:r>
          </w:p>
        </w:tc>
        <w:tc>
          <w:tcPr>
            <w:tcW w:w="988" w:type="dxa"/>
            <w:noWrap/>
            <w:vAlign w:val="center"/>
          </w:tcPr>
          <w:p w14:paraId="60D6AD6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2.7</w:t>
            </w:r>
          </w:p>
        </w:tc>
        <w:tc>
          <w:tcPr>
            <w:tcW w:w="892" w:type="dxa"/>
            <w:noWrap/>
            <w:vAlign w:val="center"/>
          </w:tcPr>
          <w:p w14:paraId="26C77A4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3.8</w:t>
            </w:r>
          </w:p>
        </w:tc>
        <w:tc>
          <w:tcPr>
            <w:tcW w:w="1793" w:type="dxa"/>
            <w:noWrap/>
            <w:vAlign w:val="center"/>
          </w:tcPr>
          <w:p w14:paraId="4DAB97B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42, 976</w:t>
            </w:r>
          </w:p>
        </w:tc>
      </w:tr>
      <w:tr w:rsidR="00A3335E" w:rsidRPr="00DB3E4F" w14:paraId="7DCA2645" w14:textId="77777777" w:rsidTr="00887133">
        <w:trPr>
          <w:trHeight w:val="285"/>
        </w:trPr>
        <w:tc>
          <w:tcPr>
            <w:tcW w:w="4902" w:type="dxa"/>
            <w:noWrap/>
            <w:vAlign w:val="center"/>
          </w:tcPr>
          <w:p w14:paraId="227E9524"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C. East Region </w:t>
            </w:r>
          </w:p>
        </w:tc>
        <w:tc>
          <w:tcPr>
            <w:tcW w:w="908" w:type="dxa"/>
            <w:noWrap/>
            <w:vAlign w:val="center"/>
          </w:tcPr>
          <w:p w14:paraId="6D2C5726"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3.1</w:t>
            </w:r>
          </w:p>
        </w:tc>
        <w:tc>
          <w:tcPr>
            <w:tcW w:w="988" w:type="dxa"/>
            <w:noWrap/>
            <w:vAlign w:val="center"/>
          </w:tcPr>
          <w:p w14:paraId="59183B2C"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2.4</w:t>
            </w:r>
          </w:p>
        </w:tc>
        <w:tc>
          <w:tcPr>
            <w:tcW w:w="892" w:type="dxa"/>
            <w:noWrap/>
            <w:vAlign w:val="center"/>
          </w:tcPr>
          <w:p w14:paraId="11A2F642"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3.3</w:t>
            </w:r>
          </w:p>
        </w:tc>
        <w:tc>
          <w:tcPr>
            <w:tcW w:w="1793" w:type="dxa"/>
            <w:noWrap/>
            <w:vAlign w:val="center"/>
          </w:tcPr>
          <w:p w14:paraId="33CDEB57"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57, 887</w:t>
            </w:r>
          </w:p>
        </w:tc>
      </w:tr>
      <w:tr w:rsidR="00A3335E" w:rsidRPr="00DB3E4F" w14:paraId="6E919A0A" w14:textId="77777777" w:rsidTr="00887133">
        <w:trPr>
          <w:trHeight w:val="285"/>
        </w:trPr>
        <w:tc>
          <w:tcPr>
            <w:tcW w:w="4902" w:type="dxa"/>
            <w:noWrap/>
            <w:vAlign w:val="center"/>
          </w:tcPr>
          <w:p w14:paraId="4F2B11B6"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Bihar</w:t>
            </w:r>
          </w:p>
        </w:tc>
        <w:tc>
          <w:tcPr>
            <w:tcW w:w="908" w:type="dxa"/>
            <w:noWrap/>
            <w:vAlign w:val="center"/>
          </w:tcPr>
          <w:p w14:paraId="42535BA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3.5</w:t>
            </w:r>
          </w:p>
        </w:tc>
        <w:tc>
          <w:tcPr>
            <w:tcW w:w="988" w:type="dxa"/>
            <w:noWrap/>
            <w:vAlign w:val="center"/>
          </w:tcPr>
          <w:p w14:paraId="12EF8B5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892" w:type="dxa"/>
            <w:noWrap/>
            <w:vAlign w:val="center"/>
          </w:tcPr>
          <w:p w14:paraId="0AC0ECD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3.7</w:t>
            </w:r>
          </w:p>
        </w:tc>
        <w:tc>
          <w:tcPr>
            <w:tcW w:w="1793" w:type="dxa"/>
            <w:noWrap/>
            <w:vAlign w:val="center"/>
          </w:tcPr>
          <w:p w14:paraId="26498C2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28, 959</w:t>
            </w:r>
          </w:p>
        </w:tc>
      </w:tr>
      <w:tr w:rsidR="00A3335E" w:rsidRPr="00DB3E4F" w14:paraId="07E43E45" w14:textId="77777777" w:rsidTr="00887133">
        <w:trPr>
          <w:trHeight w:val="285"/>
        </w:trPr>
        <w:tc>
          <w:tcPr>
            <w:tcW w:w="4902" w:type="dxa"/>
            <w:noWrap/>
            <w:vAlign w:val="center"/>
          </w:tcPr>
          <w:p w14:paraId="62CF597B"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Jharkhand</w:t>
            </w:r>
          </w:p>
        </w:tc>
        <w:tc>
          <w:tcPr>
            <w:tcW w:w="908" w:type="dxa"/>
            <w:noWrap/>
            <w:vAlign w:val="center"/>
          </w:tcPr>
          <w:p w14:paraId="47A8BA9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988" w:type="dxa"/>
            <w:noWrap/>
            <w:vAlign w:val="center"/>
          </w:tcPr>
          <w:p w14:paraId="2F0B3D2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1.6</w:t>
            </w:r>
          </w:p>
        </w:tc>
        <w:tc>
          <w:tcPr>
            <w:tcW w:w="892" w:type="dxa"/>
            <w:noWrap/>
            <w:vAlign w:val="center"/>
          </w:tcPr>
          <w:p w14:paraId="5D36A6A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2.2</w:t>
            </w:r>
          </w:p>
        </w:tc>
        <w:tc>
          <w:tcPr>
            <w:tcW w:w="1793" w:type="dxa"/>
            <w:noWrap/>
            <w:vAlign w:val="center"/>
          </w:tcPr>
          <w:p w14:paraId="14A48DE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6, 678</w:t>
            </w:r>
          </w:p>
        </w:tc>
      </w:tr>
      <w:tr w:rsidR="00A3335E" w:rsidRPr="00DB3E4F" w14:paraId="09B4FF2F" w14:textId="77777777" w:rsidTr="00887133">
        <w:trPr>
          <w:trHeight w:val="285"/>
        </w:trPr>
        <w:tc>
          <w:tcPr>
            <w:tcW w:w="4902" w:type="dxa"/>
            <w:noWrap/>
            <w:vAlign w:val="center"/>
          </w:tcPr>
          <w:p w14:paraId="5A3599C2"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Odisha</w:t>
            </w:r>
          </w:p>
        </w:tc>
        <w:tc>
          <w:tcPr>
            <w:tcW w:w="908" w:type="dxa"/>
            <w:noWrap/>
            <w:vAlign w:val="center"/>
          </w:tcPr>
          <w:p w14:paraId="5558864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988" w:type="dxa"/>
            <w:noWrap/>
            <w:vAlign w:val="center"/>
          </w:tcPr>
          <w:p w14:paraId="4023899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2.8</w:t>
            </w:r>
          </w:p>
        </w:tc>
        <w:tc>
          <w:tcPr>
            <w:tcW w:w="892" w:type="dxa"/>
            <w:noWrap/>
            <w:vAlign w:val="center"/>
          </w:tcPr>
          <w:p w14:paraId="2E612F4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1793" w:type="dxa"/>
            <w:noWrap/>
            <w:vAlign w:val="center"/>
          </w:tcPr>
          <w:p w14:paraId="615EB79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6, 906</w:t>
            </w:r>
          </w:p>
        </w:tc>
      </w:tr>
      <w:tr w:rsidR="00A3335E" w:rsidRPr="00DB3E4F" w14:paraId="2E517AAB" w14:textId="77777777" w:rsidTr="00887133">
        <w:trPr>
          <w:trHeight w:val="285"/>
        </w:trPr>
        <w:tc>
          <w:tcPr>
            <w:tcW w:w="4902" w:type="dxa"/>
            <w:noWrap/>
            <w:vAlign w:val="center"/>
          </w:tcPr>
          <w:p w14:paraId="7FAE68D0"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West Bengal</w:t>
            </w:r>
          </w:p>
        </w:tc>
        <w:tc>
          <w:tcPr>
            <w:tcW w:w="908" w:type="dxa"/>
            <w:noWrap/>
            <w:vAlign w:val="center"/>
          </w:tcPr>
          <w:p w14:paraId="60F8035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2.8</w:t>
            </w:r>
          </w:p>
        </w:tc>
        <w:tc>
          <w:tcPr>
            <w:tcW w:w="988" w:type="dxa"/>
            <w:noWrap/>
            <w:vAlign w:val="center"/>
          </w:tcPr>
          <w:p w14:paraId="25A55D0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892" w:type="dxa"/>
            <w:noWrap/>
            <w:vAlign w:val="center"/>
          </w:tcPr>
          <w:p w14:paraId="53EF8EE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3.1</w:t>
            </w:r>
          </w:p>
        </w:tc>
        <w:tc>
          <w:tcPr>
            <w:tcW w:w="1793" w:type="dxa"/>
            <w:noWrap/>
            <w:vAlign w:val="center"/>
          </w:tcPr>
          <w:p w14:paraId="2849B27F"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15, 344</w:t>
            </w:r>
          </w:p>
        </w:tc>
      </w:tr>
      <w:tr w:rsidR="00A3335E" w:rsidRPr="00DB3E4F" w14:paraId="54AD6FFB" w14:textId="77777777" w:rsidTr="00887133">
        <w:trPr>
          <w:trHeight w:val="285"/>
        </w:trPr>
        <w:tc>
          <w:tcPr>
            <w:tcW w:w="4902" w:type="dxa"/>
            <w:noWrap/>
            <w:vAlign w:val="center"/>
          </w:tcPr>
          <w:p w14:paraId="06DBC55F"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D. Northeast Region </w:t>
            </w:r>
          </w:p>
        </w:tc>
        <w:tc>
          <w:tcPr>
            <w:tcW w:w="908" w:type="dxa"/>
            <w:noWrap/>
            <w:vAlign w:val="center"/>
          </w:tcPr>
          <w:p w14:paraId="382F796C"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2.5</w:t>
            </w:r>
          </w:p>
        </w:tc>
        <w:tc>
          <w:tcPr>
            <w:tcW w:w="988" w:type="dxa"/>
            <w:noWrap/>
            <w:vAlign w:val="center"/>
          </w:tcPr>
          <w:p w14:paraId="1051E8A6"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2.4</w:t>
            </w:r>
          </w:p>
        </w:tc>
        <w:tc>
          <w:tcPr>
            <w:tcW w:w="892" w:type="dxa"/>
            <w:noWrap/>
            <w:vAlign w:val="center"/>
          </w:tcPr>
          <w:p w14:paraId="3156D590"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2.5</w:t>
            </w:r>
          </w:p>
        </w:tc>
        <w:tc>
          <w:tcPr>
            <w:tcW w:w="1793" w:type="dxa"/>
            <w:noWrap/>
            <w:vAlign w:val="center"/>
          </w:tcPr>
          <w:p w14:paraId="6B4BC40F"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8, 115</w:t>
            </w:r>
          </w:p>
        </w:tc>
      </w:tr>
      <w:tr w:rsidR="00A3335E" w:rsidRPr="00DB3E4F" w14:paraId="0A51C1CD" w14:textId="77777777" w:rsidTr="00887133">
        <w:trPr>
          <w:trHeight w:val="285"/>
        </w:trPr>
        <w:tc>
          <w:tcPr>
            <w:tcW w:w="4902" w:type="dxa"/>
            <w:noWrap/>
            <w:vAlign w:val="center"/>
          </w:tcPr>
          <w:p w14:paraId="1CADC5D4"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Arunachal Pradesh</w:t>
            </w:r>
          </w:p>
        </w:tc>
        <w:tc>
          <w:tcPr>
            <w:tcW w:w="908" w:type="dxa"/>
            <w:noWrap/>
            <w:vAlign w:val="center"/>
          </w:tcPr>
          <w:p w14:paraId="518B211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988" w:type="dxa"/>
            <w:noWrap/>
            <w:vAlign w:val="center"/>
          </w:tcPr>
          <w:p w14:paraId="61816FB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892" w:type="dxa"/>
            <w:noWrap/>
            <w:vAlign w:val="center"/>
          </w:tcPr>
          <w:p w14:paraId="3DA7525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1793" w:type="dxa"/>
            <w:noWrap/>
            <w:vAlign w:val="center"/>
          </w:tcPr>
          <w:p w14:paraId="570F8AE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170</w:t>
            </w:r>
          </w:p>
        </w:tc>
      </w:tr>
      <w:tr w:rsidR="00A3335E" w:rsidRPr="00DB3E4F" w14:paraId="39AB4E74" w14:textId="77777777" w:rsidTr="00887133">
        <w:trPr>
          <w:trHeight w:val="285"/>
        </w:trPr>
        <w:tc>
          <w:tcPr>
            <w:tcW w:w="4902" w:type="dxa"/>
            <w:noWrap/>
            <w:vAlign w:val="center"/>
          </w:tcPr>
          <w:p w14:paraId="7D849A2E"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Assam</w:t>
            </w:r>
          </w:p>
        </w:tc>
        <w:tc>
          <w:tcPr>
            <w:tcW w:w="908" w:type="dxa"/>
            <w:noWrap/>
            <w:vAlign w:val="center"/>
          </w:tcPr>
          <w:p w14:paraId="631BC63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988" w:type="dxa"/>
            <w:noWrap/>
            <w:vAlign w:val="center"/>
          </w:tcPr>
          <w:p w14:paraId="3B8F9D8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892" w:type="dxa"/>
            <w:noWrap/>
            <w:vAlign w:val="center"/>
          </w:tcPr>
          <w:p w14:paraId="0F9ACEF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410360F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5, 649</w:t>
            </w:r>
          </w:p>
        </w:tc>
      </w:tr>
      <w:tr w:rsidR="00A3335E" w:rsidRPr="00DB3E4F" w14:paraId="31DCA6DA" w14:textId="77777777" w:rsidTr="00887133">
        <w:trPr>
          <w:trHeight w:val="285"/>
        </w:trPr>
        <w:tc>
          <w:tcPr>
            <w:tcW w:w="4902" w:type="dxa"/>
            <w:noWrap/>
            <w:vAlign w:val="center"/>
          </w:tcPr>
          <w:p w14:paraId="7BED7B7F"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Manipur</w:t>
            </w:r>
          </w:p>
        </w:tc>
        <w:tc>
          <w:tcPr>
            <w:tcW w:w="908" w:type="dxa"/>
            <w:noWrap/>
            <w:vAlign w:val="center"/>
          </w:tcPr>
          <w:p w14:paraId="60A7C2A7"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1.8</w:t>
            </w:r>
          </w:p>
        </w:tc>
        <w:tc>
          <w:tcPr>
            <w:tcW w:w="988" w:type="dxa"/>
            <w:noWrap/>
            <w:vAlign w:val="center"/>
          </w:tcPr>
          <w:p w14:paraId="1EE362E7"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892" w:type="dxa"/>
            <w:noWrap/>
            <w:vAlign w:val="center"/>
          </w:tcPr>
          <w:p w14:paraId="1455F06B"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1.4</w:t>
            </w:r>
          </w:p>
        </w:tc>
        <w:tc>
          <w:tcPr>
            <w:tcW w:w="1793" w:type="dxa"/>
            <w:noWrap/>
            <w:vAlign w:val="center"/>
          </w:tcPr>
          <w:p w14:paraId="3FF4EAB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437</w:t>
            </w:r>
          </w:p>
        </w:tc>
      </w:tr>
      <w:tr w:rsidR="00A3335E" w:rsidRPr="00DB3E4F" w14:paraId="2EB6CBE1" w14:textId="77777777" w:rsidTr="00887133">
        <w:trPr>
          <w:trHeight w:val="285"/>
        </w:trPr>
        <w:tc>
          <w:tcPr>
            <w:tcW w:w="4902" w:type="dxa"/>
            <w:noWrap/>
            <w:vAlign w:val="center"/>
          </w:tcPr>
          <w:p w14:paraId="78F9BA28"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Meghalaya</w:t>
            </w:r>
          </w:p>
        </w:tc>
        <w:tc>
          <w:tcPr>
            <w:tcW w:w="908" w:type="dxa"/>
            <w:noWrap/>
            <w:vAlign w:val="center"/>
          </w:tcPr>
          <w:p w14:paraId="1F677CE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4.8</w:t>
            </w:r>
          </w:p>
        </w:tc>
        <w:tc>
          <w:tcPr>
            <w:tcW w:w="988" w:type="dxa"/>
            <w:noWrap/>
            <w:vAlign w:val="center"/>
          </w:tcPr>
          <w:p w14:paraId="602E906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5.8</w:t>
            </w:r>
          </w:p>
        </w:tc>
        <w:tc>
          <w:tcPr>
            <w:tcW w:w="892" w:type="dxa"/>
            <w:noWrap/>
            <w:vAlign w:val="center"/>
          </w:tcPr>
          <w:p w14:paraId="75661F3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4.7</w:t>
            </w:r>
          </w:p>
        </w:tc>
        <w:tc>
          <w:tcPr>
            <w:tcW w:w="1793" w:type="dxa"/>
            <w:noWrap/>
            <w:vAlign w:val="center"/>
          </w:tcPr>
          <w:p w14:paraId="69C7BD5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838</w:t>
            </w:r>
          </w:p>
        </w:tc>
      </w:tr>
      <w:tr w:rsidR="00A3335E" w:rsidRPr="00DB3E4F" w14:paraId="6B522634" w14:textId="77777777" w:rsidTr="00887133">
        <w:trPr>
          <w:trHeight w:val="285"/>
        </w:trPr>
        <w:tc>
          <w:tcPr>
            <w:tcW w:w="4902" w:type="dxa"/>
            <w:noWrap/>
            <w:vAlign w:val="center"/>
          </w:tcPr>
          <w:p w14:paraId="35B84F74"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Mizoram</w:t>
            </w:r>
          </w:p>
        </w:tc>
        <w:tc>
          <w:tcPr>
            <w:tcW w:w="908" w:type="dxa"/>
            <w:noWrap/>
            <w:vAlign w:val="center"/>
          </w:tcPr>
          <w:p w14:paraId="7ACCF16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0.6</w:t>
            </w:r>
          </w:p>
        </w:tc>
        <w:tc>
          <w:tcPr>
            <w:tcW w:w="988" w:type="dxa"/>
            <w:noWrap/>
            <w:vAlign w:val="center"/>
          </w:tcPr>
          <w:p w14:paraId="2354E0B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892" w:type="dxa"/>
            <w:noWrap/>
            <w:vAlign w:val="center"/>
          </w:tcPr>
          <w:p w14:paraId="0A3DBB9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0.2</w:t>
            </w:r>
          </w:p>
        </w:tc>
        <w:tc>
          <w:tcPr>
            <w:tcW w:w="1793" w:type="dxa"/>
            <w:noWrap/>
            <w:vAlign w:val="center"/>
          </w:tcPr>
          <w:p w14:paraId="7D52C4BB"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176</w:t>
            </w:r>
          </w:p>
        </w:tc>
      </w:tr>
      <w:tr w:rsidR="00A3335E" w:rsidRPr="00DB3E4F" w14:paraId="79BD96DA" w14:textId="77777777" w:rsidTr="00887133">
        <w:trPr>
          <w:trHeight w:val="285"/>
        </w:trPr>
        <w:tc>
          <w:tcPr>
            <w:tcW w:w="4902" w:type="dxa"/>
            <w:noWrap/>
            <w:vAlign w:val="center"/>
          </w:tcPr>
          <w:p w14:paraId="499084DD"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Nagaland</w:t>
            </w:r>
          </w:p>
        </w:tc>
        <w:tc>
          <w:tcPr>
            <w:tcW w:w="908" w:type="dxa"/>
            <w:noWrap/>
            <w:vAlign w:val="center"/>
          </w:tcPr>
          <w:p w14:paraId="4845E26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988" w:type="dxa"/>
            <w:noWrap/>
            <w:vAlign w:val="center"/>
          </w:tcPr>
          <w:p w14:paraId="3C0AAA1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1.0</w:t>
            </w:r>
          </w:p>
        </w:tc>
        <w:tc>
          <w:tcPr>
            <w:tcW w:w="892" w:type="dxa"/>
            <w:noWrap/>
            <w:vAlign w:val="center"/>
          </w:tcPr>
          <w:p w14:paraId="002CCC3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1793" w:type="dxa"/>
            <w:noWrap/>
            <w:vAlign w:val="center"/>
          </w:tcPr>
          <w:p w14:paraId="51A31DD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206</w:t>
            </w:r>
          </w:p>
        </w:tc>
      </w:tr>
      <w:tr w:rsidR="00A3335E" w:rsidRPr="00DB3E4F" w14:paraId="5B5ECF7A" w14:textId="77777777" w:rsidTr="00887133">
        <w:trPr>
          <w:trHeight w:val="285"/>
        </w:trPr>
        <w:tc>
          <w:tcPr>
            <w:tcW w:w="4902" w:type="dxa"/>
            <w:noWrap/>
            <w:vAlign w:val="center"/>
          </w:tcPr>
          <w:p w14:paraId="7951232D"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Sikkim</w:t>
            </w:r>
          </w:p>
        </w:tc>
        <w:tc>
          <w:tcPr>
            <w:tcW w:w="908" w:type="dxa"/>
            <w:noWrap/>
            <w:vAlign w:val="center"/>
          </w:tcPr>
          <w:p w14:paraId="38BF6A7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0.7</w:t>
            </w:r>
          </w:p>
        </w:tc>
        <w:tc>
          <w:tcPr>
            <w:tcW w:w="988" w:type="dxa"/>
            <w:noWrap/>
            <w:vAlign w:val="center"/>
          </w:tcPr>
          <w:p w14:paraId="2264071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0.8</w:t>
            </w:r>
          </w:p>
        </w:tc>
        <w:tc>
          <w:tcPr>
            <w:tcW w:w="892" w:type="dxa"/>
            <w:noWrap/>
            <w:vAlign w:val="center"/>
          </w:tcPr>
          <w:p w14:paraId="727199A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0.7</w:t>
            </w:r>
          </w:p>
        </w:tc>
        <w:tc>
          <w:tcPr>
            <w:tcW w:w="1793" w:type="dxa"/>
            <w:noWrap/>
            <w:vAlign w:val="center"/>
          </w:tcPr>
          <w:p w14:paraId="0B1FBB3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60</w:t>
            </w:r>
          </w:p>
        </w:tc>
      </w:tr>
      <w:tr w:rsidR="00A3335E" w:rsidRPr="00DB3E4F" w14:paraId="6BB87063" w14:textId="77777777" w:rsidTr="00887133">
        <w:trPr>
          <w:trHeight w:val="285"/>
        </w:trPr>
        <w:tc>
          <w:tcPr>
            <w:tcW w:w="4902" w:type="dxa"/>
            <w:noWrap/>
            <w:vAlign w:val="center"/>
          </w:tcPr>
          <w:p w14:paraId="5F4A5DA0"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Tripura</w:t>
            </w:r>
          </w:p>
        </w:tc>
        <w:tc>
          <w:tcPr>
            <w:tcW w:w="908" w:type="dxa"/>
            <w:noWrap/>
            <w:vAlign w:val="center"/>
          </w:tcPr>
          <w:p w14:paraId="42F6A8F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1.3</w:t>
            </w:r>
          </w:p>
        </w:tc>
        <w:tc>
          <w:tcPr>
            <w:tcW w:w="988" w:type="dxa"/>
            <w:noWrap/>
            <w:vAlign w:val="center"/>
          </w:tcPr>
          <w:p w14:paraId="0BBC6CB7"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0.8</w:t>
            </w:r>
          </w:p>
        </w:tc>
        <w:tc>
          <w:tcPr>
            <w:tcW w:w="892" w:type="dxa"/>
            <w:noWrap/>
            <w:vAlign w:val="center"/>
          </w:tcPr>
          <w:p w14:paraId="56A3545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1793" w:type="dxa"/>
            <w:noWrap/>
            <w:vAlign w:val="center"/>
          </w:tcPr>
          <w:p w14:paraId="52E664D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579</w:t>
            </w:r>
          </w:p>
        </w:tc>
      </w:tr>
      <w:tr w:rsidR="00A3335E" w:rsidRPr="00DB3E4F" w14:paraId="3BC970DE" w14:textId="77777777" w:rsidTr="00887133">
        <w:trPr>
          <w:trHeight w:val="285"/>
        </w:trPr>
        <w:tc>
          <w:tcPr>
            <w:tcW w:w="4902" w:type="dxa"/>
            <w:noWrap/>
            <w:vAlign w:val="center"/>
          </w:tcPr>
          <w:p w14:paraId="1DBC7AB5"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E. West Region </w:t>
            </w:r>
          </w:p>
        </w:tc>
        <w:tc>
          <w:tcPr>
            <w:tcW w:w="908" w:type="dxa"/>
            <w:noWrap/>
            <w:vAlign w:val="center"/>
          </w:tcPr>
          <w:p w14:paraId="62BC253A"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2.4</w:t>
            </w:r>
          </w:p>
        </w:tc>
        <w:tc>
          <w:tcPr>
            <w:tcW w:w="988" w:type="dxa"/>
            <w:noWrap/>
            <w:vAlign w:val="center"/>
          </w:tcPr>
          <w:p w14:paraId="66ED1A1A"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1.9</w:t>
            </w:r>
          </w:p>
        </w:tc>
        <w:tc>
          <w:tcPr>
            <w:tcW w:w="892" w:type="dxa"/>
            <w:noWrap/>
            <w:vAlign w:val="center"/>
          </w:tcPr>
          <w:p w14:paraId="310F5733"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2.8</w:t>
            </w:r>
          </w:p>
        </w:tc>
        <w:tc>
          <w:tcPr>
            <w:tcW w:w="1793" w:type="dxa"/>
            <w:noWrap/>
            <w:vAlign w:val="center"/>
          </w:tcPr>
          <w:p w14:paraId="34910DC1"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27, 916</w:t>
            </w:r>
          </w:p>
        </w:tc>
      </w:tr>
      <w:tr w:rsidR="00A3335E" w:rsidRPr="00DB3E4F" w14:paraId="3B2D9109" w14:textId="77777777" w:rsidTr="00887133">
        <w:trPr>
          <w:trHeight w:val="285"/>
        </w:trPr>
        <w:tc>
          <w:tcPr>
            <w:tcW w:w="4902" w:type="dxa"/>
            <w:noWrap/>
            <w:vAlign w:val="center"/>
          </w:tcPr>
          <w:p w14:paraId="39FBC0A0"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Dadra &amp; Nagar Haveli and Daman &amp; Diu</w:t>
            </w:r>
          </w:p>
        </w:tc>
        <w:tc>
          <w:tcPr>
            <w:tcW w:w="908" w:type="dxa"/>
            <w:noWrap/>
            <w:vAlign w:val="center"/>
          </w:tcPr>
          <w:p w14:paraId="0A199B0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0.3</w:t>
            </w:r>
          </w:p>
        </w:tc>
        <w:tc>
          <w:tcPr>
            <w:tcW w:w="988" w:type="dxa"/>
            <w:noWrap/>
            <w:vAlign w:val="center"/>
          </w:tcPr>
          <w:p w14:paraId="135C704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0.6</w:t>
            </w:r>
          </w:p>
        </w:tc>
        <w:tc>
          <w:tcPr>
            <w:tcW w:w="892" w:type="dxa"/>
            <w:noWrap/>
            <w:vAlign w:val="center"/>
          </w:tcPr>
          <w:p w14:paraId="5C4AF687"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0.1</w:t>
            </w:r>
          </w:p>
        </w:tc>
        <w:tc>
          <w:tcPr>
            <w:tcW w:w="1793" w:type="dxa"/>
            <w:noWrap/>
            <w:vAlign w:val="center"/>
          </w:tcPr>
          <w:p w14:paraId="42E08A7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85</w:t>
            </w:r>
          </w:p>
        </w:tc>
      </w:tr>
      <w:tr w:rsidR="00A3335E" w:rsidRPr="00DB3E4F" w14:paraId="19171EBA" w14:textId="77777777" w:rsidTr="00887133">
        <w:trPr>
          <w:trHeight w:val="285"/>
        </w:trPr>
        <w:tc>
          <w:tcPr>
            <w:tcW w:w="4902" w:type="dxa"/>
            <w:noWrap/>
            <w:vAlign w:val="center"/>
          </w:tcPr>
          <w:p w14:paraId="5E21E5E0"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Goa</w:t>
            </w:r>
          </w:p>
        </w:tc>
        <w:tc>
          <w:tcPr>
            <w:tcW w:w="908" w:type="dxa"/>
            <w:noWrap/>
            <w:vAlign w:val="center"/>
          </w:tcPr>
          <w:p w14:paraId="557CB9E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988" w:type="dxa"/>
            <w:noWrap/>
            <w:vAlign w:val="center"/>
          </w:tcPr>
          <w:p w14:paraId="2CF4087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892" w:type="dxa"/>
            <w:noWrap/>
            <w:vAlign w:val="center"/>
          </w:tcPr>
          <w:p w14:paraId="28F49BC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1793" w:type="dxa"/>
            <w:noWrap/>
            <w:vAlign w:val="center"/>
          </w:tcPr>
          <w:p w14:paraId="4B0850F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199</w:t>
            </w:r>
          </w:p>
        </w:tc>
      </w:tr>
      <w:tr w:rsidR="00A3335E" w:rsidRPr="00DB3E4F" w14:paraId="6A1D40FA" w14:textId="77777777" w:rsidTr="00887133">
        <w:trPr>
          <w:trHeight w:val="285"/>
        </w:trPr>
        <w:tc>
          <w:tcPr>
            <w:tcW w:w="4902" w:type="dxa"/>
            <w:noWrap/>
            <w:vAlign w:val="center"/>
          </w:tcPr>
          <w:p w14:paraId="270276E0"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Gujarat</w:t>
            </w:r>
          </w:p>
        </w:tc>
        <w:tc>
          <w:tcPr>
            <w:tcW w:w="908" w:type="dxa"/>
            <w:noWrap/>
            <w:vAlign w:val="center"/>
          </w:tcPr>
          <w:p w14:paraId="249736C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1.0</w:t>
            </w:r>
          </w:p>
        </w:tc>
        <w:tc>
          <w:tcPr>
            <w:tcW w:w="988" w:type="dxa"/>
            <w:noWrap/>
            <w:vAlign w:val="center"/>
          </w:tcPr>
          <w:p w14:paraId="581D7477"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892" w:type="dxa"/>
            <w:noWrap/>
            <w:vAlign w:val="center"/>
          </w:tcPr>
          <w:p w14:paraId="7D09E2F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1793" w:type="dxa"/>
            <w:noWrap/>
            <w:vAlign w:val="center"/>
          </w:tcPr>
          <w:p w14:paraId="7F548FC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9, 418</w:t>
            </w:r>
          </w:p>
        </w:tc>
      </w:tr>
      <w:tr w:rsidR="00A3335E" w:rsidRPr="00DB3E4F" w14:paraId="5CA86381" w14:textId="77777777" w:rsidTr="00887133">
        <w:trPr>
          <w:trHeight w:val="285"/>
        </w:trPr>
        <w:tc>
          <w:tcPr>
            <w:tcW w:w="4902" w:type="dxa"/>
            <w:noWrap/>
            <w:vAlign w:val="center"/>
          </w:tcPr>
          <w:p w14:paraId="7F5295C0"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Maharashtra</w:t>
            </w:r>
          </w:p>
        </w:tc>
        <w:tc>
          <w:tcPr>
            <w:tcW w:w="908" w:type="dxa"/>
            <w:noWrap/>
            <w:vAlign w:val="center"/>
          </w:tcPr>
          <w:p w14:paraId="1E47EC4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988" w:type="dxa"/>
            <w:noWrap/>
            <w:vAlign w:val="center"/>
          </w:tcPr>
          <w:p w14:paraId="4840074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892" w:type="dxa"/>
            <w:noWrap/>
            <w:vAlign w:val="center"/>
          </w:tcPr>
          <w:p w14:paraId="5B64246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3.8</w:t>
            </w:r>
          </w:p>
        </w:tc>
        <w:tc>
          <w:tcPr>
            <w:tcW w:w="1793" w:type="dxa"/>
            <w:noWrap/>
            <w:vAlign w:val="center"/>
          </w:tcPr>
          <w:p w14:paraId="2BD6708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18, 213</w:t>
            </w:r>
          </w:p>
        </w:tc>
      </w:tr>
      <w:tr w:rsidR="00A3335E" w:rsidRPr="00DB3E4F" w14:paraId="3C2FE94D" w14:textId="77777777" w:rsidTr="00887133">
        <w:trPr>
          <w:trHeight w:val="285"/>
        </w:trPr>
        <w:tc>
          <w:tcPr>
            <w:tcW w:w="4902" w:type="dxa"/>
            <w:noWrap/>
            <w:vAlign w:val="center"/>
          </w:tcPr>
          <w:p w14:paraId="42FE31FE"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F. South Region </w:t>
            </w:r>
          </w:p>
        </w:tc>
        <w:tc>
          <w:tcPr>
            <w:tcW w:w="908" w:type="dxa"/>
            <w:noWrap/>
            <w:vAlign w:val="center"/>
          </w:tcPr>
          <w:p w14:paraId="2CD0A6DB"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1.8</w:t>
            </w:r>
          </w:p>
        </w:tc>
        <w:tc>
          <w:tcPr>
            <w:tcW w:w="988" w:type="dxa"/>
            <w:noWrap/>
            <w:vAlign w:val="center"/>
          </w:tcPr>
          <w:p w14:paraId="5B9DE145"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1.6</w:t>
            </w:r>
          </w:p>
        </w:tc>
        <w:tc>
          <w:tcPr>
            <w:tcW w:w="892" w:type="dxa"/>
            <w:noWrap/>
            <w:vAlign w:val="center"/>
          </w:tcPr>
          <w:p w14:paraId="52D7F95E"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1.9</w:t>
            </w:r>
          </w:p>
        </w:tc>
        <w:tc>
          <w:tcPr>
            <w:tcW w:w="1793" w:type="dxa"/>
            <w:noWrap/>
            <w:vAlign w:val="center"/>
          </w:tcPr>
          <w:p w14:paraId="42867B2B"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37, 256</w:t>
            </w:r>
          </w:p>
        </w:tc>
      </w:tr>
      <w:tr w:rsidR="00A3335E" w:rsidRPr="00DB3E4F" w14:paraId="15C09167" w14:textId="77777777" w:rsidTr="00887133">
        <w:trPr>
          <w:trHeight w:val="285"/>
        </w:trPr>
        <w:tc>
          <w:tcPr>
            <w:tcW w:w="4902" w:type="dxa"/>
            <w:noWrap/>
            <w:vAlign w:val="center"/>
          </w:tcPr>
          <w:p w14:paraId="15161028"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Andaman &amp; Nicobar Islands</w:t>
            </w:r>
          </w:p>
        </w:tc>
        <w:tc>
          <w:tcPr>
            <w:tcW w:w="908" w:type="dxa"/>
            <w:noWrap/>
            <w:vAlign w:val="center"/>
          </w:tcPr>
          <w:p w14:paraId="0A76989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1.7</w:t>
            </w:r>
          </w:p>
        </w:tc>
        <w:tc>
          <w:tcPr>
            <w:tcW w:w="988" w:type="dxa"/>
            <w:noWrap/>
            <w:vAlign w:val="center"/>
          </w:tcPr>
          <w:p w14:paraId="02C7917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892" w:type="dxa"/>
            <w:noWrap/>
            <w:vAlign w:val="center"/>
          </w:tcPr>
          <w:p w14:paraId="3D249B89"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3.2</w:t>
            </w:r>
          </w:p>
        </w:tc>
        <w:tc>
          <w:tcPr>
            <w:tcW w:w="1793" w:type="dxa"/>
            <w:noWrap/>
            <w:vAlign w:val="center"/>
          </w:tcPr>
          <w:p w14:paraId="406FA2A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39</w:t>
            </w:r>
          </w:p>
        </w:tc>
      </w:tr>
      <w:tr w:rsidR="00A3335E" w:rsidRPr="00DB3E4F" w14:paraId="751899EC" w14:textId="77777777" w:rsidTr="00887133">
        <w:trPr>
          <w:trHeight w:val="285"/>
        </w:trPr>
        <w:tc>
          <w:tcPr>
            <w:tcW w:w="4902" w:type="dxa"/>
            <w:noWrap/>
            <w:vAlign w:val="center"/>
          </w:tcPr>
          <w:p w14:paraId="1796EBFF"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Andhra Pradesh</w:t>
            </w:r>
          </w:p>
        </w:tc>
        <w:tc>
          <w:tcPr>
            <w:tcW w:w="908" w:type="dxa"/>
            <w:noWrap/>
            <w:vAlign w:val="center"/>
          </w:tcPr>
          <w:p w14:paraId="13E8455E"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988" w:type="dxa"/>
            <w:noWrap/>
            <w:vAlign w:val="center"/>
          </w:tcPr>
          <w:p w14:paraId="50B9F5AC"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2.1</w:t>
            </w:r>
          </w:p>
        </w:tc>
        <w:tc>
          <w:tcPr>
            <w:tcW w:w="892" w:type="dxa"/>
            <w:noWrap/>
            <w:vAlign w:val="center"/>
          </w:tcPr>
          <w:p w14:paraId="0912AF1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1793" w:type="dxa"/>
            <w:noWrap/>
            <w:vAlign w:val="center"/>
          </w:tcPr>
          <w:p w14:paraId="2CD4A70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7, 081</w:t>
            </w:r>
          </w:p>
        </w:tc>
      </w:tr>
      <w:tr w:rsidR="00A3335E" w:rsidRPr="00DB3E4F" w14:paraId="00806C6E" w14:textId="77777777" w:rsidTr="00887133">
        <w:trPr>
          <w:trHeight w:val="285"/>
        </w:trPr>
        <w:tc>
          <w:tcPr>
            <w:tcW w:w="4902" w:type="dxa"/>
            <w:noWrap/>
            <w:vAlign w:val="center"/>
          </w:tcPr>
          <w:p w14:paraId="4BD5DF88"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Karnataka</w:t>
            </w:r>
          </w:p>
        </w:tc>
        <w:tc>
          <w:tcPr>
            <w:tcW w:w="908" w:type="dxa"/>
            <w:noWrap/>
            <w:vAlign w:val="center"/>
          </w:tcPr>
          <w:p w14:paraId="66ED345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1.5</w:t>
            </w:r>
          </w:p>
        </w:tc>
        <w:tc>
          <w:tcPr>
            <w:tcW w:w="988" w:type="dxa"/>
            <w:noWrap/>
            <w:vAlign w:val="center"/>
          </w:tcPr>
          <w:p w14:paraId="34FE59A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1.2</w:t>
            </w:r>
          </w:p>
        </w:tc>
        <w:tc>
          <w:tcPr>
            <w:tcW w:w="892" w:type="dxa"/>
            <w:noWrap/>
            <w:vAlign w:val="center"/>
          </w:tcPr>
          <w:p w14:paraId="1CC155C6"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 xml:space="preserve">1.7                              </w:t>
            </w:r>
          </w:p>
        </w:tc>
        <w:tc>
          <w:tcPr>
            <w:tcW w:w="1793" w:type="dxa"/>
            <w:noWrap/>
            <w:vAlign w:val="center"/>
          </w:tcPr>
          <w:p w14:paraId="4004501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9, 881</w:t>
            </w:r>
          </w:p>
        </w:tc>
      </w:tr>
      <w:tr w:rsidR="00A3335E" w:rsidRPr="00DB3E4F" w14:paraId="0691A9E5" w14:textId="77777777" w:rsidTr="00887133">
        <w:trPr>
          <w:trHeight w:val="285"/>
        </w:trPr>
        <w:tc>
          <w:tcPr>
            <w:tcW w:w="4902" w:type="dxa"/>
            <w:noWrap/>
            <w:vAlign w:val="center"/>
          </w:tcPr>
          <w:p w14:paraId="59CC59AD"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Kerala</w:t>
            </w:r>
          </w:p>
        </w:tc>
        <w:tc>
          <w:tcPr>
            <w:tcW w:w="908" w:type="dxa"/>
            <w:noWrap/>
            <w:vAlign w:val="center"/>
          </w:tcPr>
          <w:p w14:paraId="0F99380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2.4</w:t>
            </w:r>
          </w:p>
        </w:tc>
        <w:tc>
          <w:tcPr>
            <w:tcW w:w="988" w:type="dxa"/>
            <w:noWrap/>
            <w:vAlign w:val="center"/>
          </w:tcPr>
          <w:p w14:paraId="04069B3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892" w:type="dxa"/>
            <w:noWrap/>
            <w:vAlign w:val="center"/>
          </w:tcPr>
          <w:p w14:paraId="0C7C60F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2.9</w:t>
            </w:r>
          </w:p>
        </w:tc>
        <w:tc>
          <w:tcPr>
            <w:tcW w:w="1793" w:type="dxa"/>
            <w:noWrap/>
            <w:vAlign w:val="center"/>
          </w:tcPr>
          <w:p w14:paraId="1A9FFBF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4, 502</w:t>
            </w:r>
          </w:p>
        </w:tc>
      </w:tr>
      <w:tr w:rsidR="00A3335E" w:rsidRPr="00DB3E4F" w14:paraId="28665716" w14:textId="77777777" w:rsidTr="00887133">
        <w:trPr>
          <w:trHeight w:val="285"/>
        </w:trPr>
        <w:tc>
          <w:tcPr>
            <w:tcW w:w="4902" w:type="dxa"/>
            <w:noWrap/>
            <w:vAlign w:val="center"/>
          </w:tcPr>
          <w:p w14:paraId="1D2F5909"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lastRenderedPageBreak/>
              <w:t>Lakshadweep</w:t>
            </w:r>
          </w:p>
        </w:tc>
        <w:tc>
          <w:tcPr>
            <w:tcW w:w="908" w:type="dxa"/>
            <w:noWrap/>
            <w:vAlign w:val="center"/>
          </w:tcPr>
          <w:p w14:paraId="3C777381"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1.4</w:t>
            </w:r>
          </w:p>
        </w:tc>
        <w:tc>
          <w:tcPr>
            <w:tcW w:w="988" w:type="dxa"/>
            <w:noWrap/>
            <w:vAlign w:val="center"/>
          </w:tcPr>
          <w:p w14:paraId="4D96EF68"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2.0</w:t>
            </w:r>
          </w:p>
        </w:tc>
        <w:tc>
          <w:tcPr>
            <w:tcW w:w="892" w:type="dxa"/>
            <w:noWrap/>
            <w:vAlign w:val="center"/>
          </w:tcPr>
          <w:p w14:paraId="326B56E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0.0</w:t>
            </w:r>
          </w:p>
        </w:tc>
        <w:tc>
          <w:tcPr>
            <w:tcW w:w="1793" w:type="dxa"/>
            <w:noWrap/>
            <w:vAlign w:val="center"/>
          </w:tcPr>
          <w:p w14:paraId="5AF29C6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10</w:t>
            </w:r>
          </w:p>
        </w:tc>
      </w:tr>
      <w:tr w:rsidR="00A3335E" w:rsidRPr="00DB3E4F" w14:paraId="60A5F239" w14:textId="77777777" w:rsidTr="00887133">
        <w:trPr>
          <w:trHeight w:val="285"/>
        </w:trPr>
        <w:tc>
          <w:tcPr>
            <w:tcW w:w="4902" w:type="dxa"/>
            <w:noWrap/>
            <w:vAlign w:val="center"/>
          </w:tcPr>
          <w:p w14:paraId="7927A7A7"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Puducherry</w:t>
            </w:r>
          </w:p>
        </w:tc>
        <w:tc>
          <w:tcPr>
            <w:tcW w:w="908" w:type="dxa"/>
            <w:noWrap/>
            <w:vAlign w:val="center"/>
          </w:tcPr>
          <w:p w14:paraId="0157A88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4.9</w:t>
            </w:r>
          </w:p>
        </w:tc>
        <w:tc>
          <w:tcPr>
            <w:tcW w:w="988" w:type="dxa"/>
            <w:noWrap/>
            <w:vAlign w:val="center"/>
          </w:tcPr>
          <w:p w14:paraId="1AE83A0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6.4</w:t>
            </w:r>
          </w:p>
        </w:tc>
        <w:tc>
          <w:tcPr>
            <w:tcW w:w="892" w:type="dxa"/>
            <w:noWrap/>
            <w:vAlign w:val="center"/>
          </w:tcPr>
          <w:p w14:paraId="5A05E35F"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1.6</w:t>
            </w:r>
          </w:p>
        </w:tc>
        <w:tc>
          <w:tcPr>
            <w:tcW w:w="1793" w:type="dxa"/>
            <w:noWrap/>
            <w:vAlign w:val="center"/>
          </w:tcPr>
          <w:p w14:paraId="2EF0A2E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145</w:t>
            </w:r>
          </w:p>
        </w:tc>
      </w:tr>
      <w:tr w:rsidR="00A3335E" w:rsidRPr="00DB3E4F" w14:paraId="4FEF9F42" w14:textId="77777777" w:rsidTr="00887133">
        <w:trPr>
          <w:trHeight w:val="285"/>
        </w:trPr>
        <w:tc>
          <w:tcPr>
            <w:tcW w:w="4902" w:type="dxa"/>
            <w:noWrap/>
            <w:vAlign w:val="center"/>
          </w:tcPr>
          <w:p w14:paraId="594A560A"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Tamil Nadu</w:t>
            </w:r>
          </w:p>
        </w:tc>
        <w:tc>
          <w:tcPr>
            <w:tcW w:w="908" w:type="dxa"/>
            <w:noWrap/>
            <w:vAlign w:val="center"/>
          </w:tcPr>
          <w:p w14:paraId="13D3959A"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1.1</w:t>
            </w:r>
          </w:p>
        </w:tc>
        <w:tc>
          <w:tcPr>
            <w:tcW w:w="988" w:type="dxa"/>
            <w:noWrap/>
            <w:vAlign w:val="center"/>
          </w:tcPr>
          <w:p w14:paraId="371EF1D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1.4</w:t>
            </w:r>
          </w:p>
        </w:tc>
        <w:tc>
          <w:tcPr>
            <w:tcW w:w="892" w:type="dxa"/>
            <w:noWrap/>
            <w:vAlign w:val="center"/>
          </w:tcPr>
          <w:p w14:paraId="3931789D"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0.9</w:t>
            </w:r>
          </w:p>
        </w:tc>
        <w:tc>
          <w:tcPr>
            <w:tcW w:w="1793" w:type="dxa"/>
            <w:noWrap/>
            <w:vAlign w:val="center"/>
          </w:tcPr>
          <w:p w14:paraId="39ECE3E5"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10, 610</w:t>
            </w:r>
          </w:p>
        </w:tc>
      </w:tr>
      <w:tr w:rsidR="00A3335E" w:rsidRPr="00DB3E4F" w14:paraId="7208954F" w14:textId="77777777" w:rsidTr="00887133">
        <w:trPr>
          <w:trHeight w:val="285"/>
        </w:trPr>
        <w:tc>
          <w:tcPr>
            <w:tcW w:w="4902" w:type="dxa"/>
            <w:noWrap/>
            <w:vAlign w:val="center"/>
          </w:tcPr>
          <w:p w14:paraId="36BD835D" w14:textId="77777777" w:rsidR="00A3335E" w:rsidRPr="00DB3E4F" w:rsidRDefault="00A3335E" w:rsidP="00887133">
            <w:pPr>
              <w:spacing w:after="0" w:line="240" w:lineRule="auto"/>
              <w:rPr>
                <w:rFonts w:ascii="Arial" w:eastAsia="Times New Roman" w:hAnsi="Arial" w:cs="Arial"/>
                <w:color w:val="000000"/>
                <w:lang w:eastAsia="en-IN"/>
              </w:rPr>
            </w:pPr>
            <w:r w:rsidRPr="00DB3E4F">
              <w:rPr>
                <w:rFonts w:ascii="Arial" w:eastAsia="Times New Roman" w:hAnsi="Arial" w:cs="Arial"/>
                <w:color w:val="000000"/>
                <w:lang w:eastAsia="en-IN"/>
              </w:rPr>
              <w:t>Telangana</w:t>
            </w:r>
          </w:p>
        </w:tc>
        <w:tc>
          <w:tcPr>
            <w:tcW w:w="908" w:type="dxa"/>
            <w:noWrap/>
            <w:vAlign w:val="center"/>
          </w:tcPr>
          <w:p w14:paraId="1F655F34"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2.2</w:t>
            </w:r>
          </w:p>
        </w:tc>
        <w:tc>
          <w:tcPr>
            <w:tcW w:w="988" w:type="dxa"/>
            <w:noWrap/>
            <w:vAlign w:val="center"/>
          </w:tcPr>
          <w:p w14:paraId="0F020E42"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1.9</w:t>
            </w:r>
          </w:p>
        </w:tc>
        <w:tc>
          <w:tcPr>
            <w:tcW w:w="892" w:type="dxa"/>
            <w:noWrap/>
            <w:vAlign w:val="center"/>
          </w:tcPr>
          <w:p w14:paraId="5CE9AE93"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2.5</w:t>
            </w:r>
          </w:p>
        </w:tc>
        <w:tc>
          <w:tcPr>
            <w:tcW w:w="1793" w:type="dxa"/>
            <w:noWrap/>
            <w:vAlign w:val="center"/>
          </w:tcPr>
          <w:p w14:paraId="0BDB2AE0" w14:textId="77777777" w:rsidR="00A3335E" w:rsidRPr="00DB3E4F" w:rsidRDefault="00A3335E" w:rsidP="00887133">
            <w:pPr>
              <w:spacing w:after="0" w:line="240" w:lineRule="auto"/>
              <w:jc w:val="center"/>
              <w:rPr>
                <w:rFonts w:ascii="Arial" w:eastAsia="Times New Roman" w:hAnsi="Arial" w:cs="Arial"/>
                <w:color w:val="000000"/>
                <w:lang w:eastAsia="en-IN"/>
              </w:rPr>
            </w:pPr>
            <w:r w:rsidRPr="00DB3E4F">
              <w:rPr>
                <w:rFonts w:ascii="Arial" w:eastAsia="Times New Roman" w:hAnsi="Arial" w:cs="Arial"/>
                <w:color w:val="000000"/>
                <w:lang w:eastAsia="en-IN"/>
              </w:rPr>
              <w:t>4, 988</w:t>
            </w:r>
          </w:p>
        </w:tc>
      </w:tr>
      <w:tr w:rsidR="00A3335E" w:rsidRPr="00DB3E4F" w14:paraId="54C108B7" w14:textId="77777777" w:rsidTr="00887133">
        <w:trPr>
          <w:trHeight w:val="285"/>
        </w:trPr>
        <w:tc>
          <w:tcPr>
            <w:tcW w:w="4902" w:type="dxa"/>
            <w:noWrap/>
            <w:vAlign w:val="center"/>
          </w:tcPr>
          <w:p w14:paraId="4E54F1E8" w14:textId="77777777" w:rsidR="00A3335E" w:rsidRPr="00DB3E4F" w:rsidRDefault="00A3335E" w:rsidP="00887133">
            <w:pPr>
              <w:spacing w:after="0" w:line="240" w:lineRule="auto"/>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India </w:t>
            </w:r>
          </w:p>
        </w:tc>
        <w:tc>
          <w:tcPr>
            <w:tcW w:w="908" w:type="dxa"/>
            <w:noWrap/>
            <w:vAlign w:val="center"/>
          </w:tcPr>
          <w:p w14:paraId="2BD13503"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2.8</w:t>
            </w:r>
          </w:p>
        </w:tc>
        <w:tc>
          <w:tcPr>
            <w:tcW w:w="988" w:type="dxa"/>
            <w:noWrap/>
            <w:vAlign w:val="center"/>
          </w:tcPr>
          <w:p w14:paraId="13EB84DE"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2.3</w:t>
            </w:r>
          </w:p>
        </w:tc>
        <w:tc>
          <w:tcPr>
            <w:tcW w:w="892" w:type="dxa"/>
            <w:noWrap/>
            <w:vAlign w:val="center"/>
          </w:tcPr>
          <w:p w14:paraId="4D54E4C8"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3.0</w:t>
            </w:r>
          </w:p>
        </w:tc>
        <w:tc>
          <w:tcPr>
            <w:tcW w:w="1793" w:type="dxa"/>
            <w:noWrap/>
            <w:vAlign w:val="center"/>
          </w:tcPr>
          <w:p w14:paraId="4CD9A5F8" w14:textId="77777777" w:rsidR="00A3335E" w:rsidRPr="00DB3E4F" w:rsidRDefault="00A3335E" w:rsidP="00887133">
            <w:pPr>
              <w:spacing w:after="0" w:line="240" w:lineRule="auto"/>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2, 22, 233</w:t>
            </w:r>
          </w:p>
        </w:tc>
      </w:tr>
    </w:tbl>
    <w:p w14:paraId="0C78245C" w14:textId="77777777" w:rsidR="00A3335E" w:rsidRPr="00DB3E4F" w:rsidRDefault="00A3335E" w:rsidP="00A3335E">
      <w:pPr>
        <w:rPr>
          <w:rFonts w:ascii="Arial" w:hAnsi="Arial" w:cs="Arial"/>
        </w:rPr>
      </w:pPr>
    </w:p>
    <w:p w14:paraId="781782A8" w14:textId="77777777" w:rsidR="00A3335E" w:rsidRPr="00DB3E4F" w:rsidRDefault="00A3335E" w:rsidP="00A3335E">
      <w:pPr>
        <w:spacing w:after="0" w:line="276" w:lineRule="auto"/>
        <w:contextualSpacing/>
        <w:jc w:val="both"/>
        <w:rPr>
          <w:rFonts w:ascii="Arial" w:eastAsia="Times New Roman" w:hAnsi="Arial" w:cs="Arial"/>
          <w:color w:val="000000"/>
          <w:lang w:eastAsia="en-IN"/>
        </w:rPr>
      </w:pPr>
      <w:r w:rsidRPr="00DB3E4F">
        <w:rPr>
          <w:rFonts w:ascii="Arial" w:hAnsi="Arial" w:cs="Arial"/>
          <w:b/>
          <w:lang w:val="en-US"/>
        </w:rPr>
        <w:t>Table 3</w:t>
      </w:r>
      <w:r w:rsidRPr="00DB3E4F">
        <w:rPr>
          <w:rFonts w:ascii="Arial" w:eastAsia="Times New Roman" w:hAnsi="Arial" w:cs="Arial"/>
          <w:color w:val="000000"/>
          <w:lang w:eastAsia="en-IN"/>
        </w:rPr>
        <w:t>: Multilevel logistic regression model assessing the factors associated with ARI among children (0-59 Months) in India</w:t>
      </w:r>
    </w:p>
    <w:p w14:paraId="38FC71CD" w14:textId="77777777" w:rsidR="00A3335E" w:rsidRPr="00DB3E4F" w:rsidRDefault="00A3335E" w:rsidP="00A3335E">
      <w:pPr>
        <w:spacing w:after="0" w:line="276" w:lineRule="auto"/>
        <w:contextualSpacing/>
        <w:jc w:val="both"/>
        <w:rPr>
          <w:rFonts w:ascii="Arial" w:eastAsia="Times New Roman" w:hAnsi="Arial" w:cs="Arial"/>
          <w:color w:val="000000"/>
          <w:lang w:eastAsia="en-IN"/>
        </w:rPr>
      </w:pPr>
    </w:p>
    <w:tbl>
      <w:tblPr>
        <w:tblW w:w="9377" w:type="dxa"/>
        <w:jc w:val="center"/>
        <w:tblLook w:val="04A0" w:firstRow="1" w:lastRow="0" w:firstColumn="1" w:lastColumn="0" w:noHBand="0" w:noVBand="1"/>
      </w:tblPr>
      <w:tblGrid>
        <w:gridCol w:w="3672"/>
        <w:gridCol w:w="1767"/>
        <w:gridCol w:w="1384"/>
        <w:gridCol w:w="2554"/>
      </w:tblGrid>
      <w:tr w:rsidR="00A3335E" w:rsidRPr="00DB3E4F" w14:paraId="41F2715C" w14:textId="77777777" w:rsidTr="00887133">
        <w:trPr>
          <w:trHeight w:val="246"/>
          <w:jc w:val="center"/>
        </w:trPr>
        <w:tc>
          <w:tcPr>
            <w:tcW w:w="3672" w:type="dxa"/>
            <w:tcBorders>
              <w:top w:val="single" w:sz="4" w:space="0" w:color="auto"/>
              <w:left w:val="single" w:sz="4" w:space="0" w:color="auto"/>
              <w:bottom w:val="single" w:sz="4" w:space="0" w:color="auto"/>
              <w:right w:val="single" w:sz="4" w:space="0" w:color="auto"/>
            </w:tcBorders>
            <w:noWrap/>
            <w:vAlign w:val="center"/>
          </w:tcPr>
          <w:p w14:paraId="47A6883C"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Background characteristics</w:t>
            </w:r>
          </w:p>
        </w:tc>
        <w:tc>
          <w:tcPr>
            <w:tcW w:w="1767" w:type="dxa"/>
            <w:tcBorders>
              <w:top w:val="single" w:sz="4" w:space="0" w:color="auto"/>
              <w:left w:val="nil"/>
              <w:bottom w:val="single" w:sz="4" w:space="0" w:color="auto"/>
              <w:right w:val="single" w:sz="4" w:space="0" w:color="auto"/>
            </w:tcBorders>
            <w:noWrap/>
            <w:vAlign w:val="center"/>
          </w:tcPr>
          <w:p w14:paraId="5AC53991"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Sample N (%)</w:t>
            </w:r>
          </w:p>
        </w:tc>
        <w:tc>
          <w:tcPr>
            <w:tcW w:w="1384" w:type="dxa"/>
            <w:tcBorders>
              <w:top w:val="single" w:sz="4" w:space="0" w:color="auto"/>
              <w:left w:val="nil"/>
              <w:bottom w:val="single" w:sz="4" w:space="0" w:color="auto"/>
              <w:right w:val="single" w:sz="4" w:space="0" w:color="auto"/>
            </w:tcBorders>
            <w:vAlign w:val="center"/>
          </w:tcPr>
          <w:p w14:paraId="5B3E4C5C"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Prevalence N (%)</w:t>
            </w:r>
          </w:p>
        </w:tc>
        <w:tc>
          <w:tcPr>
            <w:tcW w:w="2554" w:type="dxa"/>
            <w:tcBorders>
              <w:top w:val="single" w:sz="4" w:space="0" w:color="auto"/>
              <w:left w:val="nil"/>
              <w:bottom w:val="single" w:sz="4" w:space="0" w:color="auto"/>
              <w:right w:val="single" w:sz="4" w:space="0" w:color="auto"/>
            </w:tcBorders>
            <w:noWrap/>
            <w:vAlign w:val="bottom"/>
          </w:tcPr>
          <w:p w14:paraId="000459B7"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b/>
                <w:bCs/>
                <w:color w:val="000000"/>
                <w:lang w:eastAsia="en-IN"/>
              </w:rPr>
              <w:t>AOR 95% CI</w:t>
            </w:r>
          </w:p>
        </w:tc>
      </w:tr>
      <w:tr w:rsidR="00A3335E" w:rsidRPr="00DB3E4F" w14:paraId="7B3871B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CF3B2E3"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A. Household Environment </w:t>
            </w:r>
          </w:p>
        </w:tc>
        <w:tc>
          <w:tcPr>
            <w:tcW w:w="1767" w:type="dxa"/>
            <w:tcBorders>
              <w:top w:val="nil"/>
              <w:left w:val="nil"/>
              <w:bottom w:val="single" w:sz="4" w:space="0" w:color="auto"/>
              <w:right w:val="single" w:sz="4" w:space="0" w:color="auto"/>
            </w:tcBorders>
            <w:noWrap/>
            <w:vAlign w:val="center"/>
          </w:tcPr>
          <w:p w14:paraId="7C227558"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vAlign w:val="center"/>
          </w:tcPr>
          <w:p w14:paraId="50FCAABA"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 </w:t>
            </w:r>
          </w:p>
        </w:tc>
        <w:tc>
          <w:tcPr>
            <w:tcW w:w="2554" w:type="dxa"/>
            <w:tcBorders>
              <w:top w:val="nil"/>
              <w:left w:val="nil"/>
              <w:bottom w:val="single" w:sz="4" w:space="0" w:color="auto"/>
              <w:right w:val="single" w:sz="4" w:space="0" w:color="auto"/>
            </w:tcBorders>
            <w:noWrap/>
            <w:vAlign w:val="bottom"/>
          </w:tcPr>
          <w:p w14:paraId="082E81D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627442F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F6E89EA"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House type  </w:t>
            </w:r>
          </w:p>
        </w:tc>
        <w:tc>
          <w:tcPr>
            <w:tcW w:w="1767" w:type="dxa"/>
            <w:tcBorders>
              <w:top w:val="nil"/>
              <w:left w:val="nil"/>
              <w:bottom w:val="single" w:sz="4" w:space="0" w:color="auto"/>
              <w:right w:val="single" w:sz="4" w:space="0" w:color="auto"/>
            </w:tcBorders>
            <w:noWrap/>
            <w:vAlign w:val="center"/>
          </w:tcPr>
          <w:p w14:paraId="0EAD9E2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5998807"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bottom"/>
          </w:tcPr>
          <w:p w14:paraId="5E04350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29729B9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13AA2C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proofErr w:type="spellStart"/>
            <w:r w:rsidRPr="00DB3E4F">
              <w:rPr>
                <w:rFonts w:ascii="Arial" w:eastAsia="Times New Roman" w:hAnsi="Arial" w:cs="Arial"/>
                <w:i/>
                <w:iCs/>
                <w:color w:val="000000"/>
                <w:lang w:eastAsia="en-IN"/>
              </w:rPr>
              <w:t>Kuchha</w:t>
            </w:r>
            <w:proofErr w:type="spellEnd"/>
          </w:p>
        </w:tc>
        <w:tc>
          <w:tcPr>
            <w:tcW w:w="1767" w:type="dxa"/>
            <w:tcBorders>
              <w:top w:val="nil"/>
              <w:left w:val="nil"/>
              <w:bottom w:val="single" w:sz="4" w:space="0" w:color="auto"/>
              <w:right w:val="single" w:sz="4" w:space="0" w:color="auto"/>
            </w:tcBorders>
            <w:shd w:val="clear" w:color="000000" w:fill="FFFFFF"/>
            <w:noWrap/>
            <w:vAlign w:val="center"/>
          </w:tcPr>
          <w:p w14:paraId="61836EF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517 (0.3)</w:t>
            </w:r>
          </w:p>
        </w:tc>
        <w:tc>
          <w:tcPr>
            <w:tcW w:w="1384" w:type="dxa"/>
            <w:tcBorders>
              <w:top w:val="nil"/>
              <w:left w:val="nil"/>
              <w:bottom w:val="single" w:sz="4" w:space="0" w:color="auto"/>
              <w:right w:val="single" w:sz="4" w:space="0" w:color="auto"/>
            </w:tcBorders>
            <w:vAlign w:val="center"/>
          </w:tcPr>
          <w:p w14:paraId="0A455FF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14 (2.75)</w:t>
            </w:r>
          </w:p>
        </w:tc>
        <w:tc>
          <w:tcPr>
            <w:tcW w:w="2554" w:type="dxa"/>
            <w:tcBorders>
              <w:top w:val="nil"/>
              <w:left w:val="nil"/>
              <w:bottom w:val="single" w:sz="4" w:space="0" w:color="auto"/>
              <w:right w:val="single" w:sz="4" w:space="0" w:color="auto"/>
            </w:tcBorders>
            <w:noWrap/>
            <w:vAlign w:val="center"/>
          </w:tcPr>
          <w:p w14:paraId="2280275B"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129F7048"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CC88970"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Semi-Pucca</w:t>
            </w:r>
          </w:p>
        </w:tc>
        <w:tc>
          <w:tcPr>
            <w:tcW w:w="1767" w:type="dxa"/>
            <w:tcBorders>
              <w:top w:val="nil"/>
              <w:left w:val="nil"/>
              <w:bottom w:val="single" w:sz="4" w:space="0" w:color="auto"/>
              <w:right w:val="single" w:sz="4" w:space="0" w:color="auto"/>
            </w:tcBorders>
            <w:shd w:val="clear" w:color="000000" w:fill="FFFFFF"/>
            <w:noWrap/>
            <w:vAlign w:val="center"/>
          </w:tcPr>
          <w:p w14:paraId="244D586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40,537 (18.2)</w:t>
            </w:r>
          </w:p>
        </w:tc>
        <w:tc>
          <w:tcPr>
            <w:tcW w:w="1384" w:type="dxa"/>
            <w:tcBorders>
              <w:top w:val="nil"/>
              <w:left w:val="nil"/>
              <w:bottom w:val="single" w:sz="4" w:space="0" w:color="auto"/>
              <w:right w:val="single" w:sz="4" w:space="0" w:color="auto"/>
            </w:tcBorders>
            <w:vAlign w:val="center"/>
          </w:tcPr>
          <w:p w14:paraId="4644D1D7"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1489 (3.68)</w:t>
            </w:r>
          </w:p>
        </w:tc>
        <w:tc>
          <w:tcPr>
            <w:tcW w:w="2554" w:type="dxa"/>
            <w:tcBorders>
              <w:top w:val="nil"/>
              <w:left w:val="nil"/>
              <w:bottom w:val="single" w:sz="4" w:space="0" w:color="auto"/>
              <w:right w:val="single" w:sz="4" w:space="0" w:color="auto"/>
            </w:tcBorders>
            <w:noWrap/>
            <w:vAlign w:val="center"/>
          </w:tcPr>
          <w:p w14:paraId="5932F2F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1.24 (0.73-2.11)</w:t>
            </w:r>
          </w:p>
        </w:tc>
      </w:tr>
      <w:tr w:rsidR="00A3335E" w:rsidRPr="00DB3E4F" w14:paraId="2FB4752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9A3346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Pacca</w:t>
            </w:r>
          </w:p>
        </w:tc>
        <w:tc>
          <w:tcPr>
            <w:tcW w:w="1767" w:type="dxa"/>
            <w:tcBorders>
              <w:top w:val="nil"/>
              <w:left w:val="nil"/>
              <w:bottom w:val="single" w:sz="4" w:space="0" w:color="auto"/>
              <w:right w:val="single" w:sz="4" w:space="0" w:color="auto"/>
            </w:tcBorders>
            <w:shd w:val="clear" w:color="000000" w:fill="FFFFFF"/>
            <w:noWrap/>
            <w:vAlign w:val="center"/>
          </w:tcPr>
          <w:p w14:paraId="551D25E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1,81,178 (81.5)</w:t>
            </w:r>
          </w:p>
        </w:tc>
        <w:tc>
          <w:tcPr>
            <w:tcW w:w="1384" w:type="dxa"/>
            <w:tcBorders>
              <w:top w:val="nil"/>
              <w:left w:val="nil"/>
              <w:bottom w:val="single" w:sz="4" w:space="0" w:color="auto"/>
              <w:right w:val="single" w:sz="4" w:space="0" w:color="auto"/>
            </w:tcBorders>
            <w:vAlign w:val="center"/>
          </w:tcPr>
          <w:p w14:paraId="5A43353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4694 (2.6)</w:t>
            </w:r>
          </w:p>
        </w:tc>
        <w:tc>
          <w:tcPr>
            <w:tcW w:w="2554" w:type="dxa"/>
            <w:tcBorders>
              <w:top w:val="nil"/>
              <w:left w:val="nil"/>
              <w:bottom w:val="single" w:sz="4" w:space="0" w:color="auto"/>
              <w:right w:val="single" w:sz="4" w:space="0" w:color="auto"/>
            </w:tcBorders>
            <w:noWrap/>
            <w:vAlign w:val="center"/>
          </w:tcPr>
          <w:p w14:paraId="5F5DE20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1.16 (0.68-1.97)</w:t>
            </w:r>
          </w:p>
        </w:tc>
      </w:tr>
      <w:tr w:rsidR="00A3335E" w:rsidRPr="00DB3E4F" w14:paraId="229FAF9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8FFB190"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Household cooking environment </w:t>
            </w:r>
          </w:p>
        </w:tc>
        <w:tc>
          <w:tcPr>
            <w:tcW w:w="1767" w:type="dxa"/>
            <w:tcBorders>
              <w:top w:val="nil"/>
              <w:left w:val="nil"/>
              <w:bottom w:val="single" w:sz="4" w:space="0" w:color="auto"/>
              <w:right w:val="single" w:sz="4" w:space="0" w:color="auto"/>
            </w:tcBorders>
            <w:noWrap/>
            <w:vAlign w:val="center"/>
          </w:tcPr>
          <w:p w14:paraId="444BAAF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25EAB4C7"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 &lt;.001*</w:t>
            </w:r>
          </w:p>
        </w:tc>
        <w:tc>
          <w:tcPr>
            <w:tcW w:w="2554" w:type="dxa"/>
            <w:tcBorders>
              <w:top w:val="nil"/>
              <w:left w:val="nil"/>
              <w:bottom w:val="single" w:sz="4" w:space="0" w:color="auto"/>
              <w:right w:val="single" w:sz="4" w:space="0" w:color="auto"/>
            </w:tcBorders>
            <w:noWrap/>
            <w:vAlign w:val="center"/>
          </w:tcPr>
          <w:p w14:paraId="3825F11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02C17BA0"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31F12D5"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Clean cooking environment</w:t>
            </w:r>
          </w:p>
        </w:tc>
        <w:tc>
          <w:tcPr>
            <w:tcW w:w="1767" w:type="dxa"/>
            <w:tcBorders>
              <w:top w:val="nil"/>
              <w:left w:val="nil"/>
              <w:bottom w:val="single" w:sz="4" w:space="0" w:color="auto"/>
              <w:right w:val="single" w:sz="4" w:space="0" w:color="auto"/>
            </w:tcBorders>
            <w:shd w:val="clear" w:color="000000" w:fill="FFFFFF"/>
            <w:noWrap/>
            <w:vAlign w:val="center"/>
          </w:tcPr>
          <w:p w14:paraId="3A22685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1,11,637 (50.2)</w:t>
            </w:r>
          </w:p>
        </w:tc>
        <w:tc>
          <w:tcPr>
            <w:tcW w:w="1384" w:type="dxa"/>
            <w:tcBorders>
              <w:top w:val="nil"/>
              <w:left w:val="nil"/>
              <w:bottom w:val="single" w:sz="4" w:space="0" w:color="auto"/>
              <w:right w:val="single" w:sz="4" w:space="0" w:color="auto"/>
            </w:tcBorders>
            <w:vAlign w:val="center"/>
          </w:tcPr>
          <w:p w14:paraId="5508DDB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2899 (2.6)</w:t>
            </w:r>
          </w:p>
        </w:tc>
        <w:tc>
          <w:tcPr>
            <w:tcW w:w="2554" w:type="dxa"/>
            <w:tcBorders>
              <w:top w:val="nil"/>
              <w:left w:val="nil"/>
              <w:bottom w:val="single" w:sz="4" w:space="0" w:color="auto"/>
              <w:right w:val="single" w:sz="4" w:space="0" w:color="auto"/>
            </w:tcBorders>
            <w:noWrap/>
            <w:vAlign w:val="center"/>
          </w:tcPr>
          <w:p w14:paraId="502DA937"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62EF895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3B0580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Unclean cooking environment</w:t>
            </w:r>
          </w:p>
        </w:tc>
        <w:tc>
          <w:tcPr>
            <w:tcW w:w="1767" w:type="dxa"/>
            <w:tcBorders>
              <w:top w:val="nil"/>
              <w:left w:val="nil"/>
              <w:bottom w:val="single" w:sz="4" w:space="0" w:color="auto"/>
              <w:right w:val="single" w:sz="4" w:space="0" w:color="auto"/>
            </w:tcBorders>
            <w:shd w:val="clear" w:color="000000" w:fill="FFFFFF"/>
            <w:noWrap/>
            <w:vAlign w:val="center"/>
          </w:tcPr>
          <w:p w14:paraId="2F2DF98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1,10,596 (49.8)</w:t>
            </w:r>
          </w:p>
        </w:tc>
        <w:tc>
          <w:tcPr>
            <w:tcW w:w="1384" w:type="dxa"/>
            <w:tcBorders>
              <w:top w:val="nil"/>
              <w:left w:val="nil"/>
              <w:bottom w:val="single" w:sz="4" w:space="0" w:color="auto"/>
              <w:right w:val="single" w:sz="4" w:space="0" w:color="auto"/>
            </w:tcBorders>
            <w:vAlign w:val="center"/>
          </w:tcPr>
          <w:p w14:paraId="11C9CF77"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3299 (2.99)</w:t>
            </w:r>
          </w:p>
        </w:tc>
        <w:tc>
          <w:tcPr>
            <w:tcW w:w="2554" w:type="dxa"/>
            <w:tcBorders>
              <w:top w:val="nil"/>
              <w:left w:val="nil"/>
              <w:bottom w:val="single" w:sz="4" w:space="0" w:color="auto"/>
              <w:right w:val="single" w:sz="4" w:space="0" w:color="auto"/>
            </w:tcBorders>
            <w:noWrap/>
            <w:vAlign w:val="center"/>
          </w:tcPr>
          <w:p w14:paraId="0628B68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0.99 (0.93-1.07)</w:t>
            </w:r>
          </w:p>
        </w:tc>
      </w:tr>
      <w:tr w:rsidR="00A3335E" w:rsidRPr="00DB3E4F" w14:paraId="72C1A243"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A750489"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Smoking exposure in the household</w:t>
            </w:r>
          </w:p>
        </w:tc>
        <w:tc>
          <w:tcPr>
            <w:tcW w:w="1767" w:type="dxa"/>
            <w:tcBorders>
              <w:top w:val="nil"/>
              <w:left w:val="nil"/>
              <w:bottom w:val="single" w:sz="4" w:space="0" w:color="auto"/>
              <w:right w:val="single" w:sz="4" w:space="0" w:color="auto"/>
            </w:tcBorders>
            <w:noWrap/>
            <w:vAlign w:val="center"/>
          </w:tcPr>
          <w:p w14:paraId="163BB02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0AE15403"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01609F0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76E7780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97AD290"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47ECA4D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1,20,699 (54.3)</w:t>
            </w:r>
          </w:p>
        </w:tc>
        <w:tc>
          <w:tcPr>
            <w:tcW w:w="1384" w:type="dxa"/>
            <w:tcBorders>
              <w:top w:val="nil"/>
              <w:left w:val="nil"/>
              <w:bottom w:val="single" w:sz="4" w:space="0" w:color="auto"/>
              <w:right w:val="single" w:sz="4" w:space="0" w:color="auto"/>
            </w:tcBorders>
            <w:vAlign w:val="center"/>
          </w:tcPr>
          <w:p w14:paraId="5C7BE33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2990 (2.48)</w:t>
            </w:r>
          </w:p>
        </w:tc>
        <w:tc>
          <w:tcPr>
            <w:tcW w:w="2554" w:type="dxa"/>
            <w:tcBorders>
              <w:top w:val="nil"/>
              <w:left w:val="nil"/>
              <w:bottom w:val="single" w:sz="4" w:space="0" w:color="auto"/>
              <w:right w:val="single" w:sz="4" w:space="0" w:color="auto"/>
            </w:tcBorders>
            <w:noWrap/>
            <w:vAlign w:val="center"/>
          </w:tcPr>
          <w:p w14:paraId="17C836B5"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1987355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8F54A5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6531A75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1,01,534 (45.7)</w:t>
            </w:r>
          </w:p>
        </w:tc>
        <w:tc>
          <w:tcPr>
            <w:tcW w:w="1384" w:type="dxa"/>
            <w:tcBorders>
              <w:top w:val="nil"/>
              <w:left w:val="nil"/>
              <w:bottom w:val="single" w:sz="4" w:space="0" w:color="auto"/>
              <w:right w:val="single" w:sz="4" w:space="0" w:color="auto"/>
            </w:tcBorders>
            <w:vAlign w:val="center"/>
          </w:tcPr>
          <w:p w14:paraId="3CECEC13"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3208 (3.16)</w:t>
            </w:r>
          </w:p>
        </w:tc>
        <w:tc>
          <w:tcPr>
            <w:tcW w:w="2554" w:type="dxa"/>
            <w:tcBorders>
              <w:top w:val="nil"/>
              <w:left w:val="nil"/>
              <w:bottom w:val="single" w:sz="4" w:space="0" w:color="auto"/>
              <w:right w:val="single" w:sz="4" w:space="0" w:color="auto"/>
            </w:tcBorders>
            <w:noWrap/>
            <w:vAlign w:val="center"/>
          </w:tcPr>
          <w:p w14:paraId="6829755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1.13 (1.06-1.19) ***</w:t>
            </w:r>
          </w:p>
        </w:tc>
      </w:tr>
      <w:tr w:rsidR="00A3335E" w:rsidRPr="00DB3E4F" w14:paraId="41B1466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3152C6E"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Separate kitchen in the household</w:t>
            </w:r>
          </w:p>
        </w:tc>
        <w:tc>
          <w:tcPr>
            <w:tcW w:w="1767" w:type="dxa"/>
            <w:tcBorders>
              <w:top w:val="nil"/>
              <w:left w:val="nil"/>
              <w:bottom w:val="single" w:sz="4" w:space="0" w:color="auto"/>
              <w:right w:val="single" w:sz="4" w:space="0" w:color="auto"/>
            </w:tcBorders>
            <w:noWrap/>
            <w:vAlign w:val="center"/>
          </w:tcPr>
          <w:p w14:paraId="0E56672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23C0324A"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1F5602A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2A0A02B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8E6563A"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4786B82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60,635 (27.3)</w:t>
            </w:r>
          </w:p>
        </w:tc>
        <w:tc>
          <w:tcPr>
            <w:tcW w:w="1384" w:type="dxa"/>
            <w:tcBorders>
              <w:top w:val="nil"/>
              <w:left w:val="nil"/>
              <w:bottom w:val="single" w:sz="4" w:space="0" w:color="auto"/>
              <w:right w:val="single" w:sz="4" w:space="0" w:color="auto"/>
            </w:tcBorders>
            <w:vAlign w:val="center"/>
          </w:tcPr>
          <w:p w14:paraId="1652814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1991 (3.29)</w:t>
            </w:r>
          </w:p>
        </w:tc>
        <w:tc>
          <w:tcPr>
            <w:tcW w:w="2554" w:type="dxa"/>
            <w:tcBorders>
              <w:top w:val="nil"/>
              <w:left w:val="nil"/>
              <w:bottom w:val="single" w:sz="4" w:space="0" w:color="auto"/>
              <w:right w:val="single" w:sz="4" w:space="0" w:color="auto"/>
            </w:tcBorders>
            <w:noWrap/>
            <w:vAlign w:val="center"/>
          </w:tcPr>
          <w:p w14:paraId="7636A94E"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620E841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D17A14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6E9285A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1,61,598 (72.7)</w:t>
            </w:r>
          </w:p>
        </w:tc>
        <w:tc>
          <w:tcPr>
            <w:tcW w:w="1384" w:type="dxa"/>
            <w:tcBorders>
              <w:top w:val="nil"/>
              <w:left w:val="nil"/>
              <w:bottom w:val="single" w:sz="4" w:space="0" w:color="auto"/>
              <w:right w:val="single" w:sz="4" w:space="0" w:color="auto"/>
            </w:tcBorders>
            <w:vAlign w:val="center"/>
          </w:tcPr>
          <w:p w14:paraId="061ED46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4206 (2.61)</w:t>
            </w:r>
          </w:p>
        </w:tc>
        <w:tc>
          <w:tcPr>
            <w:tcW w:w="2554" w:type="dxa"/>
            <w:tcBorders>
              <w:top w:val="nil"/>
              <w:left w:val="nil"/>
              <w:bottom w:val="single" w:sz="4" w:space="0" w:color="auto"/>
              <w:right w:val="single" w:sz="4" w:space="0" w:color="auto"/>
            </w:tcBorders>
            <w:noWrap/>
            <w:vAlign w:val="center"/>
          </w:tcPr>
          <w:p w14:paraId="67C740D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0.95 (0.89-0.97) *</w:t>
            </w:r>
          </w:p>
        </w:tc>
      </w:tr>
      <w:tr w:rsidR="00A3335E" w:rsidRPr="00DB3E4F" w14:paraId="28E49A0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1EF45D8"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Persons per room used for sleeping</w:t>
            </w:r>
          </w:p>
        </w:tc>
        <w:tc>
          <w:tcPr>
            <w:tcW w:w="1767" w:type="dxa"/>
            <w:tcBorders>
              <w:top w:val="nil"/>
              <w:left w:val="nil"/>
              <w:bottom w:val="single" w:sz="4" w:space="0" w:color="auto"/>
              <w:right w:val="single" w:sz="4" w:space="0" w:color="auto"/>
            </w:tcBorders>
            <w:noWrap/>
            <w:vAlign w:val="center"/>
          </w:tcPr>
          <w:p w14:paraId="33574C3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7144854"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p=0.121</w:t>
            </w:r>
          </w:p>
        </w:tc>
        <w:tc>
          <w:tcPr>
            <w:tcW w:w="2554" w:type="dxa"/>
            <w:tcBorders>
              <w:top w:val="nil"/>
              <w:left w:val="nil"/>
              <w:bottom w:val="single" w:sz="4" w:space="0" w:color="auto"/>
              <w:right w:val="single" w:sz="4" w:space="0" w:color="auto"/>
            </w:tcBorders>
            <w:noWrap/>
            <w:vAlign w:val="center"/>
          </w:tcPr>
          <w:p w14:paraId="202790A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2168893A"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4F6C095"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xml:space="preserve">≤ </w:t>
            </w:r>
            <w:r w:rsidRPr="00DB3E4F">
              <w:rPr>
                <w:rFonts w:ascii="Arial" w:eastAsia="Times New Roman" w:hAnsi="Arial" w:cs="Arial"/>
                <w:i/>
                <w:iCs/>
                <w:color w:val="000000"/>
                <w:lang w:eastAsia="en-IN"/>
              </w:rPr>
              <w:t>3 persons</w:t>
            </w:r>
          </w:p>
        </w:tc>
        <w:tc>
          <w:tcPr>
            <w:tcW w:w="1767" w:type="dxa"/>
            <w:tcBorders>
              <w:top w:val="nil"/>
              <w:left w:val="nil"/>
              <w:bottom w:val="single" w:sz="4" w:space="0" w:color="auto"/>
              <w:right w:val="single" w:sz="4" w:space="0" w:color="auto"/>
            </w:tcBorders>
            <w:shd w:val="clear" w:color="000000" w:fill="FFFFFF"/>
            <w:noWrap/>
            <w:vAlign w:val="center"/>
          </w:tcPr>
          <w:p w14:paraId="6947087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1,12,029 (50.4)</w:t>
            </w:r>
          </w:p>
        </w:tc>
        <w:tc>
          <w:tcPr>
            <w:tcW w:w="1384" w:type="dxa"/>
            <w:tcBorders>
              <w:top w:val="nil"/>
              <w:left w:val="nil"/>
              <w:bottom w:val="single" w:sz="4" w:space="0" w:color="auto"/>
              <w:right w:val="single" w:sz="4" w:space="0" w:color="auto"/>
            </w:tcBorders>
            <w:vAlign w:val="center"/>
          </w:tcPr>
          <w:p w14:paraId="651DA6F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3106 (2.78)</w:t>
            </w:r>
          </w:p>
        </w:tc>
        <w:tc>
          <w:tcPr>
            <w:tcW w:w="2554" w:type="dxa"/>
            <w:tcBorders>
              <w:top w:val="nil"/>
              <w:left w:val="nil"/>
              <w:bottom w:val="single" w:sz="4" w:space="0" w:color="auto"/>
              <w:right w:val="single" w:sz="4" w:space="0" w:color="auto"/>
            </w:tcBorders>
            <w:noWrap/>
            <w:vAlign w:val="center"/>
          </w:tcPr>
          <w:p w14:paraId="3D9BE9E3"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701D71D2"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2652ECB"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More than 3 persons</w:t>
            </w:r>
          </w:p>
        </w:tc>
        <w:tc>
          <w:tcPr>
            <w:tcW w:w="1767" w:type="dxa"/>
            <w:tcBorders>
              <w:top w:val="nil"/>
              <w:left w:val="nil"/>
              <w:bottom w:val="single" w:sz="4" w:space="0" w:color="auto"/>
              <w:right w:val="single" w:sz="4" w:space="0" w:color="auto"/>
            </w:tcBorders>
            <w:shd w:val="clear" w:color="000000" w:fill="FFFFFF"/>
            <w:noWrap/>
            <w:vAlign w:val="center"/>
          </w:tcPr>
          <w:p w14:paraId="3EC0E87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1,08,496 (48.8)</w:t>
            </w:r>
          </w:p>
        </w:tc>
        <w:tc>
          <w:tcPr>
            <w:tcW w:w="1384" w:type="dxa"/>
            <w:tcBorders>
              <w:top w:val="nil"/>
              <w:left w:val="nil"/>
              <w:bottom w:val="single" w:sz="4" w:space="0" w:color="auto"/>
              <w:right w:val="single" w:sz="4" w:space="0" w:color="auto"/>
            </w:tcBorders>
            <w:vAlign w:val="center"/>
          </w:tcPr>
          <w:p w14:paraId="09A37C25"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3037 (2.8)</w:t>
            </w:r>
          </w:p>
        </w:tc>
        <w:tc>
          <w:tcPr>
            <w:tcW w:w="2554" w:type="dxa"/>
            <w:tcBorders>
              <w:top w:val="nil"/>
              <w:left w:val="nil"/>
              <w:bottom w:val="single" w:sz="4" w:space="0" w:color="auto"/>
              <w:right w:val="single" w:sz="4" w:space="0" w:color="auto"/>
            </w:tcBorders>
            <w:noWrap/>
            <w:vAlign w:val="center"/>
          </w:tcPr>
          <w:p w14:paraId="5FDE598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0.91 (0.86-0.97) **</w:t>
            </w:r>
          </w:p>
        </w:tc>
      </w:tr>
      <w:tr w:rsidR="00A3335E" w:rsidRPr="00DB3E4F" w14:paraId="164CA75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4A4871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 room for sleeping</w:t>
            </w:r>
          </w:p>
        </w:tc>
        <w:tc>
          <w:tcPr>
            <w:tcW w:w="1767" w:type="dxa"/>
            <w:tcBorders>
              <w:top w:val="nil"/>
              <w:left w:val="nil"/>
              <w:bottom w:val="single" w:sz="4" w:space="0" w:color="auto"/>
              <w:right w:val="single" w:sz="4" w:space="0" w:color="auto"/>
            </w:tcBorders>
            <w:shd w:val="clear" w:color="000000" w:fill="FFFFFF"/>
            <w:noWrap/>
            <w:vAlign w:val="center"/>
          </w:tcPr>
          <w:p w14:paraId="26DE61B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1,708 (0.8)</w:t>
            </w:r>
          </w:p>
        </w:tc>
        <w:tc>
          <w:tcPr>
            <w:tcW w:w="1384" w:type="dxa"/>
            <w:tcBorders>
              <w:top w:val="nil"/>
              <w:left w:val="nil"/>
              <w:bottom w:val="single" w:sz="4" w:space="0" w:color="auto"/>
              <w:right w:val="single" w:sz="4" w:space="0" w:color="auto"/>
            </w:tcBorders>
            <w:vAlign w:val="center"/>
          </w:tcPr>
          <w:p w14:paraId="3C581282"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54 (3.18)</w:t>
            </w:r>
          </w:p>
        </w:tc>
        <w:tc>
          <w:tcPr>
            <w:tcW w:w="2554" w:type="dxa"/>
            <w:tcBorders>
              <w:top w:val="nil"/>
              <w:left w:val="nil"/>
              <w:bottom w:val="single" w:sz="4" w:space="0" w:color="auto"/>
              <w:right w:val="single" w:sz="4" w:space="0" w:color="auto"/>
            </w:tcBorders>
            <w:noWrap/>
            <w:vAlign w:val="center"/>
          </w:tcPr>
          <w:p w14:paraId="19CADB5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1.19 (0.89-1.59)</w:t>
            </w:r>
          </w:p>
        </w:tc>
      </w:tr>
      <w:tr w:rsidR="00A3335E" w:rsidRPr="00DB3E4F" w14:paraId="6BA8192E"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5BB8FB1"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Season of interview</w:t>
            </w:r>
          </w:p>
        </w:tc>
        <w:tc>
          <w:tcPr>
            <w:tcW w:w="1767" w:type="dxa"/>
            <w:tcBorders>
              <w:top w:val="nil"/>
              <w:left w:val="nil"/>
              <w:bottom w:val="single" w:sz="4" w:space="0" w:color="auto"/>
              <w:right w:val="single" w:sz="4" w:space="0" w:color="auto"/>
            </w:tcBorders>
            <w:noWrap/>
            <w:vAlign w:val="center"/>
          </w:tcPr>
          <w:p w14:paraId="578434C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05EA3221"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0491E26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5D8E825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ADAF2A6"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Winter Season</w:t>
            </w:r>
          </w:p>
        </w:tc>
        <w:tc>
          <w:tcPr>
            <w:tcW w:w="1767" w:type="dxa"/>
            <w:tcBorders>
              <w:top w:val="nil"/>
              <w:left w:val="nil"/>
              <w:bottom w:val="single" w:sz="4" w:space="0" w:color="auto"/>
              <w:right w:val="single" w:sz="4" w:space="0" w:color="auto"/>
            </w:tcBorders>
            <w:shd w:val="clear" w:color="000000" w:fill="FFFFFF"/>
            <w:noWrap/>
            <w:vAlign w:val="center"/>
          </w:tcPr>
          <w:p w14:paraId="2C9B846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83,938 (37.8)</w:t>
            </w:r>
          </w:p>
        </w:tc>
        <w:tc>
          <w:tcPr>
            <w:tcW w:w="1384" w:type="dxa"/>
            <w:tcBorders>
              <w:top w:val="nil"/>
              <w:left w:val="nil"/>
              <w:bottom w:val="single" w:sz="4" w:space="0" w:color="auto"/>
              <w:right w:val="single" w:sz="4" w:space="0" w:color="auto"/>
            </w:tcBorders>
            <w:vAlign w:val="center"/>
          </w:tcPr>
          <w:p w14:paraId="653227F2"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2421 (2.89)</w:t>
            </w:r>
          </w:p>
        </w:tc>
        <w:tc>
          <w:tcPr>
            <w:tcW w:w="2554" w:type="dxa"/>
            <w:tcBorders>
              <w:top w:val="nil"/>
              <w:left w:val="nil"/>
              <w:bottom w:val="single" w:sz="4" w:space="0" w:color="auto"/>
              <w:right w:val="single" w:sz="4" w:space="0" w:color="auto"/>
            </w:tcBorders>
            <w:noWrap/>
            <w:vAlign w:val="center"/>
          </w:tcPr>
          <w:p w14:paraId="50335D48"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006CB46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F2B7F73"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Summer Season</w:t>
            </w:r>
          </w:p>
        </w:tc>
        <w:tc>
          <w:tcPr>
            <w:tcW w:w="1767" w:type="dxa"/>
            <w:tcBorders>
              <w:top w:val="nil"/>
              <w:left w:val="nil"/>
              <w:bottom w:val="single" w:sz="4" w:space="0" w:color="auto"/>
              <w:right w:val="single" w:sz="4" w:space="0" w:color="auto"/>
            </w:tcBorders>
            <w:shd w:val="clear" w:color="000000" w:fill="FFFFFF"/>
            <w:noWrap/>
            <w:vAlign w:val="center"/>
          </w:tcPr>
          <w:p w14:paraId="02C546E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70,685 31.8 ()</w:t>
            </w:r>
          </w:p>
        </w:tc>
        <w:tc>
          <w:tcPr>
            <w:tcW w:w="1384" w:type="dxa"/>
            <w:tcBorders>
              <w:top w:val="nil"/>
              <w:left w:val="nil"/>
              <w:bottom w:val="single" w:sz="4" w:space="0" w:color="auto"/>
              <w:right w:val="single" w:sz="4" w:space="0" w:color="auto"/>
            </w:tcBorders>
            <w:vAlign w:val="center"/>
          </w:tcPr>
          <w:p w14:paraId="653EDE5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1985 (2.81)</w:t>
            </w:r>
          </w:p>
        </w:tc>
        <w:tc>
          <w:tcPr>
            <w:tcW w:w="2554" w:type="dxa"/>
            <w:tcBorders>
              <w:top w:val="nil"/>
              <w:left w:val="nil"/>
              <w:bottom w:val="single" w:sz="4" w:space="0" w:color="auto"/>
              <w:right w:val="single" w:sz="4" w:space="0" w:color="auto"/>
            </w:tcBorders>
            <w:noWrap/>
            <w:vAlign w:val="center"/>
          </w:tcPr>
          <w:p w14:paraId="37E5A80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1.03 (0.91-1.15)</w:t>
            </w:r>
          </w:p>
        </w:tc>
      </w:tr>
      <w:tr w:rsidR="00A3335E" w:rsidRPr="00DB3E4F" w14:paraId="4CCDA8BA"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552417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Rainy Season</w:t>
            </w:r>
          </w:p>
        </w:tc>
        <w:tc>
          <w:tcPr>
            <w:tcW w:w="1767" w:type="dxa"/>
            <w:tcBorders>
              <w:top w:val="nil"/>
              <w:left w:val="nil"/>
              <w:bottom w:val="single" w:sz="4" w:space="0" w:color="auto"/>
              <w:right w:val="single" w:sz="4" w:space="0" w:color="auto"/>
            </w:tcBorders>
            <w:shd w:val="clear" w:color="000000" w:fill="FFFFFF"/>
            <w:noWrap/>
            <w:vAlign w:val="center"/>
          </w:tcPr>
          <w:p w14:paraId="1FA64ED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67,610 (30.4)</w:t>
            </w:r>
          </w:p>
        </w:tc>
        <w:tc>
          <w:tcPr>
            <w:tcW w:w="1384" w:type="dxa"/>
            <w:tcBorders>
              <w:top w:val="nil"/>
              <w:left w:val="nil"/>
              <w:bottom w:val="single" w:sz="4" w:space="0" w:color="auto"/>
              <w:right w:val="single" w:sz="4" w:space="0" w:color="auto"/>
            </w:tcBorders>
            <w:vAlign w:val="center"/>
          </w:tcPr>
          <w:p w14:paraId="4A2B86E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1792 (2.65)</w:t>
            </w:r>
          </w:p>
        </w:tc>
        <w:tc>
          <w:tcPr>
            <w:tcW w:w="2554" w:type="dxa"/>
            <w:tcBorders>
              <w:top w:val="nil"/>
              <w:left w:val="nil"/>
              <w:bottom w:val="single" w:sz="4" w:space="0" w:color="auto"/>
              <w:right w:val="single" w:sz="4" w:space="0" w:color="auto"/>
            </w:tcBorders>
            <w:noWrap/>
            <w:vAlign w:val="center"/>
          </w:tcPr>
          <w:p w14:paraId="02E2AB2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1.07 (0.94-1.22)</w:t>
            </w:r>
          </w:p>
        </w:tc>
      </w:tr>
      <w:tr w:rsidR="00A3335E" w:rsidRPr="00DB3E4F" w14:paraId="1C67497E"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8CEB713"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Place of hand washing in household</w:t>
            </w:r>
          </w:p>
        </w:tc>
        <w:tc>
          <w:tcPr>
            <w:tcW w:w="1767" w:type="dxa"/>
            <w:tcBorders>
              <w:top w:val="nil"/>
              <w:left w:val="nil"/>
              <w:bottom w:val="single" w:sz="4" w:space="0" w:color="auto"/>
              <w:right w:val="single" w:sz="4" w:space="0" w:color="auto"/>
            </w:tcBorders>
            <w:noWrap/>
            <w:vAlign w:val="center"/>
          </w:tcPr>
          <w:p w14:paraId="7D5213A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50C950B3"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p=0.548</w:t>
            </w:r>
          </w:p>
        </w:tc>
        <w:tc>
          <w:tcPr>
            <w:tcW w:w="2554" w:type="dxa"/>
            <w:tcBorders>
              <w:top w:val="nil"/>
              <w:left w:val="nil"/>
              <w:bottom w:val="single" w:sz="4" w:space="0" w:color="auto"/>
              <w:right w:val="single" w:sz="4" w:space="0" w:color="auto"/>
            </w:tcBorders>
            <w:noWrap/>
            <w:vAlign w:val="center"/>
          </w:tcPr>
          <w:p w14:paraId="5629CB40"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5640F794"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17B2830"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Not observed</w:t>
            </w:r>
          </w:p>
        </w:tc>
        <w:tc>
          <w:tcPr>
            <w:tcW w:w="1767" w:type="dxa"/>
            <w:tcBorders>
              <w:top w:val="nil"/>
              <w:left w:val="nil"/>
              <w:bottom w:val="single" w:sz="4" w:space="0" w:color="auto"/>
              <w:right w:val="single" w:sz="4" w:space="0" w:color="auto"/>
            </w:tcBorders>
            <w:shd w:val="clear" w:color="000000" w:fill="FFFFFF"/>
            <w:noWrap/>
            <w:vAlign w:val="center"/>
          </w:tcPr>
          <w:p w14:paraId="2CC182D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8,184 (3.7)</w:t>
            </w:r>
          </w:p>
        </w:tc>
        <w:tc>
          <w:tcPr>
            <w:tcW w:w="1384" w:type="dxa"/>
            <w:tcBorders>
              <w:top w:val="nil"/>
              <w:left w:val="nil"/>
              <w:bottom w:val="single" w:sz="4" w:space="0" w:color="auto"/>
              <w:right w:val="single" w:sz="4" w:space="0" w:color="auto"/>
            </w:tcBorders>
            <w:vAlign w:val="center"/>
          </w:tcPr>
          <w:p w14:paraId="16C658C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257 (3.15)</w:t>
            </w:r>
          </w:p>
        </w:tc>
        <w:tc>
          <w:tcPr>
            <w:tcW w:w="2554" w:type="dxa"/>
            <w:tcBorders>
              <w:top w:val="nil"/>
              <w:left w:val="nil"/>
              <w:bottom w:val="single" w:sz="4" w:space="0" w:color="auto"/>
              <w:right w:val="single" w:sz="4" w:space="0" w:color="auto"/>
            </w:tcBorders>
            <w:noWrap/>
            <w:vAlign w:val="center"/>
          </w:tcPr>
          <w:p w14:paraId="52490490"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5D42B65A"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566DEDB"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Observed</w:t>
            </w:r>
          </w:p>
        </w:tc>
        <w:tc>
          <w:tcPr>
            <w:tcW w:w="1767" w:type="dxa"/>
            <w:tcBorders>
              <w:top w:val="nil"/>
              <w:left w:val="nil"/>
              <w:bottom w:val="single" w:sz="4" w:space="0" w:color="auto"/>
              <w:right w:val="single" w:sz="4" w:space="0" w:color="auto"/>
            </w:tcBorders>
            <w:shd w:val="clear" w:color="000000" w:fill="FFFFFF"/>
            <w:noWrap/>
            <w:vAlign w:val="center"/>
          </w:tcPr>
          <w:p w14:paraId="2680353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2,14,049 (96.3)</w:t>
            </w:r>
          </w:p>
        </w:tc>
        <w:tc>
          <w:tcPr>
            <w:tcW w:w="1384" w:type="dxa"/>
            <w:tcBorders>
              <w:top w:val="nil"/>
              <w:left w:val="nil"/>
              <w:bottom w:val="single" w:sz="4" w:space="0" w:color="auto"/>
              <w:right w:val="single" w:sz="4" w:space="0" w:color="auto"/>
            </w:tcBorders>
            <w:vAlign w:val="center"/>
          </w:tcPr>
          <w:p w14:paraId="1F86B85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5941 (2.78)</w:t>
            </w:r>
          </w:p>
        </w:tc>
        <w:tc>
          <w:tcPr>
            <w:tcW w:w="2554" w:type="dxa"/>
            <w:tcBorders>
              <w:top w:val="nil"/>
              <w:left w:val="nil"/>
              <w:bottom w:val="single" w:sz="4" w:space="0" w:color="auto"/>
              <w:right w:val="single" w:sz="4" w:space="0" w:color="auto"/>
            </w:tcBorders>
            <w:noWrap/>
            <w:vAlign w:val="center"/>
          </w:tcPr>
          <w:p w14:paraId="0E5B3D1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1.02 (0.88-1.18)</w:t>
            </w:r>
          </w:p>
        </w:tc>
      </w:tr>
      <w:tr w:rsidR="00A3335E" w:rsidRPr="00DB3E4F" w14:paraId="47708197"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35A7A3A"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B. Socio-Economic Characteristics</w:t>
            </w:r>
          </w:p>
        </w:tc>
        <w:tc>
          <w:tcPr>
            <w:tcW w:w="1767" w:type="dxa"/>
            <w:tcBorders>
              <w:top w:val="nil"/>
              <w:left w:val="nil"/>
              <w:bottom w:val="single" w:sz="4" w:space="0" w:color="auto"/>
              <w:right w:val="single" w:sz="4" w:space="0" w:color="auto"/>
            </w:tcBorders>
            <w:noWrap/>
            <w:vAlign w:val="center"/>
          </w:tcPr>
          <w:p w14:paraId="210FF39D"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noWrap/>
            <w:vAlign w:val="bottom"/>
          </w:tcPr>
          <w:p w14:paraId="7C01A12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bottom"/>
          </w:tcPr>
          <w:p w14:paraId="658F59AF"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755E47B3"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22850BA"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Place of residence</w:t>
            </w:r>
          </w:p>
        </w:tc>
        <w:tc>
          <w:tcPr>
            <w:tcW w:w="1767" w:type="dxa"/>
            <w:tcBorders>
              <w:top w:val="nil"/>
              <w:left w:val="nil"/>
              <w:bottom w:val="single" w:sz="4" w:space="0" w:color="auto"/>
              <w:right w:val="single" w:sz="4" w:space="0" w:color="auto"/>
            </w:tcBorders>
            <w:noWrap/>
            <w:vAlign w:val="center"/>
          </w:tcPr>
          <w:p w14:paraId="1FADC55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687959CC"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1276DF39"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87BDE9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CF18E7F"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Urban</w:t>
            </w:r>
          </w:p>
        </w:tc>
        <w:tc>
          <w:tcPr>
            <w:tcW w:w="1767" w:type="dxa"/>
            <w:tcBorders>
              <w:top w:val="nil"/>
              <w:left w:val="nil"/>
              <w:bottom w:val="single" w:sz="4" w:space="0" w:color="auto"/>
              <w:right w:val="single" w:sz="4" w:space="0" w:color="auto"/>
            </w:tcBorders>
            <w:shd w:val="clear" w:color="000000" w:fill="FFFFFF"/>
            <w:noWrap/>
            <w:vAlign w:val="center"/>
          </w:tcPr>
          <w:p w14:paraId="19F46A5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59,780 (26.9)</w:t>
            </w:r>
          </w:p>
        </w:tc>
        <w:tc>
          <w:tcPr>
            <w:tcW w:w="1384" w:type="dxa"/>
            <w:tcBorders>
              <w:top w:val="nil"/>
              <w:left w:val="nil"/>
              <w:bottom w:val="single" w:sz="4" w:space="0" w:color="auto"/>
              <w:right w:val="single" w:sz="4" w:space="0" w:color="auto"/>
            </w:tcBorders>
            <w:vAlign w:val="center"/>
          </w:tcPr>
          <w:p w14:paraId="50A05B07"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1378 (2.31)</w:t>
            </w:r>
          </w:p>
        </w:tc>
        <w:tc>
          <w:tcPr>
            <w:tcW w:w="2554" w:type="dxa"/>
            <w:tcBorders>
              <w:top w:val="nil"/>
              <w:left w:val="nil"/>
              <w:bottom w:val="single" w:sz="4" w:space="0" w:color="auto"/>
              <w:right w:val="single" w:sz="4" w:space="0" w:color="auto"/>
            </w:tcBorders>
            <w:noWrap/>
            <w:vAlign w:val="center"/>
          </w:tcPr>
          <w:p w14:paraId="32D10A10"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2FE6A95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316BAA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Rural</w:t>
            </w:r>
          </w:p>
        </w:tc>
        <w:tc>
          <w:tcPr>
            <w:tcW w:w="1767" w:type="dxa"/>
            <w:tcBorders>
              <w:top w:val="nil"/>
              <w:left w:val="nil"/>
              <w:bottom w:val="single" w:sz="4" w:space="0" w:color="auto"/>
              <w:right w:val="single" w:sz="4" w:space="0" w:color="auto"/>
            </w:tcBorders>
            <w:shd w:val="clear" w:color="000000" w:fill="FFFFFF"/>
            <w:noWrap/>
            <w:vAlign w:val="center"/>
          </w:tcPr>
          <w:p w14:paraId="7A030E7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1,62,452 (73.1)</w:t>
            </w:r>
          </w:p>
        </w:tc>
        <w:tc>
          <w:tcPr>
            <w:tcW w:w="1384" w:type="dxa"/>
            <w:tcBorders>
              <w:top w:val="nil"/>
              <w:left w:val="nil"/>
              <w:bottom w:val="single" w:sz="4" w:space="0" w:color="auto"/>
              <w:right w:val="single" w:sz="4" w:space="0" w:color="auto"/>
            </w:tcBorders>
            <w:vAlign w:val="center"/>
          </w:tcPr>
          <w:p w14:paraId="624F438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4820 (2.97)</w:t>
            </w:r>
          </w:p>
        </w:tc>
        <w:tc>
          <w:tcPr>
            <w:tcW w:w="2554" w:type="dxa"/>
            <w:tcBorders>
              <w:top w:val="nil"/>
              <w:left w:val="nil"/>
              <w:bottom w:val="single" w:sz="4" w:space="0" w:color="auto"/>
              <w:right w:val="single" w:sz="4" w:space="0" w:color="auto"/>
            </w:tcBorders>
            <w:noWrap/>
            <w:vAlign w:val="center"/>
          </w:tcPr>
          <w:p w14:paraId="15DF3AF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1.05 (0.97-1.14)</w:t>
            </w:r>
          </w:p>
        </w:tc>
      </w:tr>
      <w:tr w:rsidR="00A3335E" w:rsidRPr="00DB3E4F" w14:paraId="0EA7DC3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EFA651D"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Social group </w:t>
            </w:r>
          </w:p>
        </w:tc>
        <w:tc>
          <w:tcPr>
            <w:tcW w:w="1767" w:type="dxa"/>
            <w:tcBorders>
              <w:top w:val="nil"/>
              <w:left w:val="nil"/>
              <w:bottom w:val="single" w:sz="4" w:space="0" w:color="auto"/>
              <w:right w:val="single" w:sz="4" w:space="0" w:color="auto"/>
            </w:tcBorders>
            <w:noWrap/>
            <w:vAlign w:val="center"/>
          </w:tcPr>
          <w:p w14:paraId="2705D77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2627A01D"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59362EA2"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7B450A04"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8B8CC6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SC</w:t>
            </w:r>
          </w:p>
        </w:tc>
        <w:tc>
          <w:tcPr>
            <w:tcW w:w="1767" w:type="dxa"/>
            <w:tcBorders>
              <w:top w:val="nil"/>
              <w:left w:val="nil"/>
              <w:bottom w:val="single" w:sz="4" w:space="0" w:color="auto"/>
              <w:right w:val="single" w:sz="4" w:space="0" w:color="auto"/>
            </w:tcBorders>
            <w:shd w:val="clear" w:color="000000" w:fill="FFFFFF"/>
            <w:noWrap/>
            <w:vAlign w:val="center"/>
          </w:tcPr>
          <w:p w14:paraId="448666C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51,395 (23.1)</w:t>
            </w:r>
          </w:p>
        </w:tc>
        <w:tc>
          <w:tcPr>
            <w:tcW w:w="1384" w:type="dxa"/>
            <w:tcBorders>
              <w:top w:val="nil"/>
              <w:left w:val="nil"/>
              <w:bottom w:val="single" w:sz="4" w:space="0" w:color="auto"/>
              <w:right w:val="single" w:sz="4" w:space="0" w:color="auto"/>
            </w:tcBorders>
            <w:vAlign w:val="center"/>
          </w:tcPr>
          <w:p w14:paraId="7320E40F"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1551 (3.02)</w:t>
            </w:r>
          </w:p>
        </w:tc>
        <w:tc>
          <w:tcPr>
            <w:tcW w:w="2554" w:type="dxa"/>
            <w:tcBorders>
              <w:top w:val="nil"/>
              <w:left w:val="nil"/>
              <w:bottom w:val="single" w:sz="4" w:space="0" w:color="auto"/>
              <w:right w:val="single" w:sz="4" w:space="0" w:color="auto"/>
            </w:tcBorders>
            <w:noWrap/>
            <w:vAlign w:val="center"/>
          </w:tcPr>
          <w:p w14:paraId="4FDA0D82"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4D9A59C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29E3AD5"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ST</w:t>
            </w:r>
          </w:p>
        </w:tc>
        <w:tc>
          <w:tcPr>
            <w:tcW w:w="1767" w:type="dxa"/>
            <w:tcBorders>
              <w:top w:val="nil"/>
              <w:left w:val="nil"/>
              <w:bottom w:val="single" w:sz="4" w:space="0" w:color="auto"/>
              <w:right w:val="single" w:sz="4" w:space="0" w:color="auto"/>
            </w:tcBorders>
            <w:shd w:val="clear" w:color="000000" w:fill="FFFFFF"/>
            <w:noWrap/>
            <w:vAlign w:val="center"/>
          </w:tcPr>
          <w:p w14:paraId="2B43CF2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22,135 (10)</w:t>
            </w:r>
          </w:p>
        </w:tc>
        <w:tc>
          <w:tcPr>
            <w:tcW w:w="1384" w:type="dxa"/>
            <w:tcBorders>
              <w:top w:val="nil"/>
              <w:left w:val="nil"/>
              <w:bottom w:val="single" w:sz="4" w:space="0" w:color="auto"/>
              <w:right w:val="single" w:sz="4" w:space="0" w:color="auto"/>
            </w:tcBorders>
            <w:vAlign w:val="center"/>
          </w:tcPr>
          <w:p w14:paraId="636DDEF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532 (2.41)</w:t>
            </w:r>
          </w:p>
        </w:tc>
        <w:tc>
          <w:tcPr>
            <w:tcW w:w="2554" w:type="dxa"/>
            <w:tcBorders>
              <w:top w:val="nil"/>
              <w:left w:val="nil"/>
              <w:bottom w:val="single" w:sz="4" w:space="0" w:color="auto"/>
              <w:right w:val="single" w:sz="4" w:space="0" w:color="auto"/>
            </w:tcBorders>
            <w:noWrap/>
            <w:vAlign w:val="center"/>
          </w:tcPr>
          <w:p w14:paraId="091033A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0.86 (0.77-0.95) **</w:t>
            </w:r>
          </w:p>
        </w:tc>
      </w:tr>
      <w:tr w:rsidR="00A3335E" w:rsidRPr="00DB3E4F" w14:paraId="34936C7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573AF9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OBC</w:t>
            </w:r>
          </w:p>
        </w:tc>
        <w:tc>
          <w:tcPr>
            <w:tcW w:w="1767" w:type="dxa"/>
            <w:tcBorders>
              <w:top w:val="nil"/>
              <w:left w:val="nil"/>
              <w:bottom w:val="single" w:sz="4" w:space="0" w:color="auto"/>
              <w:right w:val="single" w:sz="4" w:space="0" w:color="auto"/>
            </w:tcBorders>
            <w:shd w:val="clear" w:color="000000" w:fill="FFFFFF"/>
            <w:noWrap/>
            <w:vAlign w:val="center"/>
          </w:tcPr>
          <w:p w14:paraId="322319F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96,762 (43.5)</w:t>
            </w:r>
          </w:p>
        </w:tc>
        <w:tc>
          <w:tcPr>
            <w:tcW w:w="1384" w:type="dxa"/>
            <w:tcBorders>
              <w:top w:val="nil"/>
              <w:left w:val="nil"/>
              <w:bottom w:val="single" w:sz="4" w:space="0" w:color="auto"/>
              <w:right w:val="single" w:sz="4" w:space="0" w:color="auto"/>
            </w:tcBorders>
            <w:vAlign w:val="center"/>
          </w:tcPr>
          <w:p w14:paraId="07A77C09"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2676 (2.77)</w:t>
            </w:r>
          </w:p>
        </w:tc>
        <w:tc>
          <w:tcPr>
            <w:tcW w:w="2554" w:type="dxa"/>
            <w:tcBorders>
              <w:top w:val="nil"/>
              <w:left w:val="nil"/>
              <w:bottom w:val="single" w:sz="4" w:space="0" w:color="auto"/>
              <w:right w:val="single" w:sz="4" w:space="0" w:color="auto"/>
            </w:tcBorders>
            <w:noWrap/>
            <w:vAlign w:val="center"/>
          </w:tcPr>
          <w:p w14:paraId="3F4E294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0.97 (0.91-1.05)</w:t>
            </w:r>
          </w:p>
        </w:tc>
      </w:tr>
      <w:tr w:rsidR="00A3335E" w:rsidRPr="00DB3E4F" w14:paraId="1EB3850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6B567AE"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Others</w:t>
            </w:r>
          </w:p>
        </w:tc>
        <w:tc>
          <w:tcPr>
            <w:tcW w:w="1767" w:type="dxa"/>
            <w:tcBorders>
              <w:top w:val="nil"/>
              <w:left w:val="nil"/>
              <w:bottom w:val="single" w:sz="4" w:space="0" w:color="auto"/>
              <w:right w:val="single" w:sz="4" w:space="0" w:color="auto"/>
            </w:tcBorders>
            <w:shd w:val="clear" w:color="000000" w:fill="FFFFFF"/>
            <w:noWrap/>
            <w:vAlign w:val="center"/>
          </w:tcPr>
          <w:p w14:paraId="48572C2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51,941 (23.4)</w:t>
            </w:r>
          </w:p>
        </w:tc>
        <w:tc>
          <w:tcPr>
            <w:tcW w:w="1384" w:type="dxa"/>
            <w:tcBorders>
              <w:top w:val="nil"/>
              <w:left w:val="nil"/>
              <w:bottom w:val="single" w:sz="4" w:space="0" w:color="auto"/>
              <w:right w:val="single" w:sz="4" w:space="0" w:color="auto"/>
            </w:tcBorders>
            <w:vAlign w:val="center"/>
          </w:tcPr>
          <w:p w14:paraId="5345482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1438 (2.77)</w:t>
            </w:r>
          </w:p>
        </w:tc>
        <w:tc>
          <w:tcPr>
            <w:tcW w:w="2554" w:type="dxa"/>
            <w:tcBorders>
              <w:top w:val="nil"/>
              <w:left w:val="nil"/>
              <w:bottom w:val="single" w:sz="4" w:space="0" w:color="auto"/>
              <w:right w:val="single" w:sz="4" w:space="0" w:color="auto"/>
            </w:tcBorders>
            <w:noWrap/>
            <w:vAlign w:val="center"/>
          </w:tcPr>
          <w:p w14:paraId="23EEE42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0.99 (0.91-1.08)</w:t>
            </w:r>
          </w:p>
        </w:tc>
      </w:tr>
      <w:tr w:rsidR="00A3335E" w:rsidRPr="00DB3E4F" w14:paraId="0A231713"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8036E14"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Religion </w:t>
            </w:r>
            <w:proofErr w:type="spellStart"/>
            <w:r w:rsidRPr="00DB3E4F">
              <w:rPr>
                <w:rFonts w:ascii="Arial" w:eastAsia="Times New Roman" w:hAnsi="Arial" w:cs="Arial"/>
                <w:b/>
                <w:bCs/>
                <w:color w:val="000000"/>
                <w:lang w:eastAsia="en-IN"/>
              </w:rPr>
              <w:t>rroup</w:t>
            </w:r>
            <w:proofErr w:type="spellEnd"/>
            <w:r w:rsidRPr="00DB3E4F">
              <w:rPr>
                <w:rFonts w:ascii="Arial" w:eastAsia="Times New Roman" w:hAnsi="Arial" w:cs="Arial"/>
                <w:b/>
                <w:bCs/>
                <w:color w:val="000000"/>
                <w:lang w:eastAsia="en-IN"/>
              </w:rPr>
              <w:t xml:space="preserve"> </w:t>
            </w:r>
          </w:p>
        </w:tc>
        <w:tc>
          <w:tcPr>
            <w:tcW w:w="1767" w:type="dxa"/>
            <w:tcBorders>
              <w:top w:val="nil"/>
              <w:left w:val="nil"/>
              <w:bottom w:val="single" w:sz="4" w:space="0" w:color="auto"/>
              <w:right w:val="single" w:sz="4" w:space="0" w:color="auto"/>
            </w:tcBorders>
            <w:noWrap/>
            <w:vAlign w:val="center"/>
          </w:tcPr>
          <w:p w14:paraId="66A2DDD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11265702"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p=0.466</w:t>
            </w:r>
          </w:p>
        </w:tc>
        <w:tc>
          <w:tcPr>
            <w:tcW w:w="2554" w:type="dxa"/>
            <w:tcBorders>
              <w:top w:val="nil"/>
              <w:left w:val="nil"/>
              <w:bottom w:val="single" w:sz="4" w:space="0" w:color="auto"/>
              <w:right w:val="single" w:sz="4" w:space="0" w:color="auto"/>
            </w:tcBorders>
            <w:noWrap/>
            <w:vAlign w:val="center"/>
          </w:tcPr>
          <w:p w14:paraId="06E4948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4C540C78"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F38FC6E"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lastRenderedPageBreak/>
              <w:t>Hindu</w:t>
            </w:r>
          </w:p>
        </w:tc>
        <w:tc>
          <w:tcPr>
            <w:tcW w:w="1767" w:type="dxa"/>
            <w:tcBorders>
              <w:top w:val="nil"/>
              <w:left w:val="nil"/>
              <w:bottom w:val="single" w:sz="4" w:space="0" w:color="auto"/>
              <w:right w:val="single" w:sz="4" w:space="0" w:color="auto"/>
            </w:tcBorders>
            <w:shd w:val="clear" w:color="000000" w:fill="FFFFFF"/>
            <w:noWrap/>
            <w:vAlign w:val="center"/>
          </w:tcPr>
          <w:p w14:paraId="4839019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1,76,335 (79.3)</w:t>
            </w:r>
          </w:p>
        </w:tc>
        <w:tc>
          <w:tcPr>
            <w:tcW w:w="1384" w:type="dxa"/>
            <w:tcBorders>
              <w:top w:val="nil"/>
              <w:left w:val="nil"/>
              <w:bottom w:val="single" w:sz="4" w:space="0" w:color="auto"/>
              <w:right w:val="single" w:sz="4" w:space="0" w:color="auto"/>
            </w:tcBorders>
            <w:vAlign w:val="center"/>
          </w:tcPr>
          <w:p w14:paraId="4DFE1062"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4927 (2.8)</w:t>
            </w:r>
          </w:p>
        </w:tc>
        <w:tc>
          <w:tcPr>
            <w:tcW w:w="2554" w:type="dxa"/>
            <w:tcBorders>
              <w:top w:val="nil"/>
              <w:left w:val="nil"/>
              <w:bottom w:val="single" w:sz="4" w:space="0" w:color="auto"/>
              <w:right w:val="single" w:sz="4" w:space="0" w:color="auto"/>
            </w:tcBorders>
            <w:noWrap/>
            <w:vAlign w:val="center"/>
          </w:tcPr>
          <w:p w14:paraId="26C77158"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508CC54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F6F26B8"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Non-Hindu</w:t>
            </w:r>
          </w:p>
        </w:tc>
        <w:tc>
          <w:tcPr>
            <w:tcW w:w="1767" w:type="dxa"/>
            <w:tcBorders>
              <w:top w:val="nil"/>
              <w:left w:val="nil"/>
              <w:bottom w:val="single" w:sz="4" w:space="0" w:color="auto"/>
              <w:right w:val="single" w:sz="4" w:space="0" w:color="auto"/>
            </w:tcBorders>
            <w:shd w:val="clear" w:color="000000" w:fill="FFFFFF"/>
            <w:noWrap/>
            <w:vAlign w:val="center"/>
          </w:tcPr>
          <w:p w14:paraId="762D337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45,897 (20.7)</w:t>
            </w:r>
          </w:p>
        </w:tc>
        <w:tc>
          <w:tcPr>
            <w:tcW w:w="1384" w:type="dxa"/>
            <w:tcBorders>
              <w:top w:val="nil"/>
              <w:left w:val="nil"/>
              <w:bottom w:val="single" w:sz="4" w:space="0" w:color="auto"/>
              <w:right w:val="single" w:sz="4" w:space="0" w:color="auto"/>
            </w:tcBorders>
            <w:vAlign w:val="center"/>
          </w:tcPr>
          <w:p w14:paraId="3F1D29A9"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1271 (2.77)</w:t>
            </w:r>
          </w:p>
        </w:tc>
        <w:tc>
          <w:tcPr>
            <w:tcW w:w="2554" w:type="dxa"/>
            <w:tcBorders>
              <w:top w:val="nil"/>
              <w:left w:val="nil"/>
              <w:bottom w:val="single" w:sz="4" w:space="0" w:color="auto"/>
              <w:right w:val="single" w:sz="4" w:space="0" w:color="auto"/>
            </w:tcBorders>
            <w:noWrap/>
            <w:vAlign w:val="center"/>
          </w:tcPr>
          <w:p w14:paraId="5CD41DE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1.03 (0.95-1.11)</w:t>
            </w:r>
          </w:p>
        </w:tc>
      </w:tr>
      <w:tr w:rsidR="00A3335E" w:rsidRPr="00DB3E4F" w14:paraId="552AA833"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379B0ED"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Household wealth quintile</w:t>
            </w:r>
          </w:p>
        </w:tc>
        <w:tc>
          <w:tcPr>
            <w:tcW w:w="1767" w:type="dxa"/>
            <w:tcBorders>
              <w:top w:val="nil"/>
              <w:left w:val="nil"/>
              <w:bottom w:val="single" w:sz="4" w:space="0" w:color="auto"/>
              <w:right w:val="single" w:sz="4" w:space="0" w:color="auto"/>
            </w:tcBorders>
            <w:noWrap/>
            <w:vAlign w:val="center"/>
          </w:tcPr>
          <w:p w14:paraId="2E85566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C50933F"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4A2DABF5"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314B78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0839055"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Poor</w:t>
            </w:r>
          </w:p>
        </w:tc>
        <w:tc>
          <w:tcPr>
            <w:tcW w:w="1767" w:type="dxa"/>
            <w:tcBorders>
              <w:top w:val="nil"/>
              <w:left w:val="nil"/>
              <w:bottom w:val="single" w:sz="4" w:space="0" w:color="auto"/>
              <w:right w:val="single" w:sz="4" w:space="0" w:color="auto"/>
            </w:tcBorders>
            <w:shd w:val="clear" w:color="000000" w:fill="FFFFFF"/>
            <w:noWrap/>
            <w:vAlign w:val="center"/>
          </w:tcPr>
          <w:p w14:paraId="3244E49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53,817 (24.2)</w:t>
            </w:r>
          </w:p>
        </w:tc>
        <w:tc>
          <w:tcPr>
            <w:tcW w:w="1384" w:type="dxa"/>
            <w:tcBorders>
              <w:top w:val="nil"/>
              <w:left w:val="nil"/>
              <w:bottom w:val="single" w:sz="4" w:space="0" w:color="auto"/>
              <w:right w:val="single" w:sz="4" w:space="0" w:color="auto"/>
            </w:tcBorders>
            <w:vAlign w:val="center"/>
          </w:tcPr>
          <w:p w14:paraId="1803762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1723 (3.21)</w:t>
            </w:r>
          </w:p>
        </w:tc>
        <w:tc>
          <w:tcPr>
            <w:tcW w:w="2554" w:type="dxa"/>
            <w:tcBorders>
              <w:top w:val="nil"/>
              <w:left w:val="nil"/>
              <w:bottom w:val="single" w:sz="4" w:space="0" w:color="auto"/>
              <w:right w:val="single" w:sz="4" w:space="0" w:color="auto"/>
            </w:tcBorders>
            <w:noWrap/>
            <w:vAlign w:val="center"/>
          </w:tcPr>
          <w:p w14:paraId="57D7F667"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01D9FBCF"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CD12496"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Poorer</w:t>
            </w:r>
          </w:p>
        </w:tc>
        <w:tc>
          <w:tcPr>
            <w:tcW w:w="1767" w:type="dxa"/>
            <w:tcBorders>
              <w:top w:val="nil"/>
              <w:left w:val="nil"/>
              <w:bottom w:val="single" w:sz="4" w:space="0" w:color="auto"/>
              <w:right w:val="single" w:sz="4" w:space="0" w:color="auto"/>
            </w:tcBorders>
            <w:shd w:val="clear" w:color="000000" w:fill="FFFFFF"/>
            <w:noWrap/>
            <w:vAlign w:val="center"/>
          </w:tcPr>
          <w:p w14:paraId="1E755BF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47,984 (21.6)</w:t>
            </w:r>
          </w:p>
        </w:tc>
        <w:tc>
          <w:tcPr>
            <w:tcW w:w="1384" w:type="dxa"/>
            <w:tcBorders>
              <w:top w:val="nil"/>
              <w:left w:val="nil"/>
              <w:bottom w:val="single" w:sz="4" w:space="0" w:color="auto"/>
              <w:right w:val="single" w:sz="4" w:space="0" w:color="auto"/>
            </w:tcBorders>
            <w:vAlign w:val="center"/>
          </w:tcPr>
          <w:p w14:paraId="17560BE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1472 (3.07)</w:t>
            </w:r>
          </w:p>
        </w:tc>
        <w:tc>
          <w:tcPr>
            <w:tcW w:w="2554" w:type="dxa"/>
            <w:tcBorders>
              <w:top w:val="nil"/>
              <w:left w:val="nil"/>
              <w:bottom w:val="single" w:sz="4" w:space="0" w:color="auto"/>
              <w:right w:val="single" w:sz="4" w:space="0" w:color="auto"/>
            </w:tcBorders>
            <w:noWrap/>
            <w:vAlign w:val="center"/>
          </w:tcPr>
          <w:p w14:paraId="5B12F8A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0.97 (0.89-1.05)</w:t>
            </w:r>
          </w:p>
        </w:tc>
      </w:tr>
      <w:tr w:rsidR="00A3335E" w:rsidRPr="00DB3E4F" w14:paraId="4106F9A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29DDF36"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Middle</w:t>
            </w:r>
          </w:p>
        </w:tc>
        <w:tc>
          <w:tcPr>
            <w:tcW w:w="1767" w:type="dxa"/>
            <w:tcBorders>
              <w:top w:val="nil"/>
              <w:left w:val="nil"/>
              <w:bottom w:val="single" w:sz="4" w:space="0" w:color="auto"/>
              <w:right w:val="single" w:sz="4" w:space="0" w:color="auto"/>
            </w:tcBorders>
            <w:shd w:val="clear" w:color="000000" w:fill="FFFFFF"/>
            <w:noWrap/>
            <w:vAlign w:val="center"/>
          </w:tcPr>
          <w:p w14:paraId="1D88D82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43,519 (19.6)</w:t>
            </w:r>
          </w:p>
        </w:tc>
        <w:tc>
          <w:tcPr>
            <w:tcW w:w="1384" w:type="dxa"/>
            <w:tcBorders>
              <w:top w:val="nil"/>
              <w:left w:val="nil"/>
              <w:bottom w:val="single" w:sz="4" w:space="0" w:color="auto"/>
              <w:right w:val="single" w:sz="4" w:space="0" w:color="auto"/>
            </w:tcBorders>
            <w:vAlign w:val="center"/>
          </w:tcPr>
          <w:p w14:paraId="25D8861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1167 (2.69)</w:t>
            </w:r>
          </w:p>
        </w:tc>
        <w:tc>
          <w:tcPr>
            <w:tcW w:w="2554" w:type="dxa"/>
            <w:tcBorders>
              <w:top w:val="nil"/>
              <w:left w:val="nil"/>
              <w:bottom w:val="single" w:sz="4" w:space="0" w:color="auto"/>
              <w:right w:val="single" w:sz="4" w:space="0" w:color="auto"/>
            </w:tcBorders>
            <w:noWrap/>
            <w:vAlign w:val="center"/>
          </w:tcPr>
          <w:p w14:paraId="7E9BFB5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0.91 (0.83-1.01) *</w:t>
            </w:r>
          </w:p>
        </w:tc>
      </w:tr>
      <w:tr w:rsidR="00A3335E" w:rsidRPr="00DB3E4F" w14:paraId="485E2130"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3A52210"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Richer</w:t>
            </w:r>
          </w:p>
        </w:tc>
        <w:tc>
          <w:tcPr>
            <w:tcW w:w="1767" w:type="dxa"/>
            <w:tcBorders>
              <w:top w:val="nil"/>
              <w:left w:val="nil"/>
              <w:bottom w:val="single" w:sz="4" w:space="0" w:color="auto"/>
              <w:right w:val="single" w:sz="4" w:space="0" w:color="auto"/>
            </w:tcBorders>
            <w:shd w:val="clear" w:color="000000" w:fill="FFFFFF"/>
            <w:noWrap/>
            <w:vAlign w:val="center"/>
          </w:tcPr>
          <w:p w14:paraId="31188CD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41,242 (18.6)</w:t>
            </w:r>
          </w:p>
        </w:tc>
        <w:tc>
          <w:tcPr>
            <w:tcW w:w="1384" w:type="dxa"/>
            <w:tcBorders>
              <w:top w:val="nil"/>
              <w:left w:val="nil"/>
              <w:bottom w:val="single" w:sz="4" w:space="0" w:color="auto"/>
              <w:right w:val="single" w:sz="4" w:space="0" w:color="auto"/>
            </w:tcBorders>
            <w:vAlign w:val="center"/>
          </w:tcPr>
          <w:p w14:paraId="15DFE375"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993 (2.41)</w:t>
            </w:r>
          </w:p>
        </w:tc>
        <w:tc>
          <w:tcPr>
            <w:tcW w:w="2554" w:type="dxa"/>
            <w:tcBorders>
              <w:top w:val="nil"/>
              <w:left w:val="nil"/>
              <w:bottom w:val="single" w:sz="4" w:space="0" w:color="auto"/>
              <w:right w:val="single" w:sz="4" w:space="0" w:color="auto"/>
            </w:tcBorders>
            <w:noWrap/>
            <w:vAlign w:val="center"/>
          </w:tcPr>
          <w:p w14:paraId="4925C0B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0.89 (0.79-1) **</w:t>
            </w:r>
          </w:p>
        </w:tc>
      </w:tr>
      <w:tr w:rsidR="00A3335E" w:rsidRPr="00DB3E4F" w14:paraId="6E29CF0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E2C14F0"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Richest</w:t>
            </w:r>
          </w:p>
        </w:tc>
        <w:tc>
          <w:tcPr>
            <w:tcW w:w="1767" w:type="dxa"/>
            <w:tcBorders>
              <w:top w:val="nil"/>
              <w:left w:val="nil"/>
              <w:bottom w:val="single" w:sz="4" w:space="0" w:color="auto"/>
              <w:right w:val="single" w:sz="4" w:space="0" w:color="auto"/>
            </w:tcBorders>
            <w:shd w:val="clear" w:color="000000" w:fill="FFFFFF"/>
            <w:noWrap/>
            <w:vAlign w:val="center"/>
          </w:tcPr>
          <w:p w14:paraId="5C2C279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35,671 (16.1)</w:t>
            </w:r>
          </w:p>
        </w:tc>
        <w:tc>
          <w:tcPr>
            <w:tcW w:w="1384" w:type="dxa"/>
            <w:tcBorders>
              <w:top w:val="nil"/>
              <w:left w:val="nil"/>
              <w:bottom w:val="single" w:sz="4" w:space="0" w:color="auto"/>
              <w:right w:val="single" w:sz="4" w:space="0" w:color="auto"/>
            </w:tcBorders>
            <w:vAlign w:val="center"/>
          </w:tcPr>
          <w:p w14:paraId="24F85F25"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844 (2.37)</w:t>
            </w:r>
          </w:p>
        </w:tc>
        <w:tc>
          <w:tcPr>
            <w:tcW w:w="2554" w:type="dxa"/>
            <w:tcBorders>
              <w:top w:val="nil"/>
              <w:left w:val="nil"/>
              <w:bottom w:val="single" w:sz="4" w:space="0" w:color="auto"/>
              <w:right w:val="single" w:sz="4" w:space="0" w:color="auto"/>
            </w:tcBorders>
            <w:noWrap/>
            <w:vAlign w:val="center"/>
          </w:tcPr>
          <w:p w14:paraId="6766CF4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0.97 (0.84-1.12)</w:t>
            </w:r>
          </w:p>
        </w:tc>
      </w:tr>
      <w:tr w:rsidR="00A3335E" w:rsidRPr="00DB3E4F" w14:paraId="5D3BD3E4"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4F7EDEC"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C. Maternal Characteristics</w:t>
            </w:r>
          </w:p>
        </w:tc>
        <w:tc>
          <w:tcPr>
            <w:tcW w:w="1767" w:type="dxa"/>
            <w:tcBorders>
              <w:top w:val="nil"/>
              <w:left w:val="nil"/>
              <w:bottom w:val="single" w:sz="4" w:space="0" w:color="auto"/>
              <w:right w:val="single" w:sz="4" w:space="0" w:color="auto"/>
            </w:tcBorders>
            <w:shd w:val="clear" w:color="000000" w:fill="FFFFFF"/>
            <w:noWrap/>
            <w:vAlign w:val="center"/>
          </w:tcPr>
          <w:p w14:paraId="466F615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noWrap/>
            <w:vAlign w:val="bottom"/>
          </w:tcPr>
          <w:p w14:paraId="39F6CC1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bottom"/>
          </w:tcPr>
          <w:p w14:paraId="4C00FEC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476C8B9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B3CAE5D"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Mother's education </w:t>
            </w:r>
          </w:p>
        </w:tc>
        <w:tc>
          <w:tcPr>
            <w:tcW w:w="1767" w:type="dxa"/>
            <w:tcBorders>
              <w:top w:val="nil"/>
              <w:left w:val="nil"/>
              <w:bottom w:val="single" w:sz="4" w:space="0" w:color="auto"/>
              <w:right w:val="single" w:sz="4" w:space="0" w:color="auto"/>
            </w:tcBorders>
            <w:noWrap/>
            <w:vAlign w:val="center"/>
          </w:tcPr>
          <w:p w14:paraId="41FA0C2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0B07933"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7D26753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05CE47A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A33DF06"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Not educated</w:t>
            </w:r>
          </w:p>
        </w:tc>
        <w:tc>
          <w:tcPr>
            <w:tcW w:w="1767" w:type="dxa"/>
            <w:tcBorders>
              <w:top w:val="nil"/>
              <w:left w:val="nil"/>
              <w:bottom w:val="single" w:sz="4" w:space="0" w:color="auto"/>
              <w:right w:val="single" w:sz="4" w:space="0" w:color="auto"/>
            </w:tcBorders>
            <w:shd w:val="clear" w:color="000000" w:fill="FFFFFF"/>
            <w:noWrap/>
            <w:vAlign w:val="center"/>
          </w:tcPr>
          <w:p w14:paraId="22FFA16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46,635 (21)</w:t>
            </w:r>
          </w:p>
        </w:tc>
        <w:tc>
          <w:tcPr>
            <w:tcW w:w="1384" w:type="dxa"/>
            <w:tcBorders>
              <w:top w:val="nil"/>
              <w:left w:val="nil"/>
              <w:bottom w:val="single" w:sz="4" w:space="0" w:color="auto"/>
              <w:right w:val="single" w:sz="4" w:space="0" w:color="auto"/>
            </w:tcBorders>
            <w:vAlign w:val="center"/>
          </w:tcPr>
          <w:p w14:paraId="43DEC28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1343 (2.88)</w:t>
            </w:r>
          </w:p>
        </w:tc>
        <w:tc>
          <w:tcPr>
            <w:tcW w:w="2554" w:type="dxa"/>
            <w:tcBorders>
              <w:top w:val="nil"/>
              <w:left w:val="nil"/>
              <w:bottom w:val="single" w:sz="4" w:space="0" w:color="auto"/>
              <w:right w:val="single" w:sz="4" w:space="0" w:color="auto"/>
            </w:tcBorders>
            <w:noWrap/>
            <w:vAlign w:val="center"/>
          </w:tcPr>
          <w:p w14:paraId="53DAA3E4"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6A3E9757"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59FCC1A"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primary</w:t>
            </w:r>
          </w:p>
        </w:tc>
        <w:tc>
          <w:tcPr>
            <w:tcW w:w="1767" w:type="dxa"/>
            <w:tcBorders>
              <w:top w:val="nil"/>
              <w:left w:val="nil"/>
              <w:bottom w:val="single" w:sz="4" w:space="0" w:color="auto"/>
              <w:right w:val="single" w:sz="4" w:space="0" w:color="auto"/>
            </w:tcBorders>
            <w:shd w:val="clear" w:color="000000" w:fill="FFFFFF"/>
            <w:noWrap/>
            <w:vAlign w:val="center"/>
          </w:tcPr>
          <w:p w14:paraId="6E65D3A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27,133 (12.2)</w:t>
            </w:r>
          </w:p>
        </w:tc>
        <w:tc>
          <w:tcPr>
            <w:tcW w:w="1384" w:type="dxa"/>
            <w:tcBorders>
              <w:top w:val="nil"/>
              <w:left w:val="nil"/>
              <w:bottom w:val="single" w:sz="4" w:space="0" w:color="auto"/>
              <w:right w:val="single" w:sz="4" w:space="0" w:color="auto"/>
            </w:tcBorders>
            <w:vAlign w:val="center"/>
          </w:tcPr>
          <w:p w14:paraId="53751E62"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915 (3.38)</w:t>
            </w:r>
          </w:p>
        </w:tc>
        <w:tc>
          <w:tcPr>
            <w:tcW w:w="2554" w:type="dxa"/>
            <w:tcBorders>
              <w:top w:val="nil"/>
              <w:left w:val="nil"/>
              <w:bottom w:val="single" w:sz="4" w:space="0" w:color="auto"/>
              <w:right w:val="single" w:sz="4" w:space="0" w:color="auto"/>
            </w:tcBorders>
            <w:noWrap/>
            <w:vAlign w:val="center"/>
          </w:tcPr>
          <w:p w14:paraId="4F1B6D5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1.21 (1.11-1.32) ***</w:t>
            </w:r>
          </w:p>
        </w:tc>
      </w:tr>
      <w:tr w:rsidR="00A3335E" w:rsidRPr="00DB3E4F" w14:paraId="2B7CB5F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E40E4A8"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Secondary</w:t>
            </w:r>
          </w:p>
        </w:tc>
        <w:tc>
          <w:tcPr>
            <w:tcW w:w="1767" w:type="dxa"/>
            <w:tcBorders>
              <w:top w:val="nil"/>
              <w:left w:val="nil"/>
              <w:bottom w:val="single" w:sz="4" w:space="0" w:color="auto"/>
              <w:right w:val="single" w:sz="4" w:space="0" w:color="auto"/>
            </w:tcBorders>
            <w:shd w:val="clear" w:color="000000" w:fill="FFFFFF"/>
            <w:noWrap/>
            <w:vAlign w:val="center"/>
          </w:tcPr>
          <w:p w14:paraId="1A90EB2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1,13,099 (50.9)</w:t>
            </w:r>
          </w:p>
        </w:tc>
        <w:tc>
          <w:tcPr>
            <w:tcW w:w="1384" w:type="dxa"/>
            <w:tcBorders>
              <w:top w:val="nil"/>
              <w:left w:val="nil"/>
              <w:bottom w:val="single" w:sz="4" w:space="0" w:color="auto"/>
              <w:right w:val="single" w:sz="4" w:space="0" w:color="auto"/>
            </w:tcBorders>
            <w:vAlign w:val="center"/>
          </w:tcPr>
          <w:p w14:paraId="4499329F"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3169 (2.81)</w:t>
            </w:r>
          </w:p>
        </w:tc>
        <w:tc>
          <w:tcPr>
            <w:tcW w:w="2554" w:type="dxa"/>
            <w:tcBorders>
              <w:top w:val="nil"/>
              <w:left w:val="nil"/>
              <w:bottom w:val="single" w:sz="4" w:space="0" w:color="auto"/>
              <w:right w:val="single" w:sz="4" w:space="0" w:color="auto"/>
            </w:tcBorders>
            <w:noWrap/>
            <w:vAlign w:val="center"/>
          </w:tcPr>
          <w:p w14:paraId="4437CB3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1.08 (1-1.17)</w:t>
            </w:r>
          </w:p>
        </w:tc>
      </w:tr>
      <w:tr w:rsidR="00A3335E" w:rsidRPr="00DB3E4F" w14:paraId="1B165CC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A5D46D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Higher</w:t>
            </w:r>
          </w:p>
        </w:tc>
        <w:tc>
          <w:tcPr>
            <w:tcW w:w="1767" w:type="dxa"/>
            <w:tcBorders>
              <w:top w:val="nil"/>
              <w:left w:val="nil"/>
              <w:bottom w:val="single" w:sz="4" w:space="0" w:color="auto"/>
              <w:right w:val="single" w:sz="4" w:space="0" w:color="auto"/>
            </w:tcBorders>
            <w:shd w:val="clear" w:color="000000" w:fill="FFFFFF"/>
            <w:noWrap/>
            <w:vAlign w:val="center"/>
          </w:tcPr>
          <w:p w14:paraId="1773102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35,366 (15.9)</w:t>
            </w:r>
          </w:p>
        </w:tc>
        <w:tc>
          <w:tcPr>
            <w:tcW w:w="1384" w:type="dxa"/>
            <w:tcBorders>
              <w:top w:val="nil"/>
              <w:left w:val="nil"/>
              <w:bottom w:val="single" w:sz="4" w:space="0" w:color="auto"/>
              <w:right w:val="single" w:sz="4" w:space="0" w:color="auto"/>
            </w:tcBorders>
            <w:vAlign w:val="center"/>
          </w:tcPr>
          <w:p w14:paraId="343F798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772 (2.19)</w:t>
            </w:r>
          </w:p>
        </w:tc>
        <w:tc>
          <w:tcPr>
            <w:tcW w:w="2554" w:type="dxa"/>
            <w:tcBorders>
              <w:top w:val="nil"/>
              <w:left w:val="nil"/>
              <w:bottom w:val="single" w:sz="4" w:space="0" w:color="auto"/>
              <w:right w:val="single" w:sz="4" w:space="0" w:color="auto"/>
            </w:tcBorders>
            <w:noWrap/>
            <w:vAlign w:val="center"/>
          </w:tcPr>
          <w:p w14:paraId="0226870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0.99 (0.89-1.11)</w:t>
            </w:r>
          </w:p>
        </w:tc>
      </w:tr>
      <w:tr w:rsidR="00A3335E" w:rsidRPr="00DB3E4F" w14:paraId="61DD4F82"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3F2EEBB"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Mother's age</w:t>
            </w:r>
          </w:p>
        </w:tc>
        <w:tc>
          <w:tcPr>
            <w:tcW w:w="1767" w:type="dxa"/>
            <w:tcBorders>
              <w:top w:val="nil"/>
              <w:left w:val="nil"/>
              <w:bottom w:val="single" w:sz="4" w:space="0" w:color="auto"/>
              <w:right w:val="single" w:sz="4" w:space="0" w:color="auto"/>
            </w:tcBorders>
            <w:noWrap/>
            <w:vAlign w:val="center"/>
          </w:tcPr>
          <w:p w14:paraId="59BD46A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D4BB8BA"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6CFA856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41B999D2"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2400EF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14-24 Years</w:t>
            </w:r>
          </w:p>
        </w:tc>
        <w:tc>
          <w:tcPr>
            <w:tcW w:w="1767" w:type="dxa"/>
            <w:tcBorders>
              <w:top w:val="nil"/>
              <w:left w:val="nil"/>
              <w:bottom w:val="single" w:sz="4" w:space="0" w:color="auto"/>
              <w:right w:val="single" w:sz="4" w:space="0" w:color="auto"/>
            </w:tcBorders>
            <w:shd w:val="clear" w:color="000000" w:fill="FFFFFF"/>
            <w:noWrap/>
            <w:vAlign w:val="center"/>
          </w:tcPr>
          <w:p w14:paraId="6E8AB9F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72,967 (32.8)</w:t>
            </w:r>
          </w:p>
        </w:tc>
        <w:tc>
          <w:tcPr>
            <w:tcW w:w="1384" w:type="dxa"/>
            <w:tcBorders>
              <w:top w:val="nil"/>
              <w:left w:val="nil"/>
              <w:bottom w:val="single" w:sz="4" w:space="0" w:color="auto"/>
              <w:right w:val="single" w:sz="4" w:space="0" w:color="auto"/>
            </w:tcBorders>
            <w:vAlign w:val="center"/>
          </w:tcPr>
          <w:p w14:paraId="5B0C7D2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2269 (3.12)</w:t>
            </w:r>
          </w:p>
        </w:tc>
        <w:tc>
          <w:tcPr>
            <w:tcW w:w="2554" w:type="dxa"/>
            <w:tcBorders>
              <w:top w:val="nil"/>
              <w:left w:val="nil"/>
              <w:bottom w:val="single" w:sz="4" w:space="0" w:color="auto"/>
              <w:right w:val="single" w:sz="4" w:space="0" w:color="auto"/>
            </w:tcBorders>
            <w:noWrap/>
            <w:vAlign w:val="center"/>
          </w:tcPr>
          <w:p w14:paraId="092A9598"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77874848"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84EF093"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25-34 Years</w:t>
            </w:r>
          </w:p>
        </w:tc>
        <w:tc>
          <w:tcPr>
            <w:tcW w:w="1767" w:type="dxa"/>
            <w:tcBorders>
              <w:top w:val="nil"/>
              <w:left w:val="nil"/>
              <w:bottom w:val="single" w:sz="4" w:space="0" w:color="auto"/>
              <w:right w:val="single" w:sz="4" w:space="0" w:color="auto"/>
            </w:tcBorders>
            <w:shd w:val="clear" w:color="000000" w:fill="FFFFFF"/>
            <w:noWrap/>
            <w:vAlign w:val="center"/>
          </w:tcPr>
          <w:p w14:paraId="576FDE5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1,30,954 (58.9)</w:t>
            </w:r>
          </w:p>
        </w:tc>
        <w:tc>
          <w:tcPr>
            <w:tcW w:w="1384" w:type="dxa"/>
            <w:tcBorders>
              <w:top w:val="nil"/>
              <w:left w:val="nil"/>
              <w:bottom w:val="single" w:sz="4" w:space="0" w:color="auto"/>
              <w:right w:val="single" w:sz="4" w:space="0" w:color="auto"/>
            </w:tcBorders>
            <w:vAlign w:val="center"/>
          </w:tcPr>
          <w:p w14:paraId="79B2810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3458 (2.65)</w:t>
            </w:r>
          </w:p>
        </w:tc>
        <w:tc>
          <w:tcPr>
            <w:tcW w:w="2554" w:type="dxa"/>
            <w:tcBorders>
              <w:top w:val="nil"/>
              <w:left w:val="nil"/>
              <w:bottom w:val="single" w:sz="4" w:space="0" w:color="auto"/>
              <w:right w:val="single" w:sz="4" w:space="0" w:color="auto"/>
            </w:tcBorders>
            <w:noWrap/>
            <w:vAlign w:val="center"/>
          </w:tcPr>
          <w:p w14:paraId="500C00C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0.94 (0.88-1) *</w:t>
            </w:r>
          </w:p>
        </w:tc>
      </w:tr>
      <w:tr w:rsidR="00A3335E" w:rsidRPr="00DB3E4F" w14:paraId="739F91E8"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BECD883"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35 Years and above</w:t>
            </w:r>
          </w:p>
        </w:tc>
        <w:tc>
          <w:tcPr>
            <w:tcW w:w="1767" w:type="dxa"/>
            <w:tcBorders>
              <w:top w:val="nil"/>
              <w:left w:val="nil"/>
              <w:bottom w:val="single" w:sz="4" w:space="0" w:color="auto"/>
              <w:right w:val="single" w:sz="4" w:space="0" w:color="auto"/>
            </w:tcBorders>
            <w:shd w:val="clear" w:color="000000" w:fill="FFFFFF"/>
            <w:noWrap/>
            <w:vAlign w:val="center"/>
          </w:tcPr>
          <w:p w14:paraId="683AD1D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18,312 (8.2)</w:t>
            </w:r>
          </w:p>
        </w:tc>
        <w:tc>
          <w:tcPr>
            <w:tcW w:w="1384" w:type="dxa"/>
            <w:tcBorders>
              <w:top w:val="nil"/>
              <w:left w:val="nil"/>
              <w:bottom w:val="single" w:sz="4" w:space="0" w:color="auto"/>
              <w:right w:val="single" w:sz="4" w:space="0" w:color="auto"/>
            </w:tcBorders>
            <w:vAlign w:val="center"/>
          </w:tcPr>
          <w:p w14:paraId="3391CE92"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470 (2.57)</w:t>
            </w:r>
          </w:p>
        </w:tc>
        <w:tc>
          <w:tcPr>
            <w:tcW w:w="2554" w:type="dxa"/>
            <w:tcBorders>
              <w:top w:val="nil"/>
              <w:left w:val="nil"/>
              <w:bottom w:val="single" w:sz="4" w:space="0" w:color="auto"/>
              <w:right w:val="single" w:sz="4" w:space="0" w:color="auto"/>
            </w:tcBorders>
            <w:noWrap/>
            <w:vAlign w:val="center"/>
          </w:tcPr>
          <w:p w14:paraId="7BAE953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0.99 (0.89-1.1)</w:t>
            </w:r>
          </w:p>
        </w:tc>
      </w:tr>
      <w:tr w:rsidR="00A3335E" w:rsidRPr="00DB3E4F" w14:paraId="0C7AD77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BAD6831"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Mother smoking exposure</w:t>
            </w:r>
          </w:p>
        </w:tc>
        <w:tc>
          <w:tcPr>
            <w:tcW w:w="1767" w:type="dxa"/>
            <w:tcBorders>
              <w:top w:val="nil"/>
              <w:left w:val="nil"/>
              <w:bottom w:val="single" w:sz="4" w:space="0" w:color="auto"/>
              <w:right w:val="single" w:sz="4" w:space="0" w:color="auto"/>
            </w:tcBorders>
            <w:noWrap/>
            <w:vAlign w:val="center"/>
          </w:tcPr>
          <w:p w14:paraId="568303D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7B36C8A9"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7FBCE3C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3F715358"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FA863B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5A0656D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2,15,130 (96.8)</w:t>
            </w:r>
          </w:p>
        </w:tc>
        <w:tc>
          <w:tcPr>
            <w:tcW w:w="1384" w:type="dxa"/>
            <w:tcBorders>
              <w:top w:val="nil"/>
              <w:left w:val="nil"/>
              <w:bottom w:val="single" w:sz="4" w:space="0" w:color="auto"/>
              <w:right w:val="single" w:sz="4" w:space="0" w:color="auto"/>
            </w:tcBorders>
            <w:vAlign w:val="center"/>
          </w:tcPr>
          <w:p w14:paraId="403F785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5909 (2.75)</w:t>
            </w:r>
          </w:p>
        </w:tc>
        <w:tc>
          <w:tcPr>
            <w:tcW w:w="2554" w:type="dxa"/>
            <w:tcBorders>
              <w:top w:val="nil"/>
              <w:left w:val="nil"/>
              <w:bottom w:val="single" w:sz="4" w:space="0" w:color="auto"/>
              <w:right w:val="single" w:sz="4" w:space="0" w:color="auto"/>
            </w:tcBorders>
            <w:noWrap/>
            <w:vAlign w:val="center"/>
          </w:tcPr>
          <w:p w14:paraId="5DF948F9"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713B07F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9973D78"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3A1E110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7,102 (3.2)</w:t>
            </w:r>
          </w:p>
        </w:tc>
        <w:tc>
          <w:tcPr>
            <w:tcW w:w="1384" w:type="dxa"/>
            <w:tcBorders>
              <w:top w:val="nil"/>
              <w:left w:val="nil"/>
              <w:bottom w:val="single" w:sz="4" w:space="0" w:color="auto"/>
              <w:right w:val="single" w:sz="4" w:space="0" w:color="auto"/>
            </w:tcBorders>
            <w:vAlign w:val="center"/>
          </w:tcPr>
          <w:p w14:paraId="2E7F9A00"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289 (4.07)</w:t>
            </w:r>
          </w:p>
        </w:tc>
        <w:tc>
          <w:tcPr>
            <w:tcW w:w="2554" w:type="dxa"/>
            <w:tcBorders>
              <w:top w:val="nil"/>
              <w:left w:val="nil"/>
              <w:bottom w:val="single" w:sz="4" w:space="0" w:color="auto"/>
              <w:right w:val="single" w:sz="4" w:space="0" w:color="auto"/>
            </w:tcBorders>
            <w:noWrap/>
            <w:vAlign w:val="center"/>
          </w:tcPr>
          <w:p w14:paraId="7043B9C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1.34 (1.2-1.5) ***</w:t>
            </w:r>
          </w:p>
        </w:tc>
      </w:tr>
      <w:tr w:rsidR="00A3335E" w:rsidRPr="00DB3E4F" w14:paraId="1FE28EA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0ACA41D"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Mother exposure to mass media </w:t>
            </w:r>
          </w:p>
        </w:tc>
        <w:tc>
          <w:tcPr>
            <w:tcW w:w="1767" w:type="dxa"/>
            <w:tcBorders>
              <w:top w:val="nil"/>
              <w:left w:val="nil"/>
              <w:bottom w:val="single" w:sz="4" w:space="0" w:color="auto"/>
              <w:right w:val="single" w:sz="4" w:space="0" w:color="auto"/>
            </w:tcBorders>
            <w:noWrap/>
            <w:vAlign w:val="center"/>
          </w:tcPr>
          <w:p w14:paraId="7A208DE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4DEFC40F"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p=0.224</w:t>
            </w:r>
          </w:p>
        </w:tc>
        <w:tc>
          <w:tcPr>
            <w:tcW w:w="2554" w:type="dxa"/>
            <w:tcBorders>
              <w:top w:val="nil"/>
              <w:left w:val="nil"/>
              <w:bottom w:val="single" w:sz="4" w:space="0" w:color="auto"/>
              <w:right w:val="single" w:sz="4" w:space="0" w:color="auto"/>
            </w:tcBorders>
            <w:noWrap/>
            <w:vAlign w:val="center"/>
          </w:tcPr>
          <w:p w14:paraId="0241583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38CB794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188420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735962A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63,206 (28.4)</w:t>
            </w:r>
          </w:p>
        </w:tc>
        <w:tc>
          <w:tcPr>
            <w:tcW w:w="1384" w:type="dxa"/>
            <w:tcBorders>
              <w:top w:val="nil"/>
              <w:left w:val="nil"/>
              <w:bottom w:val="single" w:sz="4" w:space="0" w:color="auto"/>
              <w:right w:val="single" w:sz="4" w:space="0" w:color="auto"/>
            </w:tcBorders>
            <w:vAlign w:val="center"/>
          </w:tcPr>
          <w:p w14:paraId="472A7A4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1781 (2.82)</w:t>
            </w:r>
          </w:p>
        </w:tc>
        <w:tc>
          <w:tcPr>
            <w:tcW w:w="2554" w:type="dxa"/>
            <w:tcBorders>
              <w:top w:val="nil"/>
              <w:left w:val="nil"/>
              <w:bottom w:val="single" w:sz="4" w:space="0" w:color="auto"/>
              <w:right w:val="single" w:sz="4" w:space="0" w:color="auto"/>
            </w:tcBorders>
            <w:noWrap/>
            <w:vAlign w:val="center"/>
          </w:tcPr>
          <w:p w14:paraId="43A1FF49"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7E0E312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0F83F8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7EAA1AB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1,59,026 (71.6)</w:t>
            </w:r>
          </w:p>
        </w:tc>
        <w:tc>
          <w:tcPr>
            <w:tcW w:w="1384" w:type="dxa"/>
            <w:tcBorders>
              <w:top w:val="nil"/>
              <w:left w:val="nil"/>
              <w:bottom w:val="single" w:sz="4" w:space="0" w:color="auto"/>
              <w:right w:val="single" w:sz="4" w:space="0" w:color="auto"/>
            </w:tcBorders>
            <w:vAlign w:val="center"/>
          </w:tcPr>
          <w:p w14:paraId="5ED00EA3"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4416 (2.78)</w:t>
            </w:r>
          </w:p>
        </w:tc>
        <w:tc>
          <w:tcPr>
            <w:tcW w:w="2554" w:type="dxa"/>
            <w:tcBorders>
              <w:top w:val="nil"/>
              <w:left w:val="nil"/>
              <w:bottom w:val="single" w:sz="4" w:space="0" w:color="auto"/>
              <w:right w:val="single" w:sz="4" w:space="0" w:color="auto"/>
            </w:tcBorders>
            <w:noWrap/>
            <w:vAlign w:val="center"/>
          </w:tcPr>
          <w:p w14:paraId="6ECE5E8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1.18 (1.1-1.26) ***</w:t>
            </w:r>
          </w:p>
        </w:tc>
      </w:tr>
      <w:tr w:rsidR="00A3335E" w:rsidRPr="00DB3E4F" w14:paraId="59C04D0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18138D5"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Mother had respiratory diseases/asthma</w:t>
            </w:r>
          </w:p>
        </w:tc>
        <w:tc>
          <w:tcPr>
            <w:tcW w:w="1767" w:type="dxa"/>
            <w:tcBorders>
              <w:top w:val="nil"/>
              <w:left w:val="nil"/>
              <w:bottom w:val="single" w:sz="4" w:space="0" w:color="auto"/>
              <w:right w:val="single" w:sz="4" w:space="0" w:color="auto"/>
            </w:tcBorders>
            <w:noWrap/>
            <w:vAlign w:val="center"/>
          </w:tcPr>
          <w:p w14:paraId="556E00B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781F7028"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691EB2D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77B8A6E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1570A36"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432F943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2,20,275 (99.1)</w:t>
            </w:r>
          </w:p>
        </w:tc>
        <w:tc>
          <w:tcPr>
            <w:tcW w:w="1384" w:type="dxa"/>
            <w:tcBorders>
              <w:top w:val="nil"/>
              <w:left w:val="nil"/>
              <w:bottom w:val="single" w:sz="4" w:space="0" w:color="auto"/>
              <w:right w:val="single" w:sz="4" w:space="0" w:color="auto"/>
            </w:tcBorders>
            <w:vAlign w:val="center"/>
          </w:tcPr>
          <w:p w14:paraId="13557FE3"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6060 (2.76)</w:t>
            </w:r>
          </w:p>
        </w:tc>
        <w:tc>
          <w:tcPr>
            <w:tcW w:w="2554" w:type="dxa"/>
            <w:tcBorders>
              <w:top w:val="nil"/>
              <w:left w:val="nil"/>
              <w:bottom w:val="single" w:sz="4" w:space="0" w:color="auto"/>
              <w:right w:val="single" w:sz="4" w:space="0" w:color="auto"/>
            </w:tcBorders>
            <w:noWrap/>
            <w:vAlign w:val="center"/>
          </w:tcPr>
          <w:p w14:paraId="5217D7A5"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3C6DFB7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1E82DE9"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4336017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1,958 (0.9)</w:t>
            </w:r>
          </w:p>
        </w:tc>
        <w:tc>
          <w:tcPr>
            <w:tcW w:w="1384" w:type="dxa"/>
            <w:tcBorders>
              <w:top w:val="nil"/>
              <w:left w:val="nil"/>
              <w:bottom w:val="single" w:sz="4" w:space="0" w:color="auto"/>
              <w:right w:val="single" w:sz="4" w:space="0" w:color="auto"/>
            </w:tcBorders>
            <w:vAlign w:val="center"/>
          </w:tcPr>
          <w:p w14:paraId="09E2E01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138 (7.03)</w:t>
            </w:r>
          </w:p>
        </w:tc>
        <w:tc>
          <w:tcPr>
            <w:tcW w:w="2554" w:type="dxa"/>
            <w:tcBorders>
              <w:top w:val="nil"/>
              <w:left w:val="nil"/>
              <w:bottom w:val="single" w:sz="4" w:space="0" w:color="auto"/>
              <w:right w:val="single" w:sz="4" w:space="0" w:color="auto"/>
            </w:tcBorders>
            <w:noWrap/>
            <w:vAlign w:val="center"/>
          </w:tcPr>
          <w:p w14:paraId="5FBBA32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2.33 (1.93-2.8) ***</w:t>
            </w:r>
          </w:p>
        </w:tc>
      </w:tr>
      <w:tr w:rsidR="00A3335E" w:rsidRPr="00DB3E4F" w14:paraId="223AA684"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2559D5C"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D. Child Characteristics</w:t>
            </w:r>
            <w:r w:rsidRPr="00DB3E4F">
              <w:rPr>
                <w:rFonts w:ascii="Arial" w:eastAsia="Times New Roman" w:hAnsi="Arial" w:cs="Arial"/>
                <w:color w:val="000000"/>
                <w:lang w:eastAsia="en-IN"/>
              </w:rPr>
              <w:t> </w:t>
            </w:r>
          </w:p>
        </w:tc>
        <w:tc>
          <w:tcPr>
            <w:tcW w:w="1767" w:type="dxa"/>
            <w:tcBorders>
              <w:top w:val="nil"/>
              <w:left w:val="nil"/>
              <w:bottom w:val="single" w:sz="4" w:space="0" w:color="auto"/>
              <w:right w:val="single" w:sz="4" w:space="0" w:color="auto"/>
            </w:tcBorders>
            <w:noWrap/>
            <w:vAlign w:val="center"/>
          </w:tcPr>
          <w:p w14:paraId="0982C00C"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noWrap/>
            <w:vAlign w:val="bottom"/>
          </w:tcPr>
          <w:p w14:paraId="780E35D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bottom"/>
          </w:tcPr>
          <w:p w14:paraId="5435779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30FE01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F12DFAF"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Age of child (months)</w:t>
            </w:r>
          </w:p>
        </w:tc>
        <w:tc>
          <w:tcPr>
            <w:tcW w:w="1767" w:type="dxa"/>
            <w:tcBorders>
              <w:top w:val="nil"/>
              <w:left w:val="nil"/>
              <w:bottom w:val="single" w:sz="4" w:space="0" w:color="auto"/>
              <w:right w:val="single" w:sz="4" w:space="0" w:color="auto"/>
            </w:tcBorders>
            <w:noWrap/>
            <w:vAlign w:val="center"/>
          </w:tcPr>
          <w:p w14:paraId="521C0C3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190DC3C5"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 </w:t>
            </w:r>
          </w:p>
        </w:tc>
        <w:tc>
          <w:tcPr>
            <w:tcW w:w="2554" w:type="dxa"/>
            <w:tcBorders>
              <w:top w:val="nil"/>
              <w:left w:val="nil"/>
              <w:bottom w:val="single" w:sz="4" w:space="0" w:color="auto"/>
              <w:right w:val="single" w:sz="4" w:space="0" w:color="auto"/>
            </w:tcBorders>
            <w:noWrap/>
            <w:vAlign w:val="center"/>
          </w:tcPr>
          <w:p w14:paraId="401C26F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741E389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314D70D"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0-11 Months</w:t>
            </w:r>
          </w:p>
        </w:tc>
        <w:tc>
          <w:tcPr>
            <w:tcW w:w="1767" w:type="dxa"/>
            <w:tcBorders>
              <w:top w:val="nil"/>
              <w:left w:val="nil"/>
              <w:bottom w:val="single" w:sz="4" w:space="0" w:color="auto"/>
              <w:right w:val="single" w:sz="4" w:space="0" w:color="auto"/>
            </w:tcBorders>
            <w:shd w:val="clear" w:color="000000" w:fill="FFFFFF"/>
            <w:noWrap/>
            <w:vAlign w:val="center"/>
          </w:tcPr>
          <w:p w14:paraId="318B01D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44,493 (20)</w:t>
            </w:r>
          </w:p>
        </w:tc>
        <w:tc>
          <w:tcPr>
            <w:tcW w:w="1384" w:type="dxa"/>
            <w:tcBorders>
              <w:top w:val="nil"/>
              <w:left w:val="nil"/>
              <w:bottom w:val="single" w:sz="4" w:space="0" w:color="auto"/>
              <w:right w:val="single" w:sz="4" w:space="0" w:color="auto"/>
            </w:tcBorders>
            <w:vAlign w:val="center"/>
          </w:tcPr>
          <w:p w14:paraId="3CD34397"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1489 (3.35)</w:t>
            </w:r>
          </w:p>
        </w:tc>
        <w:tc>
          <w:tcPr>
            <w:tcW w:w="2554" w:type="dxa"/>
            <w:tcBorders>
              <w:top w:val="nil"/>
              <w:left w:val="nil"/>
              <w:bottom w:val="single" w:sz="4" w:space="0" w:color="auto"/>
              <w:right w:val="single" w:sz="4" w:space="0" w:color="auto"/>
            </w:tcBorders>
            <w:noWrap/>
            <w:vAlign w:val="center"/>
          </w:tcPr>
          <w:p w14:paraId="0FD4DC90"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28D5592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66D95C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12-23 Months</w:t>
            </w:r>
          </w:p>
        </w:tc>
        <w:tc>
          <w:tcPr>
            <w:tcW w:w="1767" w:type="dxa"/>
            <w:tcBorders>
              <w:top w:val="nil"/>
              <w:left w:val="nil"/>
              <w:bottom w:val="single" w:sz="4" w:space="0" w:color="auto"/>
              <w:right w:val="single" w:sz="4" w:space="0" w:color="auto"/>
            </w:tcBorders>
            <w:shd w:val="clear" w:color="000000" w:fill="FFFFFF"/>
            <w:noWrap/>
            <w:vAlign w:val="center"/>
          </w:tcPr>
          <w:p w14:paraId="7517D1A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43,247 (19.5)</w:t>
            </w:r>
          </w:p>
        </w:tc>
        <w:tc>
          <w:tcPr>
            <w:tcW w:w="1384" w:type="dxa"/>
            <w:tcBorders>
              <w:top w:val="nil"/>
              <w:left w:val="nil"/>
              <w:bottom w:val="single" w:sz="4" w:space="0" w:color="auto"/>
              <w:right w:val="single" w:sz="4" w:space="0" w:color="auto"/>
            </w:tcBorders>
            <w:vAlign w:val="center"/>
          </w:tcPr>
          <w:p w14:paraId="2DD1DB4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1429 (3.31)</w:t>
            </w:r>
          </w:p>
        </w:tc>
        <w:tc>
          <w:tcPr>
            <w:tcW w:w="2554" w:type="dxa"/>
            <w:tcBorders>
              <w:top w:val="nil"/>
              <w:left w:val="nil"/>
              <w:bottom w:val="single" w:sz="4" w:space="0" w:color="auto"/>
              <w:right w:val="single" w:sz="4" w:space="0" w:color="auto"/>
            </w:tcBorders>
            <w:noWrap/>
            <w:vAlign w:val="center"/>
          </w:tcPr>
          <w:p w14:paraId="66D5882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1.02 (0.94-1.1)</w:t>
            </w:r>
          </w:p>
        </w:tc>
      </w:tr>
      <w:tr w:rsidR="00A3335E" w:rsidRPr="00DB3E4F" w14:paraId="41D8D2F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BCAC36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24-35 Months</w:t>
            </w:r>
          </w:p>
        </w:tc>
        <w:tc>
          <w:tcPr>
            <w:tcW w:w="1767" w:type="dxa"/>
            <w:tcBorders>
              <w:top w:val="nil"/>
              <w:left w:val="nil"/>
              <w:bottom w:val="single" w:sz="4" w:space="0" w:color="auto"/>
              <w:right w:val="single" w:sz="4" w:space="0" w:color="auto"/>
            </w:tcBorders>
            <w:shd w:val="clear" w:color="000000" w:fill="FFFFFF"/>
            <w:noWrap/>
            <w:vAlign w:val="center"/>
          </w:tcPr>
          <w:p w14:paraId="4CB6244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43,916 (19.8)</w:t>
            </w:r>
          </w:p>
        </w:tc>
        <w:tc>
          <w:tcPr>
            <w:tcW w:w="1384" w:type="dxa"/>
            <w:tcBorders>
              <w:top w:val="nil"/>
              <w:left w:val="nil"/>
              <w:bottom w:val="single" w:sz="4" w:space="0" w:color="auto"/>
              <w:right w:val="single" w:sz="4" w:space="0" w:color="auto"/>
            </w:tcBorders>
            <w:vAlign w:val="center"/>
          </w:tcPr>
          <w:p w14:paraId="029A6893"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1193 (2.72)</w:t>
            </w:r>
          </w:p>
        </w:tc>
        <w:tc>
          <w:tcPr>
            <w:tcW w:w="2554" w:type="dxa"/>
            <w:tcBorders>
              <w:top w:val="nil"/>
              <w:left w:val="nil"/>
              <w:bottom w:val="single" w:sz="4" w:space="0" w:color="auto"/>
              <w:right w:val="single" w:sz="4" w:space="0" w:color="auto"/>
            </w:tcBorders>
            <w:noWrap/>
            <w:vAlign w:val="center"/>
          </w:tcPr>
          <w:p w14:paraId="78AA8C6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0.89 (0.82-0.96) **</w:t>
            </w:r>
          </w:p>
        </w:tc>
      </w:tr>
      <w:tr w:rsidR="00A3335E" w:rsidRPr="00DB3E4F" w14:paraId="4BE619FC"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6230BA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36 to 47 Months</w:t>
            </w:r>
          </w:p>
        </w:tc>
        <w:tc>
          <w:tcPr>
            <w:tcW w:w="1767" w:type="dxa"/>
            <w:tcBorders>
              <w:top w:val="nil"/>
              <w:left w:val="nil"/>
              <w:bottom w:val="single" w:sz="4" w:space="0" w:color="auto"/>
              <w:right w:val="single" w:sz="4" w:space="0" w:color="auto"/>
            </w:tcBorders>
            <w:shd w:val="clear" w:color="000000" w:fill="FFFFFF"/>
            <w:noWrap/>
            <w:vAlign w:val="center"/>
          </w:tcPr>
          <w:p w14:paraId="7982D40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44,075 (19.8)</w:t>
            </w:r>
          </w:p>
        </w:tc>
        <w:tc>
          <w:tcPr>
            <w:tcW w:w="1384" w:type="dxa"/>
            <w:tcBorders>
              <w:top w:val="nil"/>
              <w:left w:val="nil"/>
              <w:bottom w:val="single" w:sz="4" w:space="0" w:color="auto"/>
              <w:right w:val="single" w:sz="4" w:space="0" w:color="auto"/>
            </w:tcBorders>
            <w:vAlign w:val="center"/>
          </w:tcPr>
          <w:p w14:paraId="2B0D83B0"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1104 (2.51)</w:t>
            </w:r>
          </w:p>
        </w:tc>
        <w:tc>
          <w:tcPr>
            <w:tcW w:w="2554" w:type="dxa"/>
            <w:tcBorders>
              <w:top w:val="nil"/>
              <w:left w:val="nil"/>
              <w:bottom w:val="single" w:sz="4" w:space="0" w:color="auto"/>
              <w:right w:val="single" w:sz="4" w:space="0" w:color="auto"/>
            </w:tcBorders>
            <w:noWrap/>
            <w:vAlign w:val="center"/>
          </w:tcPr>
          <w:p w14:paraId="4081BAB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0.86 (0.79-0.93) ***</w:t>
            </w:r>
          </w:p>
        </w:tc>
      </w:tr>
      <w:tr w:rsidR="00A3335E" w:rsidRPr="00DB3E4F" w14:paraId="23B06E4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57FC84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48 to 59 Months</w:t>
            </w:r>
          </w:p>
        </w:tc>
        <w:tc>
          <w:tcPr>
            <w:tcW w:w="1767" w:type="dxa"/>
            <w:tcBorders>
              <w:top w:val="nil"/>
              <w:left w:val="nil"/>
              <w:bottom w:val="single" w:sz="4" w:space="0" w:color="auto"/>
              <w:right w:val="single" w:sz="4" w:space="0" w:color="auto"/>
            </w:tcBorders>
            <w:shd w:val="clear" w:color="000000" w:fill="FFFFFF"/>
            <w:noWrap/>
            <w:vAlign w:val="center"/>
          </w:tcPr>
          <w:p w14:paraId="2232ABE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46,503 (20.9)</w:t>
            </w:r>
          </w:p>
        </w:tc>
        <w:tc>
          <w:tcPr>
            <w:tcW w:w="1384" w:type="dxa"/>
            <w:tcBorders>
              <w:top w:val="nil"/>
              <w:left w:val="nil"/>
              <w:bottom w:val="single" w:sz="4" w:space="0" w:color="auto"/>
              <w:right w:val="single" w:sz="4" w:space="0" w:color="auto"/>
            </w:tcBorders>
            <w:vAlign w:val="center"/>
          </w:tcPr>
          <w:p w14:paraId="0CF87BA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983 (2.12)</w:t>
            </w:r>
          </w:p>
        </w:tc>
        <w:tc>
          <w:tcPr>
            <w:tcW w:w="2554" w:type="dxa"/>
            <w:tcBorders>
              <w:top w:val="nil"/>
              <w:left w:val="nil"/>
              <w:bottom w:val="single" w:sz="4" w:space="0" w:color="auto"/>
              <w:right w:val="single" w:sz="4" w:space="0" w:color="auto"/>
            </w:tcBorders>
            <w:noWrap/>
            <w:vAlign w:val="center"/>
          </w:tcPr>
          <w:p w14:paraId="33AD8AB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0.77 (0.71-0.84) ***</w:t>
            </w:r>
          </w:p>
        </w:tc>
      </w:tr>
      <w:tr w:rsidR="00A3335E" w:rsidRPr="00DB3E4F" w14:paraId="259971EA"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2831F56"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Child weight during birth</w:t>
            </w:r>
          </w:p>
        </w:tc>
        <w:tc>
          <w:tcPr>
            <w:tcW w:w="1767" w:type="dxa"/>
            <w:tcBorders>
              <w:top w:val="nil"/>
              <w:left w:val="nil"/>
              <w:bottom w:val="single" w:sz="4" w:space="0" w:color="auto"/>
              <w:right w:val="single" w:sz="4" w:space="0" w:color="auto"/>
            </w:tcBorders>
            <w:noWrap/>
            <w:vAlign w:val="center"/>
          </w:tcPr>
          <w:p w14:paraId="3B561104"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6FD79A12"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3D3E99A7"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2BE8AAD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AB3D41C"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Low birth weight (&lt;2.50 Kg)</w:t>
            </w:r>
          </w:p>
        </w:tc>
        <w:tc>
          <w:tcPr>
            <w:tcW w:w="1767" w:type="dxa"/>
            <w:tcBorders>
              <w:top w:val="nil"/>
              <w:left w:val="nil"/>
              <w:bottom w:val="single" w:sz="4" w:space="0" w:color="auto"/>
              <w:right w:val="single" w:sz="4" w:space="0" w:color="auto"/>
            </w:tcBorders>
            <w:shd w:val="clear" w:color="000000" w:fill="FFFFFF"/>
            <w:noWrap/>
            <w:vAlign w:val="center"/>
          </w:tcPr>
          <w:p w14:paraId="2FDCEF32"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35,939 (16.2)</w:t>
            </w:r>
          </w:p>
        </w:tc>
        <w:tc>
          <w:tcPr>
            <w:tcW w:w="1384" w:type="dxa"/>
            <w:tcBorders>
              <w:top w:val="nil"/>
              <w:left w:val="nil"/>
              <w:bottom w:val="single" w:sz="4" w:space="0" w:color="auto"/>
              <w:right w:val="single" w:sz="4" w:space="0" w:color="auto"/>
            </w:tcBorders>
            <w:vAlign w:val="center"/>
          </w:tcPr>
          <w:p w14:paraId="49D10D6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1142 (3.18)</w:t>
            </w:r>
          </w:p>
        </w:tc>
        <w:tc>
          <w:tcPr>
            <w:tcW w:w="2554" w:type="dxa"/>
            <w:tcBorders>
              <w:top w:val="nil"/>
              <w:left w:val="nil"/>
              <w:bottom w:val="single" w:sz="4" w:space="0" w:color="auto"/>
              <w:right w:val="single" w:sz="4" w:space="0" w:color="auto"/>
            </w:tcBorders>
            <w:noWrap/>
            <w:vAlign w:val="center"/>
          </w:tcPr>
          <w:p w14:paraId="73FC2A1E"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59EFE19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7EF1AAE"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Normal (&gt;2.50 Kg)</w:t>
            </w:r>
          </w:p>
        </w:tc>
        <w:tc>
          <w:tcPr>
            <w:tcW w:w="1767" w:type="dxa"/>
            <w:tcBorders>
              <w:top w:val="nil"/>
              <w:left w:val="nil"/>
              <w:bottom w:val="single" w:sz="4" w:space="0" w:color="auto"/>
              <w:right w:val="single" w:sz="4" w:space="0" w:color="auto"/>
            </w:tcBorders>
            <w:shd w:val="clear" w:color="000000" w:fill="FFFFFF"/>
            <w:noWrap/>
            <w:vAlign w:val="center"/>
          </w:tcPr>
          <w:p w14:paraId="4ADF428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1,67,149 (75.2)</w:t>
            </w:r>
          </w:p>
        </w:tc>
        <w:tc>
          <w:tcPr>
            <w:tcW w:w="1384" w:type="dxa"/>
            <w:tcBorders>
              <w:top w:val="nil"/>
              <w:left w:val="nil"/>
              <w:bottom w:val="single" w:sz="4" w:space="0" w:color="auto"/>
              <w:right w:val="single" w:sz="4" w:space="0" w:color="auto"/>
            </w:tcBorders>
            <w:vAlign w:val="center"/>
          </w:tcPr>
          <w:p w14:paraId="720718A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4446 (2.66)</w:t>
            </w:r>
          </w:p>
        </w:tc>
        <w:tc>
          <w:tcPr>
            <w:tcW w:w="2554" w:type="dxa"/>
            <w:tcBorders>
              <w:top w:val="nil"/>
              <w:left w:val="nil"/>
              <w:bottom w:val="single" w:sz="4" w:space="0" w:color="auto"/>
              <w:right w:val="single" w:sz="4" w:space="0" w:color="auto"/>
            </w:tcBorders>
            <w:noWrap/>
            <w:vAlign w:val="center"/>
          </w:tcPr>
          <w:p w14:paraId="154A2EB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 (0.84-0.96) **</w:t>
            </w:r>
          </w:p>
        </w:tc>
      </w:tr>
      <w:tr w:rsidR="00A3335E" w:rsidRPr="00DB3E4F" w14:paraId="58FB82A0"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62AE9BB9"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Not weighed at birth/don’t know</w:t>
            </w:r>
          </w:p>
        </w:tc>
        <w:tc>
          <w:tcPr>
            <w:tcW w:w="1767" w:type="dxa"/>
            <w:tcBorders>
              <w:top w:val="nil"/>
              <w:left w:val="nil"/>
              <w:bottom w:val="single" w:sz="4" w:space="0" w:color="auto"/>
              <w:right w:val="single" w:sz="4" w:space="0" w:color="auto"/>
            </w:tcBorders>
            <w:shd w:val="clear" w:color="000000" w:fill="FFFFFF"/>
            <w:noWrap/>
            <w:vAlign w:val="center"/>
          </w:tcPr>
          <w:p w14:paraId="5F98ECA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19,145 (8.6)</w:t>
            </w:r>
          </w:p>
        </w:tc>
        <w:tc>
          <w:tcPr>
            <w:tcW w:w="1384" w:type="dxa"/>
            <w:tcBorders>
              <w:top w:val="nil"/>
              <w:left w:val="nil"/>
              <w:bottom w:val="single" w:sz="4" w:space="0" w:color="auto"/>
              <w:right w:val="single" w:sz="4" w:space="0" w:color="auto"/>
            </w:tcBorders>
            <w:vAlign w:val="center"/>
          </w:tcPr>
          <w:p w14:paraId="08BCE5A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609 (3.19)</w:t>
            </w:r>
          </w:p>
        </w:tc>
        <w:tc>
          <w:tcPr>
            <w:tcW w:w="2554" w:type="dxa"/>
            <w:tcBorders>
              <w:top w:val="nil"/>
              <w:left w:val="nil"/>
              <w:bottom w:val="single" w:sz="4" w:space="0" w:color="auto"/>
              <w:right w:val="single" w:sz="4" w:space="0" w:color="auto"/>
            </w:tcBorders>
            <w:noWrap/>
            <w:vAlign w:val="center"/>
          </w:tcPr>
          <w:p w14:paraId="51C3A0C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0.83 (0.75-0.93) **</w:t>
            </w:r>
          </w:p>
        </w:tc>
      </w:tr>
      <w:tr w:rsidR="00A3335E" w:rsidRPr="00DB3E4F" w14:paraId="19A1653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3CF24E4"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Child’s birth order</w:t>
            </w:r>
          </w:p>
        </w:tc>
        <w:tc>
          <w:tcPr>
            <w:tcW w:w="1767" w:type="dxa"/>
            <w:tcBorders>
              <w:top w:val="nil"/>
              <w:left w:val="nil"/>
              <w:bottom w:val="single" w:sz="4" w:space="0" w:color="auto"/>
              <w:right w:val="single" w:sz="4" w:space="0" w:color="auto"/>
            </w:tcBorders>
            <w:noWrap/>
            <w:vAlign w:val="center"/>
          </w:tcPr>
          <w:p w14:paraId="7CC726D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7F297159"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73EE578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7336122F"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FB489E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 xml:space="preserve">Less than 3 </w:t>
            </w:r>
          </w:p>
        </w:tc>
        <w:tc>
          <w:tcPr>
            <w:tcW w:w="1767" w:type="dxa"/>
            <w:tcBorders>
              <w:top w:val="nil"/>
              <w:left w:val="nil"/>
              <w:bottom w:val="single" w:sz="4" w:space="0" w:color="auto"/>
              <w:right w:val="single" w:sz="4" w:space="0" w:color="auto"/>
            </w:tcBorders>
            <w:shd w:val="clear" w:color="000000" w:fill="FFFFFF"/>
            <w:noWrap/>
            <w:vAlign w:val="center"/>
          </w:tcPr>
          <w:p w14:paraId="2C1A5E9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1,62,289 (73)</w:t>
            </w:r>
          </w:p>
        </w:tc>
        <w:tc>
          <w:tcPr>
            <w:tcW w:w="1384" w:type="dxa"/>
            <w:tcBorders>
              <w:top w:val="nil"/>
              <w:left w:val="nil"/>
              <w:bottom w:val="single" w:sz="4" w:space="0" w:color="auto"/>
              <w:right w:val="single" w:sz="4" w:space="0" w:color="auto"/>
            </w:tcBorders>
            <w:vAlign w:val="center"/>
          </w:tcPr>
          <w:p w14:paraId="0AABCF9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4383 (2.71)</w:t>
            </w:r>
          </w:p>
        </w:tc>
        <w:tc>
          <w:tcPr>
            <w:tcW w:w="2554" w:type="dxa"/>
            <w:tcBorders>
              <w:top w:val="nil"/>
              <w:left w:val="nil"/>
              <w:bottom w:val="single" w:sz="4" w:space="0" w:color="auto"/>
              <w:right w:val="single" w:sz="4" w:space="0" w:color="auto"/>
            </w:tcBorders>
            <w:noWrap/>
            <w:vAlign w:val="center"/>
          </w:tcPr>
          <w:p w14:paraId="7C480D60"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1023B55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7C648E1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3 and above</w:t>
            </w:r>
          </w:p>
        </w:tc>
        <w:tc>
          <w:tcPr>
            <w:tcW w:w="1767" w:type="dxa"/>
            <w:tcBorders>
              <w:top w:val="nil"/>
              <w:left w:val="nil"/>
              <w:bottom w:val="single" w:sz="4" w:space="0" w:color="auto"/>
              <w:right w:val="single" w:sz="4" w:space="0" w:color="auto"/>
            </w:tcBorders>
            <w:shd w:val="clear" w:color="000000" w:fill="FFFFFF"/>
            <w:noWrap/>
            <w:vAlign w:val="center"/>
          </w:tcPr>
          <w:p w14:paraId="38ABA2F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59,944 (27)</w:t>
            </w:r>
          </w:p>
        </w:tc>
        <w:tc>
          <w:tcPr>
            <w:tcW w:w="1384" w:type="dxa"/>
            <w:tcBorders>
              <w:top w:val="nil"/>
              <w:left w:val="nil"/>
              <w:bottom w:val="single" w:sz="4" w:space="0" w:color="auto"/>
              <w:right w:val="single" w:sz="4" w:space="0" w:color="auto"/>
            </w:tcBorders>
            <w:vAlign w:val="center"/>
          </w:tcPr>
          <w:p w14:paraId="2B975710"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1815 (3.03)</w:t>
            </w:r>
          </w:p>
        </w:tc>
        <w:tc>
          <w:tcPr>
            <w:tcW w:w="2554" w:type="dxa"/>
            <w:tcBorders>
              <w:top w:val="nil"/>
              <w:left w:val="nil"/>
              <w:bottom w:val="single" w:sz="4" w:space="0" w:color="auto"/>
              <w:right w:val="single" w:sz="4" w:space="0" w:color="auto"/>
            </w:tcBorders>
            <w:noWrap/>
            <w:vAlign w:val="center"/>
          </w:tcPr>
          <w:p w14:paraId="67F3D44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1.06 (0.99-1.13)</w:t>
            </w:r>
          </w:p>
        </w:tc>
      </w:tr>
      <w:tr w:rsidR="00A3335E" w:rsidRPr="00DB3E4F" w14:paraId="432A456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4F05C4A"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Child nutrition status</w:t>
            </w:r>
          </w:p>
        </w:tc>
        <w:tc>
          <w:tcPr>
            <w:tcW w:w="1767" w:type="dxa"/>
            <w:tcBorders>
              <w:top w:val="nil"/>
              <w:left w:val="nil"/>
              <w:bottom w:val="single" w:sz="4" w:space="0" w:color="auto"/>
              <w:right w:val="single" w:sz="4" w:space="0" w:color="auto"/>
            </w:tcBorders>
            <w:noWrap/>
            <w:vAlign w:val="center"/>
          </w:tcPr>
          <w:p w14:paraId="541157A0"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85B7FAC"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293DCE90"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DD6228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7B63BA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Normal</w:t>
            </w:r>
          </w:p>
        </w:tc>
        <w:tc>
          <w:tcPr>
            <w:tcW w:w="1767" w:type="dxa"/>
            <w:tcBorders>
              <w:top w:val="nil"/>
              <w:left w:val="nil"/>
              <w:bottom w:val="single" w:sz="4" w:space="0" w:color="auto"/>
              <w:right w:val="single" w:sz="4" w:space="0" w:color="auto"/>
            </w:tcBorders>
            <w:shd w:val="clear" w:color="000000" w:fill="FFFFFF"/>
            <w:noWrap/>
            <w:vAlign w:val="center"/>
          </w:tcPr>
          <w:p w14:paraId="351AE2A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1,39,995 (63)</w:t>
            </w:r>
          </w:p>
        </w:tc>
        <w:tc>
          <w:tcPr>
            <w:tcW w:w="1384" w:type="dxa"/>
            <w:tcBorders>
              <w:top w:val="nil"/>
              <w:left w:val="nil"/>
              <w:bottom w:val="single" w:sz="4" w:space="0" w:color="auto"/>
              <w:right w:val="single" w:sz="4" w:space="0" w:color="auto"/>
            </w:tcBorders>
            <w:vAlign w:val="center"/>
          </w:tcPr>
          <w:p w14:paraId="63755BCF"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3916 (2.8)</w:t>
            </w:r>
          </w:p>
        </w:tc>
        <w:tc>
          <w:tcPr>
            <w:tcW w:w="2554" w:type="dxa"/>
            <w:tcBorders>
              <w:top w:val="nil"/>
              <w:left w:val="nil"/>
              <w:bottom w:val="single" w:sz="4" w:space="0" w:color="auto"/>
              <w:right w:val="single" w:sz="4" w:space="0" w:color="auto"/>
            </w:tcBorders>
            <w:noWrap/>
            <w:vAlign w:val="center"/>
          </w:tcPr>
          <w:p w14:paraId="284FF0D0"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7A3B2CEF"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AF722AE"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Underweight</w:t>
            </w:r>
          </w:p>
        </w:tc>
        <w:tc>
          <w:tcPr>
            <w:tcW w:w="1767" w:type="dxa"/>
            <w:tcBorders>
              <w:top w:val="nil"/>
              <w:left w:val="nil"/>
              <w:bottom w:val="single" w:sz="4" w:space="0" w:color="auto"/>
              <w:right w:val="single" w:sz="4" w:space="0" w:color="auto"/>
            </w:tcBorders>
            <w:shd w:val="clear" w:color="000000" w:fill="FFFFFF"/>
            <w:noWrap/>
            <w:vAlign w:val="center"/>
          </w:tcPr>
          <w:p w14:paraId="35FA494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44,232 (19.9)</w:t>
            </w:r>
          </w:p>
        </w:tc>
        <w:tc>
          <w:tcPr>
            <w:tcW w:w="1384" w:type="dxa"/>
            <w:tcBorders>
              <w:top w:val="nil"/>
              <w:left w:val="nil"/>
              <w:bottom w:val="single" w:sz="4" w:space="0" w:color="auto"/>
              <w:right w:val="single" w:sz="4" w:space="0" w:color="auto"/>
            </w:tcBorders>
            <w:vAlign w:val="center"/>
          </w:tcPr>
          <w:p w14:paraId="5DDACB83"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1288 (2.92)</w:t>
            </w:r>
          </w:p>
        </w:tc>
        <w:tc>
          <w:tcPr>
            <w:tcW w:w="2554" w:type="dxa"/>
            <w:tcBorders>
              <w:top w:val="nil"/>
              <w:left w:val="nil"/>
              <w:bottom w:val="single" w:sz="4" w:space="0" w:color="auto"/>
              <w:right w:val="single" w:sz="4" w:space="0" w:color="auto"/>
            </w:tcBorders>
            <w:noWrap/>
            <w:vAlign w:val="center"/>
          </w:tcPr>
          <w:p w14:paraId="2DBE57CD"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1.01 (0.94-1.08)</w:t>
            </w:r>
          </w:p>
        </w:tc>
      </w:tr>
      <w:tr w:rsidR="00A3335E" w:rsidRPr="00DB3E4F" w14:paraId="3118A9D0"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B37C86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Severely Underweight</w:t>
            </w:r>
          </w:p>
        </w:tc>
        <w:tc>
          <w:tcPr>
            <w:tcW w:w="1767" w:type="dxa"/>
            <w:tcBorders>
              <w:top w:val="nil"/>
              <w:left w:val="nil"/>
              <w:bottom w:val="single" w:sz="4" w:space="0" w:color="auto"/>
              <w:right w:val="single" w:sz="4" w:space="0" w:color="auto"/>
            </w:tcBorders>
            <w:shd w:val="clear" w:color="000000" w:fill="FFFFFF"/>
            <w:noWrap/>
            <w:vAlign w:val="center"/>
          </w:tcPr>
          <w:p w14:paraId="360F1F4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21,885 (9.8)</w:t>
            </w:r>
          </w:p>
        </w:tc>
        <w:tc>
          <w:tcPr>
            <w:tcW w:w="1384" w:type="dxa"/>
            <w:tcBorders>
              <w:top w:val="nil"/>
              <w:left w:val="nil"/>
              <w:bottom w:val="single" w:sz="4" w:space="0" w:color="auto"/>
              <w:right w:val="single" w:sz="4" w:space="0" w:color="auto"/>
            </w:tcBorders>
            <w:vAlign w:val="center"/>
          </w:tcPr>
          <w:p w14:paraId="7D30ED0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690 (3.16)</w:t>
            </w:r>
          </w:p>
        </w:tc>
        <w:tc>
          <w:tcPr>
            <w:tcW w:w="2554" w:type="dxa"/>
            <w:tcBorders>
              <w:top w:val="nil"/>
              <w:left w:val="nil"/>
              <w:bottom w:val="single" w:sz="4" w:space="0" w:color="auto"/>
              <w:right w:val="single" w:sz="4" w:space="0" w:color="auto"/>
            </w:tcBorders>
            <w:noWrap/>
            <w:vAlign w:val="center"/>
          </w:tcPr>
          <w:p w14:paraId="5901B20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1.08 (1.02-1.18) *</w:t>
            </w:r>
          </w:p>
        </w:tc>
      </w:tr>
      <w:tr w:rsidR="00A3335E" w:rsidRPr="00DB3E4F" w14:paraId="5F2E3C52"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1A376B8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Missing</w:t>
            </w:r>
          </w:p>
        </w:tc>
        <w:tc>
          <w:tcPr>
            <w:tcW w:w="1767" w:type="dxa"/>
            <w:tcBorders>
              <w:top w:val="nil"/>
              <w:left w:val="nil"/>
              <w:bottom w:val="single" w:sz="4" w:space="0" w:color="auto"/>
              <w:right w:val="single" w:sz="4" w:space="0" w:color="auto"/>
            </w:tcBorders>
            <w:shd w:val="clear" w:color="000000" w:fill="FFFFFF"/>
            <w:noWrap/>
            <w:vAlign w:val="center"/>
          </w:tcPr>
          <w:p w14:paraId="5B24E12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16,120 (7.3)</w:t>
            </w:r>
          </w:p>
        </w:tc>
        <w:tc>
          <w:tcPr>
            <w:tcW w:w="1384" w:type="dxa"/>
            <w:tcBorders>
              <w:top w:val="nil"/>
              <w:left w:val="nil"/>
              <w:bottom w:val="single" w:sz="4" w:space="0" w:color="auto"/>
              <w:right w:val="single" w:sz="4" w:space="0" w:color="auto"/>
            </w:tcBorders>
            <w:vAlign w:val="center"/>
          </w:tcPr>
          <w:p w14:paraId="30DE571B"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304 (1.89)</w:t>
            </w:r>
          </w:p>
        </w:tc>
        <w:tc>
          <w:tcPr>
            <w:tcW w:w="2554" w:type="dxa"/>
            <w:tcBorders>
              <w:top w:val="nil"/>
              <w:left w:val="nil"/>
              <w:bottom w:val="single" w:sz="4" w:space="0" w:color="auto"/>
              <w:right w:val="single" w:sz="4" w:space="0" w:color="auto"/>
            </w:tcBorders>
            <w:noWrap/>
            <w:vAlign w:val="center"/>
          </w:tcPr>
          <w:p w14:paraId="5CC07AA7"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0.8 (0.7-0.90) ***</w:t>
            </w:r>
          </w:p>
        </w:tc>
      </w:tr>
      <w:tr w:rsidR="00A3335E" w:rsidRPr="00DB3E4F" w14:paraId="4AE86C19"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BCD05F6"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Whether child had diarrhoea</w:t>
            </w:r>
          </w:p>
        </w:tc>
        <w:tc>
          <w:tcPr>
            <w:tcW w:w="1767" w:type="dxa"/>
            <w:tcBorders>
              <w:top w:val="nil"/>
              <w:left w:val="nil"/>
              <w:bottom w:val="single" w:sz="4" w:space="0" w:color="auto"/>
              <w:right w:val="single" w:sz="4" w:space="0" w:color="auto"/>
            </w:tcBorders>
            <w:noWrap/>
            <w:vAlign w:val="center"/>
          </w:tcPr>
          <w:p w14:paraId="536A5E9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2BCD2B4"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10EC0E2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3AFDF3F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187EB2D"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w:t>
            </w:r>
          </w:p>
        </w:tc>
        <w:tc>
          <w:tcPr>
            <w:tcW w:w="1767" w:type="dxa"/>
            <w:tcBorders>
              <w:top w:val="nil"/>
              <w:left w:val="nil"/>
              <w:bottom w:val="single" w:sz="4" w:space="0" w:color="auto"/>
              <w:right w:val="single" w:sz="4" w:space="0" w:color="auto"/>
            </w:tcBorders>
            <w:shd w:val="clear" w:color="000000" w:fill="FFFFFF"/>
            <w:noWrap/>
            <w:vAlign w:val="center"/>
          </w:tcPr>
          <w:p w14:paraId="6655ECF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2,06,020 (92.7)</w:t>
            </w:r>
          </w:p>
        </w:tc>
        <w:tc>
          <w:tcPr>
            <w:tcW w:w="1384" w:type="dxa"/>
            <w:tcBorders>
              <w:top w:val="nil"/>
              <w:left w:val="nil"/>
              <w:bottom w:val="single" w:sz="4" w:space="0" w:color="auto"/>
              <w:right w:val="single" w:sz="4" w:space="0" w:color="auto"/>
            </w:tcBorders>
            <w:vAlign w:val="center"/>
          </w:tcPr>
          <w:p w14:paraId="0971CFB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4812 (2.34)</w:t>
            </w:r>
          </w:p>
        </w:tc>
        <w:tc>
          <w:tcPr>
            <w:tcW w:w="2554" w:type="dxa"/>
            <w:tcBorders>
              <w:top w:val="nil"/>
              <w:left w:val="nil"/>
              <w:bottom w:val="single" w:sz="4" w:space="0" w:color="auto"/>
              <w:right w:val="single" w:sz="4" w:space="0" w:color="auto"/>
            </w:tcBorders>
            <w:noWrap/>
            <w:vAlign w:val="center"/>
          </w:tcPr>
          <w:p w14:paraId="6E39D06E"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210484F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3B8502B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Yes</w:t>
            </w:r>
          </w:p>
        </w:tc>
        <w:tc>
          <w:tcPr>
            <w:tcW w:w="1767" w:type="dxa"/>
            <w:tcBorders>
              <w:top w:val="nil"/>
              <w:left w:val="nil"/>
              <w:bottom w:val="single" w:sz="4" w:space="0" w:color="auto"/>
              <w:right w:val="single" w:sz="4" w:space="0" w:color="auto"/>
            </w:tcBorders>
            <w:shd w:val="clear" w:color="000000" w:fill="FFFFFF"/>
            <w:noWrap/>
            <w:vAlign w:val="center"/>
          </w:tcPr>
          <w:p w14:paraId="78C5812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16,213 (7.3)</w:t>
            </w:r>
          </w:p>
        </w:tc>
        <w:tc>
          <w:tcPr>
            <w:tcW w:w="1384" w:type="dxa"/>
            <w:tcBorders>
              <w:top w:val="nil"/>
              <w:left w:val="nil"/>
              <w:bottom w:val="single" w:sz="4" w:space="0" w:color="auto"/>
              <w:right w:val="single" w:sz="4" w:space="0" w:color="auto"/>
            </w:tcBorders>
            <w:vAlign w:val="center"/>
          </w:tcPr>
          <w:p w14:paraId="4BF916E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1386 (8.55)</w:t>
            </w:r>
          </w:p>
        </w:tc>
        <w:tc>
          <w:tcPr>
            <w:tcW w:w="2554" w:type="dxa"/>
            <w:tcBorders>
              <w:top w:val="nil"/>
              <w:left w:val="nil"/>
              <w:bottom w:val="single" w:sz="4" w:space="0" w:color="auto"/>
              <w:right w:val="single" w:sz="4" w:space="0" w:color="auto"/>
            </w:tcBorders>
            <w:noWrap/>
            <w:vAlign w:val="center"/>
          </w:tcPr>
          <w:p w14:paraId="2DF166E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3.76 (3.52-4.02) ***</w:t>
            </w:r>
          </w:p>
        </w:tc>
      </w:tr>
      <w:tr w:rsidR="00A3335E" w:rsidRPr="00DB3E4F" w14:paraId="789D993B"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56E5059"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E. Other Characteristic  </w:t>
            </w:r>
          </w:p>
        </w:tc>
        <w:tc>
          <w:tcPr>
            <w:tcW w:w="1767" w:type="dxa"/>
            <w:tcBorders>
              <w:top w:val="nil"/>
              <w:left w:val="nil"/>
              <w:bottom w:val="single" w:sz="4" w:space="0" w:color="auto"/>
              <w:right w:val="single" w:sz="4" w:space="0" w:color="auto"/>
            </w:tcBorders>
            <w:noWrap/>
            <w:vAlign w:val="center"/>
          </w:tcPr>
          <w:p w14:paraId="340D44E5"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p>
        </w:tc>
        <w:tc>
          <w:tcPr>
            <w:tcW w:w="1384" w:type="dxa"/>
            <w:tcBorders>
              <w:top w:val="nil"/>
              <w:left w:val="nil"/>
              <w:bottom w:val="single" w:sz="4" w:space="0" w:color="auto"/>
              <w:right w:val="single" w:sz="4" w:space="0" w:color="auto"/>
            </w:tcBorders>
            <w:noWrap/>
            <w:vAlign w:val="bottom"/>
          </w:tcPr>
          <w:p w14:paraId="7C18C18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left w:val="nil"/>
              <w:bottom w:val="single" w:sz="4" w:space="0" w:color="auto"/>
              <w:right w:val="single" w:sz="4" w:space="0" w:color="auto"/>
            </w:tcBorders>
            <w:noWrap/>
            <w:vAlign w:val="center"/>
          </w:tcPr>
          <w:p w14:paraId="5CC47A88"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01466DC5"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10C66DE"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Regions in India </w:t>
            </w:r>
          </w:p>
        </w:tc>
        <w:tc>
          <w:tcPr>
            <w:tcW w:w="1767" w:type="dxa"/>
            <w:tcBorders>
              <w:top w:val="nil"/>
              <w:left w:val="nil"/>
              <w:bottom w:val="single" w:sz="4" w:space="0" w:color="auto"/>
              <w:right w:val="single" w:sz="4" w:space="0" w:color="auto"/>
            </w:tcBorders>
            <w:noWrap/>
            <w:vAlign w:val="center"/>
          </w:tcPr>
          <w:p w14:paraId="63D324F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left w:val="nil"/>
              <w:bottom w:val="single" w:sz="4" w:space="0" w:color="auto"/>
              <w:right w:val="single" w:sz="4" w:space="0" w:color="auto"/>
            </w:tcBorders>
            <w:vAlign w:val="center"/>
          </w:tcPr>
          <w:p w14:paraId="363F1604"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χ2 p&lt;.001*</w:t>
            </w:r>
          </w:p>
        </w:tc>
        <w:tc>
          <w:tcPr>
            <w:tcW w:w="2554" w:type="dxa"/>
            <w:tcBorders>
              <w:top w:val="nil"/>
              <w:left w:val="nil"/>
              <w:bottom w:val="single" w:sz="4" w:space="0" w:color="auto"/>
              <w:right w:val="single" w:sz="4" w:space="0" w:color="auto"/>
            </w:tcBorders>
            <w:noWrap/>
            <w:vAlign w:val="center"/>
          </w:tcPr>
          <w:p w14:paraId="2D3C66F4"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1E2B8DE"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5EDCADA"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North</w:t>
            </w:r>
          </w:p>
        </w:tc>
        <w:tc>
          <w:tcPr>
            <w:tcW w:w="1767" w:type="dxa"/>
            <w:tcBorders>
              <w:top w:val="nil"/>
              <w:left w:val="nil"/>
              <w:bottom w:val="single" w:sz="4" w:space="0" w:color="auto"/>
              <w:right w:val="single" w:sz="4" w:space="0" w:color="auto"/>
            </w:tcBorders>
            <w:shd w:val="clear" w:color="000000" w:fill="FFFFFF"/>
            <w:noWrap/>
            <w:vAlign w:val="center"/>
          </w:tcPr>
          <w:p w14:paraId="0E8BCE1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29,962 (13.5)</w:t>
            </w:r>
          </w:p>
        </w:tc>
        <w:tc>
          <w:tcPr>
            <w:tcW w:w="1384" w:type="dxa"/>
            <w:tcBorders>
              <w:top w:val="nil"/>
              <w:left w:val="nil"/>
              <w:bottom w:val="single" w:sz="4" w:space="0" w:color="auto"/>
              <w:right w:val="single" w:sz="4" w:space="0" w:color="auto"/>
            </w:tcBorders>
            <w:vAlign w:val="center"/>
          </w:tcPr>
          <w:p w14:paraId="246DEC8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893 (2.99)</w:t>
            </w:r>
          </w:p>
        </w:tc>
        <w:tc>
          <w:tcPr>
            <w:tcW w:w="2554" w:type="dxa"/>
            <w:tcBorders>
              <w:top w:val="nil"/>
              <w:left w:val="nil"/>
              <w:bottom w:val="single" w:sz="4" w:space="0" w:color="auto"/>
              <w:right w:val="single" w:sz="4" w:space="0" w:color="auto"/>
            </w:tcBorders>
            <w:noWrap/>
            <w:vAlign w:val="center"/>
          </w:tcPr>
          <w:p w14:paraId="2816E883" w14:textId="77777777" w:rsidR="00A3335E" w:rsidRPr="00DB3E4F" w:rsidRDefault="00A3335E" w:rsidP="00887133">
            <w:pPr>
              <w:spacing w:after="0" w:line="240" w:lineRule="auto"/>
              <w:contextualSpacing/>
              <w:jc w:val="center"/>
              <w:rPr>
                <w:rFonts w:ascii="Arial" w:eastAsia="Times New Roman" w:hAnsi="Arial" w:cs="Arial"/>
                <w:b/>
                <w:bCs/>
                <w:i/>
                <w:iCs/>
                <w:color w:val="000000"/>
                <w:lang w:eastAsia="en-IN"/>
              </w:rPr>
            </w:pPr>
            <w:r w:rsidRPr="00DB3E4F">
              <w:rPr>
                <w:rFonts w:ascii="Arial" w:eastAsia="Times New Roman" w:hAnsi="Arial" w:cs="Arial"/>
                <w:b/>
                <w:bCs/>
                <w:i/>
                <w:iCs/>
                <w:color w:val="000000"/>
                <w:lang w:eastAsia="en-IN"/>
              </w:rPr>
              <w:t>Ref.</w:t>
            </w:r>
          </w:p>
        </w:tc>
      </w:tr>
      <w:tr w:rsidR="00A3335E" w:rsidRPr="00DB3E4F" w14:paraId="5640D008"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1DAD6DE"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lastRenderedPageBreak/>
              <w:t>Central</w:t>
            </w:r>
          </w:p>
        </w:tc>
        <w:tc>
          <w:tcPr>
            <w:tcW w:w="1767" w:type="dxa"/>
            <w:tcBorders>
              <w:top w:val="nil"/>
              <w:left w:val="nil"/>
              <w:bottom w:val="single" w:sz="4" w:space="0" w:color="auto"/>
              <w:right w:val="single" w:sz="4" w:space="0" w:color="auto"/>
            </w:tcBorders>
            <w:shd w:val="clear" w:color="000000" w:fill="FFFFFF"/>
            <w:noWrap/>
            <w:vAlign w:val="center"/>
          </w:tcPr>
          <w:p w14:paraId="0371E1A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61,096 (27.5)</w:t>
            </w:r>
          </w:p>
        </w:tc>
        <w:tc>
          <w:tcPr>
            <w:tcW w:w="1384" w:type="dxa"/>
            <w:tcBorders>
              <w:top w:val="nil"/>
              <w:left w:val="nil"/>
              <w:bottom w:val="single" w:sz="4" w:space="0" w:color="auto"/>
              <w:right w:val="single" w:sz="4" w:space="0" w:color="auto"/>
            </w:tcBorders>
            <w:vAlign w:val="center"/>
          </w:tcPr>
          <w:p w14:paraId="42EAD029"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1945 (3.19)</w:t>
            </w:r>
          </w:p>
        </w:tc>
        <w:tc>
          <w:tcPr>
            <w:tcW w:w="2554" w:type="dxa"/>
            <w:tcBorders>
              <w:top w:val="nil"/>
              <w:left w:val="nil"/>
              <w:bottom w:val="single" w:sz="4" w:space="0" w:color="auto"/>
              <w:right w:val="single" w:sz="4" w:space="0" w:color="auto"/>
            </w:tcBorders>
            <w:noWrap/>
            <w:vAlign w:val="center"/>
          </w:tcPr>
          <w:p w14:paraId="45407E7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0.98 (0.81-1.19)</w:t>
            </w:r>
          </w:p>
        </w:tc>
      </w:tr>
      <w:tr w:rsidR="00A3335E" w:rsidRPr="00DB3E4F" w14:paraId="062ED717"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0F79A836"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East</w:t>
            </w:r>
          </w:p>
        </w:tc>
        <w:tc>
          <w:tcPr>
            <w:tcW w:w="1767" w:type="dxa"/>
            <w:tcBorders>
              <w:top w:val="nil"/>
              <w:left w:val="nil"/>
              <w:bottom w:val="single" w:sz="4" w:space="0" w:color="auto"/>
              <w:right w:val="single" w:sz="4" w:space="0" w:color="auto"/>
            </w:tcBorders>
            <w:shd w:val="clear" w:color="000000" w:fill="FFFFFF"/>
            <w:noWrap/>
            <w:vAlign w:val="center"/>
          </w:tcPr>
          <w:p w14:paraId="4936E94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57,887 (26)</w:t>
            </w:r>
          </w:p>
        </w:tc>
        <w:tc>
          <w:tcPr>
            <w:tcW w:w="1384" w:type="dxa"/>
            <w:tcBorders>
              <w:top w:val="nil"/>
              <w:left w:val="nil"/>
              <w:bottom w:val="single" w:sz="4" w:space="0" w:color="auto"/>
              <w:right w:val="single" w:sz="4" w:space="0" w:color="auto"/>
            </w:tcBorders>
            <w:vAlign w:val="center"/>
          </w:tcPr>
          <w:p w14:paraId="5A9FEB1C"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1816 (3.14)</w:t>
            </w:r>
          </w:p>
        </w:tc>
        <w:tc>
          <w:tcPr>
            <w:tcW w:w="2554" w:type="dxa"/>
            <w:tcBorders>
              <w:top w:val="nil"/>
              <w:left w:val="nil"/>
              <w:bottom w:val="single" w:sz="4" w:space="0" w:color="auto"/>
              <w:right w:val="single" w:sz="4" w:space="0" w:color="auto"/>
            </w:tcBorders>
            <w:noWrap/>
            <w:vAlign w:val="center"/>
          </w:tcPr>
          <w:p w14:paraId="440B725B"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1.03 (0.83-1.27)</w:t>
            </w:r>
          </w:p>
        </w:tc>
      </w:tr>
      <w:tr w:rsidR="00A3335E" w:rsidRPr="00DB3E4F" w14:paraId="32637AAD"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4DFE5284"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Northeast</w:t>
            </w:r>
          </w:p>
        </w:tc>
        <w:tc>
          <w:tcPr>
            <w:tcW w:w="1767" w:type="dxa"/>
            <w:tcBorders>
              <w:top w:val="nil"/>
              <w:left w:val="nil"/>
              <w:bottom w:val="single" w:sz="4" w:space="0" w:color="auto"/>
              <w:right w:val="single" w:sz="4" w:space="0" w:color="auto"/>
            </w:tcBorders>
            <w:shd w:val="clear" w:color="000000" w:fill="FFFFFF"/>
            <w:noWrap/>
            <w:vAlign w:val="center"/>
          </w:tcPr>
          <w:p w14:paraId="30B05E8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8,114 (3.7)</w:t>
            </w:r>
          </w:p>
        </w:tc>
        <w:tc>
          <w:tcPr>
            <w:tcW w:w="1384" w:type="dxa"/>
            <w:tcBorders>
              <w:top w:val="nil"/>
              <w:left w:val="nil"/>
              <w:bottom w:val="single" w:sz="4" w:space="0" w:color="auto"/>
              <w:right w:val="single" w:sz="4" w:space="0" w:color="auto"/>
            </w:tcBorders>
            <w:vAlign w:val="center"/>
          </w:tcPr>
          <w:p w14:paraId="7927534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204 (2.51)</w:t>
            </w:r>
          </w:p>
        </w:tc>
        <w:tc>
          <w:tcPr>
            <w:tcW w:w="2554" w:type="dxa"/>
            <w:tcBorders>
              <w:top w:val="nil"/>
              <w:left w:val="nil"/>
              <w:bottom w:val="single" w:sz="4" w:space="0" w:color="auto"/>
              <w:right w:val="single" w:sz="4" w:space="0" w:color="auto"/>
            </w:tcBorders>
            <w:noWrap/>
            <w:vAlign w:val="center"/>
          </w:tcPr>
          <w:p w14:paraId="74B3D79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0.75 (0.6-0.95) *</w:t>
            </w:r>
          </w:p>
        </w:tc>
      </w:tr>
      <w:tr w:rsidR="00A3335E" w:rsidRPr="00DB3E4F" w14:paraId="24EACC3F"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D66143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West</w:t>
            </w:r>
          </w:p>
        </w:tc>
        <w:tc>
          <w:tcPr>
            <w:tcW w:w="1767" w:type="dxa"/>
            <w:tcBorders>
              <w:top w:val="nil"/>
              <w:left w:val="nil"/>
              <w:bottom w:val="single" w:sz="4" w:space="0" w:color="auto"/>
              <w:right w:val="single" w:sz="4" w:space="0" w:color="auto"/>
            </w:tcBorders>
            <w:shd w:val="clear" w:color="000000" w:fill="FFFFFF"/>
            <w:noWrap/>
            <w:vAlign w:val="center"/>
          </w:tcPr>
          <w:p w14:paraId="4021715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27,916 (12.6)</w:t>
            </w:r>
          </w:p>
        </w:tc>
        <w:tc>
          <w:tcPr>
            <w:tcW w:w="1384" w:type="dxa"/>
            <w:tcBorders>
              <w:top w:val="nil"/>
              <w:left w:val="nil"/>
              <w:bottom w:val="single" w:sz="4" w:space="0" w:color="auto"/>
              <w:right w:val="single" w:sz="4" w:space="0" w:color="auto"/>
            </w:tcBorders>
            <w:vAlign w:val="center"/>
          </w:tcPr>
          <w:p w14:paraId="5E070D9F"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676 (2.43)</w:t>
            </w:r>
          </w:p>
        </w:tc>
        <w:tc>
          <w:tcPr>
            <w:tcW w:w="2554" w:type="dxa"/>
            <w:tcBorders>
              <w:top w:val="nil"/>
              <w:left w:val="nil"/>
              <w:bottom w:val="single" w:sz="4" w:space="0" w:color="auto"/>
              <w:right w:val="single" w:sz="4" w:space="0" w:color="auto"/>
            </w:tcBorders>
            <w:noWrap/>
            <w:vAlign w:val="center"/>
          </w:tcPr>
          <w:p w14:paraId="4FA26AD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0.7 (0.54-0.91) **</w:t>
            </w:r>
          </w:p>
        </w:tc>
      </w:tr>
      <w:tr w:rsidR="00A3335E" w:rsidRPr="00DB3E4F" w14:paraId="53ACF616"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5EAA618E"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South</w:t>
            </w:r>
          </w:p>
        </w:tc>
        <w:tc>
          <w:tcPr>
            <w:tcW w:w="1767" w:type="dxa"/>
            <w:tcBorders>
              <w:top w:val="nil"/>
              <w:left w:val="nil"/>
              <w:bottom w:val="single" w:sz="4" w:space="0" w:color="auto"/>
              <w:right w:val="single" w:sz="4" w:space="0" w:color="auto"/>
            </w:tcBorders>
            <w:shd w:val="clear" w:color="000000" w:fill="FFFFFF"/>
            <w:noWrap/>
            <w:vAlign w:val="center"/>
          </w:tcPr>
          <w:p w14:paraId="496D682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37,256 (16.8)</w:t>
            </w:r>
          </w:p>
        </w:tc>
        <w:tc>
          <w:tcPr>
            <w:tcW w:w="1384" w:type="dxa"/>
            <w:tcBorders>
              <w:top w:val="nil"/>
              <w:left w:val="nil"/>
              <w:bottom w:val="single" w:sz="4" w:space="0" w:color="auto"/>
              <w:right w:val="single" w:sz="4" w:space="0" w:color="auto"/>
            </w:tcBorders>
            <w:vAlign w:val="center"/>
          </w:tcPr>
          <w:p w14:paraId="0541FC76"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664 (1.79)</w:t>
            </w:r>
          </w:p>
        </w:tc>
        <w:tc>
          <w:tcPr>
            <w:tcW w:w="2554" w:type="dxa"/>
            <w:tcBorders>
              <w:top w:val="nil"/>
              <w:left w:val="nil"/>
              <w:bottom w:val="single" w:sz="4" w:space="0" w:color="auto"/>
              <w:right w:val="single" w:sz="4" w:space="0" w:color="auto"/>
            </w:tcBorders>
            <w:noWrap/>
            <w:vAlign w:val="center"/>
          </w:tcPr>
          <w:p w14:paraId="4F7EEF3E"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0.69 (0.56-0.86) **</w:t>
            </w:r>
          </w:p>
        </w:tc>
      </w:tr>
      <w:tr w:rsidR="00A3335E" w:rsidRPr="00DB3E4F" w14:paraId="4990D0B1" w14:textId="77777777" w:rsidTr="00887133">
        <w:trPr>
          <w:trHeight w:val="246"/>
          <w:jc w:val="center"/>
        </w:trPr>
        <w:tc>
          <w:tcPr>
            <w:tcW w:w="3672" w:type="dxa"/>
            <w:tcBorders>
              <w:top w:val="nil"/>
              <w:left w:val="single" w:sz="4" w:space="0" w:color="auto"/>
              <w:bottom w:val="single" w:sz="4" w:space="0" w:color="auto"/>
              <w:right w:val="single" w:sz="4" w:space="0" w:color="auto"/>
            </w:tcBorders>
            <w:noWrap/>
            <w:vAlign w:val="center"/>
          </w:tcPr>
          <w:p w14:paraId="2D699EA8"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Total </w:t>
            </w:r>
          </w:p>
        </w:tc>
        <w:tc>
          <w:tcPr>
            <w:tcW w:w="1767" w:type="dxa"/>
            <w:tcBorders>
              <w:top w:val="nil"/>
              <w:left w:val="nil"/>
              <w:bottom w:val="single" w:sz="4" w:space="0" w:color="auto"/>
              <w:right w:val="single" w:sz="4" w:space="0" w:color="auto"/>
            </w:tcBorders>
            <w:shd w:val="clear" w:color="000000" w:fill="FFFFFF"/>
            <w:noWrap/>
            <w:vAlign w:val="center"/>
          </w:tcPr>
          <w:p w14:paraId="47F865C0"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2,22,223</w:t>
            </w:r>
          </w:p>
        </w:tc>
        <w:tc>
          <w:tcPr>
            <w:tcW w:w="1384" w:type="dxa"/>
            <w:tcBorders>
              <w:top w:val="nil"/>
              <w:left w:val="nil"/>
              <w:bottom w:val="single" w:sz="4" w:space="0" w:color="auto"/>
              <w:right w:val="single" w:sz="4" w:space="0" w:color="auto"/>
            </w:tcBorders>
            <w:vAlign w:val="center"/>
          </w:tcPr>
          <w:p w14:paraId="1F6464F9"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6198 (2.79)</w:t>
            </w:r>
          </w:p>
        </w:tc>
        <w:tc>
          <w:tcPr>
            <w:tcW w:w="2554" w:type="dxa"/>
            <w:tcBorders>
              <w:top w:val="nil"/>
              <w:left w:val="nil"/>
              <w:bottom w:val="single" w:sz="4" w:space="0" w:color="auto"/>
              <w:right w:val="single" w:sz="4" w:space="0" w:color="auto"/>
            </w:tcBorders>
            <w:noWrap/>
            <w:vAlign w:val="center"/>
          </w:tcPr>
          <w:p w14:paraId="69825F59"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D311DE1" w14:textId="77777777" w:rsidTr="00887133">
        <w:trPr>
          <w:trHeight w:val="257"/>
          <w:jc w:val="center"/>
        </w:trPr>
        <w:tc>
          <w:tcPr>
            <w:tcW w:w="3672" w:type="dxa"/>
            <w:tcBorders>
              <w:top w:val="single" w:sz="4" w:space="0" w:color="auto"/>
              <w:left w:val="single" w:sz="4" w:space="0" w:color="auto"/>
              <w:bottom w:val="single" w:sz="4" w:space="0" w:color="auto"/>
              <w:right w:val="single" w:sz="4" w:space="0" w:color="auto"/>
            </w:tcBorders>
            <w:noWrap/>
            <w:vAlign w:val="center"/>
          </w:tcPr>
          <w:p w14:paraId="53A2FDB3" w14:textId="77777777" w:rsidR="00A3335E" w:rsidRPr="00DB3E4F" w:rsidRDefault="00A3335E" w:rsidP="00887133">
            <w:pPr>
              <w:spacing w:after="0" w:line="240" w:lineRule="auto"/>
              <w:contextualSpacing/>
              <w:rPr>
                <w:rFonts w:ascii="Arial" w:eastAsia="Times New Roman" w:hAnsi="Arial" w:cs="Arial"/>
                <w:b/>
                <w:bCs/>
                <w:color w:val="000000"/>
                <w:lang w:eastAsia="en-IN"/>
              </w:rPr>
            </w:pPr>
            <w:r w:rsidRPr="00DB3E4F">
              <w:rPr>
                <w:rFonts w:ascii="Arial" w:eastAsia="Times New Roman" w:hAnsi="Arial" w:cs="Arial"/>
                <w:b/>
                <w:bCs/>
                <w:color w:val="000000"/>
                <w:lang w:eastAsia="en-IN"/>
              </w:rPr>
              <w:t xml:space="preserve">Model Evaluation </w:t>
            </w:r>
          </w:p>
        </w:tc>
        <w:tc>
          <w:tcPr>
            <w:tcW w:w="1767" w:type="dxa"/>
            <w:tcBorders>
              <w:top w:val="single" w:sz="4" w:space="0" w:color="auto"/>
              <w:left w:val="nil"/>
              <w:bottom w:val="single" w:sz="4" w:space="0" w:color="auto"/>
              <w:right w:val="single" w:sz="4" w:space="0" w:color="auto"/>
            </w:tcBorders>
            <w:noWrap/>
            <w:vAlign w:val="bottom"/>
          </w:tcPr>
          <w:p w14:paraId="2EEBAF5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single" w:sz="4" w:space="0" w:color="auto"/>
              <w:left w:val="nil"/>
              <w:bottom w:val="single" w:sz="4" w:space="0" w:color="auto"/>
              <w:right w:val="single" w:sz="4" w:space="0" w:color="auto"/>
            </w:tcBorders>
            <w:noWrap/>
            <w:vAlign w:val="bottom"/>
          </w:tcPr>
          <w:p w14:paraId="22B28B5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single" w:sz="4" w:space="0" w:color="auto"/>
              <w:left w:val="nil"/>
              <w:bottom w:val="single" w:sz="4" w:space="0" w:color="auto"/>
              <w:right w:val="single" w:sz="4" w:space="0" w:color="auto"/>
            </w:tcBorders>
            <w:noWrap/>
            <w:vAlign w:val="bottom"/>
          </w:tcPr>
          <w:p w14:paraId="3698C10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r>
      <w:tr w:rsidR="00A3335E" w:rsidRPr="00DB3E4F" w14:paraId="105E6F7A" w14:textId="77777777" w:rsidTr="00887133">
        <w:trPr>
          <w:trHeight w:val="233"/>
          <w:jc w:val="center"/>
        </w:trPr>
        <w:tc>
          <w:tcPr>
            <w:tcW w:w="3672" w:type="dxa"/>
            <w:tcBorders>
              <w:top w:val="single" w:sz="4" w:space="0" w:color="auto"/>
              <w:left w:val="single" w:sz="4" w:space="0" w:color="auto"/>
            </w:tcBorders>
            <w:noWrap/>
            <w:vAlign w:val="center"/>
          </w:tcPr>
          <w:p w14:paraId="00540467"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 xml:space="preserve">Constant </w:t>
            </w:r>
          </w:p>
        </w:tc>
        <w:tc>
          <w:tcPr>
            <w:tcW w:w="1767" w:type="dxa"/>
            <w:tcBorders>
              <w:top w:val="single" w:sz="4" w:space="0" w:color="auto"/>
            </w:tcBorders>
            <w:noWrap/>
            <w:vAlign w:val="bottom"/>
          </w:tcPr>
          <w:p w14:paraId="323997B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single" w:sz="4" w:space="0" w:color="auto"/>
            </w:tcBorders>
            <w:noWrap/>
            <w:vAlign w:val="bottom"/>
          </w:tcPr>
          <w:p w14:paraId="667E3F71"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single" w:sz="4" w:space="0" w:color="auto"/>
              <w:right w:val="single" w:sz="4" w:space="0" w:color="auto"/>
            </w:tcBorders>
            <w:noWrap/>
            <w:vAlign w:val="center"/>
          </w:tcPr>
          <w:p w14:paraId="1454B2D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0.02 (p&lt;0.001)</w:t>
            </w:r>
          </w:p>
        </w:tc>
      </w:tr>
      <w:tr w:rsidR="00A3335E" w:rsidRPr="00DB3E4F" w14:paraId="27BEDFE1" w14:textId="77777777" w:rsidTr="00887133">
        <w:trPr>
          <w:trHeight w:val="233"/>
          <w:jc w:val="center"/>
        </w:trPr>
        <w:tc>
          <w:tcPr>
            <w:tcW w:w="3672" w:type="dxa"/>
            <w:tcBorders>
              <w:top w:val="nil"/>
              <w:left w:val="single" w:sz="4" w:space="0" w:color="auto"/>
            </w:tcBorders>
            <w:noWrap/>
            <w:vAlign w:val="center"/>
          </w:tcPr>
          <w:p w14:paraId="11E74EB9"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Var (constant)</w:t>
            </w:r>
          </w:p>
        </w:tc>
        <w:tc>
          <w:tcPr>
            <w:tcW w:w="1767" w:type="dxa"/>
            <w:tcBorders>
              <w:top w:val="nil"/>
            </w:tcBorders>
            <w:noWrap/>
            <w:vAlign w:val="bottom"/>
          </w:tcPr>
          <w:p w14:paraId="71C3D9E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tcBorders>
            <w:noWrap/>
            <w:vAlign w:val="bottom"/>
          </w:tcPr>
          <w:p w14:paraId="018B9D29"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6418D561"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0.5054478</w:t>
            </w:r>
          </w:p>
        </w:tc>
      </w:tr>
      <w:tr w:rsidR="00A3335E" w:rsidRPr="00DB3E4F" w14:paraId="7CE1D943" w14:textId="77777777" w:rsidTr="00887133">
        <w:trPr>
          <w:trHeight w:val="233"/>
          <w:jc w:val="center"/>
        </w:trPr>
        <w:tc>
          <w:tcPr>
            <w:tcW w:w="3672" w:type="dxa"/>
            <w:tcBorders>
              <w:top w:val="nil"/>
              <w:left w:val="single" w:sz="4" w:space="0" w:color="auto"/>
            </w:tcBorders>
            <w:noWrap/>
            <w:vAlign w:val="center"/>
          </w:tcPr>
          <w:p w14:paraId="609F806C"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Observation (weighted)</w:t>
            </w:r>
          </w:p>
        </w:tc>
        <w:tc>
          <w:tcPr>
            <w:tcW w:w="1767" w:type="dxa"/>
            <w:tcBorders>
              <w:top w:val="nil"/>
            </w:tcBorders>
            <w:noWrap/>
            <w:vAlign w:val="bottom"/>
          </w:tcPr>
          <w:p w14:paraId="620E863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tcBorders>
            <w:noWrap/>
            <w:vAlign w:val="bottom"/>
          </w:tcPr>
          <w:p w14:paraId="6240347D"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shd w:val="clear" w:color="000000" w:fill="FFFFFF"/>
            <w:noWrap/>
            <w:vAlign w:val="center"/>
          </w:tcPr>
          <w:p w14:paraId="542A7BF2" w14:textId="77777777" w:rsidR="00A3335E" w:rsidRPr="00DB3E4F" w:rsidRDefault="00A3335E" w:rsidP="00887133">
            <w:pPr>
              <w:spacing w:after="0" w:line="240" w:lineRule="auto"/>
              <w:contextualSpacing/>
              <w:jc w:val="center"/>
              <w:rPr>
                <w:rFonts w:ascii="Arial" w:eastAsia="Times New Roman" w:hAnsi="Arial" w:cs="Arial"/>
                <w:b/>
                <w:bCs/>
                <w:color w:val="000000"/>
                <w:lang w:eastAsia="en-IN"/>
              </w:rPr>
            </w:pPr>
            <w:r w:rsidRPr="00DB3E4F">
              <w:rPr>
                <w:rFonts w:ascii="Arial" w:eastAsia="Times New Roman" w:hAnsi="Arial" w:cs="Arial"/>
                <w:b/>
                <w:bCs/>
                <w:color w:val="000000"/>
                <w:lang w:eastAsia="en-IN"/>
              </w:rPr>
              <w:t>2,22,223</w:t>
            </w:r>
          </w:p>
        </w:tc>
      </w:tr>
      <w:tr w:rsidR="00A3335E" w:rsidRPr="00DB3E4F" w14:paraId="253A9F27" w14:textId="77777777" w:rsidTr="00887133">
        <w:trPr>
          <w:trHeight w:val="233"/>
          <w:jc w:val="center"/>
        </w:trPr>
        <w:tc>
          <w:tcPr>
            <w:tcW w:w="3672" w:type="dxa"/>
            <w:tcBorders>
              <w:top w:val="nil"/>
              <w:left w:val="single" w:sz="4" w:space="0" w:color="auto"/>
            </w:tcBorders>
            <w:noWrap/>
            <w:vAlign w:val="center"/>
          </w:tcPr>
          <w:p w14:paraId="7F58E42F"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Districts (cluster in groups)</w:t>
            </w:r>
          </w:p>
        </w:tc>
        <w:tc>
          <w:tcPr>
            <w:tcW w:w="1767" w:type="dxa"/>
            <w:tcBorders>
              <w:top w:val="nil"/>
            </w:tcBorders>
            <w:noWrap/>
            <w:vAlign w:val="bottom"/>
          </w:tcPr>
          <w:p w14:paraId="1036E13A"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tcBorders>
            <w:noWrap/>
            <w:vAlign w:val="bottom"/>
          </w:tcPr>
          <w:p w14:paraId="246B352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3FE3E7A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707</w:t>
            </w:r>
          </w:p>
        </w:tc>
      </w:tr>
      <w:tr w:rsidR="00A3335E" w:rsidRPr="00DB3E4F" w14:paraId="6A1F1BBE" w14:textId="77777777" w:rsidTr="00887133">
        <w:trPr>
          <w:trHeight w:val="233"/>
          <w:jc w:val="center"/>
        </w:trPr>
        <w:tc>
          <w:tcPr>
            <w:tcW w:w="3672" w:type="dxa"/>
            <w:tcBorders>
              <w:top w:val="nil"/>
              <w:left w:val="single" w:sz="4" w:space="0" w:color="auto"/>
            </w:tcBorders>
            <w:noWrap/>
            <w:vAlign w:val="center"/>
          </w:tcPr>
          <w:p w14:paraId="54F85875"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 xml:space="preserve">Log likelihood </w:t>
            </w:r>
          </w:p>
        </w:tc>
        <w:tc>
          <w:tcPr>
            <w:tcW w:w="1767" w:type="dxa"/>
            <w:tcBorders>
              <w:top w:val="nil"/>
            </w:tcBorders>
            <w:noWrap/>
            <w:vAlign w:val="bottom"/>
          </w:tcPr>
          <w:p w14:paraId="566670AC"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tcBorders>
            <w:noWrap/>
            <w:vAlign w:val="bottom"/>
          </w:tcPr>
          <w:p w14:paraId="32FD4D1A"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3A83B76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-26294.028</w:t>
            </w:r>
          </w:p>
        </w:tc>
      </w:tr>
      <w:tr w:rsidR="00A3335E" w:rsidRPr="00DB3E4F" w14:paraId="0D5F5586" w14:textId="77777777" w:rsidTr="00887133">
        <w:trPr>
          <w:trHeight w:val="233"/>
          <w:jc w:val="center"/>
        </w:trPr>
        <w:tc>
          <w:tcPr>
            <w:tcW w:w="3672" w:type="dxa"/>
            <w:tcBorders>
              <w:top w:val="nil"/>
              <w:left w:val="single" w:sz="4" w:space="0" w:color="auto"/>
            </w:tcBorders>
            <w:noWrap/>
            <w:vAlign w:val="center"/>
          </w:tcPr>
          <w:p w14:paraId="46782C81"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Wald chi</w:t>
            </w:r>
            <w:r w:rsidRPr="00DB3E4F">
              <w:rPr>
                <w:rFonts w:ascii="Arial" w:eastAsia="Times New Roman" w:hAnsi="Arial" w:cs="Arial"/>
                <w:i/>
                <w:iCs/>
                <w:color w:val="000000"/>
                <w:vertAlign w:val="superscript"/>
                <w:lang w:eastAsia="en-IN"/>
              </w:rPr>
              <w:t>2</w:t>
            </w:r>
          </w:p>
        </w:tc>
        <w:tc>
          <w:tcPr>
            <w:tcW w:w="1767" w:type="dxa"/>
            <w:tcBorders>
              <w:top w:val="nil"/>
            </w:tcBorders>
            <w:noWrap/>
            <w:vAlign w:val="bottom"/>
          </w:tcPr>
          <w:p w14:paraId="0B501A99"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tcBorders>
            <w:noWrap/>
            <w:vAlign w:val="bottom"/>
          </w:tcPr>
          <w:p w14:paraId="1B1908DF"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2A7609B6"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2090.51 (p&lt;0.001)</w:t>
            </w:r>
          </w:p>
        </w:tc>
      </w:tr>
      <w:tr w:rsidR="00A3335E" w:rsidRPr="00DB3E4F" w14:paraId="5E0C8118" w14:textId="77777777" w:rsidTr="00887133">
        <w:trPr>
          <w:trHeight w:val="233"/>
          <w:jc w:val="center"/>
        </w:trPr>
        <w:tc>
          <w:tcPr>
            <w:tcW w:w="3672" w:type="dxa"/>
            <w:tcBorders>
              <w:top w:val="nil"/>
              <w:left w:val="single" w:sz="4" w:space="0" w:color="auto"/>
            </w:tcBorders>
            <w:noWrap/>
            <w:vAlign w:val="center"/>
          </w:tcPr>
          <w:p w14:paraId="1D60B752"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LR test vs. logistic model: (chibar</w:t>
            </w:r>
            <w:r w:rsidRPr="00DB3E4F">
              <w:rPr>
                <w:rFonts w:ascii="Arial" w:eastAsia="Times New Roman" w:hAnsi="Arial" w:cs="Arial"/>
                <w:i/>
                <w:iCs/>
                <w:color w:val="000000"/>
                <w:vertAlign w:val="superscript"/>
                <w:lang w:eastAsia="en-IN"/>
              </w:rPr>
              <w:t>2</w:t>
            </w:r>
            <w:r w:rsidRPr="00DB3E4F">
              <w:rPr>
                <w:rFonts w:ascii="Arial" w:eastAsia="Times New Roman" w:hAnsi="Arial" w:cs="Arial"/>
                <w:i/>
                <w:iCs/>
                <w:color w:val="000000"/>
                <w:lang w:eastAsia="en-IN"/>
              </w:rPr>
              <w:t>)</w:t>
            </w:r>
          </w:p>
        </w:tc>
        <w:tc>
          <w:tcPr>
            <w:tcW w:w="1767" w:type="dxa"/>
            <w:tcBorders>
              <w:top w:val="nil"/>
            </w:tcBorders>
            <w:noWrap/>
            <w:vAlign w:val="bottom"/>
          </w:tcPr>
          <w:p w14:paraId="22657CC3"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tcBorders>
            <w:noWrap/>
            <w:vAlign w:val="bottom"/>
          </w:tcPr>
          <w:p w14:paraId="2A70129E"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right w:val="single" w:sz="4" w:space="0" w:color="auto"/>
            </w:tcBorders>
            <w:noWrap/>
            <w:vAlign w:val="center"/>
          </w:tcPr>
          <w:p w14:paraId="2886FFB5"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1289.15 (p&lt;0.001)</w:t>
            </w:r>
          </w:p>
        </w:tc>
      </w:tr>
      <w:tr w:rsidR="00A3335E" w:rsidRPr="00DB3E4F" w14:paraId="6EBEA30F" w14:textId="77777777" w:rsidTr="00887133">
        <w:trPr>
          <w:trHeight w:val="233"/>
          <w:jc w:val="center"/>
        </w:trPr>
        <w:tc>
          <w:tcPr>
            <w:tcW w:w="3672" w:type="dxa"/>
            <w:tcBorders>
              <w:top w:val="nil"/>
              <w:left w:val="single" w:sz="4" w:space="0" w:color="auto"/>
              <w:bottom w:val="single" w:sz="4" w:space="0" w:color="auto"/>
            </w:tcBorders>
            <w:noWrap/>
            <w:vAlign w:val="center"/>
          </w:tcPr>
          <w:p w14:paraId="20C1545B" w14:textId="77777777" w:rsidR="00A3335E" w:rsidRPr="00DB3E4F" w:rsidRDefault="00A3335E" w:rsidP="00887133">
            <w:pPr>
              <w:spacing w:after="0" w:line="240" w:lineRule="auto"/>
              <w:contextualSpacing/>
              <w:rPr>
                <w:rFonts w:ascii="Arial" w:eastAsia="Times New Roman" w:hAnsi="Arial" w:cs="Arial"/>
                <w:i/>
                <w:iCs/>
                <w:color w:val="000000"/>
                <w:lang w:eastAsia="en-IN"/>
              </w:rPr>
            </w:pPr>
            <w:r w:rsidRPr="00DB3E4F">
              <w:rPr>
                <w:rFonts w:ascii="Arial" w:eastAsia="Times New Roman" w:hAnsi="Arial" w:cs="Arial"/>
                <w:i/>
                <w:iCs/>
                <w:color w:val="000000"/>
                <w:lang w:eastAsia="en-IN"/>
              </w:rPr>
              <w:t>Intra-class correlation coefficient (ICC)</w:t>
            </w:r>
          </w:p>
        </w:tc>
        <w:tc>
          <w:tcPr>
            <w:tcW w:w="1767" w:type="dxa"/>
            <w:tcBorders>
              <w:top w:val="nil"/>
              <w:bottom w:val="single" w:sz="4" w:space="0" w:color="auto"/>
            </w:tcBorders>
            <w:noWrap/>
            <w:vAlign w:val="bottom"/>
          </w:tcPr>
          <w:p w14:paraId="33CDEA58"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p>
        </w:tc>
        <w:tc>
          <w:tcPr>
            <w:tcW w:w="1384" w:type="dxa"/>
            <w:tcBorders>
              <w:top w:val="nil"/>
              <w:bottom w:val="single" w:sz="4" w:space="0" w:color="auto"/>
            </w:tcBorders>
            <w:noWrap/>
            <w:vAlign w:val="bottom"/>
          </w:tcPr>
          <w:p w14:paraId="7DA41026" w14:textId="77777777" w:rsidR="00A3335E" w:rsidRPr="00DB3E4F" w:rsidRDefault="00A3335E" w:rsidP="00887133">
            <w:pPr>
              <w:spacing w:after="0" w:line="240" w:lineRule="auto"/>
              <w:contextualSpacing/>
              <w:rPr>
                <w:rFonts w:ascii="Arial" w:eastAsia="Times New Roman" w:hAnsi="Arial" w:cs="Arial"/>
                <w:color w:val="000000"/>
                <w:lang w:eastAsia="en-IN"/>
              </w:rPr>
            </w:pPr>
            <w:r w:rsidRPr="00DB3E4F">
              <w:rPr>
                <w:rFonts w:ascii="Arial" w:eastAsia="Times New Roman" w:hAnsi="Arial" w:cs="Arial"/>
                <w:color w:val="000000"/>
                <w:lang w:eastAsia="en-IN"/>
              </w:rPr>
              <w:t> </w:t>
            </w:r>
          </w:p>
        </w:tc>
        <w:tc>
          <w:tcPr>
            <w:tcW w:w="2554" w:type="dxa"/>
            <w:tcBorders>
              <w:top w:val="nil"/>
              <w:bottom w:val="single" w:sz="4" w:space="0" w:color="auto"/>
              <w:right w:val="single" w:sz="4" w:space="0" w:color="auto"/>
            </w:tcBorders>
            <w:noWrap/>
            <w:vAlign w:val="center"/>
          </w:tcPr>
          <w:p w14:paraId="1A0C8E5F" w14:textId="77777777" w:rsidR="00A3335E" w:rsidRPr="00DB3E4F" w:rsidRDefault="00A3335E" w:rsidP="00887133">
            <w:pPr>
              <w:spacing w:after="0" w:line="240" w:lineRule="auto"/>
              <w:contextualSpacing/>
              <w:jc w:val="center"/>
              <w:rPr>
                <w:rFonts w:ascii="Arial" w:eastAsia="Times New Roman" w:hAnsi="Arial" w:cs="Arial"/>
                <w:color w:val="000000"/>
                <w:lang w:eastAsia="en-IN"/>
              </w:rPr>
            </w:pPr>
            <w:r w:rsidRPr="00DB3E4F">
              <w:rPr>
                <w:rFonts w:ascii="Arial" w:eastAsia="Times New Roman" w:hAnsi="Arial" w:cs="Arial"/>
                <w:color w:val="000000"/>
                <w:lang w:eastAsia="en-IN"/>
              </w:rPr>
              <w:t>0.13 (CI:0.12-0.15)</w:t>
            </w:r>
          </w:p>
        </w:tc>
      </w:tr>
    </w:tbl>
    <w:p w14:paraId="22825A68" w14:textId="77777777" w:rsidR="00A3335E" w:rsidRPr="00DB3E4F" w:rsidRDefault="00A3335E" w:rsidP="00A3335E">
      <w:pPr>
        <w:jc w:val="both"/>
        <w:rPr>
          <w:rFonts w:ascii="Arial" w:hAnsi="Arial" w:cs="Arial"/>
          <w:i/>
          <w:lang w:val="en-US"/>
        </w:rPr>
      </w:pPr>
      <w:r w:rsidRPr="00DB3E4F">
        <w:rPr>
          <w:rFonts w:ascii="Arial" w:hAnsi="Arial" w:cs="Arial"/>
          <w:b/>
          <w:lang w:val="en-US"/>
        </w:rPr>
        <w:t>Note:</w:t>
      </w:r>
      <w:r w:rsidRPr="00DB3E4F">
        <w:rPr>
          <w:rFonts w:ascii="Arial" w:hAnsi="Arial" w:cs="Arial"/>
          <w:lang w:val="en-US"/>
        </w:rPr>
        <w:t xml:space="preserve"> </w:t>
      </w:r>
      <w:r w:rsidRPr="00DB3E4F">
        <w:rPr>
          <w:rFonts w:ascii="Arial" w:hAnsi="Arial" w:cs="Arial"/>
          <w:iCs/>
          <w:lang w:val="en-US"/>
        </w:rPr>
        <w:t>N: number of ARI cases; %: Percentage of ARI (Row percentage)</w:t>
      </w:r>
      <w:r w:rsidRPr="00DB3E4F">
        <w:rPr>
          <w:rFonts w:ascii="Arial" w:hAnsi="Arial" w:cs="Arial"/>
          <w:iCs/>
        </w:rPr>
        <w:t xml:space="preserve">, </w:t>
      </w:r>
      <w:r w:rsidRPr="00DB3E4F">
        <w:rPr>
          <w:rFonts w:ascii="Arial" w:hAnsi="Arial" w:cs="Arial"/>
          <w:iCs/>
          <w:lang w:val="en-US"/>
        </w:rPr>
        <w:t xml:space="preserve">χ2: Chi-square test (applied for each variable) </w:t>
      </w:r>
      <w:r w:rsidRPr="00DB3E4F">
        <w:rPr>
          <w:rFonts w:ascii="Arial" w:eastAsia="Times New Roman" w:hAnsi="Arial" w:cs="Arial"/>
          <w:iCs/>
          <w:color w:val="000000"/>
          <w:lang w:eastAsia="en-IN"/>
        </w:rPr>
        <w:t xml:space="preserve">χ2 </w:t>
      </w:r>
      <w:r w:rsidRPr="00DB3E4F">
        <w:rPr>
          <w:rFonts w:ascii="Arial" w:hAnsi="Arial" w:cs="Arial"/>
          <w:iCs/>
          <w:lang w:val="en-US"/>
        </w:rPr>
        <w:t xml:space="preserve">p-value &lt;0.05 (Significance), AOR: Adjusted Odds Ratio, Ref: Reference </w:t>
      </w:r>
      <w:proofErr w:type="spellStart"/>
      <w:r w:rsidRPr="00DB3E4F">
        <w:rPr>
          <w:rFonts w:ascii="Arial" w:hAnsi="Arial" w:cs="Arial"/>
          <w:iCs/>
          <w:lang w:val="en-US"/>
        </w:rPr>
        <w:t>Catagorey</w:t>
      </w:r>
      <w:proofErr w:type="spellEnd"/>
      <w:r w:rsidRPr="00DB3E4F">
        <w:rPr>
          <w:rFonts w:ascii="Arial" w:hAnsi="Arial" w:cs="Arial"/>
          <w:iCs/>
          <w:lang w:val="en-US"/>
        </w:rPr>
        <w:t>, CI: Confidence interval, ***p&lt;0.001, **p&lt;0.01, *p&lt;0.05, SC: Scheduled Caste, ST: Scheduled Tribe, OBC: Other Backward Caste</w:t>
      </w:r>
    </w:p>
    <w:p w14:paraId="604BFEAF" w14:textId="77777777" w:rsidR="009D7D1B" w:rsidRPr="00DB3E4F" w:rsidRDefault="009D7D1B">
      <w:pPr>
        <w:spacing w:after="0" w:line="240" w:lineRule="auto"/>
        <w:rPr>
          <w:rFonts w:ascii="Arial" w:hAnsi="Arial" w:cs="Arial"/>
        </w:rPr>
      </w:pPr>
    </w:p>
    <w:sectPr w:rsidR="009D7D1B" w:rsidRPr="00DB3E4F" w:rsidSect="00284D0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99984" w14:textId="77777777" w:rsidR="00E92EED" w:rsidRDefault="00E92EED">
      <w:pPr>
        <w:spacing w:line="240" w:lineRule="auto"/>
      </w:pPr>
      <w:r>
        <w:separator/>
      </w:r>
    </w:p>
  </w:endnote>
  <w:endnote w:type="continuationSeparator" w:id="0">
    <w:p w14:paraId="383CEB0D" w14:textId="77777777" w:rsidR="00E92EED" w:rsidRDefault="00E9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FD64" w14:textId="77777777" w:rsidR="00284D02" w:rsidRDefault="00284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799E0" w14:textId="77777777" w:rsidR="00284D02" w:rsidRDefault="00284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3B3C" w14:textId="77777777" w:rsidR="00284D02" w:rsidRDefault="0028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0AB60" w14:textId="77777777" w:rsidR="00E92EED" w:rsidRDefault="00E92EED">
      <w:pPr>
        <w:spacing w:after="0"/>
      </w:pPr>
      <w:r>
        <w:separator/>
      </w:r>
    </w:p>
  </w:footnote>
  <w:footnote w:type="continuationSeparator" w:id="0">
    <w:p w14:paraId="41E93530" w14:textId="77777777" w:rsidR="00E92EED" w:rsidRDefault="00E92E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C2F1" w14:textId="4E48316C" w:rsidR="00284D02" w:rsidRDefault="00284D02">
    <w:pPr>
      <w:pStyle w:val="Header"/>
    </w:pPr>
    <w:r>
      <w:rPr>
        <w:noProof/>
      </w:rPr>
      <w:pict w14:anchorId="327F0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10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E9151" w14:textId="2BB17782" w:rsidR="00284D02" w:rsidRDefault="00284D02">
    <w:pPr>
      <w:pStyle w:val="Header"/>
    </w:pPr>
    <w:r>
      <w:rPr>
        <w:noProof/>
      </w:rPr>
      <w:pict w14:anchorId="59F8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10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62A5" w14:textId="709F0724" w:rsidR="00284D02" w:rsidRDefault="00284D02">
    <w:pPr>
      <w:pStyle w:val="Header"/>
    </w:pPr>
    <w:r>
      <w:rPr>
        <w:noProof/>
      </w:rPr>
      <w:pict w14:anchorId="5BDE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10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70F"/>
    <w:multiLevelType w:val="multilevel"/>
    <w:tmpl w:val="08C227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11109B"/>
    <w:multiLevelType w:val="multilevel"/>
    <w:tmpl w:val="3911109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6474BB"/>
    <w:multiLevelType w:val="hybridMultilevel"/>
    <w:tmpl w:val="AECE9F1E"/>
    <w:lvl w:ilvl="0" w:tplc="BF1C2E22">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F677A54"/>
    <w:multiLevelType w:val="multilevel"/>
    <w:tmpl w:val="4F677A5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4520CA"/>
    <w:multiLevelType w:val="multilevel"/>
    <w:tmpl w:val="6A452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853BB6"/>
    <w:multiLevelType w:val="hybridMultilevel"/>
    <w:tmpl w:val="199CF4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CD5195"/>
    <w:multiLevelType w:val="multilevel"/>
    <w:tmpl w:val="FB6620E6"/>
    <w:lvl w:ilvl="0">
      <w:start w:val="1"/>
      <w:numFmt w:val="decimal"/>
      <w:lvlText w:val="%1."/>
      <w:lvlJc w:val="left"/>
      <w:pPr>
        <w:ind w:left="720" w:hanging="360"/>
      </w:pPr>
      <w:rPr>
        <w:rFonts w:hint="default"/>
        <w:b/>
      </w:rPr>
    </w:lvl>
    <w:lvl w:ilvl="1">
      <w:start w:val="2"/>
      <w:numFmt w:val="decimal"/>
      <w:isLgl/>
      <w:lvlText w:val="%1.%2"/>
      <w:lvlJc w:val="left"/>
      <w:pPr>
        <w:ind w:left="885" w:hanging="525"/>
      </w:pPr>
      <w:rPr>
        <w:rFonts w:hint="default"/>
        <w:i/>
      </w:rPr>
    </w:lvl>
    <w:lvl w:ilvl="2">
      <w:start w:val="3"/>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794F2838"/>
    <w:multiLevelType w:val="multilevel"/>
    <w:tmpl w:val="794F28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8F"/>
    <w:rsid w:val="00001914"/>
    <w:rsid w:val="000027C8"/>
    <w:rsid w:val="00006569"/>
    <w:rsid w:val="000109E5"/>
    <w:rsid w:val="00026311"/>
    <w:rsid w:val="00065A86"/>
    <w:rsid w:val="000726A6"/>
    <w:rsid w:val="0007365F"/>
    <w:rsid w:val="00073BFB"/>
    <w:rsid w:val="000836E9"/>
    <w:rsid w:val="00085242"/>
    <w:rsid w:val="000A3CEB"/>
    <w:rsid w:val="000C4FD6"/>
    <w:rsid w:val="000C7D02"/>
    <w:rsid w:val="000F0C71"/>
    <w:rsid w:val="000F5053"/>
    <w:rsid w:val="00116A0A"/>
    <w:rsid w:val="001240DB"/>
    <w:rsid w:val="00127DBA"/>
    <w:rsid w:val="001368DD"/>
    <w:rsid w:val="001442EF"/>
    <w:rsid w:val="00156B20"/>
    <w:rsid w:val="00184EAB"/>
    <w:rsid w:val="0019203D"/>
    <w:rsid w:val="00194113"/>
    <w:rsid w:val="001A1594"/>
    <w:rsid w:val="001A38B9"/>
    <w:rsid w:val="001B6ECF"/>
    <w:rsid w:val="001C01A5"/>
    <w:rsid w:val="001C1708"/>
    <w:rsid w:val="001D2B9F"/>
    <w:rsid w:val="001E08EE"/>
    <w:rsid w:val="001E58DD"/>
    <w:rsid w:val="001F6D4A"/>
    <w:rsid w:val="002064BE"/>
    <w:rsid w:val="002078ED"/>
    <w:rsid w:val="00212D4F"/>
    <w:rsid w:val="00220C9C"/>
    <w:rsid w:val="00222493"/>
    <w:rsid w:val="002242BD"/>
    <w:rsid w:val="00225899"/>
    <w:rsid w:val="00227AAC"/>
    <w:rsid w:val="00231156"/>
    <w:rsid w:val="002324CF"/>
    <w:rsid w:val="002525A7"/>
    <w:rsid w:val="00284D02"/>
    <w:rsid w:val="00285C75"/>
    <w:rsid w:val="00287E53"/>
    <w:rsid w:val="00297320"/>
    <w:rsid w:val="002A2F61"/>
    <w:rsid w:val="002A36C8"/>
    <w:rsid w:val="002A564A"/>
    <w:rsid w:val="002B0E56"/>
    <w:rsid w:val="002C7A80"/>
    <w:rsid w:val="002D179E"/>
    <w:rsid w:val="002D53D9"/>
    <w:rsid w:val="002E556F"/>
    <w:rsid w:val="002E7103"/>
    <w:rsid w:val="002F445A"/>
    <w:rsid w:val="002F4826"/>
    <w:rsid w:val="002F7CCB"/>
    <w:rsid w:val="003141CC"/>
    <w:rsid w:val="00322E8A"/>
    <w:rsid w:val="00327EAC"/>
    <w:rsid w:val="0033057E"/>
    <w:rsid w:val="00332F54"/>
    <w:rsid w:val="0034249D"/>
    <w:rsid w:val="00351F45"/>
    <w:rsid w:val="00352DFA"/>
    <w:rsid w:val="00357021"/>
    <w:rsid w:val="003579FC"/>
    <w:rsid w:val="00372705"/>
    <w:rsid w:val="00373B84"/>
    <w:rsid w:val="00376C13"/>
    <w:rsid w:val="00377D04"/>
    <w:rsid w:val="00383112"/>
    <w:rsid w:val="0038679C"/>
    <w:rsid w:val="003A67CF"/>
    <w:rsid w:val="003B6803"/>
    <w:rsid w:val="003D3DCE"/>
    <w:rsid w:val="003D5A70"/>
    <w:rsid w:val="003D654A"/>
    <w:rsid w:val="003F0E76"/>
    <w:rsid w:val="0043461C"/>
    <w:rsid w:val="00444419"/>
    <w:rsid w:val="004453A1"/>
    <w:rsid w:val="00451D45"/>
    <w:rsid w:val="00455B33"/>
    <w:rsid w:val="004748B0"/>
    <w:rsid w:val="004846A5"/>
    <w:rsid w:val="00493E8F"/>
    <w:rsid w:val="004B22CD"/>
    <w:rsid w:val="004D18B9"/>
    <w:rsid w:val="004D293E"/>
    <w:rsid w:val="004D2C5D"/>
    <w:rsid w:val="004E0064"/>
    <w:rsid w:val="004E1538"/>
    <w:rsid w:val="004E15DE"/>
    <w:rsid w:val="004E7A1C"/>
    <w:rsid w:val="00503A81"/>
    <w:rsid w:val="00520373"/>
    <w:rsid w:val="00544C6D"/>
    <w:rsid w:val="00552E94"/>
    <w:rsid w:val="00593444"/>
    <w:rsid w:val="005954DB"/>
    <w:rsid w:val="00596AFD"/>
    <w:rsid w:val="005A3B55"/>
    <w:rsid w:val="005A4268"/>
    <w:rsid w:val="005A79DA"/>
    <w:rsid w:val="005A7E7F"/>
    <w:rsid w:val="005B2CB2"/>
    <w:rsid w:val="005B699A"/>
    <w:rsid w:val="005C5B8C"/>
    <w:rsid w:val="005E367E"/>
    <w:rsid w:val="005F5FE8"/>
    <w:rsid w:val="006165CE"/>
    <w:rsid w:val="0061667B"/>
    <w:rsid w:val="00622BCC"/>
    <w:rsid w:val="00623F45"/>
    <w:rsid w:val="006276D9"/>
    <w:rsid w:val="00653561"/>
    <w:rsid w:val="00654AED"/>
    <w:rsid w:val="0066377A"/>
    <w:rsid w:val="00691EF6"/>
    <w:rsid w:val="006926DC"/>
    <w:rsid w:val="006A4432"/>
    <w:rsid w:val="006B2411"/>
    <w:rsid w:val="006C299E"/>
    <w:rsid w:val="006D4F0E"/>
    <w:rsid w:val="006E28CE"/>
    <w:rsid w:val="006F5AFF"/>
    <w:rsid w:val="00704E18"/>
    <w:rsid w:val="00723F0D"/>
    <w:rsid w:val="00724968"/>
    <w:rsid w:val="007311EB"/>
    <w:rsid w:val="00736BC1"/>
    <w:rsid w:val="007409B5"/>
    <w:rsid w:val="007443B7"/>
    <w:rsid w:val="00775096"/>
    <w:rsid w:val="0078545B"/>
    <w:rsid w:val="00793BDB"/>
    <w:rsid w:val="007C5633"/>
    <w:rsid w:val="007D08AA"/>
    <w:rsid w:val="007E2404"/>
    <w:rsid w:val="007F00E7"/>
    <w:rsid w:val="0081233A"/>
    <w:rsid w:val="0083502A"/>
    <w:rsid w:val="00843E88"/>
    <w:rsid w:val="0086576E"/>
    <w:rsid w:val="008A222A"/>
    <w:rsid w:val="008A4F1E"/>
    <w:rsid w:val="008B3768"/>
    <w:rsid w:val="008D2CA2"/>
    <w:rsid w:val="008E421C"/>
    <w:rsid w:val="008E6893"/>
    <w:rsid w:val="008F0249"/>
    <w:rsid w:val="009008EF"/>
    <w:rsid w:val="009364AF"/>
    <w:rsid w:val="00943177"/>
    <w:rsid w:val="009537CD"/>
    <w:rsid w:val="0096243E"/>
    <w:rsid w:val="00993196"/>
    <w:rsid w:val="00993629"/>
    <w:rsid w:val="009A4E77"/>
    <w:rsid w:val="009A5800"/>
    <w:rsid w:val="009B7AA5"/>
    <w:rsid w:val="009C4E33"/>
    <w:rsid w:val="009D2779"/>
    <w:rsid w:val="009D7D1B"/>
    <w:rsid w:val="009E101B"/>
    <w:rsid w:val="009E56FF"/>
    <w:rsid w:val="009E70E1"/>
    <w:rsid w:val="009F1918"/>
    <w:rsid w:val="009F5C8B"/>
    <w:rsid w:val="00A1390D"/>
    <w:rsid w:val="00A31B0C"/>
    <w:rsid w:val="00A3335E"/>
    <w:rsid w:val="00A36A8E"/>
    <w:rsid w:val="00A37674"/>
    <w:rsid w:val="00A412A2"/>
    <w:rsid w:val="00A46AC1"/>
    <w:rsid w:val="00A5721D"/>
    <w:rsid w:val="00A814B3"/>
    <w:rsid w:val="00AB19C8"/>
    <w:rsid w:val="00AC0F84"/>
    <w:rsid w:val="00AC3B63"/>
    <w:rsid w:val="00AC7407"/>
    <w:rsid w:val="00AC79B3"/>
    <w:rsid w:val="00AD131C"/>
    <w:rsid w:val="00AD36CF"/>
    <w:rsid w:val="00AF0BBD"/>
    <w:rsid w:val="00AF65CA"/>
    <w:rsid w:val="00B01DE9"/>
    <w:rsid w:val="00B12F57"/>
    <w:rsid w:val="00B50E66"/>
    <w:rsid w:val="00B63130"/>
    <w:rsid w:val="00B66BF9"/>
    <w:rsid w:val="00B84F15"/>
    <w:rsid w:val="00B921BE"/>
    <w:rsid w:val="00BB6FAB"/>
    <w:rsid w:val="00BC67C8"/>
    <w:rsid w:val="00C076AA"/>
    <w:rsid w:val="00C1083D"/>
    <w:rsid w:val="00C23013"/>
    <w:rsid w:val="00C37C71"/>
    <w:rsid w:val="00C52C76"/>
    <w:rsid w:val="00C56013"/>
    <w:rsid w:val="00C65858"/>
    <w:rsid w:val="00C8260F"/>
    <w:rsid w:val="00CA60BE"/>
    <w:rsid w:val="00CA624A"/>
    <w:rsid w:val="00CA7894"/>
    <w:rsid w:val="00CE20D8"/>
    <w:rsid w:val="00CE3010"/>
    <w:rsid w:val="00CE5E84"/>
    <w:rsid w:val="00D013AB"/>
    <w:rsid w:val="00D122D3"/>
    <w:rsid w:val="00D212E1"/>
    <w:rsid w:val="00D22932"/>
    <w:rsid w:val="00D24C91"/>
    <w:rsid w:val="00D47A1F"/>
    <w:rsid w:val="00D541EF"/>
    <w:rsid w:val="00D627F6"/>
    <w:rsid w:val="00D678FB"/>
    <w:rsid w:val="00D80FF9"/>
    <w:rsid w:val="00D8242A"/>
    <w:rsid w:val="00DA7F01"/>
    <w:rsid w:val="00DB35A9"/>
    <w:rsid w:val="00DB3E4F"/>
    <w:rsid w:val="00DC0D22"/>
    <w:rsid w:val="00DC384E"/>
    <w:rsid w:val="00DD08C4"/>
    <w:rsid w:val="00DD1EA5"/>
    <w:rsid w:val="00DD600D"/>
    <w:rsid w:val="00DF1E98"/>
    <w:rsid w:val="00DF3A26"/>
    <w:rsid w:val="00E17968"/>
    <w:rsid w:val="00E2439B"/>
    <w:rsid w:val="00E31C87"/>
    <w:rsid w:val="00E32408"/>
    <w:rsid w:val="00E33F9B"/>
    <w:rsid w:val="00E3651C"/>
    <w:rsid w:val="00E41563"/>
    <w:rsid w:val="00E420CE"/>
    <w:rsid w:val="00E57DDC"/>
    <w:rsid w:val="00E62A50"/>
    <w:rsid w:val="00E62BF9"/>
    <w:rsid w:val="00E6795A"/>
    <w:rsid w:val="00E81A5A"/>
    <w:rsid w:val="00E92BD0"/>
    <w:rsid w:val="00E92EED"/>
    <w:rsid w:val="00E94AE8"/>
    <w:rsid w:val="00E96D17"/>
    <w:rsid w:val="00E97837"/>
    <w:rsid w:val="00EA2896"/>
    <w:rsid w:val="00EA6DA5"/>
    <w:rsid w:val="00EB0F24"/>
    <w:rsid w:val="00EB2497"/>
    <w:rsid w:val="00EB5401"/>
    <w:rsid w:val="00EB5B05"/>
    <w:rsid w:val="00EC669B"/>
    <w:rsid w:val="00ED4788"/>
    <w:rsid w:val="00ED57A5"/>
    <w:rsid w:val="00EE3076"/>
    <w:rsid w:val="00EF1582"/>
    <w:rsid w:val="00F051EC"/>
    <w:rsid w:val="00F05B64"/>
    <w:rsid w:val="00F24433"/>
    <w:rsid w:val="00F33614"/>
    <w:rsid w:val="00F357C4"/>
    <w:rsid w:val="00F53450"/>
    <w:rsid w:val="00F5527D"/>
    <w:rsid w:val="00F567C5"/>
    <w:rsid w:val="00F76438"/>
    <w:rsid w:val="00F83B9E"/>
    <w:rsid w:val="00F85016"/>
    <w:rsid w:val="00F86910"/>
    <w:rsid w:val="00FA1E1E"/>
    <w:rsid w:val="00FA2A19"/>
    <w:rsid w:val="00FA44C3"/>
    <w:rsid w:val="00FA63DB"/>
    <w:rsid w:val="00FA6D9B"/>
    <w:rsid w:val="00FB31B5"/>
    <w:rsid w:val="00FB76D5"/>
    <w:rsid w:val="00FC574A"/>
    <w:rsid w:val="00FC6F14"/>
    <w:rsid w:val="00FC7BB6"/>
    <w:rsid w:val="083D7A6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D7C3B23"/>
  <w15:docId w15:val="{82674FAA-31B6-4E41-AD10-D3D63D5C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
    <w:qFormat/>
    <w:rsid w:val="00DB3E4F"/>
    <w:pPr>
      <w:keepNext/>
      <w:keepLines/>
      <w:numPr>
        <w:numId w:val="8"/>
      </w:numPr>
      <w:spacing w:before="360" w:after="80"/>
      <w:ind w:left="360"/>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autoRedefine/>
    <w:uiPriority w:val="9"/>
    <w:unhideWhenUsed/>
    <w:qFormat/>
    <w:rsid w:val="00DB3E4F"/>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pPr>
      <w:keepNext/>
      <w:keepLines/>
      <w:spacing w:before="160" w:after="80"/>
      <w:jc w:val="both"/>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14:ligatures w14:val="standardContextual"/>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DB3E4F"/>
    <w:rPr>
      <w:rFonts w:ascii="Times New Roman" w:eastAsiaTheme="majorEastAsia" w:hAnsi="Times New Roman" w:cstheme="majorBidi"/>
      <w:b/>
      <w:color w:val="000000" w:themeColor="text1"/>
      <w:sz w:val="24"/>
      <w:szCs w:val="40"/>
      <w:lang w:eastAsia="en-US"/>
    </w:rPr>
  </w:style>
  <w:style w:type="character" w:customStyle="1" w:styleId="Heading2Char">
    <w:name w:val="Heading 2 Char"/>
    <w:basedOn w:val="DefaultParagraphFont"/>
    <w:link w:val="Heading2"/>
    <w:uiPriority w:val="9"/>
    <w:qFormat/>
    <w:rsid w:val="00DB3E4F"/>
    <w:rPr>
      <w:rFonts w:ascii="Times New Roman" w:eastAsiaTheme="majorEastAsia" w:hAnsi="Times New Roman" w:cstheme="majorBidi"/>
      <w:b/>
      <w:color w:val="000000" w:themeColor="text1"/>
      <w:sz w:val="24"/>
      <w:szCs w:val="32"/>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color w:val="000000" w:themeColor="text1"/>
      <w:kern w:val="0"/>
      <w:szCs w:val="28"/>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B50E66"/>
    <w:rPr>
      <w:sz w:val="22"/>
      <w:szCs w:val="22"/>
      <w:lang w:eastAsia="en-US"/>
    </w:rPr>
  </w:style>
  <w:style w:type="character" w:styleId="IntenseEmphasis">
    <w:name w:val="Intense Emphasis"/>
    <w:basedOn w:val="DefaultParagraphFont"/>
    <w:uiPriority w:val="21"/>
    <w:qFormat/>
    <w:rsid w:val="009D7D1B"/>
    <w:rPr>
      <w:i/>
      <w:iCs/>
      <w:color w:val="0F4761" w:themeColor="accent1" w:themeShade="BF"/>
    </w:rPr>
  </w:style>
  <w:style w:type="character" w:styleId="IntenseReference">
    <w:name w:val="Intense Reference"/>
    <w:basedOn w:val="DefaultParagraphFont"/>
    <w:uiPriority w:val="32"/>
    <w:qFormat/>
    <w:rsid w:val="009D7D1B"/>
    <w:rPr>
      <w:b/>
      <w:bCs/>
      <w:smallCaps/>
      <w:color w:val="0F4761" w:themeColor="accent1" w:themeShade="BF"/>
      <w:spacing w:val="5"/>
    </w:rPr>
  </w:style>
  <w:style w:type="table" w:styleId="PlainTable2">
    <w:name w:val="Plain Table 2"/>
    <w:basedOn w:val="TableNormal"/>
    <w:uiPriority w:val="42"/>
    <w:rsid w:val="009D7D1B"/>
    <w:rPr>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rsid w:val="009D7D1B"/>
    <w:rPr>
      <w:sz w:val="22"/>
      <w:szCs w:val="22"/>
      <w:lang w:eastAsia="en-US"/>
    </w:rPr>
  </w:style>
  <w:style w:type="character" w:styleId="UnresolvedMention">
    <w:name w:val="Unresolved Mention"/>
    <w:basedOn w:val="DefaultParagraphFont"/>
    <w:uiPriority w:val="99"/>
    <w:semiHidden/>
    <w:unhideWhenUsed/>
    <w:rsid w:val="00E3651C"/>
    <w:rPr>
      <w:color w:val="605E5C"/>
      <w:shd w:val="clear" w:color="auto" w:fill="E1DFDD"/>
    </w:rPr>
  </w:style>
  <w:style w:type="character" w:styleId="LineNumber">
    <w:name w:val="line number"/>
    <w:basedOn w:val="DefaultParagraphFont"/>
    <w:uiPriority w:val="99"/>
    <w:semiHidden/>
    <w:unhideWhenUsed/>
    <w:rsid w:val="002D53D9"/>
  </w:style>
  <w:style w:type="table" w:customStyle="1" w:styleId="TableGrid1">
    <w:name w:val="Table Grid1"/>
    <w:basedOn w:val="TableNormal"/>
    <w:next w:val="TableGrid"/>
    <w:uiPriority w:val="39"/>
    <w:rsid w:val="000C4FD6"/>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02"/>
    <w:rPr>
      <w:sz w:val="22"/>
      <w:szCs w:val="22"/>
      <w:lang w:eastAsia="en-US"/>
    </w:rPr>
  </w:style>
  <w:style w:type="paragraph" w:styleId="Footer">
    <w:name w:val="footer"/>
    <w:basedOn w:val="Normal"/>
    <w:link w:val="FooterChar"/>
    <w:uiPriority w:val="99"/>
    <w:unhideWhenUsed/>
    <w:rsid w:val="0028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D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hsprogram.com/data/dataset_admin/login_main.cfm" TargetMode="External"/><Relationship Id="rId12" Type="http://schemas.openxmlformats.org/officeDocument/2006/relationships/image" Target="media/image3.wmf"/><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hsprogram.com/Data/" TargetMode="External"/><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hsprogram.com/Dat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7173</Words>
  <Characters>40891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Koustav Ghosh</dc:creator>
  <cp:lastModifiedBy>SDI 1084</cp:lastModifiedBy>
  <cp:revision>10</cp:revision>
  <cp:lastPrinted>2024-11-27T08:22:00Z</cp:lastPrinted>
  <dcterms:created xsi:type="dcterms:W3CDTF">2026-04-27T09:02:00Z</dcterms:created>
  <dcterms:modified xsi:type="dcterms:W3CDTF">2026-05-05T11:44:00Z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6ce507ce-cc7d-450c-b8bd-3115769abe4c</vt:lpwstr>
  </property>
  <property fmtid="{D5CDD505-2E9C-101B-9397-08002B2CF9AE}" pid="3" name="KSOProductBuildVer">
    <vt:lpwstr>1033-12.2.0.18607</vt:lpwstr>
  </property>
  <property fmtid="{D5CDD505-2E9C-101B-9397-08002B2CF9AE}" pid="4" name="ICV">
    <vt:lpwstr>F9204886C39146BF9D3D29A6C8DE46DF_13</vt:lpwstr>
  </property>
</Properties>
</file>