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CED4C" w14:textId="48DFCBAD" w:rsidR="007357B1" w:rsidRDefault="00BB79BB">
      <w:pPr>
        <w:pStyle w:val="Title"/>
        <w:spacing w:after="0"/>
        <w:jc w:val="both"/>
        <w:rPr>
          <w:rFonts w:ascii="Arial" w:hAnsi="Arial" w:cs="Arial"/>
        </w:rPr>
      </w:pPr>
      <w:r w:rsidRPr="00BB79BB">
        <w:rPr>
          <w:rFonts w:ascii="Arial" w:hAnsi="Arial" w:cs="Arial"/>
        </w:rPr>
        <w:t>Short Research Article</w:t>
      </w:r>
    </w:p>
    <w:p w14:paraId="4C95963F" w14:textId="77777777" w:rsidR="00BB79BB" w:rsidRPr="00BB79BB" w:rsidRDefault="00BB79BB" w:rsidP="00BB79BB">
      <w:pPr>
        <w:pStyle w:val="BodyText"/>
      </w:pPr>
    </w:p>
    <w:p w14:paraId="5CE475CF" w14:textId="0DDAF481" w:rsidR="007357B1" w:rsidRDefault="007B2D23">
      <w:pPr>
        <w:pStyle w:val="Author"/>
        <w:spacing w:line="240" w:lineRule="auto"/>
        <w:rPr>
          <w:sz w:val="36"/>
          <w:szCs w:val="36"/>
          <w:lang w:val="pt-BR"/>
        </w:rPr>
      </w:pPr>
      <w:r>
        <w:rPr>
          <w:rFonts w:ascii="Arial" w:hAnsi="Arial"/>
          <w:bCs/>
          <w:kern w:val="2"/>
          <w:sz w:val="36"/>
          <w:szCs w:val="36"/>
          <w:lang w:val="en-GB"/>
        </w:rPr>
        <w:t>Phytotoxicity evaluation of silver nanoparticles used in agriculture: stimulatory and inhibitory effects on growth of microalgae and lettuce</w:t>
      </w:r>
      <w:r w:rsidR="00BB79BB">
        <w:rPr>
          <w:rFonts w:ascii="Arial" w:hAnsi="Arial"/>
          <w:bCs/>
          <w:kern w:val="2"/>
          <w:sz w:val="36"/>
          <w:szCs w:val="36"/>
          <w:lang w:val="en-GB"/>
        </w:rPr>
        <w:t xml:space="preserve"> </w:t>
      </w:r>
      <w:r>
        <w:rPr>
          <w:rFonts w:ascii="Arial" w:hAnsi="Arial"/>
          <w:bCs/>
          <w:kern w:val="2"/>
          <w:sz w:val="36"/>
          <w:szCs w:val="36"/>
          <w:lang w:val="pt-BR"/>
        </w:rPr>
        <w:t>seeds</w:t>
      </w:r>
      <w:r>
        <w:rPr>
          <w:rFonts w:ascii="Arial" w:hAnsi="Arial" w:cs="Arial"/>
          <w:bCs/>
          <w:iCs/>
          <w:kern w:val="2"/>
          <w:sz w:val="36"/>
          <w:szCs w:val="36"/>
          <w:lang w:val="pt-BR"/>
        </w:rPr>
        <w:t xml:space="preserve"> </w:t>
      </w:r>
    </w:p>
    <w:p w14:paraId="43887D09" w14:textId="77777777" w:rsidR="007357B1" w:rsidRDefault="007357B1">
      <w:pPr>
        <w:pStyle w:val="Author"/>
        <w:spacing w:line="240" w:lineRule="auto"/>
        <w:jc w:val="both"/>
        <w:rPr>
          <w:rFonts w:ascii="Arial" w:hAnsi="Arial" w:cs="Arial"/>
          <w:sz w:val="36"/>
          <w:szCs w:val="36"/>
          <w:lang w:val="pt-BR"/>
        </w:rPr>
      </w:pPr>
    </w:p>
    <w:p w14:paraId="1CB450AA" w14:textId="77777777" w:rsidR="007357B1" w:rsidRDefault="007357B1">
      <w:pPr>
        <w:pStyle w:val="Affiliation"/>
        <w:spacing w:after="0" w:line="240" w:lineRule="auto"/>
        <w:jc w:val="both"/>
        <w:rPr>
          <w:rFonts w:ascii="Arial" w:hAnsi="Arial" w:cs="Arial"/>
          <w:lang w:val="pt-BR"/>
        </w:rPr>
      </w:pPr>
    </w:p>
    <w:p w14:paraId="4C875B0E" w14:textId="77777777" w:rsidR="007357B1" w:rsidRDefault="007B2D23">
      <w:pPr>
        <w:pStyle w:val="Copyright"/>
        <w:spacing w:after="0" w:line="240" w:lineRule="auto"/>
        <w:jc w:val="both"/>
        <w:rPr>
          <w:rFonts w:ascii="Arial" w:hAnsi="Arial" w:cs="Arial"/>
        </w:rPr>
      </w:pPr>
      <w:r>
        <w:rPr>
          <w:noProof/>
          <w:lang w:val="pt-BR" w:eastAsia="pt-BR"/>
        </w:rPr>
        <mc:AlternateContent>
          <mc:Choice Requires="wps">
            <w:drawing>
              <wp:inline distT="0" distB="0" distL="0" distR="0" wp14:anchorId="22E50B46" wp14:editId="47EE3034">
                <wp:extent cx="5303520" cy="635"/>
                <wp:effectExtent l="114300" t="0" r="114300" b="0"/>
                <wp:docPr id="1" name="Conector de seta reta 1"/>
                <wp:cNvGraphicFramePr/>
                <a:graphic xmlns:a="http://schemas.openxmlformats.org/drawingml/2006/main">
                  <a:graphicData uri="http://schemas.microsoft.com/office/word/2010/wordprocessingShape">
                    <wps:wsp>
                      <wps:cNvCnPr/>
                      <wps:spPr>
                        <a:xfrm>
                          <a:off x="0" y="0"/>
                          <a:ext cx="5303520" cy="720"/>
                        </a:xfrm>
                        <a:prstGeom prst="straightConnector1">
                          <a:avLst/>
                        </a:pr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D1021B"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" strokeweight=".53mm">
                <w10:anchorlock/>
              </v:shape>
            </w:pict>
          </mc:Fallback>
        </mc:AlternateContent>
      </w:r>
      <w:r>
        <w:rPr>
          <w:rFonts w:ascii="Arial" w:hAnsi="Arial" w:cs="Arial"/>
        </w:rPr>
        <w:t>.</w:t>
      </w:r>
    </w:p>
    <w:p w14:paraId="7FBD04FE" w14:textId="77777777" w:rsidR="007357B1" w:rsidRDefault="007357B1">
      <w:pPr>
        <w:sectPr w:rsidR="007357B1" w:rsidSect="00777C6A">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16384"/>
        </w:sectPr>
      </w:pPr>
    </w:p>
    <w:p w14:paraId="11758D78" w14:textId="77777777" w:rsidR="007357B1" w:rsidRDefault="007B2D23">
      <w:pPr>
        <w:pStyle w:val="AbstHead"/>
        <w:spacing w:after="0"/>
        <w:jc w:val="both"/>
        <w:rPr>
          <w:rFonts w:ascii="Arial" w:hAnsi="Arial" w:cs="Arial"/>
        </w:rPr>
      </w:pPr>
      <w:r>
        <w:rPr>
          <w:rFonts w:ascii="Arial" w:hAnsi="Arial" w:cs="Arial"/>
        </w:rPr>
        <w:t xml:space="preserve">ABSTRACT </w:t>
      </w:r>
    </w:p>
    <w:p w14:paraId="65C0FE8C" w14:textId="77777777" w:rsidR="007357B1" w:rsidRDefault="007357B1">
      <w:pPr>
        <w:pStyle w:val="AbstHead"/>
        <w:spacing w:after="0"/>
        <w:jc w:val="both"/>
        <w:rPr>
          <w:rFonts w:ascii="Arial" w:hAnsi="Arial" w:cs="Arial"/>
        </w:rPr>
      </w:pPr>
    </w:p>
    <w:tbl>
      <w:tblPr>
        <w:tblW w:w="8484" w:type="dxa"/>
        <w:tblLayout w:type="fixed"/>
        <w:tblLook w:val="04A0" w:firstRow="1" w:lastRow="0" w:firstColumn="1" w:lastColumn="0" w:noHBand="0" w:noVBand="1"/>
      </w:tblPr>
      <w:tblGrid>
        <w:gridCol w:w="8484"/>
      </w:tblGrid>
      <w:tr w:rsidR="007357B1" w14:paraId="61726D99" w14:textId="77777777">
        <w:trPr>
          <w:trHeight w:val="3940"/>
        </w:trPr>
        <w:tc>
          <w:tcPr>
            <w:tcW w:w="8484" w:type="dxa"/>
            <w:tcBorders>
              <w:top w:val="single" w:sz="4" w:space="0" w:color="000000"/>
              <w:left w:val="single" w:sz="4" w:space="0" w:color="000000"/>
              <w:bottom w:val="single" w:sz="4" w:space="0" w:color="000000"/>
              <w:right w:val="single" w:sz="4" w:space="0" w:color="000000"/>
            </w:tcBorders>
            <w:shd w:val="clear" w:color="auto" w:fill="F2F2F2"/>
          </w:tcPr>
          <w:p w14:paraId="37F2256A" w14:textId="77777777" w:rsidR="007357B1" w:rsidRDefault="007357B1">
            <w:pPr>
              <w:jc w:val="both"/>
              <w:rPr>
                <w:rFonts w:ascii="Arial" w:hAnsi="Arial"/>
              </w:rPr>
            </w:pPr>
          </w:p>
          <w:p w14:paraId="5F922434" w14:textId="77777777" w:rsidR="007357B1" w:rsidRDefault="007B2D23">
            <w:pPr>
              <w:jc w:val="both"/>
              <w:rPr>
                <w:rFonts w:ascii="Arial" w:hAnsi="Arial"/>
                <w:lang w:val="en-GB"/>
              </w:rPr>
            </w:pPr>
            <w:r>
              <w:rPr>
                <w:rFonts w:ascii="Arial" w:hAnsi="Arial"/>
                <w:lang w:val="en-GB"/>
              </w:rPr>
              <w:t>Silver nanoparticles (</w:t>
            </w:r>
            <w:proofErr w:type="spellStart"/>
            <w:r>
              <w:rPr>
                <w:rFonts w:ascii="Arial" w:hAnsi="Arial"/>
                <w:lang w:val="en-GB"/>
              </w:rPr>
              <w:t>AgNP</w:t>
            </w:r>
            <w:proofErr w:type="spellEnd"/>
            <w:r>
              <w:rPr>
                <w:rFonts w:ascii="Arial" w:hAnsi="Arial"/>
                <w:lang w:val="en-GB"/>
              </w:rPr>
              <w:t xml:space="preserve">) have optical, electrical, thermal and antimicrobial properties that have been applied in several sectors, such as chemical / biological sensors and surgical materials. In the agricultural sector, formulations based on </w:t>
            </w:r>
            <w:proofErr w:type="spellStart"/>
            <w:r>
              <w:rPr>
                <w:rFonts w:ascii="Arial" w:hAnsi="Arial"/>
                <w:lang w:val="en-GB"/>
              </w:rPr>
              <w:t>AgNP</w:t>
            </w:r>
            <w:proofErr w:type="spellEnd"/>
            <w:r>
              <w:rPr>
                <w:rFonts w:ascii="Arial" w:hAnsi="Arial"/>
                <w:lang w:val="en-GB"/>
              </w:rPr>
              <w:t xml:space="preserve"> help to prevent plant pathogens through seed disinfection and control of plant diseases caused by bacteria. </w:t>
            </w:r>
            <w:proofErr w:type="gramStart"/>
            <w:r>
              <w:rPr>
                <w:rFonts w:ascii="Arial" w:hAnsi="Arial"/>
                <w:lang w:val="en-GB"/>
              </w:rPr>
              <w:t>Therefore</w:t>
            </w:r>
            <w:proofErr w:type="gramEnd"/>
            <w:r>
              <w:rPr>
                <w:rFonts w:ascii="Arial" w:hAnsi="Arial"/>
                <w:lang w:val="en-GB"/>
              </w:rPr>
              <w:t xml:space="preserve"> the consumption of products containing </w:t>
            </w:r>
            <w:proofErr w:type="spellStart"/>
            <w:r>
              <w:rPr>
                <w:rFonts w:ascii="Arial" w:hAnsi="Arial"/>
                <w:lang w:val="en-GB"/>
              </w:rPr>
              <w:t>AgNP</w:t>
            </w:r>
            <w:proofErr w:type="spellEnd"/>
            <w:r>
              <w:rPr>
                <w:rFonts w:ascii="Arial" w:hAnsi="Arial"/>
                <w:lang w:val="en-GB"/>
              </w:rPr>
              <w:t xml:space="preserve"> can lead to the release of these metallic nanoparticles in the environmental compartments. The purpose of the present work is to evaluate the effect of the </w:t>
            </w:r>
            <w:proofErr w:type="gramStart"/>
            <w:r>
              <w:rPr>
                <w:rFonts w:ascii="Arial" w:hAnsi="Arial"/>
                <w:lang w:val="en-GB"/>
              </w:rPr>
              <w:t>nanomaterial  in</w:t>
            </w:r>
            <w:proofErr w:type="gramEnd"/>
            <w:r>
              <w:rPr>
                <w:rFonts w:ascii="Arial" w:hAnsi="Arial"/>
                <w:lang w:val="en-GB"/>
              </w:rPr>
              <w:t xml:space="preserve"> the bioindicator organisms </w:t>
            </w:r>
            <w:proofErr w:type="spellStart"/>
            <w:r>
              <w:rPr>
                <w:rFonts w:ascii="Arial" w:hAnsi="Arial"/>
                <w:i/>
                <w:lang w:val="en-GB"/>
              </w:rPr>
              <w:t>Pseudokirchneriella</w:t>
            </w:r>
            <w:proofErr w:type="spellEnd"/>
            <w:r>
              <w:rPr>
                <w:rFonts w:ascii="Arial" w:hAnsi="Arial"/>
                <w:i/>
                <w:lang w:val="en-GB"/>
              </w:rPr>
              <w:t xml:space="preserve"> </w:t>
            </w:r>
            <w:proofErr w:type="spellStart"/>
            <w:r>
              <w:rPr>
                <w:rFonts w:ascii="Arial" w:hAnsi="Arial"/>
                <w:i/>
                <w:lang w:val="en-GB"/>
              </w:rPr>
              <w:t>subcapitata</w:t>
            </w:r>
            <w:proofErr w:type="spellEnd"/>
            <w:r>
              <w:rPr>
                <w:rFonts w:ascii="Arial" w:hAnsi="Arial"/>
                <w:lang w:val="en-GB"/>
              </w:rPr>
              <w:t xml:space="preserve"> (unicellular microalgae) and </w:t>
            </w:r>
            <w:r>
              <w:rPr>
                <w:rFonts w:ascii="Arial" w:hAnsi="Arial"/>
                <w:i/>
                <w:lang w:val="en-GB"/>
              </w:rPr>
              <w:t>Lactuca sativa</w:t>
            </w:r>
            <w:r>
              <w:rPr>
                <w:rFonts w:ascii="Arial" w:hAnsi="Arial"/>
                <w:lang w:val="en-GB"/>
              </w:rPr>
              <w:t xml:space="preserve"> (lettuce seed), the latter as a bioindicator of humid areas. At low concentrations of </w:t>
            </w:r>
            <w:proofErr w:type="spellStart"/>
            <w:r>
              <w:rPr>
                <w:rFonts w:ascii="Arial" w:hAnsi="Arial"/>
                <w:lang w:val="en-GB"/>
              </w:rPr>
              <w:t>AgNP</w:t>
            </w:r>
            <w:proofErr w:type="spellEnd"/>
            <w:r>
              <w:rPr>
                <w:rFonts w:ascii="Arial" w:hAnsi="Arial"/>
                <w:lang w:val="en-GB"/>
              </w:rPr>
              <w:t xml:space="preserve"> (0.1 to 1.0 mg L</w:t>
            </w:r>
            <w:r>
              <w:rPr>
                <w:rFonts w:ascii="Arial" w:hAnsi="Arial"/>
                <w:vertAlign w:val="superscript"/>
                <w:lang w:val="en-GB"/>
              </w:rPr>
              <w:t>-1</w:t>
            </w:r>
            <w:r>
              <w:rPr>
                <w:rFonts w:ascii="Arial" w:hAnsi="Arial"/>
                <w:lang w:val="en-GB"/>
              </w:rPr>
              <w:t xml:space="preserve">), </w:t>
            </w:r>
            <w:proofErr w:type="spellStart"/>
            <w:r>
              <w:rPr>
                <w:rFonts w:ascii="Arial" w:hAnsi="Arial"/>
                <w:lang w:val="en-GB"/>
              </w:rPr>
              <w:t>biostimulation</w:t>
            </w:r>
            <w:proofErr w:type="spellEnd"/>
            <w:r>
              <w:rPr>
                <w:rFonts w:ascii="Arial" w:hAnsi="Arial"/>
                <w:lang w:val="en-GB"/>
              </w:rPr>
              <w:t xml:space="preserve"> was associated with an increase in percentage of algae growth and with the elongation of root in </w:t>
            </w:r>
            <w:r>
              <w:rPr>
                <w:rFonts w:ascii="Arial" w:hAnsi="Arial"/>
                <w:i/>
                <w:lang w:val="en-GB"/>
              </w:rPr>
              <w:t xml:space="preserve">L. </w:t>
            </w:r>
            <w:proofErr w:type="gramStart"/>
            <w:r>
              <w:rPr>
                <w:rFonts w:ascii="Arial" w:hAnsi="Arial"/>
                <w:i/>
                <w:lang w:val="en-GB"/>
              </w:rPr>
              <w:t>sativa</w:t>
            </w:r>
            <w:r>
              <w:rPr>
                <w:rFonts w:ascii="Arial" w:hAnsi="Arial"/>
                <w:lang w:val="en-GB"/>
              </w:rPr>
              <w:t xml:space="preserve">  at</w:t>
            </w:r>
            <w:proofErr w:type="gramEnd"/>
            <w:r>
              <w:rPr>
                <w:rFonts w:ascii="Arial" w:hAnsi="Arial"/>
                <w:lang w:val="en-GB"/>
              </w:rPr>
              <w:t xml:space="preserve"> 0,01 mg L</w:t>
            </w:r>
            <w:r>
              <w:rPr>
                <w:rFonts w:ascii="Arial" w:hAnsi="Arial"/>
                <w:vertAlign w:val="superscript"/>
                <w:lang w:val="en-GB"/>
              </w:rPr>
              <w:t>-1</w:t>
            </w:r>
            <w:r>
              <w:rPr>
                <w:rFonts w:ascii="Arial" w:hAnsi="Arial"/>
                <w:lang w:val="en-GB"/>
              </w:rPr>
              <w:t>. A dose-effect relationship was determined for both organisms by calculating the Mean Effective Concentration (EC50) associated with the inhibition of the growth rate. This was equivalent to 3.67 mg L</w:t>
            </w:r>
            <w:r>
              <w:rPr>
                <w:rFonts w:ascii="Arial" w:hAnsi="Arial"/>
                <w:vertAlign w:val="superscript"/>
                <w:lang w:val="en-GB"/>
              </w:rPr>
              <w:t>-1</w:t>
            </w:r>
            <w:r>
              <w:rPr>
                <w:rFonts w:ascii="Arial" w:hAnsi="Arial"/>
                <w:lang w:val="en-GB"/>
              </w:rPr>
              <w:t xml:space="preserve"> (EC50-168h) and 35.31 mg L</w:t>
            </w:r>
            <w:r>
              <w:rPr>
                <w:rFonts w:ascii="Arial" w:hAnsi="Arial"/>
                <w:vertAlign w:val="superscript"/>
                <w:lang w:val="en-GB"/>
              </w:rPr>
              <w:t>-1</w:t>
            </w:r>
            <w:r>
              <w:rPr>
                <w:rFonts w:ascii="Arial" w:hAnsi="Arial"/>
                <w:lang w:val="en-GB"/>
              </w:rPr>
              <w:t xml:space="preserve"> (EC50-96h), respectively for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xml:space="preserve"> and </w:t>
            </w:r>
            <w:proofErr w:type="spellStart"/>
            <w:r>
              <w:rPr>
                <w:rFonts w:ascii="Arial" w:hAnsi="Arial"/>
                <w:i/>
                <w:lang w:val="en-GB"/>
              </w:rPr>
              <w:t>Lactuca</w:t>
            </w:r>
            <w:proofErr w:type="spellEnd"/>
            <w:r>
              <w:rPr>
                <w:rFonts w:ascii="Arial" w:hAnsi="Arial"/>
                <w:i/>
                <w:lang w:val="en-GB"/>
              </w:rPr>
              <w:t xml:space="preserve"> sativa</w:t>
            </w:r>
            <w:r>
              <w:rPr>
                <w:rFonts w:ascii="Arial" w:hAnsi="Arial"/>
                <w:lang w:val="en-GB"/>
              </w:rPr>
              <w:t>. The determination of the No Observed Effect Concentration (NOEC) values (0.58 and 1.45 mg L</w:t>
            </w:r>
            <w:r>
              <w:rPr>
                <w:rFonts w:ascii="Arial" w:hAnsi="Arial"/>
                <w:vertAlign w:val="superscript"/>
                <w:lang w:val="en-GB"/>
              </w:rPr>
              <w:t>-1</w:t>
            </w:r>
            <w:r>
              <w:rPr>
                <w:rFonts w:ascii="Arial" w:hAnsi="Arial"/>
                <w:lang w:val="en-GB"/>
              </w:rPr>
              <w:t xml:space="preserve">, respectively for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xml:space="preserve"> and </w:t>
            </w:r>
            <w:r>
              <w:rPr>
                <w:rFonts w:ascii="Arial" w:hAnsi="Arial"/>
                <w:i/>
                <w:lang w:val="en-GB"/>
              </w:rPr>
              <w:t>L. sativa</w:t>
            </w:r>
            <w:r>
              <w:rPr>
                <w:rFonts w:ascii="Arial" w:hAnsi="Arial"/>
                <w:lang w:val="en-GB"/>
              </w:rPr>
              <w:t>) is useful for the establishment of maximum permissible levels of the nanocomposite in the aquatic system and in adjacent areas to these compartments.</w:t>
            </w:r>
          </w:p>
          <w:p w14:paraId="0483D0C9" w14:textId="77777777" w:rsidR="007357B1" w:rsidRDefault="007357B1">
            <w:pPr>
              <w:pStyle w:val="Body"/>
              <w:spacing w:after="0"/>
              <w:rPr>
                <w:rFonts w:ascii="Arial" w:eastAsia="Calibri" w:hAnsi="Arial" w:cs="Arial"/>
                <w:b/>
                <w:bCs/>
                <w:szCs w:val="22"/>
              </w:rPr>
            </w:pPr>
          </w:p>
          <w:p w14:paraId="4FED6617" w14:textId="77777777" w:rsidR="007357B1" w:rsidRDefault="007357B1">
            <w:pPr>
              <w:pStyle w:val="Body"/>
              <w:spacing w:after="0"/>
              <w:rPr>
                <w:rFonts w:ascii="Arial" w:eastAsia="Calibri" w:hAnsi="Arial" w:cs="Arial"/>
                <w:szCs w:val="22"/>
              </w:rPr>
            </w:pPr>
          </w:p>
        </w:tc>
      </w:tr>
    </w:tbl>
    <w:p w14:paraId="7DE38056" w14:textId="77777777" w:rsidR="007357B1" w:rsidRDefault="007357B1">
      <w:pPr>
        <w:pStyle w:val="Body"/>
        <w:spacing w:after="0"/>
        <w:rPr>
          <w:rFonts w:ascii="Arial" w:hAnsi="Arial" w:cs="Arial"/>
          <w:i/>
        </w:rPr>
      </w:pPr>
    </w:p>
    <w:p w14:paraId="1BBF69D1" w14:textId="77777777" w:rsidR="007357B1" w:rsidRDefault="007B2D23">
      <w:pPr>
        <w:jc w:val="both"/>
        <w:rPr>
          <w:rFonts w:ascii="Arial" w:hAnsi="Arial"/>
          <w:i/>
          <w:lang w:val="pt-BR"/>
        </w:rPr>
      </w:pPr>
      <w:r>
        <w:rPr>
          <w:rFonts w:ascii="Arial" w:hAnsi="Arial" w:cs="Arial"/>
          <w:i/>
          <w:lang w:val="pt-BR"/>
        </w:rPr>
        <w:t xml:space="preserve">Keywords: </w:t>
      </w:r>
      <w:r>
        <w:rPr>
          <w:rFonts w:ascii="Arial" w:hAnsi="Arial"/>
          <w:i/>
          <w:lang w:val="pt-BR"/>
        </w:rPr>
        <w:t>Nanosilver; Pseudokirchneriella subcapitata; Lactuca sativa; Ecotoxicology;  Nanomaterial</w:t>
      </w:r>
    </w:p>
    <w:p w14:paraId="194B3319" w14:textId="77777777" w:rsidR="007357B1" w:rsidRDefault="007357B1">
      <w:pPr>
        <w:pStyle w:val="Body"/>
        <w:spacing w:after="0"/>
        <w:rPr>
          <w:rFonts w:ascii="Arial" w:hAnsi="Arial" w:cs="Arial"/>
          <w:i/>
          <w:lang w:val="pt-BR"/>
        </w:rPr>
      </w:pPr>
    </w:p>
    <w:p w14:paraId="74F3F416" w14:textId="77777777" w:rsidR="007357B1" w:rsidRPr="001D7DD7" w:rsidRDefault="007357B1">
      <w:pPr>
        <w:pStyle w:val="Body"/>
        <w:spacing w:after="0"/>
        <w:rPr>
          <w:rFonts w:ascii="Arial" w:hAnsi="Arial" w:cs="Arial"/>
          <w:i/>
          <w:sz w:val="18"/>
          <w:lang w:val="pt-BR"/>
        </w:rPr>
      </w:pPr>
    </w:p>
    <w:p w14:paraId="4DE7DE10" w14:textId="77777777" w:rsidR="007357B1" w:rsidRPr="001D7DD7" w:rsidRDefault="007357B1">
      <w:pPr>
        <w:pStyle w:val="Body"/>
        <w:spacing w:after="0"/>
        <w:rPr>
          <w:rFonts w:ascii="Arial" w:hAnsi="Arial" w:cs="Arial"/>
          <w:i/>
          <w:lang w:val="pt-BR"/>
        </w:rPr>
      </w:pPr>
    </w:p>
    <w:p w14:paraId="533EDF35" w14:textId="77777777" w:rsidR="007357B1" w:rsidRDefault="007B2D23">
      <w:pPr>
        <w:pStyle w:val="AbstHead"/>
        <w:spacing w:after="0"/>
        <w:jc w:val="both"/>
        <w:rPr>
          <w:rFonts w:ascii="Arial" w:hAnsi="Arial" w:cs="Arial"/>
        </w:rPr>
      </w:pPr>
      <w:r>
        <w:rPr>
          <w:rFonts w:ascii="Arial" w:hAnsi="Arial" w:cs="Arial"/>
        </w:rPr>
        <w:t>1. INTRODUCTION</w:t>
      </w:r>
    </w:p>
    <w:p w14:paraId="2E05D477" w14:textId="77777777" w:rsidR="007357B1" w:rsidRDefault="007357B1">
      <w:pPr>
        <w:pStyle w:val="Body"/>
        <w:spacing w:after="0"/>
        <w:rPr>
          <w:rFonts w:ascii="Arial" w:hAnsi="Arial" w:cs="Arial"/>
        </w:rPr>
      </w:pPr>
    </w:p>
    <w:p w14:paraId="30B49566" w14:textId="77777777" w:rsidR="007357B1" w:rsidRDefault="007B2D23">
      <w:pPr>
        <w:jc w:val="both"/>
        <w:rPr>
          <w:rFonts w:ascii="Arial" w:hAnsi="Arial"/>
          <w:lang w:val="en-GB"/>
        </w:rPr>
      </w:pPr>
      <w:r>
        <w:rPr>
          <w:rFonts w:ascii="Arial" w:hAnsi="Arial"/>
          <w:lang w:val="en-GB"/>
        </w:rPr>
        <w:t>Silver nanoparticles (</w:t>
      </w:r>
      <w:proofErr w:type="spellStart"/>
      <w:r>
        <w:rPr>
          <w:rFonts w:ascii="Arial" w:hAnsi="Arial"/>
          <w:lang w:val="en-GB"/>
        </w:rPr>
        <w:t>AgNPs</w:t>
      </w:r>
      <w:proofErr w:type="spellEnd"/>
      <w:r>
        <w:rPr>
          <w:rFonts w:ascii="Arial" w:hAnsi="Arial"/>
          <w:lang w:val="en-GB"/>
        </w:rPr>
        <w:t>) have unique optical, electrical, and thermal properties and are being incorporated into products ranging from photovoltaics to biological and chemical sensors. An increasingly common application is the use of silver nanoparticles for antimicrobial coatings, fabrics, and biomedical devices, among others. Thus, these nanoparticles continuously release a low level of silver ions to provide protection against bacteria (Yin et al., 2020).</w:t>
      </w:r>
    </w:p>
    <w:p w14:paraId="1AD43E6D" w14:textId="77777777" w:rsidR="007357B1" w:rsidRDefault="007357B1">
      <w:pPr>
        <w:jc w:val="both"/>
        <w:rPr>
          <w:rFonts w:ascii="Arial" w:hAnsi="Arial"/>
          <w:lang w:val="en-GB"/>
        </w:rPr>
      </w:pPr>
    </w:p>
    <w:p w14:paraId="72599845" w14:textId="710E47AD" w:rsidR="007357B1" w:rsidRDefault="007B2D23">
      <w:pPr>
        <w:jc w:val="both"/>
        <w:rPr>
          <w:rFonts w:ascii="Arial" w:hAnsi="Arial"/>
          <w:lang w:val="en-GB"/>
        </w:rPr>
      </w:pPr>
      <w:r>
        <w:rPr>
          <w:rFonts w:ascii="Arial" w:hAnsi="Arial"/>
          <w:lang w:val="en-GB"/>
        </w:rPr>
        <w:lastRenderedPageBreak/>
        <w:t xml:space="preserve">In the agricultural sector, </w:t>
      </w:r>
      <w:proofErr w:type="spellStart"/>
      <w:r>
        <w:rPr>
          <w:rFonts w:ascii="Arial" w:hAnsi="Arial"/>
          <w:lang w:val="en-GB"/>
        </w:rPr>
        <w:t>AgNP</w:t>
      </w:r>
      <w:proofErr w:type="spellEnd"/>
      <w:r>
        <w:rPr>
          <w:rFonts w:ascii="Arial" w:hAnsi="Arial"/>
          <w:lang w:val="en-GB"/>
        </w:rPr>
        <w:t xml:space="preserve">-based solutions help prevent plant pathogens, in addition to reducing the use of agrochemicals in plant protection (Zhang et al., 2023). According to Castro-Restrepo (2017), </w:t>
      </w:r>
      <w:proofErr w:type="spellStart"/>
      <w:r>
        <w:rPr>
          <w:rFonts w:ascii="Arial" w:hAnsi="Arial"/>
          <w:lang w:val="en-GB"/>
        </w:rPr>
        <w:t>AgNPs</w:t>
      </w:r>
      <w:proofErr w:type="spellEnd"/>
      <w:r>
        <w:rPr>
          <w:rFonts w:ascii="Arial" w:hAnsi="Arial"/>
          <w:lang w:val="en-GB"/>
        </w:rPr>
        <w:t xml:space="preserve"> constitute an alternative for the disinfection of seeds and propagation materials such as bulbs and cuttings, and in the control of plant diseases caused by bacteria. Park et al. (2006) developed a product based on </w:t>
      </w:r>
      <w:proofErr w:type="spellStart"/>
      <w:r>
        <w:rPr>
          <w:rFonts w:ascii="Arial" w:hAnsi="Arial"/>
          <w:lang w:val="en-GB"/>
        </w:rPr>
        <w:t>AgNP</w:t>
      </w:r>
      <w:proofErr w:type="spellEnd"/>
      <w:r>
        <w:rPr>
          <w:rFonts w:ascii="Arial" w:hAnsi="Arial"/>
          <w:lang w:val="en-GB"/>
        </w:rPr>
        <w:t xml:space="preserve"> and silica which inhibits the growth of fungi such as </w:t>
      </w:r>
      <w:r>
        <w:rPr>
          <w:rFonts w:ascii="Arial" w:hAnsi="Arial"/>
          <w:i/>
          <w:lang w:val="en-GB"/>
        </w:rPr>
        <w:t xml:space="preserve">Pythium </w:t>
      </w:r>
      <w:proofErr w:type="spellStart"/>
      <w:r>
        <w:rPr>
          <w:rFonts w:ascii="Arial" w:hAnsi="Arial"/>
          <w:i/>
          <w:lang w:val="en-GB"/>
        </w:rPr>
        <w:t>ultimum</w:t>
      </w:r>
      <w:proofErr w:type="spellEnd"/>
      <w:r>
        <w:rPr>
          <w:rFonts w:ascii="Arial" w:hAnsi="Arial"/>
          <w:i/>
          <w:lang w:val="en-GB"/>
        </w:rPr>
        <w:t xml:space="preserve">, </w:t>
      </w:r>
      <w:proofErr w:type="spellStart"/>
      <w:r>
        <w:rPr>
          <w:rFonts w:ascii="Arial" w:hAnsi="Arial"/>
          <w:i/>
          <w:lang w:val="en-GB"/>
        </w:rPr>
        <w:t>Magnaporthe</w:t>
      </w:r>
      <w:proofErr w:type="spellEnd"/>
      <w:r>
        <w:rPr>
          <w:rFonts w:ascii="Arial" w:hAnsi="Arial"/>
          <w:i/>
          <w:lang w:val="en-GB"/>
        </w:rPr>
        <w:t xml:space="preserve"> </w:t>
      </w:r>
      <w:proofErr w:type="spellStart"/>
      <w:r>
        <w:rPr>
          <w:rFonts w:ascii="Arial" w:hAnsi="Arial"/>
          <w:i/>
          <w:lang w:val="en-GB"/>
        </w:rPr>
        <w:t>grisea</w:t>
      </w:r>
      <w:proofErr w:type="spellEnd"/>
      <w:r>
        <w:rPr>
          <w:rFonts w:ascii="Arial" w:hAnsi="Arial"/>
          <w:i/>
          <w:lang w:val="en-GB"/>
        </w:rPr>
        <w:t xml:space="preserve">, Colletotrichum </w:t>
      </w:r>
      <w:proofErr w:type="spellStart"/>
      <w:r>
        <w:rPr>
          <w:rFonts w:ascii="Arial" w:hAnsi="Arial"/>
          <w:i/>
          <w:lang w:val="en-GB"/>
        </w:rPr>
        <w:t>gloeosporioides</w:t>
      </w:r>
      <w:proofErr w:type="spellEnd"/>
      <w:r>
        <w:rPr>
          <w:rFonts w:ascii="Arial" w:hAnsi="Arial"/>
          <w:i/>
          <w:lang w:val="en-GB"/>
        </w:rPr>
        <w:t xml:space="preserve">, Botrytis </w:t>
      </w:r>
      <w:proofErr w:type="spellStart"/>
      <w:r>
        <w:rPr>
          <w:rFonts w:ascii="Arial" w:hAnsi="Arial"/>
          <w:i/>
          <w:lang w:val="en-GB"/>
        </w:rPr>
        <w:t>cinerea</w:t>
      </w:r>
      <w:proofErr w:type="spellEnd"/>
      <w:r>
        <w:rPr>
          <w:rFonts w:ascii="Arial" w:hAnsi="Arial"/>
          <w:lang w:val="en-GB"/>
        </w:rPr>
        <w:t xml:space="preserve"> and </w:t>
      </w:r>
      <w:proofErr w:type="spellStart"/>
      <w:r>
        <w:rPr>
          <w:rFonts w:ascii="Arial" w:hAnsi="Arial"/>
          <w:i/>
          <w:lang w:val="en-GB"/>
        </w:rPr>
        <w:t>Rhizoctonia</w:t>
      </w:r>
      <w:proofErr w:type="spellEnd"/>
      <w:r>
        <w:rPr>
          <w:rFonts w:ascii="Arial" w:hAnsi="Arial"/>
          <w:i/>
          <w:lang w:val="en-GB"/>
        </w:rPr>
        <w:t xml:space="preserve"> </w:t>
      </w:r>
      <w:proofErr w:type="spellStart"/>
      <w:r>
        <w:rPr>
          <w:rFonts w:ascii="Arial" w:hAnsi="Arial"/>
          <w:i/>
          <w:lang w:val="en-GB"/>
        </w:rPr>
        <w:t>solani</w:t>
      </w:r>
      <w:proofErr w:type="spellEnd"/>
      <w:r>
        <w:rPr>
          <w:rFonts w:ascii="Arial" w:hAnsi="Arial"/>
          <w:lang w:val="en-GB"/>
        </w:rPr>
        <w:t>, finding 100% inhibition using 100 ppm of the product.</w:t>
      </w:r>
      <w:r w:rsidR="008140B7">
        <w:rPr>
          <w:rFonts w:ascii="Arial" w:hAnsi="Arial"/>
          <w:lang w:val="en-GB"/>
        </w:rPr>
        <w:t xml:space="preserve"> </w:t>
      </w:r>
      <w:r w:rsidR="008140B7" w:rsidRPr="00D66922">
        <w:rPr>
          <w:rFonts w:ascii="Arial" w:hAnsi="Arial"/>
          <w:lang w:val="en-GB"/>
        </w:rPr>
        <w:t>However, i</w:t>
      </w:r>
      <w:r w:rsidRPr="00D66922">
        <w:rPr>
          <w:rFonts w:ascii="Arial" w:hAnsi="Arial"/>
          <w:lang w:val="en-GB"/>
        </w:rPr>
        <w:t>ncreased</w:t>
      </w:r>
      <w:r>
        <w:rPr>
          <w:rFonts w:ascii="Arial" w:hAnsi="Arial"/>
          <w:lang w:val="en-GB"/>
        </w:rPr>
        <w:t xml:space="preserve"> consumption of products containing </w:t>
      </w:r>
      <w:proofErr w:type="spellStart"/>
      <w:r>
        <w:rPr>
          <w:rFonts w:ascii="Arial" w:hAnsi="Arial"/>
          <w:lang w:val="en-GB"/>
        </w:rPr>
        <w:t>AgNPs</w:t>
      </w:r>
      <w:proofErr w:type="spellEnd"/>
      <w:r>
        <w:rPr>
          <w:rFonts w:ascii="Arial" w:hAnsi="Arial"/>
          <w:lang w:val="en-GB"/>
        </w:rPr>
        <w:t xml:space="preserve"> may lead to the release of these metallic nanoparticles into environmental compartments.</w:t>
      </w:r>
    </w:p>
    <w:p w14:paraId="723375B7" w14:textId="77777777" w:rsidR="007357B1" w:rsidRDefault="007357B1">
      <w:pPr>
        <w:jc w:val="both"/>
        <w:rPr>
          <w:rFonts w:ascii="Arial" w:hAnsi="Arial"/>
          <w:lang w:val="en-GB"/>
        </w:rPr>
      </w:pPr>
    </w:p>
    <w:p w14:paraId="3B37E7FD" w14:textId="2E3135DC" w:rsidR="007357B1" w:rsidRDefault="007B2D23">
      <w:pPr>
        <w:jc w:val="both"/>
        <w:rPr>
          <w:rFonts w:ascii="Arial" w:hAnsi="Arial"/>
          <w:lang w:val="en-GB"/>
        </w:rPr>
      </w:pPr>
      <w:r>
        <w:rPr>
          <w:rFonts w:ascii="Arial" w:hAnsi="Arial"/>
          <w:lang w:val="en-GB"/>
        </w:rPr>
        <w:t xml:space="preserve">The limited knowledge about the </w:t>
      </w:r>
      <w:proofErr w:type="spellStart"/>
      <w:r>
        <w:rPr>
          <w:rFonts w:ascii="Arial" w:hAnsi="Arial"/>
          <w:lang w:val="en-GB"/>
        </w:rPr>
        <w:t>behavior</w:t>
      </w:r>
      <w:proofErr w:type="spellEnd"/>
      <w:r>
        <w:rPr>
          <w:rFonts w:ascii="Arial" w:hAnsi="Arial"/>
          <w:lang w:val="en-GB"/>
        </w:rPr>
        <w:t xml:space="preserve"> of </w:t>
      </w:r>
      <w:proofErr w:type="spellStart"/>
      <w:r>
        <w:rPr>
          <w:rFonts w:ascii="Arial" w:hAnsi="Arial"/>
          <w:lang w:val="en-GB"/>
        </w:rPr>
        <w:t>AgNPs</w:t>
      </w:r>
      <w:proofErr w:type="spellEnd"/>
      <w:r>
        <w:rPr>
          <w:rFonts w:ascii="Arial" w:hAnsi="Arial"/>
          <w:lang w:val="en-GB"/>
        </w:rPr>
        <w:t xml:space="preserve"> in the environment makes it necessary to carry out assessments in different aquatic species (Ribeiro et al., 2014). Therefore, due to the increasing prevalence of silver nanoparticles in consumer products, there is a large international effort underway to verify their safety and understand their toxic properties in different bioindicator organisms.</w:t>
      </w:r>
    </w:p>
    <w:p w14:paraId="6ACBAE26" w14:textId="77777777" w:rsidR="007357B1" w:rsidRDefault="007357B1">
      <w:pPr>
        <w:jc w:val="both"/>
        <w:rPr>
          <w:rFonts w:ascii="Arial" w:hAnsi="Arial"/>
          <w:lang w:val="en-GB"/>
        </w:rPr>
      </w:pPr>
    </w:p>
    <w:p w14:paraId="7A90E377" w14:textId="64A0484E" w:rsidR="007357B1" w:rsidRDefault="00011555">
      <w:pPr>
        <w:jc w:val="both"/>
        <w:rPr>
          <w:rFonts w:ascii="Arial" w:hAnsi="Arial"/>
          <w:lang w:val="en-GB"/>
        </w:rPr>
      </w:pPr>
      <w:r w:rsidRPr="00D66922">
        <w:rPr>
          <w:rFonts w:ascii="Arial" w:hAnsi="Arial"/>
          <w:lang w:val="en-GB"/>
        </w:rPr>
        <w:t>Some organism can serve as useful bioindicators</w:t>
      </w:r>
      <w:r>
        <w:rPr>
          <w:rFonts w:ascii="Arial" w:hAnsi="Arial"/>
          <w:lang w:val="en-GB"/>
        </w:rPr>
        <w:t xml:space="preserve">. </w:t>
      </w:r>
      <w:r w:rsidR="007B2D23">
        <w:rPr>
          <w:rFonts w:ascii="Arial" w:hAnsi="Arial"/>
          <w:lang w:val="en-GB"/>
        </w:rPr>
        <w:t xml:space="preserve">The microalga </w:t>
      </w:r>
      <w:proofErr w:type="spellStart"/>
      <w:r w:rsidR="007B2D23">
        <w:rPr>
          <w:rFonts w:ascii="Arial" w:hAnsi="Arial"/>
          <w:i/>
          <w:lang w:val="en-GB"/>
        </w:rPr>
        <w:t>Pseudokirchneriella</w:t>
      </w:r>
      <w:proofErr w:type="spellEnd"/>
      <w:r w:rsidR="007B2D23">
        <w:rPr>
          <w:rFonts w:ascii="Arial" w:hAnsi="Arial"/>
          <w:i/>
          <w:lang w:val="en-GB"/>
        </w:rPr>
        <w:t xml:space="preserve"> </w:t>
      </w:r>
      <w:proofErr w:type="spellStart"/>
      <w:r w:rsidR="007B2D23">
        <w:rPr>
          <w:rFonts w:ascii="Arial" w:hAnsi="Arial"/>
          <w:i/>
          <w:lang w:val="en-GB"/>
        </w:rPr>
        <w:t>subcapitata</w:t>
      </w:r>
      <w:proofErr w:type="spellEnd"/>
      <w:r w:rsidR="007B2D23">
        <w:rPr>
          <w:rFonts w:ascii="Arial" w:hAnsi="Arial"/>
          <w:lang w:val="en-GB"/>
        </w:rPr>
        <w:t xml:space="preserve"> is a planktonic colonial </w:t>
      </w:r>
      <w:proofErr w:type="spellStart"/>
      <w:r w:rsidR="007B2D23">
        <w:rPr>
          <w:rFonts w:ascii="Arial" w:hAnsi="Arial"/>
          <w:lang w:val="en-GB"/>
        </w:rPr>
        <w:t>chlorophyceae</w:t>
      </w:r>
      <w:proofErr w:type="spellEnd"/>
      <w:r w:rsidR="007B2D23">
        <w:rPr>
          <w:rFonts w:ascii="Arial" w:hAnsi="Arial"/>
          <w:lang w:val="en-GB"/>
        </w:rPr>
        <w:t>, consisting of lunate cells with pointed apices. It has been widely used as a bioindicator in ecotoxicity studies of environmental pollutants and recommended for the registration of chemical agents and biopesticides by national and international agencies (</w:t>
      </w:r>
      <w:proofErr w:type="spellStart"/>
      <w:r w:rsidR="007B2D23">
        <w:rPr>
          <w:rFonts w:ascii="Arial" w:hAnsi="Arial"/>
          <w:lang w:val="en-GB"/>
        </w:rPr>
        <w:t>Miashiro</w:t>
      </w:r>
      <w:proofErr w:type="spellEnd"/>
      <w:r w:rsidR="007B2D23">
        <w:rPr>
          <w:rFonts w:ascii="Arial" w:hAnsi="Arial"/>
          <w:lang w:val="en-GB"/>
        </w:rPr>
        <w:t xml:space="preserve"> et al., 2012). Lettuce seed </w:t>
      </w:r>
      <w:r w:rsidR="007B2D23">
        <w:rPr>
          <w:rFonts w:ascii="Arial" w:hAnsi="Arial"/>
          <w:i/>
          <w:lang w:val="en-GB"/>
        </w:rPr>
        <w:t>(L. sativa</w:t>
      </w:r>
      <w:r w:rsidR="007B2D23">
        <w:rPr>
          <w:rFonts w:ascii="Arial" w:hAnsi="Arial"/>
          <w:lang w:val="en-GB"/>
        </w:rPr>
        <w:t>) is a bioindicator organism for contamination of wetlands in the transition zone between the aquatic and soil compartments. It has been used in risk assessment and biomonitoring studies of degraded areas (Sobrero and Ronco, 2004).</w:t>
      </w:r>
    </w:p>
    <w:p w14:paraId="23735247" w14:textId="77777777" w:rsidR="007357B1" w:rsidRDefault="007357B1">
      <w:pPr>
        <w:jc w:val="both"/>
        <w:rPr>
          <w:rFonts w:ascii="Arial" w:hAnsi="Arial"/>
          <w:lang w:val="en-GB"/>
        </w:rPr>
      </w:pPr>
    </w:p>
    <w:p w14:paraId="1A2845FC" w14:textId="7B378C18" w:rsidR="007357B1" w:rsidRDefault="007B2D23">
      <w:pPr>
        <w:jc w:val="both"/>
        <w:rPr>
          <w:rFonts w:ascii="Arial" w:hAnsi="Arial"/>
          <w:lang w:val="en-GB"/>
        </w:rPr>
      </w:pPr>
      <w:r>
        <w:rPr>
          <w:rFonts w:ascii="Arial" w:hAnsi="Arial"/>
          <w:lang w:val="en-GB"/>
        </w:rPr>
        <w:t xml:space="preserve">The No Observed Effect Concentration (NOEC) is the highest concentration of a material in a toxicity test that has not statistically significant adverse effect on the exposed test-organism population as compared to the control. It is an important toxicological parameter to be determined and used for establishing maximum permissible concentrations in the aquatic environment (Rand and Petrocelli, 1985; May et al, 2025). </w:t>
      </w:r>
    </w:p>
    <w:p w14:paraId="1611A65F" w14:textId="77777777" w:rsidR="007357B1" w:rsidRDefault="007357B1">
      <w:pPr>
        <w:jc w:val="both"/>
        <w:rPr>
          <w:rFonts w:ascii="Arial" w:hAnsi="Arial"/>
          <w:lang w:val="en-GB"/>
        </w:rPr>
      </w:pPr>
    </w:p>
    <w:p w14:paraId="3E284B7A" w14:textId="31A7163D" w:rsidR="007357B1" w:rsidRDefault="007B2D23">
      <w:pPr>
        <w:jc w:val="both"/>
        <w:rPr>
          <w:rFonts w:ascii="Arial" w:hAnsi="Arial"/>
          <w:lang w:val="en-GB"/>
        </w:rPr>
      </w:pPr>
      <w:r>
        <w:rPr>
          <w:rFonts w:ascii="Arial" w:hAnsi="Arial"/>
          <w:lang w:val="en-GB"/>
        </w:rPr>
        <w:t xml:space="preserve">Thus, based on the above, this work evaluated the </w:t>
      </w:r>
      <w:proofErr w:type="spellStart"/>
      <w:r>
        <w:rPr>
          <w:rFonts w:ascii="Arial" w:hAnsi="Arial"/>
          <w:lang w:val="en-GB"/>
        </w:rPr>
        <w:t>behavior</w:t>
      </w:r>
      <w:proofErr w:type="spellEnd"/>
      <w:r>
        <w:rPr>
          <w:rFonts w:ascii="Arial" w:hAnsi="Arial"/>
          <w:lang w:val="en-GB"/>
        </w:rPr>
        <w:t xml:space="preserve"> of growth of </w:t>
      </w:r>
      <w:r>
        <w:rPr>
          <w:rFonts w:ascii="Arial" w:hAnsi="Arial"/>
          <w:i/>
          <w:lang w:val="en-GB"/>
        </w:rPr>
        <w:t xml:space="preserve">P. </w:t>
      </w:r>
      <w:proofErr w:type="spellStart"/>
      <w:r>
        <w:rPr>
          <w:rFonts w:ascii="Arial" w:hAnsi="Arial"/>
          <w:i/>
          <w:lang w:val="en-GB"/>
        </w:rPr>
        <w:t>subcapita</w:t>
      </w:r>
      <w:proofErr w:type="spellEnd"/>
      <w:r>
        <w:rPr>
          <w:rFonts w:ascii="Arial" w:hAnsi="Arial"/>
          <w:lang w:val="en-GB"/>
        </w:rPr>
        <w:t xml:space="preserve"> and </w:t>
      </w:r>
      <w:r>
        <w:rPr>
          <w:rFonts w:ascii="Arial" w:hAnsi="Arial"/>
          <w:i/>
          <w:lang w:val="en-GB"/>
        </w:rPr>
        <w:t>L. sativa</w:t>
      </w:r>
      <w:r>
        <w:rPr>
          <w:rFonts w:ascii="Arial" w:hAnsi="Arial"/>
          <w:lang w:val="en-GB"/>
        </w:rPr>
        <w:t xml:space="preserve"> in response to the exposition to different concentrations of </w:t>
      </w:r>
      <w:proofErr w:type="spellStart"/>
      <w:r>
        <w:rPr>
          <w:rFonts w:ascii="Arial" w:hAnsi="Arial"/>
          <w:lang w:val="en-GB"/>
        </w:rPr>
        <w:t>AgNP</w:t>
      </w:r>
      <w:proofErr w:type="spellEnd"/>
      <w:r>
        <w:rPr>
          <w:rFonts w:ascii="Arial" w:hAnsi="Arial"/>
          <w:lang w:val="en-GB"/>
        </w:rPr>
        <w:t xml:space="preserve">. The NOEC values were determined for both organisms arising from these effects. </w:t>
      </w:r>
    </w:p>
    <w:p w14:paraId="2AE44D4E" w14:textId="77777777" w:rsidR="007357B1" w:rsidRDefault="007357B1">
      <w:pPr>
        <w:jc w:val="both"/>
        <w:rPr>
          <w:rFonts w:ascii="Arial" w:hAnsi="Arial"/>
          <w:lang w:val="en-GB"/>
        </w:rPr>
      </w:pPr>
    </w:p>
    <w:p w14:paraId="137675D7" w14:textId="77777777" w:rsidR="007357B1" w:rsidRDefault="007357B1">
      <w:pPr>
        <w:pStyle w:val="Body"/>
        <w:spacing w:after="0"/>
        <w:rPr>
          <w:rFonts w:ascii="Arial" w:hAnsi="Arial" w:cs="Arial"/>
        </w:rPr>
      </w:pPr>
    </w:p>
    <w:p w14:paraId="42937E0A" w14:textId="77777777" w:rsidR="007357B1" w:rsidRDefault="007B2D23">
      <w:pPr>
        <w:pStyle w:val="AbstHead"/>
        <w:spacing w:after="0"/>
        <w:jc w:val="both"/>
        <w:rPr>
          <w:rFonts w:ascii="Arial" w:hAnsi="Arial" w:cs="Arial"/>
        </w:rPr>
      </w:pPr>
      <w:r>
        <w:rPr>
          <w:rFonts w:ascii="Arial" w:hAnsi="Arial" w:cs="Arial"/>
        </w:rPr>
        <w:t>2. material and methods</w:t>
      </w:r>
    </w:p>
    <w:p w14:paraId="2F5723AB" w14:textId="77777777" w:rsidR="007357B1" w:rsidRDefault="007357B1">
      <w:pPr>
        <w:pStyle w:val="AbstHead"/>
        <w:spacing w:after="0"/>
        <w:jc w:val="both"/>
        <w:rPr>
          <w:rFonts w:ascii="Arial" w:hAnsi="Arial" w:cs="Arial"/>
        </w:rPr>
      </w:pPr>
    </w:p>
    <w:p w14:paraId="3D002F63" w14:textId="77777777" w:rsidR="007357B1" w:rsidRDefault="007357B1">
      <w:pPr>
        <w:pStyle w:val="Body"/>
        <w:spacing w:after="0"/>
        <w:rPr>
          <w:rFonts w:ascii="Arial" w:hAnsi="Arial" w:cs="Arial"/>
        </w:rPr>
      </w:pPr>
    </w:p>
    <w:p w14:paraId="4B26C1C1" w14:textId="77777777" w:rsidR="007357B1" w:rsidRDefault="007B2D23">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Test Material</w:t>
      </w:r>
    </w:p>
    <w:p w14:paraId="28E3EC52" w14:textId="77777777" w:rsidR="007357B1" w:rsidRDefault="007357B1">
      <w:pPr>
        <w:pStyle w:val="Body"/>
        <w:spacing w:after="0"/>
        <w:rPr>
          <w:rFonts w:ascii="Arial" w:hAnsi="Arial" w:cs="Arial"/>
        </w:rPr>
      </w:pPr>
    </w:p>
    <w:p w14:paraId="4AEDCC25" w14:textId="2029F1CF" w:rsidR="007357B1" w:rsidRDefault="007B2D23">
      <w:pPr>
        <w:jc w:val="both"/>
        <w:rPr>
          <w:rFonts w:ascii="Arial" w:hAnsi="Arial"/>
          <w:lang w:val="en-GB"/>
        </w:rPr>
      </w:pPr>
      <w:r>
        <w:rPr>
          <w:rFonts w:ascii="Arial" w:hAnsi="Arial"/>
          <w:lang w:val="en-GB"/>
        </w:rPr>
        <w:t>The silver nanoparticles (</w:t>
      </w:r>
      <w:proofErr w:type="spellStart"/>
      <w:r>
        <w:rPr>
          <w:rFonts w:ascii="Arial" w:hAnsi="Arial"/>
          <w:lang w:val="en-GB"/>
        </w:rPr>
        <w:t>AgNP</w:t>
      </w:r>
      <w:proofErr w:type="spellEnd"/>
      <w:r>
        <w:rPr>
          <w:rFonts w:ascii="Arial" w:hAnsi="Arial"/>
          <w:lang w:val="en-GB"/>
        </w:rPr>
        <w:t xml:space="preserve">) were provided by the National Nanotechnology Laboratory for Agribusiness of Embrapa Instrumentation. They were synthesized based on the method of Berni Neto et al. (2008) by dissolving 1.8 g of polyvinyl alcohol (PVA) in 80 mL of deionized water, under heating (approximately 60°C). Then, 720 mg of silver nitrate was added and placed in an ice bath under agitation for 30 minutes. Subsequently, 40 mL of sodium borohydride solution (316 mg in 40 mL) was added dropwise (1 drop per second) until a yellow solution was obtained. The obtained </w:t>
      </w:r>
      <w:proofErr w:type="spellStart"/>
      <w:r>
        <w:rPr>
          <w:rFonts w:ascii="Arial" w:hAnsi="Arial"/>
          <w:lang w:val="en-GB"/>
        </w:rPr>
        <w:t>AgNP</w:t>
      </w:r>
      <w:proofErr w:type="spellEnd"/>
      <w:r>
        <w:rPr>
          <w:rFonts w:ascii="Arial" w:hAnsi="Arial"/>
          <w:lang w:val="en-GB"/>
        </w:rPr>
        <w:t xml:space="preserve"> demonstrated an average </w:t>
      </w:r>
      <w:proofErr w:type="spellStart"/>
      <w:r>
        <w:rPr>
          <w:rFonts w:ascii="Arial" w:hAnsi="Arial"/>
          <w:lang w:val="en-GB"/>
        </w:rPr>
        <w:t>AgNP</w:t>
      </w:r>
      <w:proofErr w:type="spellEnd"/>
      <w:r>
        <w:rPr>
          <w:rFonts w:ascii="Arial" w:hAnsi="Arial"/>
          <w:lang w:val="en-GB"/>
        </w:rPr>
        <w:t xml:space="preserve"> size of 82.8 nm and average zeta potential of −3.61.</w:t>
      </w:r>
    </w:p>
    <w:p w14:paraId="1FBD96CA" w14:textId="77777777" w:rsidR="007357B1" w:rsidRDefault="007357B1">
      <w:pPr>
        <w:jc w:val="both"/>
        <w:rPr>
          <w:rFonts w:ascii="Arial" w:hAnsi="Arial"/>
          <w:lang w:val="en-GB"/>
        </w:rPr>
      </w:pPr>
    </w:p>
    <w:p w14:paraId="474E73B6" w14:textId="77777777" w:rsidR="007357B1" w:rsidRDefault="007B2D23">
      <w:pPr>
        <w:jc w:val="both"/>
        <w:rPr>
          <w:rFonts w:ascii="Arial" w:hAnsi="Arial"/>
          <w:lang w:val="en-GB"/>
        </w:rPr>
      </w:pPr>
      <w:r>
        <w:rPr>
          <w:rFonts w:ascii="Arial" w:hAnsi="Arial"/>
          <w:b/>
          <w:sz w:val="22"/>
          <w:szCs w:val="22"/>
          <w:lang w:val="en-GB"/>
        </w:rPr>
        <w:t>2.2 Microalgae Assay</w:t>
      </w:r>
    </w:p>
    <w:p w14:paraId="27B9ED07" w14:textId="77777777" w:rsidR="007357B1" w:rsidRDefault="007357B1">
      <w:pPr>
        <w:jc w:val="both"/>
        <w:rPr>
          <w:rFonts w:ascii="Arial" w:hAnsi="Arial"/>
          <w:lang w:val="en-GB"/>
        </w:rPr>
      </w:pPr>
    </w:p>
    <w:p w14:paraId="22C6EC34" w14:textId="38C80253" w:rsidR="007357B1" w:rsidRDefault="007B2D23">
      <w:pPr>
        <w:jc w:val="both"/>
        <w:rPr>
          <w:rFonts w:ascii="Arial" w:hAnsi="Arial"/>
          <w:lang w:val="en-GB"/>
        </w:rPr>
      </w:pPr>
      <w:r>
        <w:rPr>
          <w:rFonts w:ascii="Arial" w:hAnsi="Arial"/>
          <w:lang w:val="en-GB"/>
        </w:rPr>
        <w:lastRenderedPageBreak/>
        <w:t>Algae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xml:space="preserve">) were obtained from cultures in medium prepared according to OECD (2006). They were exposed for 168 h at 20±2°C under continuous illumination (~1300 lux) in 96-well polystyrene plates. The initial concentration was approximately 10⁶ cells/mL with a total test suspension volume of 300 </w:t>
      </w:r>
      <w:proofErr w:type="spellStart"/>
      <w:r>
        <w:rPr>
          <w:rFonts w:ascii="Arial" w:hAnsi="Arial"/>
          <w:lang w:val="en-GB"/>
        </w:rPr>
        <w:t>μL</w:t>
      </w:r>
      <w:proofErr w:type="spellEnd"/>
      <w:r>
        <w:rPr>
          <w:rFonts w:ascii="Arial" w:hAnsi="Arial"/>
          <w:lang w:val="en-GB"/>
        </w:rPr>
        <w:t xml:space="preserve"> per well. A total of 12 replicates were prepared for each test concentration (0.0–100 mg L⁻¹). Algal growth was monitored by absorbance readings (750 nm, microplate reader; Sunrise Tecan Group) every 24h or 48h for 168h. The specific growth rate was calculated according to OECD (2006), and the Effective Concentration that inhibited 50% of the specific growth rate (EC50-168h) was determined as a function of the logarithm of the concentration of the test material according to the adjusted regression model.</w:t>
      </w:r>
    </w:p>
    <w:p w14:paraId="44604562" w14:textId="77777777" w:rsidR="007357B1" w:rsidRDefault="007357B1">
      <w:pPr>
        <w:jc w:val="both"/>
        <w:rPr>
          <w:rFonts w:ascii="Arial" w:hAnsi="Arial"/>
          <w:lang w:val="en-GB"/>
        </w:rPr>
      </w:pPr>
    </w:p>
    <w:p w14:paraId="3C5286CF" w14:textId="77777777" w:rsidR="007357B1" w:rsidRDefault="007B2D23">
      <w:pPr>
        <w:jc w:val="both"/>
        <w:rPr>
          <w:rFonts w:ascii="Arial" w:hAnsi="Arial"/>
          <w:lang w:val="en-GB"/>
        </w:rPr>
      </w:pPr>
      <w:r>
        <w:rPr>
          <w:rFonts w:ascii="Arial" w:hAnsi="Arial"/>
          <w:b/>
          <w:sz w:val="22"/>
          <w:szCs w:val="22"/>
          <w:lang w:val="en-GB"/>
        </w:rPr>
        <w:t>2.3 Lettuce Seed Assay</w:t>
      </w:r>
      <w:r>
        <w:rPr>
          <w:rFonts w:ascii="Arial" w:hAnsi="Arial"/>
          <w:lang w:val="en-GB"/>
        </w:rPr>
        <w:t xml:space="preserve"> </w:t>
      </w:r>
    </w:p>
    <w:p w14:paraId="450A949B" w14:textId="77777777" w:rsidR="007357B1" w:rsidRDefault="007357B1">
      <w:pPr>
        <w:jc w:val="both"/>
        <w:rPr>
          <w:rFonts w:ascii="Arial" w:hAnsi="Arial"/>
          <w:lang w:val="en-GB"/>
        </w:rPr>
      </w:pPr>
    </w:p>
    <w:p w14:paraId="41F3DD3E" w14:textId="35633C06" w:rsidR="007357B1" w:rsidRDefault="007B2D23">
      <w:pPr>
        <w:jc w:val="both"/>
        <w:rPr>
          <w:rFonts w:ascii="Arial" w:hAnsi="Arial"/>
          <w:lang w:val="en-GB"/>
        </w:rPr>
      </w:pPr>
      <w:proofErr w:type="spellStart"/>
      <w:r>
        <w:rPr>
          <w:rFonts w:ascii="Arial" w:hAnsi="Arial"/>
          <w:i/>
          <w:lang w:val="en-GB"/>
        </w:rPr>
        <w:t>Lactuca</w:t>
      </w:r>
      <w:proofErr w:type="spellEnd"/>
      <w:r w:rsidR="00011555">
        <w:rPr>
          <w:rFonts w:ascii="Arial" w:hAnsi="Arial"/>
          <w:i/>
          <w:lang w:val="en-GB"/>
        </w:rPr>
        <w:t xml:space="preserve"> </w:t>
      </w:r>
      <w:r>
        <w:rPr>
          <w:rFonts w:ascii="Arial" w:hAnsi="Arial"/>
          <w:i/>
          <w:lang w:val="en-GB"/>
        </w:rPr>
        <w:t>sativa</w:t>
      </w:r>
      <w:r>
        <w:rPr>
          <w:rFonts w:ascii="Arial" w:hAnsi="Arial"/>
          <w:lang w:val="en-GB"/>
        </w:rPr>
        <w:t xml:space="preserve"> seeds were obtained commercially and the assays were performed in the dark for 96 hours at 20±1°C in 12-well polystyrene plates, according to Bautista et al. (2013). A total of 24 seeds were exposed for each test concentration, placed individually in each well on a Whatman No. 2 filter paper disc, to which 400 </w:t>
      </w:r>
      <w:proofErr w:type="spellStart"/>
      <w:r>
        <w:rPr>
          <w:rFonts w:ascii="Arial" w:hAnsi="Arial"/>
          <w:lang w:val="en-GB"/>
        </w:rPr>
        <w:t>μL</w:t>
      </w:r>
      <w:proofErr w:type="spellEnd"/>
      <w:r>
        <w:rPr>
          <w:rFonts w:ascii="Arial" w:hAnsi="Arial"/>
          <w:lang w:val="en-GB"/>
        </w:rPr>
        <w:t xml:space="preserve"> of test solution with a concentration of 0.0-100.0 mg L⁻¹ was added. The seeds were observed and photographed every 24 hours using a camera (</w:t>
      </w:r>
      <w:proofErr w:type="spellStart"/>
      <w:r>
        <w:rPr>
          <w:rFonts w:ascii="Arial" w:hAnsi="Arial"/>
          <w:lang w:val="en-GB"/>
        </w:rPr>
        <w:t>Optika</w:t>
      </w:r>
      <w:proofErr w:type="spellEnd"/>
      <w:r>
        <w:rPr>
          <w:rFonts w:ascii="Arial" w:hAnsi="Arial"/>
          <w:lang w:val="en-GB"/>
        </w:rPr>
        <w:t xml:space="preserve"> 4083B3) coupled to a stereomicroscope. Root size was measured using </w:t>
      </w:r>
      <w:proofErr w:type="spellStart"/>
      <w:r>
        <w:rPr>
          <w:rFonts w:ascii="Arial" w:hAnsi="Arial"/>
          <w:lang w:val="en-GB"/>
        </w:rPr>
        <w:t>Optika</w:t>
      </w:r>
      <w:proofErr w:type="spellEnd"/>
      <w:r>
        <w:rPr>
          <w:rFonts w:ascii="Arial" w:hAnsi="Arial"/>
          <w:lang w:val="en-GB"/>
        </w:rPr>
        <w:t xml:space="preserve"> View software, Ver 7.1.1.5, to determine the percentage of germination and the root growth rate at the end of the exposure period. Growth rates were calculated using the slope coefficients of the "root size versus time" regression (</w:t>
      </w:r>
      <w:proofErr w:type="spellStart"/>
      <w:r>
        <w:rPr>
          <w:rFonts w:ascii="Arial" w:hAnsi="Arial"/>
          <w:lang w:val="en-GB"/>
        </w:rPr>
        <w:t>Basu</w:t>
      </w:r>
      <w:proofErr w:type="spellEnd"/>
      <w:r>
        <w:rPr>
          <w:rFonts w:ascii="Arial" w:hAnsi="Arial"/>
          <w:lang w:val="en-GB"/>
        </w:rPr>
        <w:t xml:space="preserve"> and Pal, 2011).</w:t>
      </w:r>
    </w:p>
    <w:p w14:paraId="437B72AF" w14:textId="77777777" w:rsidR="007357B1" w:rsidRDefault="007357B1">
      <w:pPr>
        <w:jc w:val="both"/>
        <w:rPr>
          <w:rFonts w:ascii="Arial" w:hAnsi="Arial"/>
          <w:lang w:val="en-GB"/>
        </w:rPr>
      </w:pPr>
    </w:p>
    <w:p w14:paraId="71EB7146" w14:textId="77777777" w:rsidR="007357B1" w:rsidRDefault="007B2D23">
      <w:pPr>
        <w:jc w:val="both"/>
        <w:rPr>
          <w:rFonts w:ascii="Arial" w:hAnsi="Arial"/>
          <w:b/>
          <w:sz w:val="22"/>
          <w:szCs w:val="22"/>
          <w:lang w:val="en-GB"/>
        </w:rPr>
      </w:pPr>
      <w:r>
        <w:rPr>
          <w:rFonts w:ascii="Arial" w:hAnsi="Arial"/>
          <w:b/>
          <w:sz w:val="22"/>
          <w:szCs w:val="22"/>
          <w:lang w:val="en-GB"/>
        </w:rPr>
        <w:t>2.4 Determination of Toxicological Parameters</w:t>
      </w:r>
    </w:p>
    <w:p w14:paraId="70657221" w14:textId="77777777" w:rsidR="007357B1" w:rsidRDefault="007357B1">
      <w:pPr>
        <w:jc w:val="both"/>
        <w:rPr>
          <w:rFonts w:ascii="Arial" w:hAnsi="Arial"/>
          <w:lang w:val="en-GB"/>
        </w:rPr>
      </w:pPr>
    </w:p>
    <w:p w14:paraId="7ED844CF" w14:textId="67768C18" w:rsidR="007357B1" w:rsidRDefault="007B2D23">
      <w:pPr>
        <w:jc w:val="both"/>
        <w:rPr>
          <w:rFonts w:ascii="Arial" w:hAnsi="Arial"/>
          <w:lang w:val="en-GB"/>
        </w:rPr>
      </w:pPr>
      <w:r>
        <w:rPr>
          <w:rFonts w:ascii="Arial" w:hAnsi="Arial"/>
          <w:lang w:val="en-GB"/>
        </w:rPr>
        <w:t xml:space="preserve">The Mean Effective Concentration that causes an effect on 50% of organisms during a given period (EC50) within a 95% confidence interval was determined using the "Simple Regression" module of the </w:t>
      </w:r>
      <w:proofErr w:type="spellStart"/>
      <w:r>
        <w:rPr>
          <w:rFonts w:ascii="Arial" w:hAnsi="Arial"/>
          <w:lang w:val="en-GB"/>
        </w:rPr>
        <w:t>Statgraphics</w:t>
      </w:r>
      <w:proofErr w:type="spellEnd"/>
      <w:r>
        <w:rPr>
          <w:rFonts w:ascii="Arial" w:hAnsi="Arial"/>
          <w:lang w:val="en-GB"/>
        </w:rPr>
        <w:t xml:space="preserve"> Centurion XVII program, Version 1.17.04 (</w:t>
      </w:r>
      <w:proofErr w:type="spellStart"/>
      <w:r>
        <w:rPr>
          <w:rFonts w:ascii="Arial" w:hAnsi="Arial"/>
          <w:lang w:val="en-GB"/>
        </w:rPr>
        <w:t>StatPoint</w:t>
      </w:r>
      <w:proofErr w:type="spellEnd"/>
      <w:r>
        <w:rPr>
          <w:rFonts w:ascii="Arial" w:hAnsi="Arial"/>
          <w:lang w:val="en-GB"/>
        </w:rPr>
        <w:t xml:space="preserve"> Technologies). The No-Observed-Effect Concentration (NOEC) was determined by calculating the Effective Inhibition Concentration of 10% of the growth of the test organism. The upper limit of the 95% confidence interval of EC10 was taken as equivalent to NOEC (Hoekstra and Van Ewijk, 1993). Seed germination rates were compared using the "One Way ANOVA" module of the </w:t>
      </w:r>
      <w:proofErr w:type="spellStart"/>
      <w:r>
        <w:rPr>
          <w:rFonts w:ascii="Arial" w:hAnsi="Arial"/>
          <w:lang w:val="en-GB"/>
        </w:rPr>
        <w:t>Statgraphics</w:t>
      </w:r>
      <w:proofErr w:type="spellEnd"/>
      <w:r>
        <w:rPr>
          <w:rFonts w:ascii="Arial" w:hAnsi="Arial"/>
          <w:lang w:val="en-GB"/>
        </w:rPr>
        <w:t xml:space="preserve"> Centurion XVII program, as were growth curves.</w:t>
      </w:r>
    </w:p>
    <w:p w14:paraId="49D4BDE6" w14:textId="77777777" w:rsidR="007357B1" w:rsidRDefault="007357B1">
      <w:pPr>
        <w:pStyle w:val="Body"/>
        <w:spacing w:after="0"/>
        <w:rPr>
          <w:rFonts w:ascii="Arial" w:hAnsi="Arial" w:cs="Arial"/>
          <w:lang w:val="en-GB"/>
        </w:rPr>
      </w:pPr>
    </w:p>
    <w:p w14:paraId="0185EE69" w14:textId="77777777" w:rsidR="007357B1" w:rsidRDefault="007357B1">
      <w:pPr>
        <w:pStyle w:val="Body"/>
        <w:spacing w:after="0"/>
        <w:rPr>
          <w:rFonts w:ascii="Arial" w:hAnsi="Arial" w:cs="Arial"/>
        </w:rPr>
      </w:pPr>
    </w:p>
    <w:p w14:paraId="0A17DB0F" w14:textId="77777777" w:rsidR="007357B1" w:rsidRDefault="007B2D23">
      <w:pPr>
        <w:pStyle w:val="Head1"/>
        <w:spacing w:after="0"/>
        <w:jc w:val="both"/>
        <w:rPr>
          <w:rFonts w:ascii="Arial" w:hAnsi="Arial" w:cs="Arial"/>
        </w:rPr>
      </w:pPr>
      <w:r>
        <w:rPr>
          <w:rFonts w:ascii="Arial" w:hAnsi="Arial" w:cs="Arial"/>
        </w:rPr>
        <w:t>3. results and discussion</w:t>
      </w:r>
    </w:p>
    <w:p w14:paraId="503B88AB" w14:textId="77777777" w:rsidR="007357B1" w:rsidRDefault="007357B1">
      <w:pPr>
        <w:pStyle w:val="Body"/>
        <w:spacing w:after="0"/>
        <w:rPr>
          <w:rFonts w:ascii="Arial" w:hAnsi="Arial" w:cs="Arial"/>
        </w:rPr>
      </w:pPr>
    </w:p>
    <w:p w14:paraId="16F6F2A2" w14:textId="77777777" w:rsidR="007357B1" w:rsidRDefault="007357B1">
      <w:pPr>
        <w:pStyle w:val="Body"/>
        <w:spacing w:after="0"/>
        <w:rPr>
          <w:rFonts w:ascii="Arial" w:hAnsi="Arial" w:cs="Arial"/>
        </w:rPr>
      </w:pPr>
    </w:p>
    <w:p w14:paraId="1AC6FF3B" w14:textId="77777777" w:rsidR="007357B1" w:rsidRDefault="007B2D23">
      <w:pPr>
        <w:jc w:val="both"/>
        <w:rPr>
          <w:rFonts w:ascii="Arial" w:hAnsi="Arial"/>
          <w:b/>
          <w:sz w:val="22"/>
          <w:szCs w:val="22"/>
          <w:lang w:val="en-GB"/>
        </w:rPr>
      </w:pPr>
      <w:r>
        <w:rPr>
          <w:rFonts w:ascii="Arial" w:hAnsi="Arial"/>
          <w:b/>
          <w:sz w:val="22"/>
          <w:szCs w:val="22"/>
          <w:lang w:val="en-GB"/>
        </w:rPr>
        <w:t>3.1 Effect on Microalgae</w:t>
      </w:r>
    </w:p>
    <w:p w14:paraId="5F3A2DC2" w14:textId="77777777" w:rsidR="007357B1" w:rsidRDefault="007357B1">
      <w:pPr>
        <w:jc w:val="both"/>
        <w:rPr>
          <w:rFonts w:ascii="Arial" w:hAnsi="Arial"/>
          <w:lang w:val="en-GB"/>
        </w:rPr>
      </w:pPr>
    </w:p>
    <w:p w14:paraId="55FA5593" w14:textId="2702EF7D" w:rsidR="007357B1" w:rsidRDefault="007B2D23">
      <w:pPr>
        <w:jc w:val="both"/>
        <w:rPr>
          <w:rFonts w:ascii="Arial" w:hAnsi="Arial"/>
          <w:lang w:val="en-GB"/>
        </w:rPr>
      </w:pPr>
      <w:r>
        <w:rPr>
          <w:rFonts w:ascii="Arial" w:hAnsi="Arial"/>
          <w:lang w:val="en-GB"/>
        </w:rPr>
        <w:t xml:space="preserve">The growth curves of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xml:space="preserve"> under different concentrations </w:t>
      </w:r>
      <w:r w:rsidRPr="00D66922">
        <w:rPr>
          <w:rFonts w:ascii="Arial" w:hAnsi="Arial"/>
          <w:lang w:val="en-GB"/>
        </w:rPr>
        <w:t xml:space="preserve">of </w:t>
      </w:r>
      <w:proofErr w:type="spellStart"/>
      <w:r w:rsidRPr="00D66922">
        <w:rPr>
          <w:rFonts w:ascii="Arial" w:hAnsi="Arial"/>
          <w:lang w:val="en-GB"/>
        </w:rPr>
        <w:t>AgNP</w:t>
      </w:r>
      <w:proofErr w:type="spellEnd"/>
      <w:r w:rsidRPr="00D66922">
        <w:rPr>
          <w:rFonts w:ascii="Arial" w:hAnsi="Arial"/>
          <w:lang w:val="en-GB"/>
        </w:rPr>
        <w:t xml:space="preserve"> during a period of 168h are presented in Figure 1A. At the end of the exposure, an </w:t>
      </w:r>
      <w:r w:rsidR="007E05DC" w:rsidRPr="00D66922">
        <w:rPr>
          <w:rFonts w:ascii="Arial" w:hAnsi="Arial"/>
          <w:lang w:val="en-GB"/>
        </w:rPr>
        <w:t xml:space="preserve">algal growth </w:t>
      </w:r>
      <w:r w:rsidRPr="00D66922">
        <w:rPr>
          <w:rFonts w:ascii="Arial" w:hAnsi="Arial"/>
          <w:lang w:val="en-GB"/>
        </w:rPr>
        <w:t xml:space="preserve">increase was observed </w:t>
      </w:r>
      <w:r w:rsidR="007E05DC" w:rsidRPr="00D66922">
        <w:rPr>
          <w:rFonts w:ascii="Arial" w:hAnsi="Arial"/>
          <w:lang w:val="en-GB"/>
        </w:rPr>
        <w:t>compared to</w:t>
      </w:r>
      <w:r>
        <w:rPr>
          <w:rFonts w:ascii="Arial" w:hAnsi="Arial"/>
          <w:lang w:val="en-GB"/>
        </w:rPr>
        <w:t xml:space="preserve"> the control at concentrations of 0.1 and 1.0 mg L</w:t>
      </w:r>
      <w:r>
        <w:rPr>
          <w:rFonts w:ascii="Arial" w:hAnsi="Arial"/>
          <w:vertAlign w:val="superscript"/>
          <w:lang w:val="en-GB"/>
        </w:rPr>
        <w:t>-1</w:t>
      </w:r>
      <w:r>
        <w:rPr>
          <w:rFonts w:ascii="Arial" w:hAnsi="Arial"/>
          <w:lang w:val="en-GB"/>
        </w:rPr>
        <w:t xml:space="preserve">, suggesting that a </w:t>
      </w:r>
      <w:proofErr w:type="spellStart"/>
      <w:r>
        <w:rPr>
          <w:rFonts w:ascii="Arial" w:hAnsi="Arial"/>
          <w:lang w:val="en-GB"/>
        </w:rPr>
        <w:t>biostimulating</w:t>
      </w:r>
      <w:proofErr w:type="spellEnd"/>
      <w:r>
        <w:rPr>
          <w:rFonts w:ascii="Arial" w:hAnsi="Arial"/>
          <w:lang w:val="en-GB"/>
        </w:rPr>
        <w:t xml:space="preserve"> effect by silver ions occurred. </w:t>
      </w:r>
      <w:r w:rsidRPr="00D66922">
        <w:rPr>
          <w:rFonts w:ascii="Arial" w:hAnsi="Arial"/>
          <w:lang w:val="en-GB"/>
        </w:rPr>
        <w:t>Th</w:t>
      </w:r>
      <w:r w:rsidR="007E05DC" w:rsidRPr="00D66922">
        <w:rPr>
          <w:rFonts w:ascii="Arial" w:hAnsi="Arial"/>
          <w:lang w:val="en-GB"/>
        </w:rPr>
        <w:t>e</w:t>
      </w:r>
      <w:r w:rsidRPr="00D66922">
        <w:rPr>
          <w:rFonts w:ascii="Arial" w:hAnsi="Arial"/>
          <w:lang w:val="en-GB"/>
        </w:rPr>
        <w:t xml:space="preserve"> same effect was verified by our previous studies made with </w:t>
      </w:r>
      <w:r w:rsidR="007E05DC" w:rsidRPr="00D66922">
        <w:rPr>
          <w:rFonts w:ascii="Arial" w:hAnsi="Arial"/>
          <w:lang w:val="en-GB"/>
        </w:rPr>
        <w:t>another</w:t>
      </w:r>
      <w:r w:rsidRPr="00D66922">
        <w:rPr>
          <w:rFonts w:ascii="Arial" w:hAnsi="Arial"/>
          <w:lang w:val="en-GB"/>
        </w:rPr>
        <w:t xml:space="preserve"> batch of </w:t>
      </w:r>
      <w:proofErr w:type="spellStart"/>
      <w:r w:rsidRPr="00D66922">
        <w:rPr>
          <w:rFonts w:ascii="Arial" w:hAnsi="Arial"/>
          <w:lang w:val="en-GB"/>
        </w:rPr>
        <w:t>AgNP</w:t>
      </w:r>
      <w:proofErr w:type="spellEnd"/>
      <w:r w:rsidRPr="00D66922">
        <w:rPr>
          <w:rFonts w:ascii="Arial" w:hAnsi="Arial"/>
          <w:lang w:val="en-GB"/>
        </w:rPr>
        <w:t xml:space="preserve"> that demonstrated a </w:t>
      </w:r>
      <w:proofErr w:type="spellStart"/>
      <w:r w:rsidRPr="00D66922">
        <w:rPr>
          <w:rFonts w:ascii="Arial" w:hAnsi="Arial"/>
          <w:lang w:val="en-GB"/>
        </w:rPr>
        <w:t>biostimulatory</w:t>
      </w:r>
      <w:proofErr w:type="spellEnd"/>
      <w:r w:rsidRPr="00D66922">
        <w:rPr>
          <w:rFonts w:ascii="Arial" w:hAnsi="Arial"/>
          <w:lang w:val="en-GB"/>
        </w:rPr>
        <w:t xml:space="preserve"> effect at concentrations </w:t>
      </w:r>
      <w:r w:rsidR="007E05DC" w:rsidRPr="00D66922">
        <w:rPr>
          <w:rFonts w:ascii="Arial" w:hAnsi="Arial"/>
          <w:lang w:val="en-GB"/>
        </w:rPr>
        <w:t xml:space="preserve">of </w:t>
      </w:r>
      <w:r w:rsidRPr="00D66922">
        <w:rPr>
          <w:rFonts w:ascii="Arial" w:hAnsi="Arial"/>
          <w:lang w:val="en-GB"/>
        </w:rPr>
        <w:t>0.015 and 0.0015 mg L</w:t>
      </w:r>
      <w:r w:rsidRPr="00D66922">
        <w:rPr>
          <w:rFonts w:ascii="Arial" w:hAnsi="Arial"/>
          <w:vertAlign w:val="superscript"/>
          <w:lang w:val="en-GB"/>
        </w:rPr>
        <w:t>-1</w:t>
      </w:r>
      <w:r w:rsidRPr="00D66922">
        <w:rPr>
          <w:rFonts w:ascii="Arial" w:hAnsi="Arial"/>
          <w:lang w:val="en-GB"/>
        </w:rPr>
        <w:t xml:space="preserve"> (</w:t>
      </w:r>
      <w:proofErr w:type="spellStart"/>
      <w:r w:rsidRPr="00D66922">
        <w:rPr>
          <w:rFonts w:ascii="Arial" w:hAnsi="Arial"/>
          <w:lang w:val="en-GB"/>
        </w:rPr>
        <w:t>Becaro</w:t>
      </w:r>
      <w:proofErr w:type="spellEnd"/>
      <w:r w:rsidRPr="00D66922">
        <w:rPr>
          <w:rFonts w:ascii="Arial" w:hAnsi="Arial"/>
          <w:lang w:val="en-GB"/>
        </w:rPr>
        <w:t xml:space="preserve"> et al., 2015). The sam</w:t>
      </w:r>
      <w:r>
        <w:rPr>
          <w:rFonts w:ascii="Arial" w:hAnsi="Arial"/>
          <w:lang w:val="en-GB"/>
        </w:rPr>
        <w:t xml:space="preserve">e trend of behaviour was observed by </w:t>
      </w:r>
      <w:proofErr w:type="spellStart"/>
      <w:r>
        <w:rPr>
          <w:rFonts w:ascii="Arial" w:hAnsi="Arial"/>
          <w:lang w:val="en-GB"/>
        </w:rPr>
        <w:t>Schmittschmitt</w:t>
      </w:r>
      <w:proofErr w:type="spellEnd"/>
      <w:r>
        <w:rPr>
          <w:rFonts w:ascii="Arial" w:hAnsi="Arial"/>
          <w:lang w:val="en-GB"/>
        </w:rPr>
        <w:t xml:space="preserve"> et al. (1996) in exposures of the same microalga (previously named </w:t>
      </w:r>
      <w:proofErr w:type="spellStart"/>
      <w:r>
        <w:rPr>
          <w:rFonts w:ascii="Arial" w:hAnsi="Arial"/>
          <w:i/>
          <w:lang w:val="en-GB"/>
        </w:rPr>
        <w:t>Selenastrum</w:t>
      </w:r>
      <w:proofErr w:type="spellEnd"/>
      <w:r>
        <w:rPr>
          <w:rFonts w:ascii="Arial" w:hAnsi="Arial"/>
          <w:i/>
          <w:lang w:val="en-GB"/>
        </w:rPr>
        <w:t xml:space="preserve"> </w:t>
      </w:r>
      <w:proofErr w:type="spellStart"/>
      <w:r>
        <w:rPr>
          <w:rFonts w:ascii="Arial" w:hAnsi="Arial"/>
          <w:i/>
          <w:lang w:val="en-GB"/>
        </w:rPr>
        <w:t>capricornutum</w:t>
      </w:r>
      <w:proofErr w:type="spellEnd"/>
      <w:r>
        <w:rPr>
          <w:rFonts w:ascii="Arial" w:hAnsi="Arial"/>
          <w:lang w:val="en-GB"/>
        </w:rPr>
        <w:t xml:space="preserve">) to silver at concentrations of 20 and 40 </w:t>
      </w:r>
      <w:proofErr w:type="spellStart"/>
      <w:r>
        <w:rPr>
          <w:rFonts w:ascii="Arial" w:hAnsi="Arial"/>
          <w:lang w:val="en-GB"/>
        </w:rPr>
        <w:t>μg</w:t>
      </w:r>
      <w:proofErr w:type="spellEnd"/>
      <w:r>
        <w:rPr>
          <w:rFonts w:ascii="Arial" w:hAnsi="Arial"/>
          <w:lang w:val="en-GB"/>
        </w:rPr>
        <w:t xml:space="preserve"> L</w:t>
      </w:r>
      <w:r>
        <w:rPr>
          <w:rFonts w:ascii="Arial" w:hAnsi="Arial"/>
          <w:vertAlign w:val="superscript"/>
          <w:lang w:val="en-GB"/>
        </w:rPr>
        <w:t>-1</w:t>
      </w:r>
      <w:r>
        <w:rPr>
          <w:rFonts w:ascii="Arial" w:hAnsi="Arial"/>
          <w:lang w:val="en-GB"/>
        </w:rPr>
        <w:t xml:space="preserve"> in the form of AgNO</w:t>
      </w:r>
      <w:r>
        <w:rPr>
          <w:rFonts w:ascii="Arial" w:hAnsi="Arial"/>
          <w:vertAlign w:val="subscript"/>
          <w:lang w:val="en-GB"/>
        </w:rPr>
        <w:t>3</w:t>
      </w:r>
      <w:r>
        <w:rPr>
          <w:rFonts w:ascii="Arial" w:hAnsi="Arial"/>
          <w:lang w:val="en-GB"/>
        </w:rPr>
        <w:t xml:space="preserve"> and Ag</w:t>
      </w:r>
      <w:r>
        <w:rPr>
          <w:rFonts w:ascii="Arial" w:hAnsi="Arial"/>
          <w:vertAlign w:val="subscript"/>
          <w:lang w:val="en-GB"/>
        </w:rPr>
        <w:t>2</w:t>
      </w:r>
      <w:r>
        <w:rPr>
          <w:rFonts w:ascii="Arial" w:hAnsi="Arial"/>
          <w:lang w:val="en-GB"/>
        </w:rPr>
        <w:t>SO</w:t>
      </w:r>
      <w:r>
        <w:rPr>
          <w:rFonts w:ascii="Arial" w:hAnsi="Arial"/>
          <w:vertAlign w:val="subscript"/>
          <w:lang w:val="en-GB"/>
        </w:rPr>
        <w:t xml:space="preserve">4, </w:t>
      </w:r>
      <w:r>
        <w:rPr>
          <w:rFonts w:ascii="Arial" w:hAnsi="Arial"/>
          <w:lang w:val="en-GB"/>
        </w:rPr>
        <w:t xml:space="preserve">respectively. </w:t>
      </w:r>
      <w:proofErr w:type="spellStart"/>
      <w:r>
        <w:rPr>
          <w:rFonts w:ascii="Arial" w:hAnsi="Arial"/>
          <w:lang w:val="en-GB"/>
        </w:rPr>
        <w:t>Biostimulation</w:t>
      </w:r>
      <w:proofErr w:type="spellEnd"/>
      <w:r>
        <w:rPr>
          <w:rFonts w:ascii="Arial" w:hAnsi="Arial"/>
          <w:lang w:val="en-GB"/>
        </w:rPr>
        <w:t xml:space="preserve"> was also verified by Sibi et al. (2017) after exposure of microalgae to metal nanoparticles, including heavy metals such as lead, in which the authors reported a significant increase in protein and lipid content. </w:t>
      </w:r>
    </w:p>
    <w:p w14:paraId="7FB1CA08" w14:textId="77777777" w:rsidR="007357B1" w:rsidRDefault="007357B1">
      <w:pPr>
        <w:jc w:val="both"/>
        <w:rPr>
          <w:rFonts w:ascii="Arial" w:hAnsi="Arial"/>
          <w:lang w:val="en-GB"/>
        </w:rPr>
      </w:pPr>
    </w:p>
    <w:p w14:paraId="62A088BE" w14:textId="77777777" w:rsidR="007357B1" w:rsidRDefault="007B2D23">
      <w:pPr>
        <w:jc w:val="both"/>
        <w:rPr>
          <w:rFonts w:ascii="Arial" w:hAnsi="Arial"/>
          <w:lang w:val="en-GB"/>
        </w:rPr>
      </w:pPr>
      <w:r>
        <w:rPr>
          <w:rFonts w:ascii="Arial" w:hAnsi="Arial"/>
          <w:lang w:val="en-GB"/>
        </w:rPr>
        <w:t>On the other hand, there was a decrease in the percentage of growth in the 10 and 100 mg L</w:t>
      </w:r>
      <w:r>
        <w:rPr>
          <w:rFonts w:ascii="Arial" w:hAnsi="Arial"/>
          <w:vertAlign w:val="superscript"/>
          <w:lang w:val="en-GB"/>
        </w:rPr>
        <w:t>-1</w:t>
      </w:r>
      <w:r>
        <w:rPr>
          <w:rFonts w:ascii="Arial" w:hAnsi="Arial"/>
          <w:lang w:val="en-GB"/>
        </w:rPr>
        <w:t xml:space="preserve"> exposures.</w:t>
      </w:r>
    </w:p>
    <w:p w14:paraId="43AADA55" w14:textId="77777777" w:rsidR="007357B1" w:rsidRDefault="007357B1">
      <w:pPr>
        <w:jc w:val="both"/>
        <w:rPr>
          <w:rFonts w:ascii="Arial" w:hAnsi="Arial"/>
          <w:lang w:val="en-GB"/>
        </w:rPr>
      </w:pPr>
    </w:p>
    <w:p w14:paraId="0C86CBA5" w14:textId="1E70DE48" w:rsidR="007357B1" w:rsidRDefault="007B2D23">
      <w:pPr>
        <w:jc w:val="both"/>
        <w:rPr>
          <w:rFonts w:ascii="Arial" w:hAnsi="Arial"/>
          <w:lang w:val="en-GB"/>
        </w:rPr>
      </w:pPr>
      <w:r>
        <w:rPr>
          <w:rFonts w:ascii="Arial" w:hAnsi="Arial"/>
          <w:lang w:val="en-GB"/>
        </w:rPr>
        <w:t>The curves allowed the calculation of specific growth rates, which were compared using the Kruskal-Wallis test</w:t>
      </w:r>
      <w:r w:rsidRPr="00D66922">
        <w:rPr>
          <w:rFonts w:ascii="Arial" w:hAnsi="Arial"/>
          <w:lang w:val="en-GB"/>
        </w:rPr>
        <w:t xml:space="preserve">. </w:t>
      </w:r>
      <w:r w:rsidR="004E2C7E" w:rsidRPr="00D66922">
        <w:rPr>
          <w:rFonts w:ascii="Arial" w:hAnsi="Arial"/>
          <w:lang w:val="en-GB"/>
        </w:rPr>
        <w:t>O</w:t>
      </w:r>
      <w:r w:rsidRPr="00D66922">
        <w:rPr>
          <w:rFonts w:ascii="Arial" w:hAnsi="Arial"/>
          <w:lang w:val="en-GB"/>
        </w:rPr>
        <w:t xml:space="preserve">nly the </w:t>
      </w:r>
      <w:r w:rsidR="004E2C7E" w:rsidRPr="00D66922">
        <w:rPr>
          <w:rFonts w:ascii="Arial" w:hAnsi="Arial"/>
          <w:lang w:val="en-GB"/>
        </w:rPr>
        <w:t>highest concentration (100 mg L</w:t>
      </w:r>
      <w:r w:rsidR="004E2C7E" w:rsidRPr="00D66922">
        <w:rPr>
          <w:rFonts w:ascii="Arial" w:hAnsi="Arial"/>
          <w:vertAlign w:val="superscript"/>
          <w:lang w:val="en-GB"/>
        </w:rPr>
        <w:t>-1</w:t>
      </w:r>
      <w:r w:rsidR="004E2C7E" w:rsidRPr="00D66922">
        <w:rPr>
          <w:rFonts w:ascii="Arial" w:hAnsi="Arial"/>
          <w:lang w:val="en-GB"/>
        </w:rPr>
        <w:t xml:space="preserve">) </w:t>
      </w:r>
      <w:r w:rsidRPr="00D66922">
        <w:rPr>
          <w:rFonts w:ascii="Arial" w:hAnsi="Arial"/>
          <w:lang w:val="en-GB"/>
        </w:rPr>
        <w:t>growth rate w</w:t>
      </w:r>
      <w:r>
        <w:rPr>
          <w:rFonts w:ascii="Arial" w:hAnsi="Arial"/>
          <w:lang w:val="en-GB"/>
        </w:rPr>
        <w:t>as significantly different (</w:t>
      </w:r>
      <w:r>
        <w:rPr>
          <w:rFonts w:ascii="Arial" w:hAnsi="Arial"/>
          <w:i/>
          <w:lang w:val="en-GB"/>
        </w:rPr>
        <w:t>P</w:t>
      </w:r>
      <w:r>
        <w:rPr>
          <w:rFonts w:ascii="Arial" w:hAnsi="Arial"/>
          <w:lang w:val="en-GB"/>
        </w:rPr>
        <w:t xml:space="preserve"> ≤ .05) from that of the control. A negative dose-effect correlation was found between the specific growth rate and the logarithm of the </w:t>
      </w:r>
      <w:proofErr w:type="spellStart"/>
      <w:r>
        <w:rPr>
          <w:rFonts w:ascii="Arial" w:hAnsi="Arial"/>
          <w:lang w:val="en-GB"/>
        </w:rPr>
        <w:t>AgNP</w:t>
      </w:r>
      <w:proofErr w:type="spellEnd"/>
      <w:r>
        <w:rPr>
          <w:rFonts w:ascii="Arial" w:hAnsi="Arial"/>
          <w:lang w:val="en-GB"/>
        </w:rPr>
        <w:t xml:space="preserve"> concentration (Figure 1B), which allowed the determination of toxicity parameter values. Thus, the EC50-168h (with confidence interval in parentheses) and the EC10-168h were 3.67 (2.46 -5.31) and 0.23 mg L</w:t>
      </w:r>
      <w:r>
        <w:rPr>
          <w:rFonts w:ascii="Arial" w:hAnsi="Arial"/>
          <w:vertAlign w:val="superscript"/>
          <w:lang w:val="en-GB"/>
        </w:rPr>
        <w:t>-1</w:t>
      </w:r>
      <w:r>
        <w:rPr>
          <w:rFonts w:ascii="Arial" w:hAnsi="Arial"/>
          <w:lang w:val="en-GB"/>
        </w:rPr>
        <w:t>, respectively. The NOEC value was equivalent to 0.58 mg L</w:t>
      </w:r>
      <w:r>
        <w:rPr>
          <w:rFonts w:ascii="Arial" w:hAnsi="Arial"/>
          <w:vertAlign w:val="superscript"/>
          <w:lang w:val="en-GB"/>
        </w:rPr>
        <w:t>-1</w:t>
      </w:r>
      <w:r>
        <w:rPr>
          <w:rFonts w:ascii="Arial" w:hAnsi="Arial"/>
          <w:lang w:val="en-GB"/>
        </w:rPr>
        <w:t>.</w:t>
      </w:r>
    </w:p>
    <w:p w14:paraId="2A3F2779" w14:textId="77777777" w:rsidR="007357B1" w:rsidRDefault="007357B1">
      <w:pPr>
        <w:jc w:val="both"/>
        <w:rPr>
          <w:rFonts w:ascii="Arial" w:hAnsi="Arial"/>
          <w:lang w:val="en-GB"/>
        </w:rPr>
      </w:pPr>
    </w:p>
    <w:p w14:paraId="53DA1F14" w14:textId="3FCA8C52" w:rsidR="007357B1" w:rsidRDefault="007B2D23">
      <w:pPr>
        <w:jc w:val="both"/>
        <w:rPr>
          <w:rFonts w:ascii="Arial" w:hAnsi="Arial"/>
          <w:lang w:val="en-GB"/>
        </w:rPr>
      </w:pPr>
      <w:r>
        <w:rPr>
          <w:rFonts w:ascii="Arial" w:hAnsi="Arial"/>
          <w:lang w:val="en-GB"/>
        </w:rPr>
        <w:t xml:space="preserve">The EC50-168h value was much higher than that </w:t>
      </w:r>
      <w:r w:rsidR="000014B5">
        <w:rPr>
          <w:rFonts w:ascii="Arial" w:hAnsi="Arial"/>
          <w:lang w:val="en-GB"/>
        </w:rPr>
        <w:t xml:space="preserve">the EC50-48h </w:t>
      </w:r>
      <w:r>
        <w:rPr>
          <w:rFonts w:ascii="Arial" w:hAnsi="Arial"/>
          <w:lang w:val="en-GB"/>
        </w:rPr>
        <w:t xml:space="preserve">determined by </w:t>
      </w:r>
      <w:r w:rsidR="000014B5">
        <w:rPr>
          <w:rFonts w:ascii="Arial" w:hAnsi="Arial"/>
          <w:lang w:val="en-GB"/>
        </w:rPr>
        <w:t xml:space="preserve">Sorensen and </w:t>
      </w:r>
      <w:proofErr w:type="spellStart"/>
      <w:r w:rsidR="000014B5">
        <w:rPr>
          <w:rFonts w:ascii="Arial" w:hAnsi="Arial"/>
          <w:lang w:val="en-GB"/>
        </w:rPr>
        <w:t>Baun</w:t>
      </w:r>
      <w:proofErr w:type="spellEnd"/>
      <w:r>
        <w:rPr>
          <w:rFonts w:ascii="Arial" w:hAnsi="Arial"/>
          <w:lang w:val="en-GB"/>
        </w:rPr>
        <w:t xml:space="preserve"> (</w:t>
      </w:r>
      <w:r w:rsidR="000014B5">
        <w:rPr>
          <w:rFonts w:ascii="Arial" w:hAnsi="Arial"/>
          <w:lang w:val="en-GB"/>
        </w:rPr>
        <w:t>2015</w:t>
      </w:r>
      <w:r>
        <w:rPr>
          <w:rFonts w:ascii="Arial" w:hAnsi="Arial"/>
          <w:lang w:val="en-GB"/>
        </w:rPr>
        <w:t xml:space="preserve">) </w:t>
      </w:r>
      <w:r w:rsidRPr="000014B5">
        <w:rPr>
          <w:rFonts w:ascii="Arial" w:hAnsi="Arial"/>
          <w:lang w:val="en-GB"/>
        </w:rPr>
        <w:t xml:space="preserve">in </w:t>
      </w:r>
      <w:r w:rsidR="000014B5" w:rsidRPr="000014B5">
        <w:rPr>
          <w:rFonts w:ascii="Arial" w:hAnsi="Arial"/>
          <w:lang w:val="en-GB"/>
        </w:rPr>
        <w:t>the same algae</w:t>
      </w:r>
      <w:r w:rsidRPr="000014B5">
        <w:rPr>
          <w:rFonts w:ascii="Arial" w:hAnsi="Arial"/>
          <w:lang w:val="en-GB"/>
        </w:rPr>
        <w:t>,</w:t>
      </w:r>
      <w:r>
        <w:rPr>
          <w:rFonts w:ascii="Arial" w:hAnsi="Arial"/>
          <w:lang w:val="en-GB"/>
        </w:rPr>
        <w:t xml:space="preserve"> for silver in the form of AgNO3 (</w:t>
      </w:r>
      <w:r w:rsidR="000014B5">
        <w:rPr>
          <w:rFonts w:ascii="Arial" w:hAnsi="Arial"/>
          <w:lang w:val="en-GB"/>
        </w:rPr>
        <w:t>4.9</w:t>
      </w:r>
      <w:r>
        <w:rPr>
          <w:rFonts w:ascii="Arial" w:hAnsi="Arial"/>
          <w:lang w:val="en-GB"/>
        </w:rPr>
        <w:t xml:space="preserve"> </w:t>
      </w:r>
      <w:proofErr w:type="spellStart"/>
      <w:r>
        <w:rPr>
          <w:rFonts w:ascii="Arial" w:hAnsi="Arial"/>
          <w:lang w:val="en-GB"/>
        </w:rPr>
        <w:t>μg</w:t>
      </w:r>
      <w:proofErr w:type="spellEnd"/>
      <w:r>
        <w:rPr>
          <w:rFonts w:ascii="Arial" w:hAnsi="Arial"/>
          <w:lang w:val="en-GB"/>
        </w:rPr>
        <w:t xml:space="preserve"> L</w:t>
      </w:r>
      <w:r w:rsidRPr="000014B5">
        <w:rPr>
          <w:rFonts w:ascii="Arial" w:hAnsi="Arial"/>
          <w:vertAlign w:val="superscript"/>
          <w:lang w:val="en-GB"/>
        </w:rPr>
        <w:t>-1</w:t>
      </w:r>
      <w:r w:rsidRPr="00D66922">
        <w:rPr>
          <w:rFonts w:ascii="Arial" w:hAnsi="Arial"/>
          <w:lang w:val="en-GB"/>
        </w:rPr>
        <w:t xml:space="preserve">), </w:t>
      </w:r>
      <w:r w:rsidR="000A689A" w:rsidRPr="00D66922">
        <w:rPr>
          <w:rFonts w:ascii="Arial" w:hAnsi="Arial"/>
          <w:lang w:val="en-GB"/>
        </w:rPr>
        <w:t>possibly</w:t>
      </w:r>
      <w:r w:rsidRPr="00D66922">
        <w:rPr>
          <w:rFonts w:ascii="Arial" w:hAnsi="Arial"/>
          <w:lang w:val="en-GB"/>
        </w:rPr>
        <w:t xml:space="preserve"> imply</w:t>
      </w:r>
      <w:r w:rsidR="000A689A" w:rsidRPr="00D66922">
        <w:rPr>
          <w:rFonts w:ascii="Arial" w:hAnsi="Arial"/>
          <w:lang w:val="en-GB"/>
        </w:rPr>
        <w:t>ing</w:t>
      </w:r>
      <w:r>
        <w:rPr>
          <w:rFonts w:ascii="Arial" w:hAnsi="Arial"/>
          <w:lang w:val="en-GB"/>
        </w:rPr>
        <w:t xml:space="preserve"> lower toxicity when the metal is in nanoparticle form. The value of this toxicity parameter was very close to that reported by McLaughlin and </w:t>
      </w:r>
      <w:proofErr w:type="spellStart"/>
      <w:r>
        <w:rPr>
          <w:rFonts w:ascii="Arial" w:hAnsi="Arial"/>
          <w:lang w:val="en-GB"/>
        </w:rPr>
        <w:t>Bonzongo</w:t>
      </w:r>
      <w:proofErr w:type="spellEnd"/>
      <w:r w:rsidR="009D4F22">
        <w:rPr>
          <w:rFonts w:ascii="Arial" w:hAnsi="Arial"/>
          <w:lang w:val="en-GB"/>
        </w:rPr>
        <w:t xml:space="preserve"> (2012) for silver nanoparticles  </w:t>
      </w:r>
      <w:r>
        <w:rPr>
          <w:rFonts w:ascii="Arial" w:hAnsi="Arial"/>
          <w:lang w:val="en-GB"/>
        </w:rPr>
        <w:t xml:space="preserve"> (EC50 = 1.6 mg L</w:t>
      </w:r>
      <w:r>
        <w:rPr>
          <w:rFonts w:ascii="Arial" w:hAnsi="Arial"/>
          <w:vertAlign w:val="superscript"/>
          <w:lang w:val="en-GB"/>
        </w:rPr>
        <w:t>-1</w:t>
      </w:r>
      <w:r>
        <w:rPr>
          <w:rFonts w:ascii="Arial" w:hAnsi="Arial"/>
          <w:lang w:val="en-GB"/>
        </w:rPr>
        <w:t xml:space="preserve">) </w:t>
      </w:r>
      <w:r w:rsidR="009D4F22">
        <w:rPr>
          <w:rFonts w:ascii="Arial" w:hAnsi="Arial"/>
          <w:lang w:val="en-GB"/>
        </w:rPr>
        <w:t>in</w:t>
      </w:r>
      <w:r>
        <w:rPr>
          <w:rFonts w:ascii="Arial" w:hAnsi="Arial"/>
          <w:lang w:val="en-GB"/>
        </w:rPr>
        <w:t xml:space="preserve">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w:t>
      </w:r>
    </w:p>
    <w:p w14:paraId="71E71F19" w14:textId="77777777" w:rsidR="007357B1" w:rsidRDefault="007357B1">
      <w:pPr>
        <w:jc w:val="both"/>
        <w:rPr>
          <w:rFonts w:ascii="Arial" w:hAnsi="Arial"/>
          <w:lang w:val="en-GB"/>
        </w:rPr>
      </w:pPr>
    </w:p>
    <w:p w14:paraId="4AA1044F" w14:textId="77777777" w:rsidR="007357B1" w:rsidRDefault="007B2D23">
      <w:pPr>
        <w:jc w:val="both"/>
        <w:rPr>
          <w:rFonts w:ascii="Arial" w:hAnsi="Arial"/>
          <w:b/>
          <w:sz w:val="22"/>
          <w:szCs w:val="22"/>
          <w:lang w:val="en-GB"/>
        </w:rPr>
      </w:pPr>
      <w:r>
        <w:rPr>
          <w:rFonts w:ascii="Arial" w:hAnsi="Arial"/>
          <w:b/>
          <w:sz w:val="22"/>
          <w:szCs w:val="22"/>
          <w:lang w:val="en-GB"/>
        </w:rPr>
        <w:t xml:space="preserve">3.2 Effect on Lettuce Seeds </w:t>
      </w:r>
    </w:p>
    <w:p w14:paraId="1E2F18DA" w14:textId="77777777" w:rsidR="007357B1" w:rsidRDefault="007357B1">
      <w:pPr>
        <w:jc w:val="both"/>
        <w:rPr>
          <w:rFonts w:ascii="Arial" w:hAnsi="Arial"/>
          <w:lang w:val="en-GB"/>
        </w:rPr>
      </w:pPr>
    </w:p>
    <w:p w14:paraId="0FD927FC" w14:textId="13EB35C6" w:rsidR="007357B1" w:rsidRDefault="007B2D23">
      <w:pPr>
        <w:jc w:val="both"/>
        <w:rPr>
          <w:rFonts w:ascii="Arial" w:hAnsi="Arial"/>
          <w:lang w:val="en-GB"/>
        </w:rPr>
      </w:pPr>
      <w:r>
        <w:rPr>
          <w:rFonts w:ascii="Arial" w:hAnsi="Arial"/>
          <w:lang w:val="en-GB"/>
        </w:rPr>
        <w:t xml:space="preserve">The germination rates of </w:t>
      </w:r>
      <w:r>
        <w:rPr>
          <w:rFonts w:ascii="Arial" w:hAnsi="Arial"/>
          <w:i/>
          <w:lang w:val="en-GB"/>
        </w:rPr>
        <w:t xml:space="preserve">L. sativa </w:t>
      </w:r>
      <w:r>
        <w:rPr>
          <w:rFonts w:ascii="Arial" w:hAnsi="Arial"/>
          <w:lang w:val="en-GB"/>
        </w:rPr>
        <w:t xml:space="preserve">seeds after 96 hours of exposure to </w:t>
      </w:r>
      <w:proofErr w:type="spellStart"/>
      <w:r w:rsidRPr="00D66922">
        <w:rPr>
          <w:rFonts w:ascii="Arial" w:hAnsi="Arial"/>
          <w:lang w:val="en-GB"/>
        </w:rPr>
        <w:t>AgNP</w:t>
      </w:r>
      <w:proofErr w:type="spellEnd"/>
      <w:r w:rsidRPr="00D66922">
        <w:rPr>
          <w:rFonts w:ascii="Arial" w:hAnsi="Arial"/>
          <w:lang w:val="en-GB"/>
        </w:rPr>
        <w:t xml:space="preserve"> </w:t>
      </w:r>
      <w:r w:rsidR="000A689A" w:rsidRPr="00D66922">
        <w:rPr>
          <w:rFonts w:ascii="Arial" w:hAnsi="Arial"/>
          <w:lang w:val="en-GB"/>
        </w:rPr>
        <w:t>were</w:t>
      </w:r>
      <w:r w:rsidRPr="00D66922">
        <w:rPr>
          <w:rFonts w:ascii="Arial" w:hAnsi="Arial"/>
          <w:lang w:val="en-GB"/>
        </w:rPr>
        <w:t xml:space="preserve"> determined</w:t>
      </w:r>
      <w:r>
        <w:rPr>
          <w:rFonts w:ascii="Arial" w:hAnsi="Arial"/>
          <w:lang w:val="en-GB"/>
        </w:rPr>
        <w:t xml:space="preserve">. The germination percentage for all treatments remained on average between 88 and 100%. After </w:t>
      </w:r>
      <w:proofErr w:type="spellStart"/>
      <w:r>
        <w:rPr>
          <w:rFonts w:ascii="Arial" w:hAnsi="Arial"/>
          <w:lang w:val="en-GB"/>
        </w:rPr>
        <w:t>analyzing</w:t>
      </w:r>
      <w:proofErr w:type="spellEnd"/>
      <w:r>
        <w:rPr>
          <w:rFonts w:ascii="Arial" w:hAnsi="Arial"/>
          <w:lang w:val="en-GB"/>
        </w:rPr>
        <w:t xml:space="preserve"> the data using the Kruskal-Wallis test, no significant differences were found between seeds free of the test material and those exposed to </w:t>
      </w:r>
      <w:proofErr w:type="spellStart"/>
      <w:r>
        <w:rPr>
          <w:rFonts w:ascii="Arial" w:hAnsi="Arial"/>
          <w:lang w:val="en-GB"/>
        </w:rPr>
        <w:t>AgNP</w:t>
      </w:r>
      <w:proofErr w:type="spellEnd"/>
      <w:r>
        <w:rPr>
          <w:rFonts w:ascii="Arial" w:hAnsi="Arial"/>
          <w:lang w:val="en-GB"/>
        </w:rPr>
        <w:t>.</w:t>
      </w:r>
    </w:p>
    <w:p w14:paraId="18DF9849" w14:textId="77777777" w:rsidR="007357B1" w:rsidRDefault="007357B1">
      <w:pPr>
        <w:jc w:val="both"/>
        <w:rPr>
          <w:rFonts w:ascii="Arial" w:hAnsi="Arial"/>
          <w:lang w:val="en-GB"/>
        </w:rPr>
      </w:pPr>
    </w:p>
    <w:p w14:paraId="54E1E2AA" w14:textId="77777777" w:rsidR="007357B1" w:rsidRDefault="007B2D23">
      <w:pPr>
        <w:jc w:val="both"/>
        <w:rPr>
          <w:rFonts w:ascii="Arial" w:hAnsi="Arial"/>
          <w:lang w:val="en-GB"/>
        </w:rPr>
      </w:pPr>
      <w:r>
        <w:rPr>
          <w:rFonts w:ascii="Arial" w:hAnsi="Arial"/>
          <w:lang w:val="en-GB"/>
        </w:rPr>
        <w:t xml:space="preserve">The root growth of </w:t>
      </w:r>
      <w:r>
        <w:rPr>
          <w:rFonts w:ascii="Arial" w:hAnsi="Arial"/>
          <w:i/>
          <w:lang w:val="en-GB"/>
        </w:rPr>
        <w:t>L. sativa</w:t>
      </w:r>
      <w:r>
        <w:rPr>
          <w:rFonts w:ascii="Arial" w:hAnsi="Arial"/>
          <w:lang w:val="en-GB"/>
        </w:rPr>
        <w:t xml:space="preserve"> seeds during 96 hours of exposure to various concentration levels of nanoparticles is shown in Figure 2A. The data show that at exposures of 10 and 100 mg L</w:t>
      </w:r>
      <w:r>
        <w:rPr>
          <w:rFonts w:ascii="Arial" w:hAnsi="Arial"/>
          <w:vertAlign w:val="superscript"/>
          <w:lang w:val="en-GB"/>
        </w:rPr>
        <w:t>-1</w:t>
      </w:r>
      <w:r>
        <w:rPr>
          <w:rFonts w:ascii="Arial" w:hAnsi="Arial"/>
          <w:lang w:val="en-GB"/>
        </w:rPr>
        <w:t>, root growth was lower compared to the control.</w:t>
      </w:r>
    </w:p>
    <w:p w14:paraId="78C16BCC" w14:textId="77777777" w:rsidR="007357B1" w:rsidRDefault="007357B1">
      <w:pPr>
        <w:jc w:val="both"/>
        <w:rPr>
          <w:rFonts w:ascii="Arial" w:hAnsi="Arial"/>
          <w:lang w:val="en-GB"/>
        </w:rPr>
      </w:pPr>
    </w:p>
    <w:p w14:paraId="2F515B5C" w14:textId="4580D475" w:rsidR="007357B1" w:rsidRDefault="007B2D23">
      <w:pPr>
        <w:jc w:val="both"/>
        <w:rPr>
          <w:rFonts w:ascii="Arial" w:hAnsi="Arial"/>
          <w:lang w:val="en-GB"/>
        </w:rPr>
      </w:pPr>
      <w:r>
        <w:rPr>
          <w:rFonts w:ascii="Arial" w:hAnsi="Arial"/>
          <w:lang w:val="en-GB"/>
        </w:rPr>
        <w:t xml:space="preserve">As observed in algae exposed to low concentrations of </w:t>
      </w:r>
      <w:proofErr w:type="spellStart"/>
      <w:r>
        <w:rPr>
          <w:rFonts w:ascii="Arial" w:hAnsi="Arial"/>
          <w:lang w:val="en-GB"/>
        </w:rPr>
        <w:t>AgNP</w:t>
      </w:r>
      <w:proofErr w:type="spellEnd"/>
      <w:r>
        <w:rPr>
          <w:rFonts w:ascii="Arial" w:hAnsi="Arial"/>
          <w:lang w:val="en-GB"/>
        </w:rPr>
        <w:t xml:space="preserve">, </w:t>
      </w:r>
      <w:proofErr w:type="spellStart"/>
      <w:r>
        <w:rPr>
          <w:rFonts w:ascii="Arial" w:hAnsi="Arial"/>
          <w:lang w:val="en-GB"/>
        </w:rPr>
        <w:t>biostimulation</w:t>
      </w:r>
      <w:proofErr w:type="spellEnd"/>
      <w:r>
        <w:rPr>
          <w:rFonts w:ascii="Arial" w:hAnsi="Arial"/>
          <w:lang w:val="en-GB"/>
        </w:rPr>
        <w:t xml:space="preserve"> of root growth may have occurred, compared to the control, after 96h of exposure. This phenomenon may be associated with the claims of Juárez-Maldonado et al. (2019</w:t>
      </w:r>
      <w:r w:rsidRPr="00D66922">
        <w:rPr>
          <w:rFonts w:ascii="Arial" w:hAnsi="Arial"/>
          <w:lang w:val="en-GB"/>
        </w:rPr>
        <w:t>)</w:t>
      </w:r>
      <w:r w:rsidR="000A689A" w:rsidRPr="00D66922">
        <w:rPr>
          <w:rFonts w:ascii="Arial" w:hAnsi="Arial"/>
          <w:lang w:val="en-GB"/>
        </w:rPr>
        <w:t>,</w:t>
      </w:r>
      <w:r w:rsidRPr="00D66922">
        <w:rPr>
          <w:rFonts w:ascii="Arial" w:hAnsi="Arial"/>
          <w:lang w:val="en-GB"/>
        </w:rPr>
        <w:t xml:space="preserve"> in</w:t>
      </w:r>
      <w:r>
        <w:rPr>
          <w:rFonts w:ascii="Arial" w:hAnsi="Arial"/>
          <w:lang w:val="en-GB"/>
        </w:rPr>
        <w:t xml:space="preserve"> which silver nanoparticles </w:t>
      </w:r>
      <w:r w:rsidRPr="00D66922">
        <w:rPr>
          <w:rFonts w:ascii="Arial" w:hAnsi="Arial"/>
          <w:lang w:val="en-GB"/>
        </w:rPr>
        <w:t xml:space="preserve">improved germination response </w:t>
      </w:r>
      <w:r w:rsidR="00606672" w:rsidRPr="00D66922">
        <w:rPr>
          <w:rFonts w:ascii="Arial" w:hAnsi="Arial"/>
          <w:lang w:val="en-GB"/>
        </w:rPr>
        <w:t>because of</w:t>
      </w:r>
      <w:r w:rsidRPr="00D66922">
        <w:rPr>
          <w:rFonts w:ascii="Arial" w:hAnsi="Arial"/>
          <w:lang w:val="en-GB"/>
        </w:rPr>
        <w:t xml:space="preserve"> the ability </w:t>
      </w:r>
      <w:r w:rsidR="00606672" w:rsidRPr="00D66922">
        <w:rPr>
          <w:rFonts w:ascii="Arial" w:hAnsi="Arial"/>
          <w:lang w:val="en-GB"/>
        </w:rPr>
        <w:t>to</w:t>
      </w:r>
      <w:r w:rsidR="00606672">
        <w:rPr>
          <w:rFonts w:ascii="Arial" w:hAnsi="Arial"/>
          <w:lang w:val="en-GB"/>
        </w:rPr>
        <w:t xml:space="preserve"> increase </w:t>
      </w:r>
      <w:r>
        <w:rPr>
          <w:rFonts w:ascii="Arial" w:hAnsi="Arial"/>
          <w:lang w:val="en-GB"/>
        </w:rPr>
        <w:t xml:space="preserve">metabolism in seed reserves and water transport in internal tissues. </w:t>
      </w:r>
    </w:p>
    <w:p w14:paraId="5F2AA1C6" w14:textId="77777777" w:rsidR="007357B1" w:rsidRDefault="007357B1">
      <w:pPr>
        <w:jc w:val="both"/>
        <w:rPr>
          <w:rFonts w:ascii="Arial" w:hAnsi="Arial"/>
          <w:lang w:val="en-GB"/>
        </w:rPr>
      </w:pPr>
    </w:p>
    <w:p w14:paraId="018D2278" w14:textId="77777777" w:rsidR="007357B1" w:rsidRDefault="007B2D23">
      <w:pPr>
        <w:jc w:val="both"/>
        <w:rPr>
          <w:rFonts w:ascii="Arial" w:hAnsi="Arial"/>
          <w:lang w:val="en-GB"/>
        </w:rPr>
      </w:pPr>
      <w:r>
        <w:rPr>
          <w:rFonts w:ascii="Arial" w:hAnsi="Arial"/>
          <w:lang w:val="en-GB"/>
        </w:rPr>
        <w:t>In analogy to our results, Guzmán-Báez et al. (2021) reported that silver nanoparticles increase nitrogen, phosphorus, and potassium concentrations in leaves and stimulate root length and number of roots in tomato seedlings.</w:t>
      </w:r>
    </w:p>
    <w:p w14:paraId="1E6FFA89" w14:textId="77777777" w:rsidR="007357B1" w:rsidRDefault="007357B1">
      <w:pPr>
        <w:jc w:val="both"/>
        <w:rPr>
          <w:rFonts w:ascii="Arial" w:hAnsi="Arial"/>
          <w:lang w:val="en-GB"/>
        </w:rPr>
      </w:pPr>
    </w:p>
    <w:p w14:paraId="48EB224D" w14:textId="77777777" w:rsidR="007357B1" w:rsidRDefault="007B2D23">
      <w:pPr>
        <w:jc w:val="both"/>
        <w:rPr>
          <w:rFonts w:ascii="Arial" w:hAnsi="Arial"/>
          <w:lang w:val="en-GB"/>
        </w:rPr>
      </w:pPr>
      <w:r>
        <w:rPr>
          <w:rFonts w:ascii="Arial" w:hAnsi="Arial"/>
          <w:lang w:val="en-GB"/>
        </w:rPr>
        <w:t>The percentage of seed germination and root length decreased at concentrations of 10 mg L</w:t>
      </w:r>
      <w:r>
        <w:rPr>
          <w:rFonts w:ascii="Arial" w:hAnsi="Arial"/>
          <w:vertAlign w:val="superscript"/>
          <w:lang w:val="en-GB"/>
        </w:rPr>
        <w:t xml:space="preserve">-1 </w:t>
      </w:r>
      <w:r>
        <w:rPr>
          <w:rFonts w:ascii="Arial" w:hAnsi="Arial"/>
          <w:lang w:val="en-GB"/>
        </w:rPr>
        <w:t xml:space="preserve">of </w:t>
      </w:r>
      <w:proofErr w:type="spellStart"/>
      <w:r>
        <w:rPr>
          <w:rFonts w:ascii="Arial" w:hAnsi="Arial"/>
          <w:lang w:val="en-GB"/>
        </w:rPr>
        <w:t>AgNP</w:t>
      </w:r>
      <w:proofErr w:type="spellEnd"/>
      <w:r>
        <w:rPr>
          <w:rFonts w:ascii="Arial" w:hAnsi="Arial"/>
          <w:lang w:val="en-GB"/>
        </w:rPr>
        <w:t xml:space="preserve"> in </w:t>
      </w:r>
      <w:proofErr w:type="spellStart"/>
      <w:r>
        <w:rPr>
          <w:rFonts w:ascii="Arial" w:hAnsi="Arial"/>
          <w:i/>
          <w:lang w:val="en-GB"/>
        </w:rPr>
        <w:t>Hordeum</w:t>
      </w:r>
      <w:proofErr w:type="spellEnd"/>
      <w:r>
        <w:rPr>
          <w:rFonts w:ascii="Arial" w:hAnsi="Arial"/>
          <w:i/>
          <w:lang w:val="en-GB"/>
        </w:rPr>
        <w:t xml:space="preserve"> </w:t>
      </w:r>
      <w:proofErr w:type="spellStart"/>
      <w:r>
        <w:rPr>
          <w:rFonts w:ascii="Arial" w:hAnsi="Arial"/>
          <w:i/>
          <w:lang w:val="en-GB"/>
        </w:rPr>
        <w:t>vulagare</w:t>
      </w:r>
      <w:proofErr w:type="spellEnd"/>
      <w:r>
        <w:rPr>
          <w:rFonts w:ascii="Arial" w:hAnsi="Arial"/>
          <w:lang w:val="en-GB"/>
        </w:rPr>
        <w:t xml:space="preserve"> and </w:t>
      </w:r>
      <w:proofErr w:type="spellStart"/>
      <w:r>
        <w:rPr>
          <w:rFonts w:ascii="Arial" w:hAnsi="Arial"/>
          <w:i/>
          <w:lang w:val="en-GB"/>
        </w:rPr>
        <w:t>Linum</w:t>
      </w:r>
      <w:proofErr w:type="spellEnd"/>
      <w:r>
        <w:rPr>
          <w:rFonts w:ascii="Arial" w:hAnsi="Arial"/>
          <w:i/>
          <w:lang w:val="en-GB"/>
        </w:rPr>
        <w:t xml:space="preserve"> </w:t>
      </w:r>
      <w:proofErr w:type="spellStart"/>
      <w:r>
        <w:rPr>
          <w:rFonts w:ascii="Arial" w:hAnsi="Arial"/>
          <w:i/>
          <w:lang w:val="en-GB"/>
        </w:rPr>
        <w:t>usitatissimum</w:t>
      </w:r>
      <w:proofErr w:type="spellEnd"/>
      <w:r>
        <w:rPr>
          <w:rFonts w:ascii="Arial" w:hAnsi="Arial"/>
          <w:lang w:val="en-GB"/>
        </w:rPr>
        <w:t xml:space="preserve"> (Mishra et al., 2019). Absence of effect on seed germination of </w:t>
      </w:r>
      <w:r>
        <w:rPr>
          <w:rFonts w:ascii="Arial" w:hAnsi="Arial"/>
          <w:i/>
          <w:lang w:val="en-GB"/>
        </w:rPr>
        <w:t>L. sativa</w:t>
      </w:r>
      <w:r>
        <w:rPr>
          <w:rFonts w:ascii="Arial" w:hAnsi="Arial"/>
          <w:lang w:val="en-GB"/>
        </w:rPr>
        <w:t xml:space="preserve"> and also on root elongation was reported by Barrena et al. (2009).</w:t>
      </w:r>
    </w:p>
    <w:p w14:paraId="7F8FC2B7" w14:textId="77777777" w:rsidR="007357B1" w:rsidRDefault="007357B1">
      <w:pPr>
        <w:jc w:val="both"/>
        <w:rPr>
          <w:rFonts w:ascii="Arial" w:hAnsi="Arial"/>
        </w:rPr>
      </w:pPr>
    </w:p>
    <w:p w14:paraId="492DEDCD" w14:textId="12643B87" w:rsidR="007357B1" w:rsidRDefault="007B2D23">
      <w:pPr>
        <w:jc w:val="both"/>
        <w:rPr>
          <w:rFonts w:ascii="Arial" w:hAnsi="Arial"/>
          <w:lang w:val="en-GB"/>
        </w:rPr>
      </w:pPr>
      <w:r>
        <w:rPr>
          <w:rFonts w:ascii="Arial" w:hAnsi="Arial"/>
          <w:lang w:val="en-GB"/>
        </w:rPr>
        <w:t xml:space="preserve">Applying the Kruskal-Wallis test to the growth rates, it was found that, similarly to </w:t>
      </w:r>
      <w:r w:rsidR="00606672">
        <w:rPr>
          <w:rFonts w:ascii="Arial" w:hAnsi="Arial"/>
          <w:lang w:val="en-GB"/>
        </w:rPr>
        <w:t>what</w:t>
      </w:r>
      <w:r>
        <w:rPr>
          <w:rFonts w:ascii="Arial" w:hAnsi="Arial"/>
          <w:lang w:val="en-GB"/>
        </w:rPr>
        <w:t xml:space="preserve"> was observed with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only the highest concentration showed a significant difference from the control. These rates, when plotted as a function of the logarithm of the concentration, generated a curve with a negative correlation (Figure 2B) that allowed the calculation of an EC50-96h equivalent to 35.31 (18.50 – 10.75) mg L</w:t>
      </w:r>
      <w:r>
        <w:rPr>
          <w:rFonts w:ascii="Arial" w:hAnsi="Arial"/>
          <w:vertAlign w:val="superscript"/>
          <w:lang w:val="en-GB"/>
        </w:rPr>
        <w:t>-1</w:t>
      </w:r>
      <w:r>
        <w:rPr>
          <w:rFonts w:ascii="Arial" w:hAnsi="Arial"/>
          <w:lang w:val="en-GB"/>
        </w:rPr>
        <w:t>. The 10% inhibition of growth (EC10-96h) was equivalent to 0.62 mg L</w:t>
      </w:r>
      <w:r w:rsidRPr="00D66922">
        <w:rPr>
          <w:rFonts w:ascii="Arial" w:hAnsi="Arial"/>
          <w:vertAlign w:val="superscript"/>
          <w:lang w:val="en-GB"/>
        </w:rPr>
        <w:t>-1</w:t>
      </w:r>
      <w:r>
        <w:rPr>
          <w:rFonts w:ascii="Arial" w:hAnsi="Arial"/>
          <w:lang w:val="en-GB"/>
        </w:rPr>
        <w:t>, while 1.45 mg L</w:t>
      </w:r>
      <w:r w:rsidRPr="00D66922">
        <w:rPr>
          <w:rFonts w:ascii="Arial" w:hAnsi="Arial"/>
          <w:vertAlign w:val="superscript"/>
          <w:lang w:val="en-GB"/>
        </w:rPr>
        <w:t>-1</w:t>
      </w:r>
      <w:r>
        <w:rPr>
          <w:rFonts w:ascii="Arial" w:hAnsi="Arial"/>
          <w:lang w:val="en-GB"/>
        </w:rPr>
        <w:t xml:space="preserve"> was the value corresponding to the NOEC.</w:t>
      </w:r>
    </w:p>
    <w:p w14:paraId="0208AD1D" w14:textId="77777777" w:rsidR="007357B1" w:rsidRDefault="007357B1">
      <w:pPr>
        <w:jc w:val="both"/>
        <w:rPr>
          <w:rFonts w:ascii="Arial" w:hAnsi="Arial"/>
          <w:lang w:val="en-GB"/>
        </w:rPr>
      </w:pPr>
    </w:p>
    <w:p w14:paraId="21E5EAA2" w14:textId="77777777" w:rsidR="007357B1" w:rsidRDefault="007B2D23">
      <w:pPr>
        <w:jc w:val="both"/>
        <w:rPr>
          <w:rFonts w:ascii="Arial" w:hAnsi="Arial"/>
          <w:lang w:val="en-GB"/>
        </w:rPr>
      </w:pPr>
      <w:r>
        <w:rPr>
          <w:noProof/>
          <w:lang w:val="pt-BR" w:eastAsia="pt-BR"/>
        </w:rPr>
        <w:lastRenderedPageBreak/>
        <w:drawing>
          <wp:inline distT="0" distB="0" distL="0" distR="0" wp14:anchorId="17BC2870" wp14:editId="28681998">
            <wp:extent cx="4314825" cy="5886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4"/>
                    <a:stretch>
                      <a:fillRect/>
                    </a:stretch>
                  </pic:blipFill>
                  <pic:spPr bwMode="auto">
                    <a:xfrm>
                      <a:off x="0" y="0"/>
                      <a:ext cx="4314825" cy="5886450"/>
                    </a:xfrm>
                    <a:prstGeom prst="rect">
                      <a:avLst/>
                    </a:prstGeom>
                  </pic:spPr>
                </pic:pic>
              </a:graphicData>
            </a:graphic>
          </wp:inline>
        </w:drawing>
      </w:r>
    </w:p>
    <w:p w14:paraId="0C670C11" w14:textId="77777777" w:rsidR="007357B1" w:rsidRDefault="007357B1">
      <w:pPr>
        <w:pStyle w:val="Body"/>
        <w:spacing w:after="0"/>
        <w:rPr>
          <w:rFonts w:ascii="Arial" w:hAnsi="Arial" w:cs="Arial"/>
          <w:lang w:val="en-GB"/>
        </w:rPr>
      </w:pPr>
    </w:p>
    <w:p w14:paraId="6846B008" w14:textId="77777777" w:rsidR="007357B1" w:rsidRDefault="007B2D23">
      <w:pPr>
        <w:jc w:val="both"/>
        <w:rPr>
          <w:rFonts w:ascii="Arial" w:hAnsi="Arial"/>
          <w:lang w:val="en-GB"/>
        </w:rPr>
      </w:pPr>
      <w:r>
        <w:rPr>
          <w:rFonts w:ascii="Arial" w:hAnsi="Arial"/>
          <w:b/>
          <w:lang w:val="en-GB"/>
        </w:rPr>
        <w:t xml:space="preserve">Fig. 1. (A) Growth curves of </w:t>
      </w:r>
      <w:proofErr w:type="spellStart"/>
      <w:r>
        <w:rPr>
          <w:rFonts w:ascii="Arial" w:hAnsi="Arial"/>
          <w:b/>
          <w:i/>
          <w:lang w:val="en-GB"/>
        </w:rPr>
        <w:t>Pseudokirchneriella</w:t>
      </w:r>
      <w:proofErr w:type="spellEnd"/>
      <w:r>
        <w:rPr>
          <w:rFonts w:ascii="Arial" w:hAnsi="Arial"/>
          <w:b/>
          <w:i/>
          <w:lang w:val="en-GB"/>
        </w:rPr>
        <w:t xml:space="preserve"> </w:t>
      </w:r>
      <w:proofErr w:type="spellStart"/>
      <w:r>
        <w:rPr>
          <w:rFonts w:ascii="Arial" w:hAnsi="Arial"/>
          <w:b/>
          <w:i/>
          <w:lang w:val="en-GB"/>
        </w:rPr>
        <w:t>subcapitata</w:t>
      </w:r>
      <w:proofErr w:type="spellEnd"/>
      <w:r>
        <w:rPr>
          <w:rFonts w:ascii="Arial" w:hAnsi="Arial"/>
          <w:b/>
          <w:lang w:val="en-GB"/>
        </w:rPr>
        <w:t xml:space="preserve"> exposed to different concentrations of </w:t>
      </w:r>
      <w:proofErr w:type="spellStart"/>
      <w:r>
        <w:rPr>
          <w:rFonts w:ascii="Arial" w:hAnsi="Arial"/>
          <w:b/>
          <w:lang w:val="en-GB"/>
        </w:rPr>
        <w:t>AgNP</w:t>
      </w:r>
      <w:proofErr w:type="spellEnd"/>
      <w:r>
        <w:rPr>
          <w:rFonts w:ascii="Arial" w:hAnsi="Arial"/>
          <w:b/>
          <w:lang w:val="en-GB"/>
        </w:rPr>
        <w:t xml:space="preserve">: </w:t>
      </w:r>
      <w:r>
        <w:rPr>
          <w:rFonts w:ascii="Arial" w:hAnsi="Arial"/>
          <w:b/>
          <w:color w:val="4BACC6" w:themeColor="accent5"/>
          <w:lang w:val="en-GB"/>
        </w:rPr>
        <w:t xml:space="preserve">-♦- </w:t>
      </w:r>
      <w:r>
        <w:rPr>
          <w:rFonts w:ascii="Arial" w:hAnsi="Arial"/>
          <w:b/>
          <w:lang w:val="en-GB"/>
        </w:rPr>
        <w:t>0.0 mg L</w:t>
      </w:r>
      <w:r>
        <w:rPr>
          <w:rFonts w:ascii="Arial" w:hAnsi="Arial"/>
          <w:b/>
          <w:vertAlign w:val="superscript"/>
          <w:lang w:val="en-GB"/>
        </w:rPr>
        <w:t>-1</w:t>
      </w:r>
      <w:r>
        <w:rPr>
          <w:rFonts w:ascii="Arial" w:hAnsi="Arial"/>
          <w:b/>
          <w:lang w:val="en-GB"/>
        </w:rPr>
        <w:t xml:space="preserve">; </w:t>
      </w:r>
      <w:r>
        <w:rPr>
          <w:rFonts w:ascii="Arial" w:hAnsi="Arial"/>
          <w:b/>
          <w:color w:val="4BACC6" w:themeColor="accent5"/>
          <w:lang w:val="en-GB"/>
        </w:rPr>
        <w:t>-</w:t>
      </w:r>
      <w:r>
        <w:rPr>
          <w:rFonts w:ascii="Arial" w:hAnsi="Arial"/>
          <w:b/>
          <w:color w:val="E36C0A" w:themeColor="accent6" w:themeShade="BF"/>
          <w:lang w:val="en-GB"/>
        </w:rPr>
        <w:t>▲-</w:t>
      </w:r>
      <w:r>
        <w:rPr>
          <w:rFonts w:ascii="Arial" w:hAnsi="Arial"/>
          <w:b/>
          <w:lang w:val="en-GB"/>
        </w:rPr>
        <w:t xml:space="preserve"> 0.1 mg L</w:t>
      </w:r>
      <w:r>
        <w:rPr>
          <w:rFonts w:ascii="Arial" w:hAnsi="Arial"/>
          <w:b/>
          <w:vertAlign w:val="superscript"/>
          <w:lang w:val="en-GB"/>
        </w:rPr>
        <w:t>-</w:t>
      </w:r>
      <w:proofErr w:type="gramStart"/>
      <w:r>
        <w:rPr>
          <w:rFonts w:ascii="Arial" w:hAnsi="Arial"/>
          <w:b/>
          <w:vertAlign w:val="superscript"/>
          <w:lang w:val="en-GB"/>
        </w:rPr>
        <w:t>1</w:t>
      </w:r>
      <w:r>
        <w:rPr>
          <w:rFonts w:ascii="Arial" w:hAnsi="Arial"/>
          <w:b/>
          <w:lang w:val="en-GB"/>
        </w:rPr>
        <w:t xml:space="preserve">;  </w:t>
      </w:r>
      <w:r>
        <w:rPr>
          <w:rFonts w:ascii="Arial" w:hAnsi="Arial"/>
          <w:b/>
          <w:color w:val="00FFFF"/>
          <w:lang w:val="en-GB"/>
        </w:rPr>
        <w:t>-</w:t>
      </w:r>
      <w:proofErr w:type="gramEnd"/>
      <w:r>
        <w:rPr>
          <w:rFonts w:ascii="Arial" w:hAnsi="Arial"/>
          <w:b/>
          <w:color w:val="00FFFF"/>
          <w:lang w:val="en-GB"/>
        </w:rPr>
        <w:t>▲-</w:t>
      </w:r>
      <w:r>
        <w:rPr>
          <w:rFonts w:ascii="Arial" w:hAnsi="Arial"/>
          <w:b/>
          <w:lang w:val="en-GB"/>
        </w:rPr>
        <w:t xml:space="preserve"> 1.0 mg L</w:t>
      </w:r>
      <w:r>
        <w:rPr>
          <w:rFonts w:ascii="Arial" w:hAnsi="Arial"/>
          <w:b/>
          <w:vertAlign w:val="superscript"/>
          <w:lang w:val="en-GB"/>
        </w:rPr>
        <w:t>-1</w:t>
      </w:r>
      <w:r>
        <w:rPr>
          <w:rFonts w:ascii="Arial" w:hAnsi="Arial"/>
          <w:b/>
          <w:lang w:val="en-GB"/>
        </w:rPr>
        <w:t xml:space="preserve">; </w:t>
      </w:r>
      <w:r>
        <w:rPr>
          <w:rFonts w:ascii="Arial" w:hAnsi="Arial"/>
          <w:b/>
          <w:color w:val="833C0B"/>
          <w:lang w:val="en-GB"/>
        </w:rPr>
        <w:t>-■-</w:t>
      </w:r>
      <w:r>
        <w:rPr>
          <w:rFonts w:ascii="Arial" w:hAnsi="Arial"/>
          <w:b/>
          <w:color w:val="943634" w:themeColor="accent2" w:themeShade="BF"/>
          <w:lang w:val="en-GB"/>
        </w:rPr>
        <w:t xml:space="preserve"> </w:t>
      </w:r>
      <w:r>
        <w:rPr>
          <w:rFonts w:ascii="Arial" w:hAnsi="Arial"/>
          <w:b/>
          <w:lang w:val="en-GB"/>
        </w:rPr>
        <w:t>10.0 mg L</w:t>
      </w:r>
      <w:r>
        <w:rPr>
          <w:rFonts w:ascii="Arial" w:hAnsi="Arial"/>
          <w:b/>
          <w:vertAlign w:val="superscript"/>
          <w:lang w:val="en-GB"/>
        </w:rPr>
        <w:t>-1</w:t>
      </w:r>
      <w:r>
        <w:rPr>
          <w:rFonts w:ascii="Arial" w:hAnsi="Arial"/>
          <w:b/>
          <w:lang w:val="en-GB"/>
        </w:rPr>
        <w:t xml:space="preserve">; </w:t>
      </w:r>
      <w:r>
        <w:rPr>
          <w:rFonts w:ascii="Arial" w:hAnsi="Arial"/>
          <w:b/>
          <w:color w:val="FF0000"/>
          <w:lang w:val="en-GB"/>
        </w:rPr>
        <w:t>-■-</w:t>
      </w:r>
      <w:r>
        <w:rPr>
          <w:rFonts w:ascii="Arial" w:hAnsi="Arial"/>
          <w:b/>
          <w:color w:val="943634" w:themeColor="accent2" w:themeShade="BF"/>
          <w:lang w:val="en-GB"/>
        </w:rPr>
        <w:t xml:space="preserve"> </w:t>
      </w:r>
      <w:r>
        <w:rPr>
          <w:rFonts w:ascii="Arial" w:hAnsi="Arial"/>
          <w:b/>
          <w:lang w:val="en-GB"/>
        </w:rPr>
        <w:t>10.0 mg L</w:t>
      </w:r>
      <w:r>
        <w:rPr>
          <w:rFonts w:ascii="Arial" w:hAnsi="Arial"/>
          <w:b/>
          <w:vertAlign w:val="superscript"/>
          <w:lang w:val="en-GB"/>
        </w:rPr>
        <w:t>-1</w:t>
      </w:r>
      <w:r>
        <w:rPr>
          <w:rFonts w:ascii="Arial" w:hAnsi="Arial"/>
          <w:b/>
          <w:color w:val="4BACC6" w:themeColor="accent5"/>
          <w:lang w:val="en-GB"/>
        </w:rPr>
        <w:t>.</w:t>
      </w:r>
      <w:r>
        <w:rPr>
          <w:rFonts w:ascii="Arial" w:hAnsi="Arial"/>
          <w:b/>
          <w:lang w:val="en-GB"/>
        </w:rPr>
        <w:t xml:space="preserve"> (B) Concentration-effect curve</w:t>
      </w:r>
      <w:r>
        <w:rPr>
          <w:rFonts w:ascii="Arial" w:hAnsi="Arial"/>
          <w:b/>
          <w:color w:val="4BACC6" w:themeColor="accent5"/>
          <w:lang w:val="en-GB"/>
        </w:rPr>
        <w:t xml:space="preserve"> </w:t>
      </w:r>
      <w:r>
        <w:rPr>
          <w:rFonts w:ascii="Arial" w:hAnsi="Arial"/>
          <w:b/>
          <w:lang w:val="en-GB"/>
        </w:rPr>
        <w:t xml:space="preserve">of </w:t>
      </w:r>
      <w:proofErr w:type="spellStart"/>
      <w:proofErr w:type="gramStart"/>
      <w:r>
        <w:rPr>
          <w:rFonts w:ascii="Arial" w:hAnsi="Arial"/>
          <w:b/>
          <w:lang w:val="en-GB"/>
        </w:rPr>
        <w:t>AgNP</w:t>
      </w:r>
      <w:proofErr w:type="spellEnd"/>
      <w:r>
        <w:rPr>
          <w:rFonts w:ascii="Arial" w:hAnsi="Arial"/>
          <w:b/>
          <w:lang w:val="en-GB"/>
        </w:rPr>
        <w:t xml:space="preserve">  on</w:t>
      </w:r>
      <w:proofErr w:type="gramEnd"/>
      <w:r>
        <w:rPr>
          <w:rFonts w:ascii="Arial" w:hAnsi="Arial"/>
          <w:b/>
          <w:lang w:val="en-GB"/>
        </w:rPr>
        <w:t xml:space="preserve"> the specific growth rate (SGR) of </w:t>
      </w:r>
      <w:proofErr w:type="spellStart"/>
      <w:r>
        <w:rPr>
          <w:rFonts w:ascii="Arial" w:hAnsi="Arial"/>
          <w:b/>
          <w:i/>
          <w:lang w:val="en-GB"/>
        </w:rPr>
        <w:t>Pseudokirchneriella</w:t>
      </w:r>
      <w:proofErr w:type="spellEnd"/>
      <w:r>
        <w:rPr>
          <w:rFonts w:ascii="Arial" w:hAnsi="Arial"/>
          <w:b/>
          <w:i/>
          <w:lang w:val="en-GB"/>
        </w:rPr>
        <w:t xml:space="preserve"> </w:t>
      </w:r>
      <w:proofErr w:type="spellStart"/>
      <w:r>
        <w:rPr>
          <w:rFonts w:ascii="Arial" w:hAnsi="Arial"/>
          <w:b/>
          <w:i/>
          <w:lang w:val="en-GB"/>
        </w:rPr>
        <w:t>subcapitata</w:t>
      </w:r>
      <w:proofErr w:type="spellEnd"/>
      <w:r>
        <w:rPr>
          <w:rFonts w:ascii="Arial" w:hAnsi="Arial"/>
          <w:b/>
          <w:lang w:val="en-GB"/>
        </w:rPr>
        <w:t xml:space="preserve"> exposed for 168 hours to the test material. Regression curve </w:t>
      </w:r>
      <w:proofErr w:type="gramStart"/>
      <w:r>
        <w:rPr>
          <w:rFonts w:ascii="Arial" w:hAnsi="Arial"/>
          <w:b/>
          <w:lang w:val="en-GB"/>
        </w:rPr>
        <w:t>(</w:t>
      </w:r>
      <w:r>
        <w:rPr>
          <w:rFonts w:ascii="Arial" w:hAnsi="Arial"/>
          <w:b/>
          <w:color w:val="365F91" w:themeColor="accent1" w:themeShade="BF"/>
          <w:lang w:val="en-GB"/>
        </w:rPr>
        <w:t xml:space="preserve"> ̶</w:t>
      </w:r>
      <w:proofErr w:type="gramEnd"/>
      <w:r>
        <w:rPr>
          <w:rFonts w:ascii="Arial" w:hAnsi="Arial"/>
          <w:b/>
          <w:color w:val="365F91" w:themeColor="accent1" w:themeShade="BF"/>
          <w:lang w:val="en-GB"/>
        </w:rPr>
        <w:t xml:space="preserve"> </w:t>
      </w:r>
      <w:r>
        <w:rPr>
          <w:rFonts w:ascii="Arial" w:hAnsi="Arial"/>
          <w:b/>
          <w:lang w:val="en-GB"/>
        </w:rPr>
        <w:t xml:space="preserve">); 95% confidence interval </w:t>
      </w:r>
      <w:r>
        <w:rPr>
          <w:rFonts w:ascii="Arial" w:hAnsi="Arial"/>
          <w:b/>
          <w:color w:val="00B050"/>
          <w:lang w:val="en-GB"/>
        </w:rPr>
        <w:t>( ̶ )</w:t>
      </w:r>
      <w:r>
        <w:rPr>
          <w:rFonts w:ascii="Arial" w:hAnsi="Arial"/>
          <w:color w:val="00B050"/>
          <w:lang w:val="en-GB"/>
        </w:rPr>
        <w:t xml:space="preserve"> </w:t>
      </w:r>
      <w:r>
        <w:rPr>
          <w:rFonts w:ascii="Arial" w:hAnsi="Arial"/>
          <w:lang w:val="en-GB"/>
        </w:rPr>
        <w:t>.</w:t>
      </w:r>
    </w:p>
    <w:p w14:paraId="7ADC0429" w14:textId="77777777" w:rsidR="007357B1" w:rsidRDefault="007357B1">
      <w:pPr>
        <w:jc w:val="both"/>
        <w:rPr>
          <w:rFonts w:ascii="Arial" w:hAnsi="Arial"/>
          <w:lang w:val="en-GB"/>
        </w:rPr>
      </w:pPr>
    </w:p>
    <w:p w14:paraId="65989041" w14:textId="77777777" w:rsidR="007357B1" w:rsidRDefault="007B2D23">
      <w:pPr>
        <w:pStyle w:val="Body"/>
        <w:spacing w:after="0"/>
        <w:rPr>
          <w:rFonts w:ascii="Arial" w:hAnsi="Arial" w:cs="Arial"/>
          <w:lang w:val="en-GB"/>
        </w:rPr>
      </w:pPr>
      <w:r>
        <w:rPr>
          <w:noProof/>
          <w:lang w:val="pt-BR" w:eastAsia="pt-BR"/>
        </w:rPr>
        <w:lastRenderedPageBreak/>
        <w:drawing>
          <wp:inline distT="0" distB="0" distL="0" distR="0" wp14:anchorId="3CAAABF1" wp14:editId="7A932094">
            <wp:extent cx="5162550" cy="65627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5"/>
                    <a:stretch>
                      <a:fillRect/>
                    </a:stretch>
                  </pic:blipFill>
                  <pic:spPr bwMode="auto">
                    <a:xfrm>
                      <a:off x="0" y="0"/>
                      <a:ext cx="5162550" cy="6562725"/>
                    </a:xfrm>
                    <a:prstGeom prst="rect">
                      <a:avLst/>
                    </a:prstGeom>
                  </pic:spPr>
                </pic:pic>
              </a:graphicData>
            </a:graphic>
          </wp:inline>
        </w:drawing>
      </w:r>
    </w:p>
    <w:p w14:paraId="28E2F517" w14:textId="77777777" w:rsidR="007357B1" w:rsidRDefault="007357B1">
      <w:pPr>
        <w:pStyle w:val="Body"/>
        <w:spacing w:after="0"/>
        <w:rPr>
          <w:rFonts w:ascii="Arial" w:hAnsi="Arial" w:cs="Arial"/>
          <w:lang w:val="en-GB"/>
        </w:rPr>
      </w:pPr>
    </w:p>
    <w:p w14:paraId="25E14747" w14:textId="77777777" w:rsidR="007357B1" w:rsidRDefault="007B2D23">
      <w:pPr>
        <w:jc w:val="both"/>
        <w:rPr>
          <w:rFonts w:ascii="Arial" w:hAnsi="Arial"/>
          <w:lang w:val="en-GB"/>
        </w:rPr>
      </w:pPr>
      <w:r>
        <w:rPr>
          <w:rFonts w:ascii="Arial" w:hAnsi="Arial"/>
          <w:b/>
          <w:lang w:val="en-GB"/>
        </w:rPr>
        <w:t xml:space="preserve">Fig. 2. (A) Growth curves of </w:t>
      </w:r>
      <w:r>
        <w:rPr>
          <w:rFonts w:ascii="Arial" w:hAnsi="Arial"/>
          <w:b/>
          <w:i/>
          <w:lang w:val="en-GB"/>
        </w:rPr>
        <w:t>Lactuca sativa</w:t>
      </w:r>
      <w:r>
        <w:rPr>
          <w:rFonts w:ascii="Arial" w:hAnsi="Arial"/>
          <w:b/>
          <w:lang w:val="en-GB"/>
        </w:rPr>
        <w:t xml:space="preserve"> exposed to different concentrations of </w:t>
      </w:r>
      <w:proofErr w:type="spellStart"/>
      <w:r>
        <w:rPr>
          <w:rFonts w:ascii="Arial" w:hAnsi="Arial"/>
          <w:b/>
          <w:lang w:val="en-GB"/>
        </w:rPr>
        <w:t>AgNP</w:t>
      </w:r>
      <w:proofErr w:type="spellEnd"/>
      <w:r>
        <w:rPr>
          <w:rFonts w:ascii="Arial" w:hAnsi="Arial"/>
          <w:b/>
          <w:lang w:val="en-GB"/>
        </w:rPr>
        <w:t xml:space="preserve">: </w:t>
      </w:r>
      <w:r>
        <w:rPr>
          <w:rFonts w:ascii="Arial" w:hAnsi="Arial"/>
          <w:b/>
          <w:color w:val="4BACC6" w:themeColor="accent5"/>
          <w:lang w:val="en-GB"/>
        </w:rPr>
        <w:t xml:space="preserve">-♦- </w:t>
      </w:r>
      <w:r>
        <w:rPr>
          <w:rFonts w:ascii="Arial" w:hAnsi="Arial"/>
          <w:b/>
          <w:lang w:val="en-GB"/>
        </w:rPr>
        <w:t>0.0 mg L</w:t>
      </w:r>
      <w:r>
        <w:rPr>
          <w:rFonts w:ascii="Arial" w:hAnsi="Arial"/>
          <w:b/>
          <w:vertAlign w:val="superscript"/>
          <w:lang w:val="en-GB"/>
        </w:rPr>
        <w:t>-1</w:t>
      </w:r>
      <w:r>
        <w:rPr>
          <w:rFonts w:ascii="Arial" w:hAnsi="Arial"/>
          <w:b/>
          <w:lang w:val="en-GB"/>
        </w:rPr>
        <w:t xml:space="preserve">; </w:t>
      </w:r>
      <w:r>
        <w:rPr>
          <w:rFonts w:ascii="Arial" w:hAnsi="Arial"/>
          <w:b/>
          <w:color w:val="FF66CC"/>
          <w:lang w:val="en-GB"/>
        </w:rPr>
        <w:t xml:space="preserve">-■- </w:t>
      </w:r>
      <w:r>
        <w:rPr>
          <w:rFonts w:ascii="Arial" w:hAnsi="Arial"/>
          <w:b/>
          <w:lang w:val="en-GB"/>
        </w:rPr>
        <w:t>0.01 mg L</w:t>
      </w:r>
      <w:r>
        <w:rPr>
          <w:rFonts w:ascii="Arial" w:hAnsi="Arial"/>
          <w:b/>
          <w:vertAlign w:val="superscript"/>
          <w:lang w:val="en-GB"/>
        </w:rPr>
        <w:t>-1</w:t>
      </w:r>
      <w:r>
        <w:rPr>
          <w:rFonts w:ascii="Arial" w:hAnsi="Arial"/>
          <w:b/>
          <w:lang w:val="en-GB"/>
        </w:rPr>
        <w:t xml:space="preserve">; </w:t>
      </w:r>
      <w:r>
        <w:rPr>
          <w:rFonts w:ascii="Arial" w:hAnsi="Arial"/>
          <w:b/>
          <w:color w:val="4BACC6" w:themeColor="accent5"/>
          <w:lang w:val="en-GB"/>
        </w:rPr>
        <w:t>-</w:t>
      </w:r>
      <w:r>
        <w:rPr>
          <w:rFonts w:ascii="Arial" w:hAnsi="Arial"/>
          <w:b/>
          <w:color w:val="E36C0A" w:themeColor="accent6" w:themeShade="BF"/>
          <w:lang w:val="en-GB"/>
        </w:rPr>
        <w:t>▲-</w:t>
      </w:r>
      <w:r>
        <w:rPr>
          <w:rFonts w:ascii="Arial" w:hAnsi="Arial"/>
          <w:b/>
          <w:lang w:val="en-GB"/>
        </w:rPr>
        <w:t xml:space="preserve"> 0.1 mg L</w:t>
      </w:r>
      <w:r>
        <w:rPr>
          <w:rFonts w:ascii="Arial" w:hAnsi="Arial"/>
          <w:b/>
          <w:vertAlign w:val="superscript"/>
          <w:lang w:val="en-GB"/>
        </w:rPr>
        <w:t>-1</w:t>
      </w:r>
      <w:r>
        <w:rPr>
          <w:rFonts w:ascii="Arial" w:hAnsi="Arial"/>
          <w:b/>
          <w:lang w:val="en-GB"/>
        </w:rPr>
        <w:t xml:space="preserve">; </w:t>
      </w:r>
      <w:r>
        <w:rPr>
          <w:rFonts w:ascii="Arial" w:hAnsi="Arial"/>
          <w:b/>
          <w:color w:val="00FFFF"/>
          <w:lang w:val="en-GB"/>
        </w:rPr>
        <w:t xml:space="preserve">-x- </w:t>
      </w:r>
      <w:r>
        <w:rPr>
          <w:rFonts w:ascii="Arial" w:hAnsi="Arial"/>
          <w:b/>
          <w:lang w:val="en-GB"/>
        </w:rPr>
        <w:t>1.0 mg L</w:t>
      </w:r>
      <w:r>
        <w:rPr>
          <w:rFonts w:ascii="Arial" w:hAnsi="Arial"/>
          <w:b/>
          <w:vertAlign w:val="superscript"/>
          <w:lang w:val="en-GB"/>
        </w:rPr>
        <w:t>-1</w:t>
      </w:r>
      <w:r>
        <w:rPr>
          <w:rFonts w:ascii="Arial" w:hAnsi="Arial"/>
          <w:b/>
          <w:lang w:val="en-GB"/>
        </w:rPr>
        <w:t xml:space="preserve">; </w:t>
      </w:r>
      <w:r>
        <w:rPr>
          <w:rFonts w:ascii="Arial" w:hAnsi="Arial"/>
          <w:b/>
          <w:color w:val="FF0000"/>
          <w:lang w:val="en-GB"/>
        </w:rPr>
        <w:t>-■-</w:t>
      </w:r>
      <w:r>
        <w:rPr>
          <w:rFonts w:ascii="Arial" w:hAnsi="Arial"/>
          <w:b/>
          <w:color w:val="FF66CC"/>
          <w:lang w:val="en-GB"/>
        </w:rPr>
        <w:t xml:space="preserve"> </w:t>
      </w:r>
      <w:r>
        <w:rPr>
          <w:rFonts w:ascii="Arial" w:hAnsi="Arial"/>
          <w:b/>
          <w:lang w:val="en-GB"/>
        </w:rPr>
        <w:t>10.0 mg L</w:t>
      </w:r>
      <w:r>
        <w:rPr>
          <w:rFonts w:ascii="Arial" w:hAnsi="Arial"/>
          <w:b/>
          <w:vertAlign w:val="superscript"/>
          <w:lang w:val="en-GB"/>
        </w:rPr>
        <w:t>-1</w:t>
      </w:r>
      <w:r>
        <w:rPr>
          <w:rFonts w:ascii="Arial" w:hAnsi="Arial"/>
          <w:b/>
          <w:lang w:val="en-GB"/>
        </w:rPr>
        <w:t>; -</w:t>
      </w:r>
      <w:r>
        <w:rPr>
          <w:rFonts w:ascii="Arial" w:hAnsi="Arial"/>
          <w:b/>
          <w:color w:val="833C0B"/>
          <w:lang w:val="en-GB"/>
        </w:rPr>
        <w:t xml:space="preserve">-●- </w:t>
      </w:r>
      <w:r>
        <w:rPr>
          <w:rFonts w:ascii="Arial" w:hAnsi="Arial"/>
          <w:b/>
          <w:lang w:val="en-GB"/>
        </w:rPr>
        <w:t>100,0 mg L</w:t>
      </w:r>
      <w:r>
        <w:rPr>
          <w:rFonts w:ascii="Arial" w:hAnsi="Arial"/>
          <w:b/>
          <w:vertAlign w:val="superscript"/>
          <w:lang w:val="en-GB"/>
        </w:rPr>
        <w:t>-1</w:t>
      </w:r>
      <w:r>
        <w:rPr>
          <w:rFonts w:ascii="Arial" w:hAnsi="Arial"/>
          <w:b/>
          <w:lang w:val="en-GB"/>
        </w:rPr>
        <w:t>. (B) Concentration-effect curve</w:t>
      </w:r>
      <w:r>
        <w:rPr>
          <w:rFonts w:ascii="Arial" w:hAnsi="Arial"/>
          <w:b/>
          <w:color w:val="4BACC6" w:themeColor="accent5"/>
          <w:lang w:val="en-GB"/>
        </w:rPr>
        <w:t xml:space="preserve"> </w:t>
      </w:r>
      <w:r>
        <w:rPr>
          <w:rFonts w:ascii="Arial" w:hAnsi="Arial"/>
          <w:b/>
          <w:lang w:val="en-GB"/>
        </w:rPr>
        <w:t xml:space="preserve">of </w:t>
      </w:r>
      <w:proofErr w:type="spellStart"/>
      <w:proofErr w:type="gramStart"/>
      <w:r>
        <w:rPr>
          <w:rFonts w:ascii="Arial" w:hAnsi="Arial"/>
          <w:b/>
          <w:lang w:val="en-GB"/>
        </w:rPr>
        <w:t>AgNP</w:t>
      </w:r>
      <w:proofErr w:type="spellEnd"/>
      <w:r>
        <w:rPr>
          <w:rFonts w:ascii="Arial" w:hAnsi="Arial"/>
          <w:b/>
          <w:lang w:val="en-GB"/>
        </w:rPr>
        <w:t xml:space="preserve">  on</w:t>
      </w:r>
      <w:proofErr w:type="gramEnd"/>
      <w:r>
        <w:rPr>
          <w:rFonts w:ascii="Arial" w:hAnsi="Arial"/>
          <w:b/>
          <w:lang w:val="en-GB"/>
        </w:rPr>
        <w:t xml:space="preserve"> the specific growth rate (SGR) of </w:t>
      </w:r>
      <w:r>
        <w:rPr>
          <w:rFonts w:ascii="Arial" w:hAnsi="Arial"/>
          <w:b/>
          <w:i/>
          <w:lang w:val="en-GB"/>
        </w:rPr>
        <w:t>Lactuca sativa</w:t>
      </w:r>
      <w:r>
        <w:rPr>
          <w:rFonts w:ascii="Arial" w:hAnsi="Arial"/>
          <w:b/>
          <w:lang w:val="en-GB"/>
        </w:rPr>
        <w:t xml:space="preserve"> exposed for 168 hours to the test material. Regression curve </w:t>
      </w:r>
      <w:proofErr w:type="gramStart"/>
      <w:r>
        <w:rPr>
          <w:rFonts w:ascii="Arial" w:hAnsi="Arial"/>
          <w:b/>
          <w:lang w:val="en-GB"/>
        </w:rPr>
        <w:t>(</w:t>
      </w:r>
      <w:r>
        <w:rPr>
          <w:rFonts w:ascii="Arial" w:hAnsi="Arial"/>
          <w:b/>
          <w:color w:val="365F91" w:themeColor="accent1" w:themeShade="BF"/>
          <w:lang w:val="en-GB"/>
        </w:rPr>
        <w:t xml:space="preserve"> ̶</w:t>
      </w:r>
      <w:proofErr w:type="gramEnd"/>
      <w:r>
        <w:rPr>
          <w:rFonts w:ascii="Arial" w:hAnsi="Arial"/>
          <w:b/>
          <w:color w:val="365F91" w:themeColor="accent1" w:themeShade="BF"/>
          <w:lang w:val="en-GB"/>
        </w:rPr>
        <w:t xml:space="preserve"> </w:t>
      </w:r>
      <w:r>
        <w:rPr>
          <w:rFonts w:ascii="Arial" w:hAnsi="Arial"/>
          <w:b/>
          <w:lang w:val="en-GB"/>
        </w:rPr>
        <w:t xml:space="preserve">); 95% confidence interval </w:t>
      </w:r>
      <w:r>
        <w:rPr>
          <w:rFonts w:ascii="Arial" w:hAnsi="Arial"/>
          <w:b/>
          <w:color w:val="00B050"/>
          <w:lang w:val="en-GB"/>
        </w:rPr>
        <w:t>( ̶ )</w:t>
      </w:r>
      <w:r>
        <w:rPr>
          <w:rFonts w:ascii="Arial" w:hAnsi="Arial"/>
          <w:color w:val="00B050"/>
          <w:lang w:val="en-GB"/>
        </w:rPr>
        <w:t xml:space="preserve"> </w:t>
      </w:r>
      <w:r>
        <w:rPr>
          <w:rFonts w:ascii="Arial" w:hAnsi="Arial"/>
          <w:lang w:val="en-GB"/>
        </w:rPr>
        <w:t>.</w:t>
      </w:r>
    </w:p>
    <w:p w14:paraId="4E78330D" w14:textId="77777777" w:rsidR="007357B1" w:rsidRDefault="007357B1">
      <w:pPr>
        <w:jc w:val="both"/>
        <w:rPr>
          <w:rFonts w:ascii="Arial" w:hAnsi="Arial"/>
          <w:lang w:val="en-GB"/>
        </w:rPr>
      </w:pPr>
    </w:p>
    <w:p w14:paraId="744B65C4" w14:textId="77777777" w:rsidR="007357B1" w:rsidRDefault="007357B1">
      <w:pPr>
        <w:pStyle w:val="Body"/>
        <w:spacing w:after="0"/>
        <w:rPr>
          <w:rFonts w:ascii="Arial" w:hAnsi="Arial" w:cs="Arial"/>
          <w:lang w:val="en-GB"/>
        </w:rPr>
      </w:pPr>
    </w:p>
    <w:p w14:paraId="0B8C0D90" w14:textId="77777777" w:rsidR="007357B1" w:rsidRDefault="007B2D23">
      <w:pPr>
        <w:pStyle w:val="ConcHead"/>
        <w:spacing w:after="0"/>
        <w:jc w:val="both"/>
        <w:rPr>
          <w:rFonts w:ascii="Arial" w:hAnsi="Arial" w:cs="Arial"/>
        </w:rPr>
      </w:pPr>
      <w:r>
        <w:rPr>
          <w:rFonts w:ascii="Arial" w:hAnsi="Arial" w:cs="Arial"/>
        </w:rPr>
        <w:lastRenderedPageBreak/>
        <w:t>4. Conclusion</w:t>
      </w:r>
    </w:p>
    <w:p w14:paraId="16F0FC72" w14:textId="77777777" w:rsidR="007357B1" w:rsidRDefault="007357B1">
      <w:pPr>
        <w:pStyle w:val="Body"/>
        <w:spacing w:after="0"/>
        <w:rPr>
          <w:rFonts w:ascii="Arial" w:hAnsi="Arial" w:cs="Arial"/>
        </w:rPr>
      </w:pPr>
    </w:p>
    <w:p w14:paraId="36115E8E" w14:textId="2D78DF8B" w:rsidR="007357B1" w:rsidRDefault="007B2D23">
      <w:pPr>
        <w:jc w:val="both"/>
        <w:rPr>
          <w:rFonts w:ascii="Arial" w:hAnsi="Arial"/>
          <w:lang w:val="en-GB"/>
        </w:rPr>
      </w:pPr>
      <w:r>
        <w:rPr>
          <w:rFonts w:ascii="Arial" w:hAnsi="Arial"/>
          <w:lang w:val="en-GB"/>
        </w:rPr>
        <w:t xml:space="preserve">The results of this study demonstrated that, although the heavy metal nanoparticles under study show a negative effect on biomass production and root growth in the test organisms, a </w:t>
      </w:r>
      <w:proofErr w:type="spellStart"/>
      <w:r>
        <w:rPr>
          <w:rFonts w:ascii="Arial" w:hAnsi="Arial"/>
          <w:lang w:val="en-GB"/>
        </w:rPr>
        <w:t>biostimulation</w:t>
      </w:r>
      <w:proofErr w:type="spellEnd"/>
      <w:r>
        <w:rPr>
          <w:rFonts w:ascii="Arial" w:hAnsi="Arial"/>
          <w:lang w:val="en-GB"/>
        </w:rPr>
        <w:t xml:space="preserve"> occurs at low concentrations. This last effect was confirmed in this study by the comparison with previous results obtained with </w:t>
      </w:r>
      <w:r w:rsidR="00606672" w:rsidRPr="00D66922">
        <w:rPr>
          <w:rFonts w:ascii="Arial" w:hAnsi="Arial"/>
          <w:lang w:val="en-GB"/>
        </w:rPr>
        <w:t>another</w:t>
      </w:r>
      <w:r>
        <w:rPr>
          <w:rFonts w:ascii="Arial" w:hAnsi="Arial"/>
          <w:lang w:val="en-GB"/>
        </w:rPr>
        <w:t xml:space="preserve"> batch of the nanomaterial.  </w:t>
      </w:r>
    </w:p>
    <w:p w14:paraId="53654FD1" w14:textId="77777777" w:rsidR="007357B1" w:rsidRDefault="007B2D23">
      <w:pPr>
        <w:jc w:val="both"/>
        <w:rPr>
          <w:rFonts w:ascii="Arial" w:hAnsi="Arial"/>
          <w:lang w:val="en-GB"/>
        </w:rPr>
      </w:pPr>
      <w:r>
        <w:rPr>
          <w:rFonts w:ascii="Arial" w:hAnsi="Arial"/>
          <w:lang w:val="en-GB"/>
        </w:rPr>
        <w:t xml:space="preserve">Based on the EC50 values, the phytotoxic action of </w:t>
      </w:r>
      <w:proofErr w:type="spellStart"/>
      <w:r>
        <w:rPr>
          <w:rFonts w:ascii="Arial" w:hAnsi="Arial"/>
          <w:lang w:val="en-GB"/>
        </w:rPr>
        <w:t>AgNP</w:t>
      </w:r>
      <w:proofErr w:type="spellEnd"/>
      <w:r>
        <w:rPr>
          <w:rFonts w:ascii="Arial" w:hAnsi="Arial"/>
          <w:lang w:val="en-GB"/>
        </w:rPr>
        <w:t xml:space="preserve"> on the microalgae growth rate is approximately 10 times greater than for lettuce seeds. These values ​​also indicate that the test material would be classified as "moderately toxic" and "slightly toxic" for the bioindicator organisms </w:t>
      </w:r>
      <w:r>
        <w:rPr>
          <w:rFonts w:ascii="Arial" w:hAnsi="Arial"/>
          <w:i/>
          <w:lang w:val="en-GB"/>
        </w:rPr>
        <w:t xml:space="preserve">P. </w:t>
      </w:r>
      <w:proofErr w:type="spellStart"/>
      <w:r>
        <w:rPr>
          <w:rFonts w:ascii="Arial" w:hAnsi="Arial"/>
          <w:i/>
          <w:lang w:val="en-GB"/>
        </w:rPr>
        <w:t>subcapitata</w:t>
      </w:r>
      <w:proofErr w:type="spellEnd"/>
      <w:r>
        <w:rPr>
          <w:rFonts w:ascii="Arial" w:hAnsi="Arial"/>
          <w:lang w:val="en-GB"/>
        </w:rPr>
        <w:t xml:space="preserve"> and </w:t>
      </w:r>
      <w:r>
        <w:rPr>
          <w:rFonts w:ascii="Arial" w:hAnsi="Arial"/>
          <w:i/>
          <w:lang w:val="en-GB"/>
        </w:rPr>
        <w:t>L. sativa,</w:t>
      </w:r>
      <w:r>
        <w:rPr>
          <w:rFonts w:ascii="Arial" w:hAnsi="Arial"/>
          <w:lang w:val="en-GB"/>
        </w:rPr>
        <w:t xml:space="preserve"> respectively. These characteristics help justify the various uses of products based on this nanocomposite.</w:t>
      </w:r>
    </w:p>
    <w:p w14:paraId="70B3E3C8" w14:textId="77777777" w:rsidR="007357B1" w:rsidRDefault="007B2D23">
      <w:pPr>
        <w:jc w:val="both"/>
        <w:rPr>
          <w:rFonts w:ascii="Arial" w:hAnsi="Arial"/>
          <w:lang w:val="en-GB"/>
        </w:rPr>
      </w:pPr>
      <w:r>
        <w:rPr>
          <w:rFonts w:ascii="Arial" w:hAnsi="Arial"/>
          <w:lang w:val="en-GB"/>
        </w:rPr>
        <w:t>Together with results from studies on other test organisms, the EC50 values ​​generated by the dose-effect curves constitute an important tool for establishing maximum permissible limits in water bodies and adjacent areas.</w:t>
      </w:r>
    </w:p>
    <w:p w14:paraId="40366E36" w14:textId="77777777" w:rsidR="007357B1" w:rsidRDefault="007357B1">
      <w:pPr>
        <w:jc w:val="both"/>
        <w:rPr>
          <w:rFonts w:ascii="Arial" w:hAnsi="Arial"/>
          <w:lang w:val="en-GB"/>
        </w:rPr>
      </w:pPr>
    </w:p>
    <w:p w14:paraId="032EDF85" w14:textId="77777777" w:rsidR="007357B1" w:rsidRDefault="007357B1">
      <w:pPr>
        <w:jc w:val="both"/>
        <w:rPr>
          <w:rFonts w:ascii="Arial" w:hAnsi="Arial"/>
          <w:lang w:val="en-GB"/>
        </w:rPr>
      </w:pPr>
    </w:p>
    <w:p w14:paraId="384192E3" w14:textId="77777777" w:rsidR="007357B1" w:rsidRDefault="007B2D23">
      <w:pPr>
        <w:jc w:val="both"/>
        <w:rPr>
          <w:rFonts w:ascii="Arial" w:hAnsi="Arial"/>
          <w:b/>
          <w:sz w:val="22"/>
          <w:szCs w:val="22"/>
          <w:lang w:val="en-GB"/>
        </w:rPr>
      </w:pPr>
      <w:r>
        <w:rPr>
          <w:rFonts w:ascii="Arial" w:hAnsi="Arial"/>
          <w:b/>
          <w:sz w:val="22"/>
          <w:szCs w:val="22"/>
          <w:lang w:val="en-GB"/>
        </w:rPr>
        <w:t>DISCLAIMER (ARTIFICIAL INTELLIGENCE)</w:t>
      </w:r>
    </w:p>
    <w:p w14:paraId="46ACD054" w14:textId="77777777" w:rsidR="007357B1" w:rsidRDefault="007357B1">
      <w:pPr>
        <w:jc w:val="both"/>
        <w:rPr>
          <w:rFonts w:ascii="Arial" w:hAnsi="Arial"/>
          <w:lang w:val="en-GB"/>
        </w:rPr>
      </w:pPr>
    </w:p>
    <w:p w14:paraId="6EC10A64" w14:textId="71AE4C4E" w:rsidR="007357B1" w:rsidRDefault="007B2D23">
      <w:pPr>
        <w:jc w:val="both"/>
        <w:rPr>
          <w:rFonts w:ascii="Arial" w:hAnsi="Arial"/>
          <w:lang w:val="en-GB"/>
        </w:rPr>
      </w:pPr>
      <w:r>
        <w:rPr>
          <w:rFonts w:ascii="Arial" w:hAnsi="Arial"/>
          <w:lang w:val="en-GB"/>
        </w:rPr>
        <w:t>Author(s) her</w:t>
      </w:r>
      <w:r w:rsidR="0090307C">
        <w:rPr>
          <w:rFonts w:ascii="Arial" w:hAnsi="Arial"/>
          <w:lang w:val="en-GB"/>
        </w:rPr>
        <w:t xml:space="preserve">eby declare that NO generative AI </w:t>
      </w:r>
      <w:r>
        <w:rPr>
          <w:rFonts w:ascii="Arial" w:hAnsi="Arial"/>
          <w:lang w:val="en-GB"/>
        </w:rPr>
        <w:t>technologies such as  Large  Language  Models  (ChatGPT, COPILOT, etc.) and text-to-image generators have been used during writing or editing of this manuscript.</w:t>
      </w:r>
    </w:p>
    <w:p w14:paraId="7EB8A366" w14:textId="77777777" w:rsidR="007357B1" w:rsidRDefault="007357B1">
      <w:pPr>
        <w:pStyle w:val="Body"/>
        <w:spacing w:after="0"/>
        <w:rPr>
          <w:rFonts w:ascii="Arial" w:hAnsi="Arial"/>
          <w:lang w:val="en-GB"/>
        </w:rPr>
      </w:pPr>
    </w:p>
    <w:p w14:paraId="0C6170AD" w14:textId="77777777" w:rsidR="007357B1" w:rsidRDefault="007357B1">
      <w:pPr>
        <w:pStyle w:val="Body"/>
        <w:spacing w:after="0"/>
        <w:rPr>
          <w:rFonts w:ascii="Arial" w:hAnsi="Arial" w:cs="Arial"/>
        </w:rPr>
      </w:pPr>
    </w:p>
    <w:p w14:paraId="07A75DFD" w14:textId="7386BFA7" w:rsidR="00914789" w:rsidRDefault="00914789">
      <w:pPr>
        <w:pStyle w:val="ReferHead"/>
        <w:spacing w:after="0"/>
        <w:jc w:val="both"/>
        <w:rPr>
          <w:rFonts w:ascii="Arial" w:hAnsi="Arial" w:cs="Arial"/>
          <w:b w:val="0"/>
          <w:caps w:val="0"/>
          <w:sz w:val="20"/>
        </w:rPr>
      </w:pPr>
    </w:p>
    <w:p w14:paraId="13736E85" w14:textId="77777777" w:rsidR="00914789" w:rsidRDefault="00914789">
      <w:pPr>
        <w:pStyle w:val="ReferHead"/>
        <w:spacing w:after="0"/>
        <w:jc w:val="both"/>
        <w:rPr>
          <w:rFonts w:ascii="Arial" w:hAnsi="Arial" w:cs="Arial"/>
          <w:b w:val="0"/>
          <w:caps w:val="0"/>
          <w:sz w:val="20"/>
        </w:rPr>
      </w:pPr>
    </w:p>
    <w:p w14:paraId="1C866FF5" w14:textId="77777777" w:rsidR="00914789" w:rsidRPr="00914789" w:rsidRDefault="00914789" w:rsidP="00914789">
      <w:pPr>
        <w:suppressAutoHyphens w:val="0"/>
        <w:spacing w:after="200" w:line="276" w:lineRule="auto"/>
        <w:jc w:val="both"/>
        <w:outlineLvl w:val="0"/>
        <w:rPr>
          <w:rFonts w:ascii="Arial" w:hAnsi="Arial" w:cs="Arial"/>
          <w:sz w:val="22"/>
          <w:szCs w:val="22"/>
          <w:lang w:val="en-GB" w:eastAsia="en-GB"/>
        </w:rPr>
      </w:pPr>
      <w:r w:rsidRPr="00914789">
        <w:rPr>
          <w:rFonts w:ascii="Arial" w:hAnsi="Arial" w:cs="Arial"/>
          <w:b/>
          <w:bCs/>
          <w:sz w:val="22"/>
          <w:szCs w:val="22"/>
          <w:lang w:val="en-GB" w:eastAsia="en-GB"/>
        </w:rPr>
        <w:t>COMPETING INTERESTS DISCLAIMER:</w:t>
      </w:r>
    </w:p>
    <w:p w14:paraId="6C81DB39" w14:textId="77777777" w:rsidR="00914789" w:rsidRPr="00914789" w:rsidRDefault="00914789" w:rsidP="00914789">
      <w:pPr>
        <w:suppressAutoHyphens w:val="0"/>
        <w:spacing w:after="200" w:line="276" w:lineRule="auto"/>
        <w:rPr>
          <w:rFonts w:ascii="Calibri" w:hAnsi="Calibri"/>
          <w:sz w:val="22"/>
          <w:szCs w:val="22"/>
          <w:lang w:val="en-GB" w:eastAsia="en-GB"/>
        </w:rPr>
      </w:pPr>
      <w:r w:rsidRPr="00914789">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CC41603" w14:textId="77777777" w:rsidR="00914789" w:rsidRPr="00914789" w:rsidRDefault="00914789" w:rsidP="00914789">
      <w:pPr>
        <w:suppressAutoHyphens w:val="0"/>
        <w:spacing w:after="200" w:line="276" w:lineRule="auto"/>
        <w:rPr>
          <w:rFonts w:ascii="Calibri" w:hAnsi="Calibri"/>
          <w:sz w:val="22"/>
          <w:szCs w:val="22"/>
          <w:lang w:val="en-GB" w:eastAsia="en-GB"/>
        </w:rPr>
      </w:pPr>
    </w:p>
    <w:p w14:paraId="198D581E" w14:textId="77777777" w:rsidR="00914789" w:rsidRPr="00914789" w:rsidRDefault="00914789" w:rsidP="00914789">
      <w:pPr>
        <w:suppressAutoHyphens w:val="0"/>
        <w:spacing w:after="200" w:line="276" w:lineRule="auto"/>
        <w:rPr>
          <w:rFonts w:ascii="Calibri" w:hAnsi="Calibri"/>
          <w:sz w:val="22"/>
          <w:szCs w:val="22"/>
          <w:lang w:val="en-GB" w:eastAsia="en-GB"/>
        </w:rPr>
      </w:pPr>
    </w:p>
    <w:p w14:paraId="0CD43339" w14:textId="77777777" w:rsidR="00914789" w:rsidRDefault="00914789">
      <w:pPr>
        <w:pStyle w:val="ReferHead"/>
        <w:spacing w:after="0"/>
        <w:jc w:val="both"/>
        <w:rPr>
          <w:rFonts w:ascii="Arial" w:hAnsi="Arial" w:cs="Arial"/>
          <w:b w:val="0"/>
          <w:caps w:val="0"/>
          <w:sz w:val="20"/>
        </w:rPr>
      </w:pPr>
    </w:p>
    <w:p w14:paraId="75164599" w14:textId="77777777" w:rsidR="007357B1" w:rsidRDefault="007357B1">
      <w:pPr>
        <w:pStyle w:val="ReferHead"/>
        <w:spacing w:after="0"/>
        <w:jc w:val="both"/>
        <w:rPr>
          <w:rFonts w:ascii="Arial" w:hAnsi="Arial" w:cs="Arial"/>
          <w:b w:val="0"/>
          <w:caps w:val="0"/>
          <w:sz w:val="20"/>
          <w:u w:val="single"/>
        </w:rPr>
      </w:pPr>
    </w:p>
    <w:p w14:paraId="7278EA54" w14:textId="77777777" w:rsidR="007357B1" w:rsidRDefault="007357B1">
      <w:pPr>
        <w:pStyle w:val="ReferHead"/>
        <w:spacing w:after="0"/>
        <w:jc w:val="both"/>
        <w:rPr>
          <w:rFonts w:ascii="Arial" w:hAnsi="Arial" w:cs="Arial"/>
        </w:rPr>
      </w:pPr>
    </w:p>
    <w:p w14:paraId="23C27A26" w14:textId="77777777" w:rsidR="007357B1" w:rsidRDefault="007B2D23">
      <w:pPr>
        <w:pStyle w:val="ReferHead"/>
        <w:spacing w:after="0"/>
        <w:jc w:val="both"/>
        <w:rPr>
          <w:rFonts w:ascii="Arial" w:hAnsi="Arial" w:cs="Arial"/>
        </w:rPr>
      </w:pPr>
      <w:r>
        <w:rPr>
          <w:rFonts w:ascii="Arial" w:hAnsi="Arial" w:cs="Arial"/>
        </w:rPr>
        <w:t>References</w:t>
      </w:r>
    </w:p>
    <w:p w14:paraId="76D4D15A" w14:textId="77777777" w:rsidR="007357B1" w:rsidRDefault="007357B1">
      <w:pPr>
        <w:pStyle w:val="Appendix"/>
        <w:spacing w:after="0"/>
        <w:jc w:val="both"/>
        <w:rPr>
          <w:rFonts w:ascii="Arial" w:hAnsi="Arial" w:cs="Arial"/>
          <w:b w:val="0"/>
        </w:rPr>
      </w:pPr>
    </w:p>
    <w:p w14:paraId="5D7069D2" w14:textId="77777777" w:rsidR="007357B1" w:rsidRDefault="007B2D23">
      <w:pPr>
        <w:jc w:val="both"/>
        <w:rPr>
          <w:rFonts w:ascii="Arial" w:hAnsi="Arial"/>
          <w:lang w:val="en-GB"/>
        </w:rPr>
      </w:pPr>
      <w:r>
        <w:rPr>
          <w:rFonts w:ascii="Arial" w:hAnsi="Arial"/>
          <w:lang w:val="en-GB"/>
        </w:rPr>
        <w:t>B</w:t>
      </w:r>
      <w:r w:rsidRPr="001D7DD7">
        <w:rPr>
          <w:rFonts w:ascii="Arial" w:hAnsi="Arial"/>
        </w:rPr>
        <w:t xml:space="preserve">arrena, R., Casals, E., Colon, J., Font, X., Sanchez, A., &amp; Puntes, V. (2009). </w:t>
      </w:r>
      <w:r>
        <w:rPr>
          <w:rFonts w:ascii="Arial" w:hAnsi="Arial"/>
          <w:lang w:val="en-GB"/>
        </w:rPr>
        <w:t xml:space="preserve">Evaluation of the ecotoxicity of model nanoparticles. </w:t>
      </w:r>
      <w:r>
        <w:rPr>
          <w:rFonts w:ascii="Arial" w:hAnsi="Arial"/>
          <w:iCs/>
          <w:lang w:val="en-GB"/>
        </w:rPr>
        <w:t>Chemosphere</w:t>
      </w:r>
      <w:r>
        <w:rPr>
          <w:rFonts w:ascii="Arial" w:hAnsi="Arial"/>
          <w:lang w:val="en-GB"/>
        </w:rPr>
        <w:t>, 75, 850–857.</w:t>
      </w:r>
    </w:p>
    <w:p w14:paraId="3C988E82" w14:textId="77777777" w:rsidR="007357B1" w:rsidRDefault="007357B1">
      <w:pPr>
        <w:jc w:val="both"/>
        <w:rPr>
          <w:rFonts w:ascii="Arial" w:hAnsi="Arial"/>
          <w:lang w:val="en-GB"/>
        </w:rPr>
      </w:pPr>
    </w:p>
    <w:p w14:paraId="439FD650" w14:textId="77777777" w:rsidR="007357B1" w:rsidRDefault="007B2D23">
      <w:pPr>
        <w:jc w:val="both"/>
        <w:rPr>
          <w:rFonts w:ascii="Arial" w:hAnsi="Arial"/>
          <w:lang w:val="en-GB"/>
        </w:rPr>
      </w:pPr>
      <w:r>
        <w:rPr>
          <w:rFonts w:ascii="Arial" w:hAnsi="Arial"/>
          <w:lang w:val="en-GB"/>
        </w:rPr>
        <w:t xml:space="preserve">Basu P., &amp; Pal, A. (2011). </w:t>
      </w:r>
      <w:proofErr w:type="spellStart"/>
      <w:r>
        <w:rPr>
          <w:rFonts w:ascii="Arial" w:hAnsi="Arial"/>
          <w:lang w:val="en-GB"/>
        </w:rPr>
        <w:t>Spatio</w:t>
      </w:r>
      <w:proofErr w:type="spellEnd"/>
      <w:r>
        <w:rPr>
          <w:rFonts w:ascii="Arial" w:hAnsi="Arial"/>
          <w:lang w:val="en-GB"/>
        </w:rPr>
        <w:t>-temporal analysis of development of basal roots of common bean (</w:t>
      </w:r>
      <w:r>
        <w:rPr>
          <w:rFonts w:ascii="Arial" w:hAnsi="Arial"/>
          <w:i/>
          <w:iCs/>
          <w:lang w:val="en-GB"/>
        </w:rPr>
        <w:t>Phaseolus vulgaris</w:t>
      </w:r>
      <w:r>
        <w:rPr>
          <w:rFonts w:ascii="Arial" w:hAnsi="Arial"/>
          <w:lang w:val="en-GB"/>
        </w:rPr>
        <w:t xml:space="preserve"> L.). </w:t>
      </w:r>
      <w:r>
        <w:rPr>
          <w:rFonts w:ascii="Arial" w:hAnsi="Arial"/>
          <w:iCs/>
          <w:lang w:val="en-GB"/>
        </w:rPr>
        <w:t xml:space="preserve">Plant </w:t>
      </w:r>
      <w:proofErr w:type="spellStart"/>
      <w:r>
        <w:rPr>
          <w:rFonts w:ascii="Arial" w:hAnsi="Arial"/>
          <w:iCs/>
          <w:lang w:val="en-GB"/>
        </w:rPr>
        <w:t>Signaling</w:t>
      </w:r>
      <w:proofErr w:type="spellEnd"/>
      <w:r>
        <w:rPr>
          <w:rFonts w:ascii="Arial" w:hAnsi="Arial"/>
          <w:iCs/>
          <w:lang w:val="en-GB"/>
        </w:rPr>
        <w:t xml:space="preserve"> &amp; </w:t>
      </w:r>
      <w:proofErr w:type="spellStart"/>
      <w:r>
        <w:rPr>
          <w:rFonts w:ascii="Arial" w:hAnsi="Arial"/>
          <w:iCs/>
          <w:lang w:val="en-GB"/>
        </w:rPr>
        <w:t>Behavior</w:t>
      </w:r>
      <w:proofErr w:type="spellEnd"/>
      <w:r>
        <w:rPr>
          <w:rFonts w:ascii="Arial" w:hAnsi="Arial"/>
          <w:lang w:val="en-GB"/>
        </w:rPr>
        <w:t>, 6(7), 982-985.</w:t>
      </w:r>
    </w:p>
    <w:p w14:paraId="65ED80AB" w14:textId="77777777" w:rsidR="007357B1" w:rsidRDefault="007357B1">
      <w:pPr>
        <w:jc w:val="both"/>
        <w:rPr>
          <w:rFonts w:ascii="Arial" w:hAnsi="Arial"/>
          <w:lang w:val="en-GB"/>
        </w:rPr>
      </w:pPr>
    </w:p>
    <w:p w14:paraId="636E1682" w14:textId="77777777" w:rsidR="007357B1" w:rsidRDefault="007B2D23">
      <w:pPr>
        <w:jc w:val="both"/>
        <w:rPr>
          <w:rFonts w:ascii="Arial" w:hAnsi="Arial"/>
          <w:lang w:val="pt-BR"/>
        </w:rPr>
      </w:pPr>
      <w:r w:rsidRPr="001D7DD7">
        <w:rPr>
          <w:rFonts w:ascii="Arial" w:hAnsi="Arial"/>
        </w:rPr>
        <w:t xml:space="preserve">Bautista, O. V., Fischer, G., &amp; Cardenas, J. F. (2013). </w:t>
      </w:r>
      <w:r>
        <w:rPr>
          <w:rFonts w:ascii="Arial" w:hAnsi="Arial"/>
          <w:lang w:val="en-GB"/>
        </w:rPr>
        <w:t xml:space="preserve">Cadmium and chromium effects on seed germination and root elongation in lettuce, spinach and Swiss chard. </w:t>
      </w:r>
      <w:r>
        <w:rPr>
          <w:rFonts w:ascii="Arial" w:hAnsi="Arial"/>
          <w:iCs/>
          <w:lang w:val="pt-BR"/>
        </w:rPr>
        <w:t>Agronomía Colombiana</w:t>
      </w:r>
      <w:r>
        <w:rPr>
          <w:rFonts w:ascii="Arial" w:hAnsi="Arial"/>
          <w:lang w:val="pt-BR"/>
        </w:rPr>
        <w:t>, 31(1), 48-57.</w:t>
      </w:r>
    </w:p>
    <w:p w14:paraId="116252C5" w14:textId="77777777" w:rsidR="007357B1" w:rsidRDefault="007357B1">
      <w:pPr>
        <w:jc w:val="both"/>
        <w:rPr>
          <w:rFonts w:ascii="Arial" w:hAnsi="Arial"/>
          <w:lang w:val="pt-BR"/>
        </w:rPr>
      </w:pPr>
    </w:p>
    <w:p w14:paraId="040E055E" w14:textId="77777777" w:rsidR="007357B1" w:rsidRDefault="007B2D23">
      <w:pPr>
        <w:jc w:val="both"/>
        <w:rPr>
          <w:rFonts w:ascii="Arial" w:hAnsi="Arial"/>
          <w:lang w:val="pt-BR"/>
        </w:rPr>
      </w:pPr>
      <w:r>
        <w:rPr>
          <w:rFonts w:ascii="Arial" w:hAnsi="Arial"/>
          <w:lang w:val="pt-BR"/>
        </w:rPr>
        <w:lastRenderedPageBreak/>
        <w:t xml:space="preserve">Berni Neto, E., Ribeiro, C., &amp; Zucolotto, V. (2008). Síntese de nanopartículas de prata para aplicação na sanitização de embalagens. </w:t>
      </w:r>
      <w:r>
        <w:rPr>
          <w:rFonts w:ascii="Arial" w:hAnsi="Arial"/>
          <w:iCs/>
          <w:lang w:val="pt-BR"/>
        </w:rPr>
        <w:t>Embrapa Instrumentação Agropecuária. Comunicado Técnico</w:t>
      </w:r>
      <w:r>
        <w:rPr>
          <w:rFonts w:ascii="Arial" w:hAnsi="Arial"/>
          <w:lang w:val="pt-BR"/>
        </w:rPr>
        <w:t xml:space="preserve">, 99, 1-4. </w:t>
      </w:r>
      <w:hyperlink r:id="rId16">
        <w:r>
          <w:rPr>
            <w:rStyle w:val="Hyperlink"/>
            <w:rFonts w:ascii="Arial" w:hAnsi="Arial"/>
            <w:color w:val="auto"/>
            <w:u w:val="none"/>
            <w:lang w:val="pt-BR"/>
          </w:rPr>
          <w:t>https://www.infoteca.cnptia.embrapa.br/bitstream/doc/31734/1/CT992008.pdf</w:t>
        </w:r>
      </w:hyperlink>
    </w:p>
    <w:p w14:paraId="28F0AAA9" w14:textId="77777777" w:rsidR="007357B1" w:rsidRDefault="007357B1">
      <w:pPr>
        <w:jc w:val="both"/>
        <w:rPr>
          <w:rFonts w:ascii="Arial" w:hAnsi="Arial"/>
          <w:lang w:val="pt-BR"/>
        </w:rPr>
      </w:pPr>
    </w:p>
    <w:p w14:paraId="33CFE21F" w14:textId="77777777" w:rsidR="007357B1" w:rsidRDefault="007B2D23">
      <w:pPr>
        <w:jc w:val="both"/>
        <w:rPr>
          <w:rFonts w:ascii="Arial" w:hAnsi="Arial"/>
          <w:lang w:val="pt-BR"/>
        </w:rPr>
      </w:pPr>
      <w:r>
        <w:rPr>
          <w:rFonts w:ascii="Arial" w:hAnsi="Arial"/>
          <w:lang w:val="en-GB"/>
        </w:rPr>
        <w:t xml:space="preserve">Castro-Restrepo, D. (2017). Nanotechnology in agriculture. </w:t>
      </w:r>
      <w:r>
        <w:rPr>
          <w:rFonts w:ascii="Arial" w:hAnsi="Arial"/>
          <w:lang w:val="pt-BR"/>
        </w:rPr>
        <w:t xml:space="preserve">Bionatura, 2(3), 384-389. </w:t>
      </w:r>
    </w:p>
    <w:p w14:paraId="4922991A" w14:textId="77777777" w:rsidR="007357B1" w:rsidRDefault="007357B1">
      <w:pPr>
        <w:jc w:val="both"/>
        <w:rPr>
          <w:rFonts w:ascii="Arial" w:hAnsi="Arial"/>
          <w:lang w:val="pt-BR"/>
        </w:rPr>
      </w:pPr>
    </w:p>
    <w:p w14:paraId="4F584C1E" w14:textId="77777777" w:rsidR="007357B1" w:rsidRPr="001D7DD7" w:rsidRDefault="007B2D23">
      <w:pPr>
        <w:jc w:val="both"/>
        <w:rPr>
          <w:rFonts w:ascii="Arial" w:hAnsi="Arial"/>
        </w:rPr>
      </w:pPr>
      <w:r>
        <w:rPr>
          <w:rFonts w:ascii="Arial" w:hAnsi="Arial"/>
          <w:color w:val="1C1C1C"/>
          <w:lang w:val="pt-BR"/>
        </w:rPr>
        <w:t xml:space="preserve">Guzmán-Báez, G. A., </w:t>
      </w:r>
      <w:r w:rsidR="00CD3935">
        <w:fldChar w:fldCharType="begin"/>
      </w:r>
      <w:r w:rsidR="00CD3935">
        <w:instrText xml:space="preserve"> HYPERLINK "https://pubmed.ncbi.nlm.nih.gov/?term=Trejo-Téllez+LI&amp;cauthor_id=34840539" \h </w:instrText>
      </w:r>
      <w:r w:rsidR="00CD3935">
        <w:fldChar w:fldCharType="separate"/>
      </w:r>
      <w:r>
        <w:rPr>
          <w:rStyle w:val="Hyperlink"/>
          <w:rFonts w:ascii="Arial" w:hAnsi="Arial"/>
          <w:color w:val="1C1C1C"/>
          <w:u w:val="none"/>
          <w:lang w:val="pt-BR"/>
        </w:rPr>
        <w:t>Trejo-Téllez</w:t>
      </w:r>
      <w:r w:rsidR="00CD3935">
        <w:rPr>
          <w:rStyle w:val="Hyperlink"/>
          <w:rFonts w:ascii="Arial" w:hAnsi="Arial"/>
          <w:color w:val="1C1C1C"/>
          <w:u w:val="none"/>
          <w:lang w:val="pt-BR"/>
        </w:rPr>
        <w:fldChar w:fldCharType="end"/>
      </w:r>
      <w:r>
        <w:rPr>
          <w:rFonts w:ascii="Arial" w:hAnsi="Arial"/>
          <w:color w:val="1C1C1C"/>
          <w:lang w:val="pt-BR"/>
        </w:rPr>
        <w:t> , L. I., Ramirez Olvera, S. M., Salinas-Ruiz, J., Bello-Bello, J. J., Alcántar</w:t>
      </w:r>
      <w:r>
        <w:fldChar w:fldCharType="begin"/>
      </w:r>
      <w:r w:rsidRPr="001D7DD7">
        <w:rPr>
          <w:lang w:val="pt-BR"/>
        </w:rPr>
        <w:instrText>HYPERLINK "https://pubmed.ncbi.nlm.nih.gov/?term=Alcántar-González+G&amp;cauthor_id=34840539" \h</w:instrText>
      </w:r>
      <w:r>
        <w:fldChar w:fldCharType="separate"/>
      </w:r>
      <w:r>
        <w:rPr>
          <w:rStyle w:val="Hyperlink"/>
          <w:rFonts w:ascii="Arial" w:hAnsi="Arial"/>
          <w:color w:val="1C1C1C"/>
          <w:u w:val="none"/>
          <w:lang w:val="pt-BR"/>
        </w:rPr>
        <w:t>-G</w:t>
      </w:r>
      <w:r>
        <w:fldChar w:fldCharType="end"/>
      </w:r>
      <w:r>
        <w:rPr>
          <w:rFonts w:ascii="Arial" w:hAnsi="Arial"/>
          <w:color w:val="1C1C1C"/>
          <w:lang w:val="pt-BR"/>
        </w:rPr>
        <w:t>onzález,</w:t>
      </w:r>
      <w:r>
        <w:rPr>
          <w:rFonts w:ascii="Arial" w:hAnsi="Arial"/>
          <w:color w:val="000000"/>
          <w:lang w:val="pt-BR"/>
        </w:rPr>
        <w:t xml:space="preserve"> G. et al. </w:t>
      </w:r>
      <w:r w:rsidRPr="008140B7">
        <w:rPr>
          <w:rFonts w:ascii="Arial" w:hAnsi="Arial"/>
          <w:color w:val="000000"/>
        </w:rPr>
        <w:t xml:space="preserve">(2021).  </w:t>
      </w:r>
      <w:r w:rsidRPr="001D7DD7">
        <w:rPr>
          <w:rFonts w:ascii="Arial" w:hAnsi="Arial"/>
        </w:rPr>
        <w:t>Silver nanoparticles increase nitrogen, phosphorus, and potassium concentrations in leaves and stimulate root length and number of roots in tomato seedlings in a hormetic manner. Dose Response, 19(4), 15593258211044576.</w:t>
      </w:r>
    </w:p>
    <w:p w14:paraId="096CF44B" w14:textId="77777777" w:rsidR="007357B1" w:rsidRPr="001D7DD7" w:rsidRDefault="007357B1">
      <w:pPr>
        <w:jc w:val="both"/>
        <w:rPr>
          <w:rFonts w:ascii="Arial" w:hAnsi="Arial"/>
        </w:rPr>
      </w:pPr>
    </w:p>
    <w:p w14:paraId="33E4891C" w14:textId="77777777" w:rsidR="007357B1" w:rsidRDefault="007B2D23">
      <w:pPr>
        <w:jc w:val="both"/>
        <w:rPr>
          <w:rFonts w:ascii="Arial" w:hAnsi="Arial"/>
          <w:lang w:val="pt-BR"/>
        </w:rPr>
      </w:pPr>
      <w:r w:rsidRPr="001D7DD7">
        <w:rPr>
          <w:rFonts w:ascii="Arial" w:hAnsi="Arial"/>
        </w:rPr>
        <w:t xml:space="preserve">Hoekstra, J. A., &amp; Van Ewijk, P. H. (1993). </w:t>
      </w:r>
      <w:r>
        <w:rPr>
          <w:rFonts w:ascii="Arial" w:hAnsi="Arial"/>
          <w:lang w:val="en-GB"/>
        </w:rPr>
        <w:t xml:space="preserve">The bounded effect concentration as an alternative to the NOEC. </w:t>
      </w:r>
      <w:r>
        <w:rPr>
          <w:rFonts w:ascii="Arial" w:hAnsi="Arial"/>
          <w:iCs/>
          <w:lang w:val="pt-BR"/>
        </w:rPr>
        <w:t>Science of the Total Environment</w:t>
      </w:r>
      <w:r>
        <w:rPr>
          <w:rFonts w:ascii="Arial" w:hAnsi="Arial"/>
          <w:lang w:val="pt-BR"/>
        </w:rPr>
        <w:t>, 134(1), 705- 711.</w:t>
      </w:r>
    </w:p>
    <w:p w14:paraId="616CC2EC" w14:textId="77777777" w:rsidR="007357B1" w:rsidRDefault="007357B1">
      <w:pPr>
        <w:jc w:val="both"/>
        <w:rPr>
          <w:rFonts w:ascii="Arial" w:hAnsi="Arial"/>
          <w:lang w:val="pt-BR"/>
        </w:rPr>
      </w:pPr>
    </w:p>
    <w:p w14:paraId="247ECA14" w14:textId="77777777" w:rsidR="007357B1" w:rsidRDefault="007B2D23">
      <w:pPr>
        <w:jc w:val="both"/>
        <w:rPr>
          <w:rFonts w:ascii="Arial" w:hAnsi="Arial"/>
          <w:lang w:val="en-GB"/>
        </w:rPr>
      </w:pPr>
      <w:r>
        <w:rPr>
          <w:rFonts w:ascii="Arial" w:hAnsi="Arial"/>
          <w:lang w:val="pt-BR"/>
        </w:rPr>
        <w:t xml:space="preserve">Juárez-Maldonado, A., Ortega-Ortiz, H., Moralez-Diaz, A. B., Gonzalez-Morales, S., Morelos-Moreno, A., Cabrera-De La Fuente, M. et al. </w:t>
      </w:r>
      <w:r>
        <w:rPr>
          <w:rFonts w:ascii="Arial" w:hAnsi="Arial"/>
          <w:lang w:val="en-GB"/>
        </w:rPr>
        <w:t xml:space="preserve">(2019). Nanoparticles and nanomaterials as plant </w:t>
      </w:r>
      <w:proofErr w:type="spellStart"/>
      <w:r>
        <w:rPr>
          <w:rFonts w:ascii="Arial" w:hAnsi="Arial"/>
          <w:lang w:val="en-GB"/>
        </w:rPr>
        <w:t>biostimulants</w:t>
      </w:r>
      <w:proofErr w:type="spellEnd"/>
      <w:r>
        <w:rPr>
          <w:rFonts w:ascii="Arial" w:hAnsi="Arial"/>
          <w:lang w:val="en-GB"/>
        </w:rPr>
        <w:t xml:space="preserve">. </w:t>
      </w:r>
      <w:r>
        <w:rPr>
          <w:rFonts w:ascii="Arial" w:hAnsi="Arial"/>
          <w:iCs/>
          <w:lang w:val="en-GB"/>
        </w:rPr>
        <w:t>International Journal of Molecular Science</w:t>
      </w:r>
      <w:r>
        <w:rPr>
          <w:rFonts w:ascii="Arial" w:hAnsi="Arial"/>
          <w:lang w:val="en-GB"/>
        </w:rPr>
        <w:t>, 20(1),162. https//:doi.org/10.3390/ijms20010162</w:t>
      </w:r>
    </w:p>
    <w:p w14:paraId="2F1B1BC9" w14:textId="77777777" w:rsidR="007357B1" w:rsidRDefault="007357B1">
      <w:pPr>
        <w:jc w:val="both"/>
        <w:rPr>
          <w:rFonts w:ascii="Arial" w:hAnsi="Arial"/>
          <w:lang w:val="en-GB"/>
        </w:rPr>
      </w:pPr>
    </w:p>
    <w:p w14:paraId="3E05C28A" w14:textId="77777777" w:rsidR="007357B1" w:rsidRPr="001D7DD7" w:rsidRDefault="007B2D23">
      <w:pPr>
        <w:jc w:val="both"/>
        <w:rPr>
          <w:rFonts w:ascii="Arial" w:hAnsi="Arial"/>
        </w:rPr>
      </w:pPr>
      <w:r>
        <w:rPr>
          <w:rFonts w:ascii="Arial" w:hAnsi="Arial"/>
          <w:lang w:val="en-GB"/>
        </w:rPr>
        <w:t xml:space="preserve">May, A., </w:t>
      </w:r>
      <w:proofErr w:type="spellStart"/>
      <w:r>
        <w:rPr>
          <w:rFonts w:ascii="Arial" w:hAnsi="Arial"/>
          <w:lang w:val="en-GB"/>
        </w:rPr>
        <w:t>Assalin</w:t>
      </w:r>
      <w:proofErr w:type="spellEnd"/>
      <w:r>
        <w:rPr>
          <w:rFonts w:ascii="Arial" w:hAnsi="Arial"/>
          <w:lang w:val="en-GB"/>
        </w:rPr>
        <w:t xml:space="preserve">, M. R., Halfeld-Vieira, B. A., </w:t>
      </w:r>
      <w:proofErr w:type="spellStart"/>
      <w:r>
        <w:rPr>
          <w:rFonts w:ascii="Arial" w:hAnsi="Arial"/>
          <w:lang w:val="en-GB"/>
        </w:rPr>
        <w:t>Nechet</w:t>
      </w:r>
      <w:proofErr w:type="spellEnd"/>
      <w:r>
        <w:rPr>
          <w:rFonts w:ascii="Arial" w:hAnsi="Arial"/>
          <w:lang w:val="en-GB"/>
        </w:rPr>
        <w:t>, K. L., Batista, E. R., Quevedo, H. D. et al.  β</w:t>
      </w:r>
      <w:r>
        <w:rPr>
          <w:rFonts w:ascii="Arial" w:hAnsi="Arial"/>
          <w:lang w:val="en-GB"/>
        </w:rPr>
        <w:noBreakHyphen/>
        <w:t xml:space="preserve">Caryophyllene and graphene oxide: A novel approach for managing </w:t>
      </w:r>
      <w:r>
        <w:rPr>
          <w:rFonts w:ascii="Arial" w:hAnsi="Arial"/>
          <w:i/>
          <w:iCs/>
          <w:lang w:val="en-GB"/>
        </w:rPr>
        <w:t xml:space="preserve">Fusarium </w:t>
      </w:r>
      <w:r>
        <w:rPr>
          <w:rFonts w:ascii="Arial" w:hAnsi="Arial"/>
          <w:lang w:val="en-GB"/>
        </w:rPr>
        <w:t xml:space="preserve">wilt in </w:t>
      </w:r>
      <w:r>
        <w:rPr>
          <w:rFonts w:ascii="Arial" w:hAnsi="Arial"/>
          <w:i/>
          <w:iCs/>
          <w:lang w:val="en-GB"/>
        </w:rPr>
        <w:t>Cyclamen spp</w:t>
      </w:r>
      <w:r>
        <w:rPr>
          <w:rFonts w:ascii="Arial" w:hAnsi="Arial"/>
          <w:lang w:val="en-GB"/>
        </w:rPr>
        <w:t xml:space="preserve">. </w:t>
      </w:r>
      <w:r w:rsidRPr="008140B7">
        <w:rPr>
          <w:rFonts w:ascii="Arial" w:hAnsi="Arial"/>
        </w:rPr>
        <w:t xml:space="preserve">(2025). </w:t>
      </w:r>
      <w:r w:rsidRPr="001D7DD7">
        <w:rPr>
          <w:rFonts w:ascii="Arial" w:hAnsi="Arial"/>
          <w:iCs/>
        </w:rPr>
        <w:t>ACS Omega,</w:t>
      </w:r>
      <w:r w:rsidRPr="001D7DD7">
        <w:rPr>
          <w:rFonts w:ascii="Arial" w:hAnsi="Arial"/>
          <w:i/>
          <w:iCs/>
        </w:rPr>
        <w:t xml:space="preserve"> </w:t>
      </w:r>
      <w:r w:rsidRPr="001D7DD7">
        <w:rPr>
          <w:rFonts w:ascii="Arial" w:hAnsi="Arial"/>
        </w:rPr>
        <w:t xml:space="preserve"> 10(41), 48563–48572. </w:t>
      </w:r>
    </w:p>
    <w:p w14:paraId="7E04FDC6" w14:textId="77777777" w:rsidR="007357B1" w:rsidRPr="001D7DD7" w:rsidRDefault="007357B1">
      <w:pPr>
        <w:jc w:val="both"/>
        <w:rPr>
          <w:rFonts w:ascii="Arial" w:hAnsi="Arial"/>
        </w:rPr>
      </w:pPr>
    </w:p>
    <w:p w14:paraId="20888660" w14:textId="77777777" w:rsidR="007357B1" w:rsidRDefault="007B2D23">
      <w:pPr>
        <w:jc w:val="both"/>
        <w:rPr>
          <w:rFonts w:ascii="Arial" w:hAnsi="Arial"/>
          <w:lang w:val="en-GB"/>
        </w:rPr>
      </w:pPr>
      <w:r>
        <w:rPr>
          <w:rFonts w:ascii="Arial" w:hAnsi="Arial"/>
          <w:lang w:val="en-GB"/>
        </w:rPr>
        <w:t xml:space="preserve">McLaughlin, J., &amp; </w:t>
      </w:r>
      <w:proofErr w:type="spellStart"/>
      <w:r>
        <w:rPr>
          <w:rFonts w:ascii="Arial" w:hAnsi="Arial"/>
          <w:lang w:val="en-GB"/>
        </w:rPr>
        <w:t>Bonzongo</w:t>
      </w:r>
      <w:proofErr w:type="spellEnd"/>
      <w:r>
        <w:rPr>
          <w:rFonts w:ascii="Arial" w:hAnsi="Arial"/>
          <w:lang w:val="en-GB"/>
        </w:rPr>
        <w:t xml:space="preserve">, J. C. (2012). Effects of natural water chemistry on </w:t>
      </w:r>
      <w:proofErr w:type="spellStart"/>
      <w:r>
        <w:rPr>
          <w:rFonts w:ascii="Arial" w:hAnsi="Arial"/>
          <w:lang w:val="en-GB"/>
        </w:rPr>
        <w:t>nanosilver</w:t>
      </w:r>
      <w:proofErr w:type="spellEnd"/>
      <w:r>
        <w:rPr>
          <w:rFonts w:ascii="Arial" w:hAnsi="Arial"/>
          <w:lang w:val="en-GB"/>
        </w:rPr>
        <w:t xml:space="preserve"> </w:t>
      </w:r>
      <w:proofErr w:type="spellStart"/>
      <w:r>
        <w:rPr>
          <w:rFonts w:ascii="Arial" w:hAnsi="Arial"/>
          <w:lang w:val="en-GB"/>
        </w:rPr>
        <w:t>behavior</w:t>
      </w:r>
      <w:proofErr w:type="spellEnd"/>
      <w:r>
        <w:rPr>
          <w:rFonts w:ascii="Arial" w:hAnsi="Arial"/>
          <w:lang w:val="en-GB"/>
        </w:rPr>
        <w:t xml:space="preserve"> and toxicity to </w:t>
      </w:r>
      <w:proofErr w:type="spellStart"/>
      <w:r>
        <w:rPr>
          <w:rFonts w:ascii="Arial" w:hAnsi="Arial"/>
          <w:i/>
          <w:iCs/>
          <w:lang w:val="en-GB"/>
        </w:rPr>
        <w:t>Ceriodaphnia</w:t>
      </w:r>
      <w:proofErr w:type="spellEnd"/>
      <w:r>
        <w:rPr>
          <w:rFonts w:ascii="Arial" w:hAnsi="Arial"/>
          <w:i/>
          <w:iCs/>
          <w:lang w:val="en-GB"/>
        </w:rPr>
        <w:t xml:space="preserve"> </w:t>
      </w:r>
      <w:proofErr w:type="spellStart"/>
      <w:r>
        <w:rPr>
          <w:rFonts w:ascii="Arial" w:hAnsi="Arial"/>
          <w:i/>
          <w:iCs/>
          <w:lang w:val="en-GB"/>
        </w:rPr>
        <w:t>dubia</w:t>
      </w:r>
      <w:proofErr w:type="spellEnd"/>
      <w:r>
        <w:rPr>
          <w:rFonts w:ascii="Arial" w:hAnsi="Arial"/>
          <w:i/>
          <w:iCs/>
          <w:lang w:val="en-GB"/>
        </w:rPr>
        <w:t xml:space="preserve"> </w:t>
      </w:r>
      <w:r>
        <w:rPr>
          <w:rFonts w:ascii="Arial" w:hAnsi="Arial"/>
          <w:lang w:val="en-GB"/>
        </w:rPr>
        <w:t xml:space="preserve">and </w:t>
      </w:r>
      <w:proofErr w:type="spellStart"/>
      <w:r>
        <w:rPr>
          <w:rFonts w:ascii="Arial" w:hAnsi="Arial"/>
          <w:i/>
          <w:lang w:val="en-GB"/>
        </w:rPr>
        <w:t>Pseudokirchneriella</w:t>
      </w:r>
      <w:proofErr w:type="spellEnd"/>
      <w:r>
        <w:rPr>
          <w:rFonts w:ascii="Arial" w:hAnsi="Arial"/>
          <w:i/>
          <w:lang w:val="en-GB"/>
        </w:rPr>
        <w:t xml:space="preserve"> </w:t>
      </w:r>
      <w:proofErr w:type="spellStart"/>
      <w:r>
        <w:rPr>
          <w:rFonts w:ascii="Arial" w:hAnsi="Arial"/>
          <w:i/>
          <w:lang w:val="en-GB"/>
        </w:rPr>
        <w:t>subcapitata</w:t>
      </w:r>
      <w:proofErr w:type="spellEnd"/>
      <w:r>
        <w:rPr>
          <w:rFonts w:ascii="Arial" w:hAnsi="Arial"/>
          <w:i/>
          <w:lang w:val="en-GB"/>
        </w:rPr>
        <w:t>.</w:t>
      </w:r>
      <w:r>
        <w:rPr>
          <w:rFonts w:ascii="Arial" w:hAnsi="Arial"/>
          <w:i/>
          <w:iCs/>
          <w:lang w:val="en-GB"/>
        </w:rPr>
        <w:t xml:space="preserve"> </w:t>
      </w:r>
      <w:r>
        <w:rPr>
          <w:rFonts w:ascii="Arial" w:hAnsi="Arial"/>
          <w:iCs/>
          <w:lang w:val="en-GB"/>
        </w:rPr>
        <w:t>Environmental Toxicology and Chemistry</w:t>
      </w:r>
      <w:r>
        <w:rPr>
          <w:rFonts w:ascii="Arial" w:hAnsi="Arial"/>
          <w:i/>
          <w:iCs/>
          <w:lang w:val="en-GB"/>
        </w:rPr>
        <w:t>,</w:t>
      </w:r>
      <w:r>
        <w:rPr>
          <w:rFonts w:ascii="Arial" w:hAnsi="Arial"/>
          <w:lang w:val="en-GB"/>
        </w:rPr>
        <w:t xml:space="preserve"> 31(1), 168–175. </w:t>
      </w:r>
    </w:p>
    <w:p w14:paraId="3097C4A7" w14:textId="77777777" w:rsidR="007357B1" w:rsidRDefault="007357B1">
      <w:pPr>
        <w:jc w:val="both"/>
        <w:rPr>
          <w:rFonts w:ascii="Arial" w:hAnsi="Arial"/>
          <w:lang w:val="en-GB"/>
        </w:rPr>
      </w:pPr>
    </w:p>
    <w:p w14:paraId="496001D9" w14:textId="77777777" w:rsidR="007357B1" w:rsidRDefault="007B2D23">
      <w:pPr>
        <w:ind w:firstLine="57"/>
        <w:jc w:val="both"/>
        <w:rPr>
          <w:rFonts w:ascii="Arial" w:hAnsi="Arial"/>
          <w:lang w:val="en-GB"/>
        </w:rPr>
      </w:pPr>
      <w:r w:rsidRPr="008140B7">
        <w:rPr>
          <w:rFonts w:ascii="Arial" w:hAnsi="Arial"/>
          <w:lang w:val="pt-BR"/>
        </w:rPr>
        <w:t xml:space="preserve">Miashiro, l., Lombardi, J. V., &amp; Mercante, C. T. J. (2012). </w:t>
      </w:r>
      <w:r>
        <w:rPr>
          <w:rFonts w:ascii="Arial" w:hAnsi="Arial"/>
          <w:lang w:val="en-GB"/>
        </w:rPr>
        <w:t xml:space="preserve">Ecotoxicity assessment in aquaculture system using the test organism </w:t>
      </w:r>
      <w:proofErr w:type="spellStart"/>
      <w:r>
        <w:rPr>
          <w:rFonts w:ascii="Arial" w:hAnsi="Arial"/>
          <w:i/>
          <w:iCs/>
          <w:lang w:val="en-GB"/>
        </w:rPr>
        <w:t>Pseudokirchneriella</w:t>
      </w:r>
      <w:proofErr w:type="spellEnd"/>
      <w:r>
        <w:rPr>
          <w:rFonts w:ascii="Arial" w:hAnsi="Arial"/>
          <w:i/>
          <w:iCs/>
          <w:lang w:val="en-GB"/>
        </w:rPr>
        <w:t xml:space="preserve"> </w:t>
      </w:r>
      <w:proofErr w:type="spellStart"/>
      <w:r>
        <w:rPr>
          <w:rFonts w:ascii="Arial" w:hAnsi="Arial"/>
          <w:i/>
          <w:iCs/>
          <w:lang w:val="en-GB"/>
        </w:rPr>
        <w:t>subcapitata</w:t>
      </w:r>
      <w:proofErr w:type="spellEnd"/>
      <w:r>
        <w:rPr>
          <w:rFonts w:ascii="Arial" w:hAnsi="Arial"/>
          <w:lang w:val="en-GB"/>
        </w:rPr>
        <w:t xml:space="preserve"> (Chlorophyceae). Acta </w:t>
      </w:r>
      <w:proofErr w:type="spellStart"/>
      <w:r>
        <w:rPr>
          <w:rFonts w:ascii="Arial" w:hAnsi="Arial"/>
          <w:lang w:val="en-GB"/>
        </w:rPr>
        <w:t>Scientiarum</w:t>
      </w:r>
      <w:proofErr w:type="spellEnd"/>
      <w:r>
        <w:rPr>
          <w:rFonts w:ascii="Arial" w:hAnsi="Arial"/>
          <w:lang w:val="en-GB"/>
        </w:rPr>
        <w:t xml:space="preserve"> Biological Sciences, 34(4), 373-</w:t>
      </w:r>
      <w:proofErr w:type="gramStart"/>
      <w:r>
        <w:rPr>
          <w:rFonts w:ascii="Arial" w:hAnsi="Arial"/>
          <w:lang w:val="en-GB"/>
        </w:rPr>
        <w:t>379 .</w:t>
      </w:r>
      <w:proofErr w:type="gramEnd"/>
      <w:r>
        <w:rPr>
          <w:rFonts w:ascii="Arial" w:hAnsi="Arial"/>
          <w:lang w:val="en-GB"/>
        </w:rPr>
        <w:t xml:space="preserve"> </w:t>
      </w:r>
    </w:p>
    <w:p w14:paraId="0333D11B" w14:textId="77777777" w:rsidR="007357B1" w:rsidRDefault="007357B1">
      <w:pPr>
        <w:jc w:val="both"/>
        <w:rPr>
          <w:rFonts w:ascii="Arial" w:hAnsi="Arial"/>
          <w:lang w:val="en-GB"/>
        </w:rPr>
      </w:pPr>
    </w:p>
    <w:p w14:paraId="75E9A22B" w14:textId="77777777" w:rsidR="007357B1" w:rsidRDefault="007B2D23">
      <w:pPr>
        <w:jc w:val="both"/>
        <w:rPr>
          <w:rFonts w:ascii="Arial" w:hAnsi="Arial"/>
          <w:lang w:val="en-GB"/>
        </w:rPr>
      </w:pPr>
      <w:r>
        <w:rPr>
          <w:rFonts w:ascii="Arial" w:hAnsi="Arial"/>
          <w:lang w:val="en-GB"/>
        </w:rPr>
        <w:t>Mishra, V. K., Husen, A., Rahman, Q. I., Iqbal, M., Sohrab, S. S., &amp; Yassi, M. O. (2019). Plant-based fabrication of silver nanoparticles and their application. In: A. Husen &amp; M. Iqbal (Eds.). Nanomaterials and plant potential (pp. 135-175). Berlin: Springer Nature.</w:t>
      </w:r>
    </w:p>
    <w:p w14:paraId="1EFF2FA8" w14:textId="77777777" w:rsidR="007357B1" w:rsidRDefault="007357B1">
      <w:pPr>
        <w:jc w:val="both"/>
        <w:rPr>
          <w:rFonts w:ascii="Arial" w:hAnsi="Arial"/>
          <w:lang w:val="en-GB"/>
        </w:rPr>
      </w:pPr>
    </w:p>
    <w:p w14:paraId="3ED3F6F4" w14:textId="77777777" w:rsidR="007357B1" w:rsidRDefault="007B2D23">
      <w:pPr>
        <w:jc w:val="both"/>
        <w:rPr>
          <w:rFonts w:ascii="Arial" w:hAnsi="Arial"/>
          <w:lang w:val="en-GB"/>
        </w:rPr>
      </w:pPr>
      <w:r>
        <w:rPr>
          <w:rFonts w:ascii="Arial" w:hAnsi="Arial"/>
          <w:lang w:val="en-GB"/>
        </w:rPr>
        <w:t>OECD (2006). Freshwater alga and cyanobacteria, growth inhibition test. OECD Guidelines for the Testing of Chemicals, Section 2, 201. https://www.oecd.org/content/dam/oecd/en/publications/reports/2011/07/test-no-201-freshwater-alga-and-cyanobacteria-growth-inhibition-test_g1gh28f1/9789264069923-en.pdf</w:t>
      </w:r>
    </w:p>
    <w:p w14:paraId="64B5CDF3" w14:textId="77777777" w:rsidR="007357B1" w:rsidRDefault="007357B1">
      <w:pPr>
        <w:jc w:val="both"/>
        <w:rPr>
          <w:rFonts w:ascii="Arial" w:hAnsi="Arial"/>
          <w:lang w:val="en-GB"/>
        </w:rPr>
      </w:pPr>
    </w:p>
    <w:p w14:paraId="2DAABEEB" w14:textId="77777777" w:rsidR="007357B1" w:rsidRDefault="007B2D23">
      <w:pPr>
        <w:jc w:val="both"/>
        <w:rPr>
          <w:rFonts w:ascii="Arial" w:hAnsi="Arial"/>
          <w:lang w:val="en-GB"/>
        </w:rPr>
      </w:pPr>
      <w:r>
        <w:rPr>
          <w:rFonts w:ascii="Arial" w:hAnsi="Arial"/>
          <w:lang w:val="en-GB"/>
        </w:rPr>
        <w:t xml:space="preserve">Park, H. J., Kim, S. H., Kim, H. J., &amp; Choi, S.H. (2006). A new composition of nanosized silica-silver for control of various plant diseases. </w:t>
      </w:r>
      <w:r>
        <w:rPr>
          <w:rFonts w:ascii="Arial" w:hAnsi="Arial"/>
          <w:iCs/>
          <w:lang w:val="en-GB"/>
        </w:rPr>
        <w:t>The Plant Pathology Journal</w:t>
      </w:r>
      <w:r>
        <w:rPr>
          <w:rFonts w:ascii="Arial" w:hAnsi="Arial"/>
          <w:lang w:val="en-GB"/>
        </w:rPr>
        <w:t>, 22(3), 295-302.</w:t>
      </w:r>
    </w:p>
    <w:p w14:paraId="0A6AF678" w14:textId="77777777" w:rsidR="007357B1" w:rsidRDefault="007357B1">
      <w:pPr>
        <w:jc w:val="both"/>
        <w:rPr>
          <w:rFonts w:ascii="Arial" w:hAnsi="Arial"/>
          <w:lang w:val="en-GB"/>
        </w:rPr>
      </w:pPr>
    </w:p>
    <w:p w14:paraId="447E1CCE" w14:textId="77777777" w:rsidR="007357B1" w:rsidRDefault="007B2D23">
      <w:pPr>
        <w:jc w:val="both"/>
        <w:rPr>
          <w:rFonts w:ascii="Arial" w:hAnsi="Arial"/>
          <w:lang w:val="en-GB"/>
        </w:rPr>
      </w:pPr>
      <w:r>
        <w:rPr>
          <w:rFonts w:ascii="Arial" w:hAnsi="Arial"/>
          <w:lang w:val="en-GB"/>
        </w:rPr>
        <w:t>Rand, G. M., &amp; Petrocelli, S. R. (Eds.). (1985). Fundamentals of aquatic toxicology, New York: Hemisphere Publishing Corporation.</w:t>
      </w:r>
    </w:p>
    <w:p w14:paraId="3523E20E" w14:textId="77777777" w:rsidR="007357B1" w:rsidRDefault="007357B1">
      <w:pPr>
        <w:jc w:val="both"/>
        <w:rPr>
          <w:rFonts w:ascii="Arial" w:hAnsi="Arial"/>
          <w:lang w:val="en-GB"/>
        </w:rPr>
      </w:pPr>
    </w:p>
    <w:p w14:paraId="3CA3F70C" w14:textId="77777777" w:rsidR="007357B1" w:rsidRDefault="007B2D23">
      <w:pPr>
        <w:jc w:val="both"/>
        <w:rPr>
          <w:rFonts w:ascii="Arial" w:hAnsi="Arial"/>
          <w:lang w:val="en-GB"/>
        </w:rPr>
      </w:pPr>
      <w:r>
        <w:rPr>
          <w:rFonts w:ascii="Arial" w:hAnsi="Arial"/>
          <w:lang w:val="en-GB"/>
        </w:rPr>
        <w:t xml:space="preserve">Ribeiro, F., Gallego-Urrea, J. A., </w:t>
      </w:r>
      <w:proofErr w:type="spellStart"/>
      <w:r>
        <w:rPr>
          <w:rFonts w:ascii="Arial" w:hAnsi="Arial"/>
          <w:lang w:val="en-GB"/>
        </w:rPr>
        <w:t>Jurkschat</w:t>
      </w:r>
      <w:proofErr w:type="spellEnd"/>
      <w:r>
        <w:rPr>
          <w:rFonts w:ascii="Arial" w:hAnsi="Arial"/>
          <w:lang w:val="en-GB"/>
        </w:rPr>
        <w:t xml:space="preserve">, K., Crossley, A., Hassellov, M., Taylor, C. et al. (2014). Silver nanoparticles and silver nitrate induce high toxicity to </w:t>
      </w:r>
      <w:proofErr w:type="spellStart"/>
      <w:r>
        <w:rPr>
          <w:rFonts w:ascii="Arial" w:hAnsi="Arial"/>
          <w:i/>
          <w:lang w:val="en-GB"/>
        </w:rPr>
        <w:t>Pseudokirchneriella</w:t>
      </w:r>
      <w:proofErr w:type="spellEnd"/>
      <w:r>
        <w:rPr>
          <w:rFonts w:ascii="Arial" w:hAnsi="Arial"/>
          <w:i/>
          <w:lang w:val="en-GB"/>
        </w:rPr>
        <w:t xml:space="preserve"> </w:t>
      </w:r>
      <w:proofErr w:type="spellStart"/>
      <w:r>
        <w:rPr>
          <w:rFonts w:ascii="Arial" w:hAnsi="Arial"/>
          <w:i/>
          <w:lang w:val="en-GB"/>
        </w:rPr>
        <w:t>subcapitata</w:t>
      </w:r>
      <w:proofErr w:type="spellEnd"/>
      <w:r>
        <w:rPr>
          <w:rFonts w:ascii="Arial" w:hAnsi="Arial"/>
          <w:lang w:val="en-GB"/>
        </w:rPr>
        <w:t xml:space="preserve">, </w:t>
      </w:r>
      <w:r>
        <w:rPr>
          <w:rFonts w:ascii="Arial" w:hAnsi="Arial"/>
          <w:i/>
          <w:iCs/>
          <w:lang w:val="en-GB"/>
        </w:rPr>
        <w:t>Daphnia magna</w:t>
      </w:r>
      <w:r>
        <w:rPr>
          <w:rFonts w:ascii="Arial" w:hAnsi="Arial"/>
          <w:lang w:val="en-GB"/>
        </w:rPr>
        <w:t xml:space="preserve"> and </w:t>
      </w:r>
      <w:r>
        <w:rPr>
          <w:rFonts w:ascii="Arial" w:hAnsi="Arial"/>
          <w:i/>
          <w:iCs/>
          <w:lang w:val="en-GB"/>
        </w:rPr>
        <w:t>Danio rerio</w:t>
      </w:r>
      <w:r>
        <w:rPr>
          <w:rFonts w:ascii="Arial" w:hAnsi="Arial"/>
          <w:lang w:val="en-GB"/>
        </w:rPr>
        <w:t>. Science of the Total Environment, 466, 232–241.</w:t>
      </w:r>
    </w:p>
    <w:p w14:paraId="79495788" w14:textId="77777777" w:rsidR="007357B1" w:rsidRDefault="007357B1">
      <w:pPr>
        <w:jc w:val="both"/>
        <w:rPr>
          <w:rFonts w:ascii="Arial" w:hAnsi="Arial"/>
          <w:lang w:val="en-GB"/>
        </w:rPr>
      </w:pPr>
    </w:p>
    <w:p w14:paraId="0DAFE3E3" w14:textId="77777777" w:rsidR="007357B1" w:rsidRDefault="007B2D23">
      <w:pPr>
        <w:jc w:val="both"/>
        <w:rPr>
          <w:rFonts w:ascii="Arial" w:hAnsi="Arial"/>
          <w:lang w:val="en-GB"/>
        </w:rPr>
      </w:pPr>
      <w:r>
        <w:rPr>
          <w:rFonts w:ascii="Arial" w:hAnsi="Arial"/>
          <w:lang w:val="en-GB"/>
        </w:rPr>
        <w:lastRenderedPageBreak/>
        <w:t>Schmittschmitt, J. P., S</w:t>
      </w:r>
      <w:r>
        <w:rPr>
          <w:rFonts w:ascii="Arial" w:hAnsi="Arial"/>
          <w:sz w:val="18"/>
          <w:lang w:val="en-GB"/>
        </w:rPr>
        <w:t>haw</w:t>
      </w:r>
      <w:r>
        <w:rPr>
          <w:rFonts w:ascii="Arial" w:hAnsi="Arial"/>
          <w:lang w:val="en-GB"/>
        </w:rPr>
        <w:t>, J. R., &amp; Birge, W. J. (1996). The effects of silver on green algae and prospects for trophic transfer. In: The 4th international Conference Proceedings: Transport, Fate and Effects of Silver in the Environment, 4 (pp. 245-249). Madison: University of Wisconsin System. https://repository.library.noaa.gov/view/noaa/45683</w:t>
      </w:r>
    </w:p>
    <w:p w14:paraId="2FC62919" w14:textId="77777777" w:rsidR="007357B1" w:rsidRDefault="007357B1">
      <w:pPr>
        <w:jc w:val="both"/>
        <w:rPr>
          <w:rFonts w:ascii="Arial" w:hAnsi="Arial"/>
          <w:lang w:val="en-GB"/>
        </w:rPr>
      </w:pPr>
    </w:p>
    <w:p w14:paraId="60236F4F" w14:textId="77777777" w:rsidR="007357B1" w:rsidRDefault="007B2D23">
      <w:pPr>
        <w:jc w:val="both"/>
        <w:rPr>
          <w:rFonts w:ascii="Arial" w:hAnsi="Arial"/>
          <w:lang w:val="en-GB"/>
        </w:rPr>
      </w:pPr>
      <w:r>
        <w:rPr>
          <w:rFonts w:ascii="Arial" w:hAnsi="Arial"/>
          <w:lang w:val="en-GB"/>
        </w:rPr>
        <w:t xml:space="preserve">Sibi, G., Kumar, D. A., Gopal, T., Harinath, K., Banupriya, S., &amp; Chaitra, S. (2017). Metal nanoparticle triggered growth and lipid production in </w:t>
      </w:r>
      <w:r>
        <w:rPr>
          <w:rFonts w:ascii="Arial" w:hAnsi="Arial"/>
          <w:i/>
          <w:iCs/>
          <w:lang w:val="en-GB"/>
        </w:rPr>
        <w:t>Chlorella</w:t>
      </w:r>
      <w:r>
        <w:rPr>
          <w:rFonts w:ascii="Arial" w:hAnsi="Arial"/>
          <w:lang w:val="en-GB"/>
        </w:rPr>
        <w:t xml:space="preserve"> vulgaris. International Journal of Science Research in Environmental Science and Toxicology, 2(1), 1-8.</w:t>
      </w:r>
    </w:p>
    <w:p w14:paraId="1BCF7873" w14:textId="77777777" w:rsidR="00C014E7" w:rsidRDefault="00C014E7">
      <w:pPr>
        <w:jc w:val="both"/>
        <w:rPr>
          <w:rFonts w:ascii="Arial" w:hAnsi="Arial"/>
          <w:lang w:val="en-GB"/>
        </w:rPr>
      </w:pPr>
    </w:p>
    <w:p w14:paraId="16D37757" w14:textId="61CC0A62" w:rsidR="00C014E7" w:rsidRDefault="00C014E7" w:rsidP="00C014E7">
      <w:pPr>
        <w:jc w:val="both"/>
        <w:rPr>
          <w:rFonts w:ascii="Arial" w:hAnsi="Arial"/>
          <w:lang w:val="en-GB"/>
        </w:rPr>
      </w:pPr>
      <w:r>
        <w:rPr>
          <w:rFonts w:ascii="Arial" w:hAnsi="Arial"/>
          <w:lang w:val="en-GB"/>
        </w:rPr>
        <w:t xml:space="preserve">Sorensen, S. N. &amp; </w:t>
      </w:r>
      <w:proofErr w:type="spellStart"/>
      <w:r>
        <w:rPr>
          <w:rFonts w:ascii="Arial" w:hAnsi="Arial"/>
          <w:lang w:val="en-GB"/>
        </w:rPr>
        <w:t>Baun</w:t>
      </w:r>
      <w:proofErr w:type="spellEnd"/>
      <w:r>
        <w:rPr>
          <w:rFonts w:ascii="Arial" w:hAnsi="Arial"/>
          <w:lang w:val="en-GB"/>
        </w:rPr>
        <w:t xml:space="preserve">, A. (2015). </w:t>
      </w:r>
      <w:r w:rsidRPr="00C014E7">
        <w:rPr>
          <w:rFonts w:ascii="Arial" w:hAnsi="Arial"/>
          <w:lang w:val="en-GB"/>
        </w:rPr>
        <w:t>Controlling silver nanoparticle expos</w:t>
      </w:r>
      <w:r>
        <w:rPr>
          <w:rFonts w:ascii="Arial" w:hAnsi="Arial"/>
          <w:lang w:val="en-GB"/>
        </w:rPr>
        <w:t xml:space="preserve">ure in algal toxicity testing – </w:t>
      </w:r>
      <w:r w:rsidRPr="00C014E7">
        <w:rPr>
          <w:rFonts w:ascii="Arial" w:hAnsi="Arial"/>
          <w:lang w:val="en-GB"/>
        </w:rPr>
        <w:t>A matter of timing</w:t>
      </w:r>
      <w:r>
        <w:rPr>
          <w:rFonts w:ascii="Arial" w:hAnsi="Arial"/>
          <w:lang w:val="en-GB"/>
        </w:rPr>
        <w:t>. Nanotoxicology, 9(2),</w:t>
      </w:r>
      <w:r w:rsidRPr="00C014E7">
        <w:rPr>
          <w:rFonts w:ascii="Arial" w:hAnsi="Arial"/>
          <w:lang w:val="en-GB"/>
        </w:rPr>
        <w:t xml:space="preserve"> 201–209</w:t>
      </w:r>
      <w:r>
        <w:rPr>
          <w:rFonts w:ascii="Arial" w:hAnsi="Arial"/>
          <w:lang w:val="en-GB"/>
        </w:rPr>
        <w:t xml:space="preserve">. </w:t>
      </w:r>
    </w:p>
    <w:p w14:paraId="4A7211A0" w14:textId="77777777" w:rsidR="007357B1" w:rsidRDefault="007357B1">
      <w:pPr>
        <w:jc w:val="both"/>
        <w:rPr>
          <w:rFonts w:ascii="Arial" w:hAnsi="Arial"/>
          <w:lang w:val="en-GB"/>
        </w:rPr>
      </w:pPr>
    </w:p>
    <w:p w14:paraId="151AFE7F" w14:textId="77777777" w:rsidR="007357B1" w:rsidRDefault="007B2D23">
      <w:pPr>
        <w:jc w:val="both"/>
        <w:rPr>
          <w:rFonts w:ascii="Arial" w:hAnsi="Arial"/>
          <w:lang w:val="en-GB"/>
        </w:rPr>
      </w:pPr>
      <w:r>
        <w:rPr>
          <w:rFonts w:ascii="Arial" w:hAnsi="Arial"/>
          <w:lang w:val="pt-BR"/>
        </w:rPr>
        <w:t xml:space="preserve">Sobrero, M. C., &amp; Ronco, A. (2004). </w:t>
      </w:r>
      <w:r>
        <w:rPr>
          <w:rFonts w:ascii="Arial" w:hAnsi="Arial"/>
          <w:lang w:val="en-GB"/>
        </w:rPr>
        <w:t>Acute toxicity test with lettuce seeds (</w:t>
      </w:r>
      <w:r>
        <w:rPr>
          <w:rFonts w:ascii="Arial" w:hAnsi="Arial"/>
          <w:i/>
          <w:lang w:val="en-GB"/>
        </w:rPr>
        <w:t>Lactuca sativa</w:t>
      </w:r>
      <w:r>
        <w:rPr>
          <w:rFonts w:ascii="Arial" w:hAnsi="Arial"/>
          <w:lang w:val="en-GB"/>
        </w:rPr>
        <w:t xml:space="preserve"> L.) .In: G. Castillo Morales (Ed.). Toxicological tests and water quality assessment methods: </w:t>
      </w:r>
      <w:proofErr w:type="gramStart"/>
      <w:r>
        <w:rPr>
          <w:rFonts w:ascii="Arial" w:hAnsi="Arial"/>
          <w:lang w:val="en-GB"/>
        </w:rPr>
        <w:t>standardization ,</w:t>
      </w:r>
      <w:proofErr w:type="gramEnd"/>
      <w:r>
        <w:rPr>
          <w:rFonts w:ascii="Arial" w:hAnsi="Arial"/>
          <w:lang w:val="en-GB"/>
        </w:rPr>
        <w:t xml:space="preserve"> intercalibration , results and applications (pp. 71-79). </w:t>
      </w:r>
      <w:proofErr w:type="spellStart"/>
      <w:r>
        <w:rPr>
          <w:rFonts w:ascii="Arial" w:hAnsi="Arial"/>
          <w:lang w:val="en-GB"/>
        </w:rPr>
        <w:t>Jiutepec</w:t>
      </w:r>
      <w:proofErr w:type="spellEnd"/>
      <w:r>
        <w:rPr>
          <w:rFonts w:ascii="Arial" w:hAnsi="Arial"/>
          <w:lang w:val="en-GB"/>
        </w:rPr>
        <w:t>: IMTA.</w:t>
      </w:r>
    </w:p>
    <w:p w14:paraId="47A1F9AB" w14:textId="77777777" w:rsidR="007357B1" w:rsidRDefault="007357B1">
      <w:pPr>
        <w:jc w:val="both"/>
        <w:rPr>
          <w:rFonts w:ascii="Arial" w:hAnsi="Arial"/>
          <w:lang w:val="en-GB"/>
        </w:rPr>
      </w:pPr>
    </w:p>
    <w:p w14:paraId="2BF4036B" w14:textId="77777777" w:rsidR="007357B1" w:rsidRDefault="007B2D23">
      <w:pPr>
        <w:jc w:val="both"/>
        <w:rPr>
          <w:rFonts w:ascii="Arial" w:hAnsi="Arial"/>
          <w:lang w:val="en-GB"/>
        </w:rPr>
      </w:pPr>
      <w:r>
        <w:rPr>
          <w:rFonts w:ascii="Arial" w:hAnsi="Arial"/>
          <w:lang w:val="en-GB"/>
        </w:rPr>
        <w:t xml:space="preserve">Yin, I.X., Zhang, J., Zhao, I.S., Mei, M.L., Li, Q., &amp; Chu, C.H. (2020). The antibacterial mechanism of silver nanoparticles and its application in dentistry. International Journal of Nanomedicine, 15, 2555–2562. </w:t>
      </w:r>
    </w:p>
    <w:p w14:paraId="4B33E1BC" w14:textId="77777777" w:rsidR="007357B1" w:rsidRDefault="007357B1">
      <w:pPr>
        <w:jc w:val="both"/>
        <w:rPr>
          <w:rFonts w:ascii="Arial" w:hAnsi="Arial"/>
          <w:lang w:val="en-GB"/>
        </w:rPr>
      </w:pPr>
    </w:p>
    <w:p w14:paraId="2067B62D" w14:textId="77777777" w:rsidR="007357B1" w:rsidRDefault="007B2D23">
      <w:pPr>
        <w:jc w:val="both"/>
        <w:rPr>
          <w:rFonts w:ascii="Arial" w:hAnsi="Arial"/>
        </w:rPr>
      </w:pPr>
      <w:r>
        <w:rPr>
          <w:rFonts w:ascii="Arial" w:hAnsi="Arial"/>
          <w:lang w:val="en-GB"/>
        </w:rPr>
        <w:t xml:space="preserve">Zhang, N, Sun, J., Yin, L., Liu, J., &amp; Chen, C. (2023). Silver nanoparticles: From in vitro green synthesis to in vivo biological effects in plants. Advanced </w:t>
      </w:r>
      <w:proofErr w:type="spellStart"/>
      <w:r>
        <w:rPr>
          <w:rFonts w:ascii="Arial" w:hAnsi="Arial"/>
          <w:lang w:val="en-GB"/>
        </w:rPr>
        <w:t>Agrochem</w:t>
      </w:r>
      <w:proofErr w:type="spellEnd"/>
      <w:r>
        <w:rPr>
          <w:rFonts w:ascii="Arial" w:hAnsi="Arial"/>
          <w:lang w:val="en-GB"/>
        </w:rPr>
        <w:t xml:space="preserve">, 2(4), 313-323. </w:t>
      </w:r>
    </w:p>
    <w:p w14:paraId="45C49DC3" w14:textId="77777777" w:rsidR="007357B1" w:rsidRDefault="007357B1">
      <w:pPr>
        <w:pStyle w:val="Appendix"/>
        <w:spacing w:after="0"/>
        <w:jc w:val="both"/>
        <w:rPr>
          <w:rFonts w:ascii="Arial" w:hAnsi="Arial" w:cs="Arial"/>
          <w:b w:val="0"/>
        </w:rPr>
      </w:pPr>
    </w:p>
    <w:sectPr w:rsidR="007357B1" w:rsidSect="00777C6A">
      <w:type w:val="continuous"/>
      <w:pgSz w:w="12240" w:h="15840"/>
      <w:pgMar w:top="1440" w:right="2016" w:bottom="2016" w:left="2016" w:header="720" w:footer="1296"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AD4A2" w14:textId="77777777" w:rsidR="007B0438" w:rsidRDefault="007B0438">
      <w:r>
        <w:separator/>
      </w:r>
    </w:p>
  </w:endnote>
  <w:endnote w:type="continuationSeparator" w:id="0">
    <w:p w14:paraId="6D934DF7" w14:textId="77777777" w:rsidR="007B0438" w:rsidRDefault="007B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22D6" w14:textId="77777777" w:rsidR="00777C6A" w:rsidRDefault="0077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FDAC" w14:textId="77777777" w:rsidR="00777C6A" w:rsidRDefault="00777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E20F" w14:textId="2539CC55" w:rsidR="007357B1" w:rsidRPr="00777C6A" w:rsidRDefault="007357B1" w:rsidP="00777C6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4F2F3" w14:textId="77777777" w:rsidR="007B0438" w:rsidRDefault="007B0438">
      <w:r>
        <w:separator/>
      </w:r>
    </w:p>
  </w:footnote>
  <w:footnote w:type="continuationSeparator" w:id="0">
    <w:p w14:paraId="4C919C6F" w14:textId="77777777" w:rsidR="007B0438" w:rsidRDefault="007B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D3A2" w14:textId="7E758E67" w:rsidR="00777C6A" w:rsidRDefault="00777C6A">
    <w:pPr>
      <w:pStyle w:val="Header"/>
    </w:pPr>
    <w:r>
      <w:rPr>
        <w:noProof/>
      </w:rPr>
      <w:pict w14:anchorId="6D129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69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7EC4" w14:textId="401FF654" w:rsidR="00777C6A" w:rsidRDefault="00777C6A">
    <w:pPr>
      <w:pStyle w:val="Header"/>
    </w:pPr>
    <w:r>
      <w:rPr>
        <w:noProof/>
      </w:rPr>
      <w:pict w14:anchorId="4F2E5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69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5064" w14:textId="314B2F0D" w:rsidR="00777C6A" w:rsidRDefault="00777C6A">
    <w:pPr>
      <w:pStyle w:val="Header"/>
    </w:pPr>
    <w:r>
      <w:rPr>
        <w:noProof/>
      </w:rPr>
      <w:pict w14:anchorId="0C9AF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699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57AF7"/>
    <w:multiLevelType w:val="multilevel"/>
    <w:tmpl w:val="53C89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1015EA"/>
    <w:multiLevelType w:val="multilevel"/>
    <w:tmpl w:val="AD8C5EBE"/>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autoHyphenation/>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B1"/>
    <w:rsid w:val="000014B5"/>
    <w:rsid w:val="00011555"/>
    <w:rsid w:val="00096BB3"/>
    <w:rsid w:val="000A689A"/>
    <w:rsid w:val="000B52FB"/>
    <w:rsid w:val="001D7DD7"/>
    <w:rsid w:val="00234D64"/>
    <w:rsid w:val="002C22C7"/>
    <w:rsid w:val="003A6F39"/>
    <w:rsid w:val="004E2C7E"/>
    <w:rsid w:val="005C4F01"/>
    <w:rsid w:val="00606672"/>
    <w:rsid w:val="00620376"/>
    <w:rsid w:val="006D6592"/>
    <w:rsid w:val="0070385E"/>
    <w:rsid w:val="007357B1"/>
    <w:rsid w:val="00777C6A"/>
    <w:rsid w:val="007B0438"/>
    <w:rsid w:val="007B2D23"/>
    <w:rsid w:val="007E05DC"/>
    <w:rsid w:val="008140B7"/>
    <w:rsid w:val="0090307C"/>
    <w:rsid w:val="00914789"/>
    <w:rsid w:val="00915E77"/>
    <w:rsid w:val="009D4F22"/>
    <w:rsid w:val="00B60808"/>
    <w:rsid w:val="00BB79BB"/>
    <w:rsid w:val="00C014E7"/>
    <w:rsid w:val="00C15C3C"/>
    <w:rsid w:val="00C821E3"/>
    <w:rsid w:val="00CD3935"/>
    <w:rsid w:val="00D32E2C"/>
    <w:rsid w:val="00D348CE"/>
    <w:rsid w:val="00D66922"/>
    <w:rsid w:val="00DC00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71A2B8"/>
  <w15:docId w15:val="{FE6964B4-C8BE-4ADC-A856-9F45977A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customStyle="1" w:styleId="linenumber1">
    <w:name w:val="line number1"/>
    <w:basedOn w:val="DefaultParagraphFont"/>
    <w:qForma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qFormat/>
    <w:rsid w:val="00287E68"/>
    <w:rPr>
      <w:color w:val="605E5C"/>
      <w:shd w:val="clear" w:color="auto" w:fill="E1DFDD"/>
    </w:rPr>
  </w:style>
  <w:style w:type="character" w:customStyle="1" w:styleId="linenumber2">
    <w:name w:val="line number2"/>
    <w:qFormat/>
  </w:style>
  <w:style w:type="character" w:styleId="LineNumber">
    <w:name w:val="line number"/>
  </w:style>
  <w:style w:type="paragraph" w:styleId="Title">
    <w:name w:val="Title"/>
    <w:basedOn w:val="Normal"/>
    <w:next w:val="BodyText"/>
    <w:qFormat/>
    <w:rsid w:val="00423789"/>
    <w:pPr>
      <w:spacing w:after="360"/>
      <w:jc w:val="right"/>
    </w:pPr>
    <w:rPr>
      <w:b/>
      <w:kern w:val="2"/>
      <w:sz w:val="36"/>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a">
    <w:name w:val="Figura"/>
    <w:basedOn w:val="Copyright"/>
    <w:qFormat/>
    <w:rsid w:val="00030174"/>
    <w:pPr>
      <w:spacing w:after="240"/>
    </w:pPr>
    <w:rPr>
      <w:sz w:val="20"/>
    </w:rPr>
  </w:style>
  <w:style w:type="paragraph" w:customStyle="1" w:styleId="CabealhoeRodap">
    <w:name w:val="Cabeçalho e Rodapé"/>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Default">
    <w:name w:val="Default"/>
    <w:qFormat/>
    <w:rsid w:val="00242FAD"/>
    <w:pPr>
      <w:suppressAutoHyphens w:val="0"/>
    </w:pPr>
    <w:rPr>
      <w:rFonts w:ascii="Arial" w:hAnsi="Arial" w:cs="Arial"/>
      <w:color w:val="000000"/>
      <w:sz w:val="24"/>
      <w:szCs w:val="24"/>
      <w:lang w:val="pt-BR"/>
    </w:rPr>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B79BB"/>
    <w:rPr>
      <w:color w:val="605E5C"/>
      <w:shd w:val="clear" w:color="auto" w:fill="E1DFDD"/>
    </w:rPr>
  </w:style>
  <w:style w:type="table" w:customStyle="1" w:styleId="TableGrid1">
    <w:name w:val="Table Grid1"/>
    <w:basedOn w:val="TableNormal"/>
    <w:next w:val="TableGrid"/>
    <w:uiPriority w:val="39"/>
    <w:rsid w:val="003A6F39"/>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foteca.cnptia.embrapa.br/bitstream/doc/31734/1/CT992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8E2F-4A48-4298-90AF-D75EE509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2964</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1084</cp:lastModifiedBy>
  <cp:revision>15</cp:revision>
  <cp:lastPrinted>1999-07-06T11:00:00Z</cp:lastPrinted>
  <dcterms:created xsi:type="dcterms:W3CDTF">2026-04-29T18:01:00Z</dcterms:created>
  <dcterms:modified xsi:type="dcterms:W3CDTF">2026-05-06T11:57:00Z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c0f13e24-2c94-4c53-94de-b8d7c699c1cb</vt:lpwstr>
  </property>
</Properties>
</file>