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9DF6C" w14:textId="67F39A55" w:rsidR="00A5490D" w:rsidRPr="001A27C8" w:rsidRDefault="00A5490D" w:rsidP="00A5490D">
      <w:pPr>
        <w:jc w:val="center"/>
        <w:rPr>
          <w:rFonts w:ascii="Times New Roman" w:hAnsi="Times New Roman" w:cs="Times New Roman"/>
          <w:b/>
          <w:sz w:val="24"/>
          <w:szCs w:val="24"/>
        </w:rPr>
      </w:pPr>
      <w:r w:rsidRPr="001A27C8">
        <w:rPr>
          <w:rFonts w:ascii="Times New Roman" w:hAnsi="Times New Roman" w:cs="Times New Roman"/>
          <w:b/>
          <w:sz w:val="24"/>
          <w:szCs w:val="24"/>
        </w:rPr>
        <w:t xml:space="preserve">Poverty Incidence and Determinants among Smallholder </w:t>
      </w:r>
      <w:r w:rsidR="00AC105E">
        <w:rPr>
          <w:rFonts w:ascii="Times New Roman" w:hAnsi="Times New Roman" w:cs="Times New Roman"/>
          <w:b/>
          <w:sz w:val="24"/>
          <w:szCs w:val="24"/>
        </w:rPr>
        <w:t xml:space="preserve">Household </w:t>
      </w:r>
      <w:r w:rsidRPr="001A27C8">
        <w:rPr>
          <w:rFonts w:ascii="Times New Roman" w:hAnsi="Times New Roman" w:cs="Times New Roman"/>
          <w:b/>
          <w:sz w:val="24"/>
          <w:szCs w:val="24"/>
        </w:rPr>
        <w:t xml:space="preserve">farmers in </w:t>
      </w:r>
      <w:r w:rsidR="002C06FC">
        <w:rPr>
          <w:rFonts w:ascii="Times New Roman" w:hAnsi="Times New Roman" w:cs="Times New Roman"/>
          <w:b/>
          <w:sz w:val="24"/>
          <w:szCs w:val="24"/>
        </w:rPr>
        <w:t xml:space="preserve">rural </w:t>
      </w:r>
      <w:r w:rsidR="00A738E9">
        <w:rPr>
          <w:rFonts w:ascii="Times New Roman" w:hAnsi="Times New Roman" w:cs="Times New Roman"/>
          <w:b/>
          <w:sz w:val="24"/>
          <w:szCs w:val="24"/>
        </w:rPr>
        <w:t>Cameroon</w:t>
      </w:r>
    </w:p>
    <w:p w14:paraId="18154664" w14:textId="77777777" w:rsidR="005D70C8" w:rsidRDefault="005D70C8">
      <w:bookmarkStart w:id="0" w:name="_GoBack"/>
      <w:bookmarkEnd w:id="0"/>
    </w:p>
    <w:p w14:paraId="033A3137" w14:textId="77777777" w:rsidR="005D70C8" w:rsidRDefault="00FB6549">
      <w:pPr>
        <w:rPr>
          <w:rFonts w:ascii="Times New Roman" w:hAnsi="Times New Roman" w:cs="Times New Roman"/>
          <w:b/>
          <w:sz w:val="24"/>
          <w:szCs w:val="24"/>
        </w:rPr>
      </w:pPr>
      <w:r>
        <w:rPr>
          <w:rFonts w:ascii="Times New Roman" w:hAnsi="Times New Roman" w:cs="Times New Roman"/>
          <w:b/>
          <w:sz w:val="24"/>
          <w:szCs w:val="24"/>
        </w:rPr>
        <w:t xml:space="preserve">Abstract </w:t>
      </w:r>
    </w:p>
    <w:p w14:paraId="0885D642" w14:textId="37F4054D" w:rsidR="009D7921" w:rsidRPr="001A27C8" w:rsidRDefault="009D7921" w:rsidP="001A27C8">
      <w:pPr>
        <w:spacing w:line="276" w:lineRule="auto"/>
        <w:jc w:val="both"/>
        <w:rPr>
          <w:rFonts w:ascii="Times New Roman" w:hAnsi="Times New Roman" w:cs="Times New Roman"/>
          <w:color w:val="0F1115"/>
          <w:shd w:val="clear" w:color="auto" w:fill="FFFFFF"/>
        </w:rPr>
      </w:pPr>
      <w:r w:rsidRPr="001A27C8">
        <w:rPr>
          <w:rFonts w:ascii="Times New Roman" w:hAnsi="Times New Roman" w:cs="Times New Roman"/>
          <w:color w:val="0F1115"/>
          <w:shd w:val="clear" w:color="auto" w:fill="FFFFFF"/>
        </w:rPr>
        <w:t>Poverty in Africa is primarily concentrated in rural areas, where agriculture serves as the main source of livelihood. However, the distribution of poverty among rural farming households and the factors that drive it remain under-researched. This study examines how poverty is distributed among smallholder farming households in rural Cameroon and identifies the key determinants shaping this distribution.</w:t>
      </w:r>
      <w:r w:rsidR="00FB6549" w:rsidRPr="001A27C8">
        <w:rPr>
          <w:rFonts w:ascii="Times New Roman" w:hAnsi="Times New Roman" w:cs="Times New Roman"/>
        </w:rPr>
        <w:t xml:space="preserve"> Using a cross-sectional quantitative design, primary data were collected from </w:t>
      </w:r>
      <w:proofErr w:type="gramStart"/>
      <w:r w:rsidR="00FB6549" w:rsidRPr="001A27C8">
        <w:rPr>
          <w:rFonts w:ascii="Times New Roman" w:hAnsi="Times New Roman" w:cs="Times New Roman"/>
        </w:rPr>
        <w:t>420</w:t>
      </w:r>
      <w:r w:rsidR="00AC105E">
        <w:rPr>
          <w:rFonts w:ascii="Times New Roman" w:hAnsi="Times New Roman" w:cs="Times New Roman"/>
        </w:rPr>
        <w:t xml:space="preserve"> </w:t>
      </w:r>
      <w:r w:rsidR="00FB6549" w:rsidRPr="001A27C8">
        <w:rPr>
          <w:rFonts w:ascii="Times New Roman" w:hAnsi="Times New Roman" w:cs="Times New Roman"/>
        </w:rPr>
        <w:t xml:space="preserve"> smallholder</w:t>
      </w:r>
      <w:proofErr w:type="gramEnd"/>
      <w:r w:rsidR="00FB6549" w:rsidRPr="001A27C8">
        <w:rPr>
          <w:rFonts w:ascii="Times New Roman" w:hAnsi="Times New Roman" w:cs="Times New Roman"/>
        </w:rPr>
        <w:t xml:space="preserve"> </w:t>
      </w:r>
      <w:r w:rsidR="00AC105E">
        <w:rPr>
          <w:rFonts w:ascii="Times New Roman" w:hAnsi="Times New Roman" w:cs="Times New Roman"/>
        </w:rPr>
        <w:t xml:space="preserve">household </w:t>
      </w:r>
      <w:r>
        <w:rPr>
          <w:rFonts w:ascii="Times New Roman" w:hAnsi="Times New Roman" w:cs="Times New Roman"/>
        </w:rPr>
        <w:t>farmers</w:t>
      </w:r>
      <w:r w:rsidRPr="001A27C8">
        <w:rPr>
          <w:rFonts w:ascii="Times New Roman" w:hAnsi="Times New Roman" w:cs="Times New Roman"/>
        </w:rPr>
        <w:t xml:space="preserve"> </w:t>
      </w:r>
      <w:r w:rsidR="00F42AE2" w:rsidRPr="003A7D99">
        <w:rPr>
          <w:rFonts w:ascii="Times New Roman" w:hAnsi="Times New Roman" w:cs="Times New Roman"/>
        </w:rPr>
        <w:t xml:space="preserve">through </w:t>
      </w:r>
      <w:r w:rsidR="00F42AE2">
        <w:rPr>
          <w:rFonts w:ascii="Times New Roman" w:hAnsi="Times New Roman" w:cs="Times New Roman"/>
        </w:rPr>
        <w:t>a</w:t>
      </w:r>
      <w:r w:rsidR="00FB6549" w:rsidRPr="001A27C8">
        <w:rPr>
          <w:rFonts w:ascii="Times New Roman" w:hAnsi="Times New Roman" w:cs="Times New Roman"/>
        </w:rPr>
        <w:t xml:space="preserve"> structured questionnaire administered to household heads. Foster-Greer-</w:t>
      </w:r>
      <w:proofErr w:type="spellStart"/>
      <w:r w:rsidR="00FB6549" w:rsidRPr="001A27C8">
        <w:rPr>
          <w:rFonts w:ascii="Times New Roman" w:hAnsi="Times New Roman" w:cs="Times New Roman"/>
        </w:rPr>
        <w:t>Thorbecke</w:t>
      </w:r>
      <w:proofErr w:type="spellEnd"/>
      <w:r w:rsidR="00FB6549" w:rsidRPr="001A27C8">
        <w:rPr>
          <w:rFonts w:ascii="Times New Roman" w:hAnsi="Times New Roman" w:cs="Times New Roman"/>
        </w:rPr>
        <w:t xml:space="preserve"> (FGT) poverty measures </w:t>
      </w:r>
      <w:r w:rsidR="00F42AE2">
        <w:rPr>
          <w:rFonts w:ascii="Times New Roman" w:hAnsi="Times New Roman" w:cs="Times New Roman"/>
        </w:rPr>
        <w:t xml:space="preserve">are applied </w:t>
      </w:r>
      <w:r w:rsidR="00FB6549" w:rsidRPr="001A27C8">
        <w:rPr>
          <w:rFonts w:ascii="Times New Roman" w:hAnsi="Times New Roman" w:cs="Times New Roman"/>
        </w:rPr>
        <w:t xml:space="preserve">to capture poverty incidence, depth, and severity, and logit and OLS-based econometric techniques to identify determinants of poverty. Descriptive results reveal that 48.1% of sampled households are classified as poor (P0), with a mean poverty gap index of 0.23 and a squared poverty gap index of 0.11, indicating that poverty is severe and unequally distributed among the households. Econometric </w:t>
      </w:r>
      <w:r w:rsidR="00F42AE2">
        <w:rPr>
          <w:rFonts w:ascii="Times New Roman" w:hAnsi="Times New Roman" w:cs="Times New Roman"/>
        </w:rPr>
        <w:t>results</w:t>
      </w:r>
      <w:r w:rsidR="00F42AE2" w:rsidRPr="001A27C8">
        <w:rPr>
          <w:rFonts w:ascii="Times New Roman" w:hAnsi="Times New Roman" w:cs="Times New Roman"/>
        </w:rPr>
        <w:t xml:space="preserve"> </w:t>
      </w:r>
      <w:r w:rsidR="00FB6549" w:rsidRPr="001A27C8">
        <w:rPr>
          <w:rFonts w:ascii="Times New Roman" w:hAnsi="Times New Roman" w:cs="Times New Roman"/>
        </w:rPr>
        <w:t>show that institutional quality</w:t>
      </w:r>
      <w:r w:rsidR="00F42AE2">
        <w:rPr>
          <w:rFonts w:ascii="Times New Roman" w:hAnsi="Times New Roman" w:cs="Times New Roman"/>
        </w:rPr>
        <w:t>,</w:t>
      </w:r>
      <w:r w:rsidR="00FB6549" w:rsidRPr="001A27C8">
        <w:rPr>
          <w:rFonts w:ascii="Times New Roman" w:hAnsi="Times New Roman" w:cs="Times New Roman"/>
        </w:rPr>
        <w:t xml:space="preserve"> infrastructure development </w:t>
      </w:r>
      <w:r w:rsidR="00F42AE2">
        <w:rPr>
          <w:rFonts w:ascii="Times New Roman" w:hAnsi="Times New Roman" w:cs="Times New Roman"/>
        </w:rPr>
        <w:t xml:space="preserve">and shocks </w:t>
      </w:r>
      <w:r w:rsidR="00FB6549" w:rsidRPr="001A27C8">
        <w:rPr>
          <w:rFonts w:ascii="Times New Roman" w:hAnsi="Times New Roman" w:cs="Times New Roman"/>
        </w:rPr>
        <w:t>are the most consistent determinants of poverty reduction: a one-unit increase in the institutional quality index reduces the probability of being poor by 12.7 percentage points (p &lt; 0.01), while a one-unit increase in infrastructure access reduces poverty severity by 0.08 (p &lt; 0.01). Exposure to shocks increases the poverty gap by 0.15 (p &lt; 0.05). Although access to credit reduces poverty incidence by 7.3 percentage points (p &lt; 0.10) and extension services reduce the poverty gap by 0.04 (p &lt; 0.05)</w:t>
      </w:r>
      <w:r w:rsidR="00F42AE2">
        <w:rPr>
          <w:rFonts w:ascii="Times New Roman" w:hAnsi="Times New Roman" w:cs="Times New Roman"/>
        </w:rPr>
        <w:t>, their</w:t>
      </w:r>
      <w:r w:rsidR="00F42AE2" w:rsidRPr="003A7D99" w:rsidDel="00F42AE2">
        <w:rPr>
          <w:rFonts w:ascii="Times New Roman" w:hAnsi="Times New Roman" w:cs="Times New Roman"/>
        </w:rPr>
        <w:t xml:space="preserve"> </w:t>
      </w:r>
      <w:r w:rsidR="00F42AE2">
        <w:rPr>
          <w:rFonts w:ascii="Times New Roman" w:hAnsi="Times New Roman" w:cs="Times New Roman"/>
        </w:rPr>
        <w:t>e</w:t>
      </w:r>
      <w:r w:rsidR="00FB6549" w:rsidRPr="00F07899">
        <w:rPr>
          <w:rFonts w:ascii="Times New Roman" w:hAnsi="Times New Roman" w:cs="Times New Roman"/>
        </w:rPr>
        <w:t>ffectiveness depends on strong institutions, adequate rural infrastructure, and resilience mechanisms</w:t>
      </w:r>
      <w:r w:rsidR="00F42AE2">
        <w:rPr>
          <w:rFonts w:ascii="Times New Roman" w:hAnsi="Times New Roman" w:cs="Times New Roman"/>
        </w:rPr>
        <w:t>.</w:t>
      </w:r>
      <w:r w:rsidR="00FB6549" w:rsidRPr="001A27C8">
        <w:rPr>
          <w:rFonts w:ascii="Times New Roman" w:hAnsi="Times New Roman" w:cs="Times New Roman"/>
        </w:rPr>
        <w:t xml:space="preserve"> </w:t>
      </w:r>
      <w:r w:rsidRPr="001A27C8">
        <w:rPr>
          <w:rFonts w:ascii="Times New Roman" w:hAnsi="Times New Roman" w:cs="Times New Roman"/>
          <w:color w:val="0F1115"/>
          <w:shd w:val="clear" w:color="auto" w:fill="FFFFFF"/>
        </w:rPr>
        <w:t>We conclude that improving institutional quality, adopting integrated development strategies, and building resilience can reduce poverty among smallholder farmers in Cameroon. Accordingly, we recommend a combined strategy that strengthens agricultural institutions, enhances local governance, and boosts resilience capacity as an effective approach to reduce poverty among rural farming households in Cameroon.</w:t>
      </w:r>
    </w:p>
    <w:p w14:paraId="1A662B4D" w14:textId="434EC1F0" w:rsidR="005D70C8" w:rsidRDefault="00FB6549" w:rsidP="009D7921">
      <w:pPr>
        <w:jc w:val="both"/>
        <w:rPr>
          <w:sz w:val="24"/>
          <w:szCs w:val="24"/>
        </w:rPr>
      </w:pPr>
      <w:r>
        <w:rPr>
          <w:rFonts w:ascii="Times New Roman" w:hAnsi="Times New Roman" w:cs="Times New Roman"/>
          <w:b/>
          <w:sz w:val="24"/>
          <w:szCs w:val="24"/>
        </w:rPr>
        <w:t>Keywords</w:t>
      </w:r>
      <w:r>
        <w:rPr>
          <w:rFonts w:ascii="Times New Roman" w:hAnsi="Times New Roman" w:cs="Times New Roman"/>
          <w:sz w:val="24"/>
          <w:szCs w:val="24"/>
        </w:rPr>
        <w:t>:</w:t>
      </w:r>
      <w:r>
        <w:rPr>
          <w:sz w:val="24"/>
          <w:szCs w:val="24"/>
        </w:rPr>
        <w:t xml:space="preserve"> </w:t>
      </w:r>
      <w:r>
        <w:rPr>
          <w:rFonts w:ascii="Times New Roman" w:hAnsi="Times New Roman" w:cs="Times New Roman"/>
          <w:sz w:val="24"/>
          <w:szCs w:val="24"/>
        </w:rPr>
        <w:t xml:space="preserve">Smallholder agriculture, Poverty alleviation, Institutional quality, Infrastructure, </w:t>
      </w:r>
      <w:r w:rsidR="002C06FC">
        <w:rPr>
          <w:rFonts w:ascii="Times New Roman" w:hAnsi="Times New Roman" w:cs="Times New Roman"/>
          <w:sz w:val="24"/>
          <w:szCs w:val="24"/>
        </w:rPr>
        <w:t>resilience</w:t>
      </w:r>
      <w:r w:rsidR="007977EA">
        <w:rPr>
          <w:rFonts w:ascii="Times New Roman" w:hAnsi="Times New Roman" w:cs="Times New Roman"/>
          <w:sz w:val="24"/>
          <w:szCs w:val="24"/>
        </w:rPr>
        <w:t>, R</w:t>
      </w:r>
      <w:r w:rsidR="002C06FC">
        <w:rPr>
          <w:rFonts w:ascii="Times New Roman" w:hAnsi="Times New Roman" w:cs="Times New Roman"/>
          <w:sz w:val="24"/>
          <w:szCs w:val="24"/>
        </w:rPr>
        <w:t>ural</w:t>
      </w:r>
      <w:r>
        <w:rPr>
          <w:rFonts w:ascii="Times New Roman" w:hAnsi="Times New Roman" w:cs="Times New Roman"/>
          <w:sz w:val="24"/>
          <w:szCs w:val="24"/>
        </w:rPr>
        <w:t xml:space="preserve"> Cameroon</w:t>
      </w:r>
    </w:p>
    <w:p w14:paraId="5C97FC24" w14:textId="77777777" w:rsidR="005D70C8" w:rsidRDefault="005D70C8">
      <w:pPr>
        <w:spacing w:line="276" w:lineRule="auto"/>
        <w:rPr>
          <w:rFonts w:ascii="Times New Roman" w:hAnsi="Times New Roman" w:cs="Times New Roman"/>
          <w:b/>
          <w:sz w:val="24"/>
          <w:szCs w:val="24"/>
        </w:rPr>
        <w:sectPr w:rsidR="005D70C8" w:rsidSect="001A27C8">
          <w:headerReference w:type="even" r:id="rId8"/>
          <w:headerReference w:type="default" r:id="rId9"/>
          <w:footerReference w:type="even" r:id="rId10"/>
          <w:footerReference w:type="default" r:id="rId11"/>
          <w:headerReference w:type="first" r:id="rId12"/>
          <w:footerReference w:type="first" r:id="rId13"/>
          <w:pgSz w:w="12240" w:h="15840"/>
          <w:pgMar w:top="990" w:right="1440" w:bottom="1440" w:left="1440" w:header="720" w:footer="720" w:gutter="0"/>
          <w:cols w:space="720"/>
          <w:docGrid w:linePitch="360"/>
        </w:sectPr>
      </w:pPr>
    </w:p>
    <w:p w14:paraId="4DB0E2BE" w14:textId="77777777" w:rsidR="005D70C8" w:rsidRDefault="00FB6549">
      <w:pPr>
        <w:pStyle w:val="ListParagraph"/>
        <w:numPr>
          <w:ilvl w:val="0"/>
          <w:numId w:val="1"/>
        </w:numPr>
        <w:spacing w:after="0" w:line="276" w:lineRule="auto"/>
        <w:ind w:left="450"/>
        <w:rPr>
          <w:rFonts w:ascii="Times New Roman" w:hAnsi="Times New Roman" w:cs="Times New Roman"/>
          <w:b/>
          <w:sz w:val="24"/>
          <w:szCs w:val="24"/>
        </w:rPr>
      </w:pPr>
      <w:r>
        <w:rPr>
          <w:rFonts w:ascii="Times New Roman" w:hAnsi="Times New Roman" w:cs="Times New Roman"/>
          <w:b/>
          <w:sz w:val="24"/>
          <w:szCs w:val="24"/>
        </w:rPr>
        <w:t xml:space="preserve">Introduction  </w:t>
      </w:r>
    </w:p>
    <w:p w14:paraId="15F781EC" w14:textId="1C58C4BA" w:rsidR="005D70C8" w:rsidRDefault="00FB6549" w:rsidP="001A27C8">
      <w:pPr>
        <w:jc w:val="both"/>
        <w:rPr>
          <w:rFonts w:ascii="Times New Roman" w:hAnsi="Times New Roman" w:cs="Times New Roman"/>
          <w:b/>
          <w:sz w:val="24"/>
          <w:szCs w:val="24"/>
        </w:rPr>
      </w:pPr>
      <w:r>
        <w:rPr>
          <w:rFonts w:ascii="Times New Roman" w:eastAsia="Times New Roman" w:hAnsi="Times New Roman" w:cs="Times New Roman"/>
          <w:color w:val="0F1115"/>
          <w:sz w:val="24"/>
          <w:szCs w:val="24"/>
        </w:rPr>
        <w:t>Poverty remains a major development challenge in Cameroon, especially in rural areas where livelihoods depend heavily on natural resources (Mbomboue &amp; Njomo, 2016). Agriculture employs over 60% of the national labor force and contributes significantly to household income and food supply</w:t>
      </w:r>
      <w:r w:rsidR="00157720">
        <w:rPr>
          <w:rFonts w:ascii="Times New Roman" w:eastAsia="Times New Roman" w:hAnsi="Times New Roman" w:cs="Times New Roman"/>
          <w:color w:val="0F1115"/>
          <w:sz w:val="24"/>
          <w:szCs w:val="24"/>
        </w:rPr>
        <w:t xml:space="preserve"> </w:t>
      </w:r>
      <w:r w:rsidR="00157720" w:rsidRPr="000131CF">
        <w:rPr>
          <w:rStyle w:val="Strong"/>
          <w:rFonts w:ascii="Times New Roman" w:hAnsi="Times New Roman" w:cs="Times New Roman"/>
          <w:b w:val="0"/>
          <w:color w:val="0F1115"/>
          <w:sz w:val="24"/>
          <w:szCs w:val="24"/>
          <w:shd w:val="clear" w:color="auto" w:fill="FFFFFF"/>
        </w:rPr>
        <w:t>(Patel &amp; Singh, 2026)</w:t>
      </w:r>
      <w:r w:rsidR="00157720">
        <w:rPr>
          <w:rFonts w:ascii="Times New Roman" w:hAnsi="Times New Roman" w:cs="Times New Roman"/>
          <w:b/>
          <w:sz w:val="24"/>
          <w:szCs w:val="24"/>
        </w:rPr>
        <w:t xml:space="preserve">. </w:t>
      </w:r>
      <w:r>
        <w:rPr>
          <w:rFonts w:ascii="Times New Roman" w:eastAsia="Times New Roman" w:hAnsi="Times New Roman" w:cs="Times New Roman"/>
          <w:color w:val="0F1115"/>
          <w:sz w:val="24"/>
          <w:szCs w:val="24"/>
        </w:rPr>
        <w:t>Despite its potential, many rural households remain trapped in poverty due to low productivity, limited market access, and poor value addition</w:t>
      </w:r>
      <w:r w:rsidR="00C147A5">
        <w:rPr>
          <w:rFonts w:ascii="Times New Roman" w:eastAsia="Times New Roman" w:hAnsi="Times New Roman" w:cs="Times New Roman"/>
          <w:color w:val="0F1115"/>
          <w:sz w:val="24"/>
          <w:szCs w:val="24"/>
        </w:rPr>
        <w:t xml:space="preserve"> (FAO, 2018)</w:t>
      </w:r>
      <w:r>
        <w:rPr>
          <w:rFonts w:ascii="Times New Roman" w:eastAsia="Times New Roman" w:hAnsi="Times New Roman" w:cs="Times New Roman"/>
          <w:color w:val="0F1115"/>
          <w:sz w:val="24"/>
          <w:szCs w:val="24"/>
        </w:rPr>
        <w:t>.</w:t>
      </w:r>
    </w:p>
    <w:p w14:paraId="533FE79E" w14:textId="4771F7B2" w:rsidR="005D70C8" w:rsidRDefault="00FB6549">
      <w:pPr>
        <w:pStyle w:val="NormalWeb"/>
        <w:jc w:val="both"/>
      </w:pPr>
      <w:r>
        <w:t xml:space="preserve">Agriculture is the source of livelihood for over 60% of the active population in both Cameroon and Sub-Saharan Africa (Balgah et al., 2025). Land is the most important productive asset for resource-constrained households because factories or offices, which are inaccessible to the rural poor. </w:t>
      </w:r>
      <w:r w:rsidR="002C06FC">
        <w:t>With</w:t>
      </w:r>
      <w:r>
        <w:t xml:space="preserve"> the right inputs, market access and know-how, a piece of land planted to vegetables or maize</w:t>
      </w:r>
      <w:r w:rsidR="00A5490D">
        <w:t xml:space="preserve"> </w:t>
      </w:r>
      <w:r>
        <w:t>or used for poultry production</w:t>
      </w:r>
      <w:r w:rsidR="00A5490D">
        <w:t xml:space="preserve"> </w:t>
      </w:r>
      <w:r>
        <w:t xml:space="preserve">can provide regular cash-flow. Domestic consumption of staples by farmers immediately cuts down the household food costs, and the surplus can flow into local markets, thus bringing down prices for urban populations who also suffer from grave poverty (Pingali et al., 2005). The link between </w:t>
      </w:r>
      <w:r w:rsidR="002C06FC">
        <w:t xml:space="preserve">agriculture, </w:t>
      </w:r>
      <w:r>
        <w:t xml:space="preserve">poverty </w:t>
      </w:r>
      <w:r w:rsidR="002C06FC">
        <w:t xml:space="preserve">reduction </w:t>
      </w:r>
      <w:r>
        <w:t xml:space="preserve">and hunger </w:t>
      </w:r>
      <w:r w:rsidR="002C06FC">
        <w:lastRenderedPageBreak/>
        <w:t xml:space="preserve">remains </w:t>
      </w:r>
      <w:r>
        <w:t>vicious</w:t>
      </w:r>
      <w:r w:rsidR="002C06FC">
        <w:t>, even if agriculture is construed to</w:t>
      </w:r>
      <w:r>
        <w:t xml:space="preserve"> offer the possibility of breaking the </w:t>
      </w:r>
      <w:r w:rsidR="002C06FC">
        <w:t xml:space="preserve">poverty </w:t>
      </w:r>
      <w:r>
        <w:t>cycle, reducing household costs and increasing local food production.</w:t>
      </w:r>
    </w:p>
    <w:p w14:paraId="55A56AAB" w14:textId="635555EB" w:rsidR="005D70C8" w:rsidRDefault="00FB6549">
      <w:pPr>
        <w:pStyle w:val="NormalWeb"/>
        <w:jc w:val="both"/>
      </w:pPr>
      <w:r>
        <w:t>Agriculture in Cameroon is about 15–20% of GDP and employs almost 70 % of the active population whereas smallholder farmers produce nearly 80% of aggregate agricultural output (</w:t>
      </w:r>
      <w:proofErr w:type="spellStart"/>
      <w:r>
        <w:t>Abia</w:t>
      </w:r>
      <w:proofErr w:type="spellEnd"/>
      <w:r>
        <w:t xml:space="preserve"> et al.,</w:t>
      </w:r>
      <w:r w:rsidR="002C06FC">
        <w:t xml:space="preserve"> </w:t>
      </w:r>
      <w:r>
        <w:t xml:space="preserve">2016). Nevertheless, </w:t>
      </w:r>
      <w:r w:rsidR="00C147A5">
        <w:t xml:space="preserve">Agriculture </w:t>
      </w:r>
      <w:r>
        <w:t>remain</w:t>
      </w:r>
      <w:r w:rsidR="002C06FC">
        <w:t>s</w:t>
      </w:r>
      <w:r>
        <w:t xml:space="preserve"> at significant rates and are concentrated in rural regions, like the Northwest Region whose economy is constrained by conflict, weak infrastructure systems and climate variability</w:t>
      </w:r>
      <w:r w:rsidR="00C147A5" w:rsidRPr="00C147A5">
        <w:t xml:space="preserve"> (FEWS NET, 2024; Bread for the World, 2024)</w:t>
      </w:r>
      <w:r>
        <w:t>. Agriculture is the mainstay of economic activities but still renders a marginal contribution</w:t>
      </w:r>
      <w:r w:rsidR="002C06FC">
        <w:t xml:space="preserve"> </w:t>
      </w:r>
      <w:r w:rsidR="002C06FC" w:rsidRPr="002E40C5">
        <w:t>(</w:t>
      </w:r>
      <w:r w:rsidR="00157720" w:rsidRPr="001A27C8">
        <w:t>8</w:t>
      </w:r>
      <w:r w:rsidR="002C06FC" w:rsidRPr="002E40C5">
        <w:t>%)</w:t>
      </w:r>
      <w:r w:rsidRPr="002E40C5">
        <w:t xml:space="preserve"> </w:t>
      </w:r>
      <w:r>
        <w:t>to poverty alleviation in rural Cameroon</w:t>
      </w:r>
      <w:r w:rsidR="002E40C5">
        <w:t xml:space="preserve"> (NIS, 2025)</w:t>
      </w:r>
      <w:r>
        <w:t>. Some of these constraints have proved persistent especially around poor road networks and inadequate storage facilities, bad credit conditions which usually result in low uptake of improved agricultural inputs as well climate shocks (Langyintuo, 2020). The gender gap in land ownership is particularly detrimental to the agricultural value chains that rural women and youth operate within, allowing for limited access to prime land. This confines agriculture to subsistence levels, yielding only modest surplus income and diminishing household resilience (Karakara et al., 2024).</w:t>
      </w:r>
    </w:p>
    <w:p w14:paraId="05EE537B" w14:textId="0B891CFA" w:rsidR="00554F2D" w:rsidRDefault="00FB6549">
      <w:pPr>
        <w:pStyle w:val="NormalWeb"/>
        <w:jc w:val="both"/>
        <w:rPr>
          <w:rFonts w:ascii="Calibri" w:eastAsia="Calibri" w:hAnsi="Calibri" w:cs="SimSun"/>
          <w:sz w:val="22"/>
          <w:szCs w:val="22"/>
        </w:rPr>
      </w:pPr>
      <w:r>
        <w:t>These constraints were categorized as priority areas for investment in the National Agricultural Investment Plan 2020-2030 by The Ministry of Agriculture and Rural Development since concerted efforts at targeted investments could raise more than a million rural Cameroonians out of poverty (Afangah, 2021). On the one hand, national-level data demonstrates that agriculture reduces poverty</w:t>
      </w:r>
      <w:r w:rsidR="00554F2D">
        <w:t>.</w:t>
      </w:r>
      <w:r>
        <w:t xml:space="preserve"> </w:t>
      </w:r>
      <w:r w:rsidR="00D831B2" w:rsidRPr="00D831B2">
        <w:t xml:space="preserve">The World Bank (2005) </w:t>
      </w:r>
      <w:r w:rsidR="00554F2D">
        <w:t xml:space="preserve">for instance </w:t>
      </w:r>
      <w:r w:rsidR="00D831B2" w:rsidRPr="00D831B2">
        <w:t xml:space="preserve">reported that the poverty index declined by about 13% between 1996 and 2001, attributing this largely to recovery of the agricultural sector. More recently, </w:t>
      </w:r>
      <w:proofErr w:type="spellStart"/>
      <w:r w:rsidR="00D831B2" w:rsidRPr="00D831B2">
        <w:t>Njong</w:t>
      </w:r>
      <w:proofErr w:type="spellEnd"/>
      <w:r w:rsidR="00D831B2" w:rsidRPr="00D831B2">
        <w:t xml:space="preserve"> et al. (2022) found that a unit increase in agricultural value added stimulates individual wealth by 0.0594 thousand dollars, confirming that agricultural value added positively influences GDP per capita</w:t>
      </w:r>
      <w:r>
        <w:t>.</w:t>
      </w:r>
      <w:r w:rsidR="00554F2D" w:rsidRPr="00554F2D">
        <w:rPr>
          <w:rFonts w:ascii="Calibri" w:eastAsia="Calibri" w:hAnsi="Calibri" w:cs="SimSun"/>
          <w:sz w:val="22"/>
          <w:szCs w:val="22"/>
        </w:rPr>
        <w:t xml:space="preserve"> </w:t>
      </w:r>
    </w:p>
    <w:p w14:paraId="2D9CCDE5" w14:textId="2629515A" w:rsidR="008D371F" w:rsidRDefault="00554F2D">
      <w:pPr>
        <w:pStyle w:val="NormalWeb"/>
        <w:jc w:val="both"/>
      </w:pPr>
      <w:r>
        <w:t>Studies that explore micro-level dynamics on agriculture-poverty distribution-determinants nexus in Cameroon are extremely scarce. Such studies can provide relevant insights for policy makers to reexamine policy approaches and their effectiveness in rendering agriculture as an important poverty reduction tool, in line with SDG goals 1 and 2 (no poverty, no hunger, respectively)</w:t>
      </w:r>
      <w:r w:rsidRPr="00554F2D">
        <w:t xml:space="preserve">. </w:t>
      </w:r>
      <w:r w:rsidR="00FB6549">
        <w:t xml:space="preserve"> </w:t>
      </w:r>
      <w:r w:rsidR="00C147A5" w:rsidRPr="001A27C8">
        <w:t xml:space="preserve">This study evaluates </w:t>
      </w:r>
      <w:r w:rsidR="00C147A5" w:rsidRPr="004D21EC">
        <w:t xml:space="preserve">how poverty </w:t>
      </w:r>
      <w:r w:rsidR="008D371F">
        <w:t xml:space="preserve">is </w:t>
      </w:r>
      <w:r w:rsidR="00C147A5" w:rsidRPr="004D21EC">
        <w:t>distributed among smallholder farming households and which factors determine poverty distribution among smallholder farming households in Cameroon</w:t>
      </w:r>
      <w:r w:rsidR="008D371F">
        <w:t>.</w:t>
      </w:r>
    </w:p>
    <w:p w14:paraId="585FAC97" w14:textId="77777777" w:rsidR="008D371F" w:rsidRDefault="008D371F">
      <w:pPr>
        <w:pStyle w:val="NormalWeb"/>
        <w:jc w:val="both"/>
      </w:pPr>
      <w:r>
        <w:t>To achieve this, the study addresses the following research questions?</w:t>
      </w:r>
    </w:p>
    <w:p w14:paraId="17DD0933" w14:textId="418C1DC3" w:rsidR="008D371F" w:rsidRDefault="008D371F" w:rsidP="001A27C8">
      <w:pPr>
        <w:pStyle w:val="NormalWeb"/>
        <w:numPr>
          <w:ilvl w:val="0"/>
          <w:numId w:val="4"/>
        </w:numPr>
        <w:jc w:val="both"/>
      </w:pPr>
      <w:r>
        <w:t>How is poverty distributed among smallholder household</w:t>
      </w:r>
      <w:r w:rsidR="005F0253">
        <w:t xml:space="preserve"> farmers </w:t>
      </w:r>
      <w:r>
        <w:t>in Cameroon?</w:t>
      </w:r>
    </w:p>
    <w:p w14:paraId="315A6244" w14:textId="77777777" w:rsidR="008D371F" w:rsidRPr="002E40C5" w:rsidRDefault="008D371F" w:rsidP="001A27C8">
      <w:pPr>
        <w:pStyle w:val="NormalWeb"/>
        <w:numPr>
          <w:ilvl w:val="0"/>
          <w:numId w:val="4"/>
        </w:numPr>
        <w:jc w:val="both"/>
      </w:pPr>
      <w:r w:rsidRPr="002E40C5">
        <w:t>Which factors influence the observed poverty distribution?</w:t>
      </w:r>
    </w:p>
    <w:p w14:paraId="1464C8CD" w14:textId="77C2860F" w:rsidR="00EB37EE" w:rsidRPr="001A27C8" w:rsidRDefault="00EB37EE" w:rsidP="001A27C8">
      <w:pPr>
        <w:spacing w:line="240" w:lineRule="auto"/>
        <w:jc w:val="both"/>
        <w:rPr>
          <w:rFonts w:ascii="Times New Roman" w:hAnsi="Times New Roman" w:cs="Times New Roman"/>
          <w:b/>
          <w:sz w:val="24"/>
          <w:szCs w:val="24"/>
        </w:rPr>
      </w:pPr>
      <w:r w:rsidRPr="001A27C8">
        <w:rPr>
          <w:rFonts w:ascii="Times New Roman" w:hAnsi="Times New Roman" w:cs="Times New Roman"/>
          <w:color w:val="0F1115"/>
          <w:sz w:val="24"/>
          <w:szCs w:val="24"/>
          <w:shd w:val="clear" w:color="auto" w:fill="FFFFFF"/>
        </w:rPr>
        <w:t>As observed, poverty is distributed</w:t>
      </w:r>
      <w:r w:rsidRPr="001A27C8">
        <w:rPr>
          <w:rFonts w:ascii="Times New Roman" w:hAnsi="Times New Roman" w:cs="Times New Roman"/>
          <w:b/>
          <w:color w:val="0F1115"/>
          <w:sz w:val="24"/>
          <w:szCs w:val="24"/>
          <w:shd w:val="clear" w:color="auto" w:fill="FFFFFF"/>
        </w:rPr>
        <w:t> </w:t>
      </w:r>
      <w:r w:rsidRPr="00EB37EE">
        <w:rPr>
          <w:rStyle w:val="Strong"/>
          <w:rFonts w:ascii="Times New Roman" w:hAnsi="Times New Roman" w:cs="Times New Roman"/>
          <w:b w:val="0"/>
          <w:color w:val="0F1115"/>
          <w:sz w:val="24"/>
          <w:szCs w:val="24"/>
          <w:shd w:val="clear" w:color="auto" w:fill="FFFFFF"/>
        </w:rPr>
        <w:t>unevenly across the national territory, with higher poverty rates concentrated in the northern and eastern regions compared to the western highlands and southern zones</w:t>
      </w:r>
      <w:r w:rsidRPr="001A27C8">
        <w:rPr>
          <w:rFonts w:ascii="Times New Roman" w:hAnsi="Times New Roman" w:cs="Times New Roman"/>
          <w:b/>
          <w:color w:val="0F1115"/>
          <w:sz w:val="24"/>
          <w:szCs w:val="24"/>
          <w:shd w:val="clear" w:color="auto" w:fill="FFFFFF"/>
        </w:rPr>
        <w:t> </w:t>
      </w:r>
      <w:r w:rsidRPr="001A27C8">
        <w:rPr>
          <w:rFonts w:ascii="Times New Roman" w:hAnsi="Times New Roman" w:cs="Times New Roman"/>
          <w:color w:val="0F1115"/>
          <w:sz w:val="24"/>
          <w:szCs w:val="24"/>
          <w:shd w:val="clear" w:color="auto" w:fill="FFFFFF"/>
        </w:rPr>
        <w:t>among smallholder farming households in Cameroon </w:t>
      </w:r>
      <w:r w:rsidRPr="00EB37EE">
        <w:rPr>
          <w:rStyle w:val="Strong"/>
          <w:rFonts w:ascii="Times New Roman" w:hAnsi="Times New Roman" w:cs="Times New Roman"/>
          <w:b w:val="0"/>
          <w:color w:val="0F1115"/>
          <w:sz w:val="24"/>
          <w:szCs w:val="24"/>
          <w:shd w:val="clear" w:color="auto" w:fill="FFFFFF"/>
        </w:rPr>
        <w:t>(National Institute of Statistics Cameroon, 2025)</w:t>
      </w:r>
      <w:r w:rsidRPr="001A27C8">
        <w:rPr>
          <w:rFonts w:ascii="Times New Roman" w:hAnsi="Times New Roman" w:cs="Times New Roman"/>
          <w:color w:val="0F1115"/>
          <w:sz w:val="24"/>
          <w:szCs w:val="24"/>
          <w:shd w:val="clear" w:color="auto" w:fill="FFFFFF"/>
        </w:rPr>
        <w:t>. Key determinants of poverty among smallholder farming</w:t>
      </w:r>
      <w:r w:rsidRPr="001A27C8">
        <w:rPr>
          <w:rFonts w:ascii="Times New Roman" w:hAnsi="Times New Roman" w:cs="Times New Roman"/>
          <w:b/>
          <w:color w:val="0F1115"/>
          <w:sz w:val="24"/>
          <w:szCs w:val="24"/>
          <w:shd w:val="clear" w:color="auto" w:fill="FFFFFF"/>
        </w:rPr>
        <w:t xml:space="preserve"> </w:t>
      </w:r>
      <w:r w:rsidRPr="001A27C8">
        <w:rPr>
          <w:rFonts w:ascii="Times New Roman" w:hAnsi="Times New Roman" w:cs="Times New Roman"/>
          <w:color w:val="0F1115"/>
          <w:sz w:val="24"/>
          <w:szCs w:val="24"/>
          <w:shd w:val="clear" w:color="auto" w:fill="FFFFFF"/>
        </w:rPr>
        <w:t>households in Cameroon include </w:t>
      </w:r>
      <w:r w:rsidRPr="00EB37EE">
        <w:rPr>
          <w:rStyle w:val="Strong"/>
          <w:rFonts w:ascii="Times New Roman" w:hAnsi="Times New Roman" w:cs="Times New Roman"/>
          <w:b w:val="0"/>
          <w:color w:val="0F1115"/>
          <w:sz w:val="24"/>
          <w:szCs w:val="24"/>
          <w:shd w:val="clear" w:color="auto" w:fill="FFFFFF"/>
        </w:rPr>
        <w:t>household size, level of ed</w:t>
      </w:r>
      <w:r w:rsidRPr="00F07899">
        <w:rPr>
          <w:rStyle w:val="Strong"/>
          <w:rFonts w:ascii="Times New Roman" w:hAnsi="Times New Roman" w:cs="Times New Roman"/>
          <w:b w:val="0"/>
          <w:color w:val="0F1115"/>
          <w:sz w:val="24"/>
          <w:szCs w:val="24"/>
          <w:shd w:val="clear" w:color="auto" w:fill="FFFFFF"/>
        </w:rPr>
        <w:t>ucation of the household head, access to agricultural extension services, distance to</w:t>
      </w:r>
      <w:r>
        <w:rPr>
          <w:rStyle w:val="Strong"/>
          <w:rFonts w:ascii="Times New Roman" w:hAnsi="Times New Roman" w:cs="Times New Roman"/>
          <w:b w:val="0"/>
          <w:color w:val="0F1115"/>
          <w:sz w:val="24"/>
          <w:szCs w:val="24"/>
          <w:shd w:val="clear" w:color="auto" w:fill="FFFFFF"/>
        </w:rPr>
        <w:t xml:space="preserve"> </w:t>
      </w:r>
      <w:r w:rsidRPr="00EB37EE">
        <w:rPr>
          <w:rStyle w:val="Strong"/>
          <w:rFonts w:ascii="Times New Roman" w:hAnsi="Times New Roman" w:cs="Times New Roman"/>
          <w:b w:val="0"/>
          <w:color w:val="0F1115"/>
          <w:sz w:val="24"/>
          <w:szCs w:val="24"/>
          <w:shd w:val="clear" w:color="auto" w:fill="FFFFFF"/>
        </w:rPr>
        <w:t>output markets, land tenure security, and exposure to climate shocks (</w:t>
      </w:r>
      <w:proofErr w:type="spellStart"/>
      <w:r w:rsidRPr="00EB37EE">
        <w:rPr>
          <w:rStyle w:val="Strong"/>
          <w:rFonts w:ascii="Times New Roman" w:hAnsi="Times New Roman" w:cs="Times New Roman"/>
          <w:b w:val="0"/>
          <w:color w:val="0F1115"/>
          <w:sz w:val="24"/>
          <w:szCs w:val="24"/>
          <w:shd w:val="clear" w:color="auto" w:fill="FFFFFF"/>
        </w:rPr>
        <w:t>Tchawa</w:t>
      </w:r>
      <w:proofErr w:type="spellEnd"/>
      <w:r w:rsidRPr="00EB37EE">
        <w:rPr>
          <w:rStyle w:val="Strong"/>
          <w:rFonts w:ascii="Times New Roman" w:hAnsi="Times New Roman" w:cs="Times New Roman"/>
          <w:b w:val="0"/>
          <w:color w:val="0F1115"/>
          <w:sz w:val="24"/>
          <w:szCs w:val="24"/>
          <w:shd w:val="clear" w:color="auto" w:fill="FFFFFF"/>
        </w:rPr>
        <w:t xml:space="preserve"> &amp; </w:t>
      </w:r>
      <w:proofErr w:type="spellStart"/>
      <w:r w:rsidRPr="00EB37EE">
        <w:rPr>
          <w:rStyle w:val="Strong"/>
          <w:rFonts w:ascii="Times New Roman" w:hAnsi="Times New Roman" w:cs="Times New Roman"/>
          <w:b w:val="0"/>
          <w:color w:val="0F1115"/>
          <w:sz w:val="24"/>
          <w:szCs w:val="24"/>
          <w:shd w:val="clear" w:color="auto" w:fill="FFFFFF"/>
        </w:rPr>
        <w:t>Mvondo</w:t>
      </w:r>
      <w:proofErr w:type="spellEnd"/>
      <w:r w:rsidRPr="00EB37EE">
        <w:rPr>
          <w:rStyle w:val="Strong"/>
          <w:rFonts w:ascii="Times New Roman" w:hAnsi="Times New Roman" w:cs="Times New Roman"/>
          <w:b w:val="0"/>
          <w:color w:val="0F1115"/>
          <w:sz w:val="24"/>
          <w:szCs w:val="24"/>
          <w:shd w:val="clear" w:color="auto" w:fill="FFFFFF"/>
        </w:rPr>
        <w:t>, 2024)</w:t>
      </w:r>
      <w:r w:rsidRPr="001A27C8">
        <w:rPr>
          <w:rFonts w:ascii="Times New Roman" w:hAnsi="Times New Roman" w:cs="Times New Roman"/>
          <w:b/>
          <w:color w:val="0F1115"/>
          <w:sz w:val="24"/>
          <w:szCs w:val="24"/>
          <w:shd w:val="clear" w:color="auto" w:fill="FFFFFF"/>
        </w:rPr>
        <w:t xml:space="preserve">. </w:t>
      </w:r>
      <w:r w:rsidRPr="001A27C8">
        <w:rPr>
          <w:rFonts w:ascii="Times New Roman" w:hAnsi="Times New Roman" w:cs="Times New Roman"/>
          <w:color w:val="0F1115"/>
          <w:sz w:val="24"/>
          <w:szCs w:val="24"/>
          <w:shd w:val="clear" w:color="auto" w:fill="FFFFFF"/>
        </w:rPr>
        <w:t>These results highlight the need to</w:t>
      </w:r>
      <w:r w:rsidRPr="001A27C8">
        <w:rPr>
          <w:rFonts w:ascii="Times New Roman" w:hAnsi="Times New Roman" w:cs="Times New Roman"/>
          <w:b/>
          <w:color w:val="0F1115"/>
          <w:sz w:val="24"/>
          <w:szCs w:val="24"/>
          <w:shd w:val="clear" w:color="auto" w:fill="FFFFFF"/>
        </w:rPr>
        <w:t xml:space="preserve"> </w:t>
      </w:r>
      <w:r w:rsidRPr="001A27C8">
        <w:rPr>
          <w:rFonts w:ascii="Times New Roman" w:hAnsi="Times New Roman" w:cs="Times New Roman"/>
          <w:color w:val="0F1115"/>
          <w:sz w:val="24"/>
          <w:szCs w:val="24"/>
          <w:shd w:val="clear" w:color="auto" w:fill="FFFFFF"/>
        </w:rPr>
        <w:t xml:space="preserve">strengthen agricultural institutions, local governance, and resilience capacity in order to enhance </w:t>
      </w:r>
      <w:r w:rsidRPr="001A27C8">
        <w:rPr>
          <w:rFonts w:ascii="Times New Roman" w:hAnsi="Times New Roman" w:cs="Times New Roman"/>
          <w:color w:val="0F1115"/>
          <w:sz w:val="24"/>
          <w:szCs w:val="24"/>
          <w:shd w:val="clear" w:color="auto" w:fill="FFFFFF"/>
        </w:rPr>
        <w:lastRenderedPageBreak/>
        <w:t>agriculture's capacity to reduce poverty among rural farming households in Cameroon </w:t>
      </w:r>
      <w:r w:rsidRPr="00EB37EE">
        <w:rPr>
          <w:rStyle w:val="Strong"/>
          <w:rFonts w:ascii="Times New Roman" w:hAnsi="Times New Roman" w:cs="Times New Roman"/>
          <w:b w:val="0"/>
          <w:color w:val="0F1115"/>
          <w:sz w:val="24"/>
          <w:szCs w:val="24"/>
          <w:shd w:val="clear" w:color="auto" w:fill="FFFFFF"/>
        </w:rPr>
        <w:t>(Patel &amp; Singh, 2026)</w:t>
      </w:r>
      <w:r w:rsidRPr="001A27C8">
        <w:rPr>
          <w:rFonts w:ascii="Times New Roman" w:hAnsi="Times New Roman" w:cs="Times New Roman"/>
          <w:b/>
          <w:color w:val="0F1115"/>
          <w:sz w:val="24"/>
          <w:szCs w:val="24"/>
          <w:shd w:val="clear" w:color="auto" w:fill="FFFFFF"/>
        </w:rPr>
        <w:t>.</w:t>
      </w:r>
    </w:p>
    <w:p w14:paraId="1C4298D5" w14:textId="77777777" w:rsidR="00EB37EE" w:rsidRDefault="00EB37EE" w:rsidP="001A27C8">
      <w:pPr>
        <w:pStyle w:val="NormalWeb"/>
        <w:spacing w:before="0" w:beforeAutospacing="0" w:after="0" w:afterAutospacing="0" w:line="360" w:lineRule="auto"/>
        <w:jc w:val="both"/>
        <w:rPr>
          <w:b/>
        </w:rPr>
      </w:pPr>
      <w:r>
        <w:rPr>
          <w:b/>
        </w:rPr>
        <w:t xml:space="preserve">2. Literature Review </w:t>
      </w:r>
    </w:p>
    <w:p w14:paraId="7C90DBDB" w14:textId="128E8A57" w:rsidR="00EB37EE" w:rsidRPr="001A27C8" w:rsidRDefault="00EB37EE" w:rsidP="001A27C8">
      <w:pPr>
        <w:pStyle w:val="NormalWeb"/>
        <w:spacing w:before="0" w:beforeAutospacing="0"/>
        <w:jc w:val="both"/>
        <w:rPr>
          <w:b/>
        </w:rPr>
      </w:pPr>
      <w:r w:rsidRPr="001A27C8">
        <w:rPr>
          <w:b/>
        </w:rPr>
        <w:t>Poverty distribution among farming households</w:t>
      </w:r>
    </w:p>
    <w:p w14:paraId="14BA0DFD" w14:textId="77777777" w:rsidR="00F965FB" w:rsidRDefault="00EB37EE">
      <w:pPr>
        <w:pStyle w:val="NormalWeb"/>
        <w:jc w:val="both"/>
        <w:rPr>
          <w:color w:val="0F1115"/>
          <w:shd w:val="clear" w:color="auto" w:fill="FFFFFF"/>
        </w:rPr>
      </w:pPr>
      <w:r w:rsidRPr="001A27C8">
        <w:rPr>
          <w:color w:val="0F1115"/>
          <w:shd w:val="clear" w:color="auto" w:fill="FFFFFF"/>
        </w:rPr>
        <w:t>The literature on poverty distribution among farming households in Cameroon reveals that poverty remains predominantly a rural phenomenon, with agriculture serving as the mainstay for over 80% of the population while paradoxically being associated with higher poverty rates (</w:t>
      </w:r>
      <w:proofErr w:type="spellStart"/>
      <w:r w:rsidRPr="001A27C8">
        <w:rPr>
          <w:color w:val="0F1115"/>
          <w:shd w:val="clear" w:color="auto" w:fill="FFFFFF"/>
        </w:rPr>
        <w:t>Fambon</w:t>
      </w:r>
      <w:proofErr w:type="spellEnd"/>
      <w:r w:rsidRPr="001A27C8">
        <w:rPr>
          <w:color w:val="0F1115"/>
          <w:shd w:val="clear" w:color="auto" w:fill="FFFFFF"/>
        </w:rPr>
        <w:t>, 2020). Studies consistently demonstrate significant spatial heterogeneity in poverty distribution, with northern regions experiencing higher poverty concentrations than southern and western zones (</w:t>
      </w:r>
      <w:proofErr w:type="spellStart"/>
      <w:r w:rsidRPr="001A27C8">
        <w:rPr>
          <w:color w:val="0F1115"/>
          <w:shd w:val="clear" w:color="auto" w:fill="FFFFFF"/>
        </w:rPr>
        <w:t>Njong</w:t>
      </w:r>
      <w:proofErr w:type="spellEnd"/>
      <w:r w:rsidRPr="001A27C8">
        <w:rPr>
          <w:color w:val="0F1115"/>
          <w:shd w:val="clear" w:color="auto" w:fill="FFFFFF"/>
        </w:rPr>
        <w:t xml:space="preserve"> &amp; </w:t>
      </w:r>
      <w:proofErr w:type="spellStart"/>
      <w:r w:rsidRPr="001A27C8">
        <w:rPr>
          <w:color w:val="0F1115"/>
          <w:shd w:val="clear" w:color="auto" w:fill="FFFFFF"/>
        </w:rPr>
        <w:t>Ningaye</w:t>
      </w:r>
      <w:proofErr w:type="spellEnd"/>
      <w:r w:rsidRPr="001A27C8">
        <w:rPr>
          <w:color w:val="0F1115"/>
          <w:shd w:val="clear" w:color="auto" w:fill="FFFFFF"/>
        </w:rPr>
        <w:t>, 2020).</w:t>
      </w:r>
    </w:p>
    <w:p w14:paraId="5690326D" w14:textId="015DF484" w:rsidR="008D371F" w:rsidRPr="00F07899" w:rsidRDefault="00F965FB" w:rsidP="00F07899">
      <w:pPr>
        <w:pStyle w:val="NormalWeb"/>
        <w:jc w:val="both"/>
      </w:pPr>
      <w:r w:rsidRPr="001A27C8">
        <w:rPr>
          <w:color w:val="0F1115"/>
          <w:shd w:val="clear" w:color="auto" w:fill="FFFFFF"/>
        </w:rPr>
        <w:t>Research employing both monetary and multidimensional poverty measurements indicates that poverty in Cameroon decreased slowly between 2001 and 2018, though at varying degrees across spatial and demographic groups (</w:t>
      </w:r>
      <w:proofErr w:type="spellStart"/>
      <w:r w:rsidRPr="001A27C8">
        <w:rPr>
          <w:color w:val="0F1115"/>
          <w:shd w:val="clear" w:color="auto" w:fill="FFFFFF"/>
        </w:rPr>
        <w:t>Nguefack-Tsague</w:t>
      </w:r>
      <w:proofErr w:type="spellEnd"/>
      <w:r w:rsidRPr="001A27C8">
        <w:rPr>
          <w:color w:val="0F1115"/>
          <w:shd w:val="clear" w:color="auto" w:fill="FFFFFF"/>
        </w:rPr>
        <w:t xml:space="preserve"> et al., 2021). The proportion of multidimensionally poor individuals has consistently exceeded the proportion of monetarily poor, with poverty reduction occurring faster at the national level for multidimensional measures (</w:t>
      </w:r>
      <w:proofErr w:type="spellStart"/>
      <w:r w:rsidRPr="001A27C8">
        <w:rPr>
          <w:color w:val="0F1115"/>
          <w:shd w:val="clear" w:color="auto" w:fill="FFFFFF"/>
        </w:rPr>
        <w:t>Nguefack-Tsague</w:t>
      </w:r>
      <w:proofErr w:type="spellEnd"/>
      <w:r w:rsidRPr="001A27C8">
        <w:rPr>
          <w:color w:val="0F1115"/>
          <w:shd w:val="clear" w:color="auto" w:fill="FFFFFF"/>
        </w:rPr>
        <w:t xml:space="preserve"> et al., 2021).</w:t>
      </w:r>
    </w:p>
    <w:p w14:paraId="25572D30" w14:textId="77777777" w:rsidR="003A240A" w:rsidRPr="001A27C8" w:rsidRDefault="003A240A">
      <w:pPr>
        <w:pStyle w:val="ds-markdown-paragraph"/>
        <w:shd w:val="clear" w:color="auto" w:fill="FFFFFF"/>
        <w:spacing w:before="240" w:beforeAutospacing="0" w:after="240" w:afterAutospacing="0"/>
        <w:jc w:val="both"/>
        <w:rPr>
          <w:b/>
        </w:rPr>
      </w:pPr>
      <w:r w:rsidRPr="001A27C8">
        <w:rPr>
          <w:b/>
        </w:rPr>
        <w:t>Determinants of poverty among farming households</w:t>
      </w:r>
      <w:r w:rsidRPr="001A27C8" w:rsidDel="00C147A5">
        <w:rPr>
          <w:b/>
        </w:rPr>
        <w:t xml:space="preserve"> </w:t>
      </w:r>
    </w:p>
    <w:p w14:paraId="67A20B9C" w14:textId="77777777" w:rsidR="005D70C8" w:rsidRDefault="00FB6549">
      <w:pPr>
        <w:pStyle w:val="ds-markdown-paragraph"/>
        <w:shd w:val="clear" w:color="auto" w:fill="FFFFFF"/>
        <w:spacing w:before="240" w:beforeAutospacing="0" w:after="240" w:afterAutospacing="0"/>
        <w:jc w:val="both"/>
        <w:rPr>
          <w:color w:val="0F1115"/>
        </w:rPr>
      </w:pPr>
      <w:r>
        <w:rPr>
          <w:rStyle w:val="Strong"/>
          <w:b w:val="0"/>
          <w:color w:val="0F1115"/>
        </w:rPr>
        <w:t>Institutional quality</w:t>
      </w:r>
      <w:r>
        <w:rPr>
          <w:color w:val="0F1115"/>
        </w:rPr>
        <w:t xml:space="preserve"> including governance effectiveness, rule of law, and the functioning of farmer cooperatives has been shown to mediate the agriculture-poverty link. In a study of 45 developing countries, Acemoglu and Robinson (2019) argued that inclusive institutions are necessary for sustained poverty reduction, as extractive institutions divert resources away from smallholders. At the micro-level, membership in agricultural cooperatives increases access to inputs, credit, and markets, raising household incomes by an estimated 15–25% (Dorward et al., 2020).</w:t>
      </w:r>
    </w:p>
    <w:p w14:paraId="11B1750D" w14:textId="2508E9F1" w:rsidR="005D70C8" w:rsidRDefault="003A240A">
      <w:pPr>
        <w:pStyle w:val="NormalWeb"/>
        <w:jc w:val="both"/>
      </w:pPr>
      <w:r>
        <w:t>I</w:t>
      </w:r>
      <w:r w:rsidR="00FB6549">
        <w:t>nfrastructure development, especially rural roads, power and irrigation, reduces transaction costs, facilitates value addition and directly connects smallholders to urban markets. An improvement by 1% in rural road density decreased poverty incidence by 0.25 % of the sample size (Calderón and Cantú,2021). In Cameroon, the limited access to all-weather roads enables many farming communities to be virtually cut off from commercial markets during the rainy season and compels farmers to sell at the lowest farm-gate prices (World Bank, 2023).</w:t>
      </w:r>
    </w:p>
    <w:p w14:paraId="5FE4386E" w14:textId="77777777" w:rsidR="005D70C8" w:rsidRDefault="00FB6549">
      <w:pPr>
        <w:pStyle w:val="NormalWeb"/>
        <w:jc w:val="both"/>
      </w:pPr>
      <w:r>
        <w:t>Climate- and economic-related shocks are important drivers of non-permanent poverty. Hallegatte et al. Only in Sub-Saharan Africa climate shocks are estimated to force 10–20 million people into poverty each year without resilience mechanisms (World Bank, 2020). Because the poor have little savings, insurance, and access to consumption-smoothing credit after a shock (Dercon 2004), they are disproportionately more likely to be vulnerable. Barrett and Constas (2020) argue that the creation of resilience by means such as social protection, asset-building programs and early warning systems is necessary for sustained poverty reduction no less than raising productivity.</w:t>
      </w:r>
    </w:p>
    <w:p w14:paraId="5155C374" w14:textId="77777777" w:rsidR="005D70C8" w:rsidRDefault="00FB6549">
      <w:pPr>
        <w:pStyle w:val="NormalWeb"/>
        <w:spacing w:line="276" w:lineRule="auto"/>
        <w:jc w:val="both"/>
        <w:rPr>
          <w:b/>
        </w:rPr>
      </w:pPr>
      <w:r>
        <w:rPr>
          <w:b/>
        </w:rPr>
        <w:t>3. Methodology</w:t>
      </w:r>
    </w:p>
    <w:p w14:paraId="62381DC4" w14:textId="2D3F2F60" w:rsidR="005D70C8" w:rsidRDefault="00FB6549">
      <w:pPr>
        <w:pStyle w:val="NormalWeb"/>
        <w:spacing w:line="276" w:lineRule="auto"/>
        <w:jc w:val="both"/>
      </w:pPr>
      <w:r>
        <w:lastRenderedPageBreak/>
        <w:t>This study employs a cross-sectional quantitative research design to estimate the association between</w:t>
      </w:r>
      <w:r w:rsidR="00D831B2">
        <w:t xml:space="preserve"> poverty incident and determinants between</w:t>
      </w:r>
      <w:r>
        <w:t xml:space="preserve"> smallholder</w:t>
      </w:r>
      <w:r w:rsidR="005F0253">
        <w:t xml:space="preserve"> household</w:t>
      </w:r>
      <w:r>
        <w:t xml:space="preserve"> </w:t>
      </w:r>
      <w:r w:rsidR="00D831B2">
        <w:t xml:space="preserve">farmers in </w:t>
      </w:r>
      <w:r>
        <w:t xml:space="preserve">Cameroon. Structured questionnaires were administered to </w:t>
      </w:r>
      <w:r w:rsidR="003A240A">
        <w:t>smallholder farmers</w:t>
      </w:r>
      <w:r>
        <w:t xml:space="preserve">, collecting primary data on household demographics (age, education level and gender), agricultural production, </w:t>
      </w:r>
      <w:r w:rsidR="003A240A">
        <w:t>and sources</w:t>
      </w:r>
      <w:r>
        <w:t xml:space="preserve"> of income, access to institutions and infrastructure facilities and experience with shocks</w:t>
      </w:r>
      <w:r w:rsidR="003A240A">
        <w:t xml:space="preserve">. </w:t>
      </w:r>
      <w:r w:rsidR="003A240A" w:rsidRPr="001A27C8">
        <w:rPr>
          <w:color w:val="0F1115"/>
          <w:shd w:val="clear" w:color="auto" w:fill="FFFFFF"/>
        </w:rPr>
        <w:t>Smallholder farmers were identified as those cultivating </w:t>
      </w:r>
      <w:r w:rsidR="003A240A" w:rsidRPr="001A27C8">
        <w:rPr>
          <w:rStyle w:val="Strong"/>
          <w:b w:val="0"/>
          <w:color w:val="0F1115"/>
          <w:shd w:val="clear" w:color="auto" w:fill="FFFFFF"/>
        </w:rPr>
        <w:t>less than two hectares of land</w:t>
      </w:r>
      <w:r w:rsidR="003A240A" w:rsidRPr="001A27C8">
        <w:rPr>
          <w:color w:val="0F1115"/>
          <w:shd w:val="clear" w:color="auto" w:fill="FFFFFF"/>
        </w:rPr>
        <w:t> and deriving more than 50% of their household income from agricultural activities (</w:t>
      </w:r>
      <w:proofErr w:type="spellStart"/>
      <w:r w:rsidR="003A240A" w:rsidRPr="001A27C8">
        <w:rPr>
          <w:color w:val="0F1115"/>
          <w:shd w:val="clear" w:color="auto" w:fill="FFFFFF"/>
        </w:rPr>
        <w:t>Njong</w:t>
      </w:r>
      <w:proofErr w:type="spellEnd"/>
      <w:r w:rsidR="003A240A" w:rsidRPr="001A27C8">
        <w:rPr>
          <w:color w:val="0F1115"/>
          <w:shd w:val="clear" w:color="auto" w:fill="FFFFFF"/>
        </w:rPr>
        <w:t xml:space="preserve"> &amp; </w:t>
      </w:r>
      <w:proofErr w:type="spellStart"/>
      <w:r w:rsidR="003A240A" w:rsidRPr="001A27C8">
        <w:rPr>
          <w:color w:val="0F1115"/>
          <w:shd w:val="clear" w:color="auto" w:fill="FFFFFF"/>
        </w:rPr>
        <w:t>Ningaye</w:t>
      </w:r>
      <w:proofErr w:type="spellEnd"/>
      <w:r w:rsidR="003A240A" w:rsidRPr="001A27C8">
        <w:rPr>
          <w:color w:val="0F1115"/>
          <w:shd w:val="clear" w:color="auto" w:fill="FFFFFF"/>
        </w:rPr>
        <w:t>, 2020).</w:t>
      </w:r>
      <w:r>
        <w:t xml:space="preserve"> We defined total household income an aggregator to measure comprehensive welfare as suggested by Deaton (1997) for its effectiveness in capturing subsistence production, which accounts for a large share of the overall income of rural households and it included cash income plus imputed market value of agricultural output consumed at home.</w:t>
      </w:r>
    </w:p>
    <w:p w14:paraId="1DDAE63C" w14:textId="77777777" w:rsidR="005D70C8" w:rsidRDefault="00FB6549">
      <w:pPr>
        <w:pStyle w:val="NormalWeb"/>
        <w:spacing w:line="276" w:lineRule="auto"/>
        <w:jc w:val="both"/>
      </w:pPr>
      <w:r>
        <w:t xml:space="preserve">The sample size is determined using the formula developed by </w:t>
      </w:r>
      <w:r>
        <w:rPr>
          <w:rStyle w:val="whitespace-normal"/>
        </w:rPr>
        <w:t>Robert V. Krejcie</w:t>
      </w:r>
      <w:r>
        <w:t xml:space="preserve"> and </w:t>
      </w:r>
      <w:r>
        <w:rPr>
          <w:rStyle w:val="whitespace-normal"/>
        </w:rPr>
        <w:t>Daryle W. Morgan</w:t>
      </w:r>
      <w:r>
        <w:t xml:space="preserve"> (1970), which is widely applied in social science research for finite populations:</w:t>
      </w:r>
    </w:p>
    <w:p w14:paraId="71BF5333" w14:textId="1E1EB3C9" w:rsidR="005D70C8" w:rsidRDefault="00FB6549">
      <w:pPr>
        <w:spacing w:before="100" w:beforeAutospacing="1" w:after="100" w:afterAutospacing="1" w:line="276" w:lineRule="auto"/>
        <w:jc w:val="both"/>
        <w:rPr>
          <w:rFonts w:ascii="Times New Roman" w:eastAsia="Times New Roman" w:hAnsi="Times New Roman" w:cs="Times New Roman"/>
          <w:b/>
          <w:sz w:val="24"/>
          <w:szCs w:val="24"/>
          <w:lang w:eastAsia="fr-FR"/>
        </w:rPr>
      </w:pPr>
      <m:oMathPara>
        <m:oMath>
          <m:r>
            <m:rPr>
              <m:sty m:val="bi"/>
            </m:rPr>
            <w:rPr>
              <w:rFonts w:ascii="Cambria Math" w:eastAsia="Times New Roman" w:hAnsi="Cambria Math" w:cs="Times New Roman"/>
              <w:sz w:val="24"/>
              <w:szCs w:val="24"/>
              <w:lang w:eastAsia="fr-FR"/>
            </w:rPr>
            <m:t>n=</m:t>
          </m:r>
          <m:f>
            <m:fPr>
              <m:ctrlPr>
                <w:rPr>
                  <w:rFonts w:ascii="Cambria Math" w:eastAsia="Times New Roman" w:hAnsi="Cambria Math" w:cs="Times New Roman"/>
                  <w:b/>
                  <w:i/>
                  <w:sz w:val="24"/>
                  <w:szCs w:val="24"/>
                  <w:lang w:eastAsia="fr-FR"/>
                </w:rPr>
              </m:ctrlPr>
            </m:fPr>
            <m:num>
              <m:sSup>
                <m:sSupPr>
                  <m:ctrlPr>
                    <w:rPr>
                      <w:rFonts w:ascii="Cambria Math" w:eastAsia="Times New Roman" w:hAnsi="Cambria Math" w:cs="Times New Roman"/>
                      <w:b/>
                      <w:i/>
                      <w:sz w:val="24"/>
                      <w:szCs w:val="24"/>
                      <w:lang w:eastAsia="fr-FR"/>
                    </w:rPr>
                  </m:ctrlPr>
                </m:sSupPr>
                <m:e>
                  <m:r>
                    <m:rPr>
                      <m:sty m:val="bi"/>
                    </m:rPr>
                    <w:rPr>
                      <w:rFonts w:ascii="Cambria Math" w:eastAsia="Times New Roman" w:hAnsi="Cambria Math" w:cs="Times New Roman"/>
                      <w:sz w:val="24"/>
                      <w:szCs w:val="24"/>
                      <w:lang w:eastAsia="fr-FR"/>
                    </w:rPr>
                    <m:t>Z</m:t>
                  </m:r>
                </m:e>
                <m:sup>
                  <m:r>
                    <m:rPr>
                      <m:sty m:val="bi"/>
                    </m:rPr>
                    <w:rPr>
                      <w:rFonts w:ascii="Cambria Math" w:eastAsia="Times New Roman" w:hAnsi="Cambria Math" w:cs="Times New Roman"/>
                      <w:sz w:val="24"/>
                      <w:szCs w:val="24"/>
                      <w:lang w:eastAsia="fr-FR"/>
                    </w:rPr>
                    <m:t>2</m:t>
                  </m:r>
                </m:sup>
              </m:sSup>
              <m:r>
                <m:rPr>
                  <m:sty m:val="bi"/>
                </m:rPr>
                <w:rPr>
                  <w:rFonts w:ascii="Cambria Math" w:eastAsia="Times New Roman" w:hAnsi="Cambria Math" w:cs="Times New Roman"/>
                  <w:sz w:val="24"/>
                  <w:szCs w:val="24"/>
                  <w:lang w:eastAsia="fr-FR"/>
                </w:rPr>
                <m:t>.N.P(1-P)</m:t>
              </m:r>
            </m:num>
            <m:den>
              <m:sSup>
                <m:sSupPr>
                  <m:ctrlPr>
                    <w:rPr>
                      <w:rFonts w:ascii="Cambria Math" w:eastAsia="Times New Roman" w:hAnsi="Cambria Math" w:cs="Times New Roman"/>
                      <w:b/>
                      <w:i/>
                      <w:sz w:val="24"/>
                      <w:szCs w:val="24"/>
                      <w:lang w:eastAsia="fr-FR"/>
                    </w:rPr>
                  </m:ctrlPr>
                </m:sSupPr>
                <m:e>
                  <m:r>
                    <m:rPr>
                      <m:sty m:val="bi"/>
                    </m:rPr>
                    <w:rPr>
                      <w:rFonts w:ascii="Cambria Math" w:eastAsia="Times New Roman" w:hAnsi="Cambria Math" w:cs="Times New Roman"/>
                      <w:sz w:val="24"/>
                      <w:szCs w:val="24"/>
                      <w:lang w:eastAsia="fr-FR"/>
                    </w:rPr>
                    <m:t>d</m:t>
                  </m:r>
                </m:e>
                <m:sup>
                  <m:r>
                    <m:rPr>
                      <m:sty m:val="bi"/>
                    </m:rPr>
                    <w:rPr>
                      <w:rFonts w:ascii="Cambria Math" w:eastAsia="Times New Roman" w:hAnsi="Cambria Math" w:cs="Times New Roman"/>
                      <w:sz w:val="24"/>
                      <w:szCs w:val="24"/>
                      <w:lang w:eastAsia="fr-FR"/>
                    </w:rPr>
                    <m:t>2</m:t>
                  </m:r>
                </m:sup>
              </m:sSup>
              <m:d>
                <m:dPr>
                  <m:ctrlPr>
                    <w:rPr>
                      <w:rFonts w:ascii="Cambria Math" w:eastAsia="Times New Roman" w:hAnsi="Cambria Math" w:cs="Times New Roman"/>
                      <w:b/>
                      <w:i/>
                      <w:sz w:val="24"/>
                      <w:szCs w:val="24"/>
                      <w:lang w:eastAsia="fr-FR"/>
                    </w:rPr>
                  </m:ctrlPr>
                </m:dPr>
                <m:e>
                  <m:r>
                    <m:rPr>
                      <m:sty m:val="bi"/>
                    </m:rPr>
                    <w:rPr>
                      <w:rFonts w:ascii="Cambria Math" w:eastAsia="Times New Roman" w:hAnsi="Cambria Math" w:cs="Times New Roman"/>
                      <w:sz w:val="24"/>
                      <w:szCs w:val="24"/>
                      <w:lang w:eastAsia="fr-FR"/>
                    </w:rPr>
                    <m:t>N-1</m:t>
                  </m:r>
                </m:e>
              </m:d>
              <m:r>
                <m:rPr>
                  <m:sty m:val="bi"/>
                </m:rPr>
                <w:rPr>
                  <w:rFonts w:ascii="Cambria Math" w:eastAsia="Times New Roman" w:hAnsi="Cambria Math" w:cs="Times New Roman"/>
                  <w:sz w:val="24"/>
                  <w:szCs w:val="24"/>
                  <w:lang w:eastAsia="fr-FR"/>
                </w:rPr>
                <m:t>+</m:t>
              </m:r>
              <m:sSup>
                <m:sSupPr>
                  <m:ctrlPr>
                    <w:rPr>
                      <w:rFonts w:ascii="Cambria Math" w:eastAsia="Times New Roman" w:hAnsi="Cambria Math" w:cs="Times New Roman"/>
                      <w:b/>
                      <w:i/>
                      <w:sz w:val="24"/>
                      <w:szCs w:val="24"/>
                      <w:lang w:eastAsia="fr-FR"/>
                    </w:rPr>
                  </m:ctrlPr>
                </m:sSupPr>
                <m:e>
                  <m:r>
                    <m:rPr>
                      <m:sty m:val="bi"/>
                    </m:rPr>
                    <w:rPr>
                      <w:rFonts w:ascii="Cambria Math" w:eastAsia="Times New Roman" w:hAnsi="Cambria Math" w:cs="Times New Roman"/>
                      <w:sz w:val="24"/>
                      <w:szCs w:val="24"/>
                      <w:lang w:eastAsia="fr-FR"/>
                    </w:rPr>
                    <m:t>Z</m:t>
                  </m:r>
                </m:e>
                <m:sup>
                  <m:r>
                    <m:rPr>
                      <m:sty m:val="bi"/>
                    </m:rPr>
                    <w:rPr>
                      <w:rFonts w:ascii="Cambria Math" w:eastAsia="Times New Roman" w:hAnsi="Cambria Math" w:cs="Times New Roman"/>
                      <w:sz w:val="24"/>
                      <w:szCs w:val="24"/>
                      <w:lang w:eastAsia="fr-FR"/>
                    </w:rPr>
                    <m:t>2</m:t>
                  </m:r>
                </m:sup>
              </m:sSup>
              <m:r>
                <m:rPr>
                  <m:sty m:val="bi"/>
                </m:rPr>
                <w:rPr>
                  <w:rFonts w:ascii="Cambria Math" w:eastAsia="Times New Roman" w:hAnsi="Cambria Math" w:cs="Times New Roman"/>
                  <w:sz w:val="24"/>
                  <w:szCs w:val="24"/>
                  <w:lang w:eastAsia="fr-FR"/>
                </w:rPr>
                <m:t>.P(1-p)</m:t>
              </m:r>
            </m:den>
          </m:f>
          <m:r>
            <m:rPr>
              <m:sty m:val="bi"/>
            </m:rPr>
            <w:rPr>
              <w:rFonts w:ascii="Cambria Math" w:eastAsia="Times New Roman" w:hAnsi="Cambria Math" w:cs="Times New Roman"/>
              <w:sz w:val="24"/>
              <w:szCs w:val="24"/>
              <w:lang w:eastAsia="fr-FR"/>
            </w:rPr>
            <m:t>………..1</m:t>
          </m:r>
        </m:oMath>
      </m:oMathPara>
    </w:p>
    <w:p w14:paraId="53E7CFB3" w14:textId="77777777" w:rsidR="005D70C8" w:rsidRDefault="00FB654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where </w:t>
      </w:r>
      <m:oMath>
        <m:r>
          <w:rPr>
            <w:rFonts w:ascii="Cambria Math" w:eastAsia="Times New Roman" w:hAnsi="Cambria Math" w:cs="Times New Roman"/>
            <w:sz w:val="24"/>
            <w:szCs w:val="24"/>
            <w:lang w:eastAsia="fr-FR"/>
          </w:rPr>
          <m:t>n</m:t>
        </m:r>
      </m:oMath>
      <w:r>
        <w:rPr>
          <w:rFonts w:ascii="Times New Roman" w:hAnsi="Times New Roman" w:cs="Times New Roman"/>
          <w:sz w:val="24"/>
          <w:szCs w:val="24"/>
        </w:rPr>
        <w:t xml:space="preserve"> is the sample size, </w:t>
      </w:r>
      <m:oMath>
        <m:r>
          <w:rPr>
            <w:rFonts w:ascii="Cambria Math" w:eastAsia="Times New Roman" w:hAnsi="Cambria Math" w:cs="Times New Roman"/>
            <w:sz w:val="24"/>
            <w:szCs w:val="24"/>
            <w:lang w:eastAsia="fr-FR"/>
          </w:rPr>
          <m:t>N</m:t>
        </m:r>
      </m:oMath>
      <w:r>
        <w:rPr>
          <w:rFonts w:ascii="Times New Roman" w:hAnsi="Times New Roman" w:cs="Times New Roman"/>
          <w:sz w:val="24"/>
          <w:szCs w:val="24"/>
        </w:rPr>
        <w:t xml:space="preserve"> is the population size, </w:t>
      </w:r>
      <m:oMath>
        <m:r>
          <w:rPr>
            <w:rFonts w:ascii="Cambria Math" w:eastAsia="Times New Roman" w:hAnsi="Cambria Math" w:cs="Times New Roman"/>
            <w:sz w:val="24"/>
            <w:szCs w:val="24"/>
            <w:lang w:eastAsia="fr-FR"/>
          </w:rPr>
          <m:t>Z</m:t>
        </m:r>
      </m:oMath>
      <w:r>
        <w:rPr>
          <w:rStyle w:val="katex-mathml"/>
          <w:rFonts w:ascii="Times New Roman" w:hAnsi="Times New Roman" w:cs="Times New Roman"/>
          <w:sz w:val="24"/>
          <w:szCs w:val="24"/>
        </w:rPr>
        <w:t xml:space="preserve"> </w:t>
      </w:r>
      <w:r>
        <w:rPr>
          <w:rStyle w:val="mrel"/>
          <w:rFonts w:ascii="Times New Roman" w:hAnsi="Times New Roman" w:cs="Times New Roman"/>
          <w:sz w:val="24"/>
          <w:szCs w:val="24"/>
        </w:rPr>
        <w:t>=</w:t>
      </w:r>
      <w:r>
        <w:rPr>
          <w:rStyle w:val="mord"/>
          <w:rFonts w:ascii="Times New Roman" w:hAnsi="Times New Roman" w:cs="Times New Roman"/>
          <w:sz w:val="24"/>
          <w:szCs w:val="24"/>
        </w:rPr>
        <w:t>1.96</w:t>
      </w:r>
      <w:r>
        <w:rPr>
          <w:rFonts w:ascii="Times New Roman" w:hAnsi="Times New Roman" w:cs="Times New Roman"/>
          <w:sz w:val="24"/>
          <w:szCs w:val="24"/>
        </w:rPr>
        <w:t xml:space="preserve"> at 95% confidence level, </w:t>
      </w:r>
      <m:oMath>
        <m:r>
          <w:rPr>
            <w:rFonts w:ascii="Cambria Math" w:eastAsia="Times New Roman" w:hAnsi="Cambria Math" w:cs="Times New Roman"/>
            <w:sz w:val="24"/>
            <w:szCs w:val="24"/>
            <w:lang w:eastAsia="fr-FR"/>
          </w:rPr>
          <m:t>P</m:t>
        </m:r>
      </m:oMath>
      <w:r>
        <w:rPr>
          <w:rStyle w:val="katex-mathml"/>
          <w:rFonts w:ascii="Times New Roman" w:hAnsi="Times New Roman" w:cs="Times New Roman"/>
          <w:sz w:val="24"/>
          <w:szCs w:val="24"/>
        </w:rPr>
        <w:t xml:space="preserve"> =0.</w:t>
      </w:r>
      <w:proofErr w:type="gramStart"/>
      <w:r>
        <w:rPr>
          <w:rStyle w:val="katex-mathml"/>
          <w:rFonts w:ascii="Times New Roman" w:hAnsi="Times New Roman" w:cs="Times New Roman"/>
          <w:sz w:val="24"/>
          <w:szCs w:val="24"/>
        </w:rPr>
        <w:t xml:space="preserve">5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maximum variability), and </w:t>
      </w:r>
      <m:oMath>
        <m:r>
          <w:rPr>
            <w:rFonts w:ascii="Cambria Math" w:eastAsia="Times New Roman" w:hAnsi="Cambria Math" w:cs="Times New Roman"/>
            <w:sz w:val="24"/>
            <w:szCs w:val="24"/>
            <w:lang w:eastAsia="fr-FR"/>
          </w:rPr>
          <m:t>d</m:t>
        </m:r>
      </m:oMath>
      <w:r>
        <w:rPr>
          <w:rStyle w:val="katex-mathml"/>
          <w:rFonts w:ascii="Times New Roman" w:hAnsi="Times New Roman" w:cs="Times New Roman"/>
          <w:sz w:val="24"/>
          <w:szCs w:val="24"/>
        </w:rPr>
        <w:t xml:space="preserve"> </w:t>
      </w:r>
      <w:r>
        <w:rPr>
          <w:rStyle w:val="mrel"/>
          <w:rFonts w:ascii="Times New Roman" w:hAnsi="Times New Roman" w:cs="Times New Roman"/>
          <w:sz w:val="24"/>
          <w:szCs w:val="24"/>
        </w:rPr>
        <w:t>=</w:t>
      </w:r>
      <w:r>
        <w:rPr>
          <w:rStyle w:val="mord"/>
          <w:rFonts w:ascii="Times New Roman" w:hAnsi="Times New Roman" w:cs="Times New Roman"/>
          <w:sz w:val="24"/>
          <w:szCs w:val="24"/>
        </w:rPr>
        <w:t>0.05</w:t>
      </w:r>
      <w:r>
        <w:rPr>
          <w:rFonts w:ascii="Times New Roman" w:hAnsi="Times New Roman" w:cs="Times New Roman"/>
          <w:sz w:val="24"/>
          <w:szCs w:val="24"/>
        </w:rPr>
        <w:t xml:space="preserve"> (margin of error). For large populations (above 100,000), the required sample size stabilizes at approximately </w:t>
      </w:r>
      <w:r>
        <w:rPr>
          <w:rFonts w:ascii="Times New Roman" w:hAnsi="Times New Roman" w:cs="Times New Roman"/>
          <w:bCs/>
          <w:sz w:val="24"/>
          <w:szCs w:val="24"/>
        </w:rPr>
        <w:t>384 households</w:t>
      </w:r>
      <w:r>
        <w:rPr>
          <w:rFonts w:ascii="Times New Roman" w:hAnsi="Times New Roman" w:cs="Times New Roman"/>
          <w:sz w:val="24"/>
          <w:szCs w:val="24"/>
        </w:rPr>
        <w:t xml:space="preserve"> (Krejcie &amp; Morgan, 1970). To account for non-response, the sample is adjusted using:</w:t>
      </w:r>
    </w:p>
    <w:p w14:paraId="7F17EFBF" w14:textId="6C093F9A" w:rsidR="005D70C8" w:rsidRDefault="004C625E" w:rsidP="00A908D8">
      <w:pPr>
        <w:spacing w:line="276" w:lineRule="auto"/>
        <w:jc w:val="center"/>
        <w:rPr>
          <w:rFonts w:ascii="Times New Roman" w:hAnsi="Times New Roman" w:cs="Times New Roman"/>
          <w:b/>
          <w:sz w:val="24"/>
          <w:szCs w:val="24"/>
        </w:rPr>
      </w:pP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r>
          <m:rPr>
            <m:sty m:val="bi"/>
          </m:rPr>
          <w:rPr>
            <w:rFonts w:ascii="Cambria Math" w:hAnsi="Cambria Math" w:cs="Times New Roman"/>
            <w:sz w:val="24"/>
            <w:szCs w:val="24"/>
          </w:rPr>
          <m:t>=</m:t>
        </m:r>
        <m:f>
          <m:fPr>
            <m:ctrlPr>
              <w:rPr>
                <w:rFonts w:ascii="Cambria Math" w:hAnsi="Cambria Math" w:cs="Times New Roman"/>
                <w:b/>
                <w:i/>
                <w:sz w:val="24"/>
                <w:szCs w:val="24"/>
              </w:rPr>
            </m:ctrlPr>
          </m:fPr>
          <m:num>
            <m:r>
              <m:rPr>
                <m:sty m:val="bi"/>
              </m:rPr>
              <w:rPr>
                <w:rFonts w:ascii="Cambria Math" w:hAnsi="Cambria Math" w:cs="Times New Roman"/>
                <w:sz w:val="24"/>
                <w:szCs w:val="24"/>
              </w:rPr>
              <m:t>n</m:t>
            </m:r>
          </m:num>
          <m:den>
            <m:r>
              <m:rPr>
                <m:sty m:val="bi"/>
              </m:rPr>
              <w:rPr>
                <w:rFonts w:ascii="Cambria Math" w:hAnsi="Cambria Math" w:cs="Times New Roman"/>
                <w:sz w:val="24"/>
                <w:szCs w:val="24"/>
              </w:rPr>
              <m:t>1-r</m:t>
            </m:r>
          </m:den>
        </m:f>
      </m:oMath>
      <w:r w:rsidR="00D06A02">
        <w:rPr>
          <w:rFonts w:ascii="Times New Roman" w:hAnsi="Times New Roman" w:cs="Times New Roman"/>
          <w:b/>
          <w:sz w:val="24"/>
          <w:szCs w:val="24"/>
        </w:rPr>
        <w:t xml:space="preserve"> </w:t>
      </w:r>
      <w:r w:rsidR="00D06A02" w:rsidRPr="001A27C8">
        <w:rPr>
          <w:rFonts w:ascii="Times New Roman" w:hAnsi="Times New Roman" w:cs="Times New Roman"/>
          <w:b/>
          <w:sz w:val="24"/>
          <w:szCs w:val="24"/>
        </w:rPr>
        <w:t>……….</w:t>
      </w:r>
      <w:r w:rsidR="005C0B9D" w:rsidRPr="001A27C8">
        <w:rPr>
          <w:rFonts w:ascii="Times New Roman" w:hAnsi="Times New Roman" w:cs="Times New Roman"/>
          <w:b/>
          <w:sz w:val="24"/>
          <w:szCs w:val="24"/>
        </w:rPr>
        <w:t>2</w:t>
      </w:r>
      <w:r w:rsidR="00D06A02" w:rsidRPr="001A27C8">
        <w:rPr>
          <w:rFonts w:ascii="Times New Roman" w:hAnsi="Times New Roman" w:cs="Times New Roman"/>
          <w:b/>
          <w:sz w:val="24"/>
          <w:szCs w:val="24"/>
        </w:rPr>
        <w:t xml:space="preserve"> </w:t>
      </w:r>
    </w:p>
    <w:p w14:paraId="54557DE7" w14:textId="77777777" w:rsidR="005D70C8" w:rsidRDefault="00FB654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Assuming a 10% non-response rate, the adjusted sample size is approximately </w:t>
      </w:r>
      <w:r>
        <w:rPr>
          <w:rFonts w:ascii="Times New Roman" w:hAnsi="Times New Roman" w:cs="Times New Roman"/>
          <w:bCs/>
          <w:sz w:val="24"/>
          <w:szCs w:val="24"/>
        </w:rPr>
        <w:t>427 households</w:t>
      </w:r>
      <w:r>
        <w:rPr>
          <w:rFonts w:ascii="Times New Roman" w:hAnsi="Times New Roman" w:cs="Times New Roman"/>
          <w:sz w:val="24"/>
          <w:szCs w:val="24"/>
        </w:rPr>
        <w:t xml:space="preserve">, and thus a final target of </w:t>
      </w:r>
      <w:r>
        <w:rPr>
          <w:rFonts w:ascii="Times New Roman" w:hAnsi="Times New Roman" w:cs="Times New Roman"/>
          <w:bCs/>
          <w:sz w:val="24"/>
          <w:szCs w:val="24"/>
        </w:rPr>
        <w:t>420-430 households</w:t>
      </w:r>
      <w:r>
        <w:rPr>
          <w:rFonts w:ascii="Times New Roman" w:hAnsi="Times New Roman" w:cs="Times New Roman"/>
          <w:sz w:val="24"/>
          <w:szCs w:val="24"/>
        </w:rPr>
        <w:t xml:space="preserve"> is adopted. This adjustment improves reliability and is recommended in survey research (Cochran, 1977).</w:t>
      </w:r>
    </w:p>
    <w:p w14:paraId="6ECBE925" w14:textId="77777777" w:rsidR="005D70C8" w:rsidRDefault="00FB6549">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Measurement of Poverty</w:t>
      </w:r>
    </w:p>
    <w:p w14:paraId="1FBC35AB" w14:textId="77777777" w:rsidR="005D70C8" w:rsidRDefault="00FB6549">
      <w:pPr>
        <w:spacing w:line="276" w:lineRule="auto"/>
        <w:jc w:val="both"/>
        <w:rPr>
          <w:rFonts w:ascii="Times New Roman" w:hAnsi="Times New Roman" w:cs="Times New Roman"/>
          <w:sz w:val="24"/>
          <w:szCs w:val="24"/>
        </w:rPr>
      </w:pPr>
      <w:r>
        <w:rPr>
          <w:rFonts w:ascii="Times New Roman" w:eastAsia="Times New Roman" w:hAnsi="Times New Roman" w:cs="Times New Roman"/>
          <w:color w:val="0F1115"/>
          <w:sz w:val="24"/>
          <w:szCs w:val="24"/>
        </w:rPr>
        <w:t>Poverty was measured using the </w:t>
      </w:r>
      <w:r>
        <w:rPr>
          <w:rFonts w:ascii="Times New Roman" w:eastAsia="Times New Roman" w:hAnsi="Times New Roman" w:cs="Times New Roman"/>
          <w:b/>
          <w:bCs/>
          <w:color w:val="0F1115"/>
          <w:sz w:val="24"/>
          <w:szCs w:val="24"/>
        </w:rPr>
        <w:t>Foster-Greer-Thorbecke (FGT) poverty index</w:t>
      </w:r>
      <w:r>
        <w:rPr>
          <w:rFonts w:ascii="Times New Roman" w:eastAsia="Times New Roman" w:hAnsi="Times New Roman" w:cs="Times New Roman"/>
          <w:color w:val="0F1115"/>
          <w:sz w:val="24"/>
          <w:szCs w:val="24"/>
        </w:rPr>
        <w:t>, a widely used method in poverty analysis (Foster et al., 1984). It is extensively applied by institutions such as the World Bank and the National Institute of Statistics Cameroon</w:t>
      </w:r>
      <w:r>
        <w:rPr>
          <w:rFonts w:ascii="Times New Roman" w:hAnsi="Times New Roman" w:cs="Times New Roman"/>
          <w:sz w:val="24"/>
          <w:szCs w:val="24"/>
        </w:rPr>
        <w:t>The FGT index is defined as:</w:t>
      </w:r>
    </w:p>
    <w:p w14:paraId="1263931A" w14:textId="39D9ECF5" w:rsidR="005D70C8" w:rsidRDefault="004C625E">
      <w:pPr>
        <w:spacing w:line="276" w:lineRule="auto"/>
        <w:jc w:val="center"/>
        <w:rPr>
          <w:rFonts w:ascii="Times New Roman" w:hAnsi="Times New Roman" w:cs="Times New Roman"/>
          <w:b/>
          <w:sz w:val="28"/>
          <w:szCs w:val="24"/>
        </w:rPr>
      </w:pPr>
      <m:oMath>
        <m:sSub>
          <m:sSubPr>
            <m:ctrlPr>
              <w:rPr>
                <w:rFonts w:ascii="Cambria Math" w:hAnsi="Cambria Math" w:cs="Times New Roman"/>
                <w:b/>
                <w:i/>
                <w:sz w:val="28"/>
                <w:szCs w:val="24"/>
              </w:rPr>
            </m:ctrlPr>
          </m:sSubPr>
          <m:e>
            <m:r>
              <m:rPr>
                <m:sty m:val="bi"/>
              </m:rPr>
              <w:rPr>
                <w:rFonts w:ascii="Cambria Math" w:hAnsi="Cambria Math" w:cs="Times New Roman"/>
                <w:sz w:val="28"/>
                <w:szCs w:val="24"/>
              </w:rPr>
              <m:t>P</m:t>
            </m:r>
          </m:e>
          <m:sub>
            <m:r>
              <m:rPr>
                <m:sty m:val="bi"/>
              </m:rPr>
              <w:rPr>
                <w:rFonts w:ascii="Cambria Math" w:hAnsi="Cambria Math" w:cs="Times New Roman"/>
                <w:sz w:val="28"/>
                <w:szCs w:val="24"/>
              </w:rPr>
              <m:t>α</m:t>
            </m:r>
          </m:sub>
        </m:sSub>
        <m:r>
          <m:rPr>
            <m:sty m:val="bi"/>
          </m:rPr>
          <w:rPr>
            <w:rFonts w:ascii="Cambria Math" w:hAnsi="Cambria Math" w:cs="Times New Roman"/>
            <w:sz w:val="28"/>
            <w:szCs w:val="24"/>
          </w:rPr>
          <m:t>=</m:t>
        </m:r>
        <m:f>
          <m:fPr>
            <m:ctrlPr>
              <w:rPr>
                <w:rFonts w:ascii="Cambria Math" w:hAnsi="Cambria Math" w:cs="Times New Roman"/>
                <w:b/>
                <w:i/>
                <w:sz w:val="28"/>
                <w:szCs w:val="24"/>
              </w:rPr>
            </m:ctrlPr>
          </m:fPr>
          <m:num>
            <m:r>
              <m:rPr>
                <m:sty m:val="bi"/>
              </m:rPr>
              <w:rPr>
                <w:rFonts w:ascii="Cambria Math" w:hAnsi="Cambria Math" w:cs="Times New Roman"/>
                <w:sz w:val="28"/>
                <w:szCs w:val="24"/>
              </w:rPr>
              <m:t>1</m:t>
            </m:r>
          </m:num>
          <m:den>
            <m:r>
              <m:rPr>
                <m:sty m:val="bi"/>
              </m:rPr>
              <w:rPr>
                <w:rFonts w:ascii="Cambria Math" w:hAnsi="Cambria Math" w:cs="Times New Roman"/>
                <w:sz w:val="28"/>
                <w:szCs w:val="24"/>
              </w:rPr>
              <m:t>N</m:t>
            </m:r>
          </m:den>
        </m:f>
        <m:r>
          <m:rPr>
            <m:sty m:val="bi"/>
          </m:rPr>
          <w:rPr>
            <w:rFonts w:ascii="Cambria Math" w:hAnsi="Cambria Math" w:cs="Times New Roman"/>
            <w:sz w:val="28"/>
            <w:szCs w:val="24"/>
          </w:rPr>
          <m:t xml:space="preserve"> </m:t>
        </m:r>
        <m:nary>
          <m:naryPr>
            <m:chr m:val="∑"/>
            <m:limLoc m:val="undOvr"/>
            <m:ctrlPr>
              <w:rPr>
                <w:rFonts w:ascii="Cambria Math" w:hAnsi="Cambria Math" w:cs="Times New Roman"/>
                <w:b/>
                <w:i/>
                <w:sz w:val="28"/>
                <w:szCs w:val="24"/>
              </w:rPr>
            </m:ctrlPr>
          </m:naryPr>
          <m:sub>
            <m:r>
              <m:rPr>
                <m:sty m:val="bi"/>
              </m:rPr>
              <w:rPr>
                <w:rFonts w:ascii="Cambria Math" w:hAnsi="Cambria Math" w:cs="Times New Roman"/>
                <w:sz w:val="28"/>
                <w:szCs w:val="24"/>
              </w:rPr>
              <m:t>i=1</m:t>
            </m:r>
          </m:sub>
          <m:sup>
            <m:r>
              <m:rPr>
                <m:sty m:val="bi"/>
              </m:rPr>
              <w:rPr>
                <w:rFonts w:ascii="Cambria Math" w:hAnsi="Cambria Math" w:cs="Times New Roman"/>
                <w:sz w:val="28"/>
                <w:szCs w:val="24"/>
              </w:rPr>
              <m:t>q</m:t>
            </m:r>
          </m:sup>
          <m:e>
            <m:d>
              <m:dPr>
                <m:ctrlPr>
                  <w:rPr>
                    <w:rFonts w:ascii="Cambria Math" w:hAnsi="Cambria Math" w:cs="Times New Roman"/>
                    <w:b/>
                    <w:i/>
                    <w:sz w:val="28"/>
                    <w:szCs w:val="24"/>
                  </w:rPr>
                </m:ctrlPr>
              </m:dPr>
              <m:e>
                <m:f>
                  <m:fPr>
                    <m:ctrlPr>
                      <w:rPr>
                        <w:rFonts w:ascii="Cambria Math" w:hAnsi="Cambria Math" w:cs="Times New Roman"/>
                        <w:b/>
                        <w:i/>
                        <w:sz w:val="28"/>
                        <w:szCs w:val="24"/>
                      </w:rPr>
                    </m:ctrlPr>
                  </m:fPr>
                  <m:num>
                    <m:r>
                      <m:rPr>
                        <m:sty m:val="bi"/>
                      </m:rPr>
                      <w:rPr>
                        <w:rFonts w:ascii="Cambria Math" w:hAnsi="Cambria Math" w:cs="Times New Roman"/>
                        <w:sz w:val="28"/>
                        <w:szCs w:val="24"/>
                      </w:rPr>
                      <m:t>z-</m:t>
                    </m:r>
                    <m:sSub>
                      <m:sSubPr>
                        <m:ctrlPr>
                          <w:rPr>
                            <w:rFonts w:ascii="Cambria Math" w:hAnsi="Cambria Math" w:cs="Times New Roman"/>
                            <w:b/>
                            <w:i/>
                            <w:sz w:val="28"/>
                            <w:szCs w:val="24"/>
                          </w:rPr>
                        </m:ctrlPr>
                      </m:sSubPr>
                      <m:e>
                        <m:r>
                          <m:rPr>
                            <m:sty m:val="bi"/>
                          </m:rPr>
                          <w:rPr>
                            <w:rFonts w:ascii="Cambria Math" w:hAnsi="Cambria Math" w:cs="Times New Roman"/>
                            <w:sz w:val="28"/>
                            <w:szCs w:val="24"/>
                          </w:rPr>
                          <m:t>y</m:t>
                        </m:r>
                      </m:e>
                      <m:sub>
                        <m:r>
                          <m:rPr>
                            <m:sty m:val="bi"/>
                          </m:rPr>
                          <w:rPr>
                            <w:rFonts w:ascii="Cambria Math" w:hAnsi="Cambria Math" w:cs="Times New Roman"/>
                            <w:sz w:val="28"/>
                            <w:szCs w:val="24"/>
                          </w:rPr>
                          <m:t>i</m:t>
                        </m:r>
                      </m:sub>
                    </m:sSub>
                  </m:num>
                  <m:den>
                    <m:r>
                      <m:rPr>
                        <m:sty m:val="bi"/>
                      </m:rPr>
                      <w:rPr>
                        <w:rFonts w:ascii="Cambria Math" w:hAnsi="Cambria Math" w:cs="Times New Roman"/>
                        <w:sz w:val="28"/>
                        <w:szCs w:val="24"/>
                      </w:rPr>
                      <m:t>z</m:t>
                    </m:r>
                  </m:den>
                </m:f>
              </m:e>
            </m:d>
          </m:e>
        </m:nary>
      </m:oMath>
      <w:r w:rsidR="00FB6549">
        <w:rPr>
          <w:rFonts w:ascii="Times New Roman" w:hAnsi="Times New Roman" w:cs="Times New Roman"/>
          <w:b/>
          <w:sz w:val="28"/>
          <w:szCs w:val="24"/>
        </w:rPr>
        <w:t xml:space="preserve"> </w:t>
      </w:r>
      <w:r w:rsidR="00FB6549">
        <w:rPr>
          <w:rFonts w:ascii="Times New Roman" w:hAnsi="Times New Roman" w:cs="Times New Roman"/>
          <w:b/>
          <w:sz w:val="28"/>
          <w:szCs w:val="24"/>
          <w:vertAlign w:val="superscript"/>
        </w:rPr>
        <w:t>α</w:t>
      </w:r>
      <w:r w:rsidR="00D06A02">
        <w:rPr>
          <w:rFonts w:ascii="Times New Roman" w:hAnsi="Times New Roman" w:cs="Times New Roman"/>
          <w:b/>
          <w:sz w:val="28"/>
          <w:szCs w:val="24"/>
          <w:vertAlign w:val="superscript"/>
        </w:rPr>
        <w:t xml:space="preserve"> </w:t>
      </w:r>
      <w:r w:rsidR="005C0B9D">
        <w:rPr>
          <w:rFonts w:ascii="Times New Roman" w:hAnsi="Times New Roman" w:cs="Times New Roman"/>
          <w:b/>
          <w:sz w:val="28"/>
          <w:szCs w:val="24"/>
          <w:vertAlign w:val="superscript"/>
        </w:rPr>
        <w:t>……….3</w:t>
      </w:r>
    </w:p>
    <w:p w14:paraId="110F05D8" w14:textId="78645023" w:rsidR="005D70C8" w:rsidRDefault="00AC105E">
      <w:pPr>
        <w:pStyle w:val="NormalWeb"/>
        <w:spacing w:line="276" w:lineRule="auto"/>
      </w:pPr>
      <w:r>
        <w:t>Where</w:t>
      </w:r>
      <w:r w:rsidR="00FB6549">
        <w:t xml:space="preserve"> </w:t>
      </w:r>
      <m:oMath>
        <m:r>
          <w:rPr>
            <w:rFonts w:ascii="Cambria Math" w:hAnsi="Cambria Math"/>
          </w:rPr>
          <m:t>z</m:t>
        </m:r>
      </m:oMath>
      <w:r w:rsidR="00FB6549">
        <w:t xml:space="preserve"> is the poverty line and </w:t>
      </w:r>
      <m:oMath>
        <m:sSub>
          <m:sSubPr>
            <m:ctrlPr>
              <w:rPr>
                <w:rFonts w:ascii="Cambria Math" w:eastAsia="Calibri" w:hAnsi="Cambria Math"/>
                <w:i/>
              </w:rPr>
            </m:ctrlPr>
          </m:sSubPr>
          <m:e>
            <m:r>
              <w:rPr>
                <w:rFonts w:ascii="Cambria Math" w:hAnsi="Cambria Math"/>
              </w:rPr>
              <m:t>y</m:t>
            </m:r>
          </m:e>
          <m:sub>
            <m:r>
              <w:rPr>
                <w:rFonts w:ascii="Cambria Math" w:hAnsi="Cambria Math"/>
              </w:rPr>
              <m:t>i</m:t>
            </m:r>
          </m:sub>
        </m:sSub>
      </m:oMath>
      <w:r w:rsidR="00FB6549">
        <w:rPr>
          <w:rStyle w:val="vlist-s"/>
        </w:rPr>
        <w:t>​</w:t>
      </w:r>
      <w:r w:rsidR="00FB6549">
        <w:t xml:space="preserve"> is income per adult </w:t>
      </w:r>
      <w:proofErr w:type="gramStart"/>
      <w:r w:rsidR="00FB6549">
        <w:t>equivalent.</w:t>
      </w:r>
      <w:proofErr w:type="gramEnd"/>
    </w:p>
    <w:p w14:paraId="085FE831" w14:textId="4E248204" w:rsidR="005D70C8" w:rsidRDefault="00FB6549">
      <w:pPr>
        <w:pStyle w:val="NormalWeb"/>
        <w:spacing w:line="276" w:lineRule="auto"/>
        <w:jc w:val="both"/>
      </w:pPr>
      <w:r>
        <w:t xml:space="preserve">The study uses Cameroon’s rural poverty line of </w:t>
      </w:r>
      <w:r>
        <w:rPr>
          <w:rStyle w:val="Strong"/>
        </w:rPr>
        <w:t>271,000 FCFA per person per year</w:t>
      </w:r>
      <w:r w:rsidR="005C0B9D" w:rsidRPr="005C0B9D">
        <w:t xml:space="preserve"> </w:t>
      </w:r>
      <w:r w:rsidR="005C0B9D" w:rsidRPr="005C0B9D">
        <w:rPr>
          <w:rStyle w:val="Strong"/>
        </w:rPr>
        <w:t>(INS, 2022)</w:t>
      </w:r>
      <w:r>
        <w:t>. Household welfare is measured as income per adult equivalent, computed by dividing total household income by adult equivalents derived from household composition.</w:t>
      </w:r>
    </w:p>
    <w:p w14:paraId="625B6688" w14:textId="77777777" w:rsidR="005D70C8" w:rsidRDefault="00FB6549">
      <w:pPr>
        <w:pStyle w:val="NormalWeb"/>
        <w:spacing w:after="0" w:afterAutospacing="0" w:line="276" w:lineRule="auto"/>
      </w:pPr>
      <w:r>
        <w:lastRenderedPageBreak/>
        <w:t>Households are classified as:</w:t>
      </w:r>
    </w:p>
    <w:p w14:paraId="67795B3A" w14:textId="77777777" w:rsidR="005D70C8" w:rsidRDefault="00FB654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Poor (1) if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Pr>
          <w:rFonts w:ascii="Times New Roman" w:eastAsia="SimSun" w:hAnsi="Times New Roman" w:cs="Times New Roman"/>
          <w:sz w:val="24"/>
          <w:szCs w:val="24"/>
        </w:rPr>
        <w:t>&lt;</w:t>
      </w:r>
      <m:oMath>
        <m:r>
          <w:rPr>
            <w:rFonts w:ascii="Cambria Math" w:hAnsi="Cambria Math" w:cs="Times New Roman"/>
            <w:sz w:val="24"/>
            <w:szCs w:val="24"/>
          </w:rPr>
          <m:t xml:space="preserve"> z</m:t>
        </m:r>
      </m:oMath>
    </w:p>
    <w:p w14:paraId="35ADA885" w14:textId="77777777" w:rsidR="005D70C8" w:rsidRDefault="00FB654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Non-poor (0) if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≥z</m:t>
        </m:r>
      </m:oMath>
    </w:p>
    <w:p w14:paraId="6226D819" w14:textId="77777777" w:rsidR="005D70C8" w:rsidRDefault="00FB6549">
      <w:pPr>
        <w:spacing w:line="276" w:lineRule="auto"/>
        <w:rPr>
          <w:rFonts w:ascii="Times New Roman" w:hAnsi="Times New Roman" w:cs="Times New Roman"/>
          <w:sz w:val="24"/>
          <w:szCs w:val="24"/>
        </w:rPr>
      </w:pPr>
      <w:r>
        <w:rPr>
          <w:rFonts w:ascii="Times New Roman" w:hAnsi="Times New Roman" w:cs="Times New Roman"/>
          <w:sz w:val="24"/>
          <w:szCs w:val="24"/>
        </w:rPr>
        <w:t>In addition to the headcount index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0</m:t>
            </m:r>
          </m:sub>
        </m:sSub>
      </m:oMath>
      <w:r>
        <w:rPr>
          <w:rFonts w:ascii="Times New Roman" w:hAnsi="Times New Roman" w:cs="Times New Roman"/>
          <w:sz w:val="24"/>
          <w:szCs w:val="24"/>
        </w:rPr>
        <w:t>), the poverty gap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oMath>
      <w:r>
        <w:rPr>
          <w:rFonts w:ascii="Times New Roman" w:hAnsi="Times New Roman" w:cs="Times New Roman"/>
          <w:sz w:val="24"/>
          <w:szCs w:val="24"/>
        </w:rPr>
        <w:t>),  and severity index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oMath>
      <w:r>
        <w:rPr>
          <w:rFonts w:ascii="Times New Roman" w:hAnsi="Times New Roman" w:cs="Times New Roman"/>
          <w:sz w:val="24"/>
          <w:szCs w:val="24"/>
        </w:rPr>
        <w:t>),  are computed to capture the depth and intensity of poverty.</w:t>
      </w:r>
    </w:p>
    <w:p w14:paraId="073D1280" w14:textId="77777777" w:rsidR="005D70C8" w:rsidRDefault="00FB6549">
      <w:pPr>
        <w:pStyle w:val="Heading2"/>
        <w:spacing w:line="276" w:lineRule="auto"/>
        <w:rPr>
          <w:b w:val="0"/>
          <w:sz w:val="24"/>
          <w:szCs w:val="24"/>
          <w:lang w:val="en-US"/>
        </w:rPr>
      </w:pPr>
      <w:r>
        <w:rPr>
          <w:rStyle w:val="Strong"/>
          <w:b/>
          <w:sz w:val="24"/>
          <w:szCs w:val="24"/>
          <w:lang w:val="en-US"/>
        </w:rPr>
        <w:t>Model Specification and Analytical Techniques</w:t>
      </w:r>
    </w:p>
    <w:p w14:paraId="4CFB5CB1" w14:textId="77777777" w:rsidR="005D70C8" w:rsidRDefault="00FB6549">
      <w:pPr>
        <w:pStyle w:val="NormalWeb"/>
        <w:spacing w:line="276" w:lineRule="auto"/>
        <w:jc w:val="both"/>
      </w:pPr>
      <w:r>
        <w:t xml:space="preserve">To estimate the determinants of poverty, the study employs a </w:t>
      </w:r>
      <w:r>
        <w:rPr>
          <w:rStyle w:val="whitespace-normal"/>
        </w:rPr>
        <w:t>Logit model</w:t>
      </w:r>
      <w:r>
        <w:t xml:space="preserve"> (with robustness checks using a </w:t>
      </w:r>
      <w:r>
        <w:rPr>
          <w:rStyle w:val="whitespace-normal"/>
        </w:rPr>
        <w:t>Probit model</w:t>
      </w:r>
      <w:r>
        <w:t>), consistent with limited dependent variable models (Wooldridge, 2010).</w:t>
      </w:r>
    </w:p>
    <w:p w14:paraId="621FC1DF" w14:textId="77777777" w:rsidR="005D70C8" w:rsidRDefault="00FB6549">
      <w:pPr>
        <w:pStyle w:val="NormalWeb"/>
        <w:spacing w:line="276" w:lineRule="auto"/>
      </w:pPr>
      <w:r>
        <w:t>The baseline model is specified as:</w:t>
      </w:r>
    </w:p>
    <w:p w14:paraId="775D8477" w14:textId="77777777" w:rsidR="005D70C8" w:rsidRDefault="004C625E">
      <w:pPr>
        <w:spacing w:line="276" w:lineRule="auto"/>
        <w:rPr>
          <w:rFonts w:ascii="Times New Roman" w:hAnsi="Times New Roman" w:cs="Times New Roman"/>
          <w:b/>
          <w:sz w:val="24"/>
          <w:szCs w:val="24"/>
        </w:rPr>
      </w:pPr>
      <m:oMathPara>
        <m:oMath>
          <m:sSubSup>
            <m:sSubSupPr>
              <m:ctrlPr>
                <w:rPr>
                  <w:rFonts w:ascii="Cambria Math" w:hAnsi="Cambria Math" w:cs="Times New Roman"/>
                  <w:b/>
                  <w:i/>
                  <w:sz w:val="24"/>
                  <w:szCs w:val="24"/>
                </w:rPr>
              </m:ctrlPr>
            </m:sSubSupPr>
            <m:e>
              <m:r>
                <m:rPr>
                  <m:sty m:val="bi"/>
                </m:rPr>
                <w:rPr>
                  <w:rFonts w:ascii="Cambria Math" w:hAnsi="Cambria Math" w:cs="Times New Roman"/>
                  <w:sz w:val="24"/>
                  <w:szCs w:val="24"/>
                </w:rPr>
                <m:t>Poverty</m:t>
              </m:r>
            </m:e>
            <m:sub>
              <m:r>
                <m:rPr>
                  <m:sty m:val="bi"/>
                </m:rPr>
                <w:rPr>
                  <w:rFonts w:ascii="Cambria Math" w:hAnsi="Cambria Math" w:cs="Times New Roman"/>
                  <w:sz w:val="24"/>
                  <w:szCs w:val="24"/>
                </w:rPr>
                <m:t>i</m:t>
              </m:r>
            </m:sub>
            <m:sup>
              <m:r>
                <m:rPr>
                  <m:sty m:val="bi"/>
                </m:rPr>
                <w:rPr>
                  <w:rFonts w:ascii="Cambria Math" w:hAnsi="Cambria Math" w:cs="Times New Roman"/>
                  <w:sz w:val="24"/>
                  <w:szCs w:val="24"/>
                </w:rPr>
                <m:t>*</m:t>
              </m:r>
            </m:sup>
          </m:sSubSup>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0</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1</m:t>
              </m:r>
            </m:sub>
          </m:sSub>
          <m:sSub>
            <m:sSubPr>
              <m:ctrlPr>
                <w:rPr>
                  <w:rFonts w:ascii="Cambria Math" w:hAnsi="Cambria Math" w:cs="Times New Roman"/>
                  <w:b/>
                  <w:i/>
                  <w:sz w:val="24"/>
                  <w:szCs w:val="24"/>
                </w:rPr>
              </m:ctrlPr>
            </m:sSubPr>
            <m:e>
              <m:r>
                <m:rPr>
                  <m:sty m:val="bi"/>
                </m:rPr>
                <w:rPr>
                  <w:rFonts w:ascii="Cambria Math" w:hAnsi="Cambria Math" w:cs="Times New Roman"/>
                  <w:sz w:val="24"/>
                  <w:szCs w:val="24"/>
                </w:rPr>
                <m:t>Agric</m:t>
              </m:r>
            </m:e>
            <m:sub>
              <m:r>
                <m:rPr>
                  <m:sty m:val="bi"/>
                </m:rPr>
                <w:rPr>
                  <w:rFonts w:ascii="Cambria Math" w:hAnsi="Cambria Math" w:cs="Times New Roman"/>
                  <w:sz w:val="24"/>
                  <w:szCs w:val="24"/>
                </w:rPr>
                <m:t>i</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2</m:t>
              </m:r>
            </m:sub>
          </m:sSub>
          <m:sSub>
            <m:sSubPr>
              <m:ctrlPr>
                <w:rPr>
                  <w:rFonts w:ascii="Cambria Math" w:hAnsi="Cambria Math" w:cs="Times New Roman"/>
                  <w:b/>
                  <w:i/>
                  <w:sz w:val="24"/>
                  <w:szCs w:val="24"/>
                </w:rPr>
              </m:ctrlPr>
            </m:sSubPr>
            <m:e>
              <m:r>
                <m:rPr>
                  <m:sty m:val="bi"/>
                </m:rPr>
                <w:rPr>
                  <w:rFonts w:ascii="Cambria Math" w:hAnsi="Cambria Math" w:cs="Times New Roman"/>
                  <w:sz w:val="24"/>
                  <w:szCs w:val="24"/>
                </w:rPr>
                <m:t>Age</m:t>
              </m:r>
            </m:e>
            <m:sub>
              <m:r>
                <m:rPr>
                  <m:sty m:val="bi"/>
                </m:rPr>
                <w:rPr>
                  <w:rFonts w:ascii="Cambria Math" w:hAnsi="Cambria Math" w:cs="Times New Roman"/>
                  <w:sz w:val="24"/>
                  <w:szCs w:val="24"/>
                </w:rPr>
                <m:t>i</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3</m:t>
              </m:r>
            </m:sub>
          </m:sSub>
          <m:sSub>
            <m:sSubPr>
              <m:ctrlPr>
                <w:rPr>
                  <w:rFonts w:ascii="Cambria Math" w:hAnsi="Cambria Math" w:cs="Times New Roman"/>
                  <w:b/>
                  <w:i/>
                  <w:sz w:val="24"/>
                  <w:szCs w:val="24"/>
                </w:rPr>
              </m:ctrlPr>
            </m:sSubPr>
            <m:e>
              <m:r>
                <m:rPr>
                  <m:sty m:val="bi"/>
                </m:rPr>
                <w:rPr>
                  <w:rFonts w:ascii="Cambria Math" w:hAnsi="Cambria Math" w:cs="Times New Roman"/>
                  <w:sz w:val="24"/>
                  <w:szCs w:val="24"/>
                </w:rPr>
                <m:t>Edu</m:t>
              </m:r>
            </m:e>
            <m:sub>
              <m:r>
                <m:rPr>
                  <m:sty m:val="bi"/>
                </m:rPr>
                <w:rPr>
                  <w:rFonts w:ascii="Cambria Math" w:hAnsi="Cambria Math" w:cs="Times New Roman"/>
                  <w:sz w:val="24"/>
                  <w:szCs w:val="24"/>
                </w:rPr>
                <m:t>i</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4</m:t>
              </m:r>
            </m:sub>
          </m:sSub>
          <m:sSub>
            <m:sSubPr>
              <m:ctrlPr>
                <w:rPr>
                  <w:rFonts w:ascii="Cambria Math" w:hAnsi="Cambria Math" w:cs="Times New Roman"/>
                  <w:b/>
                  <w:i/>
                  <w:sz w:val="24"/>
                  <w:szCs w:val="24"/>
                </w:rPr>
              </m:ctrlPr>
            </m:sSubPr>
            <m:e>
              <m:r>
                <m:rPr>
                  <m:sty m:val="bi"/>
                </m:rPr>
                <w:rPr>
                  <w:rFonts w:ascii="Cambria Math" w:hAnsi="Cambria Math" w:cs="Times New Roman"/>
                  <w:sz w:val="24"/>
                  <w:szCs w:val="24"/>
                </w:rPr>
                <m:t>HHsize</m:t>
              </m:r>
            </m:e>
            <m:sub>
              <m:r>
                <m:rPr>
                  <m:sty m:val="bi"/>
                </m:rPr>
                <w:rPr>
                  <w:rFonts w:ascii="Cambria Math" w:hAnsi="Cambria Math" w:cs="Times New Roman"/>
                  <w:sz w:val="24"/>
                  <w:szCs w:val="24"/>
                </w:rPr>
                <m:t>i</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5</m:t>
              </m:r>
            </m:sub>
          </m:sSub>
          <m:sSub>
            <m:sSubPr>
              <m:ctrlPr>
                <w:rPr>
                  <w:rFonts w:ascii="Cambria Math" w:hAnsi="Cambria Math" w:cs="Times New Roman"/>
                  <w:b/>
                  <w:i/>
                  <w:sz w:val="24"/>
                  <w:szCs w:val="24"/>
                </w:rPr>
              </m:ctrlPr>
            </m:sSubPr>
            <m:e>
              <m:r>
                <m:rPr>
                  <m:sty m:val="bi"/>
                </m:rPr>
                <w:rPr>
                  <w:rFonts w:ascii="Cambria Math" w:hAnsi="Cambria Math" w:cs="Times New Roman"/>
                  <w:sz w:val="24"/>
                  <w:szCs w:val="24"/>
                </w:rPr>
                <m:t>Gender</m:t>
              </m:r>
            </m:e>
            <m:sub>
              <m:r>
                <m:rPr>
                  <m:sty m:val="bi"/>
                </m:rPr>
                <w:rPr>
                  <w:rFonts w:ascii="Cambria Math" w:hAnsi="Cambria Math" w:cs="Times New Roman"/>
                  <w:sz w:val="24"/>
                  <w:szCs w:val="24"/>
                </w:rPr>
                <m:t>i</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ε</m:t>
              </m:r>
            </m:e>
            <m:sub>
              <m:r>
                <m:rPr>
                  <m:sty m:val="bi"/>
                </m:rPr>
                <w:rPr>
                  <w:rFonts w:ascii="Cambria Math" w:hAnsi="Cambria Math" w:cs="Times New Roman"/>
                  <w:sz w:val="24"/>
                  <w:szCs w:val="24"/>
                </w:rPr>
                <m:t>i</m:t>
              </m:r>
            </m:sub>
          </m:sSub>
        </m:oMath>
      </m:oMathPara>
    </w:p>
    <w:p w14:paraId="59AFBE1E" w14:textId="77777777" w:rsidR="005D70C8" w:rsidRDefault="00FB6549">
      <w:pPr>
        <w:spacing w:line="276" w:lineRule="auto"/>
        <w:rPr>
          <w:rFonts w:ascii="Times New Roman" w:hAnsi="Times New Roman" w:cs="Times New Roman"/>
          <w:sz w:val="24"/>
          <w:szCs w:val="24"/>
        </w:rPr>
      </w:pPr>
      <w:r>
        <w:rPr>
          <w:rFonts w:ascii="Times New Roman" w:hAnsi="Times New Roman" w:cs="Times New Roman"/>
          <w:sz w:val="24"/>
          <w:szCs w:val="24"/>
        </w:rPr>
        <w:t>An extended model incorporating interaction effects is specified as:</w:t>
      </w:r>
    </w:p>
    <w:p w14:paraId="461D6C86" w14:textId="77777777" w:rsidR="005D70C8" w:rsidRDefault="004C625E">
      <w:pPr>
        <w:spacing w:line="276" w:lineRule="auto"/>
        <w:rPr>
          <w:rFonts w:ascii="Times New Roman" w:hAnsi="Times New Roman" w:cs="Times New Roman"/>
          <w:b/>
          <w:sz w:val="24"/>
          <w:szCs w:val="24"/>
        </w:rPr>
      </w:pPr>
      <m:oMathPara>
        <m:oMath>
          <m:sSubSup>
            <m:sSubSupPr>
              <m:ctrlPr>
                <w:rPr>
                  <w:rFonts w:ascii="Cambria Math" w:hAnsi="Cambria Math" w:cs="Times New Roman"/>
                  <w:b/>
                  <w:i/>
                  <w:sz w:val="24"/>
                  <w:szCs w:val="24"/>
                </w:rPr>
              </m:ctrlPr>
            </m:sSubSupPr>
            <m:e>
              <m:r>
                <m:rPr>
                  <m:sty m:val="bi"/>
                </m:rPr>
                <w:rPr>
                  <w:rFonts w:ascii="Cambria Math" w:hAnsi="Cambria Math" w:cs="Times New Roman"/>
                  <w:sz w:val="24"/>
                  <w:szCs w:val="24"/>
                </w:rPr>
                <m:t>Poverty</m:t>
              </m:r>
            </m:e>
            <m:sub>
              <m:r>
                <m:rPr>
                  <m:sty m:val="bi"/>
                </m:rPr>
                <w:rPr>
                  <w:rFonts w:ascii="Cambria Math" w:hAnsi="Cambria Math" w:cs="Times New Roman"/>
                  <w:sz w:val="24"/>
                  <w:szCs w:val="24"/>
                </w:rPr>
                <m:t>i</m:t>
              </m:r>
            </m:sub>
            <m:sup>
              <m:r>
                <m:rPr>
                  <m:sty m:val="bi"/>
                </m:rPr>
                <w:rPr>
                  <w:rFonts w:ascii="Cambria Math" w:hAnsi="Cambria Math" w:cs="Times New Roman"/>
                  <w:sz w:val="24"/>
                  <w:szCs w:val="24"/>
                </w:rPr>
                <m:t>*</m:t>
              </m:r>
            </m:sup>
          </m:sSubSup>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0</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1</m:t>
              </m:r>
            </m:sub>
          </m:sSub>
          <m:sSub>
            <m:sSubPr>
              <m:ctrlPr>
                <w:rPr>
                  <w:rFonts w:ascii="Cambria Math" w:hAnsi="Cambria Math" w:cs="Times New Roman"/>
                  <w:b/>
                  <w:i/>
                  <w:sz w:val="24"/>
                  <w:szCs w:val="24"/>
                </w:rPr>
              </m:ctrlPr>
            </m:sSubPr>
            <m:e>
              <m:r>
                <m:rPr>
                  <m:sty m:val="bi"/>
                </m:rPr>
                <w:rPr>
                  <w:rFonts w:ascii="Cambria Math" w:hAnsi="Cambria Math" w:cs="Times New Roman"/>
                  <w:sz w:val="24"/>
                  <w:szCs w:val="24"/>
                </w:rPr>
                <m:t>Agric</m:t>
              </m:r>
            </m:e>
            <m:sub>
              <m:r>
                <m:rPr>
                  <m:sty m:val="bi"/>
                </m:rPr>
                <w:rPr>
                  <w:rFonts w:ascii="Cambria Math" w:hAnsi="Cambria Math" w:cs="Times New Roman"/>
                  <w:sz w:val="24"/>
                  <w:szCs w:val="24"/>
                </w:rPr>
                <m:t>i</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2</m:t>
              </m:r>
            </m:sub>
          </m:sSub>
          <m:sSub>
            <m:sSubPr>
              <m:ctrlPr>
                <w:rPr>
                  <w:rFonts w:ascii="Cambria Math" w:hAnsi="Cambria Math" w:cs="Times New Roman"/>
                  <w:b/>
                  <w:i/>
                  <w:sz w:val="24"/>
                  <w:szCs w:val="24"/>
                </w:rPr>
              </m:ctrlPr>
            </m:sSubPr>
            <m:e>
              <m:r>
                <m:rPr>
                  <m:sty m:val="bi"/>
                </m:rPr>
                <w:rPr>
                  <w:rFonts w:ascii="Cambria Math" w:hAnsi="Cambria Math" w:cs="Times New Roman"/>
                  <w:sz w:val="24"/>
                  <w:szCs w:val="24"/>
                </w:rPr>
                <m:t>Inst</m:t>
              </m:r>
            </m:e>
            <m:sub>
              <m:r>
                <m:rPr>
                  <m:sty m:val="bi"/>
                </m:rPr>
                <w:rPr>
                  <w:rFonts w:ascii="Cambria Math" w:hAnsi="Cambria Math" w:cs="Times New Roman"/>
                  <w:sz w:val="24"/>
                  <w:szCs w:val="24"/>
                </w:rPr>
                <m:t>i</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3</m:t>
              </m:r>
            </m:sub>
          </m:sSub>
          <m:sSub>
            <m:sSubPr>
              <m:ctrlPr>
                <w:rPr>
                  <w:rFonts w:ascii="Cambria Math" w:hAnsi="Cambria Math" w:cs="Times New Roman"/>
                  <w:b/>
                  <w:i/>
                  <w:sz w:val="24"/>
                  <w:szCs w:val="24"/>
                </w:rPr>
              </m:ctrlPr>
            </m:sSubPr>
            <m:e>
              <m:r>
                <m:rPr>
                  <m:sty m:val="bi"/>
                </m:rPr>
                <w:rPr>
                  <w:rFonts w:ascii="Cambria Math" w:hAnsi="Cambria Math" w:cs="Times New Roman"/>
                  <w:sz w:val="24"/>
                  <w:szCs w:val="24"/>
                </w:rPr>
                <m:t>Infra</m:t>
              </m:r>
            </m:e>
            <m:sub>
              <m:r>
                <m:rPr>
                  <m:sty m:val="bi"/>
                </m:rPr>
                <w:rPr>
                  <w:rFonts w:ascii="Cambria Math" w:hAnsi="Cambria Math" w:cs="Times New Roman"/>
                  <w:sz w:val="24"/>
                  <w:szCs w:val="24"/>
                </w:rPr>
                <m:t>i</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4</m:t>
              </m:r>
            </m:sub>
          </m:sSub>
          <m:sSub>
            <m:sSubPr>
              <m:ctrlPr>
                <w:rPr>
                  <w:rFonts w:ascii="Cambria Math" w:hAnsi="Cambria Math" w:cs="Times New Roman"/>
                  <w:b/>
                  <w:i/>
                  <w:sz w:val="24"/>
                  <w:szCs w:val="24"/>
                </w:rPr>
              </m:ctrlPr>
            </m:sSubPr>
            <m:e>
              <m:r>
                <m:rPr>
                  <m:sty m:val="bi"/>
                </m:rPr>
                <w:rPr>
                  <w:rFonts w:ascii="Cambria Math" w:hAnsi="Cambria Math" w:cs="Times New Roman"/>
                  <w:sz w:val="24"/>
                  <w:szCs w:val="24"/>
                </w:rPr>
                <m:t>Shock</m:t>
              </m:r>
            </m:e>
            <m:sub>
              <m:r>
                <m:rPr>
                  <m:sty m:val="bi"/>
                </m:rPr>
                <w:rPr>
                  <w:rFonts w:ascii="Cambria Math" w:hAnsi="Cambria Math" w:cs="Times New Roman"/>
                  <w:sz w:val="24"/>
                  <w:szCs w:val="24"/>
                </w:rPr>
                <m:t>i</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5</m:t>
              </m:r>
            </m:sub>
          </m:sSub>
          <m:d>
            <m:dPr>
              <m:ctrlPr>
                <w:rPr>
                  <w:rFonts w:ascii="Cambria Math" w:hAnsi="Cambria Math" w:cs="Times New Roman"/>
                  <w:b/>
                  <w:i/>
                  <w:sz w:val="24"/>
                  <w:szCs w:val="24"/>
                </w:rPr>
              </m:ctrlPr>
            </m:dPr>
            <m:e>
              <m:sSub>
                <m:sSubPr>
                  <m:ctrlPr>
                    <w:rPr>
                      <w:rFonts w:ascii="Cambria Math" w:hAnsi="Cambria Math" w:cs="Times New Roman"/>
                      <w:b/>
                      <w:i/>
                      <w:sz w:val="24"/>
                      <w:szCs w:val="24"/>
                    </w:rPr>
                  </m:ctrlPr>
                </m:sSubPr>
                <m:e>
                  <m:r>
                    <m:rPr>
                      <m:sty m:val="bi"/>
                    </m:rPr>
                    <w:rPr>
                      <w:rFonts w:ascii="Cambria Math" w:hAnsi="Cambria Math" w:cs="Times New Roman"/>
                      <w:sz w:val="24"/>
                      <w:szCs w:val="24"/>
                    </w:rPr>
                    <m:t xml:space="preserve">Agric </m:t>
                  </m:r>
                </m:e>
                <m:sub>
                  <m:r>
                    <m:rPr>
                      <m:sty m:val="bi"/>
                    </m:rPr>
                    <w:rPr>
                      <w:rFonts w:ascii="Cambria Math" w:hAnsi="Cambria Math" w:cs="Times New Roman"/>
                      <w:sz w:val="24"/>
                      <w:szCs w:val="24"/>
                    </w:rPr>
                    <m:t>i</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Inst</m:t>
                  </m:r>
                </m:e>
                <m:sub>
                  <m:r>
                    <m:rPr>
                      <m:sty m:val="bi"/>
                    </m:rPr>
                    <w:rPr>
                      <w:rFonts w:ascii="Cambria Math" w:hAnsi="Cambria Math" w:cs="Times New Roman"/>
                      <w:sz w:val="24"/>
                      <w:szCs w:val="24"/>
                    </w:rPr>
                    <m:t>i</m:t>
                  </m:r>
                </m:sub>
              </m:sSub>
            </m:e>
          </m:d>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6</m:t>
              </m:r>
            </m:sub>
          </m:sSub>
          <m:d>
            <m:dPr>
              <m:ctrlPr>
                <w:rPr>
                  <w:rFonts w:ascii="Cambria Math" w:hAnsi="Cambria Math" w:cs="Times New Roman"/>
                  <w:b/>
                  <w:i/>
                  <w:sz w:val="24"/>
                  <w:szCs w:val="24"/>
                </w:rPr>
              </m:ctrlPr>
            </m:dPr>
            <m:e>
              <m:sSub>
                <m:sSubPr>
                  <m:ctrlPr>
                    <w:rPr>
                      <w:rFonts w:ascii="Cambria Math" w:hAnsi="Cambria Math" w:cs="Times New Roman"/>
                      <w:b/>
                      <w:i/>
                      <w:sz w:val="24"/>
                      <w:szCs w:val="24"/>
                    </w:rPr>
                  </m:ctrlPr>
                </m:sSubPr>
                <m:e>
                  <m:r>
                    <m:rPr>
                      <m:sty m:val="bi"/>
                    </m:rPr>
                    <w:rPr>
                      <w:rFonts w:ascii="Cambria Math" w:hAnsi="Cambria Math" w:cs="Times New Roman"/>
                      <w:sz w:val="24"/>
                      <w:szCs w:val="24"/>
                    </w:rPr>
                    <m:t xml:space="preserve">Agric </m:t>
                  </m:r>
                </m:e>
                <m:sub>
                  <m:r>
                    <m:rPr>
                      <m:sty m:val="bi"/>
                    </m:rPr>
                    <w:rPr>
                      <w:rFonts w:ascii="Cambria Math" w:hAnsi="Cambria Math" w:cs="Times New Roman"/>
                      <w:sz w:val="24"/>
                      <w:szCs w:val="24"/>
                    </w:rPr>
                    <m:t>i</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Infra</m:t>
                  </m:r>
                </m:e>
                <m:sub>
                  <m:r>
                    <m:rPr>
                      <m:sty m:val="bi"/>
                    </m:rPr>
                    <w:rPr>
                      <w:rFonts w:ascii="Cambria Math" w:hAnsi="Cambria Math" w:cs="Times New Roman"/>
                      <w:sz w:val="24"/>
                      <w:szCs w:val="24"/>
                    </w:rPr>
                    <m:t>i</m:t>
                  </m:r>
                </m:sub>
              </m:sSub>
            </m:e>
          </m:d>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7</m:t>
              </m:r>
            </m:sub>
          </m:sSub>
          <m:d>
            <m:dPr>
              <m:ctrlPr>
                <w:rPr>
                  <w:rFonts w:ascii="Cambria Math" w:hAnsi="Cambria Math" w:cs="Times New Roman"/>
                  <w:b/>
                  <w:i/>
                  <w:sz w:val="24"/>
                  <w:szCs w:val="24"/>
                </w:rPr>
              </m:ctrlPr>
            </m:dPr>
            <m:e>
              <m:sSub>
                <m:sSubPr>
                  <m:ctrlPr>
                    <w:rPr>
                      <w:rFonts w:ascii="Cambria Math" w:hAnsi="Cambria Math" w:cs="Times New Roman"/>
                      <w:b/>
                      <w:i/>
                      <w:sz w:val="24"/>
                      <w:szCs w:val="24"/>
                    </w:rPr>
                  </m:ctrlPr>
                </m:sSubPr>
                <m:e>
                  <m:r>
                    <m:rPr>
                      <m:sty m:val="bi"/>
                    </m:rPr>
                    <w:rPr>
                      <w:rFonts w:ascii="Cambria Math" w:hAnsi="Cambria Math" w:cs="Times New Roman"/>
                      <w:sz w:val="24"/>
                      <w:szCs w:val="24"/>
                    </w:rPr>
                    <m:t xml:space="preserve">Agric </m:t>
                  </m:r>
                </m:e>
                <m:sub>
                  <m:r>
                    <m:rPr>
                      <m:sty m:val="bi"/>
                    </m:rPr>
                    <w:rPr>
                      <w:rFonts w:ascii="Cambria Math" w:hAnsi="Cambria Math" w:cs="Times New Roman"/>
                      <w:sz w:val="24"/>
                      <w:szCs w:val="24"/>
                    </w:rPr>
                    <m:t>i</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Shock</m:t>
                  </m:r>
                </m:e>
                <m:sub>
                  <m:r>
                    <m:rPr>
                      <m:sty m:val="bi"/>
                    </m:rPr>
                    <w:rPr>
                      <w:rFonts w:ascii="Cambria Math" w:hAnsi="Cambria Math" w:cs="Times New Roman"/>
                      <w:sz w:val="24"/>
                      <w:szCs w:val="24"/>
                    </w:rPr>
                    <m:t>i</m:t>
                  </m:r>
                </m:sub>
              </m:sSub>
            </m:e>
          </m:d>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8</m:t>
              </m:r>
            </m:sub>
          </m:sSub>
          <m:sSub>
            <m:sSubPr>
              <m:ctrlPr>
                <w:rPr>
                  <w:rFonts w:ascii="Cambria Math" w:hAnsi="Cambria Math" w:cs="Times New Roman"/>
                  <w:b/>
                  <w:i/>
                  <w:sz w:val="24"/>
                  <w:szCs w:val="24"/>
                </w:rPr>
              </m:ctrlPr>
            </m:sSubPr>
            <m:e>
              <m:r>
                <m:rPr>
                  <m:sty m:val="bi"/>
                </m:rPr>
                <w:rPr>
                  <w:rFonts w:ascii="Cambria Math" w:hAnsi="Cambria Math" w:cs="Times New Roman"/>
                  <w:sz w:val="24"/>
                  <w:szCs w:val="24"/>
                </w:rPr>
                <m:t>Controls</m:t>
              </m:r>
            </m:e>
            <m:sub>
              <m:r>
                <m:rPr>
                  <m:sty m:val="bi"/>
                </m:rPr>
                <w:rPr>
                  <w:rFonts w:ascii="Cambria Math" w:hAnsi="Cambria Math" w:cs="Times New Roman"/>
                  <w:sz w:val="24"/>
                  <w:szCs w:val="24"/>
                </w:rPr>
                <m:t>i</m:t>
              </m:r>
            </m:sub>
          </m:sSub>
          <m:sSub>
            <m:sSubPr>
              <m:ctrlPr>
                <w:rPr>
                  <w:rFonts w:ascii="Cambria Math" w:hAnsi="Cambria Math" w:cs="Times New Roman"/>
                  <w:b/>
                  <w:i/>
                  <w:sz w:val="24"/>
                  <w:szCs w:val="24"/>
                </w:rPr>
              </m:ctrlPr>
            </m:sSubPr>
            <m:e>
              <m:r>
                <m:rPr>
                  <m:sty m:val="bi"/>
                </m:rPr>
                <w:rPr>
                  <w:rFonts w:ascii="Cambria Math" w:hAnsi="Cambria Math" w:cs="Times New Roman"/>
                  <w:sz w:val="24"/>
                  <w:szCs w:val="24"/>
                </w:rPr>
                <m:t>+ε</m:t>
              </m:r>
            </m:e>
            <m:sub>
              <m:r>
                <m:rPr>
                  <m:sty m:val="bi"/>
                </m:rPr>
                <w:rPr>
                  <w:rFonts w:ascii="Cambria Math" w:hAnsi="Cambria Math" w:cs="Times New Roman"/>
                  <w:sz w:val="24"/>
                  <w:szCs w:val="24"/>
                </w:rPr>
                <m:t>i</m:t>
              </m:r>
            </m:sub>
          </m:sSub>
        </m:oMath>
      </m:oMathPara>
    </w:p>
    <w:p w14:paraId="71D93289" w14:textId="77777777" w:rsidR="005D70C8" w:rsidRDefault="00FB6549">
      <w:pPr>
        <w:pStyle w:val="NormalWeb"/>
        <w:spacing w:line="276" w:lineRule="auto"/>
        <w:jc w:val="both"/>
      </w:pPr>
      <w:r>
        <w:t>Within this model, marginal effects are calculated in order to provide an understanding of the strength of relationships. Evidence suggests that for reducing poverty, agricultural growth is much more impactful than growth in other sectors (</w:t>
      </w:r>
      <w:proofErr w:type="spellStart"/>
      <w:r>
        <w:t>Christiaensen</w:t>
      </w:r>
      <w:proofErr w:type="spellEnd"/>
      <w:r>
        <w:t xml:space="preserve"> et</w:t>
      </w:r>
      <w:r w:rsidR="00D06A02">
        <w:t xml:space="preserve"> </w:t>
      </w:r>
      <w:r>
        <w:t>al.</w:t>
      </w:r>
      <w:r w:rsidR="00D06A02">
        <w:t xml:space="preserve">, </w:t>
      </w:r>
      <w:r>
        <w:t>2011 ) This framework of interaction enables testing of moderation effects which are commonly used in applied econometric analysis to derive conditional relationships (Brambor et al., 2006). This is especially true in rural development contexts where agriculture relies on enabling conditions such as infrastructure and institutional support to be effective. They are estimated using maximum likelihood estimation. The sign of the estimated coefficients describes whether an increase in the explanatory variables leads to increased (→) or decreased (←) probability of being poor. Since coefficients from nonlinear models cannot be interpreted directly in probabilities, marginal effects are calculated to provide interpretable results (Greene 2012). Note that a negative coefficient means there is a decreased probability of being poor and a positive coefficient means increased odds of being in poverty.</w:t>
      </w:r>
    </w:p>
    <w:p w14:paraId="34749427" w14:textId="77777777" w:rsidR="005D70C8" w:rsidRDefault="00FB6549">
      <w:pPr>
        <w:pStyle w:val="NormalWeb"/>
        <w:spacing w:line="276" w:lineRule="auto"/>
        <w:jc w:val="both"/>
      </w:pPr>
      <w:r>
        <w:t xml:space="preserve">In addition to the binary model, continuous measures of poverty computed from Foster–Greer–Thorbecke (FGT) poverty index, specifically, the poverty gap (P_1) and the severity of poverty (P_2)—are incorporated. The way these measures are estimated is by means of Ordinary Least Squares (OLS) or Tobit models, which are the most used methods in poverty studies (Foster et al. 1984; Ravallion 1994). As conducted restriction tests are performed with a view for the correctness and enormity of the results obtained. We use variance inflation factor (VIF) to check for multicollinearity, while the appropriateness of goodness-of fit measures is used. Robust </w:t>
      </w:r>
      <w:r>
        <w:lastRenderedPageBreak/>
        <w:t>standard errors that correct for potential heteroskedasticity are calculated. The procedures resemble standard econometric practice (Wooldridge, 2010).</w:t>
      </w:r>
    </w:p>
    <w:p w14:paraId="776462AC" w14:textId="77777777" w:rsidR="005D70C8" w:rsidRDefault="005D70C8">
      <w:pPr>
        <w:pStyle w:val="NormalWeb"/>
        <w:spacing w:before="0" w:beforeAutospacing="0" w:after="0" w:afterAutospacing="0" w:line="360" w:lineRule="auto"/>
        <w:jc w:val="both"/>
        <w:rPr>
          <w:b/>
        </w:rPr>
        <w:sectPr w:rsidR="005D70C8" w:rsidSect="00A908D8">
          <w:type w:val="continuous"/>
          <w:pgSz w:w="12240" w:h="15840"/>
          <w:pgMar w:top="450" w:right="1440" w:bottom="1440" w:left="1440" w:header="720" w:footer="720" w:gutter="0"/>
          <w:cols w:space="360"/>
          <w:docGrid w:linePitch="360"/>
        </w:sectPr>
      </w:pPr>
    </w:p>
    <w:p w14:paraId="47B5B06C" w14:textId="77777777" w:rsidR="00A908D8" w:rsidRDefault="00A908D8">
      <w:pPr>
        <w:rPr>
          <w:rFonts w:ascii="Times New Roman" w:eastAsia="Times New Roman" w:hAnsi="Times New Roman" w:cs="Times New Roman"/>
          <w:b/>
          <w:sz w:val="24"/>
          <w:szCs w:val="24"/>
        </w:rPr>
      </w:pPr>
      <w:r>
        <w:rPr>
          <w:b/>
        </w:rPr>
        <w:br w:type="page"/>
      </w:r>
    </w:p>
    <w:p w14:paraId="612A5DC3" w14:textId="5F5E8232" w:rsidR="005D70C8" w:rsidRDefault="00FB6549">
      <w:pPr>
        <w:pStyle w:val="NormalWeb"/>
        <w:spacing w:before="0" w:beforeAutospacing="0" w:after="0" w:afterAutospacing="0" w:line="360" w:lineRule="auto"/>
        <w:jc w:val="both"/>
        <w:rPr>
          <w:b/>
        </w:rPr>
      </w:pPr>
      <w:r>
        <w:rPr>
          <w:b/>
        </w:rPr>
        <w:lastRenderedPageBreak/>
        <w:t>4. Results and Discussion</w:t>
      </w:r>
    </w:p>
    <w:p w14:paraId="315BF6A7" w14:textId="77777777" w:rsidR="005D70C8" w:rsidRDefault="00FB6549">
      <w:pPr>
        <w:pStyle w:val="NormalWeb"/>
        <w:spacing w:before="0" w:beforeAutospacing="0" w:after="0" w:afterAutospacing="0" w:line="360" w:lineRule="auto"/>
        <w:jc w:val="both"/>
        <w:rPr>
          <w:b/>
        </w:rPr>
      </w:pPr>
      <w:r>
        <w:rPr>
          <w:b/>
          <w:bCs/>
        </w:rPr>
        <w:t xml:space="preserve">Table 1:Descriptive Statistics </w:t>
      </w:r>
    </w:p>
    <w:tbl>
      <w:tblPr>
        <w:tblW w:w="0" w:type="auto"/>
        <w:tblLayout w:type="fixed"/>
        <w:tblLook w:val="0000" w:firstRow="0" w:lastRow="0" w:firstColumn="0" w:lastColumn="0" w:noHBand="0" w:noVBand="0"/>
      </w:tblPr>
      <w:tblGrid>
        <w:gridCol w:w="2340"/>
        <w:gridCol w:w="968"/>
        <w:gridCol w:w="1400"/>
        <w:gridCol w:w="1400"/>
        <w:gridCol w:w="1400"/>
        <w:gridCol w:w="1400"/>
      </w:tblGrid>
      <w:tr w:rsidR="005D70C8" w14:paraId="70957AE2" w14:textId="77777777">
        <w:tc>
          <w:tcPr>
            <w:tcW w:w="2340" w:type="dxa"/>
            <w:tcBorders>
              <w:top w:val="single" w:sz="4" w:space="0" w:color="auto"/>
              <w:left w:val="nil"/>
              <w:bottom w:val="single" w:sz="10" w:space="0" w:color="auto"/>
              <w:right w:val="nil"/>
            </w:tcBorders>
          </w:tcPr>
          <w:p w14:paraId="30124554" w14:textId="77777777" w:rsidR="005D70C8" w:rsidRDefault="00FB65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Variable</w:t>
            </w:r>
          </w:p>
        </w:tc>
        <w:tc>
          <w:tcPr>
            <w:tcW w:w="968" w:type="dxa"/>
            <w:tcBorders>
              <w:top w:val="single" w:sz="4" w:space="0" w:color="auto"/>
              <w:left w:val="nil"/>
              <w:bottom w:val="single" w:sz="10" w:space="0" w:color="auto"/>
              <w:right w:val="nil"/>
            </w:tcBorders>
          </w:tcPr>
          <w:p w14:paraId="47FA6721"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Obs</w:t>
            </w:r>
          </w:p>
        </w:tc>
        <w:tc>
          <w:tcPr>
            <w:tcW w:w="1400" w:type="dxa"/>
            <w:tcBorders>
              <w:top w:val="single" w:sz="4" w:space="0" w:color="auto"/>
              <w:left w:val="nil"/>
              <w:bottom w:val="single" w:sz="10" w:space="0" w:color="auto"/>
              <w:right w:val="nil"/>
            </w:tcBorders>
          </w:tcPr>
          <w:p w14:paraId="6C533EFE"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Mean</w:t>
            </w:r>
          </w:p>
        </w:tc>
        <w:tc>
          <w:tcPr>
            <w:tcW w:w="1400" w:type="dxa"/>
            <w:tcBorders>
              <w:top w:val="single" w:sz="4" w:space="0" w:color="auto"/>
              <w:left w:val="nil"/>
              <w:bottom w:val="single" w:sz="10" w:space="0" w:color="auto"/>
              <w:right w:val="nil"/>
            </w:tcBorders>
          </w:tcPr>
          <w:p w14:paraId="50A48697"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Std. Dev.</w:t>
            </w:r>
          </w:p>
        </w:tc>
        <w:tc>
          <w:tcPr>
            <w:tcW w:w="1400" w:type="dxa"/>
            <w:tcBorders>
              <w:top w:val="single" w:sz="4" w:space="0" w:color="auto"/>
              <w:left w:val="nil"/>
              <w:bottom w:val="single" w:sz="10" w:space="0" w:color="auto"/>
              <w:right w:val="nil"/>
            </w:tcBorders>
          </w:tcPr>
          <w:p w14:paraId="52CC337C"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Min</w:t>
            </w:r>
          </w:p>
        </w:tc>
        <w:tc>
          <w:tcPr>
            <w:tcW w:w="1400" w:type="dxa"/>
            <w:tcBorders>
              <w:top w:val="single" w:sz="4" w:space="0" w:color="auto"/>
              <w:left w:val="nil"/>
              <w:bottom w:val="single" w:sz="10" w:space="0" w:color="auto"/>
              <w:right w:val="nil"/>
            </w:tcBorders>
          </w:tcPr>
          <w:p w14:paraId="7EDFF3B6"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Max</w:t>
            </w:r>
          </w:p>
        </w:tc>
      </w:tr>
      <w:tr w:rsidR="005D70C8" w14:paraId="18825501" w14:textId="77777777">
        <w:tc>
          <w:tcPr>
            <w:tcW w:w="2340" w:type="dxa"/>
            <w:tcBorders>
              <w:top w:val="nil"/>
              <w:left w:val="nil"/>
              <w:bottom w:val="nil"/>
              <w:right w:val="nil"/>
            </w:tcBorders>
          </w:tcPr>
          <w:p w14:paraId="3198345A" w14:textId="77777777" w:rsidR="005D70C8" w:rsidRDefault="00FB65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poor</w:t>
            </w:r>
          </w:p>
        </w:tc>
        <w:tc>
          <w:tcPr>
            <w:tcW w:w="968" w:type="dxa"/>
            <w:tcBorders>
              <w:top w:val="nil"/>
              <w:left w:val="nil"/>
              <w:bottom w:val="nil"/>
              <w:right w:val="nil"/>
            </w:tcBorders>
          </w:tcPr>
          <w:p w14:paraId="371D2B1A"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427</w:t>
            </w:r>
          </w:p>
        </w:tc>
        <w:tc>
          <w:tcPr>
            <w:tcW w:w="1400" w:type="dxa"/>
            <w:tcBorders>
              <w:top w:val="nil"/>
              <w:left w:val="nil"/>
              <w:bottom w:val="nil"/>
              <w:right w:val="nil"/>
            </w:tcBorders>
          </w:tcPr>
          <w:p w14:paraId="750B4614"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.499</w:t>
            </w:r>
          </w:p>
        </w:tc>
        <w:tc>
          <w:tcPr>
            <w:tcW w:w="1400" w:type="dxa"/>
            <w:tcBorders>
              <w:top w:val="nil"/>
              <w:left w:val="nil"/>
              <w:bottom w:val="nil"/>
              <w:right w:val="nil"/>
            </w:tcBorders>
          </w:tcPr>
          <w:p w14:paraId="4C8C71F7"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.501</w:t>
            </w:r>
          </w:p>
        </w:tc>
        <w:tc>
          <w:tcPr>
            <w:tcW w:w="1400" w:type="dxa"/>
            <w:tcBorders>
              <w:top w:val="nil"/>
              <w:left w:val="nil"/>
              <w:bottom w:val="nil"/>
              <w:right w:val="nil"/>
            </w:tcBorders>
          </w:tcPr>
          <w:p w14:paraId="42FCDE95"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400" w:type="dxa"/>
            <w:tcBorders>
              <w:top w:val="nil"/>
              <w:left w:val="nil"/>
              <w:bottom w:val="nil"/>
              <w:right w:val="nil"/>
            </w:tcBorders>
          </w:tcPr>
          <w:p w14:paraId="79F3C966"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r>
      <w:tr w:rsidR="005D70C8" w14:paraId="245E8D8F" w14:textId="77777777">
        <w:tc>
          <w:tcPr>
            <w:tcW w:w="2340" w:type="dxa"/>
            <w:tcBorders>
              <w:top w:val="nil"/>
              <w:left w:val="nil"/>
              <w:bottom w:val="nil"/>
              <w:right w:val="nil"/>
            </w:tcBorders>
          </w:tcPr>
          <w:p w14:paraId="5B03C015" w14:textId="77777777" w:rsidR="005D70C8" w:rsidRDefault="00FB65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gap</w:t>
            </w:r>
          </w:p>
        </w:tc>
        <w:tc>
          <w:tcPr>
            <w:tcW w:w="968" w:type="dxa"/>
            <w:tcBorders>
              <w:top w:val="nil"/>
              <w:left w:val="nil"/>
              <w:bottom w:val="nil"/>
              <w:right w:val="nil"/>
            </w:tcBorders>
          </w:tcPr>
          <w:p w14:paraId="39ECD2BA"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427</w:t>
            </w:r>
          </w:p>
        </w:tc>
        <w:tc>
          <w:tcPr>
            <w:tcW w:w="1400" w:type="dxa"/>
            <w:tcBorders>
              <w:top w:val="nil"/>
              <w:left w:val="nil"/>
              <w:bottom w:val="nil"/>
              <w:right w:val="nil"/>
            </w:tcBorders>
          </w:tcPr>
          <w:p w14:paraId="4D5CEF07"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.164</w:t>
            </w:r>
          </w:p>
        </w:tc>
        <w:tc>
          <w:tcPr>
            <w:tcW w:w="1400" w:type="dxa"/>
            <w:tcBorders>
              <w:top w:val="nil"/>
              <w:left w:val="nil"/>
              <w:bottom w:val="nil"/>
              <w:right w:val="nil"/>
            </w:tcBorders>
          </w:tcPr>
          <w:p w14:paraId="014AC7FF"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.22</w:t>
            </w:r>
          </w:p>
        </w:tc>
        <w:tc>
          <w:tcPr>
            <w:tcW w:w="1400" w:type="dxa"/>
            <w:tcBorders>
              <w:top w:val="nil"/>
              <w:left w:val="nil"/>
              <w:bottom w:val="nil"/>
              <w:right w:val="nil"/>
            </w:tcBorders>
          </w:tcPr>
          <w:p w14:paraId="2CE73D0E"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400" w:type="dxa"/>
            <w:tcBorders>
              <w:top w:val="nil"/>
              <w:left w:val="nil"/>
              <w:bottom w:val="nil"/>
              <w:right w:val="nil"/>
            </w:tcBorders>
          </w:tcPr>
          <w:p w14:paraId="3E1E1D80"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.85</w:t>
            </w:r>
          </w:p>
        </w:tc>
      </w:tr>
      <w:tr w:rsidR="005D70C8" w14:paraId="4DFEB601" w14:textId="77777777">
        <w:tc>
          <w:tcPr>
            <w:tcW w:w="2340" w:type="dxa"/>
            <w:tcBorders>
              <w:top w:val="nil"/>
              <w:left w:val="nil"/>
              <w:bottom w:val="nil"/>
              <w:right w:val="nil"/>
            </w:tcBorders>
          </w:tcPr>
          <w:p w14:paraId="5A695ED8" w14:textId="77777777" w:rsidR="005D70C8" w:rsidRDefault="00FB65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gap2</w:t>
            </w:r>
          </w:p>
        </w:tc>
        <w:tc>
          <w:tcPr>
            <w:tcW w:w="968" w:type="dxa"/>
            <w:tcBorders>
              <w:top w:val="nil"/>
              <w:left w:val="nil"/>
              <w:bottom w:val="nil"/>
              <w:right w:val="nil"/>
            </w:tcBorders>
          </w:tcPr>
          <w:p w14:paraId="176871A4"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427</w:t>
            </w:r>
          </w:p>
        </w:tc>
        <w:tc>
          <w:tcPr>
            <w:tcW w:w="1400" w:type="dxa"/>
            <w:tcBorders>
              <w:top w:val="nil"/>
              <w:left w:val="nil"/>
              <w:bottom w:val="nil"/>
              <w:right w:val="nil"/>
            </w:tcBorders>
          </w:tcPr>
          <w:p w14:paraId="1CDC6D02"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.075</w:t>
            </w:r>
          </w:p>
        </w:tc>
        <w:tc>
          <w:tcPr>
            <w:tcW w:w="1400" w:type="dxa"/>
            <w:tcBorders>
              <w:top w:val="nil"/>
              <w:left w:val="nil"/>
              <w:bottom w:val="nil"/>
              <w:right w:val="nil"/>
            </w:tcBorders>
          </w:tcPr>
          <w:p w14:paraId="4F4EA3B1"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.135</w:t>
            </w:r>
          </w:p>
        </w:tc>
        <w:tc>
          <w:tcPr>
            <w:tcW w:w="1400" w:type="dxa"/>
            <w:tcBorders>
              <w:top w:val="nil"/>
              <w:left w:val="nil"/>
              <w:bottom w:val="nil"/>
              <w:right w:val="nil"/>
            </w:tcBorders>
          </w:tcPr>
          <w:p w14:paraId="16EA9F76"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400" w:type="dxa"/>
            <w:tcBorders>
              <w:top w:val="nil"/>
              <w:left w:val="nil"/>
              <w:bottom w:val="nil"/>
              <w:right w:val="nil"/>
            </w:tcBorders>
          </w:tcPr>
          <w:p w14:paraId="41F42365"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.722</w:t>
            </w:r>
          </w:p>
        </w:tc>
      </w:tr>
      <w:tr w:rsidR="005D70C8" w14:paraId="158D7A3B" w14:textId="77777777">
        <w:tc>
          <w:tcPr>
            <w:tcW w:w="2340" w:type="dxa"/>
            <w:tcBorders>
              <w:top w:val="nil"/>
              <w:left w:val="nil"/>
              <w:bottom w:val="nil"/>
              <w:right w:val="nil"/>
            </w:tcBorders>
          </w:tcPr>
          <w:p w14:paraId="3F9915D0" w14:textId="77777777" w:rsidR="005D70C8" w:rsidRDefault="00FB65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inc ae</w:t>
            </w:r>
          </w:p>
        </w:tc>
        <w:tc>
          <w:tcPr>
            <w:tcW w:w="968" w:type="dxa"/>
            <w:tcBorders>
              <w:top w:val="nil"/>
              <w:left w:val="nil"/>
              <w:bottom w:val="nil"/>
              <w:right w:val="nil"/>
            </w:tcBorders>
          </w:tcPr>
          <w:p w14:paraId="6EE6910B"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427</w:t>
            </w:r>
          </w:p>
        </w:tc>
        <w:tc>
          <w:tcPr>
            <w:tcW w:w="1400" w:type="dxa"/>
            <w:tcBorders>
              <w:top w:val="nil"/>
              <w:left w:val="nil"/>
              <w:bottom w:val="nil"/>
              <w:right w:val="nil"/>
            </w:tcBorders>
          </w:tcPr>
          <w:p w14:paraId="1E5753F3"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284164.87</w:t>
            </w:r>
          </w:p>
        </w:tc>
        <w:tc>
          <w:tcPr>
            <w:tcW w:w="1400" w:type="dxa"/>
            <w:tcBorders>
              <w:top w:val="nil"/>
              <w:left w:val="nil"/>
              <w:bottom w:val="nil"/>
              <w:right w:val="nil"/>
            </w:tcBorders>
          </w:tcPr>
          <w:p w14:paraId="173C5BFC"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162606.03</w:t>
            </w:r>
          </w:p>
        </w:tc>
        <w:tc>
          <w:tcPr>
            <w:tcW w:w="1400" w:type="dxa"/>
            <w:tcBorders>
              <w:top w:val="nil"/>
              <w:left w:val="nil"/>
              <w:bottom w:val="nil"/>
              <w:right w:val="nil"/>
            </w:tcBorders>
          </w:tcPr>
          <w:p w14:paraId="01A189B3"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36639.658</w:t>
            </w:r>
          </w:p>
        </w:tc>
        <w:tc>
          <w:tcPr>
            <w:tcW w:w="1400" w:type="dxa"/>
            <w:tcBorders>
              <w:top w:val="nil"/>
              <w:left w:val="nil"/>
              <w:bottom w:val="nil"/>
              <w:right w:val="nil"/>
            </w:tcBorders>
          </w:tcPr>
          <w:p w14:paraId="2D2C3F84"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998799.95</w:t>
            </w:r>
          </w:p>
        </w:tc>
      </w:tr>
      <w:tr w:rsidR="005D70C8" w14:paraId="2BA61C4C" w14:textId="77777777">
        <w:tc>
          <w:tcPr>
            <w:tcW w:w="2340" w:type="dxa"/>
            <w:tcBorders>
              <w:top w:val="nil"/>
              <w:left w:val="nil"/>
              <w:bottom w:val="nil"/>
              <w:right w:val="nil"/>
            </w:tcBorders>
          </w:tcPr>
          <w:p w14:paraId="6F96EF27" w14:textId="77777777" w:rsidR="005D70C8" w:rsidRDefault="00FB65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age</w:t>
            </w:r>
          </w:p>
        </w:tc>
        <w:tc>
          <w:tcPr>
            <w:tcW w:w="968" w:type="dxa"/>
            <w:tcBorders>
              <w:top w:val="nil"/>
              <w:left w:val="nil"/>
              <w:bottom w:val="nil"/>
              <w:right w:val="nil"/>
            </w:tcBorders>
          </w:tcPr>
          <w:p w14:paraId="0C6198D4"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427</w:t>
            </w:r>
          </w:p>
        </w:tc>
        <w:tc>
          <w:tcPr>
            <w:tcW w:w="1400" w:type="dxa"/>
            <w:tcBorders>
              <w:top w:val="nil"/>
              <w:left w:val="nil"/>
              <w:bottom w:val="nil"/>
              <w:right w:val="nil"/>
            </w:tcBorders>
          </w:tcPr>
          <w:p w14:paraId="1730BD3B"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49.45</w:t>
            </w:r>
          </w:p>
        </w:tc>
        <w:tc>
          <w:tcPr>
            <w:tcW w:w="1400" w:type="dxa"/>
            <w:tcBorders>
              <w:top w:val="nil"/>
              <w:left w:val="nil"/>
              <w:bottom w:val="nil"/>
              <w:right w:val="nil"/>
            </w:tcBorders>
          </w:tcPr>
          <w:p w14:paraId="43D84D76"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17.177</w:t>
            </w:r>
          </w:p>
        </w:tc>
        <w:tc>
          <w:tcPr>
            <w:tcW w:w="1400" w:type="dxa"/>
            <w:tcBorders>
              <w:top w:val="nil"/>
              <w:left w:val="nil"/>
              <w:bottom w:val="nil"/>
              <w:right w:val="nil"/>
            </w:tcBorders>
          </w:tcPr>
          <w:p w14:paraId="5C207737"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20</w:t>
            </w:r>
          </w:p>
        </w:tc>
        <w:tc>
          <w:tcPr>
            <w:tcW w:w="1400" w:type="dxa"/>
            <w:tcBorders>
              <w:top w:val="nil"/>
              <w:left w:val="nil"/>
              <w:bottom w:val="nil"/>
              <w:right w:val="nil"/>
            </w:tcBorders>
          </w:tcPr>
          <w:p w14:paraId="648A6088"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79</w:t>
            </w:r>
          </w:p>
        </w:tc>
      </w:tr>
      <w:tr w:rsidR="005D70C8" w14:paraId="02544F80" w14:textId="77777777">
        <w:tc>
          <w:tcPr>
            <w:tcW w:w="2340" w:type="dxa"/>
            <w:tcBorders>
              <w:top w:val="nil"/>
              <w:left w:val="nil"/>
              <w:bottom w:val="nil"/>
              <w:right w:val="nil"/>
            </w:tcBorders>
          </w:tcPr>
          <w:p w14:paraId="1E984FC0" w14:textId="77777777" w:rsidR="005D70C8" w:rsidRDefault="00FB65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hhsz</w:t>
            </w:r>
          </w:p>
        </w:tc>
        <w:tc>
          <w:tcPr>
            <w:tcW w:w="968" w:type="dxa"/>
            <w:tcBorders>
              <w:top w:val="nil"/>
              <w:left w:val="nil"/>
              <w:bottom w:val="nil"/>
              <w:right w:val="nil"/>
            </w:tcBorders>
          </w:tcPr>
          <w:p w14:paraId="54383ECF"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427</w:t>
            </w:r>
          </w:p>
        </w:tc>
        <w:tc>
          <w:tcPr>
            <w:tcW w:w="1400" w:type="dxa"/>
            <w:tcBorders>
              <w:top w:val="nil"/>
              <w:left w:val="nil"/>
              <w:bottom w:val="nil"/>
              <w:right w:val="nil"/>
            </w:tcBorders>
          </w:tcPr>
          <w:p w14:paraId="0CCE5EAC"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5.026</w:t>
            </w:r>
          </w:p>
        </w:tc>
        <w:tc>
          <w:tcPr>
            <w:tcW w:w="1400" w:type="dxa"/>
            <w:tcBorders>
              <w:top w:val="nil"/>
              <w:left w:val="nil"/>
              <w:bottom w:val="nil"/>
              <w:right w:val="nil"/>
            </w:tcBorders>
          </w:tcPr>
          <w:p w14:paraId="6412AD4C"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2.042</w:t>
            </w:r>
          </w:p>
        </w:tc>
        <w:tc>
          <w:tcPr>
            <w:tcW w:w="1400" w:type="dxa"/>
            <w:tcBorders>
              <w:top w:val="nil"/>
              <w:left w:val="nil"/>
              <w:bottom w:val="nil"/>
              <w:right w:val="nil"/>
            </w:tcBorders>
          </w:tcPr>
          <w:p w14:paraId="3B8F1B05"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1400" w:type="dxa"/>
            <w:tcBorders>
              <w:top w:val="nil"/>
              <w:left w:val="nil"/>
              <w:bottom w:val="nil"/>
              <w:right w:val="nil"/>
            </w:tcBorders>
          </w:tcPr>
          <w:p w14:paraId="7C0C638F"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10</w:t>
            </w:r>
          </w:p>
        </w:tc>
      </w:tr>
      <w:tr w:rsidR="005D70C8" w14:paraId="1B90C9A9" w14:textId="77777777">
        <w:tc>
          <w:tcPr>
            <w:tcW w:w="2340" w:type="dxa"/>
            <w:tcBorders>
              <w:top w:val="nil"/>
              <w:left w:val="nil"/>
              <w:bottom w:val="nil"/>
              <w:right w:val="nil"/>
            </w:tcBorders>
          </w:tcPr>
          <w:p w14:paraId="777AA05D" w14:textId="77777777" w:rsidR="005D70C8" w:rsidRDefault="00FB65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agr input</w:t>
            </w:r>
          </w:p>
        </w:tc>
        <w:tc>
          <w:tcPr>
            <w:tcW w:w="968" w:type="dxa"/>
            <w:tcBorders>
              <w:top w:val="nil"/>
              <w:left w:val="nil"/>
              <w:bottom w:val="nil"/>
              <w:right w:val="nil"/>
            </w:tcBorders>
          </w:tcPr>
          <w:p w14:paraId="3666F8D6"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427</w:t>
            </w:r>
          </w:p>
        </w:tc>
        <w:tc>
          <w:tcPr>
            <w:tcW w:w="1400" w:type="dxa"/>
            <w:tcBorders>
              <w:top w:val="nil"/>
              <w:left w:val="nil"/>
              <w:bottom w:val="nil"/>
              <w:right w:val="nil"/>
            </w:tcBorders>
          </w:tcPr>
          <w:p w14:paraId="27650DA0"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.478</w:t>
            </w:r>
          </w:p>
        </w:tc>
        <w:tc>
          <w:tcPr>
            <w:tcW w:w="1400" w:type="dxa"/>
            <w:tcBorders>
              <w:top w:val="nil"/>
              <w:left w:val="nil"/>
              <w:bottom w:val="nil"/>
              <w:right w:val="nil"/>
            </w:tcBorders>
          </w:tcPr>
          <w:p w14:paraId="6AC86B78"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1400" w:type="dxa"/>
            <w:tcBorders>
              <w:top w:val="nil"/>
              <w:left w:val="nil"/>
              <w:bottom w:val="nil"/>
              <w:right w:val="nil"/>
            </w:tcBorders>
          </w:tcPr>
          <w:p w14:paraId="25CFCB37"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400" w:type="dxa"/>
            <w:tcBorders>
              <w:top w:val="nil"/>
              <w:left w:val="nil"/>
              <w:bottom w:val="nil"/>
              <w:right w:val="nil"/>
            </w:tcBorders>
          </w:tcPr>
          <w:p w14:paraId="2FB3B0C2"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r>
      <w:tr w:rsidR="005D70C8" w14:paraId="70100D32" w14:textId="77777777">
        <w:tc>
          <w:tcPr>
            <w:tcW w:w="2340" w:type="dxa"/>
            <w:tcBorders>
              <w:top w:val="nil"/>
              <w:left w:val="nil"/>
              <w:bottom w:val="nil"/>
              <w:right w:val="nil"/>
            </w:tcBorders>
          </w:tcPr>
          <w:p w14:paraId="1C95214D" w14:textId="77777777" w:rsidR="005D70C8" w:rsidRDefault="00FB65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agr credit</w:t>
            </w:r>
          </w:p>
        </w:tc>
        <w:tc>
          <w:tcPr>
            <w:tcW w:w="968" w:type="dxa"/>
            <w:tcBorders>
              <w:top w:val="nil"/>
              <w:left w:val="nil"/>
              <w:bottom w:val="nil"/>
              <w:right w:val="nil"/>
            </w:tcBorders>
          </w:tcPr>
          <w:p w14:paraId="202B56B3"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427</w:t>
            </w:r>
          </w:p>
        </w:tc>
        <w:tc>
          <w:tcPr>
            <w:tcW w:w="1400" w:type="dxa"/>
            <w:tcBorders>
              <w:top w:val="nil"/>
              <w:left w:val="nil"/>
              <w:bottom w:val="nil"/>
              <w:right w:val="nil"/>
            </w:tcBorders>
          </w:tcPr>
          <w:p w14:paraId="39A9CEB2"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.335</w:t>
            </w:r>
          </w:p>
        </w:tc>
        <w:tc>
          <w:tcPr>
            <w:tcW w:w="1400" w:type="dxa"/>
            <w:tcBorders>
              <w:top w:val="nil"/>
              <w:left w:val="nil"/>
              <w:bottom w:val="nil"/>
              <w:right w:val="nil"/>
            </w:tcBorders>
          </w:tcPr>
          <w:p w14:paraId="426B48F2"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.473</w:t>
            </w:r>
          </w:p>
        </w:tc>
        <w:tc>
          <w:tcPr>
            <w:tcW w:w="1400" w:type="dxa"/>
            <w:tcBorders>
              <w:top w:val="nil"/>
              <w:left w:val="nil"/>
              <w:bottom w:val="nil"/>
              <w:right w:val="nil"/>
            </w:tcBorders>
          </w:tcPr>
          <w:p w14:paraId="28DA544A"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400" w:type="dxa"/>
            <w:tcBorders>
              <w:top w:val="nil"/>
              <w:left w:val="nil"/>
              <w:bottom w:val="nil"/>
              <w:right w:val="nil"/>
            </w:tcBorders>
          </w:tcPr>
          <w:p w14:paraId="5AE075B2"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r>
      <w:tr w:rsidR="005D70C8" w14:paraId="7EF67263" w14:textId="77777777">
        <w:tc>
          <w:tcPr>
            <w:tcW w:w="2340" w:type="dxa"/>
            <w:tcBorders>
              <w:top w:val="nil"/>
              <w:left w:val="nil"/>
              <w:bottom w:val="nil"/>
              <w:right w:val="nil"/>
            </w:tcBorders>
          </w:tcPr>
          <w:p w14:paraId="32D727B5" w14:textId="77777777" w:rsidR="005D70C8" w:rsidRDefault="00FB65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agr extension</w:t>
            </w:r>
          </w:p>
        </w:tc>
        <w:tc>
          <w:tcPr>
            <w:tcW w:w="968" w:type="dxa"/>
            <w:tcBorders>
              <w:top w:val="nil"/>
              <w:left w:val="nil"/>
              <w:bottom w:val="nil"/>
              <w:right w:val="nil"/>
            </w:tcBorders>
          </w:tcPr>
          <w:p w14:paraId="031B1E01"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427</w:t>
            </w:r>
          </w:p>
        </w:tc>
        <w:tc>
          <w:tcPr>
            <w:tcW w:w="1400" w:type="dxa"/>
            <w:tcBorders>
              <w:top w:val="nil"/>
              <w:left w:val="nil"/>
              <w:bottom w:val="nil"/>
              <w:right w:val="nil"/>
            </w:tcBorders>
          </w:tcPr>
          <w:p w14:paraId="425AB845"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.431</w:t>
            </w:r>
          </w:p>
        </w:tc>
        <w:tc>
          <w:tcPr>
            <w:tcW w:w="1400" w:type="dxa"/>
            <w:tcBorders>
              <w:top w:val="nil"/>
              <w:left w:val="nil"/>
              <w:bottom w:val="nil"/>
              <w:right w:val="nil"/>
            </w:tcBorders>
          </w:tcPr>
          <w:p w14:paraId="2D5C19D8"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.496</w:t>
            </w:r>
          </w:p>
        </w:tc>
        <w:tc>
          <w:tcPr>
            <w:tcW w:w="1400" w:type="dxa"/>
            <w:tcBorders>
              <w:top w:val="nil"/>
              <w:left w:val="nil"/>
              <w:bottom w:val="nil"/>
              <w:right w:val="nil"/>
            </w:tcBorders>
          </w:tcPr>
          <w:p w14:paraId="415837BB"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400" w:type="dxa"/>
            <w:tcBorders>
              <w:top w:val="nil"/>
              <w:left w:val="nil"/>
              <w:bottom w:val="nil"/>
              <w:right w:val="nil"/>
            </w:tcBorders>
          </w:tcPr>
          <w:p w14:paraId="705EC69D"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r>
      <w:tr w:rsidR="005D70C8" w14:paraId="54FCF664" w14:textId="77777777">
        <w:tc>
          <w:tcPr>
            <w:tcW w:w="2340" w:type="dxa"/>
            <w:tcBorders>
              <w:top w:val="nil"/>
              <w:left w:val="nil"/>
              <w:bottom w:val="nil"/>
              <w:right w:val="nil"/>
            </w:tcBorders>
          </w:tcPr>
          <w:p w14:paraId="4F8F3BD2" w14:textId="77777777" w:rsidR="005D70C8" w:rsidRDefault="00FB65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agr land</w:t>
            </w:r>
          </w:p>
        </w:tc>
        <w:tc>
          <w:tcPr>
            <w:tcW w:w="968" w:type="dxa"/>
            <w:tcBorders>
              <w:top w:val="nil"/>
              <w:left w:val="nil"/>
              <w:bottom w:val="nil"/>
              <w:right w:val="nil"/>
            </w:tcBorders>
          </w:tcPr>
          <w:p w14:paraId="44F6CADE"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427</w:t>
            </w:r>
          </w:p>
        </w:tc>
        <w:tc>
          <w:tcPr>
            <w:tcW w:w="1400" w:type="dxa"/>
            <w:tcBorders>
              <w:top w:val="nil"/>
              <w:left w:val="nil"/>
              <w:bottom w:val="nil"/>
              <w:right w:val="nil"/>
            </w:tcBorders>
          </w:tcPr>
          <w:p w14:paraId="4AD18FD9"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.689</w:t>
            </w:r>
          </w:p>
        </w:tc>
        <w:tc>
          <w:tcPr>
            <w:tcW w:w="1400" w:type="dxa"/>
            <w:tcBorders>
              <w:top w:val="nil"/>
              <w:left w:val="nil"/>
              <w:bottom w:val="nil"/>
              <w:right w:val="nil"/>
            </w:tcBorders>
          </w:tcPr>
          <w:p w14:paraId="64885291"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.464</w:t>
            </w:r>
          </w:p>
        </w:tc>
        <w:tc>
          <w:tcPr>
            <w:tcW w:w="1400" w:type="dxa"/>
            <w:tcBorders>
              <w:top w:val="nil"/>
              <w:left w:val="nil"/>
              <w:bottom w:val="nil"/>
              <w:right w:val="nil"/>
            </w:tcBorders>
          </w:tcPr>
          <w:p w14:paraId="5CD4839A"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400" w:type="dxa"/>
            <w:tcBorders>
              <w:top w:val="nil"/>
              <w:left w:val="nil"/>
              <w:bottom w:val="nil"/>
              <w:right w:val="nil"/>
            </w:tcBorders>
          </w:tcPr>
          <w:p w14:paraId="5FC99F9B"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r>
      <w:tr w:rsidR="005D70C8" w14:paraId="4A0DB2C1" w14:textId="77777777">
        <w:tc>
          <w:tcPr>
            <w:tcW w:w="2340" w:type="dxa"/>
            <w:tcBorders>
              <w:top w:val="nil"/>
              <w:left w:val="nil"/>
              <w:bottom w:val="nil"/>
              <w:right w:val="nil"/>
            </w:tcBorders>
          </w:tcPr>
          <w:p w14:paraId="0785488D" w14:textId="77777777" w:rsidR="005D70C8" w:rsidRDefault="00FB65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agr market</w:t>
            </w:r>
          </w:p>
        </w:tc>
        <w:tc>
          <w:tcPr>
            <w:tcW w:w="968" w:type="dxa"/>
            <w:tcBorders>
              <w:top w:val="nil"/>
              <w:left w:val="nil"/>
              <w:bottom w:val="nil"/>
              <w:right w:val="nil"/>
            </w:tcBorders>
          </w:tcPr>
          <w:p w14:paraId="1F3D041E"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427</w:t>
            </w:r>
          </w:p>
        </w:tc>
        <w:tc>
          <w:tcPr>
            <w:tcW w:w="1400" w:type="dxa"/>
            <w:tcBorders>
              <w:top w:val="nil"/>
              <w:left w:val="nil"/>
              <w:bottom w:val="nil"/>
              <w:right w:val="nil"/>
            </w:tcBorders>
          </w:tcPr>
          <w:p w14:paraId="02D3C3E6"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.548</w:t>
            </w:r>
          </w:p>
        </w:tc>
        <w:tc>
          <w:tcPr>
            <w:tcW w:w="1400" w:type="dxa"/>
            <w:tcBorders>
              <w:top w:val="nil"/>
              <w:left w:val="nil"/>
              <w:bottom w:val="nil"/>
              <w:right w:val="nil"/>
            </w:tcBorders>
          </w:tcPr>
          <w:p w14:paraId="110F0F98"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.498</w:t>
            </w:r>
          </w:p>
        </w:tc>
        <w:tc>
          <w:tcPr>
            <w:tcW w:w="1400" w:type="dxa"/>
            <w:tcBorders>
              <w:top w:val="nil"/>
              <w:left w:val="nil"/>
              <w:bottom w:val="nil"/>
              <w:right w:val="nil"/>
            </w:tcBorders>
          </w:tcPr>
          <w:p w14:paraId="09D6072D"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400" w:type="dxa"/>
            <w:tcBorders>
              <w:top w:val="nil"/>
              <w:left w:val="nil"/>
              <w:bottom w:val="nil"/>
              <w:right w:val="nil"/>
            </w:tcBorders>
          </w:tcPr>
          <w:p w14:paraId="72DE025E"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r>
      <w:tr w:rsidR="005D70C8" w14:paraId="762E3A29" w14:textId="77777777">
        <w:tc>
          <w:tcPr>
            <w:tcW w:w="2340" w:type="dxa"/>
            <w:tcBorders>
              <w:top w:val="nil"/>
              <w:left w:val="nil"/>
              <w:bottom w:val="nil"/>
              <w:right w:val="nil"/>
            </w:tcBorders>
          </w:tcPr>
          <w:p w14:paraId="0A8F7174" w14:textId="77777777" w:rsidR="005D70C8" w:rsidRDefault="00FB65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institution index</w:t>
            </w:r>
          </w:p>
        </w:tc>
        <w:tc>
          <w:tcPr>
            <w:tcW w:w="968" w:type="dxa"/>
            <w:tcBorders>
              <w:top w:val="nil"/>
              <w:left w:val="nil"/>
              <w:bottom w:val="nil"/>
              <w:right w:val="nil"/>
            </w:tcBorders>
          </w:tcPr>
          <w:p w14:paraId="3C0032BA"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427</w:t>
            </w:r>
          </w:p>
        </w:tc>
        <w:tc>
          <w:tcPr>
            <w:tcW w:w="1400" w:type="dxa"/>
            <w:tcBorders>
              <w:top w:val="nil"/>
              <w:left w:val="nil"/>
              <w:bottom w:val="nil"/>
              <w:right w:val="nil"/>
            </w:tcBorders>
          </w:tcPr>
          <w:p w14:paraId="6EA6DD43"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.412</w:t>
            </w:r>
          </w:p>
        </w:tc>
        <w:tc>
          <w:tcPr>
            <w:tcW w:w="1400" w:type="dxa"/>
            <w:tcBorders>
              <w:top w:val="nil"/>
              <w:left w:val="nil"/>
              <w:bottom w:val="nil"/>
              <w:right w:val="nil"/>
            </w:tcBorders>
          </w:tcPr>
          <w:p w14:paraId="12834F6D"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.238</w:t>
            </w:r>
          </w:p>
        </w:tc>
        <w:tc>
          <w:tcPr>
            <w:tcW w:w="1400" w:type="dxa"/>
            <w:tcBorders>
              <w:top w:val="nil"/>
              <w:left w:val="nil"/>
              <w:bottom w:val="nil"/>
              <w:right w:val="nil"/>
            </w:tcBorders>
          </w:tcPr>
          <w:p w14:paraId="528AB448"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400" w:type="dxa"/>
            <w:tcBorders>
              <w:top w:val="nil"/>
              <w:left w:val="nil"/>
              <w:bottom w:val="nil"/>
              <w:right w:val="nil"/>
            </w:tcBorders>
          </w:tcPr>
          <w:p w14:paraId="2E330407"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r>
      <w:tr w:rsidR="005D70C8" w14:paraId="2EE600EB" w14:textId="77777777">
        <w:tc>
          <w:tcPr>
            <w:tcW w:w="2340" w:type="dxa"/>
            <w:tcBorders>
              <w:top w:val="nil"/>
              <w:left w:val="nil"/>
              <w:bottom w:val="nil"/>
              <w:right w:val="nil"/>
            </w:tcBorders>
          </w:tcPr>
          <w:p w14:paraId="667A2AE2" w14:textId="77777777" w:rsidR="005D70C8" w:rsidRDefault="00FB65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infrastructure index</w:t>
            </w:r>
          </w:p>
        </w:tc>
        <w:tc>
          <w:tcPr>
            <w:tcW w:w="968" w:type="dxa"/>
            <w:tcBorders>
              <w:top w:val="nil"/>
              <w:left w:val="nil"/>
              <w:bottom w:val="nil"/>
              <w:right w:val="nil"/>
            </w:tcBorders>
          </w:tcPr>
          <w:p w14:paraId="77CC00D5"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427</w:t>
            </w:r>
          </w:p>
        </w:tc>
        <w:tc>
          <w:tcPr>
            <w:tcW w:w="1400" w:type="dxa"/>
            <w:tcBorders>
              <w:top w:val="nil"/>
              <w:left w:val="nil"/>
              <w:bottom w:val="nil"/>
              <w:right w:val="nil"/>
            </w:tcBorders>
          </w:tcPr>
          <w:p w14:paraId="6848D853"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.587</w:t>
            </w:r>
          </w:p>
        </w:tc>
        <w:tc>
          <w:tcPr>
            <w:tcW w:w="1400" w:type="dxa"/>
            <w:tcBorders>
              <w:top w:val="nil"/>
              <w:left w:val="nil"/>
              <w:bottom w:val="nil"/>
              <w:right w:val="nil"/>
            </w:tcBorders>
          </w:tcPr>
          <w:p w14:paraId="4D9FC630"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.235</w:t>
            </w:r>
          </w:p>
        </w:tc>
        <w:tc>
          <w:tcPr>
            <w:tcW w:w="1400" w:type="dxa"/>
            <w:tcBorders>
              <w:top w:val="nil"/>
              <w:left w:val="nil"/>
              <w:bottom w:val="nil"/>
              <w:right w:val="nil"/>
            </w:tcBorders>
          </w:tcPr>
          <w:p w14:paraId="0582F7B5"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400" w:type="dxa"/>
            <w:tcBorders>
              <w:top w:val="nil"/>
              <w:left w:val="nil"/>
              <w:bottom w:val="nil"/>
              <w:right w:val="nil"/>
            </w:tcBorders>
          </w:tcPr>
          <w:p w14:paraId="0C658D2F"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r>
      <w:tr w:rsidR="005D70C8" w14:paraId="2C596E5D" w14:textId="77777777">
        <w:tc>
          <w:tcPr>
            <w:tcW w:w="2340" w:type="dxa"/>
            <w:tcBorders>
              <w:top w:val="nil"/>
              <w:left w:val="nil"/>
              <w:bottom w:val="nil"/>
              <w:right w:val="nil"/>
            </w:tcBorders>
          </w:tcPr>
          <w:p w14:paraId="48BDFDBB" w14:textId="77777777" w:rsidR="005D70C8" w:rsidRDefault="00FB65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shock index</w:t>
            </w:r>
          </w:p>
        </w:tc>
        <w:tc>
          <w:tcPr>
            <w:tcW w:w="968" w:type="dxa"/>
            <w:tcBorders>
              <w:top w:val="nil"/>
              <w:left w:val="nil"/>
              <w:bottom w:val="nil"/>
              <w:right w:val="nil"/>
            </w:tcBorders>
          </w:tcPr>
          <w:p w14:paraId="3BBBB7EA"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427</w:t>
            </w:r>
          </w:p>
        </w:tc>
        <w:tc>
          <w:tcPr>
            <w:tcW w:w="1400" w:type="dxa"/>
            <w:tcBorders>
              <w:top w:val="nil"/>
              <w:left w:val="nil"/>
              <w:bottom w:val="nil"/>
              <w:right w:val="nil"/>
            </w:tcBorders>
          </w:tcPr>
          <w:p w14:paraId="2B8B62B4"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.44</w:t>
            </w:r>
          </w:p>
        </w:tc>
        <w:tc>
          <w:tcPr>
            <w:tcW w:w="1400" w:type="dxa"/>
            <w:tcBorders>
              <w:top w:val="nil"/>
              <w:left w:val="nil"/>
              <w:bottom w:val="nil"/>
              <w:right w:val="nil"/>
            </w:tcBorders>
          </w:tcPr>
          <w:p w14:paraId="1D564CF0"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.245</w:t>
            </w:r>
          </w:p>
        </w:tc>
        <w:tc>
          <w:tcPr>
            <w:tcW w:w="1400" w:type="dxa"/>
            <w:tcBorders>
              <w:top w:val="nil"/>
              <w:left w:val="nil"/>
              <w:bottom w:val="nil"/>
              <w:right w:val="nil"/>
            </w:tcBorders>
          </w:tcPr>
          <w:p w14:paraId="12D259D9"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400" w:type="dxa"/>
            <w:tcBorders>
              <w:top w:val="nil"/>
              <w:left w:val="nil"/>
              <w:bottom w:val="nil"/>
              <w:right w:val="nil"/>
            </w:tcBorders>
          </w:tcPr>
          <w:p w14:paraId="2ACD9853"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r>
      <w:tr w:rsidR="005D70C8" w14:paraId="7DFB16C1" w14:textId="77777777">
        <w:tc>
          <w:tcPr>
            <w:tcW w:w="2340" w:type="dxa"/>
            <w:tcBorders>
              <w:top w:val="nil"/>
              <w:left w:val="nil"/>
              <w:right w:val="nil"/>
            </w:tcBorders>
          </w:tcPr>
          <w:p w14:paraId="7DEBA0D3" w14:textId="77777777" w:rsidR="005D70C8" w:rsidRDefault="00FB65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sex</w:t>
            </w:r>
          </w:p>
        </w:tc>
        <w:tc>
          <w:tcPr>
            <w:tcW w:w="968" w:type="dxa"/>
            <w:tcBorders>
              <w:top w:val="nil"/>
              <w:left w:val="nil"/>
              <w:right w:val="nil"/>
            </w:tcBorders>
          </w:tcPr>
          <w:p w14:paraId="5385C3F3"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427</w:t>
            </w:r>
          </w:p>
        </w:tc>
        <w:tc>
          <w:tcPr>
            <w:tcW w:w="1400" w:type="dxa"/>
            <w:tcBorders>
              <w:top w:val="nil"/>
              <w:left w:val="nil"/>
              <w:right w:val="nil"/>
            </w:tcBorders>
          </w:tcPr>
          <w:p w14:paraId="4DBB2083"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.518</w:t>
            </w:r>
          </w:p>
        </w:tc>
        <w:tc>
          <w:tcPr>
            <w:tcW w:w="1400" w:type="dxa"/>
            <w:tcBorders>
              <w:top w:val="nil"/>
              <w:left w:val="nil"/>
              <w:right w:val="nil"/>
            </w:tcBorders>
          </w:tcPr>
          <w:p w14:paraId="1EDB1643"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1400" w:type="dxa"/>
            <w:tcBorders>
              <w:top w:val="nil"/>
              <w:left w:val="nil"/>
              <w:right w:val="nil"/>
            </w:tcBorders>
          </w:tcPr>
          <w:p w14:paraId="55F1C58E"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400" w:type="dxa"/>
            <w:tcBorders>
              <w:top w:val="nil"/>
              <w:left w:val="nil"/>
              <w:right w:val="nil"/>
            </w:tcBorders>
          </w:tcPr>
          <w:p w14:paraId="3734C1C9"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r>
      <w:tr w:rsidR="005D70C8" w14:paraId="5919C71A" w14:textId="77777777">
        <w:tc>
          <w:tcPr>
            <w:tcW w:w="2340" w:type="dxa"/>
            <w:tcBorders>
              <w:top w:val="nil"/>
              <w:left w:val="nil"/>
              <w:bottom w:val="single" w:sz="4" w:space="0" w:color="auto"/>
              <w:right w:val="nil"/>
            </w:tcBorders>
          </w:tcPr>
          <w:p w14:paraId="24A4E90B" w14:textId="77777777" w:rsidR="005D70C8" w:rsidRDefault="00FB65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edu cat</w:t>
            </w:r>
          </w:p>
        </w:tc>
        <w:tc>
          <w:tcPr>
            <w:tcW w:w="968" w:type="dxa"/>
            <w:tcBorders>
              <w:top w:val="nil"/>
              <w:left w:val="nil"/>
              <w:bottom w:val="single" w:sz="4" w:space="0" w:color="auto"/>
              <w:right w:val="nil"/>
            </w:tcBorders>
          </w:tcPr>
          <w:p w14:paraId="658D1972"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427</w:t>
            </w:r>
          </w:p>
        </w:tc>
        <w:tc>
          <w:tcPr>
            <w:tcW w:w="1400" w:type="dxa"/>
            <w:tcBorders>
              <w:top w:val="nil"/>
              <w:left w:val="nil"/>
              <w:bottom w:val="single" w:sz="4" w:space="0" w:color="auto"/>
              <w:right w:val="nil"/>
            </w:tcBorders>
          </w:tcPr>
          <w:p w14:paraId="71160B12"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1.726</w:t>
            </w:r>
          </w:p>
        </w:tc>
        <w:tc>
          <w:tcPr>
            <w:tcW w:w="1400" w:type="dxa"/>
            <w:tcBorders>
              <w:top w:val="nil"/>
              <w:left w:val="nil"/>
              <w:bottom w:val="single" w:sz="4" w:space="0" w:color="auto"/>
              <w:right w:val="nil"/>
            </w:tcBorders>
          </w:tcPr>
          <w:p w14:paraId="75B39783"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.871</w:t>
            </w:r>
          </w:p>
        </w:tc>
        <w:tc>
          <w:tcPr>
            <w:tcW w:w="1400" w:type="dxa"/>
            <w:tcBorders>
              <w:top w:val="nil"/>
              <w:left w:val="nil"/>
              <w:bottom w:val="single" w:sz="4" w:space="0" w:color="auto"/>
              <w:right w:val="nil"/>
            </w:tcBorders>
          </w:tcPr>
          <w:p w14:paraId="05C8850A"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400" w:type="dxa"/>
            <w:tcBorders>
              <w:top w:val="nil"/>
              <w:left w:val="nil"/>
              <w:bottom w:val="single" w:sz="4" w:space="0" w:color="auto"/>
              <w:right w:val="nil"/>
            </w:tcBorders>
          </w:tcPr>
          <w:p w14:paraId="78A47B44" w14:textId="77777777" w:rsidR="005D70C8" w:rsidRDefault="00FB654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3</w:t>
            </w:r>
          </w:p>
        </w:tc>
      </w:tr>
    </w:tbl>
    <w:p w14:paraId="4CF823C2" w14:textId="77777777" w:rsidR="005D70C8" w:rsidRDefault="00FB6549">
      <w:pPr>
        <w:shd w:val="clear" w:color="auto" w:fill="FFFFFF"/>
        <w:spacing w:before="240" w:after="240" w:line="240" w:lineRule="auto"/>
        <w:rPr>
          <w:rFonts w:ascii="Times New Roman" w:eastAsia="Times New Roman" w:hAnsi="Times New Roman" w:cs="Times New Roman"/>
          <w:color w:val="0F1115"/>
        </w:rPr>
      </w:pPr>
      <w:r>
        <w:rPr>
          <w:rFonts w:ascii="Times New Roman" w:eastAsia="Times New Roman" w:hAnsi="Times New Roman" w:cs="Times New Roman"/>
          <w:b/>
          <w:bCs/>
          <w:color w:val="0F1115"/>
        </w:rPr>
        <w:t>Notes:</w:t>
      </w:r>
      <w:r>
        <w:rPr>
          <w:rFonts w:ascii="Times New Roman" w:eastAsia="Times New Roman" w:hAnsi="Times New Roman" w:cs="Times New Roman"/>
          <w:color w:val="0F1115"/>
        </w:rPr>
        <w:t> P₀ = poverty incidence (headcount), P₁ = poverty gap (depth), P₂ = poverty severity (squared gap). edu_cat: 0 = no formal education, 1 = primary, 2 = secondary, 3 = tertiary. agr_market = access to agricultural market (1=yes, 0=no).</w:t>
      </w:r>
    </w:p>
    <w:p w14:paraId="6680B838" w14:textId="77777777" w:rsidR="005D70C8" w:rsidRDefault="005D70C8">
      <w:pPr>
        <w:pStyle w:val="NormalWeb"/>
        <w:spacing w:line="276" w:lineRule="auto"/>
        <w:jc w:val="both"/>
        <w:sectPr w:rsidR="005D70C8" w:rsidSect="00A908D8">
          <w:type w:val="continuous"/>
          <w:pgSz w:w="12240" w:h="15840"/>
          <w:pgMar w:top="450" w:right="1440" w:bottom="1440" w:left="1440" w:header="720" w:footer="720" w:gutter="0"/>
          <w:cols w:space="720"/>
          <w:docGrid w:linePitch="360"/>
        </w:sectPr>
      </w:pPr>
    </w:p>
    <w:p w14:paraId="73282803" w14:textId="77777777" w:rsidR="005D70C8" w:rsidRDefault="00FB6549">
      <w:pPr>
        <w:pStyle w:val="NormalWeb"/>
        <w:spacing w:line="276" w:lineRule="auto"/>
        <w:jc w:val="both"/>
      </w:pPr>
      <w:r>
        <w:t>Table 1 reveals Summary statistics on socio-economic and livelihood characteristics of sampled households (N = 427) as we can see from these poverty indicators, half the households are classified as poor (mean = 0.499), denoting a relatively high incidence of poverty in the study area. This is complemented by poverty gap (mean = 0.164) and poverty severity index (mean = 0.075), which suggest that poor households are actually numerous but also moderately deprived, leaving some inequalities in terms of deprivation as per their demand. Income per adult equivalent is highly skewed (mean = 284,164.87; SD = 162,606.03) as expected in heterogeneous rural and semi-urban economies where incomes can vary greatly from household to household (36,639–998,800).</w:t>
      </w:r>
    </w:p>
    <w:p w14:paraId="6693FBF7" w14:textId="77777777" w:rsidR="005D70C8" w:rsidRDefault="00FB6549">
      <w:pPr>
        <w:pStyle w:val="NormalWeb"/>
        <w:spacing w:line="276" w:lineRule="auto"/>
        <w:jc w:val="both"/>
      </w:pPr>
      <w:r>
        <w:t>The socio-demographic characteristics suggest that the average head of household is nearly 49 years old, indicating a mature population structure. Household size averages nearly five, likewise reflective of extended family systems common to the context of this study. Gender distribution reveals a slight male dominance (51.8%) with educational attainment primarily low- to middle-level; most respondents held higher primary or secondary education with relatively few achieving tertiary degree level. These features also mean that human capital is not equitably distributed, which could influence household economic status and propensity for poverty after an adverse shock.</w:t>
      </w:r>
    </w:p>
    <w:p w14:paraId="56361CC1" w14:textId="77777777" w:rsidR="005D70C8" w:rsidRDefault="00FB6549">
      <w:pPr>
        <w:pStyle w:val="NormalWeb"/>
        <w:spacing w:line="276" w:lineRule="auto"/>
        <w:jc w:val="both"/>
      </w:pPr>
      <w:r>
        <w:t xml:space="preserve">From livelihood and structural perspectives, agricultural participation is more inclusive with average access to inputs (0.478), credit (0.335), extension services (0.431), land ownership </w:t>
      </w:r>
      <w:r>
        <w:lastRenderedPageBreak/>
        <w:t>(0.689) to markets (0.548). Institutional and infrastructure indices have moderate (0.412) and high (0.587) values, which gives a mixed picture regarding the delivery of health services and governance support respectively. The shock index (0.44) suggests that a substantial portion of households suffer considerable exposure to negative shocks ranging from droughts, floods, price volatility, or illness-related shocks. The descriptive evidence points to a context with low access to assets, structural constraints and exposure to shocks, which we expect will be important drivers of poverty outcomes in the subsequent econometric analysis.</w:t>
      </w:r>
    </w:p>
    <w:p w14:paraId="74F9F2C6" w14:textId="1786C768" w:rsidR="005D70C8" w:rsidRDefault="00F652D7">
      <w:pPr>
        <w:pStyle w:val="Heading2"/>
        <w:spacing w:after="0" w:afterAutospacing="0"/>
        <w:rPr>
          <w:sz w:val="24"/>
          <w:lang w:val="en-US"/>
        </w:rPr>
      </w:pPr>
      <w:r>
        <w:rPr>
          <w:rStyle w:val="Strong"/>
          <w:b/>
          <w:bCs/>
          <w:sz w:val="24"/>
          <w:lang w:val="en-US"/>
        </w:rPr>
        <w:t xml:space="preserve">Table 2. </w:t>
      </w:r>
      <w:r w:rsidR="00FB6549">
        <w:rPr>
          <w:rStyle w:val="Strong"/>
          <w:b/>
          <w:bCs/>
          <w:sz w:val="24"/>
          <w:lang w:val="en-US"/>
        </w:rPr>
        <w:t>FGT Regression Results (Poverty Determinants)</w:t>
      </w:r>
    </w:p>
    <w:tbl>
      <w:tblPr>
        <w:tblStyle w:val="TableGrid"/>
        <w:tblW w:w="9572" w:type="dxa"/>
        <w:tblInd w:w="-5" w:type="dxa"/>
        <w:tblLayout w:type="fixed"/>
        <w:tblLook w:val="04A0" w:firstRow="1" w:lastRow="0" w:firstColumn="1" w:lastColumn="0" w:noHBand="0" w:noVBand="1"/>
      </w:tblPr>
      <w:tblGrid>
        <w:gridCol w:w="2875"/>
        <w:gridCol w:w="2033"/>
        <w:gridCol w:w="2332"/>
        <w:gridCol w:w="2332"/>
      </w:tblGrid>
      <w:tr w:rsidR="005D70C8" w14:paraId="3DF95412" w14:textId="77777777" w:rsidTr="00A908D8">
        <w:trPr>
          <w:trHeight w:val="695"/>
        </w:trPr>
        <w:tc>
          <w:tcPr>
            <w:tcW w:w="2875" w:type="dxa"/>
            <w:hideMark/>
          </w:tcPr>
          <w:p w14:paraId="33E38DE4" w14:textId="77777777" w:rsidR="005D70C8" w:rsidRDefault="00FB6549">
            <w:pPr>
              <w:rPr>
                <w:rFonts w:ascii="Times New Roman" w:hAnsi="Times New Roman" w:cs="Times New Roman"/>
                <w:b/>
                <w:bCs/>
              </w:rPr>
            </w:pPr>
            <w:r>
              <w:rPr>
                <w:rFonts w:ascii="Times New Roman" w:hAnsi="Times New Roman" w:cs="Times New Roman"/>
                <w:b/>
                <w:bCs/>
              </w:rPr>
              <w:t>Variables</w:t>
            </w:r>
          </w:p>
        </w:tc>
        <w:tc>
          <w:tcPr>
            <w:tcW w:w="2033" w:type="dxa"/>
            <w:hideMark/>
          </w:tcPr>
          <w:p w14:paraId="3BC73653" w14:textId="77777777" w:rsidR="005D70C8" w:rsidRDefault="00FB6549">
            <w:pPr>
              <w:rPr>
                <w:rFonts w:ascii="Times New Roman" w:hAnsi="Times New Roman" w:cs="Times New Roman"/>
                <w:b/>
                <w:bCs/>
              </w:rPr>
            </w:pPr>
            <w:r>
              <w:rPr>
                <w:rFonts w:ascii="Times New Roman" w:hAnsi="Times New Roman" w:cs="Times New Roman"/>
                <w:b/>
                <w:bCs/>
              </w:rPr>
              <w:t>Poor (FGT P0)</w:t>
            </w:r>
          </w:p>
        </w:tc>
        <w:tc>
          <w:tcPr>
            <w:tcW w:w="2332" w:type="dxa"/>
            <w:hideMark/>
          </w:tcPr>
          <w:p w14:paraId="647BE777" w14:textId="77777777" w:rsidR="005D70C8" w:rsidRDefault="00FB6549">
            <w:pPr>
              <w:rPr>
                <w:rFonts w:ascii="Times New Roman" w:hAnsi="Times New Roman" w:cs="Times New Roman"/>
                <w:b/>
                <w:bCs/>
              </w:rPr>
            </w:pPr>
            <w:r>
              <w:rPr>
                <w:rFonts w:ascii="Times New Roman" w:hAnsi="Times New Roman" w:cs="Times New Roman"/>
                <w:b/>
                <w:bCs/>
              </w:rPr>
              <w:t>Gap (FGT P1)</w:t>
            </w:r>
          </w:p>
        </w:tc>
        <w:tc>
          <w:tcPr>
            <w:tcW w:w="2332" w:type="dxa"/>
            <w:hideMark/>
          </w:tcPr>
          <w:p w14:paraId="006BADDB" w14:textId="77777777" w:rsidR="005D70C8" w:rsidRDefault="00FB6549">
            <w:pPr>
              <w:rPr>
                <w:rFonts w:ascii="Times New Roman" w:hAnsi="Times New Roman" w:cs="Times New Roman"/>
                <w:b/>
                <w:bCs/>
              </w:rPr>
            </w:pPr>
            <w:r>
              <w:rPr>
                <w:rFonts w:ascii="Times New Roman" w:hAnsi="Times New Roman" w:cs="Times New Roman"/>
                <w:b/>
                <w:bCs/>
              </w:rPr>
              <w:t>Gap² (FGT P2)</w:t>
            </w:r>
          </w:p>
        </w:tc>
      </w:tr>
      <w:tr w:rsidR="005D70C8" w14:paraId="6CDFCBCD" w14:textId="77777777" w:rsidTr="00A908D8">
        <w:trPr>
          <w:trHeight w:val="236"/>
        </w:trPr>
        <w:tc>
          <w:tcPr>
            <w:tcW w:w="2875" w:type="dxa"/>
            <w:hideMark/>
          </w:tcPr>
          <w:p w14:paraId="211B0225" w14:textId="77777777" w:rsidR="005D70C8" w:rsidRDefault="00FB6549">
            <w:pPr>
              <w:rPr>
                <w:rFonts w:ascii="Times New Roman" w:hAnsi="Times New Roman" w:cs="Times New Roman"/>
              </w:rPr>
            </w:pPr>
            <w:r>
              <w:rPr>
                <w:rFonts w:ascii="Times New Roman" w:hAnsi="Times New Roman" w:cs="Times New Roman"/>
              </w:rPr>
              <w:t>Agr Input</w:t>
            </w:r>
          </w:p>
        </w:tc>
        <w:tc>
          <w:tcPr>
            <w:tcW w:w="2033" w:type="dxa"/>
            <w:hideMark/>
          </w:tcPr>
          <w:p w14:paraId="242E0EF3" w14:textId="77777777" w:rsidR="005D70C8" w:rsidRDefault="00FB6549">
            <w:pPr>
              <w:rPr>
                <w:rFonts w:ascii="Times New Roman" w:hAnsi="Times New Roman" w:cs="Times New Roman"/>
              </w:rPr>
            </w:pPr>
            <w:r>
              <w:rPr>
                <w:rFonts w:ascii="Times New Roman" w:hAnsi="Times New Roman" w:cs="Times New Roman"/>
              </w:rPr>
              <w:t>0.146</w:t>
            </w:r>
          </w:p>
        </w:tc>
        <w:tc>
          <w:tcPr>
            <w:tcW w:w="2332" w:type="dxa"/>
            <w:hideMark/>
          </w:tcPr>
          <w:p w14:paraId="16003B06" w14:textId="77777777" w:rsidR="005D70C8" w:rsidRDefault="00FB6549">
            <w:pPr>
              <w:rPr>
                <w:rFonts w:ascii="Times New Roman" w:hAnsi="Times New Roman" w:cs="Times New Roman"/>
              </w:rPr>
            </w:pPr>
            <w:r>
              <w:rPr>
                <w:rFonts w:ascii="Times New Roman" w:hAnsi="Times New Roman" w:cs="Times New Roman"/>
              </w:rPr>
              <w:t>0.0017</w:t>
            </w:r>
          </w:p>
        </w:tc>
        <w:tc>
          <w:tcPr>
            <w:tcW w:w="2332" w:type="dxa"/>
            <w:hideMark/>
          </w:tcPr>
          <w:p w14:paraId="21E5183E" w14:textId="77777777" w:rsidR="005D70C8" w:rsidRDefault="00FB6549">
            <w:pPr>
              <w:rPr>
                <w:rFonts w:ascii="Times New Roman" w:hAnsi="Times New Roman" w:cs="Times New Roman"/>
              </w:rPr>
            </w:pPr>
            <w:r>
              <w:rPr>
                <w:rFonts w:ascii="Times New Roman" w:hAnsi="Times New Roman" w:cs="Times New Roman"/>
              </w:rPr>
              <w:t>0.0001</w:t>
            </w:r>
          </w:p>
        </w:tc>
      </w:tr>
      <w:tr w:rsidR="005D70C8" w14:paraId="75A9D10E" w14:textId="77777777" w:rsidTr="00A908D8">
        <w:trPr>
          <w:trHeight w:val="222"/>
        </w:trPr>
        <w:tc>
          <w:tcPr>
            <w:tcW w:w="2875" w:type="dxa"/>
            <w:hideMark/>
          </w:tcPr>
          <w:p w14:paraId="609A6A09" w14:textId="77777777" w:rsidR="005D70C8" w:rsidRDefault="00FB6549">
            <w:pPr>
              <w:rPr>
                <w:rFonts w:ascii="Times New Roman" w:hAnsi="Times New Roman" w:cs="Times New Roman"/>
              </w:rPr>
            </w:pPr>
            <w:r>
              <w:rPr>
                <w:rFonts w:ascii="Times New Roman" w:hAnsi="Times New Roman" w:cs="Times New Roman"/>
              </w:rPr>
              <w:t>Agr Credit</w:t>
            </w:r>
          </w:p>
        </w:tc>
        <w:tc>
          <w:tcPr>
            <w:tcW w:w="2033" w:type="dxa"/>
            <w:hideMark/>
          </w:tcPr>
          <w:p w14:paraId="1EE2D122" w14:textId="77777777" w:rsidR="005D70C8" w:rsidRDefault="00FB6549">
            <w:pPr>
              <w:rPr>
                <w:rFonts w:ascii="Times New Roman" w:hAnsi="Times New Roman" w:cs="Times New Roman"/>
              </w:rPr>
            </w:pPr>
            <w:r>
              <w:rPr>
                <w:rFonts w:ascii="Times New Roman" w:hAnsi="Times New Roman" w:cs="Times New Roman"/>
              </w:rPr>
              <w:t>0.483**</w:t>
            </w:r>
          </w:p>
        </w:tc>
        <w:tc>
          <w:tcPr>
            <w:tcW w:w="2332" w:type="dxa"/>
            <w:hideMark/>
          </w:tcPr>
          <w:p w14:paraId="7E7DD479" w14:textId="77777777" w:rsidR="005D70C8" w:rsidRDefault="00FB6549">
            <w:pPr>
              <w:rPr>
                <w:rFonts w:ascii="Times New Roman" w:hAnsi="Times New Roman" w:cs="Times New Roman"/>
              </w:rPr>
            </w:pPr>
            <w:r>
              <w:rPr>
                <w:rFonts w:ascii="Times New Roman" w:hAnsi="Times New Roman" w:cs="Times New Roman"/>
              </w:rPr>
              <w:t>0.0317</w:t>
            </w:r>
          </w:p>
        </w:tc>
        <w:tc>
          <w:tcPr>
            <w:tcW w:w="2332" w:type="dxa"/>
            <w:hideMark/>
          </w:tcPr>
          <w:p w14:paraId="3C4D1EF7" w14:textId="77777777" w:rsidR="005D70C8" w:rsidRDefault="00FB6549">
            <w:pPr>
              <w:rPr>
                <w:rFonts w:ascii="Times New Roman" w:hAnsi="Times New Roman" w:cs="Times New Roman"/>
              </w:rPr>
            </w:pPr>
            <w:r>
              <w:rPr>
                <w:rFonts w:ascii="Times New Roman" w:hAnsi="Times New Roman" w:cs="Times New Roman"/>
              </w:rPr>
              <w:t>0.0135</w:t>
            </w:r>
          </w:p>
        </w:tc>
      </w:tr>
      <w:tr w:rsidR="005D70C8" w14:paraId="64E0E6BB" w14:textId="77777777" w:rsidTr="00A908D8">
        <w:trPr>
          <w:trHeight w:val="472"/>
        </w:trPr>
        <w:tc>
          <w:tcPr>
            <w:tcW w:w="2875" w:type="dxa"/>
            <w:hideMark/>
          </w:tcPr>
          <w:p w14:paraId="0EC5F270" w14:textId="77777777" w:rsidR="005D70C8" w:rsidRDefault="00FB6549">
            <w:pPr>
              <w:rPr>
                <w:rFonts w:ascii="Times New Roman" w:hAnsi="Times New Roman" w:cs="Times New Roman"/>
              </w:rPr>
            </w:pPr>
            <w:r>
              <w:rPr>
                <w:rFonts w:ascii="Times New Roman" w:hAnsi="Times New Roman" w:cs="Times New Roman"/>
              </w:rPr>
              <w:t>Agr Extension</w:t>
            </w:r>
          </w:p>
        </w:tc>
        <w:tc>
          <w:tcPr>
            <w:tcW w:w="2033" w:type="dxa"/>
            <w:hideMark/>
          </w:tcPr>
          <w:p w14:paraId="5AF258F9" w14:textId="77777777" w:rsidR="005D70C8" w:rsidRDefault="00FB6549">
            <w:pPr>
              <w:rPr>
                <w:rFonts w:ascii="Times New Roman" w:hAnsi="Times New Roman" w:cs="Times New Roman"/>
              </w:rPr>
            </w:pPr>
            <w:r>
              <w:rPr>
                <w:rFonts w:ascii="Times New Roman" w:hAnsi="Times New Roman" w:cs="Times New Roman"/>
              </w:rPr>
              <w:t>-0.330</w:t>
            </w:r>
          </w:p>
        </w:tc>
        <w:tc>
          <w:tcPr>
            <w:tcW w:w="2332" w:type="dxa"/>
            <w:hideMark/>
          </w:tcPr>
          <w:p w14:paraId="1E4C41B2" w14:textId="77777777" w:rsidR="005D70C8" w:rsidRDefault="00FB6549">
            <w:pPr>
              <w:rPr>
                <w:rFonts w:ascii="Times New Roman" w:hAnsi="Times New Roman" w:cs="Times New Roman"/>
              </w:rPr>
            </w:pPr>
            <w:r>
              <w:rPr>
                <w:rFonts w:ascii="Times New Roman" w:hAnsi="Times New Roman" w:cs="Times New Roman"/>
              </w:rPr>
              <w:t>-0.0299</w:t>
            </w:r>
          </w:p>
        </w:tc>
        <w:tc>
          <w:tcPr>
            <w:tcW w:w="2332" w:type="dxa"/>
            <w:hideMark/>
          </w:tcPr>
          <w:p w14:paraId="6E80F917" w14:textId="77777777" w:rsidR="005D70C8" w:rsidRDefault="00FB6549">
            <w:pPr>
              <w:rPr>
                <w:rFonts w:ascii="Times New Roman" w:hAnsi="Times New Roman" w:cs="Times New Roman"/>
              </w:rPr>
            </w:pPr>
            <w:r>
              <w:rPr>
                <w:rFonts w:ascii="Times New Roman" w:hAnsi="Times New Roman" w:cs="Times New Roman"/>
              </w:rPr>
              <w:t>-0.0206*</w:t>
            </w:r>
          </w:p>
        </w:tc>
      </w:tr>
      <w:tr w:rsidR="005D70C8" w14:paraId="016C786D" w14:textId="77777777" w:rsidTr="00A908D8">
        <w:trPr>
          <w:trHeight w:val="695"/>
        </w:trPr>
        <w:tc>
          <w:tcPr>
            <w:tcW w:w="2875" w:type="dxa"/>
            <w:hideMark/>
          </w:tcPr>
          <w:p w14:paraId="23008C0C" w14:textId="77777777" w:rsidR="005D70C8" w:rsidRDefault="00FB6549">
            <w:pPr>
              <w:rPr>
                <w:rFonts w:ascii="Times New Roman" w:hAnsi="Times New Roman" w:cs="Times New Roman"/>
              </w:rPr>
            </w:pPr>
            <w:r>
              <w:rPr>
                <w:rFonts w:ascii="Times New Roman" w:hAnsi="Times New Roman" w:cs="Times New Roman"/>
              </w:rPr>
              <w:t>Age</w:t>
            </w:r>
          </w:p>
        </w:tc>
        <w:tc>
          <w:tcPr>
            <w:tcW w:w="2033" w:type="dxa"/>
            <w:hideMark/>
          </w:tcPr>
          <w:p w14:paraId="6709625A" w14:textId="77777777" w:rsidR="005D70C8" w:rsidRDefault="00FB6549">
            <w:pPr>
              <w:rPr>
                <w:rFonts w:ascii="Times New Roman" w:hAnsi="Times New Roman" w:cs="Times New Roman"/>
              </w:rPr>
            </w:pPr>
            <w:r>
              <w:rPr>
                <w:rFonts w:ascii="Times New Roman" w:hAnsi="Times New Roman" w:cs="Times New Roman"/>
              </w:rPr>
              <w:t>-0.0463***</w:t>
            </w:r>
          </w:p>
        </w:tc>
        <w:tc>
          <w:tcPr>
            <w:tcW w:w="2332" w:type="dxa"/>
            <w:hideMark/>
          </w:tcPr>
          <w:p w14:paraId="6E0F0729" w14:textId="77777777" w:rsidR="005D70C8" w:rsidRDefault="00FB6549">
            <w:pPr>
              <w:rPr>
                <w:rFonts w:ascii="Times New Roman" w:hAnsi="Times New Roman" w:cs="Times New Roman"/>
              </w:rPr>
            </w:pPr>
            <w:r>
              <w:rPr>
                <w:rFonts w:ascii="Times New Roman" w:hAnsi="Times New Roman" w:cs="Times New Roman"/>
              </w:rPr>
              <w:t>-0.0050***</w:t>
            </w:r>
          </w:p>
        </w:tc>
        <w:tc>
          <w:tcPr>
            <w:tcW w:w="2332" w:type="dxa"/>
            <w:hideMark/>
          </w:tcPr>
          <w:p w14:paraId="5192A262" w14:textId="77777777" w:rsidR="005D70C8" w:rsidRDefault="00FB6549">
            <w:pPr>
              <w:rPr>
                <w:rFonts w:ascii="Times New Roman" w:hAnsi="Times New Roman" w:cs="Times New Roman"/>
              </w:rPr>
            </w:pPr>
            <w:r>
              <w:rPr>
                <w:rFonts w:ascii="Times New Roman" w:hAnsi="Times New Roman" w:cs="Times New Roman"/>
              </w:rPr>
              <w:t>-0.0028***</w:t>
            </w:r>
          </w:p>
        </w:tc>
      </w:tr>
      <w:tr w:rsidR="005D70C8" w14:paraId="277A5791" w14:textId="77777777" w:rsidTr="00A908D8">
        <w:trPr>
          <w:trHeight w:val="236"/>
        </w:trPr>
        <w:tc>
          <w:tcPr>
            <w:tcW w:w="2875" w:type="dxa"/>
            <w:hideMark/>
          </w:tcPr>
          <w:p w14:paraId="39549383" w14:textId="77777777" w:rsidR="005D70C8" w:rsidRDefault="00FB6549">
            <w:pPr>
              <w:rPr>
                <w:rFonts w:ascii="Times New Roman" w:hAnsi="Times New Roman" w:cs="Times New Roman"/>
              </w:rPr>
            </w:pPr>
            <w:r>
              <w:rPr>
                <w:rFonts w:ascii="Times New Roman" w:hAnsi="Times New Roman" w:cs="Times New Roman"/>
              </w:rPr>
              <w:t>HH Size</w:t>
            </w:r>
          </w:p>
        </w:tc>
        <w:tc>
          <w:tcPr>
            <w:tcW w:w="2033" w:type="dxa"/>
            <w:hideMark/>
          </w:tcPr>
          <w:p w14:paraId="7CABDEFB" w14:textId="77777777" w:rsidR="005D70C8" w:rsidRDefault="00FB6549">
            <w:pPr>
              <w:rPr>
                <w:rFonts w:ascii="Times New Roman" w:hAnsi="Times New Roman" w:cs="Times New Roman"/>
              </w:rPr>
            </w:pPr>
            <w:r>
              <w:rPr>
                <w:rFonts w:ascii="Times New Roman" w:hAnsi="Times New Roman" w:cs="Times New Roman"/>
              </w:rPr>
              <w:t>-0.0284</w:t>
            </w:r>
          </w:p>
        </w:tc>
        <w:tc>
          <w:tcPr>
            <w:tcW w:w="2332" w:type="dxa"/>
            <w:hideMark/>
          </w:tcPr>
          <w:p w14:paraId="6896390B" w14:textId="77777777" w:rsidR="005D70C8" w:rsidRDefault="00FB6549">
            <w:pPr>
              <w:rPr>
                <w:rFonts w:ascii="Times New Roman" w:hAnsi="Times New Roman" w:cs="Times New Roman"/>
              </w:rPr>
            </w:pPr>
            <w:r>
              <w:rPr>
                <w:rFonts w:ascii="Times New Roman" w:hAnsi="Times New Roman" w:cs="Times New Roman"/>
              </w:rPr>
              <w:t>-0.0038</w:t>
            </w:r>
          </w:p>
        </w:tc>
        <w:tc>
          <w:tcPr>
            <w:tcW w:w="2332" w:type="dxa"/>
            <w:hideMark/>
          </w:tcPr>
          <w:p w14:paraId="6617508E" w14:textId="77777777" w:rsidR="005D70C8" w:rsidRDefault="00FB6549">
            <w:pPr>
              <w:rPr>
                <w:rFonts w:ascii="Times New Roman" w:hAnsi="Times New Roman" w:cs="Times New Roman"/>
              </w:rPr>
            </w:pPr>
            <w:r>
              <w:rPr>
                <w:rFonts w:ascii="Times New Roman" w:hAnsi="Times New Roman" w:cs="Times New Roman"/>
              </w:rPr>
              <w:t>-0.0010</w:t>
            </w:r>
          </w:p>
        </w:tc>
      </w:tr>
      <w:tr w:rsidR="005D70C8" w14:paraId="5E30CA4B" w14:textId="77777777" w:rsidTr="00A908D8">
        <w:trPr>
          <w:trHeight w:val="222"/>
        </w:trPr>
        <w:tc>
          <w:tcPr>
            <w:tcW w:w="2875" w:type="dxa"/>
            <w:hideMark/>
          </w:tcPr>
          <w:p w14:paraId="1B7E1272" w14:textId="77777777" w:rsidR="005D70C8" w:rsidRDefault="00FB6549">
            <w:pPr>
              <w:rPr>
                <w:rFonts w:ascii="Times New Roman" w:hAnsi="Times New Roman" w:cs="Times New Roman"/>
              </w:rPr>
            </w:pPr>
            <w:r>
              <w:rPr>
                <w:rFonts w:ascii="Times New Roman" w:hAnsi="Times New Roman" w:cs="Times New Roman"/>
              </w:rPr>
              <w:t>Male</w:t>
            </w:r>
          </w:p>
        </w:tc>
        <w:tc>
          <w:tcPr>
            <w:tcW w:w="2033" w:type="dxa"/>
            <w:hideMark/>
          </w:tcPr>
          <w:p w14:paraId="4E965ECE" w14:textId="77777777" w:rsidR="005D70C8" w:rsidRDefault="00FB6549">
            <w:pPr>
              <w:rPr>
                <w:rFonts w:ascii="Times New Roman" w:hAnsi="Times New Roman" w:cs="Times New Roman"/>
              </w:rPr>
            </w:pPr>
            <w:r>
              <w:rPr>
                <w:rFonts w:ascii="Times New Roman" w:hAnsi="Times New Roman" w:cs="Times New Roman"/>
              </w:rPr>
              <w:t>-0.0085</w:t>
            </w:r>
          </w:p>
        </w:tc>
        <w:tc>
          <w:tcPr>
            <w:tcW w:w="2332" w:type="dxa"/>
            <w:hideMark/>
          </w:tcPr>
          <w:p w14:paraId="79BFD1EF" w14:textId="77777777" w:rsidR="005D70C8" w:rsidRDefault="00FB6549">
            <w:pPr>
              <w:rPr>
                <w:rFonts w:ascii="Times New Roman" w:hAnsi="Times New Roman" w:cs="Times New Roman"/>
              </w:rPr>
            </w:pPr>
            <w:r>
              <w:rPr>
                <w:rFonts w:ascii="Times New Roman" w:hAnsi="Times New Roman" w:cs="Times New Roman"/>
              </w:rPr>
              <w:t>-0.0205</w:t>
            </w:r>
          </w:p>
        </w:tc>
        <w:tc>
          <w:tcPr>
            <w:tcW w:w="2332" w:type="dxa"/>
            <w:hideMark/>
          </w:tcPr>
          <w:p w14:paraId="4EE5BA81" w14:textId="77777777" w:rsidR="005D70C8" w:rsidRDefault="00FB6549">
            <w:pPr>
              <w:rPr>
                <w:rFonts w:ascii="Times New Roman" w:hAnsi="Times New Roman" w:cs="Times New Roman"/>
              </w:rPr>
            </w:pPr>
            <w:r>
              <w:rPr>
                <w:rFonts w:ascii="Times New Roman" w:hAnsi="Times New Roman" w:cs="Times New Roman"/>
              </w:rPr>
              <w:t>-0.0151</w:t>
            </w:r>
          </w:p>
        </w:tc>
      </w:tr>
      <w:tr w:rsidR="005D70C8" w14:paraId="3F7BFFAC" w14:textId="77777777" w:rsidTr="00A908D8">
        <w:trPr>
          <w:trHeight w:val="236"/>
        </w:trPr>
        <w:tc>
          <w:tcPr>
            <w:tcW w:w="2875" w:type="dxa"/>
            <w:hideMark/>
          </w:tcPr>
          <w:p w14:paraId="10CD7A83" w14:textId="77777777" w:rsidR="005D70C8" w:rsidRDefault="00FB6549">
            <w:pPr>
              <w:rPr>
                <w:rFonts w:ascii="Times New Roman" w:hAnsi="Times New Roman" w:cs="Times New Roman"/>
              </w:rPr>
            </w:pPr>
            <w:r>
              <w:rPr>
                <w:rFonts w:ascii="Times New Roman" w:hAnsi="Times New Roman" w:cs="Times New Roman"/>
              </w:rPr>
              <w:t>Primary</w:t>
            </w:r>
          </w:p>
        </w:tc>
        <w:tc>
          <w:tcPr>
            <w:tcW w:w="2033" w:type="dxa"/>
            <w:hideMark/>
          </w:tcPr>
          <w:p w14:paraId="35E1B035" w14:textId="77777777" w:rsidR="005D70C8" w:rsidRDefault="00FB6549">
            <w:pPr>
              <w:rPr>
                <w:rFonts w:ascii="Times New Roman" w:hAnsi="Times New Roman" w:cs="Times New Roman"/>
              </w:rPr>
            </w:pPr>
            <w:r>
              <w:rPr>
                <w:rFonts w:ascii="Times New Roman" w:hAnsi="Times New Roman" w:cs="Times New Roman"/>
              </w:rPr>
              <w:t>0.491</w:t>
            </w:r>
          </w:p>
        </w:tc>
        <w:tc>
          <w:tcPr>
            <w:tcW w:w="2332" w:type="dxa"/>
            <w:hideMark/>
          </w:tcPr>
          <w:p w14:paraId="2E31B912" w14:textId="77777777" w:rsidR="005D70C8" w:rsidRDefault="00FB6549">
            <w:pPr>
              <w:rPr>
                <w:rFonts w:ascii="Times New Roman" w:hAnsi="Times New Roman" w:cs="Times New Roman"/>
              </w:rPr>
            </w:pPr>
            <w:r>
              <w:rPr>
                <w:rFonts w:ascii="Times New Roman" w:hAnsi="Times New Roman" w:cs="Times New Roman"/>
              </w:rPr>
              <w:t>-0.0225</w:t>
            </w:r>
          </w:p>
        </w:tc>
        <w:tc>
          <w:tcPr>
            <w:tcW w:w="2332" w:type="dxa"/>
            <w:hideMark/>
          </w:tcPr>
          <w:p w14:paraId="4495BCE2" w14:textId="77777777" w:rsidR="005D70C8" w:rsidRDefault="00FB6549">
            <w:pPr>
              <w:rPr>
                <w:rFonts w:ascii="Times New Roman" w:hAnsi="Times New Roman" w:cs="Times New Roman"/>
              </w:rPr>
            </w:pPr>
            <w:r>
              <w:rPr>
                <w:rFonts w:ascii="Times New Roman" w:hAnsi="Times New Roman" w:cs="Times New Roman"/>
              </w:rPr>
              <w:t>-0.0299</w:t>
            </w:r>
          </w:p>
        </w:tc>
      </w:tr>
      <w:tr w:rsidR="005D70C8" w14:paraId="7619B173" w14:textId="77777777" w:rsidTr="00A908D8">
        <w:trPr>
          <w:trHeight w:val="222"/>
        </w:trPr>
        <w:tc>
          <w:tcPr>
            <w:tcW w:w="2875" w:type="dxa"/>
            <w:hideMark/>
          </w:tcPr>
          <w:p w14:paraId="130C2D99" w14:textId="77777777" w:rsidR="005D70C8" w:rsidRDefault="00FB6549">
            <w:pPr>
              <w:rPr>
                <w:rFonts w:ascii="Times New Roman" w:hAnsi="Times New Roman" w:cs="Times New Roman"/>
              </w:rPr>
            </w:pPr>
            <w:r>
              <w:rPr>
                <w:rFonts w:ascii="Times New Roman" w:hAnsi="Times New Roman" w:cs="Times New Roman"/>
              </w:rPr>
              <w:t>Secondary</w:t>
            </w:r>
          </w:p>
        </w:tc>
        <w:tc>
          <w:tcPr>
            <w:tcW w:w="2033" w:type="dxa"/>
            <w:hideMark/>
          </w:tcPr>
          <w:p w14:paraId="553DFE54" w14:textId="77777777" w:rsidR="005D70C8" w:rsidRDefault="00FB6549">
            <w:pPr>
              <w:rPr>
                <w:rFonts w:ascii="Times New Roman" w:hAnsi="Times New Roman" w:cs="Times New Roman"/>
              </w:rPr>
            </w:pPr>
            <w:r>
              <w:rPr>
                <w:rFonts w:ascii="Times New Roman" w:hAnsi="Times New Roman" w:cs="Times New Roman"/>
              </w:rPr>
              <w:t>0.227</w:t>
            </w:r>
          </w:p>
        </w:tc>
        <w:tc>
          <w:tcPr>
            <w:tcW w:w="2332" w:type="dxa"/>
            <w:hideMark/>
          </w:tcPr>
          <w:p w14:paraId="4652BBC0" w14:textId="77777777" w:rsidR="005D70C8" w:rsidRDefault="00FB6549">
            <w:pPr>
              <w:rPr>
                <w:rFonts w:ascii="Times New Roman" w:hAnsi="Times New Roman" w:cs="Times New Roman"/>
              </w:rPr>
            </w:pPr>
            <w:r>
              <w:rPr>
                <w:rFonts w:ascii="Times New Roman" w:hAnsi="Times New Roman" w:cs="Times New Roman"/>
              </w:rPr>
              <w:t>-0.0424</w:t>
            </w:r>
          </w:p>
        </w:tc>
        <w:tc>
          <w:tcPr>
            <w:tcW w:w="2332" w:type="dxa"/>
            <w:hideMark/>
          </w:tcPr>
          <w:p w14:paraId="6EF9896B" w14:textId="77777777" w:rsidR="005D70C8" w:rsidRDefault="00FB6549">
            <w:pPr>
              <w:rPr>
                <w:rFonts w:ascii="Times New Roman" w:hAnsi="Times New Roman" w:cs="Times New Roman"/>
              </w:rPr>
            </w:pPr>
            <w:r>
              <w:rPr>
                <w:rFonts w:ascii="Times New Roman" w:hAnsi="Times New Roman" w:cs="Times New Roman"/>
              </w:rPr>
              <w:t>-0.0366</w:t>
            </w:r>
          </w:p>
        </w:tc>
      </w:tr>
      <w:tr w:rsidR="005D70C8" w14:paraId="0BD501E9" w14:textId="77777777" w:rsidTr="00A908D8">
        <w:trPr>
          <w:trHeight w:val="472"/>
        </w:trPr>
        <w:tc>
          <w:tcPr>
            <w:tcW w:w="2875" w:type="dxa"/>
            <w:hideMark/>
          </w:tcPr>
          <w:p w14:paraId="52B9720D" w14:textId="77777777" w:rsidR="005D70C8" w:rsidRDefault="00FB6549">
            <w:pPr>
              <w:rPr>
                <w:rFonts w:ascii="Times New Roman" w:hAnsi="Times New Roman" w:cs="Times New Roman"/>
              </w:rPr>
            </w:pPr>
            <w:r>
              <w:rPr>
                <w:rFonts w:ascii="Times New Roman" w:hAnsi="Times New Roman" w:cs="Times New Roman"/>
              </w:rPr>
              <w:t>Tertiary</w:t>
            </w:r>
          </w:p>
        </w:tc>
        <w:tc>
          <w:tcPr>
            <w:tcW w:w="2033" w:type="dxa"/>
            <w:hideMark/>
          </w:tcPr>
          <w:p w14:paraId="2F593E81" w14:textId="77777777" w:rsidR="005D70C8" w:rsidRDefault="00FB6549">
            <w:pPr>
              <w:rPr>
                <w:rFonts w:ascii="Times New Roman" w:hAnsi="Times New Roman" w:cs="Times New Roman"/>
              </w:rPr>
            </w:pPr>
            <w:r>
              <w:rPr>
                <w:rFonts w:ascii="Times New Roman" w:hAnsi="Times New Roman" w:cs="Times New Roman"/>
              </w:rPr>
              <w:t>-0.073</w:t>
            </w:r>
          </w:p>
        </w:tc>
        <w:tc>
          <w:tcPr>
            <w:tcW w:w="2332" w:type="dxa"/>
            <w:hideMark/>
          </w:tcPr>
          <w:p w14:paraId="0DBFB647" w14:textId="77777777" w:rsidR="005D70C8" w:rsidRDefault="00FB6549">
            <w:pPr>
              <w:rPr>
                <w:rFonts w:ascii="Times New Roman" w:hAnsi="Times New Roman" w:cs="Times New Roman"/>
              </w:rPr>
            </w:pPr>
            <w:r>
              <w:rPr>
                <w:rFonts w:ascii="Times New Roman" w:hAnsi="Times New Roman" w:cs="Times New Roman"/>
              </w:rPr>
              <w:t>-0.0847**</w:t>
            </w:r>
          </w:p>
        </w:tc>
        <w:tc>
          <w:tcPr>
            <w:tcW w:w="2332" w:type="dxa"/>
            <w:hideMark/>
          </w:tcPr>
          <w:p w14:paraId="0EC08C5A" w14:textId="77777777" w:rsidR="005D70C8" w:rsidRDefault="00FB6549">
            <w:pPr>
              <w:rPr>
                <w:rFonts w:ascii="Times New Roman" w:hAnsi="Times New Roman" w:cs="Times New Roman"/>
              </w:rPr>
            </w:pPr>
            <w:r>
              <w:rPr>
                <w:rFonts w:ascii="Times New Roman" w:hAnsi="Times New Roman" w:cs="Times New Roman"/>
              </w:rPr>
              <w:t>-0.0614**</w:t>
            </w:r>
          </w:p>
        </w:tc>
      </w:tr>
      <w:tr w:rsidR="005D70C8" w14:paraId="79B6BB8E" w14:textId="77777777" w:rsidTr="00A908D8">
        <w:trPr>
          <w:trHeight w:val="459"/>
        </w:trPr>
        <w:tc>
          <w:tcPr>
            <w:tcW w:w="2875" w:type="dxa"/>
            <w:hideMark/>
          </w:tcPr>
          <w:p w14:paraId="05B6F761" w14:textId="77777777" w:rsidR="005D70C8" w:rsidRDefault="00FB6549">
            <w:pPr>
              <w:rPr>
                <w:rFonts w:ascii="Times New Roman" w:hAnsi="Times New Roman" w:cs="Times New Roman"/>
              </w:rPr>
            </w:pPr>
            <w:r>
              <w:rPr>
                <w:rFonts w:ascii="Times New Roman" w:hAnsi="Times New Roman" w:cs="Times New Roman"/>
              </w:rPr>
              <w:t>Constant</w:t>
            </w:r>
          </w:p>
        </w:tc>
        <w:tc>
          <w:tcPr>
            <w:tcW w:w="2033" w:type="dxa"/>
            <w:hideMark/>
          </w:tcPr>
          <w:p w14:paraId="573CEC66" w14:textId="77777777" w:rsidR="005D70C8" w:rsidRDefault="00FB6549">
            <w:pPr>
              <w:rPr>
                <w:rFonts w:ascii="Times New Roman" w:hAnsi="Times New Roman" w:cs="Times New Roman"/>
              </w:rPr>
            </w:pPr>
            <w:r>
              <w:rPr>
                <w:rFonts w:ascii="Times New Roman" w:hAnsi="Times New Roman" w:cs="Times New Roman"/>
              </w:rPr>
              <w:t>2.098***</w:t>
            </w:r>
          </w:p>
        </w:tc>
        <w:tc>
          <w:tcPr>
            <w:tcW w:w="2332" w:type="dxa"/>
            <w:hideMark/>
          </w:tcPr>
          <w:p w14:paraId="5745ECAE" w14:textId="77777777" w:rsidR="005D70C8" w:rsidRDefault="00FB6549">
            <w:pPr>
              <w:rPr>
                <w:rFonts w:ascii="Times New Roman" w:hAnsi="Times New Roman" w:cs="Times New Roman"/>
              </w:rPr>
            </w:pPr>
            <w:r>
              <w:rPr>
                <w:rFonts w:ascii="Times New Roman" w:hAnsi="Times New Roman" w:cs="Times New Roman"/>
              </w:rPr>
              <w:t>0.484***</w:t>
            </w:r>
          </w:p>
        </w:tc>
        <w:tc>
          <w:tcPr>
            <w:tcW w:w="2332" w:type="dxa"/>
            <w:hideMark/>
          </w:tcPr>
          <w:p w14:paraId="3095B112" w14:textId="77777777" w:rsidR="005D70C8" w:rsidRDefault="00FB6549">
            <w:pPr>
              <w:rPr>
                <w:rFonts w:ascii="Times New Roman" w:hAnsi="Times New Roman" w:cs="Times New Roman"/>
              </w:rPr>
            </w:pPr>
            <w:r>
              <w:rPr>
                <w:rFonts w:ascii="Times New Roman" w:hAnsi="Times New Roman" w:cs="Times New Roman"/>
              </w:rPr>
              <w:t>0.269***</w:t>
            </w:r>
          </w:p>
        </w:tc>
      </w:tr>
      <w:tr w:rsidR="005D70C8" w14:paraId="137ED4F0" w14:textId="77777777" w:rsidTr="00A908D8">
        <w:trPr>
          <w:trHeight w:val="208"/>
        </w:trPr>
        <w:tc>
          <w:tcPr>
            <w:tcW w:w="2875" w:type="dxa"/>
          </w:tcPr>
          <w:p w14:paraId="72462361" w14:textId="77777777" w:rsidR="005D70C8" w:rsidRDefault="00FB6549">
            <w:pPr>
              <w:rPr>
                <w:rFonts w:ascii="Times New Roman" w:eastAsia="Times New Roman" w:hAnsi="Times New Roman" w:cs="Times New Roman"/>
                <w:sz w:val="20"/>
                <w:szCs w:val="20"/>
              </w:rPr>
            </w:pPr>
            <w:r>
              <w:rPr>
                <w:rFonts w:ascii="Times New Roman" w:eastAsia="Times New Roman" w:hAnsi="Times New Roman" w:cs="Times New Roman"/>
                <w:bCs/>
                <w:sz w:val="20"/>
                <w:szCs w:val="20"/>
              </w:rPr>
              <w:t>Observations</w:t>
            </w:r>
          </w:p>
        </w:tc>
        <w:tc>
          <w:tcPr>
            <w:tcW w:w="2033" w:type="dxa"/>
          </w:tcPr>
          <w:p w14:paraId="07C8368E" w14:textId="77777777" w:rsidR="005D70C8" w:rsidRDefault="00FB6549">
            <w:pPr>
              <w:rPr>
                <w:rFonts w:ascii="Times New Roman" w:eastAsia="Times New Roman" w:hAnsi="Times New Roman" w:cs="Times New Roman"/>
                <w:sz w:val="20"/>
                <w:szCs w:val="20"/>
              </w:rPr>
            </w:pPr>
            <w:r>
              <w:rPr>
                <w:rFonts w:ascii="Times New Roman" w:eastAsia="Times New Roman" w:hAnsi="Times New Roman" w:cs="Times New Roman"/>
                <w:sz w:val="20"/>
                <w:szCs w:val="20"/>
              </w:rPr>
              <w:t>427</w:t>
            </w:r>
          </w:p>
        </w:tc>
        <w:tc>
          <w:tcPr>
            <w:tcW w:w="2332" w:type="dxa"/>
          </w:tcPr>
          <w:p w14:paraId="26E191DF" w14:textId="77777777" w:rsidR="005D70C8" w:rsidRDefault="00FB6549">
            <w:pPr>
              <w:rPr>
                <w:rFonts w:ascii="Times New Roman" w:eastAsia="Times New Roman" w:hAnsi="Times New Roman" w:cs="Times New Roman"/>
                <w:sz w:val="20"/>
                <w:szCs w:val="20"/>
              </w:rPr>
            </w:pPr>
            <w:r>
              <w:rPr>
                <w:rFonts w:ascii="Times New Roman" w:eastAsia="Times New Roman" w:hAnsi="Times New Roman" w:cs="Times New Roman"/>
                <w:sz w:val="20"/>
                <w:szCs w:val="20"/>
              </w:rPr>
              <w:t>427</w:t>
            </w:r>
          </w:p>
        </w:tc>
        <w:tc>
          <w:tcPr>
            <w:tcW w:w="2332" w:type="dxa"/>
          </w:tcPr>
          <w:p w14:paraId="36A5D8E7" w14:textId="77777777" w:rsidR="005D70C8" w:rsidRDefault="00FB6549">
            <w:pPr>
              <w:rPr>
                <w:rFonts w:ascii="Times New Roman" w:eastAsia="Times New Roman" w:hAnsi="Times New Roman" w:cs="Times New Roman"/>
                <w:sz w:val="20"/>
                <w:szCs w:val="20"/>
              </w:rPr>
            </w:pPr>
            <w:r>
              <w:rPr>
                <w:rFonts w:ascii="Times New Roman" w:eastAsia="Times New Roman" w:hAnsi="Times New Roman" w:cs="Times New Roman"/>
                <w:sz w:val="20"/>
                <w:szCs w:val="20"/>
              </w:rPr>
              <w:t>427</w:t>
            </w:r>
          </w:p>
        </w:tc>
      </w:tr>
      <w:tr w:rsidR="005D70C8" w14:paraId="1ACCD32E" w14:textId="77777777" w:rsidTr="00A908D8">
        <w:trPr>
          <w:trHeight w:val="417"/>
        </w:trPr>
        <w:tc>
          <w:tcPr>
            <w:tcW w:w="2875" w:type="dxa"/>
          </w:tcPr>
          <w:p w14:paraId="03BBA573" w14:textId="77777777" w:rsidR="005D70C8" w:rsidRDefault="00FB6549">
            <w:pPr>
              <w:rPr>
                <w:rFonts w:ascii="Times New Roman" w:eastAsia="Times New Roman" w:hAnsi="Times New Roman" w:cs="Times New Roman"/>
                <w:sz w:val="20"/>
                <w:szCs w:val="20"/>
              </w:rPr>
            </w:pPr>
            <w:r>
              <w:rPr>
                <w:rFonts w:ascii="Times New Roman" w:eastAsia="Times New Roman" w:hAnsi="Times New Roman" w:cs="Times New Roman"/>
                <w:bCs/>
                <w:sz w:val="20"/>
                <w:szCs w:val="20"/>
              </w:rPr>
              <w:t>Pseudo R² / R²</w:t>
            </w:r>
          </w:p>
        </w:tc>
        <w:tc>
          <w:tcPr>
            <w:tcW w:w="2033" w:type="dxa"/>
          </w:tcPr>
          <w:p w14:paraId="50C6F156" w14:textId="77777777" w:rsidR="005D70C8" w:rsidRDefault="00FB6549">
            <w:pPr>
              <w:rPr>
                <w:rFonts w:ascii="Times New Roman" w:eastAsia="Times New Roman" w:hAnsi="Times New Roman" w:cs="Times New Roman"/>
                <w:sz w:val="20"/>
                <w:szCs w:val="20"/>
              </w:rPr>
            </w:pPr>
            <w:r>
              <w:rPr>
                <w:rFonts w:ascii="Times New Roman" w:eastAsia="Times New Roman" w:hAnsi="Times New Roman" w:cs="Times New Roman"/>
                <w:sz w:val="20"/>
                <w:szCs w:val="20"/>
              </w:rPr>
              <w:t>0.087</w:t>
            </w:r>
          </w:p>
        </w:tc>
        <w:tc>
          <w:tcPr>
            <w:tcW w:w="2332" w:type="dxa"/>
          </w:tcPr>
          <w:p w14:paraId="7B2551CC" w14:textId="77777777" w:rsidR="005D70C8" w:rsidRDefault="00FB6549">
            <w:pPr>
              <w:rPr>
                <w:rFonts w:ascii="Times New Roman" w:eastAsia="Times New Roman" w:hAnsi="Times New Roman" w:cs="Times New Roman"/>
                <w:sz w:val="20"/>
                <w:szCs w:val="20"/>
              </w:rPr>
            </w:pPr>
            <w:r>
              <w:rPr>
                <w:rFonts w:ascii="Times New Roman" w:eastAsia="Times New Roman" w:hAnsi="Times New Roman" w:cs="Times New Roman"/>
                <w:sz w:val="20"/>
                <w:szCs w:val="20"/>
              </w:rPr>
              <w:t>0.214</w:t>
            </w:r>
          </w:p>
        </w:tc>
        <w:tc>
          <w:tcPr>
            <w:tcW w:w="2332" w:type="dxa"/>
          </w:tcPr>
          <w:p w14:paraId="61BFEBFA" w14:textId="77777777" w:rsidR="005D70C8" w:rsidRDefault="00FB6549">
            <w:pPr>
              <w:rPr>
                <w:rFonts w:ascii="Times New Roman" w:eastAsia="Times New Roman" w:hAnsi="Times New Roman" w:cs="Times New Roman"/>
                <w:sz w:val="20"/>
                <w:szCs w:val="20"/>
              </w:rPr>
            </w:pPr>
            <w:r>
              <w:rPr>
                <w:rFonts w:ascii="Times New Roman" w:eastAsia="Times New Roman" w:hAnsi="Times New Roman" w:cs="Times New Roman"/>
                <w:sz w:val="20"/>
                <w:szCs w:val="20"/>
              </w:rPr>
              <w:t>0.198</w:t>
            </w:r>
          </w:p>
        </w:tc>
      </w:tr>
    </w:tbl>
    <w:p w14:paraId="3ECE3AC4" w14:textId="77777777" w:rsidR="005D70C8" w:rsidRDefault="00FB6549">
      <w:pPr>
        <w:shd w:val="clear" w:color="auto" w:fill="FFFFFF"/>
        <w:spacing w:after="0" w:line="240" w:lineRule="auto"/>
        <w:rPr>
          <w:rFonts w:ascii="Times New Roman" w:eastAsia="Times New Roman" w:hAnsi="Times New Roman" w:cs="Times New Roman"/>
          <w:color w:val="0F1115"/>
          <w:sz w:val="20"/>
          <w:szCs w:val="20"/>
        </w:rPr>
      </w:pPr>
      <w:r>
        <w:rPr>
          <w:rFonts w:ascii="Times New Roman" w:eastAsia="Times New Roman" w:hAnsi="Times New Roman" w:cs="Times New Roman"/>
          <w:b/>
          <w:bCs/>
          <w:color w:val="0F1115"/>
          <w:sz w:val="20"/>
          <w:szCs w:val="20"/>
        </w:rPr>
        <w:t>Notes:</w:t>
      </w:r>
      <w:r>
        <w:rPr>
          <w:rFonts w:ascii="Times New Roman" w:eastAsia="Times New Roman" w:hAnsi="Times New Roman" w:cs="Times New Roman"/>
          <w:color w:val="0F1115"/>
          <w:sz w:val="20"/>
          <w:szCs w:val="20"/>
        </w:rPr>
        <w:t> Robust standard errors in parentheses.</w:t>
      </w:r>
    </w:p>
    <w:p w14:paraId="08B14DBE" w14:textId="77777777" w:rsidR="005D70C8" w:rsidRDefault="00FB6549">
      <w:pPr>
        <w:shd w:val="clear" w:color="auto" w:fill="FFFFFF"/>
        <w:spacing w:after="0" w:line="240" w:lineRule="auto"/>
        <w:rPr>
          <w:rFonts w:ascii="Times New Roman" w:eastAsia="Times New Roman" w:hAnsi="Times New Roman" w:cs="Times New Roman"/>
          <w:color w:val="0F1115"/>
          <w:sz w:val="20"/>
          <w:szCs w:val="20"/>
        </w:rPr>
      </w:pPr>
      <w:r>
        <w:rPr>
          <w:rFonts w:ascii="Times New Roman" w:eastAsia="Times New Roman" w:hAnsi="Times New Roman" w:cs="Times New Roman"/>
          <w:color w:val="0F1115"/>
          <w:sz w:val="20"/>
          <w:szCs w:val="20"/>
        </w:rPr>
        <w:t xml:space="preserve"> * p &lt; 0.10, ** p &lt; 0.05, *** p &lt; 0.01. Model (1) is logit (coefficients reported); Models (2) and (3) are OLS.</w:t>
      </w:r>
    </w:p>
    <w:p w14:paraId="15003204" w14:textId="77777777" w:rsidR="005D70C8" w:rsidRDefault="00FB6549">
      <w:pPr>
        <w:pStyle w:val="NormalWeb"/>
        <w:jc w:val="both"/>
      </w:pPr>
      <w:r>
        <w:t>The correlation matrix (Table 2) and FGT regressions together provide a consistent view of poverty dynamics over the period of study. Correlations results show a strong and positive association between poverty and its depth measures (gap and gap2); this indicates that poorer households are also those who remain in greater intensity poverty scenarios. In contrast, we find that income per adult equivalent is highly negatively correlated for all poverty indicators confirming the expected (and intuitive) negative association between income and being classified into poverty. Also, factors such as age negatively correlating with poverty measures imply that older household heads are less likely to be poor; they may have accumulated assets, and experience.</w:t>
      </w:r>
    </w:p>
    <w:p w14:paraId="5910921D" w14:textId="6A928DCE" w:rsidR="005D70C8" w:rsidRDefault="00FB6549" w:rsidP="001A27C8">
      <w:pPr>
        <w:pStyle w:val="NormalWeb"/>
        <w:jc w:val="both"/>
        <w:sectPr w:rsidR="005D70C8" w:rsidSect="00A908D8">
          <w:type w:val="continuous"/>
          <w:pgSz w:w="12240" w:h="15840"/>
          <w:pgMar w:top="450" w:right="1440" w:bottom="1440" w:left="1440" w:header="720" w:footer="720" w:gutter="0"/>
          <w:cols w:space="360"/>
          <w:docGrid w:linePitch="360"/>
        </w:sectPr>
      </w:pPr>
      <w:r>
        <w:t xml:space="preserve">Regression results, included in Table 3, reaffirm this relationship after controlling for household and institutional factors. While this could signal some inefficiencies and/or misallocation in credit usage, agricultural credit nearly doubles the likelihood of being poor (β = 0.483, p &lt; 0.05). Knowledge transfer: Agricultural extension services lessen the severity of poverty (β = -0.0206, p &lt; 0.10). The most reliable and stable predictor in all models is age (β = −0.0463 to −0.0028, p &lt; 0.01); this provides support for life-cycle effects on welfare outcomes. By contrast to household size, most agricultural input variables were statistically insignificant, suggesting weak </w:t>
      </w:r>
      <w:r>
        <w:lastRenderedPageBreak/>
        <w:t>direct effects on poverty outcomes. More broadly, the results suggest that human capital and institutional efficiency variables matter more for poverty in the study area than through access to agricultural inputs as such. Income differences are the crux of welfare inequality. The positive association between income and poverty provides further evidence that income remains the principal determinant of welfare difference. This implies that it is possible to have positive impact without necessity of agriculture input distribution policies, but by continuing focusing more on institutional effectiveness and human capital development instead</w:t>
      </w:r>
    </w:p>
    <w:p w14:paraId="259D0F76" w14:textId="77777777" w:rsidR="00D831B2" w:rsidRDefault="00D831B2">
      <w:pPr>
        <w:rPr>
          <w:rFonts w:ascii="Times New Roman" w:hAnsi="Times New Roman" w:cs="Times New Roman"/>
          <w:b/>
          <w:sz w:val="20"/>
          <w:szCs w:val="20"/>
        </w:rPr>
      </w:pPr>
    </w:p>
    <w:p w14:paraId="35FAC01F" w14:textId="77777777" w:rsidR="00A908D8" w:rsidRDefault="00A908D8">
      <w:pPr>
        <w:rPr>
          <w:rFonts w:ascii="Times New Roman" w:hAnsi="Times New Roman" w:cs="Times New Roman"/>
          <w:b/>
          <w:sz w:val="20"/>
          <w:szCs w:val="20"/>
        </w:rPr>
      </w:pPr>
    </w:p>
    <w:p w14:paraId="221C1725" w14:textId="56487D46" w:rsidR="00D831B2" w:rsidRDefault="00D831B2">
      <w:pPr>
        <w:rPr>
          <w:rFonts w:ascii="Times New Roman" w:hAnsi="Times New Roman" w:cs="Times New Roman"/>
          <w:b/>
          <w:sz w:val="20"/>
          <w:szCs w:val="20"/>
        </w:rPr>
      </w:pPr>
      <w:r>
        <w:rPr>
          <w:rFonts w:ascii="Times New Roman" w:hAnsi="Times New Roman" w:cs="Times New Roman"/>
          <w:b/>
          <w:sz w:val="20"/>
          <w:szCs w:val="20"/>
        </w:rPr>
        <w:t>Table 3: Determinants of Poverty (FGT Models)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3"/>
        <w:gridCol w:w="2036"/>
        <w:gridCol w:w="2036"/>
        <w:gridCol w:w="2036"/>
      </w:tblGrid>
      <w:tr w:rsidR="00D831B2" w14:paraId="02ED867E" w14:textId="77777777" w:rsidTr="00F652D7">
        <w:trPr>
          <w:trHeight w:val="257"/>
          <w:jc w:val="center"/>
        </w:trPr>
        <w:tc>
          <w:tcPr>
            <w:tcW w:w="2643" w:type="dxa"/>
          </w:tcPr>
          <w:p w14:paraId="3EB7ABDB"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p>
        </w:tc>
        <w:tc>
          <w:tcPr>
            <w:tcW w:w="2036" w:type="dxa"/>
          </w:tcPr>
          <w:p w14:paraId="2748CCF2"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036" w:type="dxa"/>
          </w:tcPr>
          <w:p w14:paraId="2EEB3855"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036" w:type="dxa"/>
          </w:tcPr>
          <w:p w14:paraId="10DCD53F"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831B2" w14:paraId="2E1C0A2D" w14:textId="77777777" w:rsidTr="00F652D7">
        <w:trPr>
          <w:trHeight w:val="257"/>
          <w:jc w:val="center"/>
        </w:trPr>
        <w:tc>
          <w:tcPr>
            <w:tcW w:w="2643" w:type="dxa"/>
          </w:tcPr>
          <w:p w14:paraId="6D4D3084"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p>
        </w:tc>
        <w:tc>
          <w:tcPr>
            <w:tcW w:w="2036" w:type="dxa"/>
          </w:tcPr>
          <w:p w14:paraId="454B2041"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poor</w:t>
            </w:r>
          </w:p>
        </w:tc>
        <w:tc>
          <w:tcPr>
            <w:tcW w:w="2036" w:type="dxa"/>
          </w:tcPr>
          <w:p w14:paraId="6E214889"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gap</w:t>
            </w:r>
          </w:p>
        </w:tc>
        <w:tc>
          <w:tcPr>
            <w:tcW w:w="2036" w:type="dxa"/>
          </w:tcPr>
          <w:p w14:paraId="0DE89154"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gap2</w:t>
            </w:r>
          </w:p>
        </w:tc>
      </w:tr>
      <w:tr w:rsidR="00D831B2" w14:paraId="5B890E33" w14:textId="77777777" w:rsidTr="00F652D7">
        <w:trPr>
          <w:trHeight w:val="271"/>
          <w:jc w:val="center"/>
        </w:trPr>
        <w:tc>
          <w:tcPr>
            <w:tcW w:w="2643" w:type="dxa"/>
          </w:tcPr>
          <w:p w14:paraId="04BF1ED8"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main</w:t>
            </w:r>
          </w:p>
        </w:tc>
        <w:tc>
          <w:tcPr>
            <w:tcW w:w="2036" w:type="dxa"/>
          </w:tcPr>
          <w:p w14:paraId="330EE450"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p>
        </w:tc>
        <w:tc>
          <w:tcPr>
            <w:tcW w:w="2036" w:type="dxa"/>
          </w:tcPr>
          <w:p w14:paraId="5D59B278"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p>
        </w:tc>
        <w:tc>
          <w:tcPr>
            <w:tcW w:w="2036" w:type="dxa"/>
          </w:tcPr>
          <w:p w14:paraId="55208487"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p>
        </w:tc>
      </w:tr>
      <w:tr w:rsidR="00D831B2" w14:paraId="3DB7C2F7" w14:textId="77777777" w:rsidTr="00F652D7">
        <w:trPr>
          <w:trHeight w:val="257"/>
          <w:jc w:val="center"/>
        </w:trPr>
        <w:tc>
          <w:tcPr>
            <w:tcW w:w="2643" w:type="dxa"/>
          </w:tcPr>
          <w:p w14:paraId="33F2AE98"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agri_index</w:t>
            </w:r>
            <w:proofErr w:type="spellEnd"/>
          </w:p>
        </w:tc>
        <w:tc>
          <w:tcPr>
            <w:tcW w:w="2036" w:type="dxa"/>
          </w:tcPr>
          <w:p w14:paraId="0020BE8F"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0.240</w:t>
            </w:r>
          </w:p>
        </w:tc>
        <w:tc>
          <w:tcPr>
            <w:tcW w:w="2036" w:type="dxa"/>
          </w:tcPr>
          <w:p w14:paraId="033B366A"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0.0156</w:t>
            </w:r>
          </w:p>
        </w:tc>
        <w:tc>
          <w:tcPr>
            <w:tcW w:w="2036" w:type="dxa"/>
          </w:tcPr>
          <w:p w14:paraId="11A33869"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0.00247</w:t>
            </w:r>
          </w:p>
        </w:tc>
      </w:tr>
      <w:tr w:rsidR="00D831B2" w14:paraId="7EA5372D" w14:textId="77777777" w:rsidTr="00F652D7">
        <w:trPr>
          <w:trHeight w:val="257"/>
          <w:jc w:val="center"/>
        </w:trPr>
        <w:tc>
          <w:tcPr>
            <w:tcW w:w="2643" w:type="dxa"/>
          </w:tcPr>
          <w:p w14:paraId="4DBF4579"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p>
        </w:tc>
        <w:tc>
          <w:tcPr>
            <w:tcW w:w="2036" w:type="dxa"/>
          </w:tcPr>
          <w:p w14:paraId="3DD91CE8"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(0.493)</w:t>
            </w:r>
          </w:p>
        </w:tc>
        <w:tc>
          <w:tcPr>
            <w:tcW w:w="2036" w:type="dxa"/>
          </w:tcPr>
          <w:p w14:paraId="4D36C3FA"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(0.0443)</w:t>
            </w:r>
          </w:p>
        </w:tc>
        <w:tc>
          <w:tcPr>
            <w:tcW w:w="2036" w:type="dxa"/>
          </w:tcPr>
          <w:p w14:paraId="4909238A"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(0.0264)</w:t>
            </w:r>
          </w:p>
        </w:tc>
      </w:tr>
      <w:tr w:rsidR="00D831B2" w14:paraId="19E18FAA" w14:textId="77777777" w:rsidTr="00F652D7">
        <w:trPr>
          <w:trHeight w:val="257"/>
          <w:jc w:val="center"/>
        </w:trPr>
        <w:tc>
          <w:tcPr>
            <w:tcW w:w="2643" w:type="dxa"/>
          </w:tcPr>
          <w:p w14:paraId="2342B595"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institution_index</w:t>
            </w:r>
            <w:proofErr w:type="spellEnd"/>
          </w:p>
        </w:tc>
        <w:tc>
          <w:tcPr>
            <w:tcW w:w="2036" w:type="dxa"/>
          </w:tcPr>
          <w:p w14:paraId="513CCEE6"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-0.893</w:t>
            </w:r>
            <w:r>
              <w:rPr>
                <w:rFonts w:ascii="Times New Roman" w:hAnsi="Times New Roman" w:cs="Times New Roman"/>
                <w:sz w:val="20"/>
                <w:szCs w:val="20"/>
                <w:vertAlign w:val="superscript"/>
              </w:rPr>
              <w:t>*</w:t>
            </w:r>
          </w:p>
        </w:tc>
        <w:tc>
          <w:tcPr>
            <w:tcW w:w="2036" w:type="dxa"/>
          </w:tcPr>
          <w:p w14:paraId="24DA291E"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-0.123</w:t>
            </w:r>
            <w:r>
              <w:rPr>
                <w:rFonts w:ascii="Times New Roman" w:hAnsi="Times New Roman" w:cs="Times New Roman"/>
                <w:sz w:val="20"/>
                <w:szCs w:val="20"/>
                <w:vertAlign w:val="superscript"/>
              </w:rPr>
              <w:t>***</w:t>
            </w:r>
          </w:p>
        </w:tc>
        <w:tc>
          <w:tcPr>
            <w:tcW w:w="2036" w:type="dxa"/>
          </w:tcPr>
          <w:p w14:paraId="60683C63"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-0.0821</w:t>
            </w:r>
            <w:r>
              <w:rPr>
                <w:rFonts w:ascii="Times New Roman" w:hAnsi="Times New Roman" w:cs="Times New Roman"/>
                <w:sz w:val="20"/>
                <w:szCs w:val="20"/>
                <w:vertAlign w:val="superscript"/>
              </w:rPr>
              <w:t>***</w:t>
            </w:r>
          </w:p>
        </w:tc>
      </w:tr>
      <w:tr w:rsidR="00D831B2" w14:paraId="2C72F0B5" w14:textId="77777777" w:rsidTr="00F652D7">
        <w:trPr>
          <w:trHeight w:val="271"/>
          <w:jc w:val="center"/>
        </w:trPr>
        <w:tc>
          <w:tcPr>
            <w:tcW w:w="2643" w:type="dxa"/>
          </w:tcPr>
          <w:p w14:paraId="7D511D3C"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p>
        </w:tc>
        <w:tc>
          <w:tcPr>
            <w:tcW w:w="2036" w:type="dxa"/>
          </w:tcPr>
          <w:p w14:paraId="2BDB74A5"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(0.464)</w:t>
            </w:r>
          </w:p>
        </w:tc>
        <w:tc>
          <w:tcPr>
            <w:tcW w:w="2036" w:type="dxa"/>
          </w:tcPr>
          <w:p w14:paraId="1D169C82"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(0.0405)</w:t>
            </w:r>
          </w:p>
        </w:tc>
        <w:tc>
          <w:tcPr>
            <w:tcW w:w="2036" w:type="dxa"/>
          </w:tcPr>
          <w:p w14:paraId="077EF468"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(0.0246)</w:t>
            </w:r>
          </w:p>
        </w:tc>
      </w:tr>
      <w:tr w:rsidR="00D831B2" w14:paraId="713A18CD" w14:textId="77777777" w:rsidTr="00F652D7">
        <w:trPr>
          <w:trHeight w:val="257"/>
          <w:jc w:val="center"/>
        </w:trPr>
        <w:tc>
          <w:tcPr>
            <w:tcW w:w="2643" w:type="dxa"/>
          </w:tcPr>
          <w:p w14:paraId="508908B3"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infrastructure_index</w:t>
            </w:r>
            <w:proofErr w:type="spellEnd"/>
          </w:p>
        </w:tc>
        <w:tc>
          <w:tcPr>
            <w:tcW w:w="2036" w:type="dxa"/>
          </w:tcPr>
          <w:p w14:paraId="341F96AA"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-1.141</w:t>
            </w:r>
            <w:r>
              <w:rPr>
                <w:rFonts w:ascii="Times New Roman" w:hAnsi="Times New Roman" w:cs="Times New Roman"/>
                <w:sz w:val="20"/>
                <w:szCs w:val="20"/>
                <w:vertAlign w:val="superscript"/>
              </w:rPr>
              <w:t>**</w:t>
            </w:r>
          </w:p>
        </w:tc>
        <w:tc>
          <w:tcPr>
            <w:tcW w:w="2036" w:type="dxa"/>
          </w:tcPr>
          <w:p w14:paraId="3AE3D738"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-0.133</w:t>
            </w:r>
            <w:r>
              <w:rPr>
                <w:rFonts w:ascii="Times New Roman" w:hAnsi="Times New Roman" w:cs="Times New Roman"/>
                <w:sz w:val="20"/>
                <w:szCs w:val="20"/>
                <w:vertAlign w:val="superscript"/>
              </w:rPr>
              <w:t>***</w:t>
            </w:r>
          </w:p>
        </w:tc>
        <w:tc>
          <w:tcPr>
            <w:tcW w:w="2036" w:type="dxa"/>
          </w:tcPr>
          <w:p w14:paraId="51C4428E"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-0.0781</w:t>
            </w:r>
            <w:r>
              <w:rPr>
                <w:rFonts w:ascii="Times New Roman" w:hAnsi="Times New Roman" w:cs="Times New Roman"/>
                <w:sz w:val="20"/>
                <w:szCs w:val="20"/>
                <w:vertAlign w:val="superscript"/>
              </w:rPr>
              <w:t>***</w:t>
            </w:r>
          </w:p>
        </w:tc>
      </w:tr>
      <w:tr w:rsidR="00D831B2" w14:paraId="4AB28F64" w14:textId="77777777" w:rsidTr="00F652D7">
        <w:trPr>
          <w:trHeight w:val="271"/>
          <w:jc w:val="center"/>
        </w:trPr>
        <w:tc>
          <w:tcPr>
            <w:tcW w:w="2643" w:type="dxa"/>
          </w:tcPr>
          <w:p w14:paraId="5CD65ACB"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p>
        </w:tc>
        <w:tc>
          <w:tcPr>
            <w:tcW w:w="2036" w:type="dxa"/>
          </w:tcPr>
          <w:p w14:paraId="2666145C"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(0.447)</w:t>
            </w:r>
          </w:p>
        </w:tc>
        <w:tc>
          <w:tcPr>
            <w:tcW w:w="2036" w:type="dxa"/>
          </w:tcPr>
          <w:p w14:paraId="3527D581"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(0.0382)</w:t>
            </w:r>
          </w:p>
        </w:tc>
        <w:tc>
          <w:tcPr>
            <w:tcW w:w="2036" w:type="dxa"/>
          </w:tcPr>
          <w:p w14:paraId="543685A9"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(0.0237)</w:t>
            </w:r>
          </w:p>
        </w:tc>
      </w:tr>
      <w:tr w:rsidR="00D831B2" w14:paraId="6590BC20" w14:textId="77777777" w:rsidTr="00F652D7">
        <w:trPr>
          <w:trHeight w:val="271"/>
          <w:jc w:val="center"/>
        </w:trPr>
        <w:tc>
          <w:tcPr>
            <w:tcW w:w="2643" w:type="dxa"/>
          </w:tcPr>
          <w:p w14:paraId="3F33D7DA"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shock_index</w:t>
            </w:r>
            <w:proofErr w:type="spellEnd"/>
          </w:p>
        </w:tc>
        <w:tc>
          <w:tcPr>
            <w:tcW w:w="2036" w:type="dxa"/>
          </w:tcPr>
          <w:p w14:paraId="42ECAEF2"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0.530</w:t>
            </w:r>
          </w:p>
        </w:tc>
        <w:tc>
          <w:tcPr>
            <w:tcW w:w="2036" w:type="dxa"/>
          </w:tcPr>
          <w:p w14:paraId="0D005135"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0.0683</w:t>
            </w:r>
            <w:r>
              <w:rPr>
                <w:rFonts w:ascii="Times New Roman" w:hAnsi="Times New Roman" w:cs="Times New Roman"/>
                <w:sz w:val="20"/>
                <w:szCs w:val="20"/>
                <w:vertAlign w:val="superscript"/>
              </w:rPr>
              <w:t>*</w:t>
            </w:r>
          </w:p>
        </w:tc>
        <w:tc>
          <w:tcPr>
            <w:tcW w:w="2036" w:type="dxa"/>
          </w:tcPr>
          <w:p w14:paraId="6038292E"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0.0502</w:t>
            </w:r>
            <w:r>
              <w:rPr>
                <w:rFonts w:ascii="Times New Roman" w:hAnsi="Times New Roman" w:cs="Times New Roman"/>
                <w:sz w:val="20"/>
                <w:szCs w:val="20"/>
                <w:vertAlign w:val="superscript"/>
              </w:rPr>
              <w:t>*</w:t>
            </w:r>
          </w:p>
        </w:tc>
      </w:tr>
      <w:tr w:rsidR="00D831B2" w14:paraId="4483EDB0" w14:textId="77777777" w:rsidTr="00F652D7">
        <w:trPr>
          <w:trHeight w:val="257"/>
          <w:jc w:val="center"/>
        </w:trPr>
        <w:tc>
          <w:tcPr>
            <w:tcW w:w="2643" w:type="dxa"/>
          </w:tcPr>
          <w:p w14:paraId="7C8DFF79"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p>
        </w:tc>
        <w:tc>
          <w:tcPr>
            <w:tcW w:w="2036" w:type="dxa"/>
          </w:tcPr>
          <w:p w14:paraId="6E8EBBB7"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(0.425)</w:t>
            </w:r>
          </w:p>
        </w:tc>
        <w:tc>
          <w:tcPr>
            <w:tcW w:w="2036" w:type="dxa"/>
          </w:tcPr>
          <w:p w14:paraId="74C457EF"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(0.0401)</w:t>
            </w:r>
          </w:p>
        </w:tc>
        <w:tc>
          <w:tcPr>
            <w:tcW w:w="2036" w:type="dxa"/>
          </w:tcPr>
          <w:p w14:paraId="2B6E60CA"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(0.0262)</w:t>
            </w:r>
          </w:p>
        </w:tc>
      </w:tr>
      <w:tr w:rsidR="00D831B2" w14:paraId="7F41F0AA" w14:textId="77777777" w:rsidTr="00F652D7">
        <w:trPr>
          <w:trHeight w:val="271"/>
          <w:jc w:val="center"/>
        </w:trPr>
        <w:tc>
          <w:tcPr>
            <w:tcW w:w="2643" w:type="dxa"/>
          </w:tcPr>
          <w:p w14:paraId="14425DA5"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Age of household head</w:t>
            </w:r>
          </w:p>
        </w:tc>
        <w:tc>
          <w:tcPr>
            <w:tcW w:w="2036" w:type="dxa"/>
          </w:tcPr>
          <w:p w14:paraId="510F3B36"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-0.0108</w:t>
            </w:r>
          </w:p>
        </w:tc>
        <w:tc>
          <w:tcPr>
            <w:tcW w:w="2036" w:type="dxa"/>
          </w:tcPr>
          <w:p w14:paraId="505F7044"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-0.00817</w:t>
            </w:r>
            <w:r>
              <w:rPr>
                <w:rFonts w:ascii="Times New Roman" w:hAnsi="Times New Roman" w:cs="Times New Roman"/>
                <w:sz w:val="20"/>
                <w:szCs w:val="20"/>
                <w:vertAlign w:val="superscript"/>
              </w:rPr>
              <w:t>**</w:t>
            </w:r>
          </w:p>
        </w:tc>
        <w:tc>
          <w:tcPr>
            <w:tcW w:w="2036" w:type="dxa"/>
          </w:tcPr>
          <w:p w14:paraId="7862BEE3"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-0.00670</w:t>
            </w:r>
            <w:r>
              <w:rPr>
                <w:rFonts w:ascii="Times New Roman" w:hAnsi="Times New Roman" w:cs="Times New Roman"/>
                <w:sz w:val="20"/>
                <w:szCs w:val="20"/>
                <w:vertAlign w:val="superscript"/>
              </w:rPr>
              <w:t>***</w:t>
            </w:r>
          </w:p>
        </w:tc>
      </w:tr>
      <w:tr w:rsidR="00D831B2" w14:paraId="393F08FB" w14:textId="77777777" w:rsidTr="00F652D7">
        <w:trPr>
          <w:trHeight w:val="257"/>
          <w:jc w:val="center"/>
        </w:trPr>
        <w:tc>
          <w:tcPr>
            <w:tcW w:w="2643" w:type="dxa"/>
          </w:tcPr>
          <w:p w14:paraId="1FBAA0AC"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p>
        </w:tc>
        <w:tc>
          <w:tcPr>
            <w:tcW w:w="2036" w:type="dxa"/>
          </w:tcPr>
          <w:p w14:paraId="55B2A426"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(0.0419)</w:t>
            </w:r>
          </w:p>
        </w:tc>
        <w:tc>
          <w:tcPr>
            <w:tcW w:w="2036" w:type="dxa"/>
          </w:tcPr>
          <w:p w14:paraId="41503273"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(0.00383)</w:t>
            </w:r>
          </w:p>
        </w:tc>
        <w:tc>
          <w:tcPr>
            <w:tcW w:w="2036" w:type="dxa"/>
          </w:tcPr>
          <w:p w14:paraId="3CAC4E27"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(0.00247)</w:t>
            </w:r>
          </w:p>
        </w:tc>
      </w:tr>
      <w:tr w:rsidR="00D831B2" w14:paraId="47281C83" w14:textId="77777777" w:rsidTr="00F652D7">
        <w:trPr>
          <w:trHeight w:val="257"/>
          <w:jc w:val="center"/>
        </w:trPr>
        <w:tc>
          <w:tcPr>
            <w:tcW w:w="2643" w:type="dxa"/>
          </w:tcPr>
          <w:p w14:paraId="424864B8"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age2</w:t>
            </w:r>
          </w:p>
        </w:tc>
        <w:tc>
          <w:tcPr>
            <w:tcW w:w="2036" w:type="dxa"/>
          </w:tcPr>
          <w:p w14:paraId="6E4CB105"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-0.000365</w:t>
            </w:r>
          </w:p>
        </w:tc>
        <w:tc>
          <w:tcPr>
            <w:tcW w:w="2036" w:type="dxa"/>
          </w:tcPr>
          <w:p w14:paraId="0F300647"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0.0000310</w:t>
            </w:r>
          </w:p>
        </w:tc>
        <w:tc>
          <w:tcPr>
            <w:tcW w:w="2036" w:type="dxa"/>
          </w:tcPr>
          <w:p w14:paraId="406D9634"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0.0000384</w:t>
            </w:r>
            <w:r>
              <w:rPr>
                <w:rFonts w:ascii="Times New Roman" w:hAnsi="Times New Roman" w:cs="Times New Roman"/>
                <w:sz w:val="20"/>
                <w:szCs w:val="20"/>
                <w:vertAlign w:val="superscript"/>
              </w:rPr>
              <w:t>*</w:t>
            </w:r>
          </w:p>
        </w:tc>
      </w:tr>
      <w:tr w:rsidR="00D831B2" w14:paraId="53F7BEE4" w14:textId="77777777" w:rsidTr="00F652D7">
        <w:trPr>
          <w:trHeight w:val="257"/>
          <w:jc w:val="center"/>
        </w:trPr>
        <w:tc>
          <w:tcPr>
            <w:tcW w:w="2643" w:type="dxa"/>
          </w:tcPr>
          <w:p w14:paraId="68DA9C56"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p>
        </w:tc>
        <w:tc>
          <w:tcPr>
            <w:tcW w:w="2036" w:type="dxa"/>
          </w:tcPr>
          <w:p w14:paraId="25AC8BC6"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(0.000420)</w:t>
            </w:r>
          </w:p>
        </w:tc>
        <w:tc>
          <w:tcPr>
            <w:tcW w:w="2036" w:type="dxa"/>
          </w:tcPr>
          <w:p w14:paraId="677B006C"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(0.0000358)</w:t>
            </w:r>
          </w:p>
        </w:tc>
        <w:tc>
          <w:tcPr>
            <w:tcW w:w="2036" w:type="dxa"/>
          </w:tcPr>
          <w:p w14:paraId="74CC12BC"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(0.0000225)</w:t>
            </w:r>
          </w:p>
        </w:tc>
      </w:tr>
      <w:tr w:rsidR="00D831B2" w14:paraId="42140665" w14:textId="77777777" w:rsidTr="00F652D7">
        <w:trPr>
          <w:trHeight w:val="257"/>
          <w:jc w:val="center"/>
        </w:trPr>
        <w:tc>
          <w:tcPr>
            <w:tcW w:w="2643" w:type="dxa"/>
          </w:tcPr>
          <w:p w14:paraId="62630FC3"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Household size</w:t>
            </w:r>
          </w:p>
        </w:tc>
        <w:tc>
          <w:tcPr>
            <w:tcW w:w="2036" w:type="dxa"/>
          </w:tcPr>
          <w:p w14:paraId="0D608B01"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-0.0368</w:t>
            </w:r>
          </w:p>
        </w:tc>
        <w:tc>
          <w:tcPr>
            <w:tcW w:w="2036" w:type="dxa"/>
          </w:tcPr>
          <w:p w14:paraId="4BC14CB3"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-0.00534</w:t>
            </w:r>
          </w:p>
        </w:tc>
        <w:tc>
          <w:tcPr>
            <w:tcW w:w="2036" w:type="dxa"/>
          </w:tcPr>
          <w:p w14:paraId="51A856BA"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-0.00218</w:t>
            </w:r>
          </w:p>
        </w:tc>
      </w:tr>
      <w:tr w:rsidR="00D831B2" w14:paraId="15CB6281" w14:textId="77777777" w:rsidTr="00F652D7">
        <w:trPr>
          <w:trHeight w:val="257"/>
          <w:jc w:val="center"/>
        </w:trPr>
        <w:tc>
          <w:tcPr>
            <w:tcW w:w="2643" w:type="dxa"/>
          </w:tcPr>
          <w:p w14:paraId="15462EF4"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p>
        </w:tc>
        <w:tc>
          <w:tcPr>
            <w:tcW w:w="2036" w:type="dxa"/>
          </w:tcPr>
          <w:p w14:paraId="40840D73"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(0.0516)</w:t>
            </w:r>
          </w:p>
        </w:tc>
        <w:tc>
          <w:tcPr>
            <w:tcW w:w="2036" w:type="dxa"/>
          </w:tcPr>
          <w:p w14:paraId="2504C135"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(0.00509)</w:t>
            </w:r>
          </w:p>
        </w:tc>
        <w:tc>
          <w:tcPr>
            <w:tcW w:w="2036" w:type="dxa"/>
          </w:tcPr>
          <w:p w14:paraId="4274CC38"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(0.00334)</w:t>
            </w:r>
          </w:p>
        </w:tc>
      </w:tr>
      <w:tr w:rsidR="00D831B2" w14:paraId="0021F923" w14:textId="77777777" w:rsidTr="00F652D7">
        <w:trPr>
          <w:trHeight w:val="271"/>
          <w:jc w:val="center"/>
        </w:trPr>
        <w:tc>
          <w:tcPr>
            <w:tcW w:w="2643" w:type="dxa"/>
          </w:tcPr>
          <w:p w14:paraId="368EA064"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Constant</w:t>
            </w:r>
          </w:p>
        </w:tc>
        <w:tc>
          <w:tcPr>
            <w:tcW w:w="2036" w:type="dxa"/>
          </w:tcPr>
          <w:p w14:paraId="18ABF8A4"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2.195</w:t>
            </w:r>
            <w:r>
              <w:rPr>
                <w:rFonts w:ascii="Times New Roman" w:hAnsi="Times New Roman" w:cs="Times New Roman"/>
                <w:sz w:val="20"/>
                <w:szCs w:val="20"/>
                <w:vertAlign w:val="superscript"/>
              </w:rPr>
              <w:t>**</w:t>
            </w:r>
          </w:p>
        </w:tc>
        <w:tc>
          <w:tcPr>
            <w:tcW w:w="2036" w:type="dxa"/>
          </w:tcPr>
          <w:p w14:paraId="186E7D07"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0.658</w:t>
            </w:r>
            <w:r>
              <w:rPr>
                <w:rFonts w:ascii="Times New Roman" w:hAnsi="Times New Roman" w:cs="Times New Roman"/>
                <w:sz w:val="20"/>
                <w:szCs w:val="20"/>
                <w:vertAlign w:val="superscript"/>
              </w:rPr>
              <w:t>***</w:t>
            </w:r>
          </w:p>
        </w:tc>
        <w:tc>
          <w:tcPr>
            <w:tcW w:w="2036" w:type="dxa"/>
          </w:tcPr>
          <w:p w14:paraId="61BF3A07"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0.418</w:t>
            </w:r>
            <w:r>
              <w:rPr>
                <w:rFonts w:ascii="Times New Roman" w:hAnsi="Times New Roman" w:cs="Times New Roman"/>
                <w:sz w:val="20"/>
                <w:szCs w:val="20"/>
                <w:vertAlign w:val="superscript"/>
              </w:rPr>
              <w:t>***</w:t>
            </w:r>
          </w:p>
        </w:tc>
      </w:tr>
      <w:tr w:rsidR="00D831B2" w14:paraId="2CA0E7CE" w14:textId="77777777" w:rsidTr="00F652D7">
        <w:trPr>
          <w:trHeight w:val="257"/>
          <w:jc w:val="center"/>
        </w:trPr>
        <w:tc>
          <w:tcPr>
            <w:tcW w:w="2643" w:type="dxa"/>
          </w:tcPr>
          <w:p w14:paraId="325F57FB"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p>
        </w:tc>
        <w:tc>
          <w:tcPr>
            <w:tcW w:w="2036" w:type="dxa"/>
          </w:tcPr>
          <w:p w14:paraId="0EBF0EBB"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(1.119)</w:t>
            </w:r>
          </w:p>
        </w:tc>
        <w:tc>
          <w:tcPr>
            <w:tcW w:w="2036" w:type="dxa"/>
          </w:tcPr>
          <w:p w14:paraId="52A4D5ED"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(0.113)</w:t>
            </w:r>
          </w:p>
        </w:tc>
        <w:tc>
          <w:tcPr>
            <w:tcW w:w="2036" w:type="dxa"/>
          </w:tcPr>
          <w:p w14:paraId="18AFD591"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(0.0747)</w:t>
            </w:r>
          </w:p>
        </w:tc>
      </w:tr>
      <w:tr w:rsidR="00D831B2" w14:paraId="054A5C55" w14:textId="77777777" w:rsidTr="00F652D7">
        <w:trPr>
          <w:trHeight w:val="257"/>
          <w:jc w:val="center"/>
        </w:trPr>
        <w:tc>
          <w:tcPr>
            <w:tcW w:w="2643" w:type="dxa"/>
          </w:tcPr>
          <w:p w14:paraId="33E9924B" w14:textId="77777777" w:rsidR="00D831B2" w:rsidRDefault="00D831B2" w:rsidP="00F652D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Observations</w:t>
            </w:r>
          </w:p>
        </w:tc>
        <w:tc>
          <w:tcPr>
            <w:tcW w:w="2036" w:type="dxa"/>
          </w:tcPr>
          <w:p w14:paraId="229E1386"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427</w:t>
            </w:r>
          </w:p>
        </w:tc>
        <w:tc>
          <w:tcPr>
            <w:tcW w:w="2036" w:type="dxa"/>
          </w:tcPr>
          <w:p w14:paraId="255FD213"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427</w:t>
            </w:r>
          </w:p>
        </w:tc>
        <w:tc>
          <w:tcPr>
            <w:tcW w:w="2036" w:type="dxa"/>
          </w:tcPr>
          <w:p w14:paraId="680AE6EF" w14:textId="77777777" w:rsidR="00D831B2" w:rsidRDefault="00D831B2" w:rsidP="00F652D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427</w:t>
            </w:r>
          </w:p>
        </w:tc>
      </w:tr>
    </w:tbl>
    <w:p w14:paraId="28025CB7" w14:textId="77777777" w:rsidR="00A908D8" w:rsidRDefault="00A908D8" w:rsidP="00A908D8">
      <w:pPr>
        <w:pStyle w:val="NormalWeb"/>
        <w:rPr>
          <w:b/>
          <w:sz w:val="20"/>
          <w:szCs w:val="20"/>
          <w:vertAlign w:val="superscript"/>
        </w:rPr>
      </w:pPr>
    </w:p>
    <w:p w14:paraId="3E944915" w14:textId="77777777" w:rsidR="00A908D8" w:rsidRDefault="00A908D8" w:rsidP="00A908D8">
      <w:pPr>
        <w:pStyle w:val="NormalWeb"/>
        <w:rPr>
          <w:b/>
          <w:sz w:val="20"/>
          <w:szCs w:val="20"/>
          <w:vertAlign w:val="superscript"/>
        </w:rPr>
      </w:pPr>
    </w:p>
    <w:p w14:paraId="631AC144" w14:textId="77777777" w:rsidR="00A908D8" w:rsidRDefault="00A908D8" w:rsidP="00A908D8">
      <w:pPr>
        <w:pStyle w:val="NormalWeb"/>
        <w:rPr>
          <w:b/>
          <w:sz w:val="20"/>
          <w:szCs w:val="20"/>
          <w:vertAlign w:val="superscript"/>
        </w:rPr>
      </w:pPr>
    </w:p>
    <w:p w14:paraId="6D6991F1" w14:textId="77777777" w:rsidR="00A908D8" w:rsidRDefault="00A908D8" w:rsidP="00A908D8">
      <w:pPr>
        <w:pStyle w:val="NormalWeb"/>
        <w:rPr>
          <w:b/>
          <w:sz w:val="20"/>
          <w:szCs w:val="20"/>
          <w:vertAlign w:val="superscript"/>
        </w:rPr>
      </w:pPr>
    </w:p>
    <w:p w14:paraId="4B22B82C" w14:textId="77777777" w:rsidR="00A908D8" w:rsidRDefault="00A908D8" w:rsidP="00A908D8">
      <w:pPr>
        <w:pStyle w:val="NormalWeb"/>
        <w:rPr>
          <w:b/>
          <w:sz w:val="20"/>
          <w:szCs w:val="20"/>
          <w:vertAlign w:val="superscript"/>
        </w:rPr>
      </w:pPr>
    </w:p>
    <w:p w14:paraId="3E367D24" w14:textId="77777777" w:rsidR="00A908D8" w:rsidRDefault="00A908D8" w:rsidP="00A908D8">
      <w:pPr>
        <w:pStyle w:val="NormalWeb"/>
        <w:rPr>
          <w:b/>
          <w:sz w:val="20"/>
          <w:szCs w:val="20"/>
          <w:vertAlign w:val="superscript"/>
        </w:rPr>
      </w:pPr>
    </w:p>
    <w:p w14:paraId="7B831AA3" w14:textId="77777777" w:rsidR="00A908D8" w:rsidRDefault="00A908D8" w:rsidP="00A908D8">
      <w:pPr>
        <w:pStyle w:val="NormalWeb"/>
        <w:rPr>
          <w:b/>
          <w:sz w:val="20"/>
          <w:szCs w:val="20"/>
          <w:vertAlign w:val="superscript"/>
        </w:rPr>
      </w:pPr>
    </w:p>
    <w:p w14:paraId="2CF42100" w14:textId="77777777" w:rsidR="00A908D8" w:rsidRDefault="00A908D8" w:rsidP="00A908D8">
      <w:pPr>
        <w:pStyle w:val="NormalWeb"/>
        <w:rPr>
          <w:b/>
          <w:sz w:val="20"/>
          <w:szCs w:val="20"/>
          <w:vertAlign w:val="superscript"/>
        </w:rPr>
      </w:pPr>
    </w:p>
    <w:p w14:paraId="7C415CFC" w14:textId="77777777" w:rsidR="00A908D8" w:rsidRDefault="00A908D8" w:rsidP="00A908D8">
      <w:pPr>
        <w:pStyle w:val="NormalWeb"/>
        <w:rPr>
          <w:b/>
          <w:sz w:val="20"/>
          <w:szCs w:val="20"/>
          <w:vertAlign w:val="superscript"/>
        </w:rPr>
      </w:pPr>
    </w:p>
    <w:p w14:paraId="7785049E" w14:textId="77777777" w:rsidR="00A908D8" w:rsidRDefault="00A908D8" w:rsidP="00A908D8">
      <w:pPr>
        <w:pStyle w:val="NormalWeb"/>
        <w:rPr>
          <w:b/>
          <w:sz w:val="20"/>
          <w:szCs w:val="20"/>
          <w:vertAlign w:val="superscript"/>
        </w:rPr>
      </w:pPr>
    </w:p>
    <w:p w14:paraId="6FCB2B3A" w14:textId="77777777" w:rsidR="00A908D8" w:rsidRDefault="00A908D8" w:rsidP="00A908D8">
      <w:pPr>
        <w:pStyle w:val="NormalWeb"/>
        <w:rPr>
          <w:b/>
          <w:sz w:val="20"/>
          <w:szCs w:val="20"/>
          <w:vertAlign w:val="superscript"/>
        </w:rPr>
      </w:pPr>
    </w:p>
    <w:p w14:paraId="0040F01F" w14:textId="77777777" w:rsidR="00A908D8" w:rsidRDefault="00A908D8" w:rsidP="00A908D8">
      <w:pPr>
        <w:pStyle w:val="NormalWeb"/>
        <w:jc w:val="center"/>
        <w:rPr>
          <w:b/>
          <w:sz w:val="20"/>
          <w:szCs w:val="20"/>
          <w:vertAlign w:val="superscript"/>
        </w:rPr>
      </w:pPr>
    </w:p>
    <w:p w14:paraId="07F3517F" w14:textId="155E6B94" w:rsidR="005D70C8" w:rsidRDefault="00D831B2" w:rsidP="001A27C8">
      <w:pPr>
        <w:pStyle w:val="NormalWeb"/>
        <w:jc w:val="center"/>
        <w:sectPr w:rsidR="005D70C8" w:rsidSect="00A908D8">
          <w:type w:val="continuous"/>
          <w:pgSz w:w="12240" w:h="15840"/>
          <w:pgMar w:top="450" w:right="1440" w:bottom="1440" w:left="1440" w:header="720" w:footer="720" w:gutter="0"/>
          <w:cols w:space="720"/>
          <w:docGrid w:linePitch="360"/>
        </w:sectPr>
      </w:pPr>
      <w:r>
        <w:rPr>
          <w:b/>
          <w:sz w:val="20"/>
          <w:szCs w:val="20"/>
          <w:vertAlign w:val="superscript"/>
        </w:rPr>
        <w:t>*</w:t>
      </w:r>
      <w:r>
        <w:rPr>
          <w:b/>
          <w:sz w:val="20"/>
          <w:szCs w:val="20"/>
        </w:rPr>
        <w:t xml:space="preserve"> </w:t>
      </w:r>
      <w:r>
        <w:rPr>
          <w:b/>
          <w:i/>
          <w:iCs/>
          <w:sz w:val="20"/>
          <w:szCs w:val="20"/>
        </w:rPr>
        <w:t>p</w:t>
      </w:r>
      <w:r>
        <w:rPr>
          <w:b/>
          <w:sz w:val="20"/>
          <w:szCs w:val="20"/>
        </w:rPr>
        <w:t xml:space="preserve"> &lt; 0.10, </w:t>
      </w:r>
      <w:r>
        <w:rPr>
          <w:b/>
          <w:sz w:val="20"/>
          <w:szCs w:val="20"/>
          <w:vertAlign w:val="superscript"/>
        </w:rPr>
        <w:t>**</w:t>
      </w:r>
      <w:r>
        <w:rPr>
          <w:b/>
          <w:sz w:val="20"/>
          <w:szCs w:val="20"/>
        </w:rPr>
        <w:t xml:space="preserve"> </w:t>
      </w:r>
      <w:r>
        <w:rPr>
          <w:b/>
          <w:i/>
          <w:iCs/>
          <w:sz w:val="20"/>
          <w:szCs w:val="20"/>
        </w:rPr>
        <w:t>p</w:t>
      </w:r>
      <w:r>
        <w:rPr>
          <w:b/>
          <w:sz w:val="20"/>
          <w:szCs w:val="20"/>
        </w:rPr>
        <w:t xml:space="preserve"> &lt; 0.05, </w:t>
      </w:r>
      <w:r>
        <w:rPr>
          <w:b/>
          <w:sz w:val="20"/>
          <w:szCs w:val="20"/>
          <w:vertAlign w:val="superscript"/>
        </w:rPr>
        <w:t>***</w:t>
      </w:r>
      <w:r>
        <w:rPr>
          <w:b/>
          <w:sz w:val="20"/>
          <w:szCs w:val="20"/>
        </w:rPr>
        <w:t xml:space="preserve"> </w:t>
      </w:r>
      <w:r>
        <w:rPr>
          <w:b/>
          <w:i/>
          <w:iCs/>
          <w:sz w:val="20"/>
          <w:szCs w:val="20"/>
        </w:rPr>
        <w:t>p</w:t>
      </w:r>
      <w:r>
        <w:rPr>
          <w:b/>
          <w:sz w:val="20"/>
          <w:szCs w:val="20"/>
        </w:rPr>
        <w:t xml:space="preserve"> &lt; 0.01</w:t>
      </w:r>
    </w:p>
    <w:p w14:paraId="1C8A191B" w14:textId="77777777" w:rsidR="005D70C8" w:rsidRDefault="00FB6549">
      <w:pPr>
        <w:pStyle w:val="NormalWeb"/>
        <w:jc w:val="both"/>
      </w:pPr>
      <w:r>
        <w:t>Table 3 shows the econometric estimates of poverty determinants using the Foster–Greer–Thorbecke (FGT) framework: logit model for poverty incidence (poor), and OLS regressions for poverty gap (gap) and severity of poverty gap (gap2). Abstraction away, the results provide evidence that institutional and infrastructural factors are both some of the most consistently critical and statistically significant determinants of poverty outcomes while agricultural variables at an aggregate index level appear to have weak and largely insignificant effects. It further validates that poverty is multi-faceted; the different drivers act differently at rural/ urban areas while influencing incidence, depth and severity.</w:t>
      </w:r>
    </w:p>
    <w:p w14:paraId="78F1DB79" w14:textId="77777777" w:rsidR="005D70C8" w:rsidRDefault="00FB6549">
      <w:pPr>
        <w:pStyle w:val="NormalWeb"/>
        <w:jc w:val="both"/>
      </w:pPr>
      <w:r>
        <w:t>Institutional Quality and  infrastructure development as key determinants in the case of poverty incidence Model (poor) Institutional index appears to discourage poverty with a negative but not statistically significant effect at 10% level (β = -0.893),  while infrastructure is a statistically significant determinant of poverty at 5% level (β = -1.141) as improved  governance systems and better access to basic services directly reduce the chances of being poor. It is not significant but shock exposure increases the probability of being in poverty, suggesting that households suffering from negative shocks such as droughts floods or diseases have a greater probability of falling into poverty, but the effect does not seem to be strong enough to make it significant in this specification. Agricultural productivity indicators, on the other hand, have no statistically significant effects on poverty incidence indicating that their effect on poverty status might be indirect as it operates through income or consumption channels rather than direct impact.</w:t>
      </w:r>
    </w:p>
    <w:p w14:paraId="717DB9C6" w14:textId="77777777" w:rsidR="005D70C8" w:rsidRDefault="00FB6549">
      <w:pPr>
        <w:pStyle w:val="NormalWeb"/>
        <w:jc w:val="both"/>
      </w:pPr>
      <w:r>
        <w:t>The results become stronger and uniform (for poverty depth and severity (gap and gap2) Both the institutional index and infrastructure index are statistically significant across both models at 1% level with negative coefficients showing that better institutions lead to not only a lesser likelihood of being poor but also less depth and severity of poverty among households. The shock index is significant at 10% level and positively correlated to both gap measures, showing that having a higher level of vulnerability to shocks increases the depth of poverty. The significant negative coefficients for age of household head on poverty gap and severity indicate that older household heads do better in escaping the worst forms of poverty, potentially through years of experience or accumulation of assets, but the diminishing effects over time as captured by the quadratic age term suggests a tipping point where additional age is less beneficial. Overall then, these findings can reinforce our claims regarding structural drivers being at play in the study area. Across all FGT measures, the common protective factor emerges as institutional quality and infrastructure whereas shock exposure increases vulnerability, a finding that is consistent throughout our analysis. Results also indicate that human capital (education) plays a more important role in the analysis of extreme poverty than incidence alone. This suggests that policy interventions for poverty reduction should promote the improvement of institutions and infrastructure, plus resilience to shocks rather than focusing exclusively on household demographics.</w:t>
      </w:r>
    </w:p>
    <w:p w14:paraId="7F4CD4D7" w14:textId="77777777" w:rsidR="005D70C8" w:rsidRDefault="00FB6549" w:rsidP="00A908D8">
      <w:pPr>
        <w:widowControl w:val="0"/>
        <w:autoSpaceDE w:val="0"/>
        <w:autoSpaceDN w:val="0"/>
        <w:adjustRightInd w:val="0"/>
        <w:spacing w:before="240"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4: Marginal Effects</w:t>
      </w:r>
    </w:p>
    <w:p w14:paraId="418E3C4F" w14:textId="77777777" w:rsidR="005D70C8" w:rsidRDefault="00FB6549" w:rsidP="00A908D8">
      <w:pPr>
        <w:widowControl w:val="0"/>
        <w:autoSpaceDE w:val="0"/>
        <w:autoSpaceDN w:val="0"/>
        <w:adjustRightInd w:val="0"/>
        <w:spacing w:before="240" w:after="0" w:line="240" w:lineRule="auto"/>
        <w:jc w:val="center"/>
        <w:rPr>
          <w:rFonts w:ascii="Times New Roman" w:hAnsi="Times New Roman" w:cs="Times New Roman"/>
          <w:b/>
          <w:sz w:val="24"/>
          <w:szCs w:val="24"/>
        </w:rPr>
      </w:pPr>
      <w:r>
        <w:rPr>
          <w:rFonts w:ascii="Times New Roman" w:eastAsia="Times New Roman" w:hAnsi="Times New Roman" w:cs="Times New Roman"/>
          <w:b/>
          <w:bCs/>
          <w:color w:val="0F1115"/>
          <w:sz w:val="24"/>
          <w:szCs w:val="24"/>
        </w:rPr>
        <w:t>Marginal Effects for Poverty Incidence (P₀)</w:t>
      </w:r>
    </w:p>
    <w:tbl>
      <w:tblPr>
        <w:tblStyle w:val="TableGrid"/>
        <w:tblW w:w="9584" w:type="dxa"/>
        <w:tblLook w:val="04A0" w:firstRow="1" w:lastRow="0" w:firstColumn="1" w:lastColumn="0" w:noHBand="0" w:noVBand="1"/>
      </w:tblPr>
      <w:tblGrid>
        <w:gridCol w:w="2806"/>
        <w:gridCol w:w="3254"/>
        <w:gridCol w:w="2294"/>
        <w:gridCol w:w="1230"/>
      </w:tblGrid>
      <w:tr w:rsidR="005D70C8" w:rsidRPr="00A908D8" w14:paraId="15A6A583" w14:textId="77777777" w:rsidTr="00A908D8">
        <w:trPr>
          <w:trHeight w:val="252"/>
        </w:trPr>
        <w:tc>
          <w:tcPr>
            <w:tcW w:w="0" w:type="auto"/>
            <w:hideMark/>
          </w:tcPr>
          <w:p w14:paraId="08AC7473"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Variable</w:t>
            </w:r>
          </w:p>
        </w:tc>
        <w:tc>
          <w:tcPr>
            <w:tcW w:w="0" w:type="auto"/>
            <w:hideMark/>
          </w:tcPr>
          <w:p w14:paraId="5AFC19C5"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Marginal Effect (dy/dx)</w:t>
            </w:r>
          </w:p>
        </w:tc>
        <w:tc>
          <w:tcPr>
            <w:tcW w:w="0" w:type="auto"/>
            <w:hideMark/>
          </w:tcPr>
          <w:p w14:paraId="14758B09"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Robust Std. Err.</w:t>
            </w:r>
          </w:p>
        </w:tc>
        <w:tc>
          <w:tcPr>
            <w:tcW w:w="0" w:type="auto"/>
            <w:hideMark/>
          </w:tcPr>
          <w:p w14:paraId="7C63A465"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p-value</w:t>
            </w:r>
          </w:p>
        </w:tc>
      </w:tr>
      <w:tr w:rsidR="005D70C8" w:rsidRPr="00A908D8" w14:paraId="359DA816" w14:textId="77777777" w:rsidTr="00A908D8">
        <w:trPr>
          <w:trHeight w:val="252"/>
        </w:trPr>
        <w:tc>
          <w:tcPr>
            <w:tcW w:w="0" w:type="auto"/>
            <w:hideMark/>
          </w:tcPr>
          <w:p w14:paraId="35285EF1"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agri_index</w:t>
            </w:r>
          </w:p>
        </w:tc>
        <w:tc>
          <w:tcPr>
            <w:tcW w:w="0" w:type="auto"/>
            <w:hideMark/>
          </w:tcPr>
          <w:p w14:paraId="68CF20E9"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0.240</w:t>
            </w:r>
          </w:p>
        </w:tc>
        <w:tc>
          <w:tcPr>
            <w:tcW w:w="0" w:type="auto"/>
            <w:hideMark/>
          </w:tcPr>
          <w:p w14:paraId="6D2E70EB"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(0.493)</w:t>
            </w:r>
          </w:p>
        </w:tc>
        <w:tc>
          <w:tcPr>
            <w:tcW w:w="0" w:type="auto"/>
            <w:hideMark/>
          </w:tcPr>
          <w:p w14:paraId="29AEE541"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0.626</w:t>
            </w:r>
          </w:p>
        </w:tc>
      </w:tr>
      <w:tr w:rsidR="005D70C8" w:rsidRPr="00A908D8" w14:paraId="54313AB4" w14:textId="77777777" w:rsidTr="00A908D8">
        <w:trPr>
          <w:trHeight w:val="252"/>
        </w:trPr>
        <w:tc>
          <w:tcPr>
            <w:tcW w:w="0" w:type="auto"/>
            <w:hideMark/>
          </w:tcPr>
          <w:p w14:paraId="7C4613AE"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institution_index</w:t>
            </w:r>
          </w:p>
        </w:tc>
        <w:tc>
          <w:tcPr>
            <w:tcW w:w="0" w:type="auto"/>
            <w:hideMark/>
          </w:tcPr>
          <w:p w14:paraId="276DE330"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-0.893*</w:t>
            </w:r>
          </w:p>
        </w:tc>
        <w:tc>
          <w:tcPr>
            <w:tcW w:w="0" w:type="auto"/>
            <w:hideMark/>
          </w:tcPr>
          <w:p w14:paraId="3DB16E59"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(0.464)</w:t>
            </w:r>
          </w:p>
        </w:tc>
        <w:tc>
          <w:tcPr>
            <w:tcW w:w="0" w:type="auto"/>
            <w:hideMark/>
          </w:tcPr>
          <w:p w14:paraId="5AE311DD"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0.054</w:t>
            </w:r>
          </w:p>
        </w:tc>
      </w:tr>
      <w:tr w:rsidR="005D70C8" w:rsidRPr="00A908D8" w14:paraId="23308294" w14:textId="77777777" w:rsidTr="00A908D8">
        <w:trPr>
          <w:trHeight w:val="252"/>
        </w:trPr>
        <w:tc>
          <w:tcPr>
            <w:tcW w:w="0" w:type="auto"/>
            <w:hideMark/>
          </w:tcPr>
          <w:p w14:paraId="7FA5E90C"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infrastructure_index</w:t>
            </w:r>
          </w:p>
        </w:tc>
        <w:tc>
          <w:tcPr>
            <w:tcW w:w="0" w:type="auto"/>
            <w:hideMark/>
          </w:tcPr>
          <w:p w14:paraId="1AEA7383"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-1.141**</w:t>
            </w:r>
          </w:p>
        </w:tc>
        <w:tc>
          <w:tcPr>
            <w:tcW w:w="0" w:type="auto"/>
            <w:hideMark/>
          </w:tcPr>
          <w:p w14:paraId="2F5E2FB3"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(0.447)</w:t>
            </w:r>
          </w:p>
        </w:tc>
        <w:tc>
          <w:tcPr>
            <w:tcW w:w="0" w:type="auto"/>
            <w:hideMark/>
          </w:tcPr>
          <w:p w14:paraId="4B58A7F7"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0.011</w:t>
            </w:r>
          </w:p>
        </w:tc>
      </w:tr>
      <w:tr w:rsidR="005D70C8" w:rsidRPr="00A908D8" w14:paraId="5ADCB3A7" w14:textId="77777777" w:rsidTr="00A908D8">
        <w:trPr>
          <w:trHeight w:val="252"/>
        </w:trPr>
        <w:tc>
          <w:tcPr>
            <w:tcW w:w="0" w:type="auto"/>
            <w:hideMark/>
          </w:tcPr>
          <w:p w14:paraId="170E250F"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shock_index</w:t>
            </w:r>
          </w:p>
        </w:tc>
        <w:tc>
          <w:tcPr>
            <w:tcW w:w="0" w:type="auto"/>
            <w:hideMark/>
          </w:tcPr>
          <w:p w14:paraId="14B07A42"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0.530</w:t>
            </w:r>
          </w:p>
        </w:tc>
        <w:tc>
          <w:tcPr>
            <w:tcW w:w="0" w:type="auto"/>
            <w:hideMark/>
          </w:tcPr>
          <w:p w14:paraId="514EE63B"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(0.425)</w:t>
            </w:r>
          </w:p>
        </w:tc>
        <w:tc>
          <w:tcPr>
            <w:tcW w:w="0" w:type="auto"/>
            <w:hideMark/>
          </w:tcPr>
          <w:p w14:paraId="5AE33E5F"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0.212</w:t>
            </w:r>
          </w:p>
        </w:tc>
      </w:tr>
      <w:tr w:rsidR="005D70C8" w:rsidRPr="00A908D8" w14:paraId="11D4F41A" w14:textId="77777777" w:rsidTr="00A908D8">
        <w:trPr>
          <w:trHeight w:val="252"/>
        </w:trPr>
        <w:tc>
          <w:tcPr>
            <w:tcW w:w="0" w:type="auto"/>
            <w:hideMark/>
          </w:tcPr>
          <w:p w14:paraId="5FE4F225"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age</w:t>
            </w:r>
          </w:p>
        </w:tc>
        <w:tc>
          <w:tcPr>
            <w:tcW w:w="0" w:type="auto"/>
            <w:hideMark/>
          </w:tcPr>
          <w:p w14:paraId="6D2A6588"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-0.0108</w:t>
            </w:r>
          </w:p>
        </w:tc>
        <w:tc>
          <w:tcPr>
            <w:tcW w:w="0" w:type="auto"/>
            <w:hideMark/>
          </w:tcPr>
          <w:p w14:paraId="0E86086C"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(0.0419)</w:t>
            </w:r>
          </w:p>
        </w:tc>
        <w:tc>
          <w:tcPr>
            <w:tcW w:w="0" w:type="auto"/>
            <w:hideMark/>
          </w:tcPr>
          <w:p w14:paraId="46FDCE02"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0.797</w:t>
            </w:r>
          </w:p>
        </w:tc>
      </w:tr>
      <w:tr w:rsidR="005D70C8" w:rsidRPr="00A908D8" w14:paraId="4F6EBAD1" w14:textId="77777777" w:rsidTr="00A908D8">
        <w:trPr>
          <w:trHeight w:val="252"/>
        </w:trPr>
        <w:tc>
          <w:tcPr>
            <w:tcW w:w="0" w:type="auto"/>
            <w:hideMark/>
          </w:tcPr>
          <w:p w14:paraId="31A546F6"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age²</w:t>
            </w:r>
          </w:p>
        </w:tc>
        <w:tc>
          <w:tcPr>
            <w:tcW w:w="0" w:type="auto"/>
            <w:hideMark/>
          </w:tcPr>
          <w:p w14:paraId="2CA02A14"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-0.00037</w:t>
            </w:r>
          </w:p>
        </w:tc>
        <w:tc>
          <w:tcPr>
            <w:tcW w:w="0" w:type="auto"/>
            <w:hideMark/>
          </w:tcPr>
          <w:p w14:paraId="177B0B86"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(0.00042)</w:t>
            </w:r>
          </w:p>
        </w:tc>
        <w:tc>
          <w:tcPr>
            <w:tcW w:w="0" w:type="auto"/>
            <w:hideMark/>
          </w:tcPr>
          <w:p w14:paraId="6675C761"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0.380</w:t>
            </w:r>
          </w:p>
        </w:tc>
      </w:tr>
      <w:tr w:rsidR="005D70C8" w:rsidRPr="00A908D8" w14:paraId="282A3BB1" w14:textId="77777777" w:rsidTr="00A908D8">
        <w:trPr>
          <w:trHeight w:val="252"/>
        </w:trPr>
        <w:tc>
          <w:tcPr>
            <w:tcW w:w="0" w:type="auto"/>
            <w:hideMark/>
          </w:tcPr>
          <w:p w14:paraId="6601B0F3"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household size</w:t>
            </w:r>
          </w:p>
        </w:tc>
        <w:tc>
          <w:tcPr>
            <w:tcW w:w="0" w:type="auto"/>
            <w:hideMark/>
          </w:tcPr>
          <w:p w14:paraId="69EE4FFD"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-0.0368</w:t>
            </w:r>
          </w:p>
        </w:tc>
        <w:tc>
          <w:tcPr>
            <w:tcW w:w="0" w:type="auto"/>
            <w:hideMark/>
          </w:tcPr>
          <w:p w14:paraId="767F8475"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(0.0516)</w:t>
            </w:r>
          </w:p>
        </w:tc>
        <w:tc>
          <w:tcPr>
            <w:tcW w:w="0" w:type="auto"/>
            <w:hideMark/>
          </w:tcPr>
          <w:p w14:paraId="15097DC2" w14:textId="77777777" w:rsidR="005D70C8" w:rsidRPr="00A908D8" w:rsidRDefault="00FB6549" w:rsidP="00A908D8">
            <w:pPr>
              <w:jc w:val="center"/>
              <w:rPr>
                <w:rFonts w:ascii="Times New Roman" w:eastAsia="Times New Roman" w:hAnsi="Times New Roman" w:cs="Times New Roman"/>
              </w:rPr>
            </w:pPr>
            <w:r w:rsidRPr="00A908D8">
              <w:rPr>
                <w:rFonts w:ascii="Times New Roman" w:eastAsia="Times New Roman" w:hAnsi="Times New Roman" w:cs="Times New Roman"/>
              </w:rPr>
              <w:t>0.476</w:t>
            </w:r>
          </w:p>
        </w:tc>
      </w:tr>
    </w:tbl>
    <w:p w14:paraId="6D23DE08" w14:textId="77777777" w:rsidR="00A908D8" w:rsidRDefault="00A908D8" w:rsidP="00A908D8">
      <w:pPr>
        <w:shd w:val="clear" w:color="auto" w:fill="FFFFFF"/>
        <w:spacing w:after="240" w:line="240" w:lineRule="auto"/>
        <w:jc w:val="center"/>
        <w:rPr>
          <w:rFonts w:ascii="Times New Roman" w:eastAsia="Times New Roman" w:hAnsi="Times New Roman" w:cs="Times New Roman"/>
          <w:b/>
          <w:bCs/>
          <w:color w:val="0F1115"/>
          <w:sz w:val="20"/>
          <w:szCs w:val="20"/>
        </w:rPr>
      </w:pPr>
    </w:p>
    <w:p w14:paraId="7740C253" w14:textId="15515B2F" w:rsidR="005D70C8" w:rsidRDefault="00FB6549" w:rsidP="00A908D8">
      <w:pPr>
        <w:shd w:val="clear" w:color="auto" w:fill="FFFFFF"/>
        <w:spacing w:after="240" w:line="240" w:lineRule="auto"/>
        <w:jc w:val="center"/>
        <w:rPr>
          <w:rFonts w:ascii="Times New Roman" w:eastAsia="Times New Roman" w:hAnsi="Times New Roman" w:cs="Times New Roman"/>
          <w:color w:val="0F1115"/>
          <w:sz w:val="20"/>
          <w:szCs w:val="20"/>
        </w:rPr>
      </w:pPr>
      <w:r>
        <w:rPr>
          <w:rFonts w:ascii="Times New Roman" w:eastAsia="Times New Roman" w:hAnsi="Times New Roman" w:cs="Times New Roman"/>
          <w:b/>
          <w:bCs/>
          <w:color w:val="0F1115"/>
          <w:sz w:val="20"/>
          <w:szCs w:val="20"/>
        </w:rPr>
        <w:t>Notes:</w:t>
      </w:r>
      <w:r>
        <w:rPr>
          <w:rFonts w:ascii="Times New Roman" w:eastAsia="Times New Roman" w:hAnsi="Times New Roman" w:cs="Times New Roman"/>
          <w:color w:val="0F1115"/>
          <w:sz w:val="20"/>
          <w:szCs w:val="20"/>
        </w:rPr>
        <w:t> Marginal effects calculated at means of continuous variables and at baseline for binary variables. * p &lt; 0.10, ** p &lt; 0.05, *** p &lt; 0.01. N = 427</w:t>
      </w:r>
    </w:p>
    <w:p w14:paraId="0A6BDFDE" w14:textId="77777777" w:rsidR="005D70C8" w:rsidRDefault="00FB6549">
      <w:pPr>
        <w:shd w:val="clear" w:color="auto" w:fill="FFFFFF"/>
        <w:spacing w:after="240" w:line="240" w:lineRule="auto"/>
        <w:jc w:val="both"/>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The marginal effects (Table 4) offer a more tangible interpretation of the logit model, quantifying how each explanatory variable affects the probability of being poor, holding all other determinants constant. The results confirm the centrality of institutional and infrastructural conditions to poverty outcomes.</w:t>
      </w:r>
    </w:p>
    <w:p w14:paraId="677808E9" w14:textId="77777777" w:rsidR="005D70C8" w:rsidRDefault="00FB6549">
      <w:pPr>
        <w:shd w:val="clear" w:color="auto" w:fill="FFFFFF"/>
        <w:spacing w:after="240" w:line="240" w:lineRule="auto"/>
        <w:jc w:val="both"/>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The </w:t>
      </w:r>
      <w:r>
        <w:rPr>
          <w:rFonts w:ascii="Times New Roman" w:eastAsia="Times New Roman" w:hAnsi="Times New Roman" w:cs="Times New Roman"/>
          <w:bCs/>
          <w:color w:val="0F1115"/>
          <w:sz w:val="24"/>
          <w:szCs w:val="24"/>
        </w:rPr>
        <w:t>institutional index</w:t>
      </w:r>
      <w:r>
        <w:rPr>
          <w:rFonts w:ascii="Times New Roman" w:eastAsia="Times New Roman" w:hAnsi="Times New Roman" w:cs="Times New Roman"/>
          <w:color w:val="0F1115"/>
          <w:sz w:val="24"/>
          <w:szCs w:val="24"/>
        </w:rPr>
        <w:t> has a negative marginal effect (-0.893) and is statistically significant at the 10% level, confirming that improvements in governance, trust in public institutions, and access to cooperative structures decrease household probability of being poor. </w:t>
      </w:r>
      <w:r>
        <w:rPr>
          <w:rFonts w:ascii="Times New Roman" w:eastAsia="Times New Roman" w:hAnsi="Times New Roman" w:cs="Times New Roman"/>
          <w:bCs/>
          <w:color w:val="0F1115"/>
          <w:sz w:val="24"/>
          <w:szCs w:val="24"/>
        </w:rPr>
        <w:t>Infrastructure development</w:t>
      </w:r>
      <w:r>
        <w:rPr>
          <w:rFonts w:ascii="Times New Roman" w:eastAsia="Times New Roman" w:hAnsi="Times New Roman" w:cs="Times New Roman"/>
          <w:color w:val="0F1115"/>
          <w:sz w:val="24"/>
          <w:szCs w:val="24"/>
        </w:rPr>
        <w:t> has an even larger marginal effect (-1.141, p &lt; 0.05), indicating that access to roads, electricity, water, and health facilities substantially reduces poverty incidence. In contrast, agricultural and shock-related variables have statistically insignificant marginal effects, suggesting that their direct impact on poverty probability is appreciably weak once institutional and infrastructural contexts are accounted for.</w:t>
      </w:r>
    </w:p>
    <w:p w14:paraId="02FAB481" w14:textId="0DE84759" w:rsidR="005D70C8" w:rsidRDefault="00F652D7">
      <w:pPr>
        <w:shd w:val="clear" w:color="auto" w:fill="FFFFFF"/>
        <w:spacing w:after="240" w:line="240" w:lineRule="auto"/>
        <w:jc w:val="cente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Table 5</w:t>
      </w:r>
      <w:r w:rsidR="00FB6549">
        <w:rPr>
          <w:rFonts w:ascii="Times New Roman" w:eastAsia="Times New Roman" w:hAnsi="Times New Roman" w:cs="Times New Roman"/>
          <w:b/>
          <w:bCs/>
          <w:kern w:val="36"/>
          <w:sz w:val="24"/>
          <w:szCs w:val="24"/>
        </w:rPr>
        <w:t>: Interaction Effects on Poverty (Logit Model and Marginal Effects)</w:t>
      </w:r>
    </w:p>
    <w:p w14:paraId="66EB74E1" w14:textId="77777777" w:rsidR="005D70C8" w:rsidRDefault="00FB6549" w:rsidP="00A908D8">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Dependent variable: Poor (1 = poor household)</w:t>
      </w:r>
    </w:p>
    <w:tbl>
      <w:tblPr>
        <w:tblStyle w:val="TableGrid"/>
        <w:tblW w:w="4585" w:type="dxa"/>
        <w:jc w:val="center"/>
        <w:tblLook w:val="04A0" w:firstRow="1" w:lastRow="0" w:firstColumn="1" w:lastColumn="0" w:noHBand="0" w:noVBand="1"/>
      </w:tblPr>
      <w:tblGrid>
        <w:gridCol w:w="1572"/>
        <w:gridCol w:w="1389"/>
        <w:gridCol w:w="1624"/>
      </w:tblGrid>
      <w:tr w:rsidR="005D70C8" w14:paraId="6F9566F7" w14:textId="77777777">
        <w:trPr>
          <w:trHeight w:val="249"/>
          <w:jc w:val="center"/>
        </w:trPr>
        <w:tc>
          <w:tcPr>
            <w:tcW w:w="1572" w:type="dxa"/>
            <w:hideMark/>
          </w:tcPr>
          <w:p w14:paraId="71EFC889" w14:textId="77777777" w:rsidR="005D70C8" w:rsidRDefault="00FB6549">
            <w:pPr>
              <w:spacing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Variables</w:t>
            </w:r>
          </w:p>
        </w:tc>
        <w:tc>
          <w:tcPr>
            <w:tcW w:w="1389" w:type="dxa"/>
            <w:hideMark/>
          </w:tcPr>
          <w:p w14:paraId="16ED16B9" w14:textId="77777777" w:rsidR="005D70C8" w:rsidRDefault="00FB6549">
            <w:pPr>
              <w:spacing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Logit Coef.</w:t>
            </w:r>
          </w:p>
        </w:tc>
        <w:tc>
          <w:tcPr>
            <w:tcW w:w="1624" w:type="dxa"/>
            <w:hideMark/>
          </w:tcPr>
          <w:p w14:paraId="208D80DD" w14:textId="77777777" w:rsidR="005D70C8" w:rsidRDefault="00FB6549">
            <w:pPr>
              <w:spacing w:line="276"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Marginal Effects (dy/dx)</w:t>
            </w:r>
          </w:p>
        </w:tc>
      </w:tr>
      <w:tr w:rsidR="005D70C8" w14:paraId="71160336" w14:textId="77777777">
        <w:trPr>
          <w:trHeight w:val="249"/>
          <w:jc w:val="center"/>
        </w:trPr>
        <w:tc>
          <w:tcPr>
            <w:tcW w:w="1572" w:type="dxa"/>
            <w:hideMark/>
          </w:tcPr>
          <w:p w14:paraId="519BF2E9"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agri_index</w:t>
            </w:r>
          </w:p>
        </w:tc>
        <w:tc>
          <w:tcPr>
            <w:tcW w:w="1389" w:type="dxa"/>
            <w:hideMark/>
          </w:tcPr>
          <w:p w14:paraId="66C2C51C"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1624" w:type="dxa"/>
            <w:hideMark/>
          </w:tcPr>
          <w:p w14:paraId="5910B5A9"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0.066</w:t>
            </w:r>
          </w:p>
        </w:tc>
      </w:tr>
      <w:tr w:rsidR="005D70C8" w14:paraId="681134A7" w14:textId="77777777">
        <w:trPr>
          <w:trHeight w:val="249"/>
          <w:jc w:val="center"/>
        </w:trPr>
        <w:tc>
          <w:tcPr>
            <w:tcW w:w="1572" w:type="dxa"/>
            <w:hideMark/>
          </w:tcPr>
          <w:p w14:paraId="74862141" w14:textId="77777777" w:rsidR="005D70C8" w:rsidRDefault="005D70C8">
            <w:pPr>
              <w:spacing w:line="276" w:lineRule="auto"/>
              <w:rPr>
                <w:rFonts w:ascii="Times New Roman" w:eastAsia="Times New Roman" w:hAnsi="Times New Roman" w:cs="Times New Roman"/>
                <w:sz w:val="20"/>
                <w:szCs w:val="20"/>
              </w:rPr>
            </w:pPr>
          </w:p>
        </w:tc>
        <w:tc>
          <w:tcPr>
            <w:tcW w:w="1389" w:type="dxa"/>
            <w:hideMark/>
          </w:tcPr>
          <w:p w14:paraId="58B6B784"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(2.165)</w:t>
            </w:r>
          </w:p>
        </w:tc>
        <w:tc>
          <w:tcPr>
            <w:tcW w:w="1624" w:type="dxa"/>
            <w:hideMark/>
          </w:tcPr>
          <w:p w14:paraId="74AB3B5C"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(0.104)</w:t>
            </w:r>
          </w:p>
        </w:tc>
      </w:tr>
      <w:tr w:rsidR="005D70C8" w14:paraId="0F7DB2EB" w14:textId="77777777">
        <w:trPr>
          <w:trHeight w:val="249"/>
          <w:jc w:val="center"/>
        </w:trPr>
        <w:tc>
          <w:tcPr>
            <w:tcW w:w="1572" w:type="dxa"/>
            <w:hideMark/>
          </w:tcPr>
          <w:p w14:paraId="771DCACC"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shock_index</w:t>
            </w:r>
          </w:p>
        </w:tc>
        <w:tc>
          <w:tcPr>
            <w:tcW w:w="1389" w:type="dxa"/>
            <w:hideMark/>
          </w:tcPr>
          <w:p w14:paraId="4CF9F609"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3.323</w:t>
            </w:r>
          </w:p>
        </w:tc>
        <w:tc>
          <w:tcPr>
            <w:tcW w:w="1624" w:type="dxa"/>
            <w:hideMark/>
          </w:tcPr>
          <w:p w14:paraId="2C608FE9"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0.108</w:t>
            </w:r>
          </w:p>
        </w:tc>
      </w:tr>
      <w:tr w:rsidR="005D70C8" w14:paraId="13F6AD6D" w14:textId="77777777">
        <w:trPr>
          <w:trHeight w:val="249"/>
          <w:jc w:val="center"/>
        </w:trPr>
        <w:tc>
          <w:tcPr>
            <w:tcW w:w="1572" w:type="dxa"/>
            <w:hideMark/>
          </w:tcPr>
          <w:p w14:paraId="6445899B" w14:textId="77777777" w:rsidR="005D70C8" w:rsidRDefault="005D70C8">
            <w:pPr>
              <w:spacing w:line="276" w:lineRule="auto"/>
              <w:rPr>
                <w:rFonts w:ascii="Times New Roman" w:eastAsia="Times New Roman" w:hAnsi="Times New Roman" w:cs="Times New Roman"/>
                <w:sz w:val="20"/>
                <w:szCs w:val="20"/>
              </w:rPr>
            </w:pPr>
          </w:p>
        </w:tc>
        <w:tc>
          <w:tcPr>
            <w:tcW w:w="1389" w:type="dxa"/>
            <w:hideMark/>
          </w:tcPr>
          <w:p w14:paraId="5ABCEDE7"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(2.085)</w:t>
            </w:r>
          </w:p>
        </w:tc>
        <w:tc>
          <w:tcPr>
            <w:tcW w:w="1624" w:type="dxa"/>
            <w:hideMark/>
          </w:tcPr>
          <w:p w14:paraId="1CFF94A8"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(0.090)</w:t>
            </w:r>
          </w:p>
        </w:tc>
      </w:tr>
      <w:tr w:rsidR="005D70C8" w14:paraId="3EE507BE" w14:textId="77777777">
        <w:trPr>
          <w:trHeight w:val="249"/>
          <w:jc w:val="center"/>
        </w:trPr>
        <w:tc>
          <w:tcPr>
            <w:tcW w:w="1572" w:type="dxa"/>
            <w:hideMark/>
          </w:tcPr>
          <w:p w14:paraId="7967F181"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institution_index</w:t>
            </w:r>
          </w:p>
        </w:tc>
        <w:tc>
          <w:tcPr>
            <w:tcW w:w="1389" w:type="dxa"/>
            <w:hideMark/>
          </w:tcPr>
          <w:p w14:paraId="23A8E9EF"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2.436</w:t>
            </w:r>
          </w:p>
        </w:tc>
        <w:tc>
          <w:tcPr>
            <w:tcW w:w="1624" w:type="dxa"/>
            <w:hideMark/>
          </w:tcPr>
          <w:p w14:paraId="22234A45"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-0.180*</w:t>
            </w:r>
          </w:p>
        </w:tc>
      </w:tr>
      <w:tr w:rsidR="005D70C8" w14:paraId="5956BC1F" w14:textId="77777777">
        <w:trPr>
          <w:trHeight w:val="249"/>
          <w:jc w:val="center"/>
        </w:trPr>
        <w:tc>
          <w:tcPr>
            <w:tcW w:w="1572" w:type="dxa"/>
            <w:hideMark/>
          </w:tcPr>
          <w:p w14:paraId="7366D338" w14:textId="77777777" w:rsidR="005D70C8" w:rsidRDefault="005D70C8">
            <w:pPr>
              <w:spacing w:line="276" w:lineRule="auto"/>
              <w:rPr>
                <w:rFonts w:ascii="Times New Roman" w:eastAsia="Times New Roman" w:hAnsi="Times New Roman" w:cs="Times New Roman"/>
                <w:sz w:val="20"/>
                <w:szCs w:val="20"/>
              </w:rPr>
            </w:pPr>
          </w:p>
        </w:tc>
        <w:tc>
          <w:tcPr>
            <w:tcW w:w="1389" w:type="dxa"/>
            <w:hideMark/>
          </w:tcPr>
          <w:p w14:paraId="4AC20B52"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(2.434)</w:t>
            </w:r>
          </w:p>
        </w:tc>
        <w:tc>
          <w:tcPr>
            <w:tcW w:w="1624" w:type="dxa"/>
            <w:hideMark/>
          </w:tcPr>
          <w:p w14:paraId="11392BEC"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(0.098)</w:t>
            </w:r>
          </w:p>
        </w:tc>
      </w:tr>
      <w:tr w:rsidR="005D70C8" w14:paraId="40A5A887" w14:textId="77777777">
        <w:trPr>
          <w:trHeight w:val="263"/>
          <w:jc w:val="center"/>
        </w:trPr>
        <w:tc>
          <w:tcPr>
            <w:tcW w:w="1572" w:type="dxa"/>
            <w:hideMark/>
          </w:tcPr>
          <w:p w14:paraId="6F7BE4B9"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agri × shock</w:t>
            </w:r>
          </w:p>
        </w:tc>
        <w:tc>
          <w:tcPr>
            <w:tcW w:w="1389" w:type="dxa"/>
            <w:hideMark/>
          </w:tcPr>
          <w:p w14:paraId="7F0289E2"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-3.598</w:t>
            </w:r>
          </w:p>
        </w:tc>
        <w:tc>
          <w:tcPr>
            <w:tcW w:w="1624" w:type="dxa"/>
          </w:tcPr>
          <w:p w14:paraId="1F70ACE6"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5D70C8" w14:paraId="3756B79C" w14:textId="77777777">
        <w:trPr>
          <w:trHeight w:val="249"/>
          <w:jc w:val="center"/>
        </w:trPr>
        <w:tc>
          <w:tcPr>
            <w:tcW w:w="1572" w:type="dxa"/>
            <w:hideMark/>
          </w:tcPr>
          <w:p w14:paraId="2E3F2CFE"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agri × institution</w:t>
            </w:r>
          </w:p>
        </w:tc>
        <w:tc>
          <w:tcPr>
            <w:tcW w:w="1389" w:type="dxa"/>
            <w:hideMark/>
          </w:tcPr>
          <w:p w14:paraId="48ADDFF8"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-4.458</w:t>
            </w:r>
          </w:p>
        </w:tc>
        <w:tc>
          <w:tcPr>
            <w:tcW w:w="1624" w:type="dxa"/>
          </w:tcPr>
          <w:p w14:paraId="517602D0"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5D70C8" w14:paraId="4C318469" w14:textId="77777777">
        <w:trPr>
          <w:trHeight w:val="249"/>
          <w:jc w:val="center"/>
        </w:trPr>
        <w:tc>
          <w:tcPr>
            <w:tcW w:w="1572" w:type="dxa"/>
            <w:hideMark/>
          </w:tcPr>
          <w:p w14:paraId="14CEB18B"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shock × institution</w:t>
            </w:r>
          </w:p>
        </w:tc>
        <w:tc>
          <w:tcPr>
            <w:tcW w:w="1389" w:type="dxa"/>
            <w:hideMark/>
          </w:tcPr>
          <w:p w14:paraId="587DDB1D"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-7.274*</w:t>
            </w:r>
          </w:p>
        </w:tc>
        <w:tc>
          <w:tcPr>
            <w:tcW w:w="1624" w:type="dxa"/>
          </w:tcPr>
          <w:p w14:paraId="6F4BDB86"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5D70C8" w14:paraId="0E76016F" w14:textId="77777777">
        <w:trPr>
          <w:trHeight w:val="249"/>
          <w:jc w:val="center"/>
        </w:trPr>
        <w:tc>
          <w:tcPr>
            <w:tcW w:w="1572" w:type="dxa"/>
            <w:hideMark/>
          </w:tcPr>
          <w:p w14:paraId="22B19D2B"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agri × shock × institution</w:t>
            </w:r>
          </w:p>
        </w:tc>
        <w:tc>
          <w:tcPr>
            <w:tcW w:w="1389" w:type="dxa"/>
            <w:hideMark/>
          </w:tcPr>
          <w:p w14:paraId="12E7391D"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9.393</w:t>
            </w:r>
          </w:p>
        </w:tc>
        <w:tc>
          <w:tcPr>
            <w:tcW w:w="1624" w:type="dxa"/>
          </w:tcPr>
          <w:p w14:paraId="4B86D3BE"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5D70C8" w14:paraId="65C22F64" w14:textId="77777777">
        <w:trPr>
          <w:trHeight w:val="249"/>
          <w:jc w:val="center"/>
        </w:trPr>
        <w:tc>
          <w:tcPr>
            <w:tcW w:w="1572" w:type="dxa"/>
            <w:hideMark/>
          </w:tcPr>
          <w:p w14:paraId="6021B7E5"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age</w:t>
            </w:r>
          </w:p>
        </w:tc>
        <w:tc>
          <w:tcPr>
            <w:tcW w:w="1389" w:type="dxa"/>
            <w:hideMark/>
          </w:tcPr>
          <w:p w14:paraId="0898AB5B"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-0.013</w:t>
            </w:r>
          </w:p>
        </w:tc>
        <w:tc>
          <w:tcPr>
            <w:tcW w:w="1624" w:type="dxa"/>
            <w:hideMark/>
          </w:tcPr>
          <w:p w14:paraId="63F26965"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-0.0099***</w:t>
            </w:r>
          </w:p>
        </w:tc>
      </w:tr>
      <w:tr w:rsidR="005D70C8" w14:paraId="4E8B0A11" w14:textId="77777777">
        <w:trPr>
          <w:trHeight w:val="249"/>
          <w:jc w:val="center"/>
        </w:trPr>
        <w:tc>
          <w:tcPr>
            <w:tcW w:w="1572" w:type="dxa"/>
            <w:hideMark/>
          </w:tcPr>
          <w:p w14:paraId="65A0F827" w14:textId="77777777" w:rsidR="005D70C8" w:rsidRDefault="005D70C8">
            <w:pPr>
              <w:spacing w:line="276" w:lineRule="auto"/>
              <w:rPr>
                <w:rFonts w:ascii="Times New Roman" w:eastAsia="Times New Roman" w:hAnsi="Times New Roman" w:cs="Times New Roman"/>
                <w:sz w:val="20"/>
                <w:szCs w:val="20"/>
              </w:rPr>
            </w:pPr>
          </w:p>
        </w:tc>
        <w:tc>
          <w:tcPr>
            <w:tcW w:w="1389" w:type="dxa"/>
            <w:hideMark/>
          </w:tcPr>
          <w:p w14:paraId="6B5CCE6D"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(0.041)</w:t>
            </w:r>
          </w:p>
        </w:tc>
        <w:tc>
          <w:tcPr>
            <w:tcW w:w="1624" w:type="dxa"/>
            <w:hideMark/>
          </w:tcPr>
          <w:p w14:paraId="626818C4"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(0.0011)</w:t>
            </w:r>
          </w:p>
        </w:tc>
      </w:tr>
      <w:tr w:rsidR="005D70C8" w14:paraId="7B7782EC" w14:textId="77777777">
        <w:trPr>
          <w:trHeight w:val="249"/>
          <w:jc w:val="center"/>
        </w:trPr>
        <w:tc>
          <w:tcPr>
            <w:tcW w:w="1572" w:type="dxa"/>
            <w:hideMark/>
          </w:tcPr>
          <w:p w14:paraId="470E1979"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age²</w:t>
            </w:r>
          </w:p>
        </w:tc>
        <w:tc>
          <w:tcPr>
            <w:tcW w:w="1389" w:type="dxa"/>
            <w:hideMark/>
          </w:tcPr>
          <w:p w14:paraId="02F414FF"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-0.00034</w:t>
            </w:r>
          </w:p>
        </w:tc>
        <w:tc>
          <w:tcPr>
            <w:tcW w:w="1624" w:type="dxa"/>
            <w:hideMark/>
          </w:tcPr>
          <w:p w14:paraId="68D62C89"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5D70C8" w14:paraId="5C9F0CF5" w14:textId="77777777">
        <w:trPr>
          <w:trHeight w:val="249"/>
          <w:jc w:val="center"/>
        </w:trPr>
        <w:tc>
          <w:tcPr>
            <w:tcW w:w="1572" w:type="dxa"/>
            <w:hideMark/>
          </w:tcPr>
          <w:p w14:paraId="32E691F2"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hhsz</w:t>
            </w:r>
          </w:p>
        </w:tc>
        <w:tc>
          <w:tcPr>
            <w:tcW w:w="1389" w:type="dxa"/>
            <w:hideMark/>
          </w:tcPr>
          <w:p w14:paraId="5279AE48"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-0.030</w:t>
            </w:r>
          </w:p>
        </w:tc>
        <w:tc>
          <w:tcPr>
            <w:tcW w:w="1624" w:type="dxa"/>
            <w:hideMark/>
          </w:tcPr>
          <w:p w14:paraId="211FD0EE"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-0.0064</w:t>
            </w:r>
          </w:p>
        </w:tc>
      </w:tr>
      <w:tr w:rsidR="005D70C8" w14:paraId="1DEC6A8D" w14:textId="77777777">
        <w:trPr>
          <w:trHeight w:val="249"/>
          <w:jc w:val="center"/>
        </w:trPr>
        <w:tc>
          <w:tcPr>
            <w:tcW w:w="1572" w:type="dxa"/>
            <w:hideMark/>
          </w:tcPr>
          <w:p w14:paraId="5CC0EC51" w14:textId="77777777" w:rsidR="005D70C8" w:rsidRDefault="005D70C8">
            <w:pPr>
              <w:spacing w:line="276" w:lineRule="auto"/>
              <w:rPr>
                <w:rFonts w:ascii="Times New Roman" w:eastAsia="Times New Roman" w:hAnsi="Times New Roman" w:cs="Times New Roman"/>
                <w:sz w:val="20"/>
                <w:szCs w:val="20"/>
              </w:rPr>
            </w:pPr>
          </w:p>
        </w:tc>
        <w:tc>
          <w:tcPr>
            <w:tcW w:w="1389" w:type="dxa"/>
            <w:hideMark/>
          </w:tcPr>
          <w:p w14:paraId="7036CD0B"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(0.052)</w:t>
            </w:r>
          </w:p>
        </w:tc>
        <w:tc>
          <w:tcPr>
            <w:tcW w:w="1624" w:type="dxa"/>
            <w:hideMark/>
          </w:tcPr>
          <w:p w14:paraId="0165153D"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(0.011)</w:t>
            </w:r>
          </w:p>
        </w:tc>
      </w:tr>
      <w:tr w:rsidR="005D70C8" w14:paraId="21E6B59F" w14:textId="77777777">
        <w:trPr>
          <w:trHeight w:val="249"/>
          <w:jc w:val="center"/>
        </w:trPr>
        <w:tc>
          <w:tcPr>
            <w:tcW w:w="1572" w:type="dxa"/>
            <w:hideMark/>
          </w:tcPr>
          <w:p w14:paraId="11C06F34"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Constant</w:t>
            </w:r>
          </w:p>
        </w:tc>
        <w:tc>
          <w:tcPr>
            <w:tcW w:w="1389" w:type="dxa"/>
            <w:hideMark/>
          </w:tcPr>
          <w:p w14:paraId="1E76E3EA"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0.276</w:t>
            </w:r>
          </w:p>
        </w:tc>
        <w:tc>
          <w:tcPr>
            <w:tcW w:w="1624" w:type="dxa"/>
          </w:tcPr>
          <w:p w14:paraId="521244D0"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5D70C8" w14:paraId="1D95C8C2" w14:textId="77777777">
        <w:trPr>
          <w:trHeight w:val="249"/>
          <w:jc w:val="center"/>
        </w:trPr>
        <w:tc>
          <w:tcPr>
            <w:tcW w:w="1572" w:type="dxa"/>
            <w:hideMark/>
          </w:tcPr>
          <w:p w14:paraId="2AD24CA9" w14:textId="77777777" w:rsidR="005D70C8" w:rsidRDefault="005D70C8">
            <w:pPr>
              <w:spacing w:line="276" w:lineRule="auto"/>
              <w:rPr>
                <w:rFonts w:ascii="Times New Roman" w:eastAsia="Times New Roman" w:hAnsi="Times New Roman" w:cs="Times New Roman"/>
                <w:sz w:val="20"/>
                <w:szCs w:val="20"/>
              </w:rPr>
            </w:pPr>
          </w:p>
        </w:tc>
        <w:tc>
          <w:tcPr>
            <w:tcW w:w="1389" w:type="dxa"/>
            <w:hideMark/>
          </w:tcPr>
          <w:p w14:paraId="60D3B633"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(1.621)</w:t>
            </w:r>
          </w:p>
        </w:tc>
        <w:tc>
          <w:tcPr>
            <w:tcW w:w="1624" w:type="dxa"/>
          </w:tcPr>
          <w:p w14:paraId="3501B552" w14:textId="77777777" w:rsidR="005D70C8" w:rsidRDefault="00FB654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14:paraId="16437646" w14:textId="77777777" w:rsidR="005D70C8" w:rsidRDefault="00FB6549">
      <w:pPr>
        <w:spacing w:line="276" w:lineRule="auto"/>
        <w:jc w:val="center"/>
        <w:rPr>
          <w:rFonts w:ascii="Times New Roman" w:hAnsi="Times New Roman" w:cs="Times New Roman"/>
          <w:b/>
          <w:sz w:val="20"/>
          <w:szCs w:val="20"/>
        </w:rPr>
      </w:pPr>
      <w:r>
        <w:rPr>
          <w:rFonts w:ascii="Times New Roman" w:eastAsia="Times New Roman" w:hAnsi="Times New Roman" w:cs="Times New Roman"/>
          <w:b/>
          <w:sz w:val="20"/>
          <w:szCs w:val="20"/>
        </w:rPr>
        <w:t>Robust standard errors in parentheses</w:t>
      </w:r>
    </w:p>
    <w:p w14:paraId="351D0CF5" w14:textId="356D7402" w:rsidR="005D70C8" w:rsidRDefault="00F652D7">
      <w:pPr>
        <w:shd w:val="clear" w:color="auto" w:fill="FFFFFF"/>
        <w:spacing w:before="240" w:after="0" w:line="276" w:lineRule="auto"/>
        <w:jc w:val="both"/>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Table 5</w:t>
      </w:r>
      <w:r w:rsidR="00FB6549">
        <w:rPr>
          <w:rFonts w:ascii="Times New Roman" w:eastAsia="Times New Roman" w:hAnsi="Times New Roman" w:cs="Times New Roman"/>
          <w:color w:val="0F1115"/>
          <w:sz w:val="24"/>
          <w:szCs w:val="24"/>
        </w:rPr>
        <w:t xml:space="preserve"> presents interaction effects to test conditional relationships. The results show a statistically significant negative interaction between </w:t>
      </w:r>
      <w:r w:rsidR="00FB6549">
        <w:rPr>
          <w:rFonts w:ascii="Times New Roman" w:eastAsia="Times New Roman" w:hAnsi="Times New Roman" w:cs="Times New Roman"/>
          <w:bCs/>
          <w:color w:val="0F1115"/>
          <w:sz w:val="24"/>
          <w:szCs w:val="24"/>
        </w:rPr>
        <w:t>shock exposure and institutional quality</w:t>
      </w:r>
      <w:r w:rsidR="00FB6549">
        <w:rPr>
          <w:rFonts w:ascii="Times New Roman" w:eastAsia="Times New Roman" w:hAnsi="Times New Roman" w:cs="Times New Roman"/>
          <w:color w:val="0F1115"/>
          <w:sz w:val="24"/>
          <w:szCs w:val="24"/>
        </w:rPr>
        <w:t> (β = -7.274, p &lt; 0.10), indicating that stronger institutions mitigate the poverty-increasing effect of shocks. Households at risk of shocks are less likely to be poor under high-quality institutions, suggesting that governance and supportive systems buffer against impoverishment. The interactions between agriculture and shocks (β = -3.598) and agriculture and institutions (β = -4.458) are negative but not statistically significant, suggesting that agricultural interventions alone do not significantly alter the poverty effects of shocks or institutional conditions.</w:t>
      </w:r>
    </w:p>
    <w:p w14:paraId="3686EF51" w14:textId="77777777" w:rsidR="005D70C8" w:rsidRDefault="00FB6549">
      <w:pPr>
        <w:shd w:val="clear" w:color="auto" w:fill="FFFFFF"/>
        <w:spacing w:before="240" w:after="0" w:line="276" w:lineRule="auto"/>
        <w:jc w:val="both"/>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The triple interaction (agriculture × shock × institution) is positive but not significant, indicating that poverty dynamics are driven more by individual structural channels than by complex synergistic interactions among agriculture, shocks, and institutions.</w:t>
      </w:r>
    </w:p>
    <w:p w14:paraId="7197C7DF" w14:textId="77777777" w:rsidR="005D70C8" w:rsidRDefault="00FB6549">
      <w:pPr>
        <w:shd w:val="clear" w:color="auto" w:fill="FFFFFF"/>
        <w:spacing w:before="240" w:line="276" w:lineRule="auto"/>
        <w:jc w:val="both"/>
        <w:rPr>
          <w:rFonts w:ascii="Segoe UI" w:eastAsia="Times New Roman" w:hAnsi="Segoe UI" w:cs="Segoe UI"/>
          <w:color w:val="0F1115"/>
          <w:sz w:val="24"/>
          <w:szCs w:val="24"/>
        </w:rPr>
      </w:pPr>
      <w:r>
        <w:rPr>
          <w:rFonts w:ascii="Times New Roman" w:eastAsia="Times New Roman" w:hAnsi="Times New Roman" w:cs="Times New Roman"/>
          <w:color w:val="0F1115"/>
          <w:sz w:val="24"/>
          <w:szCs w:val="24"/>
        </w:rPr>
        <w:t>Among control variables, </w:t>
      </w:r>
      <w:r>
        <w:rPr>
          <w:rFonts w:ascii="Times New Roman" w:eastAsia="Times New Roman" w:hAnsi="Times New Roman" w:cs="Times New Roman"/>
          <w:bCs/>
          <w:color w:val="0F1115"/>
          <w:sz w:val="24"/>
          <w:szCs w:val="24"/>
        </w:rPr>
        <w:t>age</w:t>
      </w:r>
      <w:r>
        <w:rPr>
          <w:rFonts w:ascii="Times New Roman" w:eastAsia="Times New Roman" w:hAnsi="Times New Roman" w:cs="Times New Roman"/>
          <w:color w:val="0F1115"/>
          <w:sz w:val="24"/>
          <w:szCs w:val="24"/>
        </w:rPr>
        <w:t> remains a strong predictor (marginal effect = -0.0099, p &lt; 0.01), with older household heads less likely to be poor, reflecting life-cycle accumulation of assets and experience</w:t>
      </w:r>
      <w:r>
        <w:rPr>
          <w:rFonts w:ascii="Segoe UI" w:eastAsia="Times New Roman" w:hAnsi="Segoe UI" w:cs="Segoe UI"/>
          <w:color w:val="0F1115"/>
          <w:sz w:val="24"/>
          <w:szCs w:val="24"/>
        </w:rPr>
        <w:t>.</w:t>
      </w:r>
    </w:p>
    <w:p w14:paraId="66DBA0DC" w14:textId="77777777" w:rsidR="005D70C8" w:rsidRDefault="00FB6549">
      <w:pPr>
        <w:pStyle w:val="Heading3"/>
        <w:spacing w:before="0" w:line="276" w:lineRule="auto"/>
        <w:rPr>
          <w:rFonts w:ascii="Times New Roman" w:hAnsi="Times New Roman" w:cs="Times New Roman"/>
          <w:color w:val="auto"/>
          <w:lang w:val="en-US"/>
        </w:rPr>
      </w:pPr>
      <w:r>
        <w:rPr>
          <w:rStyle w:val="Strong"/>
          <w:rFonts w:ascii="Times New Roman" w:hAnsi="Times New Roman" w:cs="Times New Roman"/>
          <w:bCs w:val="0"/>
          <w:color w:val="auto"/>
          <w:lang w:val="en-US"/>
        </w:rPr>
        <w:t xml:space="preserve">Discussion of Findings </w:t>
      </w:r>
    </w:p>
    <w:p w14:paraId="12B6F2AA" w14:textId="77777777" w:rsidR="005D70C8" w:rsidRDefault="00FB6549">
      <w:pPr>
        <w:pStyle w:val="NormalWeb"/>
        <w:spacing w:before="0" w:beforeAutospacing="0" w:after="0" w:afterAutospacing="0" w:line="276" w:lineRule="auto"/>
        <w:jc w:val="both"/>
      </w:pPr>
      <w:r>
        <w:t>The descriptive results indicate that poverty remains highly prevalent in the study area, with nearly half of households classified as poor, reflecting persistent rural vulnerability and structural deprivation patterns commonly observed in Sub-Saharan Africa (World Bank, 2024; IFAD, 2023). The relatively high mean poverty gap and severity indices further suggest that poverty is not only widespread but also deep and unevenly distributed among households, consistent with findings that rural poverty in Cameroon and similar contexts is characterized by intensity as well as incidence (UNDP, 2023; Fosu, 2019). Income disparities observed in the sample confirm significant inequality in livelihood outcomes, which aligns with evidence that income heterogeneity is a central driver of multidimensional poverty in developing economies (World Bank, 2022; Bourguignon &amp; Morrisson, 2020).</w:t>
      </w:r>
    </w:p>
    <w:p w14:paraId="0F8815F7" w14:textId="77777777" w:rsidR="005D70C8" w:rsidRDefault="00FB6549">
      <w:pPr>
        <w:pStyle w:val="NormalWeb"/>
        <w:spacing w:line="276" w:lineRule="auto"/>
        <w:jc w:val="both"/>
      </w:pPr>
      <w:r>
        <w:rPr>
          <w:color w:val="0F1115"/>
        </w:rPr>
        <w:t>The regression results from the FGT models reveal that </w:t>
      </w:r>
      <w:r>
        <w:rPr>
          <w:bCs/>
          <w:color w:val="0F1115"/>
        </w:rPr>
        <w:t>institutional quality and infrastructure development are the most consistent and statistically significant determinants of poverty reduction</w:t>
      </w:r>
      <w:r>
        <w:rPr>
          <w:color w:val="0F1115"/>
        </w:rPr>
        <w:t> across all poverty measures</w:t>
      </w:r>
      <w:r>
        <w:t xml:space="preserve">. This finding supports the institutional economics literature which argues that governance quality and service delivery systems are critical channels through which poverty is reduced (Acemoglu &amp; Robinson, 2019; North, 2018). Similarly, infrastructure development significantly reduces both poverty depth and severity, reinforcing global evidence that access to roads, electricity, and water improves productivity and welfare outcomes in rural households (FAO, 2023; World Bank, 2023). The significance of shock exposure in increasing poverty severity is also consistent with empirical findings that climate and economic shocks </w:t>
      </w:r>
      <w:r>
        <w:lastRenderedPageBreak/>
        <w:t>disproportionately affect vulnerable rural households by eroding assets and income stability (Hallegatte et al., 2020; IPCC, 2022).</w:t>
      </w:r>
    </w:p>
    <w:p w14:paraId="72BF4CAA" w14:textId="77777777" w:rsidR="005D70C8" w:rsidRDefault="00FB6549">
      <w:pPr>
        <w:pStyle w:val="NormalWeb"/>
        <w:spacing w:line="276" w:lineRule="auto"/>
        <w:jc w:val="both"/>
      </w:pPr>
      <w:r>
        <w:t>The marginal effects from the logit model further confirm that institutional quality has the strongest poverty-reducing effect, while agricultural variables show weak or statistically insignificant direct effects. This aligns with recent studies showing that agriculture alone does not significantly reduce poverty unless supported by strong institutions and complementary infrastructure (Christiaensen &amp; Martin, 2021; IFAD, 2023). The negative marginal effect of infrastructure also supports evidence that rural development infrastructure is a key driver of poverty reduction through improved market access and reduced transaction costs (World Bank, 2023; Calderón &amp; Cantú, 2021). The weak effects of agricultural inputs suggest inefficiencies in input utilization or limited productivity gains, a pattern also observed in several African agricultural systems (FAO, 2022; Jayne et al., 2019).</w:t>
      </w:r>
    </w:p>
    <w:p w14:paraId="2FED0ED8" w14:textId="77777777" w:rsidR="005D70C8" w:rsidRDefault="00FB6549">
      <w:pPr>
        <w:pStyle w:val="NormalWeb"/>
        <w:spacing w:line="276" w:lineRule="auto"/>
        <w:jc w:val="both"/>
      </w:pPr>
      <w:r>
        <w:t>The interaction model results provide deeper insights into conditional poverty dynamics, particularly highlighting the moderating role of institutions in reducing vulnerability to shocks. The significant negative interaction between shock exposure and institutional quality confirms that strong institutions buffer households against adverse shocks, consistent with resilience theory in development economics (Barrett &amp; Constas, 2020; World Bank, 2024). However, the insignificant interactions involving agricultural variables suggest that agricultural interventions alone do not significantly alter the poverty effects of shocks or institutional conditions, reinforcing the argument that agriculture must be embedded within broader structural systems to be effective (FAO, 2023; Dorward et al., 2020). The absence of significant triple interaction effects further suggests that poverty dynamics are driven more by individual structural channels than complex synergistic interactions among agriculture, shocks, and institutions (UNDP, 2023; World Bank, 2022).</w:t>
      </w:r>
    </w:p>
    <w:p w14:paraId="345F3C53" w14:textId="77777777" w:rsidR="005D70C8" w:rsidRDefault="00FB6549">
      <w:pPr>
        <w:pStyle w:val="NormalWeb"/>
        <w:spacing w:line="276" w:lineRule="auto"/>
        <w:jc w:val="both"/>
      </w:pPr>
      <w:r>
        <w:t>Finally, the consistent significance of age across all models highlights the importance of life-cycle effects in poverty outcomes, where older household heads tend to experience lower poverty due to accumulated assets, experience, and social capital. This finding is consistent with lifecycle consumption and human capital theories, which emphasize that welfare improves with age up to a threshold before declining (Deaton, 2018; Bloom et al., 2020). The lack of strong effects from gender and household size suggests that structural and institutional variables outweigh demographic characteristics in determining poverty outcomes in the study area. Overall, the results strongly indicate that poverty reduction in the context studied is primarily driven by institutional quality and infrastructure development rather than agricultural input expansion alone, reinforcing the need for integrated rural development strategies (World Bank, 2024; IFAD, 2023).</w:t>
      </w:r>
    </w:p>
    <w:p w14:paraId="449A1D69" w14:textId="3CC5D06B" w:rsidR="005D70C8" w:rsidRDefault="00FB6549">
      <w:pPr>
        <w:pStyle w:val="Heading2"/>
        <w:spacing w:before="0" w:beforeAutospacing="0" w:line="276" w:lineRule="auto"/>
        <w:rPr>
          <w:sz w:val="24"/>
          <w:szCs w:val="24"/>
          <w:lang w:val="en-US"/>
        </w:rPr>
      </w:pPr>
      <w:r>
        <w:rPr>
          <w:rStyle w:val="Strong"/>
          <w:b/>
          <w:bCs/>
          <w:sz w:val="24"/>
          <w:szCs w:val="24"/>
          <w:lang w:val="en-US"/>
        </w:rPr>
        <w:t>5. Conclusion and Recommendation</w:t>
      </w:r>
      <w:r w:rsidR="00270025">
        <w:rPr>
          <w:rStyle w:val="Strong"/>
          <w:b/>
          <w:bCs/>
          <w:sz w:val="24"/>
          <w:szCs w:val="24"/>
          <w:lang w:val="en-US"/>
        </w:rPr>
        <w:t>s</w:t>
      </w:r>
    </w:p>
    <w:p w14:paraId="67671624" w14:textId="77777777" w:rsidR="005D70C8" w:rsidRDefault="00FB6549">
      <w:pPr>
        <w:pStyle w:val="Heading2"/>
        <w:spacing w:line="276" w:lineRule="auto"/>
        <w:jc w:val="both"/>
        <w:rPr>
          <w:b w:val="0"/>
          <w:sz w:val="24"/>
          <w:szCs w:val="24"/>
          <w:lang w:val="en-US"/>
        </w:rPr>
      </w:pPr>
      <w:r>
        <w:rPr>
          <w:b w:val="0"/>
          <w:sz w:val="24"/>
          <w:szCs w:val="24"/>
          <w:lang w:val="en-US"/>
        </w:rPr>
        <w:lastRenderedPageBreak/>
        <w:t>This study examined whether agriculture can serve as a gateway to poverty alleviation for smallholder households in the Northwest Region of Cameroon, using FGT poverty measures and logit-based econometric methods. Descriptive findings showed high poverty prevalence, with nearly half of households classified as poor, along with considerable depth and severity. This indicates poverty is widespread and structurally entrenched, reflecting typical vulnerabilities of rural agrarian economies. While households had moderate access to agricultural assets and services, they faced clear constraints in institutional support, infrastructure, and resilience to shocks.</w:t>
      </w:r>
    </w:p>
    <w:p w14:paraId="78C94A7A" w14:textId="77777777" w:rsidR="005D70C8" w:rsidRDefault="00FB6549">
      <w:pPr>
        <w:pStyle w:val="Heading2"/>
        <w:spacing w:line="276" w:lineRule="auto"/>
        <w:jc w:val="both"/>
        <w:rPr>
          <w:b w:val="0"/>
          <w:sz w:val="24"/>
          <w:szCs w:val="24"/>
          <w:lang w:val="en-US"/>
        </w:rPr>
      </w:pPr>
      <w:r>
        <w:rPr>
          <w:b w:val="0"/>
          <w:sz w:val="24"/>
          <w:szCs w:val="24"/>
          <w:lang w:val="en-US"/>
        </w:rPr>
        <w:t>Econometric results show that agriculture’s direct effect on poverty is limited. Although credit and extension services reduce poverty, the overall agricultural index is not consistently significant. Instead, institutional quality and infrastructure development are the most robust determinants of poverty reduction across all FGT measures. Shock exposure significantly worsens poverty severity, but strong institutions buffer these adverse effects. Agricultural variables do not meaningfully change the poverty impact of shocks or institutions, meaning agriculture’s poverty-alleviating role is conditional rather than automatic. The study concludes that agriculture is a critical but conditional pathway to poverty reduction. Its effectiveness depends on supportive institutions, adequate infrastructure, and resilience mechanisms. Poverty reduction therefore requires integrated rural development strategies that combine governance, infrastructure, and agricultural productivity, rather than isolated farm-level interventions.</w:t>
      </w:r>
    </w:p>
    <w:p w14:paraId="5D3B1DA2" w14:textId="77777777" w:rsidR="005D70C8" w:rsidRDefault="00FB6549">
      <w:pPr>
        <w:pStyle w:val="Heading2"/>
        <w:spacing w:line="276" w:lineRule="auto"/>
        <w:jc w:val="both"/>
        <w:rPr>
          <w:b w:val="0"/>
          <w:sz w:val="24"/>
          <w:szCs w:val="24"/>
          <w:lang w:val="en-US"/>
        </w:rPr>
      </w:pPr>
      <w:r>
        <w:rPr>
          <w:b w:val="0"/>
          <w:sz w:val="24"/>
          <w:szCs w:val="24"/>
          <w:lang w:val="en-US"/>
        </w:rPr>
        <w:t>The study concludes that agriculture remains a critical but conditional pathway to poverty alleviation in the Northwest Region of Cameroon. Its effectiveness depends heavily on the presence of supportive institutions, adequate infrastructure, and mechanisms that enhance household resilience to shocks. Therefore, poverty reduction strategies should move beyond isolated agricultural interventions and instead adopt an integrated rural development approach that simultaneously strengthens governance systems, expands rural infrastructure, and enhances agricultural productivity and resilience.</w:t>
      </w:r>
    </w:p>
    <w:p w14:paraId="3FECBEAC" w14:textId="77777777" w:rsidR="005D70C8" w:rsidRDefault="00FB6549">
      <w:pPr>
        <w:spacing w:before="100" w:beforeAutospacing="1" w:after="100" w:afterAutospacing="1" w:line="276" w:lineRule="auto"/>
        <w:outlineLvl w:val="1"/>
        <w:rPr>
          <w:rFonts w:ascii="Times New Roman" w:eastAsia="Times New Roman" w:hAnsi="Times New Roman" w:cs="Times New Roman"/>
          <w:b/>
          <w:bCs/>
          <w:sz w:val="24"/>
          <w:szCs w:val="36"/>
          <w:lang w:eastAsia="fr-FR"/>
        </w:rPr>
      </w:pPr>
      <w:r>
        <w:rPr>
          <w:rFonts w:ascii="Times New Roman" w:eastAsia="Times New Roman" w:hAnsi="Times New Roman" w:cs="Times New Roman"/>
          <w:b/>
          <w:bCs/>
          <w:sz w:val="24"/>
          <w:szCs w:val="36"/>
          <w:lang w:eastAsia="fr-FR"/>
        </w:rPr>
        <w:t>Recommendations</w:t>
      </w:r>
    </w:p>
    <w:p w14:paraId="785B98C2" w14:textId="594A9D1E" w:rsidR="005D70C8" w:rsidRDefault="00FB6549">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Governments and local councils need to ensure more transparent, accountable and effective rural </w:t>
      </w:r>
      <w:r w:rsidR="00270025">
        <w:rPr>
          <w:rFonts w:ascii="Times New Roman" w:eastAsia="Times New Roman" w:hAnsi="Times New Roman" w:cs="Times New Roman"/>
          <w:sz w:val="24"/>
          <w:szCs w:val="24"/>
        </w:rPr>
        <w:t xml:space="preserve">institutional </w:t>
      </w:r>
      <w:r>
        <w:rPr>
          <w:rFonts w:ascii="Times New Roman" w:eastAsia="Times New Roman" w:hAnsi="Times New Roman" w:cs="Times New Roman"/>
          <w:sz w:val="24"/>
          <w:szCs w:val="24"/>
        </w:rPr>
        <w:t>service delivery through social accountability mechanisms at the community level, but they also need to devolve power to farmer organisations, cooperatives and local development committees through which access for agricultural support can be enhanced while resource misallocation can be reduced. Simultaneously, on the infrastructural front, there is urgent need for public investment in rural roads, electricity supply, irrigation and village storage and market centers all of which are lagging behind given greater commercialization potential with improved connectivity particularly so in the Northwest Region. Improved infrastructure will lower transaction costs and post-harvest losses, leading to increased farm profitability and household well-</w:t>
      </w:r>
      <w:proofErr w:type="spellStart"/>
      <w:r>
        <w:rPr>
          <w:rFonts w:ascii="Times New Roman" w:eastAsia="Times New Roman" w:hAnsi="Times New Roman" w:cs="Times New Roman"/>
          <w:sz w:val="24"/>
          <w:szCs w:val="24"/>
        </w:rPr>
        <w:t>being.</w:t>
      </w:r>
      <w:r w:rsidR="00F07899">
        <w:rPr>
          <w:rFonts w:ascii="Times New Roman" w:eastAsia="Times New Roman" w:hAnsi="Times New Roman" w:cs="Times New Roman"/>
          <w:sz w:val="24"/>
          <w:szCs w:val="24"/>
        </w:rPr>
        <w:t>Thus</w:t>
      </w:r>
      <w:proofErr w:type="spellEnd"/>
      <w:r w:rsidR="00F07899">
        <w:rPr>
          <w:rFonts w:ascii="Times New Roman" w:eastAsia="Times New Roman" w:hAnsi="Times New Roman" w:cs="Times New Roman"/>
          <w:sz w:val="24"/>
          <w:szCs w:val="24"/>
        </w:rPr>
        <w:t>, shocks serve as an important determinant of poverty</w:t>
      </w:r>
    </w:p>
    <w:p w14:paraId="6D00473B" w14:textId="77777777" w:rsidR="005D70C8" w:rsidRDefault="00FB6549">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If agriculture has to work, policies need to provide targeted support services that have the potential to increase productivity around timely affordable credit and subsidised inputs; strengthen the extension system that reaches out with cutting-edge techniques targeting modernization in a judicious way at undertaking efficient input use. Since shocks increase the intensity of poverty, building resilience through climate-smart agriculture, crop insurance, and early warning systems is essential along with social protection measures such as cash transfers or emergency support. Finally, they invest in human capital: better access to quality education, adult literacy and vocational/agricultural training can raise productivity on farms and allow households the chance to diversify income away from farming providing long-term safety against poverty.</w:t>
      </w:r>
    </w:p>
    <w:p w14:paraId="3EB98CE8" w14:textId="77777777" w:rsidR="005D70C8" w:rsidRDefault="00FB6549">
      <w:pPr>
        <w:pStyle w:val="EndNoteBibliography"/>
        <w:spacing w:after="0"/>
        <w:ind w:left="720" w:hanging="720"/>
        <w:rPr>
          <w:rFonts w:ascii="Times New Roman" w:hAnsi="Times New Roman" w:cs="Times New Roman"/>
          <w:b/>
          <w:sz w:val="24"/>
          <w:szCs w:val="24"/>
        </w:rPr>
      </w:pPr>
      <w:r>
        <w:rPr>
          <w:rFonts w:ascii="Times New Roman" w:hAnsi="Times New Roman" w:cs="Times New Roman"/>
          <w:b/>
          <w:sz w:val="24"/>
          <w:szCs w:val="24"/>
        </w:rPr>
        <w:t>References</w:t>
      </w:r>
    </w:p>
    <w:p w14:paraId="6F5F7E77"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Abia, W. A., Shum, C. E., Fomboh, R. N., Ntungwe, E. N., &amp; Ageh, M. T. (2016). Agriculture in Cameroon: Proposed strategies to sustain productivity. </w:t>
      </w:r>
      <w:r>
        <w:rPr>
          <w:rFonts w:ascii="Times New Roman" w:eastAsia="Times New Roman" w:hAnsi="Times New Roman" w:cs="Times New Roman"/>
          <w:i/>
          <w:iCs/>
          <w:color w:val="0F1115"/>
          <w:sz w:val="24"/>
          <w:szCs w:val="24"/>
        </w:rPr>
        <w:t>International Journal for Research in Agricultural Research</w:t>
      </w:r>
      <w:r>
        <w:rPr>
          <w:rFonts w:ascii="Times New Roman" w:eastAsia="Times New Roman" w:hAnsi="Times New Roman" w:cs="Times New Roman"/>
          <w:color w:val="0F1115"/>
          <w:sz w:val="24"/>
          <w:szCs w:val="24"/>
        </w:rPr>
        <w:t>, 2(2), 1–3.</w:t>
      </w:r>
    </w:p>
    <w:p w14:paraId="3D83816F"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Acemoglu, D., &amp; Robinson, J. A. (2019). </w:t>
      </w:r>
      <w:r>
        <w:rPr>
          <w:rFonts w:ascii="Times New Roman" w:eastAsia="Times New Roman" w:hAnsi="Times New Roman" w:cs="Times New Roman"/>
          <w:i/>
          <w:iCs/>
          <w:color w:val="0F1115"/>
          <w:sz w:val="24"/>
          <w:szCs w:val="24"/>
        </w:rPr>
        <w:t>The narrow corridor: States, societies, and the fate of liberty</w:t>
      </w:r>
      <w:r>
        <w:rPr>
          <w:rFonts w:ascii="Times New Roman" w:eastAsia="Times New Roman" w:hAnsi="Times New Roman" w:cs="Times New Roman"/>
          <w:color w:val="0F1115"/>
          <w:sz w:val="24"/>
          <w:szCs w:val="24"/>
        </w:rPr>
        <w:t>. Penguin Press.</w:t>
      </w:r>
    </w:p>
    <w:p w14:paraId="79094FDE"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Afangah, A. J. (2021). Conditions for effective economic development planning (EDP) and implementation in Cameroon. </w:t>
      </w:r>
      <w:r>
        <w:rPr>
          <w:rFonts w:ascii="Times New Roman" w:eastAsia="Times New Roman" w:hAnsi="Times New Roman" w:cs="Times New Roman"/>
          <w:i/>
          <w:iCs/>
          <w:color w:val="0F1115"/>
          <w:sz w:val="24"/>
          <w:szCs w:val="24"/>
        </w:rPr>
        <w:t>Journal of African Development Studies</w:t>
      </w:r>
      <w:r>
        <w:rPr>
          <w:rFonts w:ascii="Times New Roman" w:eastAsia="Times New Roman" w:hAnsi="Times New Roman" w:cs="Times New Roman"/>
          <w:color w:val="0F1115"/>
          <w:sz w:val="24"/>
          <w:szCs w:val="24"/>
        </w:rPr>
        <w:t>, 8(2), 45–67.</w:t>
      </w:r>
    </w:p>
    <w:p w14:paraId="754A01F7"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Balgah, R. A., Buchenrieder, G. R., &amp; Awazi, N. P. (2025). Rural livelihood strategies in Sub-Saharan Africa: A systematic review on Cameroon. </w:t>
      </w:r>
      <w:r>
        <w:rPr>
          <w:rFonts w:ascii="Times New Roman" w:eastAsia="Times New Roman" w:hAnsi="Times New Roman" w:cs="Times New Roman"/>
          <w:i/>
          <w:iCs/>
          <w:color w:val="0F1115"/>
          <w:sz w:val="24"/>
          <w:szCs w:val="24"/>
        </w:rPr>
        <w:t>SN Social Sciences</w:t>
      </w:r>
      <w:r>
        <w:rPr>
          <w:rFonts w:ascii="Times New Roman" w:eastAsia="Times New Roman" w:hAnsi="Times New Roman" w:cs="Times New Roman"/>
          <w:color w:val="0F1115"/>
          <w:sz w:val="24"/>
          <w:szCs w:val="24"/>
        </w:rPr>
        <w:t>, 5(12), 226.</w:t>
      </w:r>
    </w:p>
    <w:p w14:paraId="333A468F"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Barrett, C. B., &amp; Constas, M. A. (2020). Toward a theory of resilience for international development applications. </w:t>
      </w:r>
      <w:r>
        <w:rPr>
          <w:rFonts w:ascii="Times New Roman" w:eastAsia="Times New Roman" w:hAnsi="Times New Roman" w:cs="Times New Roman"/>
          <w:i/>
          <w:iCs/>
          <w:color w:val="0F1115"/>
          <w:sz w:val="24"/>
          <w:szCs w:val="24"/>
        </w:rPr>
        <w:t>Proceedings of the National Academy of Sciences</w:t>
      </w:r>
      <w:r>
        <w:rPr>
          <w:rFonts w:ascii="Times New Roman" w:eastAsia="Times New Roman" w:hAnsi="Times New Roman" w:cs="Times New Roman"/>
          <w:color w:val="0F1115"/>
          <w:sz w:val="24"/>
          <w:szCs w:val="24"/>
        </w:rPr>
        <w:t>, 117(41), 25487–25493.</w:t>
      </w:r>
    </w:p>
    <w:p w14:paraId="5DB1B018"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Bloom, D. E., Kuhn, M., &amp; Prettner, K. (2020). Modern aging: A guide to economic and social implications. </w:t>
      </w:r>
      <w:r>
        <w:rPr>
          <w:rFonts w:ascii="Times New Roman" w:eastAsia="Times New Roman" w:hAnsi="Times New Roman" w:cs="Times New Roman"/>
          <w:i/>
          <w:iCs/>
          <w:color w:val="0F1115"/>
          <w:sz w:val="24"/>
          <w:szCs w:val="24"/>
        </w:rPr>
        <w:t>Annual Review of Economics</w:t>
      </w:r>
      <w:r>
        <w:rPr>
          <w:rFonts w:ascii="Times New Roman" w:eastAsia="Times New Roman" w:hAnsi="Times New Roman" w:cs="Times New Roman"/>
          <w:color w:val="0F1115"/>
          <w:sz w:val="24"/>
          <w:szCs w:val="24"/>
        </w:rPr>
        <w:t>, 12, 1–24.</w:t>
      </w:r>
    </w:p>
    <w:p w14:paraId="04BD61E3"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Bourguignon, F., &amp; Morrison, C. (2020). Inequality among world citizens: 1820–2018. </w:t>
      </w:r>
      <w:r>
        <w:rPr>
          <w:rFonts w:ascii="Times New Roman" w:eastAsia="Times New Roman" w:hAnsi="Times New Roman" w:cs="Times New Roman"/>
          <w:i/>
          <w:iCs/>
          <w:color w:val="0F1115"/>
          <w:sz w:val="24"/>
          <w:szCs w:val="24"/>
        </w:rPr>
        <w:t>Journal of Economic Perspectives</w:t>
      </w:r>
      <w:r>
        <w:rPr>
          <w:rFonts w:ascii="Times New Roman" w:eastAsia="Times New Roman" w:hAnsi="Times New Roman" w:cs="Times New Roman"/>
          <w:color w:val="0F1115"/>
          <w:sz w:val="24"/>
          <w:szCs w:val="24"/>
        </w:rPr>
        <w:t>, 34(4), 3–26.</w:t>
      </w:r>
    </w:p>
    <w:p w14:paraId="7060FAC8"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Brambor, T., Clark, W. R., &amp; Golder, M. (2006). Understanding interaction models. </w:t>
      </w:r>
      <w:r>
        <w:rPr>
          <w:rFonts w:ascii="Times New Roman" w:eastAsia="Times New Roman" w:hAnsi="Times New Roman" w:cs="Times New Roman"/>
          <w:i/>
          <w:iCs/>
          <w:color w:val="0F1115"/>
          <w:sz w:val="24"/>
          <w:szCs w:val="24"/>
        </w:rPr>
        <w:t>Political Analysis</w:t>
      </w:r>
      <w:r>
        <w:rPr>
          <w:rFonts w:ascii="Times New Roman" w:eastAsia="Times New Roman" w:hAnsi="Times New Roman" w:cs="Times New Roman"/>
          <w:color w:val="0F1115"/>
          <w:sz w:val="24"/>
          <w:szCs w:val="24"/>
        </w:rPr>
        <w:t>, 14(1), 63–82.</w:t>
      </w:r>
    </w:p>
    <w:p w14:paraId="5381C922"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Calderón, C., &amp; Cantú, C. (2021). </w:t>
      </w:r>
      <w:r>
        <w:rPr>
          <w:rFonts w:ascii="Times New Roman" w:eastAsia="Times New Roman" w:hAnsi="Times New Roman" w:cs="Times New Roman"/>
          <w:i/>
          <w:iCs/>
          <w:color w:val="0F1115"/>
          <w:sz w:val="24"/>
          <w:szCs w:val="24"/>
        </w:rPr>
        <w:t>Infrastructure and growth in developing countries</w:t>
      </w:r>
      <w:r>
        <w:rPr>
          <w:rFonts w:ascii="Times New Roman" w:eastAsia="Times New Roman" w:hAnsi="Times New Roman" w:cs="Times New Roman"/>
          <w:color w:val="0F1115"/>
          <w:sz w:val="24"/>
          <w:szCs w:val="24"/>
        </w:rPr>
        <w:t>. World Bank Policy Research Working Paper No. 1965. World Bank.</w:t>
      </w:r>
    </w:p>
    <w:p w14:paraId="7751BC1F"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proofErr w:type="spellStart"/>
      <w:r>
        <w:rPr>
          <w:rFonts w:ascii="Times New Roman" w:eastAsia="Times New Roman" w:hAnsi="Times New Roman" w:cs="Times New Roman"/>
          <w:color w:val="0F1115"/>
          <w:sz w:val="24"/>
          <w:szCs w:val="24"/>
        </w:rPr>
        <w:t>Christiaensen</w:t>
      </w:r>
      <w:proofErr w:type="spellEnd"/>
      <w:r>
        <w:rPr>
          <w:rFonts w:ascii="Times New Roman" w:eastAsia="Times New Roman" w:hAnsi="Times New Roman" w:cs="Times New Roman"/>
          <w:color w:val="0F1115"/>
          <w:sz w:val="24"/>
          <w:szCs w:val="24"/>
        </w:rPr>
        <w:t>, L., &amp; Martin, W. (2021). Agriculture, structural transformation and poverty reduction. </w:t>
      </w:r>
      <w:r>
        <w:rPr>
          <w:rFonts w:ascii="Times New Roman" w:eastAsia="Times New Roman" w:hAnsi="Times New Roman" w:cs="Times New Roman"/>
          <w:i/>
          <w:iCs/>
          <w:color w:val="0F1115"/>
          <w:sz w:val="24"/>
          <w:szCs w:val="24"/>
        </w:rPr>
        <w:t>World Development</w:t>
      </w:r>
      <w:r>
        <w:rPr>
          <w:rFonts w:ascii="Times New Roman" w:eastAsia="Times New Roman" w:hAnsi="Times New Roman" w:cs="Times New Roman"/>
          <w:color w:val="0F1115"/>
          <w:sz w:val="24"/>
          <w:szCs w:val="24"/>
        </w:rPr>
        <w:t>, 139, 105306.</w:t>
      </w:r>
    </w:p>
    <w:p w14:paraId="15AADD3C"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Cochran, W. G. (1977). </w:t>
      </w:r>
      <w:r>
        <w:rPr>
          <w:rFonts w:ascii="Times New Roman" w:eastAsia="Times New Roman" w:hAnsi="Times New Roman" w:cs="Times New Roman"/>
          <w:i/>
          <w:iCs/>
          <w:color w:val="0F1115"/>
          <w:sz w:val="24"/>
          <w:szCs w:val="24"/>
        </w:rPr>
        <w:t>Sampling techniques</w:t>
      </w:r>
      <w:r>
        <w:rPr>
          <w:rFonts w:ascii="Times New Roman" w:eastAsia="Times New Roman" w:hAnsi="Times New Roman" w:cs="Times New Roman"/>
          <w:color w:val="0F1115"/>
          <w:sz w:val="24"/>
          <w:szCs w:val="24"/>
        </w:rPr>
        <w:t> (3rd ed.). Wiley.</w:t>
      </w:r>
    </w:p>
    <w:p w14:paraId="56F616E5"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Deaton, A. (1997). </w:t>
      </w:r>
      <w:r>
        <w:rPr>
          <w:rFonts w:ascii="Times New Roman" w:eastAsia="Times New Roman" w:hAnsi="Times New Roman" w:cs="Times New Roman"/>
          <w:i/>
          <w:iCs/>
          <w:color w:val="0F1115"/>
          <w:sz w:val="24"/>
          <w:szCs w:val="24"/>
        </w:rPr>
        <w:t>The analysis of household surveys: A microeconometric approach to development policy</w:t>
      </w:r>
      <w:r>
        <w:rPr>
          <w:rFonts w:ascii="Times New Roman" w:eastAsia="Times New Roman" w:hAnsi="Times New Roman" w:cs="Times New Roman"/>
          <w:color w:val="0F1115"/>
          <w:sz w:val="24"/>
          <w:szCs w:val="24"/>
        </w:rPr>
        <w:t>. World Bank.</w:t>
      </w:r>
    </w:p>
    <w:p w14:paraId="39D92FB3"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Deaton, A. (2018). </w:t>
      </w:r>
      <w:r>
        <w:rPr>
          <w:rFonts w:ascii="Times New Roman" w:eastAsia="Times New Roman" w:hAnsi="Times New Roman" w:cs="Times New Roman"/>
          <w:i/>
          <w:iCs/>
          <w:color w:val="0F1115"/>
          <w:sz w:val="24"/>
          <w:szCs w:val="24"/>
        </w:rPr>
        <w:t>The analysis of household surveys: A microeconometric approach to development policy</w:t>
      </w:r>
      <w:r>
        <w:rPr>
          <w:rFonts w:ascii="Times New Roman" w:eastAsia="Times New Roman" w:hAnsi="Times New Roman" w:cs="Times New Roman"/>
          <w:color w:val="0F1115"/>
          <w:sz w:val="24"/>
          <w:szCs w:val="24"/>
        </w:rPr>
        <w:t> (2nd ed.). World Bank.</w:t>
      </w:r>
    </w:p>
    <w:p w14:paraId="5C07BE11"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Dercon, S. (2004). Growth and shocks: Evidence from rural Ethiopia. </w:t>
      </w:r>
      <w:r>
        <w:rPr>
          <w:rFonts w:ascii="Times New Roman" w:eastAsia="Times New Roman" w:hAnsi="Times New Roman" w:cs="Times New Roman"/>
          <w:i/>
          <w:iCs/>
          <w:color w:val="0F1115"/>
          <w:sz w:val="24"/>
          <w:szCs w:val="24"/>
        </w:rPr>
        <w:t>Journal of Development Economics</w:t>
      </w:r>
      <w:r>
        <w:rPr>
          <w:rFonts w:ascii="Times New Roman" w:eastAsia="Times New Roman" w:hAnsi="Times New Roman" w:cs="Times New Roman"/>
          <w:color w:val="0F1115"/>
          <w:sz w:val="24"/>
          <w:szCs w:val="24"/>
        </w:rPr>
        <w:t>, 74(2), 309–329.</w:t>
      </w:r>
    </w:p>
    <w:p w14:paraId="30137C6D"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lastRenderedPageBreak/>
        <w:t>Dorward, A., Kydd, J., Morrison, J., &amp; Poulton, C. (2020). Institutions, markets and economic coordination: Linking development theory with policy. </w:t>
      </w:r>
      <w:r>
        <w:rPr>
          <w:rFonts w:ascii="Times New Roman" w:eastAsia="Times New Roman" w:hAnsi="Times New Roman" w:cs="Times New Roman"/>
          <w:i/>
          <w:iCs/>
          <w:color w:val="0F1115"/>
          <w:sz w:val="24"/>
          <w:szCs w:val="24"/>
        </w:rPr>
        <w:t>Development Policy Review</w:t>
      </w:r>
      <w:r>
        <w:rPr>
          <w:rFonts w:ascii="Times New Roman" w:eastAsia="Times New Roman" w:hAnsi="Times New Roman" w:cs="Times New Roman"/>
          <w:color w:val="0F1115"/>
          <w:sz w:val="24"/>
          <w:szCs w:val="24"/>
        </w:rPr>
        <w:t>, 38(5), 663–685.</w:t>
      </w:r>
    </w:p>
    <w:p w14:paraId="76992ACD"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FAO (Food and Agriculture Organization of the United Nations). (2022). </w:t>
      </w:r>
      <w:r>
        <w:rPr>
          <w:rFonts w:ascii="Times New Roman" w:eastAsia="Times New Roman" w:hAnsi="Times New Roman" w:cs="Times New Roman"/>
          <w:i/>
          <w:iCs/>
          <w:color w:val="0F1115"/>
          <w:sz w:val="24"/>
          <w:szCs w:val="24"/>
        </w:rPr>
        <w:t>The state of food and agriculture: Leveraging automation in agriculture</w:t>
      </w:r>
      <w:r>
        <w:rPr>
          <w:rFonts w:ascii="Times New Roman" w:eastAsia="Times New Roman" w:hAnsi="Times New Roman" w:cs="Times New Roman"/>
          <w:color w:val="0F1115"/>
          <w:sz w:val="24"/>
          <w:szCs w:val="24"/>
        </w:rPr>
        <w:t>. FAO.</w:t>
      </w:r>
    </w:p>
    <w:p w14:paraId="6D0BE611" w14:textId="33980F9B"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FAO (Food and Agriculture Organization of the United Nations). (2023). </w:t>
      </w:r>
      <w:r>
        <w:rPr>
          <w:rFonts w:ascii="Times New Roman" w:eastAsia="Times New Roman" w:hAnsi="Times New Roman" w:cs="Times New Roman"/>
          <w:i/>
          <w:iCs/>
          <w:color w:val="0F1115"/>
          <w:sz w:val="24"/>
          <w:szCs w:val="24"/>
        </w:rPr>
        <w:t>The state of food security and nutrition in the world 2023</w:t>
      </w:r>
      <w:r>
        <w:rPr>
          <w:rFonts w:ascii="Times New Roman" w:eastAsia="Times New Roman" w:hAnsi="Times New Roman" w:cs="Times New Roman"/>
          <w:color w:val="0F1115"/>
          <w:sz w:val="24"/>
          <w:szCs w:val="24"/>
        </w:rPr>
        <w:t>. FAO.</w:t>
      </w:r>
    </w:p>
    <w:p w14:paraId="6B9B7DEE" w14:textId="0876E647" w:rsidR="005C0B9D" w:rsidRDefault="005C0B9D">
      <w:pPr>
        <w:shd w:val="clear" w:color="auto" w:fill="FFFFFF"/>
        <w:spacing w:after="0" w:line="276" w:lineRule="auto"/>
        <w:ind w:left="810" w:hanging="810"/>
        <w:rPr>
          <w:rFonts w:ascii="Times New Roman" w:eastAsia="Times New Roman" w:hAnsi="Times New Roman" w:cs="Times New Roman"/>
          <w:color w:val="0F1115"/>
          <w:sz w:val="24"/>
          <w:szCs w:val="24"/>
        </w:rPr>
      </w:pPr>
      <w:r w:rsidRPr="005C0B9D">
        <w:rPr>
          <w:rFonts w:ascii="Times New Roman" w:eastAsia="Times New Roman" w:hAnsi="Times New Roman" w:cs="Times New Roman"/>
          <w:color w:val="0F1115"/>
          <w:sz w:val="24"/>
          <w:szCs w:val="24"/>
        </w:rPr>
        <w:t>FEWS NET. (2024, February). Cameroon: Conflict sustains high needs in Far North despite reduced cereal prices. Famine Early Warning Systems Network. https://fews.net/west-africa/cameroon</w:t>
      </w:r>
    </w:p>
    <w:p w14:paraId="2B52EBA0" w14:textId="4C5C1377" w:rsidR="00C147A5" w:rsidRDefault="00C147A5" w:rsidP="001A27C8">
      <w:pPr>
        <w:shd w:val="clear" w:color="auto" w:fill="FFFFFF"/>
        <w:spacing w:after="0" w:line="276" w:lineRule="auto"/>
        <w:ind w:left="810" w:hanging="810"/>
        <w:jc w:val="both"/>
        <w:rPr>
          <w:rFonts w:ascii="Times New Roman" w:eastAsia="Times New Roman" w:hAnsi="Times New Roman" w:cs="Times New Roman"/>
          <w:color w:val="0F1115"/>
          <w:sz w:val="24"/>
          <w:szCs w:val="24"/>
        </w:rPr>
      </w:pPr>
      <w:r w:rsidRPr="00C147A5">
        <w:rPr>
          <w:rFonts w:ascii="Times New Roman" w:eastAsia="Times New Roman" w:hAnsi="Times New Roman" w:cs="Times New Roman"/>
          <w:color w:val="0F1115"/>
          <w:sz w:val="24"/>
          <w:szCs w:val="24"/>
        </w:rPr>
        <w:t>Food and Agriculture Organization of the United Nations [FAO]. (2018). Ensuring equal</w:t>
      </w:r>
      <w:r>
        <w:rPr>
          <w:rFonts w:ascii="Times New Roman" w:eastAsia="Times New Roman" w:hAnsi="Times New Roman" w:cs="Times New Roman"/>
          <w:color w:val="0F1115"/>
          <w:sz w:val="24"/>
          <w:szCs w:val="24"/>
        </w:rPr>
        <w:t xml:space="preserve"> access to improve </w:t>
      </w:r>
      <w:proofErr w:type="spellStart"/>
      <w:r>
        <w:rPr>
          <w:rFonts w:ascii="Times New Roman" w:eastAsia="Times New Roman" w:hAnsi="Times New Roman" w:cs="Times New Roman"/>
          <w:color w:val="0F1115"/>
          <w:sz w:val="24"/>
          <w:szCs w:val="24"/>
        </w:rPr>
        <w:t>livelihoods.</w:t>
      </w:r>
      <w:r w:rsidRPr="00C147A5">
        <w:rPr>
          <w:rFonts w:ascii="Times New Roman" w:eastAsia="Times New Roman" w:hAnsi="Times New Roman" w:cs="Times New Roman"/>
          <w:color w:val="0F1115"/>
          <w:sz w:val="24"/>
          <w:szCs w:val="24"/>
        </w:rPr>
        <w:t>https</w:t>
      </w:r>
      <w:proofErr w:type="spellEnd"/>
      <w:r w:rsidRPr="00C147A5">
        <w:rPr>
          <w:rFonts w:ascii="Times New Roman" w:eastAsia="Times New Roman" w:hAnsi="Times New Roman" w:cs="Times New Roman"/>
          <w:color w:val="0F1115"/>
          <w:sz w:val="24"/>
          <w:szCs w:val="24"/>
        </w:rPr>
        <w:t>://www.f</w:t>
      </w:r>
      <w:r>
        <w:rPr>
          <w:rFonts w:ascii="Times New Roman" w:eastAsia="Times New Roman" w:hAnsi="Times New Roman" w:cs="Times New Roman"/>
          <w:color w:val="0F1115"/>
          <w:sz w:val="24"/>
          <w:szCs w:val="24"/>
        </w:rPr>
        <w:t>ao.org/policy-support/tools-</w:t>
      </w:r>
    </w:p>
    <w:p w14:paraId="7C861415"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Forson, R., Asare-Nuamah, P., &amp; Adu, D. T. (2021). Agricultural productivity and poverty reduction in Cameroon: A micro-level analysis. </w:t>
      </w:r>
      <w:r>
        <w:rPr>
          <w:rFonts w:ascii="Times New Roman" w:eastAsia="Times New Roman" w:hAnsi="Times New Roman" w:cs="Times New Roman"/>
          <w:i/>
          <w:iCs/>
          <w:color w:val="0F1115"/>
          <w:sz w:val="24"/>
          <w:szCs w:val="24"/>
        </w:rPr>
        <w:t>African Journal of Agricultural Research</w:t>
      </w:r>
      <w:r>
        <w:rPr>
          <w:rFonts w:ascii="Times New Roman" w:eastAsia="Times New Roman" w:hAnsi="Times New Roman" w:cs="Times New Roman"/>
          <w:color w:val="0F1115"/>
          <w:sz w:val="24"/>
          <w:szCs w:val="24"/>
        </w:rPr>
        <w:t>, 17(4), 567–580.</w:t>
      </w:r>
    </w:p>
    <w:p w14:paraId="3EBD57D9"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Foster, J., Greer, J., &amp; Thorbecke, E. (1984). A class of decomposable poverty measures. </w:t>
      </w:r>
      <w:r>
        <w:rPr>
          <w:rFonts w:ascii="Times New Roman" w:eastAsia="Times New Roman" w:hAnsi="Times New Roman" w:cs="Times New Roman"/>
          <w:i/>
          <w:iCs/>
          <w:color w:val="0F1115"/>
          <w:sz w:val="24"/>
          <w:szCs w:val="24"/>
        </w:rPr>
        <w:t>Econometrica</w:t>
      </w:r>
      <w:r>
        <w:rPr>
          <w:rFonts w:ascii="Times New Roman" w:eastAsia="Times New Roman" w:hAnsi="Times New Roman" w:cs="Times New Roman"/>
          <w:color w:val="0F1115"/>
          <w:sz w:val="24"/>
          <w:szCs w:val="24"/>
        </w:rPr>
        <w:t>, 52(3), 761–766.</w:t>
      </w:r>
    </w:p>
    <w:p w14:paraId="00E0012B" w14:textId="2D527852"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Fosu, A. K. (2019). Growth, inequality, and poverty reduction in developing countries. </w:t>
      </w:r>
      <w:r>
        <w:rPr>
          <w:rFonts w:ascii="Times New Roman" w:eastAsia="Times New Roman" w:hAnsi="Times New Roman" w:cs="Times New Roman"/>
          <w:i/>
          <w:iCs/>
          <w:color w:val="0F1115"/>
          <w:sz w:val="24"/>
          <w:szCs w:val="24"/>
        </w:rPr>
        <w:t>World Development</w:t>
      </w:r>
      <w:r>
        <w:rPr>
          <w:rFonts w:ascii="Times New Roman" w:eastAsia="Times New Roman" w:hAnsi="Times New Roman" w:cs="Times New Roman"/>
          <w:color w:val="0F1115"/>
          <w:sz w:val="24"/>
          <w:szCs w:val="24"/>
        </w:rPr>
        <w:t>, 122, 346–357.</w:t>
      </w:r>
    </w:p>
    <w:p w14:paraId="4FDEB9FB" w14:textId="0629CC89" w:rsidR="0087579F" w:rsidRDefault="0087579F" w:rsidP="001A27C8">
      <w:pPr>
        <w:pStyle w:val="ds-markdown-paragraph"/>
        <w:shd w:val="clear" w:color="auto" w:fill="FFFFFF"/>
        <w:ind w:left="540" w:hanging="540"/>
        <w:jc w:val="both"/>
        <w:rPr>
          <w:color w:val="0F1115"/>
        </w:rPr>
      </w:pPr>
      <w:proofErr w:type="spellStart"/>
      <w:r w:rsidRPr="002202B2">
        <w:rPr>
          <w:color w:val="0F1115"/>
        </w:rPr>
        <w:t>Fambon</w:t>
      </w:r>
      <w:proofErr w:type="spellEnd"/>
      <w:r w:rsidRPr="002202B2">
        <w:rPr>
          <w:color w:val="0F1115"/>
        </w:rPr>
        <w:t>, S. (2020). Poverty and inequality in rural Cameroon: The role of agriculture and non-farm activities. </w:t>
      </w:r>
      <w:r w:rsidRPr="002202B2">
        <w:rPr>
          <w:rStyle w:val="Emphasis"/>
          <w:color w:val="0F1115"/>
        </w:rPr>
        <w:t>Journal of African Economies</w:t>
      </w:r>
      <w:r>
        <w:rPr>
          <w:color w:val="0F1115"/>
        </w:rPr>
        <w:t>, 29</w:t>
      </w:r>
      <w:r w:rsidRPr="002202B2">
        <w:rPr>
          <w:color w:val="0F1115"/>
        </w:rPr>
        <w:t>(3), 245267. </w:t>
      </w:r>
    </w:p>
    <w:p w14:paraId="2C99803A"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Greene, W. H. (2012). </w:t>
      </w:r>
      <w:r>
        <w:rPr>
          <w:rFonts w:ascii="Times New Roman" w:eastAsia="Times New Roman" w:hAnsi="Times New Roman" w:cs="Times New Roman"/>
          <w:i/>
          <w:iCs/>
          <w:color w:val="0F1115"/>
          <w:sz w:val="24"/>
          <w:szCs w:val="24"/>
        </w:rPr>
        <w:t>Econometric analysis</w:t>
      </w:r>
      <w:r>
        <w:rPr>
          <w:rFonts w:ascii="Times New Roman" w:eastAsia="Times New Roman" w:hAnsi="Times New Roman" w:cs="Times New Roman"/>
          <w:color w:val="0F1115"/>
          <w:sz w:val="24"/>
          <w:szCs w:val="24"/>
        </w:rPr>
        <w:t> (7th ed.). Pearson.</w:t>
      </w:r>
    </w:p>
    <w:p w14:paraId="17D8EDFE"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Hallegatte, S., Bangalore, M., Bonzaniog, L., Fay, M., Kane, T., Narloch, U., Rozenberg, J., Treguer, D., &amp; Vogt-Schilb, A. (2020). </w:t>
      </w:r>
      <w:r>
        <w:rPr>
          <w:rFonts w:ascii="Times New Roman" w:eastAsia="Times New Roman" w:hAnsi="Times New Roman" w:cs="Times New Roman"/>
          <w:i/>
          <w:iCs/>
          <w:color w:val="0F1115"/>
          <w:sz w:val="24"/>
          <w:szCs w:val="24"/>
        </w:rPr>
        <w:t>Shock waves: Managing the impacts of climate change on poverty</w:t>
      </w:r>
      <w:r>
        <w:rPr>
          <w:rFonts w:ascii="Times New Roman" w:eastAsia="Times New Roman" w:hAnsi="Times New Roman" w:cs="Times New Roman"/>
          <w:color w:val="0F1115"/>
          <w:sz w:val="24"/>
          <w:szCs w:val="24"/>
        </w:rPr>
        <w:t>. World Bank.</w:t>
      </w:r>
    </w:p>
    <w:p w14:paraId="782EDBBC"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Harahagazwe, D., Condori, B., Barreda, C., Bararyenya, A., Byarugaba, A. A., Kude, D. A., Lung'aho, C., Martinho, C., Mbiri, D., &amp; Nasona, B. (2018). How big is the potato (Solanum tuberosum L.) yield gap in Sub-Saharan Africa and why? A participatory approach. </w:t>
      </w:r>
      <w:r>
        <w:rPr>
          <w:rFonts w:ascii="Times New Roman" w:eastAsia="Times New Roman" w:hAnsi="Times New Roman" w:cs="Times New Roman"/>
          <w:i/>
          <w:iCs/>
          <w:color w:val="0F1115"/>
          <w:sz w:val="24"/>
          <w:szCs w:val="24"/>
        </w:rPr>
        <w:t>Open Agriculture</w:t>
      </w:r>
      <w:r>
        <w:rPr>
          <w:rFonts w:ascii="Times New Roman" w:eastAsia="Times New Roman" w:hAnsi="Times New Roman" w:cs="Times New Roman"/>
          <w:color w:val="0F1115"/>
          <w:sz w:val="24"/>
          <w:szCs w:val="24"/>
        </w:rPr>
        <w:t>, 3(1), 456–469.</w:t>
      </w:r>
    </w:p>
    <w:p w14:paraId="38B0B52B"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IFAD (International Fund for Agricultural Development). (2023). </w:t>
      </w:r>
      <w:r>
        <w:rPr>
          <w:rFonts w:ascii="Times New Roman" w:eastAsia="Times New Roman" w:hAnsi="Times New Roman" w:cs="Times New Roman"/>
          <w:i/>
          <w:iCs/>
          <w:color w:val="0F1115"/>
          <w:sz w:val="24"/>
          <w:szCs w:val="24"/>
        </w:rPr>
        <w:t>Rural development report 2023: Creating opportunities for rural youth</w:t>
      </w:r>
      <w:r>
        <w:rPr>
          <w:rFonts w:ascii="Times New Roman" w:eastAsia="Times New Roman" w:hAnsi="Times New Roman" w:cs="Times New Roman"/>
          <w:color w:val="0F1115"/>
          <w:sz w:val="24"/>
          <w:szCs w:val="24"/>
        </w:rPr>
        <w:t>. IFAD.</w:t>
      </w:r>
    </w:p>
    <w:p w14:paraId="6E230A36"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IPCC (Intergovernmental Panel on Climate Change). (2022). </w:t>
      </w:r>
      <w:r>
        <w:rPr>
          <w:rFonts w:ascii="Times New Roman" w:eastAsia="Times New Roman" w:hAnsi="Times New Roman" w:cs="Times New Roman"/>
          <w:i/>
          <w:iCs/>
          <w:color w:val="0F1115"/>
          <w:sz w:val="24"/>
          <w:szCs w:val="24"/>
        </w:rPr>
        <w:t>Climate change 2022: Impacts, adaptation and vulnerability</w:t>
      </w:r>
      <w:r>
        <w:rPr>
          <w:rFonts w:ascii="Times New Roman" w:eastAsia="Times New Roman" w:hAnsi="Times New Roman" w:cs="Times New Roman"/>
          <w:color w:val="0F1115"/>
          <w:sz w:val="24"/>
          <w:szCs w:val="24"/>
        </w:rPr>
        <w:t>. Cambridge University Press.</w:t>
      </w:r>
    </w:p>
    <w:p w14:paraId="5D560ACD"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proofErr w:type="spellStart"/>
      <w:r>
        <w:rPr>
          <w:rFonts w:ascii="Times New Roman" w:eastAsia="Times New Roman" w:hAnsi="Times New Roman" w:cs="Times New Roman"/>
          <w:color w:val="0F1115"/>
          <w:sz w:val="24"/>
          <w:szCs w:val="24"/>
        </w:rPr>
        <w:t>Karakara</w:t>
      </w:r>
      <w:proofErr w:type="spellEnd"/>
      <w:r>
        <w:rPr>
          <w:rFonts w:ascii="Times New Roman" w:eastAsia="Times New Roman" w:hAnsi="Times New Roman" w:cs="Times New Roman"/>
          <w:color w:val="0F1115"/>
          <w:sz w:val="24"/>
          <w:szCs w:val="24"/>
        </w:rPr>
        <w:t>, A. A.-W., Nunoo, J., &amp; Coffie, M. (2024). Gender, forms of land ownership and agriculture value chain participation: Empirical insights from smallholder farmers in Côte d'Ivoire and Nigeria. </w:t>
      </w:r>
      <w:r>
        <w:rPr>
          <w:rFonts w:ascii="Times New Roman" w:eastAsia="Times New Roman" w:hAnsi="Times New Roman" w:cs="Times New Roman"/>
          <w:i/>
          <w:iCs/>
          <w:color w:val="0F1115"/>
          <w:sz w:val="24"/>
          <w:szCs w:val="24"/>
        </w:rPr>
        <w:t>African Journal of Land Policy and Geospatial Sciences</w:t>
      </w:r>
      <w:r>
        <w:rPr>
          <w:rFonts w:ascii="Times New Roman" w:eastAsia="Times New Roman" w:hAnsi="Times New Roman" w:cs="Times New Roman"/>
          <w:color w:val="0F1115"/>
          <w:sz w:val="24"/>
          <w:szCs w:val="24"/>
        </w:rPr>
        <w:t>, 7(3), 775–793.</w:t>
      </w:r>
    </w:p>
    <w:p w14:paraId="48E943D2"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Krejcie, R. V., &amp; Morgan, D. W. (1970). Determining sample size for research activities. </w:t>
      </w:r>
      <w:r>
        <w:rPr>
          <w:rFonts w:ascii="Times New Roman" w:eastAsia="Times New Roman" w:hAnsi="Times New Roman" w:cs="Times New Roman"/>
          <w:i/>
          <w:iCs/>
          <w:color w:val="0F1115"/>
          <w:sz w:val="24"/>
          <w:szCs w:val="24"/>
        </w:rPr>
        <w:t>Educational and Psychological Measurement</w:t>
      </w:r>
      <w:r>
        <w:rPr>
          <w:rFonts w:ascii="Times New Roman" w:eastAsia="Times New Roman" w:hAnsi="Times New Roman" w:cs="Times New Roman"/>
          <w:color w:val="0F1115"/>
          <w:sz w:val="24"/>
          <w:szCs w:val="24"/>
        </w:rPr>
        <w:t>, 30(3), 607–610.</w:t>
      </w:r>
    </w:p>
    <w:p w14:paraId="37DBB7F7"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lastRenderedPageBreak/>
        <w:t>Langyintuo, A. (2020). Smallholder farmers' access to inputs and finance in Africa. In C. L. M. (Ed.), </w:t>
      </w:r>
      <w:r>
        <w:rPr>
          <w:rFonts w:ascii="Times New Roman" w:eastAsia="Times New Roman" w:hAnsi="Times New Roman" w:cs="Times New Roman"/>
          <w:i/>
          <w:iCs/>
          <w:color w:val="0F1115"/>
          <w:sz w:val="24"/>
          <w:szCs w:val="24"/>
        </w:rPr>
        <w:t>The role of smallholder farms in food and nutrition security</w:t>
      </w:r>
      <w:r>
        <w:rPr>
          <w:rFonts w:ascii="Times New Roman" w:eastAsia="Times New Roman" w:hAnsi="Times New Roman" w:cs="Times New Roman"/>
          <w:color w:val="0F1115"/>
          <w:sz w:val="24"/>
          <w:szCs w:val="24"/>
        </w:rPr>
        <w:t> (pp. 133–152). Springer.</w:t>
      </w:r>
    </w:p>
    <w:p w14:paraId="7C3E9B22"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proofErr w:type="spellStart"/>
      <w:r>
        <w:rPr>
          <w:rFonts w:ascii="Times New Roman" w:eastAsia="Times New Roman" w:hAnsi="Times New Roman" w:cs="Times New Roman"/>
          <w:color w:val="0F1115"/>
          <w:sz w:val="24"/>
          <w:szCs w:val="24"/>
        </w:rPr>
        <w:t>Lowder</w:t>
      </w:r>
      <w:proofErr w:type="spellEnd"/>
      <w:r>
        <w:rPr>
          <w:rFonts w:ascii="Times New Roman" w:eastAsia="Times New Roman" w:hAnsi="Times New Roman" w:cs="Times New Roman"/>
          <w:color w:val="0F1115"/>
          <w:sz w:val="24"/>
          <w:szCs w:val="24"/>
        </w:rPr>
        <w:t>, S. K., Skoet, J., &amp; Raney, T. (2016). The number, size, and distribution of farms, smallholder farms, and family farms worldwide. </w:t>
      </w:r>
      <w:r>
        <w:rPr>
          <w:rFonts w:ascii="Times New Roman" w:eastAsia="Times New Roman" w:hAnsi="Times New Roman" w:cs="Times New Roman"/>
          <w:i/>
          <w:iCs/>
          <w:color w:val="0F1115"/>
          <w:sz w:val="24"/>
          <w:szCs w:val="24"/>
        </w:rPr>
        <w:t>World Development</w:t>
      </w:r>
      <w:r>
        <w:rPr>
          <w:rFonts w:ascii="Times New Roman" w:eastAsia="Times New Roman" w:hAnsi="Times New Roman" w:cs="Times New Roman"/>
          <w:color w:val="0F1115"/>
          <w:sz w:val="24"/>
          <w:szCs w:val="24"/>
        </w:rPr>
        <w:t>, 87, 16–29.</w:t>
      </w:r>
    </w:p>
    <w:p w14:paraId="08D25966"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Mboumoue, E., &amp; Njomo, D. (2016). Potential contribution of renewables to the improvement of living conditions of poor rural households in developing countries: Cameroon's case study. </w:t>
      </w:r>
      <w:r>
        <w:rPr>
          <w:rFonts w:ascii="Times New Roman" w:eastAsia="Times New Roman" w:hAnsi="Times New Roman" w:cs="Times New Roman"/>
          <w:i/>
          <w:iCs/>
          <w:color w:val="0F1115"/>
          <w:sz w:val="24"/>
          <w:szCs w:val="24"/>
        </w:rPr>
        <w:t>Renewable and Sustainable Energy Reviews</w:t>
      </w:r>
      <w:r>
        <w:rPr>
          <w:rFonts w:ascii="Times New Roman" w:eastAsia="Times New Roman" w:hAnsi="Times New Roman" w:cs="Times New Roman"/>
          <w:color w:val="0F1115"/>
          <w:sz w:val="24"/>
          <w:szCs w:val="24"/>
        </w:rPr>
        <w:t>, 61, 266–279.</w:t>
      </w:r>
    </w:p>
    <w:p w14:paraId="08BC53C8" w14:textId="00BFFF73"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Moyo, S. (2016). Family farming in sub-Saharan Africa: Its contribution to agriculture, food security and rural development. </w:t>
      </w:r>
      <w:r>
        <w:rPr>
          <w:rFonts w:ascii="Times New Roman" w:eastAsia="Times New Roman" w:hAnsi="Times New Roman" w:cs="Times New Roman"/>
          <w:i/>
          <w:iCs/>
          <w:color w:val="0F1115"/>
          <w:sz w:val="24"/>
          <w:szCs w:val="24"/>
        </w:rPr>
        <w:t>African Journal of Agricultural Research</w:t>
      </w:r>
      <w:r>
        <w:rPr>
          <w:rFonts w:ascii="Times New Roman" w:eastAsia="Times New Roman" w:hAnsi="Times New Roman" w:cs="Times New Roman"/>
          <w:color w:val="0F1115"/>
          <w:sz w:val="24"/>
          <w:szCs w:val="24"/>
        </w:rPr>
        <w:t>, 11(45), 4562–4570.</w:t>
      </w:r>
    </w:p>
    <w:p w14:paraId="7B089517" w14:textId="77777777" w:rsidR="0087579F" w:rsidRPr="002202B2" w:rsidRDefault="0087579F" w:rsidP="0087579F">
      <w:pPr>
        <w:pStyle w:val="ds-markdown-paragraph"/>
        <w:shd w:val="clear" w:color="auto" w:fill="FFFFFF"/>
        <w:ind w:left="540" w:hanging="540"/>
        <w:jc w:val="both"/>
        <w:rPr>
          <w:color w:val="0F1115"/>
        </w:rPr>
      </w:pPr>
      <w:proofErr w:type="spellStart"/>
      <w:r w:rsidRPr="002202B2">
        <w:rPr>
          <w:color w:val="0F1115"/>
        </w:rPr>
        <w:t>Njong</w:t>
      </w:r>
      <w:proofErr w:type="spellEnd"/>
      <w:r w:rsidRPr="002202B2">
        <w:rPr>
          <w:color w:val="0F1115"/>
        </w:rPr>
        <w:t xml:space="preserve">, A. M., &amp; </w:t>
      </w:r>
      <w:proofErr w:type="spellStart"/>
      <w:r w:rsidRPr="002202B2">
        <w:rPr>
          <w:color w:val="0F1115"/>
        </w:rPr>
        <w:t>Ningaye</w:t>
      </w:r>
      <w:proofErr w:type="spellEnd"/>
      <w:r w:rsidRPr="002202B2">
        <w:rPr>
          <w:color w:val="0F1115"/>
        </w:rPr>
        <w:t>, P. (2020). Spatial distribution of poverty in Cameroon: A small area estimation approach. </w:t>
      </w:r>
      <w:proofErr w:type="spellStart"/>
      <w:r w:rsidRPr="002202B2">
        <w:rPr>
          <w:rStyle w:val="Emphasis"/>
          <w:color w:val="0F1115"/>
        </w:rPr>
        <w:t>GeoJournal</w:t>
      </w:r>
      <w:proofErr w:type="spellEnd"/>
      <w:r>
        <w:rPr>
          <w:color w:val="0F1115"/>
        </w:rPr>
        <w:t>, 85</w:t>
      </w:r>
      <w:r w:rsidRPr="002202B2">
        <w:rPr>
          <w:color w:val="0F1115"/>
        </w:rPr>
        <w:t xml:space="preserve">(4), 1023–1041.  </w:t>
      </w:r>
    </w:p>
    <w:p w14:paraId="134C7BE2" w14:textId="77777777" w:rsidR="0087579F" w:rsidRPr="002202B2" w:rsidRDefault="0087579F" w:rsidP="0087579F">
      <w:pPr>
        <w:pStyle w:val="ds-markdown-paragraph"/>
        <w:shd w:val="clear" w:color="auto" w:fill="FFFFFF"/>
        <w:ind w:left="540" w:hanging="540"/>
        <w:jc w:val="both"/>
        <w:rPr>
          <w:color w:val="0F1115"/>
        </w:rPr>
      </w:pPr>
      <w:proofErr w:type="spellStart"/>
      <w:r w:rsidRPr="002202B2">
        <w:rPr>
          <w:color w:val="0F1115"/>
        </w:rPr>
        <w:t>Nguefack-Tsague</w:t>
      </w:r>
      <w:proofErr w:type="spellEnd"/>
      <w:r w:rsidRPr="002202B2">
        <w:rPr>
          <w:color w:val="0F1115"/>
        </w:rPr>
        <w:t xml:space="preserve">, G., </w:t>
      </w:r>
      <w:proofErr w:type="spellStart"/>
      <w:r w:rsidRPr="002202B2">
        <w:rPr>
          <w:color w:val="0F1115"/>
        </w:rPr>
        <w:t>Fomba</w:t>
      </w:r>
      <w:proofErr w:type="spellEnd"/>
      <w:r w:rsidRPr="002202B2">
        <w:rPr>
          <w:color w:val="0F1115"/>
        </w:rPr>
        <w:t xml:space="preserve">, B. K., &amp; </w:t>
      </w:r>
      <w:proofErr w:type="spellStart"/>
      <w:r w:rsidRPr="002202B2">
        <w:rPr>
          <w:color w:val="0F1115"/>
        </w:rPr>
        <w:t>Nkwelle</w:t>
      </w:r>
      <w:proofErr w:type="spellEnd"/>
      <w:r w:rsidRPr="002202B2">
        <w:rPr>
          <w:color w:val="0F1115"/>
        </w:rPr>
        <w:t>, J. (2021). Multidimensional poverty in Cameroon: Trends, decompositions, and spatial patterns. </w:t>
      </w:r>
      <w:r w:rsidRPr="002202B2">
        <w:rPr>
          <w:rStyle w:val="Emphasis"/>
          <w:color w:val="0F1115"/>
        </w:rPr>
        <w:t>Social Indicators Research</w:t>
      </w:r>
      <w:r>
        <w:rPr>
          <w:color w:val="0F1115"/>
        </w:rPr>
        <w:t>, 156</w:t>
      </w:r>
      <w:r w:rsidRPr="002202B2">
        <w:rPr>
          <w:color w:val="0F1115"/>
        </w:rPr>
        <w:t xml:space="preserve">(1), 89–115.  </w:t>
      </w:r>
    </w:p>
    <w:p w14:paraId="3BE6DC33" w14:textId="0C985E08"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North, D. C. (2018). </w:t>
      </w:r>
      <w:r>
        <w:rPr>
          <w:rFonts w:ascii="Times New Roman" w:eastAsia="Times New Roman" w:hAnsi="Times New Roman" w:cs="Times New Roman"/>
          <w:i/>
          <w:iCs/>
          <w:color w:val="0F1115"/>
          <w:sz w:val="24"/>
          <w:szCs w:val="24"/>
        </w:rPr>
        <w:t>Institutions, institutional change and economic performance</w:t>
      </w:r>
      <w:r>
        <w:rPr>
          <w:rFonts w:ascii="Times New Roman" w:eastAsia="Times New Roman" w:hAnsi="Times New Roman" w:cs="Times New Roman"/>
          <w:color w:val="0F1115"/>
          <w:sz w:val="24"/>
          <w:szCs w:val="24"/>
        </w:rPr>
        <w:t>. Cambridge University Press.</w:t>
      </w:r>
    </w:p>
    <w:p w14:paraId="1072BF53" w14:textId="7E69FB7B" w:rsidR="00157720" w:rsidRPr="00F07899" w:rsidRDefault="00157720" w:rsidP="002E40C5">
      <w:pPr>
        <w:shd w:val="clear" w:color="auto" w:fill="FFFFFF"/>
        <w:spacing w:after="0" w:line="276" w:lineRule="auto"/>
        <w:ind w:left="810" w:hanging="810"/>
        <w:rPr>
          <w:rFonts w:ascii="Times New Roman" w:eastAsia="Times New Roman" w:hAnsi="Times New Roman" w:cs="Times New Roman"/>
          <w:color w:val="0F1115"/>
          <w:sz w:val="24"/>
          <w:szCs w:val="24"/>
        </w:rPr>
      </w:pPr>
      <w:r w:rsidRPr="001A27C8">
        <w:rPr>
          <w:rFonts w:ascii="Times New Roman" w:hAnsi="Times New Roman" w:cs="Times New Roman"/>
          <w:color w:val="0F1115"/>
          <w:sz w:val="24"/>
          <w:szCs w:val="24"/>
          <w:shd w:val="clear" w:color="auto" w:fill="FFFFFF"/>
        </w:rPr>
        <w:t>Patel, R. K., &amp; Singh, L. M. (2026). Agricultural labor force participation and food security in developing economies. </w:t>
      </w:r>
      <w:r w:rsidRPr="001A27C8">
        <w:rPr>
          <w:rStyle w:val="Emphasis"/>
          <w:rFonts w:ascii="Times New Roman" w:hAnsi="Times New Roman" w:cs="Times New Roman"/>
          <w:color w:val="0F1115"/>
          <w:sz w:val="24"/>
          <w:szCs w:val="24"/>
          <w:shd w:val="clear" w:color="auto" w:fill="FFFFFF"/>
        </w:rPr>
        <w:t>Journal of Rural Studies</w:t>
      </w:r>
      <w:r w:rsidRPr="001A27C8">
        <w:rPr>
          <w:rFonts w:ascii="Times New Roman" w:hAnsi="Times New Roman" w:cs="Times New Roman"/>
          <w:color w:val="0F1115"/>
          <w:sz w:val="24"/>
          <w:szCs w:val="24"/>
          <w:shd w:val="clear" w:color="auto" w:fill="FFFFFF"/>
        </w:rPr>
        <w:t>, 89(3), 112–128. </w:t>
      </w:r>
      <w:r w:rsidRPr="00F07899">
        <w:rPr>
          <w:rFonts w:ascii="Times New Roman" w:eastAsia="Times New Roman" w:hAnsi="Times New Roman" w:cs="Times New Roman"/>
          <w:color w:val="0F1115"/>
          <w:sz w:val="24"/>
          <w:szCs w:val="24"/>
        </w:rPr>
        <w:t xml:space="preserve"> </w:t>
      </w:r>
    </w:p>
    <w:p w14:paraId="229A6161"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Pingali, P., Khwaja, Y., &amp; Meijer, M. (2005). </w:t>
      </w:r>
      <w:r>
        <w:rPr>
          <w:rFonts w:ascii="Times New Roman" w:eastAsia="Times New Roman" w:hAnsi="Times New Roman" w:cs="Times New Roman"/>
          <w:i/>
          <w:iCs/>
          <w:color w:val="0F1115"/>
          <w:sz w:val="24"/>
          <w:szCs w:val="24"/>
        </w:rPr>
        <w:t>Commercializing small farms: Reducing transaction costs</w:t>
      </w:r>
      <w:r>
        <w:rPr>
          <w:rFonts w:ascii="Times New Roman" w:eastAsia="Times New Roman" w:hAnsi="Times New Roman" w:cs="Times New Roman"/>
          <w:color w:val="0F1115"/>
          <w:sz w:val="24"/>
          <w:szCs w:val="24"/>
        </w:rPr>
        <w:t>. World Bank Policy Brief.</w:t>
      </w:r>
    </w:p>
    <w:p w14:paraId="17967958"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Ravallion, M. (1994). </w:t>
      </w:r>
      <w:r>
        <w:rPr>
          <w:rFonts w:ascii="Times New Roman" w:eastAsia="Times New Roman" w:hAnsi="Times New Roman" w:cs="Times New Roman"/>
          <w:i/>
          <w:iCs/>
          <w:color w:val="0F1115"/>
          <w:sz w:val="24"/>
          <w:szCs w:val="24"/>
        </w:rPr>
        <w:t>Poverty comparisons</w:t>
      </w:r>
      <w:r>
        <w:rPr>
          <w:rFonts w:ascii="Times New Roman" w:eastAsia="Times New Roman" w:hAnsi="Times New Roman" w:cs="Times New Roman"/>
          <w:color w:val="0F1115"/>
          <w:sz w:val="24"/>
          <w:szCs w:val="24"/>
        </w:rPr>
        <w:t>. World Bank.</w:t>
      </w:r>
    </w:p>
    <w:p w14:paraId="02B9D3CE"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Timmer, C. P. (2015). </w:t>
      </w:r>
      <w:r>
        <w:rPr>
          <w:rFonts w:ascii="Times New Roman" w:eastAsia="Times New Roman" w:hAnsi="Times New Roman" w:cs="Times New Roman"/>
          <w:i/>
          <w:iCs/>
          <w:color w:val="0F1115"/>
          <w:sz w:val="24"/>
          <w:szCs w:val="24"/>
        </w:rPr>
        <w:t>Food security and scarcity: Why ending hunger is a hard sell</w:t>
      </w:r>
      <w:r>
        <w:rPr>
          <w:rFonts w:ascii="Times New Roman" w:eastAsia="Times New Roman" w:hAnsi="Times New Roman" w:cs="Times New Roman"/>
          <w:color w:val="0F1115"/>
          <w:sz w:val="24"/>
          <w:szCs w:val="24"/>
        </w:rPr>
        <w:t>. University of Pennsylvania Press.</w:t>
      </w:r>
    </w:p>
    <w:p w14:paraId="2DFF271B" w14:textId="77777777" w:rsidR="005D70C8" w:rsidRDefault="00FB6549">
      <w:pPr>
        <w:shd w:val="clear" w:color="auto" w:fill="FFFFFF"/>
        <w:spacing w:after="0" w:line="276"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UNDP (United Nations Development Programme). (2023). Human development report 2023/2024. UNDP.</w:t>
      </w:r>
    </w:p>
    <w:p w14:paraId="308C032A" w14:textId="77777777" w:rsidR="005D70C8" w:rsidRDefault="00FB6549">
      <w:pPr>
        <w:shd w:val="clear" w:color="auto" w:fill="FFFFFF"/>
        <w:spacing w:after="0" w:line="240"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Wooldridge, J. M. (2010). </w:t>
      </w:r>
      <w:r>
        <w:rPr>
          <w:rFonts w:ascii="Times New Roman" w:eastAsia="Times New Roman" w:hAnsi="Times New Roman" w:cs="Times New Roman"/>
          <w:i/>
          <w:iCs/>
          <w:color w:val="0F1115"/>
          <w:sz w:val="24"/>
          <w:szCs w:val="24"/>
        </w:rPr>
        <w:t>Econometric analysis of cross section and panel data</w:t>
      </w:r>
      <w:r>
        <w:rPr>
          <w:rFonts w:ascii="Times New Roman" w:eastAsia="Times New Roman" w:hAnsi="Times New Roman" w:cs="Times New Roman"/>
          <w:color w:val="0F1115"/>
          <w:sz w:val="24"/>
          <w:szCs w:val="24"/>
        </w:rPr>
        <w:t> (2nd ed.). MIT Press.</w:t>
      </w:r>
    </w:p>
    <w:p w14:paraId="06623043" w14:textId="77777777" w:rsidR="005D70C8" w:rsidRDefault="00FB6549">
      <w:pPr>
        <w:shd w:val="clear" w:color="auto" w:fill="FFFFFF"/>
        <w:spacing w:after="0" w:line="240"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World Bank. (2021). </w:t>
      </w:r>
      <w:r>
        <w:rPr>
          <w:rFonts w:ascii="Times New Roman" w:eastAsia="Times New Roman" w:hAnsi="Times New Roman" w:cs="Times New Roman"/>
          <w:i/>
          <w:iCs/>
          <w:color w:val="0F1115"/>
          <w:sz w:val="24"/>
          <w:szCs w:val="24"/>
        </w:rPr>
        <w:t>Cameroon poverty assessment: Pathways to accelerate poverty reduction</w:t>
      </w:r>
      <w:r>
        <w:rPr>
          <w:rFonts w:ascii="Times New Roman" w:eastAsia="Times New Roman" w:hAnsi="Times New Roman" w:cs="Times New Roman"/>
          <w:color w:val="0F1115"/>
          <w:sz w:val="24"/>
          <w:szCs w:val="24"/>
        </w:rPr>
        <w:t>. World Bank.</w:t>
      </w:r>
    </w:p>
    <w:p w14:paraId="7FE2312F" w14:textId="77777777" w:rsidR="005D70C8" w:rsidRDefault="00FB6549">
      <w:pPr>
        <w:shd w:val="clear" w:color="auto" w:fill="FFFFFF"/>
        <w:spacing w:before="240" w:after="240" w:line="240"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World Bank. (2022). </w:t>
      </w:r>
      <w:r>
        <w:rPr>
          <w:rFonts w:ascii="Times New Roman" w:eastAsia="Times New Roman" w:hAnsi="Times New Roman" w:cs="Times New Roman"/>
          <w:i/>
          <w:iCs/>
          <w:color w:val="0F1115"/>
          <w:sz w:val="24"/>
          <w:szCs w:val="24"/>
        </w:rPr>
        <w:t>Poverty and shared prosperity 2022: Correcting course</w:t>
      </w:r>
      <w:r>
        <w:rPr>
          <w:rFonts w:ascii="Times New Roman" w:eastAsia="Times New Roman" w:hAnsi="Times New Roman" w:cs="Times New Roman"/>
          <w:color w:val="0F1115"/>
          <w:sz w:val="24"/>
          <w:szCs w:val="24"/>
        </w:rPr>
        <w:t>. World Bank.</w:t>
      </w:r>
    </w:p>
    <w:p w14:paraId="2385D6C8" w14:textId="77777777" w:rsidR="005D70C8" w:rsidRDefault="00FB6549">
      <w:pPr>
        <w:shd w:val="clear" w:color="auto" w:fill="FFFFFF"/>
        <w:spacing w:before="240" w:after="240" w:line="240"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World Bank. (2023). </w:t>
      </w:r>
      <w:r>
        <w:rPr>
          <w:rFonts w:ascii="Times New Roman" w:eastAsia="Times New Roman" w:hAnsi="Times New Roman" w:cs="Times New Roman"/>
          <w:i/>
          <w:iCs/>
          <w:color w:val="0F1115"/>
          <w:sz w:val="24"/>
          <w:szCs w:val="24"/>
        </w:rPr>
        <w:t>Infrastructure for development: The role of infrastructure in poverty reduction</w:t>
      </w:r>
      <w:r>
        <w:rPr>
          <w:rFonts w:ascii="Times New Roman" w:eastAsia="Times New Roman" w:hAnsi="Times New Roman" w:cs="Times New Roman"/>
          <w:color w:val="0F1115"/>
          <w:sz w:val="24"/>
          <w:szCs w:val="24"/>
        </w:rPr>
        <w:t>. World Bank.</w:t>
      </w:r>
    </w:p>
    <w:p w14:paraId="608D7020" w14:textId="77777777" w:rsidR="005D70C8" w:rsidRDefault="00FB6549">
      <w:pPr>
        <w:shd w:val="clear" w:color="auto" w:fill="FFFFFF"/>
        <w:spacing w:before="240" w:after="240" w:line="240" w:lineRule="auto"/>
        <w:ind w:left="810" w:hanging="810"/>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World Bank. (2024). </w:t>
      </w:r>
      <w:r>
        <w:rPr>
          <w:rFonts w:ascii="Times New Roman" w:eastAsia="Times New Roman" w:hAnsi="Times New Roman" w:cs="Times New Roman"/>
          <w:i/>
          <w:iCs/>
          <w:color w:val="0F1115"/>
          <w:sz w:val="24"/>
          <w:szCs w:val="24"/>
        </w:rPr>
        <w:t>Poverty and inequality platform (PIP) global update</w:t>
      </w:r>
      <w:r>
        <w:rPr>
          <w:rFonts w:ascii="Times New Roman" w:eastAsia="Times New Roman" w:hAnsi="Times New Roman" w:cs="Times New Roman"/>
          <w:color w:val="0F1115"/>
          <w:sz w:val="24"/>
          <w:szCs w:val="24"/>
        </w:rPr>
        <w:t>. World Bank.</w:t>
      </w:r>
    </w:p>
    <w:p w14:paraId="2D1361AE" w14:textId="77777777" w:rsidR="005D70C8" w:rsidRDefault="005D70C8">
      <w:pPr>
        <w:spacing w:line="276" w:lineRule="auto"/>
        <w:ind w:left="810" w:hanging="810"/>
        <w:rPr>
          <w:rFonts w:ascii="Times New Roman" w:hAnsi="Times New Roman" w:cs="Times New Roman"/>
        </w:rPr>
      </w:pPr>
    </w:p>
    <w:p w14:paraId="5B9712D2" w14:textId="77777777" w:rsidR="005D70C8" w:rsidRDefault="005D70C8">
      <w:pPr>
        <w:spacing w:line="276" w:lineRule="auto"/>
        <w:ind w:left="810" w:hanging="810"/>
        <w:rPr>
          <w:rFonts w:ascii="Times New Roman" w:hAnsi="Times New Roman" w:cs="Times New Roman"/>
        </w:rPr>
      </w:pPr>
    </w:p>
    <w:p w14:paraId="4DB9EE7C" w14:textId="77777777" w:rsidR="005D70C8" w:rsidRDefault="00FB6549">
      <w:pPr>
        <w:rPr>
          <w:rFonts w:ascii="Times New Roman" w:hAnsi="Times New Roman" w:cs="Times New Roman"/>
          <w:sz w:val="24"/>
          <w:szCs w:val="24"/>
        </w:rPr>
      </w:pPr>
      <w:r>
        <w:rPr>
          <w:rFonts w:ascii="Times New Roman" w:hAnsi="Times New Roman" w:cs="Times New Roman"/>
          <w:sz w:val="24"/>
          <w:szCs w:val="24"/>
        </w:rPr>
        <w:lastRenderedPageBreak/>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end"/>
      </w:r>
    </w:p>
    <w:sectPr w:rsidR="005D70C8" w:rsidSect="00A908D8">
      <w:type w:val="continuous"/>
      <w:pgSz w:w="12240" w:h="15840"/>
      <w:pgMar w:top="450" w:right="1440" w:bottom="1440" w:left="1440" w:header="720" w:footer="720" w:gutter="0"/>
      <w:cols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68046" w14:textId="77777777" w:rsidR="004C625E" w:rsidRDefault="004C625E" w:rsidP="001D3A95">
      <w:pPr>
        <w:spacing w:after="0" w:line="240" w:lineRule="auto"/>
      </w:pPr>
      <w:r>
        <w:separator/>
      </w:r>
    </w:p>
  </w:endnote>
  <w:endnote w:type="continuationSeparator" w:id="0">
    <w:p w14:paraId="4CDB0F0C" w14:textId="77777777" w:rsidR="004C625E" w:rsidRDefault="004C625E" w:rsidP="001D3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92FA3" w14:textId="77777777" w:rsidR="001D3A95" w:rsidRDefault="001D3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9B8A3" w14:textId="77777777" w:rsidR="001D3A95" w:rsidRDefault="001D3A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FEA7C" w14:textId="77777777" w:rsidR="001D3A95" w:rsidRDefault="001D3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057AD" w14:textId="77777777" w:rsidR="004C625E" w:rsidRDefault="004C625E" w:rsidP="001D3A95">
      <w:pPr>
        <w:spacing w:after="0" w:line="240" w:lineRule="auto"/>
      </w:pPr>
      <w:r>
        <w:separator/>
      </w:r>
    </w:p>
  </w:footnote>
  <w:footnote w:type="continuationSeparator" w:id="0">
    <w:p w14:paraId="597A2E3D" w14:textId="77777777" w:rsidR="004C625E" w:rsidRDefault="004C625E" w:rsidP="001D3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00FF7" w14:textId="5635F063" w:rsidR="001D3A95" w:rsidRDefault="001D3A95">
    <w:pPr>
      <w:pStyle w:val="Header"/>
    </w:pPr>
    <w:r>
      <w:rPr>
        <w:noProof/>
      </w:rPr>
      <w:pict w14:anchorId="5B1BD7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5904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A8EFA" w14:textId="0C12126E" w:rsidR="001D3A95" w:rsidRDefault="001D3A95">
    <w:pPr>
      <w:pStyle w:val="Header"/>
    </w:pPr>
    <w:r>
      <w:rPr>
        <w:noProof/>
      </w:rPr>
      <w:pict w14:anchorId="6244FF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5904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ABFDE" w14:textId="50F2C21C" w:rsidR="001D3A95" w:rsidRDefault="001D3A95">
    <w:pPr>
      <w:pStyle w:val="Header"/>
    </w:pPr>
    <w:r>
      <w:rPr>
        <w:noProof/>
      </w:rPr>
      <w:pict w14:anchorId="4CF0E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5904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F82C01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BA00CCA"/>
    <w:multiLevelType w:val="hybridMultilevel"/>
    <w:tmpl w:val="3D9871B4"/>
    <w:lvl w:ilvl="0" w:tplc="8946A50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4C66F2"/>
    <w:multiLevelType w:val="hybridMultilevel"/>
    <w:tmpl w:val="289C4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0E7DF9"/>
    <w:multiLevelType w:val="hybridMultilevel"/>
    <w:tmpl w:val="1634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70C8"/>
    <w:rsid w:val="000B29FE"/>
    <w:rsid w:val="00131668"/>
    <w:rsid w:val="00157720"/>
    <w:rsid w:val="001A27C8"/>
    <w:rsid w:val="001D3A95"/>
    <w:rsid w:val="00211041"/>
    <w:rsid w:val="00270025"/>
    <w:rsid w:val="002C06FC"/>
    <w:rsid w:val="002E40C5"/>
    <w:rsid w:val="003A240A"/>
    <w:rsid w:val="003A7D99"/>
    <w:rsid w:val="003E242F"/>
    <w:rsid w:val="004C625E"/>
    <w:rsid w:val="005144B5"/>
    <w:rsid w:val="00515D0F"/>
    <w:rsid w:val="00554F2D"/>
    <w:rsid w:val="005C0B9D"/>
    <w:rsid w:val="005D70C8"/>
    <w:rsid w:val="005F0253"/>
    <w:rsid w:val="00621049"/>
    <w:rsid w:val="007977EA"/>
    <w:rsid w:val="0085785B"/>
    <w:rsid w:val="0087579F"/>
    <w:rsid w:val="008D371F"/>
    <w:rsid w:val="00995E1A"/>
    <w:rsid w:val="009A69F8"/>
    <w:rsid w:val="009D7921"/>
    <w:rsid w:val="009E5561"/>
    <w:rsid w:val="00A5490D"/>
    <w:rsid w:val="00A738E9"/>
    <w:rsid w:val="00A908D8"/>
    <w:rsid w:val="00AC105E"/>
    <w:rsid w:val="00C147A5"/>
    <w:rsid w:val="00C244DD"/>
    <w:rsid w:val="00C77B1D"/>
    <w:rsid w:val="00C8736D"/>
    <w:rsid w:val="00D06A02"/>
    <w:rsid w:val="00D831B2"/>
    <w:rsid w:val="00DA52AA"/>
    <w:rsid w:val="00E4649D"/>
    <w:rsid w:val="00E742F0"/>
    <w:rsid w:val="00EB37EE"/>
    <w:rsid w:val="00F07899"/>
    <w:rsid w:val="00F42AE2"/>
    <w:rsid w:val="00F652D7"/>
    <w:rsid w:val="00F965FB"/>
    <w:rsid w:val="00FB6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0D4204"/>
  <w15:docId w15:val="{DF0BE6E2-5800-4C84-9743-93F7E43F2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fr-FR" w:eastAsia="fr-FR"/>
    </w:rPr>
  </w:style>
  <w:style w:type="paragraph" w:styleId="Heading3">
    <w:name w:val="heading 3"/>
    <w:basedOn w:val="Normal"/>
    <w:next w:val="Normal"/>
    <w:link w:val="Heading3Char"/>
    <w:uiPriority w:val="9"/>
    <w:qFormat/>
    <w:pPr>
      <w:keepNext/>
      <w:keepLines/>
      <w:spacing w:before="40" w:after="0"/>
      <w:outlineLvl w:val="2"/>
    </w:pPr>
    <w:rPr>
      <w:rFonts w:ascii="Calibri Light" w:eastAsia="SimSun" w:hAnsi="Calibri Light"/>
      <w:color w:val="1F4D78"/>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pPr>
      <w:spacing w:after="0"/>
      <w:jc w:val="center"/>
    </w:pPr>
    <w:rPr>
      <w:rFonts w:cs="Calibri"/>
      <w:noProof/>
    </w:rPr>
  </w:style>
  <w:style w:type="character" w:customStyle="1" w:styleId="EndNoteBibliographyTitleChar">
    <w:name w:val="EndNote Bibliography Title Char"/>
    <w:basedOn w:val="DefaultParagraphFont"/>
    <w:link w:val="EndNoteBibliographyTitle"/>
    <w:rPr>
      <w:rFonts w:ascii="Calibri" w:hAnsi="Calibri" w:cs="Calibri"/>
      <w:noProof/>
    </w:rPr>
  </w:style>
  <w:style w:type="paragraph" w:customStyle="1" w:styleId="EndNoteBibliography">
    <w:name w:val="EndNote Bibliography"/>
    <w:basedOn w:val="Normal"/>
    <w:link w:val="EndNoteBibliographyChar"/>
    <w:pPr>
      <w:spacing w:line="240" w:lineRule="auto"/>
      <w:jc w:val="both"/>
    </w:pPr>
    <w:rPr>
      <w:rFonts w:cs="Calibri"/>
      <w:noProof/>
    </w:rPr>
  </w:style>
  <w:style w:type="character" w:customStyle="1" w:styleId="EndNoteBibliographyChar">
    <w:name w:val="EndNote Bibliography Char"/>
    <w:basedOn w:val="DefaultParagraphFont"/>
    <w:link w:val="EndNoteBibliography"/>
    <w:rPr>
      <w:rFonts w:ascii="Calibri" w:hAnsi="Calibri" w:cs="Calibri"/>
      <w:noProof/>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styleId="Strong">
    <w:name w:val="Strong"/>
    <w:basedOn w:val="DefaultParagraphFont"/>
    <w:uiPriority w:val="22"/>
    <w:qFormat/>
    <w:rPr>
      <w:b/>
      <w:bCs/>
    </w:rPr>
  </w:style>
  <w:style w:type="character" w:customStyle="1" w:styleId="vlist-s">
    <w:name w:val="vlist-s"/>
    <w:basedOn w:val="DefaultParagraphFont"/>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val="fr-FR" w:eastAsia="fr-FR"/>
    </w:rPr>
  </w:style>
  <w:style w:type="table" w:styleId="TableGrid">
    <w:name w:val="Table Grid"/>
    <w:basedOn w:val="TableNormal"/>
    <w:uiPriority w:val="39"/>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lang w:val="fr-FR"/>
    </w:rPr>
  </w:style>
  <w:style w:type="paragraph" w:customStyle="1" w:styleId="author">
    <w:name w:val="author"/>
    <w:basedOn w:val="Normal"/>
    <w:next w:val="Normal"/>
    <w:pPr>
      <w:overflowPunct w:val="0"/>
      <w:autoSpaceDE w:val="0"/>
      <w:autoSpaceDN w:val="0"/>
      <w:adjustRightInd w:val="0"/>
      <w:spacing w:after="200" w:line="220" w:lineRule="atLeast"/>
      <w:jc w:val="center"/>
      <w:textAlignment w:val="baseline"/>
    </w:pPr>
    <w:rPr>
      <w:rFonts w:ascii="Times New Roman" w:eastAsia="Times New Roman" w:hAnsi="Times New Roman" w:cs="Times New Roman"/>
      <w:sz w:val="20"/>
      <w:szCs w:val="20"/>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paragraph" w:customStyle="1" w:styleId="ds-markdown-paragraph">
    <w:name w:val="ds-markdown-paragraph"/>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FB6549"/>
    <w:rPr>
      <w:sz w:val="16"/>
      <w:szCs w:val="16"/>
    </w:rPr>
  </w:style>
  <w:style w:type="paragraph" w:styleId="CommentText">
    <w:name w:val="annotation text"/>
    <w:basedOn w:val="Normal"/>
    <w:link w:val="CommentTextChar"/>
    <w:uiPriority w:val="99"/>
    <w:semiHidden/>
    <w:unhideWhenUsed/>
    <w:rsid w:val="00FB6549"/>
    <w:pPr>
      <w:spacing w:line="240" w:lineRule="auto"/>
    </w:pPr>
    <w:rPr>
      <w:sz w:val="20"/>
      <w:szCs w:val="20"/>
    </w:rPr>
  </w:style>
  <w:style w:type="character" w:customStyle="1" w:styleId="CommentTextChar">
    <w:name w:val="Comment Text Char"/>
    <w:basedOn w:val="DefaultParagraphFont"/>
    <w:link w:val="CommentText"/>
    <w:uiPriority w:val="99"/>
    <w:semiHidden/>
    <w:rsid w:val="00FB6549"/>
    <w:rPr>
      <w:sz w:val="20"/>
      <w:szCs w:val="20"/>
    </w:rPr>
  </w:style>
  <w:style w:type="paragraph" w:styleId="CommentSubject">
    <w:name w:val="annotation subject"/>
    <w:basedOn w:val="CommentText"/>
    <w:next w:val="CommentText"/>
    <w:link w:val="CommentSubjectChar"/>
    <w:uiPriority w:val="99"/>
    <w:semiHidden/>
    <w:unhideWhenUsed/>
    <w:rsid w:val="00FB6549"/>
    <w:rPr>
      <w:b/>
      <w:bCs/>
    </w:rPr>
  </w:style>
  <w:style w:type="character" w:customStyle="1" w:styleId="CommentSubjectChar">
    <w:name w:val="Comment Subject Char"/>
    <w:basedOn w:val="CommentTextChar"/>
    <w:link w:val="CommentSubject"/>
    <w:uiPriority w:val="99"/>
    <w:semiHidden/>
    <w:rsid w:val="00FB6549"/>
    <w:rPr>
      <w:b/>
      <w:bCs/>
      <w:sz w:val="20"/>
      <w:szCs w:val="20"/>
    </w:rPr>
  </w:style>
  <w:style w:type="paragraph" w:styleId="BalloonText">
    <w:name w:val="Balloon Text"/>
    <w:basedOn w:val="Normal"/>
    <w:link w:val="BalloonTextChar"/>
    <w:uiPriority w:val="99"/>
    <w:semiHidden/>
    <w:unhideWhenUsed/>
    <w:rsid w:val="00FB6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549"/>
    <w:rPr>
      <w:rFonts w:ascii="Segoe UI" w:hAnsi="Segoe UI" w:cs="Segoe UI"/>
      <w:sz w:val="18"/>
      <w:szCs w:val="18"/>
    </w:rPr>
  </w:style>
  <w:style w:type="paragraph" w:styleId="Header">
    <w:name w:val="header"/>
    <w:basedOn w:val="Normal"/>
    <w:link w:val="HeaderChar"/>
    <w:uiPriority w:val="99"/>
    <w:unhideWhenUsed/>
    <w:rsid w:val="001D3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A95"/>
  </w:style>
  <w:style w:type="paragraph" w:styleId="Footer">
    <w:name w:val="footer"/>
    <w:basedOn w:val="Normal"/>
    <w:link w:val="FooterChar"/>
    <w:uiPriority w:val="99"/>
    <w:unhideWhenUsed/>
    <w:rsid w:val="001D3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D2588-EB31-4915-8383-7183AE064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6727</Words>
  <Characters>38350</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7</cp:revision>
  <cp:lastPrinted>2026-05-01T10:33:00Z</cp:lastPrinted>
  <dcterms:created xsi:type="dcterms:W3CDTF">2026-05-04T10:37:00Z</dcterms:created>
  <dcterms:modified xsi:type="dcterms:W3CDTF">2026-05-05T09:57:00Z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540be357b1204165905c19f31abbdc71</vt:lpwstr>
  </property>
</Properties>
</file>