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93E9" w14:textId="240FEEC9" w:rsidR="00754C9A" w:rsidRDefault="007C5CAC" w:rsidP="00441B6F">
      <w:pPr>
        <w:pStyle w:val="Title"/>
        <w:spacing w:after="0"/>
        <w:jc w:val="both"/>
        <w:rPr>
          <w:rFonts w:ascii="Arial" w:hAnsi="Arial" w:cs="Arial"/>
        </w:rPr>
      </w:pPr>
      <w:r w:rsidRPr="007C5CAC">
        <w:rPr>
          <w:rFonts w:ascii="Arial" w:hAnsi="Arial" w:cs="Arial"/>
        </w:rPr>
        <w:t>Original Research Article</w:t>
      </w:r>
    </w:p>
    <w:p w14:paraId="79E9979B" w14:textId="77777777" w:rsidR="007C5CAC" w:rsidRDefault="007C5CAC" w:rsidP="00441B6F">
      <w:pPr>
        <w:pStyle w:val="Title"/>
        <w:spacing w:after="0"/>
        <w:jc w:val="both"/>
        <w:rPr>
          <w:rFonts w:ascii="Arial" w:hAnsi="Arial" w:cs="Arial"/>
        </w:rPr>
      </w:pPr>
    </w:p>
    <w:p w14:paraId="69C9A168" w14:textId="77777777" w:rsidR="007C5CAC" w:rsidRDefault="007C5CAC" w:rsidP="00441B6F">
      <w:pPr>
        <w:pStyle w:val="Title"/>
        <w:spacing w:after="0"/>
        <w:jc w:val="both"/>
        <w:rPr>
          <w:rFonts w:ascii="Arial" w:hAnsi="Arial" w:cs="Arial"/>
        </w:rPr>
      </w:pPr>
    </w:p>
    <w:p w14:paraId="1C97A92B" w14:textId="102BD7DB" w:rsidR="004421E8" w:rsidRDefault="007F268F" w:rsidP="007F3EB3">
      <w:pPr>
        <w:pStyle w:val="Author"/>
        <w:spacing w:line="240" w:lineRule="auto"/>
        <w:rPr>
          <w:rFonts w:ascii="Arial" w:hAnsi="Arial" w:cs="Arial"/>
          <w:bCs/>
          <w:iCs/>
          <w:kern w:val="28"/>
          <w:sz w:val="36"/>
        </w:rPr>
      </w:pPr>
      <w:r w:rsidRPr="007F268F">
        <w:rPr>
          <w:rFonts w:ascii="Arial" w:hAnsi="Arial" w:cs="Arial"/>
          <w:bCs/>
          <w:iCs/>
          <w:kern w:val="28"/>
          <w:sz w:val="36"/>
        </w:rPr>
        <w:t xml:space="preserve">Efficiency and Input Use in Off-Season Cabbage Production: </w:t>
      </w:r>
      <w:r w:rsidR="00362EEA">
        <w:rPr>
          <w:rFonts w:ascii="Arial" w:hAnsi="Arial" w:cs="Arial"/>
          <w:bCs/>
          <w:iCs/>
          <w:kern w:val="28"/>
          <w:sz w:val="36"/>
        </w:rPr>
        <w:t xml:space="preserve">A </w:t>
      </w:r>
      <w:r w:rsidR="00362EEA" w:rsidRPr="00362EEA">
        <w:rPr>
          <w:rFonts w:ascii="Arial" w:hAnsi="Arial" w:cs="Arial"/>
          <w:bCs/>
          <w:iCs/>
          <w:kern w:val="28"/>
          <w:sz w:val="36"/>
        </w:rPr>
        <w:t>Multi-Approach Farm-Level Assessment</w:t>
      </w:r>
      <w:r w:rsidR="00362EEA">
        <w:rPr>
          <w:rFonts w:ascii="Arial" w:hAnsi="Arial" w:cs="Arial"/>
          <w:bCs/>
          <w:iCs/>
          <w:kern w:val="28"/>
          <w:sz w:val="36"/>
        </w:rPr>
        <w:t xml:space="preserve"> </w:t>
      </w:r>
    </w:p>
    <w:p w14:paraId="3933D7DA" w14:textId="77777777" w:rsidR="007F3EB3" w:rsidRPr="00EF7AC7" w:rsidRDefault="007F3EB3" w:rsidP="007F3EB3">
      <w:pPr>
        <w:pStyle w:val="Author"/>
        <w:spacing w:line="240" w:lineRule="auto"/>
        <w:rPr>
          <w:rFonts w:ascii="Arial" w:hAnsi="Arial" w:cs="Arial"/>
          <w:bCs/>
          <w:iCs/>
          <w:kern w:val="28"/>
          <w:sz w:val="36"/>
        </w:rPr>
      </w:pPr>
    </w:p>
    <w:p w14:paraId="0F589468" w14:textId="77777777" w:rsidR="00FF63FC" w:rsidRPr="00FB3A86" w:rsidRDefault="00FF63FC" w:rsidP="00FF63FC">
      <w:pPr>
        <w:pStyle w:val="Affiliation"/>
        <w:spacing w:after="0" w:line="240" w:lineRule="auto"/>
        <w:jc w:val="both"/>
        <w:rPr>
          <w:rFonts w:ascii="Arial" w:hAnsi="Arial" w:cs="Arial"/>
        </w:rPr>
      </w:pPr>
    </w:p>
    <w:p w14:paraId="74722E80" w14:textId="77777777" w:rsidR="002C57D2" w:rsidRPr="00FB3A86" w:rsidRDefault="002C57D2" w:rsidP="00441B6F">
      <w:pPr>
        <w:pStyle w:val="Affiliation"/>
        <w:spacing w:after="0" w:line="240" w:lineRule="auto"/>
        <w:jc w:val="both"/>
        <w:rPr>
          <w:rFonts w:ascii="Arial" w:hAnsi="Arial" w:cs="Arial"/>
        </w:rPr>
      </w:pPr>
    </w:p>
    <w:p w14:paraId="29183115" w14:textId="77777777" w:rsidR="00B01FCD" w:rsidRPr="00FB3A86" w:rsidRDefault="009A70D3" w:rsidP="00441B6F">
      <w:pPr>
        <w:pStyle w:val="Copyright"/>
        <w:spacing w:after="0" w:line="240" w:lineRule="auto"/>
        <w:jc w:val="both"/>
        <w:rPr>
          <w:rFonts w:ascii="Arial" w:hAnsi="Arial" w:cs="Arial"/>
        </w:rPr>
        <w:sectPr w:rsidR="00B01FCD" w:rsidRPr="00FB3A86" w:rsidSect="00BB7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1FB2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32848C" w14:textId="09F36C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13B4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B651CC" w14:textId="77777777" w:rsidTr="001E44FE">
        <w:tc>
          <w:tcPr>
            <w:tcW w:w="9576" w:type="dxa"/>
            <w:shd w:val="clear" w:color="auto" w:fill="F2F2F2"/>
          </w:tcPr>
          <w:p w14:paraId="58B10F3C" w14:textId="77777777" w:rsidR="00330A4C" w:rsidRDefault="003F063D" w:rsidP="003F063D">
            <w:pPr>
              <w:pStyle w:val="Body"/>
              <w:spacing w:after="0"/>
              <w:rPr>
                <w:rFonts w:ascii="Arial" w:eastAsia="Calibri" w:hAnsi="Arial" w:cs="Arial"/>
                <w:szCs w:val="22"/>
              </w:rPr>
            </w:pPr>
            <w:r w:rsidRPr="003F063D">
              <w:rPr>
                <w:rFonts w:ascii="Arial" w:eastAsia="Calibri" w:hAnsi="Arial" w:cs="Arial"/>
                <w:b/>
                <w:bCs/>
                <w:szCs w:val="22"/>
                <w:lang w:val="en-IN"/>
              </w:rPr>
              <w:t>Background:</w:t>
            </w:r>
            <w:r w:rsidRPr="003F063D">
              <w:rPr>
                <w:rFonts w:ascii="Arial" w:eastAsia="Calibri" w:hAnsi="Arial" w:cs="Arial"/>
                <w:szCs w:val="22"/>
                <w:lang w:val="en-IN"/>
              </w:rPr>
              <w:t xml:space="preserve"> </w:t>
            </w:r>
            <w:r w:rsidR="00330A4C" w:rsidRPr="00330A4C">
              <w:rPr>
                <w:rFonts w:ascii="Arial" w:eastAsia="Calibri" w:hAnsi="Arial" w:cs="Arial"/>
                <w:szCs w:val="22"/>
              </w:rPr>
              <w:t>Efficient utilization of agricultural inputs is fundamental to improving farm productivity and economic performance in crop production systems. In input-intensive crops such as cabbage, the profitability of cultivation depends not only on the level of input use but also on their optimal allocation. Imbalances in the use of key inputs, particularly fertilizers and plant protection chemicals, can lead to diminishing returns and increased production costs, thereby reducing overall efficiency. Such inefficiencies are of particular concern in off-season vegetable production, where higher input intensity and market-driven incentives amplify the economic consequences of suboptimal resource use.</w:t>
            </w:r>
          </w:p>
          <w:p w14:paraId="7457BD38" w14:textId="1714E8A0"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Aims</w:t>
            </w:r>
            <w:r w:rsidRPr="003F063D">
              <w:rPr>
                <w:rFonts w:ascii="Arial" w:eastAsia="Calibri" w:hAnsi="Arial" w:cs="Arial"/>
                <w:szCs w:val="22"/>
                <w:lang w:val="en-IN"/>
              </w:rPr>
              <w:t xml:space="preserve">: The study was undertaken to </w:t>
            </w:r>
            <w:proofErr w:type="spellStart"/>
            <w:r w:rsidRPr="003F063D">
              <w:rPr>
                <w:rFonts w:ascii="Arial" w:eastAsia="Calibri" w:hAnsi="Arial" w:cs="Arial"/>
                <w:szCs w:val="22"/>
                <w:lang w:val="en-IN"/>
              </w:rPr>
              <w:t>analy</w:t>
            </w:r>
            <w:r>
              <w:rPr>
                <w:rFonts w:ascii="Arial" w:eastAsia="Calibri" w:hAnsi="Arial" w:cs="Arial"/>
                <w:szCs w:val="22"/>
                <w:lang w:val="en-IN"/>
              </w:rPr>
              <w:t>z</w:t>
            </w:r>
            <w:r w:rsidRPr="003F063D">
              <w:rPr>
                <w:rFonts w:ascii="Arial" w:eastAsia="Calibri" w:hAnsi="Arial" w:cs="Arial"/>
                <w:szCs w:val="22"/>
                <w:lang w:val="en-IN"/>
              </w:rPr>
              <w:t>e</w:t>
            </w:r>
            <w:proofErr w:type="spellEnd"/>
            <w:r w:rsidRPr="003F063D">
              <w:rPr>
                <w:rFonts w:ascii="Arial" w:eastAsia="Calibri" w:hAnsi="Arial" w:cs="Arial"/>
                <w:szCs w:val="22"/>
                <w:lang w:val="en-IN"/>
              </w:rPr>
              <w:t xml:space="preserve"> allocative and technical efficiency and their implications for sustainable resource use in </w:t>
            </w:r>
            <w:r w:rsidR="00FE6BD3">
              <w:rPr>
                <w:rFonts w:ascii="Arial" w:eastAsia="Calibri" w:hAnsi="Arial" w:cs="Arial"/>
                <w:szCs w:val="22"/>
                <w:lang w:val="en-IN"/>
              </w:rPr>
              <w:t xml:space="preserve">off-season </w:t>
            </w:r>
            <w:r w:rsidRPr="003F063D">
              <w:rPr>
                <w:rFonts w:ascii="Arial" w:eastAsia="Calibri" w:hAnsi="Arial" w:cs="Arial"/>
                <w:szCs w:val="22"/>
                <w:lang w:val="en-IN"/>
              </w:rPr>
              <w:t>cabbage farming.</w:t>
            </w:r>
          </w:p>
          <w:p w14:paraId="65030899" w14:textId="13749951"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Study Design</w:t>
            </w:r>
            <w:r w:rsidRPr="003F063D">
              <w:rPr>
                <w:rFonts w:ascii="Arial" w:eastAsia="Calibri" w:hAnsi="Arial" w:cs="Arial"/>
                <w:szCs w:val="22"/>
                <w:lang w:val="en-IN"/>
              </w:rPr>
              <w:t>: A farm-level study based on primary data collected through simple random sampling</w:t>
            </w:r>
            <w:r w:rsidR="00BC0DCC">
              <w:rPr>
                <w:rFonts w:ascii="Arial" w:eastAsia="Calibri" w:hAnsi="Arial" w:cs="Arial"/>
                <w:szCs w:val="22"/>
                <w:lang w:val="en-IN"/>
              </w:rPr>
              <w:t xml:space="preserve"> with proportional allocation.</w:t>
            </w:r>
          </w:p>
          <w:p w14:paraId="406DCE24" w14:textId="2AC0CC61"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Methodology:</w:t>
            </w:r>
            <w:r w:rsidRPr="003F063D">
              <w:rPr>
                <w:rFonts w:ascii="Arial" w:eastAsia="Calibri" w:hAnsi="Arial" w:cs="Arial"/>
                <w:szCs w:val="22"/>
                <w:lang w:val="en-IN"/>
              </w:rPr>
              <w:t xml:space="preserve"> The study was conducted using data from 80 </w:t>
            </w:r>
            <w:r w:rsidR="00BC0DCC">
              <w:rPr>
                <w:rFonts w:ascii="Arial" w:eastAsia="Calibri" w:hAnsi="Arial" w:cs="Arial"/>
                <w:szCs w:val="22"/>
                <w:lang w:val="en-IN"/>
              </w:rPr>
              <w:t xml:space="preserve">off-season </w:t>
            </w:r>
            <w:r w:rsidRPr="003F063D">
              <w:rPr>
                <w:rFonts w:ascii="Arial" w:eastAsia="Calibri" w:hAnsi="Arial" w:cs="Arial"/>
                <w:szCs w:val="22"/>
                <w:lang w:val="en-IN"/>
              </w:rPr>
              <w:t>cabbage farmers. Cobb–Douglas production function was employed to estimate allocative efficiency, while stochastic frontier analysis (SFA) was used to estimate technical efficiency. A Tobit regression model was applied to identify the influence of socio-economic factors on technical efficiency.</w:t>
            </w:r>
          </w:p>
          <w:p w14:paraId="4F8A1EE2" w14:textId="77777777" w:rsidR="003F063D" w:rsidRPr="003F063D" w:rsidRDefault="003F063D" w:rsidP="003F063D">
            <w:pPr>
              <w:pStyle w:val="Body"/>
              <w:spacing w:after="0"/>
              <w:rPr>
                <w:rFonts w:ascii="Arial" w:eastAsia="Calibri" w:hAnsi="Arial" w:cs="Arial"/>
                <w:szCs w:val="22"/>
                <w:lang w:val="en-IN"/>
              </w:rPr>
            </w:pPr>
            <w:r w:rsidRPr="003F063D">
              <w:rPr>
                <w:rFonts w:ascii="Arial" w:eastAsia="Calibri" w:hAnsi="Arial" w:cs="Arial"/>
                <w:b/>
                <w:bCs/>
                <w:szCs w:val="22"/>
                <w:lang w:val="en-IN"/>
              </w:rPr>
              <w:t>Results:</w:t>
            </w:r>
            <w:r w:rsidRPr="003F063D">
              <w:rPr>
                <w:rFonts w:ascii="Arial" w:eastAsia="Calibri" w:hAnsi="Arial" w:cs="Arial"/>
                <w:szCs w:val="22"/>
                <w:lang w:val="en-IN"/>
              </w:rPr>
              <w:t xml:space="preserve"> The results revealed the presence of allocative inefficiency, with several inputs being either overutilized or underutilized based on MVP–MFC ratios. The mean technical efficiency was estimated at 97.5 per cent, indicating that farmers operate close to the production frontier. The Tobit model showed that socio-economic variables such as age, farm size, and labour availability were not statistically significant.</w:t>
            </w:r>
          </w:p>
          <w:p w14:paraId="420D8EF9" w14:textId="58263C69" w:rsidR="00E3114E" w:rsidRPr="003F063D" w:rsidRDefault="003F063D" w:rsidP="00441B6F">
            <w:pPr>
              <w:pStyle w:val="Body"/>
              <w:spacing w:after="0"/>
              <w:rPr>
                <w:rFonts w:ascii="Arial" w:eastAsia="Calibri" w:hAnsi="Arial" w:cs="Arial"/>
                <w:szCs w:val="22"/>
                <w:lang w:val="en-IN"/>
              </w:rPr>
            </w:pPr>
            <w:r w:rsidRPr="003F063D">
              <w:rPr>
                <w:rFonts w:ascii="Arial" w:eastAsia="Calibri" w:hAnsi="Arial" w:cs="Arial"/>
                <w:b/>
                <w:bCs/>
                <w:szCs w:val="22"/>
                <w:lang w:val="en-IN"/>
              </w:rPr>
              <w:t>Conclusion:</w:t>
            </w:r>
            <w:r w:rsidRPr="003F063D">
              <w:rPr>
                <w:rFonts w:ascii="Arial" w:eastAsia="Calibri" w:hAnsi="Arial" w:cs="Arial"/>
                <w:szCs w:val="22"/>
                <w:lang w:val="en-IN"/>
              </w:rPr>
              <w:t xml:space="preserve"> The study concludes that improving allocative efficiency can enhance farm profitability and reduce excessive input use, thereby promoting sustainable agricultural practices in cabbage cultivation</w:t>
            </w:r>
            <w:r w:rsidR="00E3114E" w:rsidRPr="00E3114E">
              <w:rPr>
                <w:rFonts w:ascii="Arial" w:eastAsia="Calibri" w:hAnsi="Arial" w:cs="Arial"/>
                <w:szCs w:val="22"/>
              </w:rPr>
              <w:t>.</w:t>
            </w:r>
          </w:p>
          <w:p w14:paraId="58A421EC" w14:textId="3DF2F7CB" w:rsidR="00505F06" w:rsidRPr="00BA1B01" w:rsidRDefault="00505F06" w:rsidP="003F063D">
            <w:pPr>
              <w:pStyle w:val="Body"/>
              <w:spacing w:after="0"/>
              <w:rPr>
                <w:rFonts w:ascii="Arial" w:eastAsia="Calibri" w:hAnsi="Arial" w:cs="Arial"/>
                <w:szCs w:val="22"/>
              </w:rPr>
            </w:pPr>
          </w:p>
        </w:tc>
      </w:tr>
    </w:tbl>
    <w:p w14:paraId="0C6CCAA4" w14:textId="77777777" w:rsidR="00636EB2" w:rsidRDefault="00636EB2" w:rsidP="00441B6F">
      <w:pPr>
        <w:pStyle w:val="Body"/>
        <w:spacing w:after="0"/>
        <w:rPr>
          <w:rFonts w:ascii="Arial" w:hAnsi="Arial" w:cs="Arial"/>
          <w:i/>
        </w:rPr>
      </w:pPr>
    </w:p>
    <w:p w14:paraId="44A6ACA7" w14:textId="360B936D" w:rsidR="00A24E7E" w:rsidRPr="00132929" w:rsidRDefault="00A24E7E" w:rsidP="00441B6F">
      <w:pPr>
        <w:pStyle w:val="Body"/>
        <w:spacing w:after="0"/>
        <w:rPr>
          <w:rFonts w:ascii="Arial" w:hAnsi="Arial" w:cs="Arial"/>
          <w:b/>
          <w:bCs/>
          <w:i/>
        </w:rPr>
      </w:pPr>
      <w:r w:rsidRPr="00132929">
        <w:rPr>
          <w:rFonts w:ascii="Arial" w:hAnsi="Arial" w:cs="Arial"/>
          <w:b/>
          <w:bCs/>
          <w:i/>
        </w:rPr>
        <w:t>Keywords:</w:t>
      </w:r>
      <w:r w:rsidR="00F53BB8" w:rsidRPr="00132929">
        <w:rPr>
          <w:rFonts w:ascii="Arial" w:hAnsi="Arial" w:cs="Arial"/>
          <w:b/>
          <w:bCs/>
          <w:i/>
        </w:rPr>
        <w:t xml:space="preserve"> Stochastic Frontier Analysis, Technical Efficiency, Cobb–Douglas Production Function, Vegetable Production, Efficiency Determinants, Farm Productivity</w:t>
      </w:r>
      <w:r w:rsidRPr="00132929">
        <w:rPr>
          <w:rFonts w:ascii="Arial" w:hAnsi="Arial" w:cs="Arial"/>
          <w:b/>
          <w:bCs/>
          <w:i/>
        </w:rPr>
        <w:t xml:space="preserve"> </w:t>
      </w:r>
    </w:p>
    <w:p w14:paraId="715156D6" w14:textId="45B89025" w:rsidR="00B52896" w:rsidRPr="00132929" w:rsidRDefault="00B52896" w:rsidP="00F53BB8">
      <w:pPr>
        <w:pStyle w:val="Body"/>
        <w:spacing w:after="0"/>
        <w:rPr>
          <w:rFonts w:ascii="Arial" w:hAnsi="Arial" w:cs="Arial"/>
          <w:b/>
          <w:bCs/>
          <w:i/>
        </w:rPr>
      </w:pPr>
    </w:p>
    <w:p w14:paraId="59A1D1F9" w14:textId="77777777" w:rsidR="00505F06" w:rsidRPr="00A24E7E" w:rsidRDefault="00505F06" w:rsidP="00441B6F">
      <w:pPr>
        <w:pStyle w:val="Body"/>
        <w:spacing w:after="0"/>
        <w:rPr>
          <w:rFonts w:ascii="Arial" w:hAnsi="Arial" w:cs="Arial"/>
          <w:i/>
        </w:rPr>
      </w:pPr>
    </w:p>
    <w:p w14:paraId="757969DA" w14:textId="5F9D3E85" w:rsidR="006576C1" w:rsidRPr="006576C1" w:rsidRDefault="00B01FCD" w:rsidP="00FC6488">
      <w:pPr>
        <w:pStyle w:val="AbstHead"/>
        <w:numPr>
          <w:ilvl w:val="0"/>
          <w:numId w:val="49"/>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345AB69F" w14:textId="77777777" w:rsidR="00790ADA" w:rsidRPr="00FB3A86" w:rsidRDefault="00790ADA" w:rsidP="00441B6F">
      <w:pPr>
        <w:pStyle w:val="AbstHead"/>
        <w:spacing w:after="0"/>
        <w:jc w:val="both"/>
        <w:rPr>
          <w:rFonts w:ascii="Arial" w:hAnsi="Arial" w:cs="Arial"/>
        </w:rPr>
      </w:pPr>
    </w:p>
    <w:p w14:paraId="3AF7FAC1" w14:textId="723B1E8D" w:rsidR="001679FF" w:rsidRDefault="006576C1" w:rsidP="001679FF">
      <w:pPr>
        <w:pStyle w:val="Body"/>
        <w:spacing w:after="0"/>
        <w:rPr>
          <w:rFonts w:ascii="Arial" w:hAnsi="Arial" w:cs="Arial"/>
          <w:lang w:val="en-IN"/>
        </w:rPr>
      </w:pPr>
      <w:r w:rsidRPr="006576C1">
        <w:rPr>
          <w:rFonts w:ascii="Arial" w:hAnsi="Arial" w:cs="Arial"/>
          <w:lang w:val="en-IN"/>
        </w:rPr>
        <w:t xml:space="preserve">Horticulture is widely recognized as a high-value agricultural enterprise that contributes significantly to income generation, employment creation, and nutritional security in developing economies. Compared to cereal-based farming systems, horticultural production provides higher returns per unit area and is more labour intensive, making it a key driver of agricultural diversification and rural livelihood improvement </w:t>
      </w:r>
      <w:r w:rsidR="000968E4">
        <w:rPr>
          <w:rFonts w:ascii="Arial" w:hAnsi="Arial" w:cs="Arial"/>
          <w:lang w:val="en-IN"/>
        </w:rPr>
        <w:t xml:space="preserve">(Chadha </w:t>
      </w:r>
      <w:r w:rsidR="00DB3EC3">
        <w:rPr>
          <w:rFonts w:ascii="Arial" w:hAnsi="Arial" w:cs="Arial"/>
          <w:lang w:val="en-IN"/>
        </w:rPr>
        <w:t>&amp; Pareek,1993).</w:t>
      </w:r>
      <w:r w:rsidR="001679FF" w:rsidRPr="001679FF">
        <w:rPr>
          <w:rFonts w:ascii="Arial" w:hAnsi="Arial" w:cs="Arial"/>
          <w:lang w:val="en-IN"/>
        </w:rPr>
        <w:t xml:space="preserve"> </w:t>
      </w:r>
      <w:r w:rsidR="001679FF" w:rsidRPr="006576C1">
        <w:rPr>
          <w:rFonts w:ascii="Arial" w:hAnsi="Arial" w:cs="Arial"/>
          <w:lang w:val="en-IN"/>
        </w:rPr>
        <w:t xml:space="preserve">A key issue in agricultural production systems is the persistent variation in output among farms operating under similar </w:t>
      </w:r>
      <w:proofErr w:type="spellStart"/>
      <w:r w:rsidR="001679FF" w:rsidRPr="006576C1">
        <w:rPr>
          <w:rFonts w:ascii="Arial" w:hAnsi="Arial" w:cs="Arial"/>
          <w:lang w:val="en-IN"/>
        </w:rPr>
        <w:t>agro</w:t>
      </w:r>
      <w:proofErr w:type="spellEnd"/>
      <w:r w:rsidR="001679FF" w:rsidRPr="006576C1">
        <w:rPr>
          <w:rFonts w:ascii="Arial" w:hAnsi="Arial" w:cs="Arial"/>
          <w:lang w:val="en-IN"/>
        </w:rPr>
        <w:t xml:space="preserve">-climatic conditions. Such differences arise not only from resource availability but also from differences in managerial ability and efficiency in resource utilization. The concept of technical efficiency has therefore become central in agricultural economics, as it measures the ability of a farm to obtain maximum output from a given set of inputs </w:t>
      </w:r>
      <w:r w:rsidR="001679FF">
        <w:rPr>
          <w:rFonts w:ascii="Arial" w:hAnsi="Arial" w:cs="Arial"/>
          <w:lang w:val="en-IN"/>
        </w:rPr>
        <w:t>(Aigner et al.,1977).</w:t>
      </w:r>
    </w:p>
    <w:p w14:paraId="744D9EEF" w14:textId="77777777" w:rsidR="001679FF" w:rsidRPr="006576C1" w:rsidRDefault="001679FF" w:rsidP="006576C1">
      <w:pPr>
        <w:pStyle w:val="Body"/>
        <w:spacing w:after="0"/>
        <w:rPr>
          <w:rFonts w:ascii="Arial" w:hAnsi="Arial" w:cs="Arial"/>
          <w:lang w:val="en-IN"/>
        </w:rPr>
      </w:pPr>
    </w:p>
    <w:p w14:paraId="6108A1FC" w14:textId="4F01F5B4" w:rsidR="006576C1" w:rsidRDefault="006576C1" w:rsidP="006576C1">
      <w:pPr>
        <w:pStyle w:val="Body"/>
        <w:spacing w:after="0"/>
        <w:rPr>
          <w:rFonts w:ascii="Arial" w:hAnsi="Arial" w:cs="Arial"/>
          <w:lang w:val="en-IN"/>
        </w:rPr>
      </w:pPr>
      <w:r w:rsidRPr="006576C1">
        <w:rPr>
          <w:rFonts w:ascii="Arial" w:hAnsi="Arial" w:cs="Arial"/>
          <w:lang w:val="en-IN"/>
        </w:rPr>
        <w:t xml:space="preserve">The development of stochastic frontier analysis (SFA) provided a rigorous framework for measuring efficiency by separating random shocks from inefficiency effects. This approach allows researchers to better understand production performance under real-world conditions where agriculture is influenced by both controllable and uncontrollable factors. The foundational work of stochastic frontier </w:t>
      </w:r>
      <w:proofErr w:type="spellStart"/>
      <w:r w:rsidRPr="006576C1">
        <w:rPr>
          <w:rFonts w:ascii="Arial" w:hAnsi="Arial" w:cs="Arial"/>
          <w:lang w:val="en-IN"/>
        </w:rPr>
        <w:t>modeling</w:t>
      </w:r>
      <w:proofErr w:type="spellEnd"/>
      <w:r w:rsidRPr="006576C1">
        <w:rPr>
          <w:rFonts w:ascii="Arial" w:hAnsi="Arial" w:cs="Arial"/>
          <w:lang w:val="en-IN"/>
        </w:rPr>
        <w:t xml:space="preserve"> established the theoretical basis for empirical efficiency measurement in production systems</w:t>
      </w:r>
      <w:r w:rsidR="001679FF">
        <w:rPr>
          <w:rFonts w:ascii="Arial" w:hAnsi="Arial" w:cs="Arial"/>
          <w:lang w:val="en-IN"/>
        </w:rPr>
        <w:t xml:space="preserve"> (Meeusen et al.,1977).</w:t>
      </w:r>
      <w:r w:rsidRPr="006576C1">
        <w:rPr>
          <w:rFonts w:ascii="Arial" w:hAnsi="Arial" w:cs="Arial"/>
          <w:lang w:val="en-IN"/>
        </w:rPr>
        <w:t xml:space="preserve"> Further refinement of the model allowed inefficiency effects to be expressed as a function of farm-specific characteristics, enabling deeper analysis of productivity differences across farms </w:t>
      </w:r>
      <w:r w:rsidR="001679FF">
        <w:rPr>
          <w:rFonts w:ascii="Arial" w:hAnsi="Arial" w:cs="Arial"/>
          <w:lang w:val="en-IN"/>
        </w:rPr>
        <w:t>(</w:t>
      </w:r>
      <w:proofErr w:type="spellStart"/>
      <w:r w:rsidR="001679FF">
        <w:rPr>
          <w:rFonts w:ascii="Arial" w:hAnsi="Arial" w:cs="Arial"/>
          <w:lang w:val="en-IN"/>
        </w:rPr>
        <w:t>Battese</w:t>
      </w:r>
      <w:proofErr w:type="spellEnd"/>
      <w:r w:rsidR="001679FF">
        <w:rPr>
          <w:rFonts w:ascii="Arial" w:hAnsi="Arial" w:cs="Arial"/>
          <w:lang w:val="en-IN"/>
        </w:rPr>
        <w:t xml:space="preserve"> et al.,1995).</w:t>
      </w:r>
      <w:r w:rsidR="00131D54">
        <w:rPr>
          <w:rFonts w:ascii="Arial" w:hAnsi="Arial" w:cs="Arial"/>
          <w:lang w:val="en-IN"/>
        </w:rPr>
        <w:t xml:space="preserve"> </w:t>
      </w:r>
      <w:r w:rsidRPr="006576C1">
        <w:rPr>
          <w:rFonts w:ascii="Arial" w:hAnsi="Arial" w:cs="Arial"/>
          <w:lang w:val="en-IN"/>
        </w:rPr>
        <w:t xml:space="preserve">In India, horticulture has expanded significantly, but regional disparities in productivity continue due to differences in technology adoption, infrastructure, and resource use efficiency. Official statistics indicate that horticultural development is uneven across states, and a significant portion of production potential remains underutilized despite favourable </w:t>
      </w:r>
      <w:proofErr w:type="spellStart"/>
      <w:r w:rsidRPr="006576C1">
        <w:rPr>
          <w:rFonts w:ascii="Arial" w:hAnsi="Arial" w:cs="Arial"/>
          <w:lang w:val="en-IN"/>
        </w:rPr>
        <w:t>agro</w:t>
      </w:r>
      <w:proofErr w:type="spellEnd"/>
      <w:r w:rsidRPr="006576C1">
        <w:rPr>
          <w:rFonts w:ascii="Arial" w:hAnsi="Arial" w:cs="Arial"/>
          <w:lang w:val="en-IN"/>
        </w:rPr>
        <w:t xml:space="preserve">-climatic conditions </w:t>
      </w:r>
      <w:r w:rsidR="001679FF">
        <w:rPr>
          <w:rFonts w:ascii="Arial" w:hAnsi="Arial" w:cs="Arial"/>
          <w:lang w:val="en-IN"/>
        </w:rPr>
        <w:t>(</w:t>
      </w:r>
      <w:r w:rsidR="001679FF" w:rsidRPr="006576C1">
        <w:rPr>
          <w:rFonts w:ascii="Arial" w:hAnsi="Arial" w:cs="Arial"/>
          <w:lang w:val="en-IN"/>
        </w:rPr>
        <w:t>Government of India</w:t>
      </w:r>
      <w:r w:rsidR="001679FF">
        <w:rPr>
          <w:rFonts w:ascii="Arial" w:hAnsi="Arial" w:cs="Arial"/>
          <w:lang w:val="en-IN"/>
        </w:rPr>
        <w:t xml:space="preserve">, </w:t>
      </w:r>
      <w:r w:rsidR="001679FF" w:rsidRPr="006576C1">
        <w:rPr>
          <w:rFonts w:ascii="Arial" w:hAnsi="Arial" w:cs="Arial"/>
          <w:lang w:val="en-IN"/>
        </w:rPr>
        <w:t>2023).</w:t>
      </w:r>
    </w:p>
    <w:p w14:paraId="4A916696" w14:textId="77777777" w:rsidR="00131D54" w:rsidRPr="006576C1" w:rsidRDefault="00131D54" w:rsidP="006576C1">
      <w:pPr>
        <w:pStyle w:val="Body"/>
        <w:spacing w:after="0"/>
        <w:rPr>
          <w:rFonts w:ascii="Arial" w:hAnsi="Arial" w:cs="Arial"/>
          <w:lang w:val="en-IN"/>
        </w:rPr>
      </w:pPr>
    </w:p>
    <w:p w14:paraId="3C0BE4D6" w14:textId="54B25623" w:rsidR="006576C1" w:rsidRDefault="006576C1" w:rsidP="006576C1">
      <w:pPr>
        <w:pStyle w:val="Body"/>
        <w:spacing w:after="0"/>
        <w:rPr>
          <w:rFonts w:ascii="Arial" w:hAnsi="Arial" w:cs="Arial"/>
          <w:lang w:val="en-IN"/>
        </w:rPr>
      </w:pPr>
      <w:r w:rsidRPr="006576C1">
        <w:rPr>
          <w:rFonts w:ascii="Arial" w:hAnsi="Arial" w:cs="Arial"/>
          <w:lang w:val="en-IN"/>
        </w:rPr>
        <w:t xml:space="preserve">Manipur offers favourable conditions for horticultural development due to its diverse </w:t>
      </w:r>
      <w:proofErr w:type="spellStart"/>
      <w:r w:rsidRPr="006576C1">
        <w:rPr>
          <w:rFonts w:ascii="Arial" w:hAnsi="Arial" w:cs="Arial"/>
          <w:lang w:val="en-IN"/>
        </w:rPr>
        <w:t>agro</w:t>
      </w:r>
      <w:proofErr w:type="spellEnd"/>
      <w:r w:rsidRPr="006576C1">
        <w:rPr>
          <w:rFonts w:ascii="Arial" w:hAnsi="Arial" w:cs="Arial"/>
          <w:lang w:val="en-IN"/>
        </w:rPr>
        <w:t>-climatic zones, ranging from tropical to temperate environments, along with adequate rainfall and natural resource availability. However, the sector remains underdeveloped relative to its potential. Constraints such as fragmented landholdings, limited access to quality inputs, weak investment, and low technology adoption continue to restrict productivity growth in the state.</w:t>
      </w:r>
      <w:r w:rsidR="00131D54">
        <w:rPr>
          <w:rFonts w:ascii="Arial" w:hAnsi="Arial" w:cs="Arial"/>
          <w:lang w:val="en-IN"/>
        </w:rPr>
        <w:t xml:space="preserve"> </w:t>
      </w:r>
      <w:r w:rsidRPr="006576C1">
        <w:rPr>
          <w:rFonts w:ascii="Arial" w:hAnsi="Arial" w:cs="Arial"/>
          <w:lang w:val="en-IN"/>
        </w:rPr>
        <w:t>Vegetable cultivation forms a major component of horticulture in Manipur, yet productivity levels remain low due to traditional farming practices, inefficient input use, and pest and disease incidence. These factors contribute to persistent yield gaps across farms and regions.</w:t>
      </w:r>
      <w:r w:rsidR="00131D54">
        <w:rPr>
          <w:rFonts w:ascii="Arial" w:hAnsi="Arial" w:cs="Arial"/>
          <w:lang w:val="en-IN"/>
        </w:rPr>
        <w:t xml:space="preserve"> </w:t>
      </w:r>
      <w:r w:rsidRPr="006576C1">
        <w:rPr>
          <w:rFonts w:ascii="Arial" w:hAnsi="Arial" w:cs="Arial"/>
          <w:lang w:val="en-IN"/>
        </w:rPr>
        <w:t>Among vegetable crops, cabbage (</w:t>
      </w:r>
      <w:r w:rsidRPr="006576C1">
        <w:rPr>
          <w:rFonts w:ascii="Arial" w:hAnsi="Arial" w:cs="Arial"/>
          <w:i/>
          <w:iCs/>
          <w:lang w:val="en-IN"/>
        </w:rPr>
        <w:t>Brassica oleracea</w:t>
      </w:r>
      <w:r w:rsidRPr="006576C1">
        <w:rPr>
          <w:rFonts w:ascii="Arial" w:hAnsi="Arial" w:cs="Arial"/>
          <w:lang w:val="en-IN"/>
        </w:rPr>
        <w:t xml:space="preserve"> var. </w:t>
      </w:r>
      <w:r w:rsidRPr="006576C1">
        <w:rPr>
          <w:rFonts w:ascii="Arial" w:hAnsi="Arial" w:cs="Arial"/>
          <w:i/>
          <w:iCs/>
          <w:lang w:val="en-IN"/>
        </w:rPr>
        <w:t>capitata</w:t>
      </w:r>
      <w:r w:rsidRPr="006576C1">
        <w:rPr>
          <w:rFonts w:ascii="Arial" w:hAnsi="Arial" w:cs="Arial"/>
          <w:lang w:val="en-IN"/>
        </w:rPr>
        <w:t>) is widely cultivated due to its adaptability, nutritional value, and market demand. It is grown across all districts of Manipur and forms an important component of the vegetable economy of the state.</w:t>
      </w:r>
    </w:p>
    <w:p w14:paraId="06CB790D" w14:textId="77777777" w:rsidR="00131D54" w:rsidRPr="006576C1" w:rsidRDefault="00131D54" w:rsidP="006576C1">
      <w:pPr>
        <w:pStyle w:val="Body"/>
        <w:spacing w:after="0"/>
        <w:rPr>
          <w:rFonts w:ascii="Arial" w:hAnsi="Arial" w:cs="Arial"/>
          <w:lang w:val="en-IN"/>
        </w:rPr>
      </w:pPr>
    </w:p>
    <w:p w14:paraId="2CDE35DD" w14:textId="7EA03A29" w:rsidR="006576C1" w:rsidRDefault="006576C1" w:rsidP="006576C1">
      <w:pPr>
        <w:pStyle w:val="Body"/>
        <w:spacing w:after="0"/>
        <w:rPr>
          <w:rFonts w:ascii="Arial" w:hAnsi="Arial" w:cs="Arial"/>
          <w:lang w:val="en-IN"/>
        </w:rPr>
      </w:pPr>
      <w:r w:rsidRPr="006576C1">
        <w:rPr>
          <w:rFonts w:ascii="Arial" w:hAnsi="Arial" w:cs="Arial"/>
          <w:lang w:val="en-IN"/>
        </w:rPr>
        <w:t>A major development in the region is the increasing adoption of off-season vegetable production systems, where vegetables are cultivated outside their normal seasonal cycle to benefit from higher market prices during periods of low supply. This system has gained importance in Manipur due to favourable climatic conditions and provides enhanced income opportunities for farmers</w:t>
      </w:r>
      <w:r w:rsidR="00131D54">
        <w:rPr>
          <w:rFonts w:ascii="Arial" w:hAnsi="Arial" w:cs="Arial"/>
          <w:lang w:val="en-IN"/>
        </w:rPr>
        <w:t xml:space="preserve">. </w:t>
      </w:r>
      <w:r w:rsidRPr="006576C1">
        <w:rPr>
          <w:rFonts w:ascii="Arial" w:hAnsi="Arial" w:cs="Arial"/>
          <w:lang w:val="en-IN"/>
        </w:rPr>
        <w:t>However, despite its advantages, off-season vegetable production faces several constraints including small and fragmented landholdings, limited access to quality inputs, inadequate capital availability, and weak market infrastructure. In addition, production risks arising from climatic variability, pest incidence, and natural hazards further reduce productivity and profitability. These constraints indicate inefficiencies in resource utilization rather than mere resource scarcity.</w:t>
      </w:r>
    </w:p>
    <w:p w14:paraId="041C66D5" w14:textId="77777777" w:rsidR="00131D54" w:rsidRPr="006576C1" w:rsidRDefault="00131D54" w:rsidP="006576C1">
      <w:pPr>
        <w:pStyle w:val="Body"/>
        <w:spacing w:after="0"/>
        <w:rPr>
          <w:rFonts w:ascii="Arial" w:hAnsi="Arial" w:cs="Arial"/>
          <w:lang w:val="en-IN"/>
        </w:rPr>
      </w:pPr>
    </w:p>
    <w:p w14:paraId="72EED1A0" w14:textId="54545639" w:rsidR="00D51698" w:rsidRPr="00E03C09" w:rsidRDefault="006576C1" w:rsidP="00FD252A">
      <w:pPr>
        <w:pStyle w:val="Body"/>
        <w:spacing w:after="0"/>
        <w:rPr>
          <w:rFonts w:ascii="Arial" w:hAnsi="Arial" w:cs="Arial"/>
          <w:lang w:val="en-IN"/>
        </w:rPr>
      </w:pPr>
      <w:r w:rsidRPr="006576C1">
        <w:rPr>
          <w:rFonts w:ascii="Arial" w:hAnsi="Arial" w:cs="Arial"/>
          <w:lang w:val="en-IN"/>
        </w:rPr>
        <w:lastRenderedPageBreak/>
        <w:t>In this context, improving resource use efficiency is essential for enhancing productivity and ensuring sustainable income generation. Therefore,</w:t>
      </w:r>
      <w:r w:rsidR="00FC6488">
        <w:rPr>
          <w:rFonts w:ascii="Arial" w:hAnsi="Arial" w:cs="Arial"/>
          <w:lang w:val="en-IN"/>
        </w:rPr>
        <w:t xml:space="preserve"> </w:t>
      </w:r>
      <w:r w:rsidRPr="006576C1">
        <w:rPr>
          <w:rFonts w:ascii="Arial" w:hAnsi="Arial" w:cs="Arial"/>
          <w:lang w:val="en-IN"/>
        </w:rPr>
        <w:t>evaluating the technical efficiency of off-season cabbage production in Manipur and identifying factors influencing inefficiency, with the aim of providing empirical evidence for improving farm-level performance and supporting policy interventions in horticultural development</w:t>
      </w:r>
      <w:r w:rsidR="00FC6488">
        <w:rPr>
          <w:rFonts w:ascii="Arial" w:hAnsi="Arial" w:cs="Arial"/>
          <w:lang w:val="en-IN"/>
        </w:rPr>
        <w:t xml:space="preserve"> was done in study area.</w:t>
      </w:r>
    </w:p>
    <w:p w14:paraId="618F87F2" w14:textId="77777777" w:rsidR="00790ADA" w:rsidRPr="00FB3A86" w:rsidRDefault="00790ADA" w:rsidP="00441B6F">
      <w:pPr>
        <w:pStyle w:val="Body"/>
        <w:spacing w:after="0"/>
        <w:rPr>
          <w:rFonts w:ascii="Arial" w:hAnsi="Arial" w:cs="Arial"/>
        </w:rPr>
      </w:pPr>
    </w:p>
    <w:p w14:paraId="5A5F4719" w14:textId="6DFF583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7970E0" w14:textId="77777777" w:rsidR="008C707E" w:rsidRDefault="008C707E" w:rsidP="00441B6F">
      <w:pPr>
        <w:pStyle w:val="AbstHead"/>
        <w:spacing w:after="0"/>
        <w:jc w:val="both"/>
        <w:rPr>
          <w:rFonts w:ascii="Arial" w:hAnsi="Arial" w:cs="Arial"/>
        </w:rPr>
      </w:pPr>
    </w:p>
    <w:p w14:paraId="258025EC" w14:textId="40E171AD"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2.1 </w:t>
      </w:r>
      <w:r w:rsidR="004A12C3">
        <w:rPr>
          <w:rFonts w:ascii="Arial" w:eastAsia="Arial" w:hAnsi="Arial" w:cs="Arial"/>
          <w:b/>
          <w:bCs/>
          <w:i/>
          <w:iCs/>
          <w:color w:val="070000"/>
          <w:highlight w:val="white"/>
        </w:rPr>
        <w:t>D</w:t>
      </w:r>
      <w:r w:rsidR="004A12C3" w:rsidRPr="004A12C3">
        <w:rPr>
          <w:rFonts w:ascii="Arial" w:eastAsia="Arial" w:hAnsi="Arial" w:cs="Arial"/>
          <w:b/>
          <w:bCs/>
          <w:i/>
          <w:iCs/>
          <w:color w:val="070000"/>
          <w:highlight w:val="white"/>
        </w:rPr>
        <w:t xml:space="preserve">escription of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tudy area:</w:t>
      </w:r>
    </w:p>
    <w:p w14:paraId="14377169" w14:textId="403B9B03" w:rsidR="00790ADA" w:rsidRPr="00FB3A86" w:rsidRDefault="00790ADA" w:rsidP="00441B6F">
      <w:pPr>
        <w:pStyle w:val="AbstHead"/>
        <w:spacing w:after="0"/>
        <w:jc w:val="both"/>
        <w:rPr>
          <w:rFonts w:ascii="Arial" w:hAnsi="Arial" w:cs="Arial"/>
        </w:rPr>
      </w:pPr>
    </w:p>
    <w:p w14:paraId="6E2222F6" w14:textId="77777777" w:rsidR="007C1920" w:rsidRPr="004A12C3" w:rsidRDefault="00981C7F" w:rsidP="00441B6F">
      <w:pPr>
        <w:pStyle w:val="Body"/>
        <w:spacing w:after="0"/>
        <w:rPr>
          <w:rFonts w:ascii="Arial" w:hAnsi="Arial" w:cs="Arial"/>
        </w:rPr>
      </w:pPr>
      <w:r w:rsidRPr="004A12C3">
        <w:rPr>
          <w:rFonts w:ascii="Arial" w:hAnsi="Arial" w:cs="Arial"/>
        </w:rPr>
        <w:t xml:space="preserve">Manipur is a northeastern hilly state of India located between latitudes 23°49'45.530" N and 25°42'1.456" N, and longitudes 92°58'23.422" E and 94°43'35.553" E. The state covers an area of 22,327 sq. km, accounting for about 0.7% of India’s total geographical area. It consists of a central oval-shaped valley surrounded by hill ranges and shares an international border of 352 km with Myanmar. Internally, it is bordered by Nagaland, Assam, and Mizoram. The valley region occupies about 2,238 sq. km, nearly 10% of the total area. The state receives an average annual rainfall of 1137.1 mm (ICAR, </w:t>
      </w:r>
      <w:proofErr w:type="spellStart"/>
      <w:r w:rsidRPr="004A12C3">
        <w:rPr>
          <w:rFonts w:ascii="Arial" w:hAnsi="Arial" w:cs="Arial"/>
        </w:rPr>
        <w:t>Lamphelpat</w:t>
      </w:r>
      <w:proofErr w:type="spellEnd"/>
      <w:r w:rsidRPr="004A12C3">
        <w:rPr>
          <w:rFonts w:ascii="Arial" w:hAnsi="Arial" w:cs="Arial"/>
        </w:rPr>
        <w:t xml:space="preserve">, 2019). Major horticultural and agricultural crops include rice, maize, cabbage, cauliflower, peas, potato, beans, tomato, mustard, and a variety of fruits such as orange, lemon, banana, and passion fruit. Administratively, the state is divided into nine districts—four in the valley (Imphal East, Imphal West, </w:t>
      </w:r>
      <w:proofErr w:type="spellStart"/>
      <w:r w:rsidRPr="004A12C3">
        <w:rPr>
          <w:rFonts w:ascii="Arial" w:hAnsi="Arial" w:cs="Arial"/>
        </w:rPr>
        <w:t>Bishnupur</w:t>
      </w:r>
      <w:proofErr w:type="spellEnd"/>
      <w:r w:rsidRPr="004A12C3">
        <w:rPr>
          <w:rFonts w:ascii="Arial" w:hAnsi="Arial" w:cs="Arial"/>
        </w:rPr>
        <w:t xml:space="preserve">, and </w:t>
      </w:r>
      <w:proofErr w:type="spellStart"/>
      <w:r w:rsidRPr="004A12C3">
        <w:rPr>
          <w:rFonts w:ascii="Arial" w:hAnsi="Arial" w:cs="Arial"/>
        </w:rPr>
        <w:t>Thoubal</w:t>
      </w:r>
      <w:proofErr w:type="spellEnd"/>
      <w:r w:rsidRPr="004A12C3">
        <w:rPr>
          <w:rFonts w:ascii="Arial" w:hAnsi="Arial" w:cs="Arial"/>
        </w:rPr>
        <w:t xml:space="preserve">) and five in the hill region (Senapati, </w:t>
      </w:r>
      <w:proofErr w:type="spellStart"/>
      <w:r w:rsidRPr="004A12C3">
        <w:rPr>
          <w:rFonts w:ascii="Arial" w:hAnsi="Arial" w:cs="Arial"/>
        </w:rPr>
        <w:t>Tamenglong</w:t>
      </w:r>
      <w:proofErr w:type="spellEnd"/>
      <w:r w:rsidRPr="004A12C3">
        <w:rPr>
          <w:rFonts w:ascii="Arial" w:hAnsi="Arial" w:cs="Arial"/>
        </w:rPr>
        <w:t xml:space="preserve">, </w:t>
      </w:r>
      <w:proofErr w:type="spellStart"/>
      <w:r w:rsidRPr="004A12C3">
        <w:rPr>
          <w:rFonts w:ascii="Arial" w:hAnsi="Arial" w:cs="Arial"/>
        </w:rPr>
        <w:t>Churachandpur</w:t>
      </w:r>
      <w:proofErr w:type="spellEnd"/>
      <w:r w:rsidRPr="004A12C3">
        <w:rPr>
          <w:rFonts w:ascii="Arial" w:hAnsi="Arial" w:cs="Arial"/>
        </w:rPr>
        <w:t xml:space="preserve">, </w:t>
      </w:r>
      <w:proofErr w:type="spellStart"/>
      <w:r w:rsidRPr="004A12C3">
        <w:rPr>
          <w:rFonts w:ascii="Arial" w:hAnsi="Arial" w:cs="Arial"/>
        </w:rPr>
        <w:t>Chandel</w:t>
      </w:r>
      <w:proofErr w:type="spellEnd"/>
      <w:r w:rsidRPr="004A12C3">
        <w:rPr>
          <w:rFonts w:ascii="Arial" w:hAnsi="Arial" w:cs="Arial"/>
        </w:rPr>
        <w:t xml:space="preserve">, and </w:t>
      </w:r>
      <w:proofErr w:type="spellStart"/>
      <w:r w:rsidRPr="004A12C3">
        <w:rPr>
          <w:rFonts w:ascii="Arial" w:hAnsi="Arial" w:cs="Arial"/>
        </w:rPr>
        <w:t>Ukhrul</w:t>
      </w:r>
      <w:proofErr w:type="spellEnd"/>
      <w:r w:rsidRPr="004A12C3">
        <w:rPr>
          <w:rFonts w:ascii="Arial" w:hAnsi="Arial" w:cs="Arial"/>
        </w:rPr>
        <w:t xml:space="preserve">). </w:t>
      </w:r>
    </w:p>
    <w:p w14:paraId="43BDE00C" w14:textId="77777777" w:rsidR="001A6AD8" w:rsidRDefault="001A6AD8" w:rsidP="00441B6F">
      <w:pPr>
        <w:pStyle w:val="Body"/>
        <w:spacing w:after="0"/>
        <w:rPr>
          <w:rFonts w:ascii="Arial" w:hAnsi="Arial" w:cs="Arial"/>
        </w:rPr>
      </w:pPr>
    </w:p>
    <w:p w14:paraId="0D41EEDF" w14:textId="61A240EB" w:rsidR="008C707E" w:rsidRPr="004A12C3" w:rsidRDefault="008C707E" w:rsidP="008C707E">
      <w:pPr>
        <w:jc w:val="both"/>
        <w:rPr>
          <w:rFonts w:ascii="Arial" w:eastAsia="Arial" w:hAnsi="Arial" w:cs="Arial"/>
          <w:b/>
          <w:bCs/>
          <w:i/>
          <w:iCs/>
          <w:color w:val="070000"/>
          <w:highlight w:val="white"/>
        </w:rPr>
      </w:pPr>
      <w:r w:rsidRPr="004A12C3">
        <w:rPr>
          <w:rFonts w:ascii="Arial" w:hAnsi="Arial" w:cs="Arial"/>
          <w:i/>
          <w:iCs/>
        </w:rPr>
        <w:t xml:space="preserve">2.2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ampling</w:t>
      </w:r>
      <w:r w:rsidR="001A6AD8" w:rsidRPr="004A12C3">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P</w:t>
      </w:r>
      <w:r w:rsidR="004A12C3" w:rsidRPr="004A12C3">
        <w:rPr>
          <w:rFonts w:ascii="Arial" w:eastAsia="Arial" w:hAnsi="Arial" w:cs="Arial"/>
          <w:b/>
          <w:bCs/>
          <w:i/>
          <w:iCs/>
          <w:color w:val="070000"/>
          <w:highlight w:val="white"/>
        </w:rPr>
        <w:t>rocedure</w:t>
      </w:r>
      <w:r w:rsidRPr="004A12C3">
        <w:rPr>
          <w:rFonts w:ascii="Arial" w:eastAsia="Arial" w:hAnsi="Arial" w:cs="Arial"/>
          <w:b/>
          <w:bCs/>
          <w:i/>
          <w:iCs/>
          <w:color w:val="070000"/>
          <w:highlight w:val="white"/>
        </w:rPr>
        <w:t>:</w:t>
      </w:r>
    </w:p>
    <w:p w14:paraId="7FF8462C" w14:textId="77777777" w:rsidR="001A6AD8" w:rsidRDefault="001A6AD8" w:rsidP="008C707E">
      <w:pPr>
        <w:jc w:val="both"/>
        <w:rPr>
          <w:rFonts w:ascii="Arial" w:eastAsia="Arial" w:hAnsi="Arial" w:cs="Arial"/>
          <w:b/>
          <w:bCs/>
          <w:color w:val="070000"/>
          <w:sz w:val="22"/>
          <w:szCs w:val="22"/>
          <w:highlight w:val="white"/>
        </w:rPr>
      </w:pPr>
    </w:p>
    <w:p w14:paraId="54E667D6" w14:textId="326D503F" w:rsidR="001A6AD8" w:rsidRPr="004A12C3" w:rsidRDefault="00E06F4E" w:rsidP="008C707E">
      <w:pPr>
        <w:jc w:val="both"/>
        <w:rPr>
          <w:rFonts w:ascii="Arial" w:eastAsia="Arial" w:hAnsi="Arial" w:cs="Arial"/>
          <w:color w:val="070000"/>
          <w:highlight w:val="white"/>
        </w:rPr>
      </w:pPr>
      <w:r w:rsidRPr="004A12C3">
        <w:rPr>
          <w:rFonts w:ascii="Arial" w:eastAsia="Arial" w:hAnsi="Arial" w:cs="Arial"/>
          <w:color w:val="070000"/>
          <w:highlight w:val="white"/>
        </w:rPr>
        <w:t>For the present study, Senapati district was selected purposively due to the concentration of off-season cabbage cultivation. Within the district,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blocks were chosen based on production intensity. From these blocks, four villages—</w:t>
      </w:r>
      <w:proofErr w:type="spellStart"/>
      <w:r w:rsidRPr="004A12C3">
        <w:rPr>
          <w:rFonts w:ascii="Arial" w:eastAsia="Arial" w:hAnsi="Arial" w:cs="Arial"/>
          <w:color w:val="070000"/>
          <w:highlight w:val="white"/>
        </w:rPr>
        <w:t>Makuilongdi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Punanamei</w:t>
      </w:r>
      <w:proofErr w:type="spellEnd"/>
      <w:r w:rsidRPr="004A12C3">
        <w:rPr>
          <w:rFonts w:ascii="Arial" w:eastAsia="Arial" w:hAnsi="Arial" w:cs="Arial"/>
          <w:color w:val="070000"/>
          <w:highlight w:val="white"/>
        </w:rPr>
        <w:t xml:space="preserve"> (Mao-</w:t>
      </w:r>
      <w:proofErr w:type="spellStart"/>
      <w:r w:rsidRPr="004A12C3">
        <w:rPr>
          <w:rFonts w:ascii="Arial" w:eastAsia="Arial" w:hAnsi="Arial" w:cs="Arial"/>
          <w:color w:val="070000"/>
          <w:highlight w:val="white"/>
        </w:rPr>
        <w:t>Maram</w:t>
      </w:r>
      <w:proofErr w:type="spellEnd"/>
      <w:r w:rsidRPr="004A12C3">
        <w:rPr>
          <w:rFonts w:ascii="Arial" w:eastAsia="Arial" w:hAnsi="Arial" w:cs="Arial"/>
          <w:color w:val="070000"/>
          <w:highlight w:val="white"/>
        </w:rPr>
        <w:t xml:space="preserve"> block), and </w:t>
      </w:r>
      <w:proofErr w:type="spellStart"/>
      <w:r w:rsidRPr="004A12C3">
        <w:rPr>
          <w:rFonts w:ascii="Arial" w:eastAsia="Arial" w:hAnsi="Arial" w:cs="Arial"/>
          <w:color w:val="070000"/>
          <w:highlight w:val="white"/>
        </w:rPr>
        <w:t>Laii</w:t>
      </w:r>
      <w:proofErr w:type="spellEnd"/>
      <w:r w:rsidRPr="004A12C3">
        <w:rPr>
          <w:rFonts w:ascii="Arial" w:eastAsia="Arial" w:hAnsi="Arial" w:cs="Arial"/>
          <w:color w:val="070000"/>
          <w:highlight w:val="white"/>
        </w:rPr>
        <w:t xml:space="preserve"> and </w:t>
      </w:r>
      <w:proofErr w:type="spellStart"/>
      <w:r w:rsidRPr="004A12C3">
        <w:rPr>
          <w:rFonts w:ascii="Arial" w:eastAsia="Arial" w:hAnsi="Arial" w:cs="Arial"/>
          <w:color w:val="070000"/>
          <w:highlight w:val="white"/>
        </w:rPr>
        <w:t>Tungjoy</w:t>
      </w:r>
      <w:proofErr w:type="spellEnd"/>
      <w:r w:rsidRPr="004A12C3">
        <w:rPr>
          <w:rFonts w:ascii="Arial" w:eastAsia="Arial" w:hAnsi="Arial" w:cs="Arial"/>
          <w:color w:val="070000"/>
          <w:highlight w:val="white"/>
        </w:rPr>
        <w:t xml:space="preserve"> (</w:t>
      </w:r>
      <w:proofErr w:type="spellStart"/>
      <w:r w:rsidRPr="004A12C3">
        <w:rPr>
          <w:rFonts w:ascii="Arial" w:eastAsia="Arial" w:hAnsi="Arial" w:cs="Arial"/>
          <w:color w:val="070000"/>
          <w:highlight w:val="white"/>
        </w:rPr>
        <w:t>Paomata</w:t>
      </w:r>
      <w:proofErr w:type="spellEnd"/>
      <w:r w:rsidRPr="004A12C3">
        <w:rPr>
          <w:rFonts w:ascii="Arial" w:eastAsia="Arial" w:hAnsi="Arial" w:cs="Arial"/>
          <w:color w:val="070000"/>
          <w:highlight w:val="white"/>
        </w:rPr>
        <w:t xml:space="preserve"> block)—were selected. A list of cabbage growers was obtained from Krishi Vigyan Kendra (KVK), </w:t>
      </w:r>
      <w:proofErr w:type="spellStart"/>
      <w:r w:rsidRPr="004A12C3">
        <w:rPr>
          <w:rFonts w:ascii="Arial" w:eastAsia="Arial" w:hAnsi="Arial" w:cs="Arial"/>
          <w:color w:val="070000"/>
          <w:highlight w:val="white"/>
        </w:rPr>
        <w:t>Hengbung</w:t>
      </w:r>
      <w:proofErr w:type="spellEnd"/>
      <w:r w:rsidRPr="004A12C3">
        <w:rPr>
          <w:rFonts w:ascii="Arial" w:eastAsia="Arial" w:hAnsi="Arial" w:cs="Arial"/>
          <w:color w:val="070000"/>
          <w:highlight w:val="white"/>
        </w:rPr>
        <w:t>, Senapati, and a total of 80 farmers were selected using proportional allocation under simple random sampling to ensure representativeness across villages.</w:t>
      </w:r>
    </w:p>
    <w:p w14:paraId="0BFC31E6" w14:textId="77777777" w:rsidR="00E06F4E" w:rsidRDefault="00E06F4E" w:rsidP="008C707E">
      <w:pPr>
        <w:jc w:val="both"/>
        <w:rPr>
          <w:rFonts w:ascii="Arial" w:eastAsia="Arial" w:hAnsi="Arial" w:cs="Arial"/>
          <w:color w:val="070000"/>
          <w:sz w:val="22"/>
          <w:szCs w:val="22"/>
          <w:highlight w:val="white"/>
        </w:rPr>
      </w:pPr>
    </w:p>
    <w:p w14:paraId="522D7AB7" w14:textId="0AED4E18" w:rsidR="00E06F4E" w:rsidRPr="004A12C3" w:rsidRDefault="00E06F4E" w:rsidP="008C707E">
      <w:pPr>
        <w:jc w:val="both"/>
        <w:rPr>
          <w:rFonts w:ascii="Arial" w:eastAsia="Arial" w:hAnsi="Arial" w:cs="Arial"/>
          <w:b/>
          <w:bCs/>
          <w:i/>
          <w:iCs/>
          <w:color w:val="070000"/>
          <w:highlight w:val="white"/>
        </w:rPr>
      </w:pPr>
      <w:r w:rsidRPr="004A12C3">
        <w:rPr>
          <w:rFonts w:ascii="Arial" w:hAnsi="Arial" w:cs="Arial"/>
          <w:i/>
          <w:iCs/>
        </w:rPr>
        <w:t xml:space="preserve">2.3 </w:t>
      </w:r>
      <w:r w:rsidR="004A12C3">
        <w:rPr>
          <w:rFonts w:ascii="Arial" w:eastAsia="Arial" w:hAnsi="Arial" w:cs="Arial"/>
          <w:b/>
          <w:bCs/>
          <w:i/>
          <w:iCs/>
          <w:color w:val="070000"/>
          <w:highlight w:val="white"/>
        </w:rPr>
        <w:t>N</w:t>
      </w:r>
      <w:r w:rsidR="004A12C3" w:rsidRPr="004A12C3">
        <w:rPr>
          <w:rFonts w:ascii="Arial" w:eastAsia="Arial" w:hAnsi="Arial" w:cs="Arial"/>
          <w:b/>
          <w:bCs/>
          <w:i/>
          <w:iCs/>
          <w:color w:val="070000"/>
          <w:highlight w:val="white"/>
        </w:rPr>
        <w:t>ature</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and</w:t>
      </w:r>
      <w:r w:rsidRPr="004A12C3">
        <w:rPr>
          <w:rFonts w:ascii="Arial" w:eastAsia="Arial" w:hAnsi="Arial" w:cs="Arial"/>
          <w:b/>
          <w:bCs/>
          <w:i/>
          <w:iCs/>
          <w:color w:val="070000"/>
          <w:highlight w:val="white"/>
        </w:rPr>
        <w:t xml:space="preserve"> </w:t>
      </w:r>
      <w:r w:rsidR="004A12C3">
        <w:rPr>
          <w:rFonts w:ascii="Arial" w:eastAsia="Arial" w:hAnsi="Arial" w:cs="Arial"/>
          <w:b/>
          <w:bCs/>
          <w:i/>
          <w:iCs/>
          <w:color w:val="070000"/>
          <w:highlight w:val="white"/>
        </w:rPr>
        <w:t>S</w:t>
      </w:r>
      <w:r w:rsidR="004A12C3" w:rsidRPr="004A12C3">
        <w:rPr>
          <w:rFonts w:ascii="Arial" w:eastAsia="Arial" w:hAnsi="Arial" w:cs="Arial"/>
          <w:b/>
          <w:bCs/>
          <w:i/>
          <w:iCs/>
          <w:color w:val="070000"/>
          <w:highlight w:val="white"/>
        </w:rPr>
        <w:t>ources</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of</w:t>
      </w:r>
      <w:r w:rsidRPr="004A12C3">
        <w:rPr>
          <w:rFonts w:ascii="Arial" w:eastAsia="Arial" w:hAnsi="Arial" w:cs="Arial"/>
          <w:b/>
          <w:bCs/>
          <w:i/>
          <w:iCs/>
          <w:color w:val="070000"/>
          <w:highlight w:val="white"/>
        </w:rPr>
        <w:t xml:space="preserve"> </w:t>
      </w:r>
      <w:r w:rsidR="004A12C3" w:rsidRPr="004A12C3">
        <w:rPr>
          <w:rFonts w:ascii="Arial" w:eastAsia="Arial" w:hAnsi="Arial" w:cs="Arial"/>
          <w:b/>
          <w:bCs/>
          <w:i/>
          <w:iCs/>
          <w:color w:val="070000"/>
          <w:highlight w:val="white"/>
        </w:rPr>
        <w:t>data</w:t>
      </w:r>
    </w:p>
    <w:p w14:paraId="5C16F06E" w14:textId="77777777" w:rsidR="00E06F4E" w:rsidRDefault="00E06F4E" w:rsidP="008C707E">
      <w:pPr>
        <w:jc w:val="both"/>
        <w:rPr>
          <w:rFonts w:ascii="Arial" w:eastAsia="Arial" w:hAnsi="Arial" w:cs="Arial"/>
          <w:b/>
          <w:bCs/>
          <w:color w:val="070000"/>
          <w:sz w:val="22"/>
          <w:szCs w:val="22"/>
          <w:highlight w:val="white"/>
        </w:rPr>
      </w:pPr>
    </w:p>
    <w:p w14:paraId="6BE6236A" w14:textId="6CE5385C" w:rsidR="00E06F4E" w:rsidRPr="004A12C3" w:rsidRDefault="000E6026" w:rsidP="008C707E">
      <w:pPr>
        <w:jc w:val="both"/>
        <w:rPr>
          <w:rFonts w:ascii="Arial" w:eastAsia="Arial" w:hAnsi="Arial" w:cs="Arial"/>
          <w:color w:val="070000"/>
          <w:highlight w:val="white"/>
        </w:rPr>
      </w:pPr>
      <w:r w:rsidRPr="004A12C3">
        <w:rPr>
          <w:rFonts w:ascii="Arial" w:eastAsia="Arial" w:hAnsi="Arial" w:cs="Arial"/>
          <w:color w:val="070000"/>
          <w:highlight w:val="white"/>
        </w:rPr>
        <w:t>Primary data were collected through personal interviews using a pre-tested structured schedule. Information was gathered on socio-economic characteristics, landholding, input use, production levels, costs, and constraints faced in off-season cabbage cultivation. The data were used to assess resource use efficiency and to identify factors influencing productivity and input allocation behavior among farmers.</w:t>
      </w:r>
    </w:p>
    <w:p w14:paraId="1ACF3A6F" w14:textId="77777777" w:rsidR="008C707E" w:rsidRPr="004A12C3" w:rsidRDefault="008C707E" w:rsidP="00441B6F">
      <w:pPr>
        <w:pStyle w:val="Body"/>
        <w:spacing w:after="0"/>
        <w:rPr>
          <w:rFonts w:ascii="Arial" w:hAnsi="Arial" w:cs="Arial"/>
        </w:rPr>
      </w:pPr>
    </w:p>
    <w:p w14:paraId="19F7E240" w14:textId="25876114" w:rsidR="00054377" w:rsidRPr="004A12C3" w:rsidRDefault="00054377" w:rsidP="009F44A6">
      <w:pPr>
        <w:pStyle w:val="Body"/>
        <w:spacing w:after="0"/>
        <w:rPr>
          <w:rFonts w:ascii="Arial" w:hAnsi="Arial" w:cs="Arial"/>
          <w:b/>
          <w:bCs/>
          <w:lang w:val="en-IN"/>
        </w:rPr>
      </w:pPr>
      <w:r w:rsidRPr="004A12C3">
        <w:rPr>
          <w:rFonts w:ascii="Arial" w:hAnsi="Arial" w:cs="Arial"/>
          <w:b/>
          <w:bCs/>
          <w:lang w:val="en-IN"/>
        </w:rPr>
        <w:t>2.4 ANALYTICAL</w:t>
      </w:r>
      <w:r w:rsidR="00B61CC4" w:rsidRPr="004A12C3">
        <w:rPr>
          <w:rFonts w:ascii="Arial" w:hAnsi="Arial" w:cs="Arial"/>
          <w:b/>
          <w:bCs/>
          <w:lang w:val="en-IN"/>
        </w:rPr>
        <w:t xml:space="preserve"> FRAMEWORK</w:t>
      </w:r>
    </w:p>
    <w:p w14:paraId="3EFC8C0B" w14:textId="77777777" w:rsidR="00D53B8E" w:rsidRPr="004A12C3" w:rsidRDefault="00D53B8E" w:rsidP="009F44A6">
      <w:pPr>
        <w:pStyle w:val="Body"/>
        <w:spacing w:after="0"/>
        <w:rPr>
          <w:rFonts w:ascii="Arial" w:hAnsi="Arial" w:cs="Arial"/>
          <w:b/>
          <w:bCs/>
          <w:sz w:val="22"/>
          <w:szCs w:val="22"/>
          <w:lang w:val="en-IN"/>
        </w:rPr>
      </w:pPr>
    </w:p>
    <w:p w14:paraId="5A01D3E9" w14:textId="68749FD6" w:rsidR="00056720" w:rsidRPr="004A12C3" w:rsidRDefault="00056720" w:rsidP="00D53B8E">
      <w:pPr>
        <w:pStyle w:val="Body"/>
        <w:spacing w:after="0"/>
        <w:jc w:val="left"/>
        <w:rPr>
          <w:rFonts w:ascii="Arial" w:hAnsi="Arial" w:cs="Arial"/>
          <w:lang w:val="en-IN"/>
        </w:rPr>
      </w:pPr>
      <w:r w:rsidRPr="00056720">
        <w:rPr>
          <w:rFonts w:ascii="Arial" w:hAnsi="Arial" w:cs="Arial"/>
          <w:lang w:val="en-IN"/>
        </w:rPr>
        <w:t>The study employs a three-stage analytical approach:</w:t>
      </w:r>
      <w:r w:rsidRPr="00056720">
        <w:rPr>
          <w:rFonts w:ascii="Arial" w:hAnsi="Arial" w:cs="Arial"/>
          <w:lang w:val="en-IN"/>
        </w:rPr>
        <w:br/>
        <w:t>(</w:t>
      </w:r>
      <w:proofErr w:type="spellStart"/>
      <w:r w:rsidRPr="00056720">
        <w:rPr>
          <w:rFonts w:ascii="Arial" w:hAnsi="Arial" w:cs="Arial"/>
          <w:lang w:val="en-IN"/>
        </w:rPr>
        <w:t>i</w:t>
      </w:r>
      <w:proofErr w:type="spellEnd"/>
      <w:r w:rsidRPr="00056720">
        <w:rPr>
          <w:rFonts w:ascii="Arial" w:hAnsi="Arial" w:cs="Arial"/>
          <w:lang w:val="en-IN"/>
        </w:rPr>
        <w:t>) Cobb–Douglas production function to examine input–output relationships,</w:t>
      </w:r>
      <w:r w:rsidRPr="00056720">
        <w:rPr>
          <w:rFonts w:ascii="Arial" w:hAnsi="Arial" w:cs="Arial"/>
          <w:lang w:val="en-IN"/>
        </w:rPr>
        <w:br/>
        <w:t>(ii) Stochastic Frontier Analysis (SFA) to estimate technical efficiency, and</w:t>
      </w:r>
      <w:r w:rsidRPr="00056720">
        <w:rPr>
          <w:rFonts w:ascii="Arial" w:hAnsi="Arial" w:cs="Arial"/>
          <w:lang w:val="en-IN"/>
        </w:rPr>
        <w:br/>
        <w:t>(iii) Tobit regression to identify determinants of efficiency.</w:t>
      </w:r>
    </w:p>
    <w:p w14:paraId="54F13626" w14:textId="77777777" w:rsidR="00D53B8E" w:rsidRPr="00056720" w:rsidRDefault="00D53B8E" w:rsidP="00D53B8E">
      <w:pPr>
        <w:pStyle w:val="Body"/>
        <w:spacing w:after="0"/>
        <w:jc w:val="left"/>
        <w:rPr>
          <w:rFonts w:ascii="Arial" w:hAnsi="Arial" w:cs="Arial"/>
          <w:lang w:val="en-IN"/>
        </w:rPr>
      </w:pPr>
    </w:p>
    <w:p w14:paraId="132B6E2F" w14:textId="7783AE54" w:rsidR="00056720" w:rsidRDefault="00C25F71" w:rsidP="00056720">
      <w:pPr>
        <w:pStyle w:val="Body"/>
        <w:spacing w:after="0"/>
        <w:rPr>
          <w:rFonts w:ascii="Arial" w:hAnsi="Arial" w:cs="Arial"/>
          <w:b/>
          <w:bCs/>
          <w:i/>
          <w:iCs/>
          <w:lang w:val="en-IN"/>
        </w:rPr>
      </w:pPr>
      <w:r w:rsidRPr="004A12C3">
        <w:rPr>
          <w:rFonts w:ascii="Arial" w:hAnsi="Arial" w:cs="Arial"/>
          <w:b/>
          <w:bCs/>
          <w:i/>
          <w:iCs/>
          <w:lang w:val="en-IN"/>
        </w:rPr>
        <w:t>2.4.1</w:t>
      </w:r>
      <w:r w:rsidR="00056720" w:rsidRPr="00056720">
        <w:rPr>
          <w:rFonts w:ascii="Arial" w:hAnsi="Arial" w:cs="Arial"/>
          <w:b/>
          <w:bCs/>
          <w:i/>
          <w:iCs/>
          <w:lang w:val="en-IN"/>
        </w:rPr>
        <w:t xml:space="preserve"> Cobb–Douglas Production Function</w:t>
      </w:r>
    </w:p>
    <w:p w14:paraId="2BBA4465" w14:textId="77777777" w:rsidR="00C66C6F" w:rsidRPr="00056720" w:rsidRDefault="00C66C6F" w:rsidP="00056720">
      <w:pPr>
        <w:pStyle w:val="Body"/>
        <w:spacing w:after="0"/>
        <w:rPr>
          <w:rFonts w:ascii="Arial" w:hAnsi="Arial" w:cs="Arial"/>
          <w:b/>
          <w:bCs/>
          <w:i/>
          <w:iCs/>
          <w:lang w:val="en-IN"/>
        </w:rPr>
      </w:pPr>
    </w:p>
    <w:p w14:paraId="042EC111"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The productivity of cabbage production is influenced by multiple input factors such as seed, fertilizers, labour, and irrigation. To quantify the contribution of these inputs, the Cobb–</w:t>
      </w:r>
      <w:r w:rsidRPr="00056720">
        <w:rPr>
          <w:rFonts w:ascii="Arial" w:hAnsi="Arial" w:cs="Arial"/>
          <w:lang w:val="en-IN"/>
        </w:rPr>
        <w:lastRenderedPageBreak/>
        <w:t>Douglas production function in log-linear form was employed due to its suitability for agricultural data.</w:t>
      </w:r>
    </w:p>
    <w:p w14:paraId="10B1614D"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14:paraId="7FEE7C51" w14:textId="0B2934BA" w:rsidR="00056720" w:rsidRPr="00056720" w:rsidRDefault="00B61CC4" w:rsidP="00056720">
      <w:pPr>
        <w:pStyle w:val="Body"/>
        <w:spacing w:after="0"/>
        <w:rPr>
          <w:rFonts w:ascii="Arial" w:hAnsi="Arial" w:cs="Arial"/>
          <w:lang w:val="en-IN"/>
        </w:rPr>
      </w:pPr>
      <m:oMathPara>
        <m:oMath>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Y</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1"/>
              <m:ctrlPr>
                <w:rPr>
                  <w:rFonts w:ascii="Cambria Math" w:hAnsi="Cambria Math" w:cs="Arial"/>
                  <w:lang w:val="en-IN"/>
                </w:rPr>
              </m:ctrlPr>
            </m:naryPr>
            <m:sub>
              <m:r>
                <w:rPr>
                  <w:rFonts w:ascii="Cambria Math" w:hAnsi="Cambria Math" w:cs="Arial"/>
                  <w:lang w:val="en-IN"/>
                </w:rPr>
                <m:t>i=1</m:t>
              </m:r>
            </m:sub>
            <m:sup>
              <m:r>
                <w:rPr>
                  <w:rFonts w:ascii="Cambria Math" w:hAnsi="Cambria Math" w:cs="Arial"/>
                  <w:lang w:val="en-IN"/>
                </w:rPr>
                <m:t>6</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e>
          </m:nary>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m:oMathPara>
    </w:p>
    <w:p w14:paraId="7B243C36"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14:paraId="3826EF82" w14:textId="776D6F46" w:rsidR="00056720" w:rsidRPr="00056720" w:rsidRDefault="00B61CC4" w:rsidP="00C25F71">
      <w:pPr>
        <w:pStyle w:val="Body"/>
        <w:spacing w:after="0"/>
        <w:ind w:left="720"/>
        <w:rPr>
          <w:rFonts w:ascii="Arial" w:hAnsi="Arial" w:cs="Arial"/>
          <w:lang w:val="en-IN"/>
        </w:rPr>
      </w:pPr>
      <m:oMath>
        <m:r>
          <w:rPr>
            <w:rFonts w:ascii="Cambria Math" w:hAnsi="Cambria Math" w:cs="Arial"/>
            <w:lang w:val="en-IN"/>
          </w:rPr>
          <m:t>Y</m:t>
        </m:r>
      </m:oMath>
      <w:r w:rsidR="00056720" w:rsidRPr="00056720">
        <w:rPr>
          <w:rFonts w:ascii="Arial" w:hAnsi="Arial" w:cs="Arial"/>
          <w:lang w:val="en-IN"/>
        </w:rPr>
        <w:t xml:space="preserve">: Output (Rs.) </w:t>
      </w:r>
    </w:p>
    <w:p w14:paraId="48BF2CDC" w14:textId="2AE87119"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1</m:t>
            </m:r>
          </m:sub>
        </m:sSub>
      </m:oMath>
      <w:r w:rsidR="00056720" w:rsidRPr="00056720">
        <w:rPr>
          <w:rFonts w:ascii="Arial" w:hAnsi="Arial" w:cs="Arial"/>
          <w:lang w:val="en-IN"/>
        </w:rPr>
        <w:t xml:space="preserve">: Seed cost (Rs.) </w:t>
      </w:r>
    </w:p>
    <w:p w14:paraId="6928DD92" w14:textId="426AF3EC"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2</m:t>
            </m:r>
          </m:sub>
        </m:sSub>
      </m:oMath>
      <w:r w:rsidR="00056720" w:rsidRPr="00056720">
        <w:rPr>
          <w:rFonts w:ascii="Arial" w:hAnsi="Arial" w:cs="Arial"/>
          <w:lang w:val="en-IN"/>
        </w:rPr>
        <w:t xml:space="preserve">: Fertilizer and manure (Rs.) </w:t>
      </w:r>
    </w:p>
    <w:p w14:paraId="5FC90839" w14:textId="07329FDE"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3</m:t>
            </m:r>
          </m:sub>
        </m:sSub>
      </m:oMath>
      <w:r w:rsidR="00056720" w:rsidRPr="00056720">
        <w:rPr>
          <w:rFonts w:ascii="Arial" w:hAnsi="Arial" w:cs="Arial"/>
          <w:lang w:val="en-IN"/>
        </w:rPr>
        <w:t xml:space="preserve">: Plant protection chemicals (Rs.) </w:t>
      </w:r>
    </w:p>
    <w:p w14:paraId="3E4D58E9" w14:textId="465D5175"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4</m:t>
            </m:r>
          </m:sub>
        </m:sSub>
      </m:oMath>
      <w:r w:rsidR="00056720" w:rsidRPr="00056720">
        <w:rPr>
          <w:rFonts w:ascii="Arial" w:hAnsi="Arial" w:cs="Arial"/>
          <w:lang w:val="en-IN"/>
        </w:rPr>
        <w:t xml:space="preserve">: Human labour (Rs.) </w:t>
      </w:r>
    </w:p>
    <w:p w14:paraId="3858B331" w14:textId="3182CD2B"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5</m:t>
            </m:r>
          </m:sub>
        </m:sSub>
      </m:oMath>
      <w:r w:rsidR="00056720" w:rsidRPr="00056720">
        <w:rPr>
          <w:rFonts w:ascii="Arial" w:hAnsi="Arial" w:cs="Arial"/>
          <w:lang w:val="en-IN"/>
        </w:rPr>
        <w:t xml:space="preserve">: Irrigation charges (Rs.) </w:t>
      </w:r>
    </w:p>
    <w:p w14:paraId="3DDF42C1" w14:textId="40BD980F"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6</m:t>
            </m:r>
          </m:sub>
        </m:sSub>
      </m:oMath>
      <w:r w:rsidR="00056720" w:rsidRPr="00056720">
        <w:rPr>
          <w:rFonts w:ascii="Arial" w:hAnsi="Arial" w:cs="Arial"/>
          <w:lang w:val="en-IN"/>
        </w:rPr>
        <w:t xml:space="preserve">: Machine/bullock labour (Rs.) </w:t>
      </w:r>
    </w:p>
    <w:p w14:paraId="3910CBCB" w14:textId="60008DD3" w:rsidR="00056720" w:rsidRPr="00056720"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w:r w:rsidR="00056720" w:rsidRPr="00056720">
        <w:rPr>
          <w:rFonts w:ascii="Arial" w:hAnsi="Arial" w:cs="Arial"/>
          <w:lang w:val="en-IN"/>
        </w:rPr>
        <w:t xml:space="preserve">: Elasticity coefficients </w:t>
      </w:r>
    </w:p>
    <w:p w14:paraId="0C33C22E" w14:textId="3F036519" w:rsidR="00056720" w:rsidRPr="004A12C3" w:rsidRDefault="009A70D3" w:rsidP="00C25F71">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w:r w:rsidR="00056720" w:rsidRPr="00056720">
        <w:rPr>
          <w:rFonts w:ascii="Arial" w:hAnsi="Arial" w:cs="Arial"/>
          <w:lang w:val="en-IN"/>
        </w:rPr>
        <w:t>: Error term</w:t>
      </w:r>
    </w:p>
    <w:p w14:paraId="0116CE07" w14:textId="77777777" w:rsidR="00C25F71" w:rsidRPr="00056720" w:rsidRDefault="00C25F71" w:rsidP="00C25F71">
      <w:pPr>
        <w:pStyle w:val="Body"/>
        <w:spacing w:after="0"/>
        <w:ind w:left="720"/>
        <w:rPr>
          <w:rFonts w:ascii="Arial" w:hAnsi="Arial" w:cs="Arial"/>
          <w:lang w:val="en-IN"/>
        </w:rPr>
      </w:pPr>
    </w:p>
    <w:p w14:paraId="38AD1B67" w14:textId="6AD5D97F" w:rsidR="00056720" w:rsidRDefault="00056720" w:rsidP="00056720">
      <w:pPr>
        <w:pStyle w:val="Body"/>
        <w:spacing w:after="0"/>
        <w:rPr>
          <w:rFonts w:ascii="Arial" w:hAnsi="Arial" w:cs="Arial"/>
          <w:b/>
          <w:bCs/>
          <w:lang w:val="en-IN"/>
        </w:rPr>
      </w:pPr>
      <w:r w:rsidRPr="00056720">
        <w:rPr>
          <w:rFonts w:ascii="Arial" w:hAnsi="Arial" w:cs="Arial"/>
          <w:b/>
          <w:bCs/>
          <w:lang w:val="en-IN"/>
        </w:rPr>
        <w:t>2.</w:t>
      </w:r>
      <w:r w:rsidR="00C25F71" w:rsidRPr="004A12C3">
        <w:rPr>
          <w:rFonts w:ascii="Arial" w:hAnsi="Arial" w:cs="Arial"/>
          <w:b/>
          <w:bCs/>
          <w:lang w:val="en-IN"/>
        </w:rPr>
        <w:t>4.</w:t>
      </w:r>
      <w:r w:rsidR="00292908" w:rsidRPr="004A12C3">
        <w:rPr>
          <w:rFonts w:ascii="Arial" w:hAnsi="Arial" w:cs="Arial"/>
          <w:b/>
          <w:bCs/>
          <w:lang w:val="en-IN"/>
        </w:rPr>
        <w:t>1.1</w:t>
      </w:r>
      <w:r w:rsidR="00C25F71" w:rsidRPr="004A12C3">
        <w:rPr>
          <w:rFonts w:ascii="Arial" w:hAnsi="Arial" w:cs="Arial"/>
          <w:b/>
          <w:bCs/>
          <w:lang w:val="en-IN"/>
        </w:rPr>
        <w:t xml:space="preserve"> </w:t>
      </w:r>
      <w:r w:rsidRPr="00056720">
        <w:rPr>
          <w:rFonts w:ascii="Arial" w:hAnsi="Arial" w:cs="Arial"/>
          <w:b/>
          <w:bCs/>
          <w:lang w:val="en-IN"/>
        </w:rPr>
        <w:t>Statistical Tests and Model Diagnostics</w:t>
      </w:r>
    </w:p>
    <w:p w14:paraId="44B33116" w14:textId="3B775766" w:rsidR="00056720" w:rsidRPr="004A12C3" w:rsidRDefault="00056720" w:rsidP="00F763C3">
      <w:pPr>
        <w:pStyle w:val="Body"/>
        <w:spacing w:after="0"/>
        <w:rPr>
          <w:rFonts w:ascii="Arial" w:hAnsi="Arial" w:cs="Arial"/>
          <w:lang w:val="en-IN"/>
        </w:rPr>
      </w:pPr>
      <w:r w:rsidRPr="00056720">
        <w:rPr>
          <w:rFonts w:ascii="Arial" w:hAnsi="Arial" w:cs="Arial"/>
          <w:lang w:val="en-IN"/>
        </w:rPr>
        <w:t xml:space="preserve">Multicollinearity among explanatory variables was examined. t-test was used to test the significance of individual regression coefficients. F-test was used to test overall model significance. Goodness of fit was evaluated using </w:t>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056720">
        <w:rPr>
          <w:rFonts w:ascii="Arial" w:hAnsi="Arial" w:cs="Arial"/>
          <w:lang w:val="en-IN"/>
        </w:rPr>
        <w:t xml:space="preserve">and adjusted </w:t>
      </w:r>
      <m:oMath>
        <m:sSup>
          <m:sSupPr>
            <m:ctrlPr>
              <w:rPr>
                <w:rFonts w:ascii="Cambria Math" w:hAnsi="Cambria Math" w:cs="Arial"/>
                <w:lang w:val="en-IN"/>
              </w:rPr>
            </m:ctrlPr>
          </m:sSupPr>
          <m:e>
            <m:r>
              <w:rPr>
                <w:rFonts w:ascii="Cambria Math" w:hAnsi="Cambria Math" w:cs="Arial"/>
                <w:lang w:val="en-IN"/>
              </w:rPr>
              <m:t>R</m:t>
            </m:r>
          </m:e>
          <m:sup>
            <m:r>
              <w:rPr>
                <w:rFonts w:ascii="Cambria Math" w:hAnsi="Cambria Math" w:cs="Arial"/>
                <w:lang w:val="en-IN"/>
              </w:rPr>
              <m:t>2</m:t>
            </m:r>
          </m:sup>
        </m:sSup>
      </m:oMath>
      <w:r w:rsidRPr="00056720">
        <w:rPr>
          <w:rFonts w:ascii="Arial" w:hAnsi="Arial" w:cs="Arial"/>
          <w:lang w:val="en-IN"/>
        </w:rPr>
        <w:t xml:space="preserve">. </w:t>
      </w:r>
    </w:p>
    <w:p w14:paraId="0AC16836" w14:textId="77777777" w:rsidR="00906737" w:rsidRPr="00056720" w:rsidRDefault="00906737" w:rsidP="00906737">
      <w:pPr>
        <w:pStyle w:val="Body"/>
        <w:spacing w:after="0"/>
        <w:rPr>
          <w:rFonts w:ascii="Arial" w:hAnsi="Arial" w:cs="Arial"/>
          <w:lang w:val="en-IN"/>
        </w:rPr>
      </w:pPr>
    </w:p>
    <w:p w14:paraId="296EE1AD" w14:textId="4F3F323E" w:rsidR="00056720" w:rsidRDefault="00906737" w:rsidP="00056720">
      <w:pPr>
        <w:pStyle w:val="Body"/>
        <w:spacing w:after="0"/>
        <w:rPr>
          <w:rFonts w:ascii="Arial" w:hAnsi="Arial" w:cs="Arial"/>
          <w:b/>
          <w:bCs/>
          <w:lang w:val="en-IN"/>
        </w:rPr>
      </w:pPr>
      <w:r w:rsidRPr="004A12C3">
        <w:rPr>
          <w:rFonts w:ascii="Arial" w:hAnsi="Arial" w:cs="Arial"/>
          <w:b/>
          <w:bCs/>
          <w:lang w:val="en-IN"/>
        </w:rPr>
        <w:t>2.4.</w:t>
      </w:r>
      <w:r w:rsidR="00292908" w:rsidRPr="004A12C3">
        <w:rPr>
          <w:rFonts w:ascii="Arial" w:hAnsi="Arial" w:cs="Arial"/>
          <w:b/>
          <w:bCs/>
          <w:lang w:val="en-IN"/>
        </w:rPr>
        <w:t>1.2</w:t>
      </w:r>
      <w:r w:rsidR="00056720" w:rsidRPr="00056720">
        <w:rPr>
          <w:rFonts w:ascii="Arial" w:hAnsi="Arial" w:cs="Arial"/>
          <w:b/>
          <w:bCs/>
          <w:lang w:val="en-IN"/>
        </w:rPr>
        <w:t>. Resource Use Efficiency</w:t>
      </w:r>
    </w:p>
    <w:p w14:paraId="40D85D2B" w14:textId="77777777" w:rsidR="00C66C6F" w:rsidRPr="00056720" w:rsidRDefault="00C66C6F" w:rsidP="00056720">
      <w:pPr>
        <w:pStyle w:val="Body"/>
        <w:spacing w:after="0"/>
        <w:rPr>
          <w:rFonts w:ascii="Arial" w:hAnsi="Arial" w:cs="Arial"/>
          <w:b/>
          <w:bCs/>
          <w:lang w:val="en-IN"/>
        </w:rPr>
      </w:pPr>
    </w:p>
    <w:p w14:paraId="1DD464AB"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Resource use efficiency was assessed by comparing Marginal Value Product (MVP) with Marginal Factor Cost (MFC):</w:t>
      </w:r>
    </w:p>
    <w:p w14:paraId="7826BE26" w14:textId="726A73DB" w:rsidR="00056720" w:rsidRPr="00056720" w:rsidRDefault="00B61CC4" w:rsidP="00056720">
      <w:pPr>
        <w:pStyle w:val="Body"/>
        <w:rPr>
          <w:rFonts w:ascii="Arial" w:hAnsi="Arial" w:cs="Arial"/>
          <w:lang w:val="en-IN"/>
        </w:rPr>
      </w:pPr>
      <m:oMathPara>
        <m:oMath>
          <m:r>
            <w:rPr>
              <w:rFonts w:ascii="Cambria Math" w:hAnsi="Cambria Math" w:cs="Arial"/>
              <w:lang w:val="en-IN"/>
            </w:rPr>
            <m:t>A</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xi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MV</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num>
            <m:den>
              <m:r>
                <w:rPr>
                  <w:rFonts w:ascii="Cambria Math" w:hAnsi="Cambria Math" w:cs="Arial"/>
                  <w:lang w:val="en-IN"/>
                </w:rPr>
                <m:t>MF</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xi</m:t>
                  </m:r>
                </m:sub>
              </m:sSub>
            </m:den>
          </m:f>
        </m:oMath>
      </m:oMathPara>
    </w:p>
    <w:p w14:paraId="0159A355" w14:textId="13BF6A2C" w:rsidR="00056720" w:rsidRPr="00056720" w:rsidRDefault="00B61CC4" w:rsidP="00906737">
      <w:pPr>
        <w:pStyle w:val="Body"/>
        <w:spacing w:after="0"/>
        <w:ind w:left="720"/>
        <w:rPr>
          <w:rFonts w:ascii="Arial" w:hAnsi="Arial" w:cs="Arial"/>
          <w:lang w:val="en-IN"/>
        </w:rPr>
      </w:pPr>
      <m:oMathPara>
        <m:oMath>
          <m:r>
            <w:rPr>
              <w:rFonts w:ascii="Cambria Math" w:hAnsi="Cambria Math" w:cs="Arial"/>
              <w:lang w:val="en-IN"/>
            </w:rPr>
            <m:t>MV</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acc>
                <m:accPr>
                  <m:chr m:val="ˉ"/>
                  <m:ctrlPr>
                    <w:rPr>
                      <w:rFonts w:ascii="Cambria Math" w:hAnsi="Cambria Math" w:cs="Arial"/>
                      <w:lang w:val="en-IN"/>
                    </w:rPr>
                  </m:ctrlPr>
                </m:accPr>
                <m:e>
                  <m:r>
                    <w:rPr>
                      <w:rFonts w:ascii="Cambria Math" w:hAnsi="Cambria Math" w:cs="Arial"/>
                      <w:lang w:val="en-IN"/>
                    </w:rPr>
                    <m:t>Y</m:t>
                  </m:r>
                </m:e>
              </m:acc>
            </m:num>
            <m:den>
              <m:acc>
                <m:accPr>
                  <m:chr m:val="ˉ"/>
                  <m:ctrlPr>
                    <w:rPr>
                      <w:rFonts w:ascii="Cambria Math" w:hAnsi="Cambria Math" w:cs="Arial"/>
                      <w:lang w:val="en-IN"/>
                    </w:rPr>
                  </m:ctrlPr>
                </m:accPr>
                <m:e>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e>
              </m:acc>
            </m:den>
          </m:f>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y</m:t>
              </m:r>
            </m:sub>
          </m:sSub>
        </m:oMath>
      </m:oMathPara>
    </w:p>
    <w:p w14:paraId="66DB9A2A" w14:textId="66CD849B" w:rsidR="00056720" w:rsidRPr="00056720" w:rsidRDefault="00B61CC4" w:rsidP="00906737">
      <w:pPr>
        <w:pStyle w:val="Body"/>
        <w:spacing w:after="0"/>
        <w:ind w:left="720"/>
        <w:rPr>
          <w:rFonts w:ascii="Arial" w:hAnsi="Arial" w:cs="Arial"/>
          <w:lang w:val="en-IN"/>
        </w:rPr>
      </w:pPr>
      <m:oMathPara>
        <m:oMath>
          <m:r>
            <w:rPr>
              <w:rFonts w:ascii="Cambria Math" w:hAnsi="Cambria Math" w:cs="Arial"/>
              <w:lang w:val="en-IN"/>
            </w:rPr>
            <m:t>MF</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xi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xi</m:t>
              </m:r>
            </m:sub>
          </m:sSub>
        </m:oMath>
      </m:oMathPara>
    </w:p>
    <w:p w14:paraId="11B6367F"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Decision Rule:</w:t>
      </w:r>
    </w:p>
    <w:p w14:paraId="16556109" w14:textId="27D2AD3A" w:rsidR="00056720" w:rsidRPr="00056720" w:rsidRDefault="00B61CC4" w:rsidP="00906737">
      <w:pPr>
        <w:pStyle w:val="Body"/>
        <w:spacing w:after="0"/>
        <w:ind w:left="720"/>
        <w:rPr>
          <w:rFonts w:ascii="Arial" w:hAnsi="Arial" w:cs="Arial"/>
          <w:lang w:val="en-IN"/>
        </w:rPr>
      </w:pPr>
      <m:oMath>
        <m:r>
          <w:rPr>
            <w:rFonts w:ascii="Cambria Math" w:hAnsi="Cambria Math" w:cs="Arial"/>
            <w:lang w:val="en-IN"/>
          </w:rPr>
          <m:t>=1</m:t>
        </m:r>
      </m:oMath>
      <w:r w:rsidR="00056720" w:rsidRPr="00056720">
        <w:rPr>
          <w:rFonts w:ascii="Arial" w:hAnsi="Arial" w:cs="Arial"/>
          <w:lang w:val="en-IN"/>
        </w:rPr>
        <w:t xml:space="preserve">: Optimal use </w:t>
      </w:r>
    </w:p>
    <w:p w14:paraId="647840E7" w14:textId="3E21DACD" w:rsidR="00056720" w:rsidRPr="00056720" w:rsidRDefault="00B61CC4" w:rsidP="00906737">
      <w:pPr>
        <w:pStyle w:val="Body"/>
        <w:spacing w:after="0"/>
        <w:ind w:left="720"/>
        <w:rPr>
          <w:rFonts w:ascii="Arial" w:hAnsi="Arial" w:cs="Arial"/>
          <w:lang w:val="en-IN"/>
        </w:rPr>
      </w:pPr>
      <m:oMath>
        <m:r>
          <w:rPr>
            <w:rFonts w:ascii="Cambria Math" w:hAnsi="Cambria Math" w:cs="Arial"/>
            <w:lang w:val="en-IN"/>
          </w:rPr>
          <m:t>&gt;1</m:t>
        </m:r>
      </m:oMath>
      <w:r w:rsidR="00056720" w:rsidRPr="00056720">
        <w:rPr>
          <w:rFonts w:ascii="Arial" w:hAnsi="Arial" w:cs="Arial"/>
          <w:lang w:val="en-IN"/>
        </w:rPr>
        <w:t xml:space="preserve">: Underutilization </w:t>
      </w:r>
    </w:p>
    <w:p w14:paraId="72C4A7BD" w14:textId="567A2986" w:rsidR="00056720" w:rsidRPr="004A12C3" w:rsidRDefault="009A70D3" w:rsidP="00584EB8">
      <w:pPr>
        <w:pStyle w:val="Body"/>
        <w:spacing w:after="0"/>
        <w:ind w:left="720"/>
        <w:rPr>
          <w:rFonts w:ascii="Arial" w:hAnsi="Arial" w:cs="Arial"/>
          <w:lang w:val="en-IN"/>
        </w:rPr>
      </w:pPr>
      <m:oMath>
        <m:d>
          <m:dPr>
            <m:begChr m:val="&lt;"/>
            <m:endChr m:val=""/>
            <m:ctrlPr>
              <w:rPr>
                <w:rFonts w:ascii="Cambria Math" w:hAnsi="Cambria Math" w:cs="Arial"/>
                <w:lang w:val="en-IN"/>
              </w:rPr>
            </m:ctrlPr>
          </m:dPr>
          <m:e>
            <m:r>
              <w:rPr>
                <w:rFonts w:ascii="Cambria Math" w:hAnsi="Cambria Math" w:cs="Arial"/>
                <w:lang w:val="en-IN"/>
              </w:rPr>
              <m:t>1</m:t>
            </m:r>
          </m:e>
        </m:d>
      </m:oMath>
      <w:r w:rsidR="00056720" w:rsidRPr="00056720">
        <w:rPr>
          <w:rFonts w:ascii="Arial" w:hAnsi="Arial" w:cs="Arial"/>
          <w:lang w:val="en-IN"/>
        </w:rPr>
        <w:t xml:space="preserve">: Overutilization </w:t>
      </w:r>
    </w:p>
    <w:p w14:paraId="43927F1F" w14:textId="77777777" w:rsidR="00584EB8" w:rsidRPr="00056720" w:rsidRDefault="00584EB8" w:rsidP="00584EB8">
      <w:pPr>
        <w:pStyle w:val="Body"/>
        <w:spacing w:after="0"/>
        <w:ind w:left="720"/>
        <w:rPr>
          <w:rFonts w:ascii="Arial" w:hAnsi="Arial" w:cs="Arial"/>
          <w:lang w:val="en-IN"/>
        </w:rPr>
      </w:pPr>
    </w:p>
    <w:p w14:paraId="7D63EC7A" w14:textId="3EC7A1ED" w:rsidR="00056720" w:rsidRDefault="00906737" w:rsidP="00056720">
      <w:pPr>
        <w:pStyle w:val="Body"/>
        <w:spacing w:after="0"/>
        <w:rPr>
          <w:rFonts w:ascii="Arial" w:hAnsi="Arial" w:cs="Arial"/>
          <w:b/>
          <w:bCs/>
          <w:lang w:val="en-IN"/>
        </w:rPr>
      </w:pPr>
      <w:r w:rsidRPr="004A12C3">
        <w:rPr>
          <w:rFonts w:ascii="Arial" w:hAnsi="Arial" w:cs="Arial"/>
          <w:b/>
          <w:bCs/>
          <w:lang w:val="en-IN"/>
        </w:rPr>
        <w:t>2.4.</w:t>
      </w:r>
      <w:r w:rsidR="00292908" w:rsidRPr="004A12C3">
        <w:rPr>
          <w:rFonts w:ascii="Arial" w:hAnsi="Arial" w:cs="Arial"/>
          <w:b/>
          <w:bCs/>
          <w:lang w:val="en-IN"/>
        </w:rPr>
        <w:t>1.3</w:t>
      </w:r>
      <w:r w:rsidR="00056720" w:rsidRPr="00056720">
        <w:rPr>
          <w:rFonts w:ascii="Arial" w:hAnsi="Arial" w:cs="Arial"/>
          <w:b/>
          <w:bCs/>
          <w:lang w:val="en-IN"/>
        </w:rPr>
        <w:t>. Returns to Scale</w:t>
      </w:r>
    </w:p>
    <w:p w14:paraId="5699D22D" w14:textId="77777777" w:rsidR="00C66C6F" w:rsidRPr="00056720" w:rsidRDefault="00C66C6F" w:rsidP="00056720">
      <w:pPr>
        <w:pStyle w:val="Body"/>
        <w:spacing w:after="0"/>
        <w:rPr>
          <w:rFonts w:ascii="Arial" w:hAnsi="Arial" w:cs="Arial"/>
          <w:b/>
          <w:bCs/>
          <w:lang w:val="en-IN"/>
        </w:rPr>
      </w:pPr>
    </w:p>
    <w:p w14:paraId="7D73F708"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Returns to scale were estimated as:</w:t>
      </w:r>
    </w:p>
    <w:p w14:paraId="64D8F1B4" w14:textId="3FD78CB3" w:rsidR="00056720" w:rsidRPr="00056720" w:rsidRDefault="00584EB8" w:rsidP="00056720">
      <w:pPr>
        <w:pStyle w:val="Body"/>
        <w:rPr>
          <w:rFonts w:ascii="Arial" w:hAnsi="Arial" w:cs="Arial"/>
          <w:lang w:val="en-IN"/>
        </w:rPr>
      </w:pPr>
      <m:oMathPara>
        <m:oMath>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r>
            <m:rPr>
              <m:sty m:val="p"/>
            </m:rPr>
            <w:rPr>
              <w:rFonts w:ascii="Arial" w:hAnsi="Arial" w:cs="Arial"/>
              <w:lang w:val="en-IN"/>
            </w:rPr>
            <w:br/>
          </m:r>
        </m:oMath>
      </m:oMathPara>
    </w:p>
    <w:p w14:paraId="71BD73B5" w14:textId="25A1DFA2" w:rsidR="00056720" w:rsidRPr="00056720" w:rsidRDefault="00B61CC4" w:rsidP="00F763C3">
      <w:pPr>
        <w:pStyle w:val="Body"/>
        <w:spacing w:after="0"/>
        <w:ind w:left="720"/>
        <w:rPr>
          <w:rFonts w:ascii="Arial" w:hAnsi="Arial" w:cs="Arial"/>
          <w:lang w:val="en-IN"/>
        </w:rPr>
      </w:pPr>
      <m:oMath>
        <m:r>
          <w:rPr>
            <w:rFonts w:ascii="Cambria Math" w:hAnsi="Cambria Math" w:cs="Arial"/>
            <w:lang w:val="en-IN"/>
          </w:rPr>
          <m:t>=1</m:t>
        </m:r>
      </m:oMath>
      <w:r w:rsidR="00056720" w:rsidRPr="00056720">
        <w:rPr>
          <w:rFonts w:ascii="Arial" w:hAnsi="Arial" w:cs="Arial"/>
          <w:lang w:val="en-IN"/>
        </w:rPr>
        <w:t xml:space="preserve">: Constant returns </w:t>
      </w:r>
    </w:p>
    <w:p w14:paraId="0C0CE77C" w14:textId="66AF4B09" w:rsidR="00056720" w:rsidRPr="00056720" w:rsidRDefault="009A70D3" w:rsidP="00F763C3">
      <w:pPr>
        <w:pStyle w:val="Body"/>
        <w:spacing w:after="0"/>
        <w:ind w:left="720"/>
        <w:rPr>
          <w:rFonts w:ascii="Arial" w:hAnsi="Arial" w:cs="Arial"/>
          <w:lang w:val="en-IN"/>
        </w:rPr>
      </w:pPr>
      <m:oMath>
        <m:d>
          <m:dPr>
            <m:begChr m:val="&lt;"/>
            <m:endChr m:val=""/>
            <m:ctrlPr>
              <w:rPr>
                <w:rFonts w:ascii="Cambria Math" w:hAnsi="Cambria Math" w:cs="Arial"/>
                <w:lang w:val="en-IN"/>
              </w:rPr>
            </m:ctrlPr>
          </m:dPr>
          <m:e>
            <m:r>
              <w:rPr>
                <w:rFonts w:ascii="Cambria Math" w:hAnsi="Cambria Math" w:cs="Arial"/>
                <w:lang w:val="en-IN"/>
              </w:rPr>
              <m:t>1</m:t>
            </m:r>
          </m:e>
        </m:d>
      </m:oMath>
      <w:r w:rsidR="00056720" w:rsidRPr="00056720">
        <w:rPr>
          <w:rFonts w:ascii="Arial" w:hAnsi="Arial" w:cs="Arial"/>
          <w:lang w:val="en-IN"/>
        </w:rPr>
        <w:t xml:space="preserve">: Decreasing returns </w:t>
      </w:r>
    </w:p>
    <w:p w14:paraId="70366936" w14:textId="04C76F3E" w:rsidR="00056720" w:rsidRPr="004A12C3" w:rsidRDefault="00B61CC4" w:rsidP="00F763C3">
      <w:pPr>
        <w:pStyle w:val="Body"/>
        <w:spacing w:after="0"/>
        <w:ind w:left="720"/>
        <w:rPr>
          <w:rFonts w:ascii="Arial" w:hAnsi="Arial" w:cs="Arial"/>
          <w:lang w:val="en-IN"/>
        </w:rPr>
      </w:pPr>
      <m:oMath>
        <m:r>
          <w:rPr>
            <w:rFonts w:ascii="Cambria Math" w:hAnsi="Cambria Math" w:cs="Arial"/>
            <w:lang w:val="en-IN"/>
          </w:rPr>
          <m:t>&gt;1</m:t>
        </m:r>
      </m:oMath>
      <w:r w:rsidR="00056720" w:rsidRPr="00056720">
        <w:rPr>
          <w:rFonts w:ascii="Arial" w:hAnsi="Arial" w:cs="Arial"/>
          <w:lang w:val="en-IN"/>
        </w:rPr>
        <w:t xml:space="preserve">: Increasing returns </w:t>
      </w:r>
    </w:p>
    <w:p w14:paraId="7F4DDA25" w14:textId="77777777" w:rsidR="00584EB8" w:rsidRPr="00056720" w:rsidRDefault="00584EB8" w:rsidP="00F763C3">
      <w:pPr>
        <w:pStyle w:val="Body"/>
        <w:spacing w:after="0"/>
        <w:ind w:left="720"/>
        <w:rPr>
          <w:rFonts w:ascii="Arial" w:hAnsi="Arial" w:cs="Arial"/>
          <w:lang w:val="en-IN"/>
        </w:rPr>
      </w:pPr>
    </w:p>
    <w:p w14:paraId="726F2B95" w14:textId="6020EC2A" w:rsidR="00056720" w:rsidRDefault="00584EB8"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2</w:t>
      </w:r>
      <w:r w:rsidR="00056720" w:rsidRPr="00056720">
        <w:rPr>
          <w:rFonts w:ascii="Arial" w:hAnsi="Arial" w:cs="Arial"/>
          <w:b/>
          <w:bCs/>
          <w:i/>
          <w:iCs/>
          <w:lang w:val="en-IN"/>
        </w:rPr>
        <w:t xml:space="preserve"> Stochastic Frontier Analysis (SFA)</w:t>
      </w:r>
    </w:p>
    <w:p w14:paraId="153EEC5F" w14:textId="77777777" w:rsidR="00C66C6F" w:rsidRPr="00056720" w:rsidRDefault="00C66C6F" w:rsidP="00056720">
      <w:pPr>
        <w:pStyle w:val="Body"/>
        <w:spacing w:after="0"/>
        <w:rPr>
          <w:rFonts w:ascii="Arial" w:hAnsi="Arial" w:cs="Arial"/>
          <w:b/>
          <w:bCs/>
          <w:i/>
          <w:iCs/>
          <w:lang w:val="en-IN"/>
        </w:rPr>
      </w:pPr>
    </w:p>
    <w:p w14:paraId="2DE7F3C8"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To overcome the limitations of the deterministic Cobb–Douglas model and to separate inefficiency from random shocks, the stochastic frontier production function was employed.</w:t>
      </w:r>
    </w:p>
    <w:p w14:paraId="368014DA"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14:paraId="6AACB6D3" w14:textId="1DA83218" w:rsidR="00056720" w:rsidRPr="00056720" w:rsidRDefault="00B61CC4" w:rsidP="00056720">
      <w:pPr>
        <w:pStyle w:val="Body"/>
        <w:spacing w:after="0"/>
        <w:rPr>
          <w:rFonts w:ascii="Arial" w:hAnsi="Arial" w:cs="Arial"/>
          <w:lang w:val="en-IN"/>
        </w:rPr>
      </w:pPr>
      <m:oMathPara>
        <m:oMath>
          <m:r>
            <m:rPr>
              <m:sty m:val="p"/>
            </m:rPr>
            <w:rPr>
              <w:rFonts w:ascii="Cambria Math" w:hAnsi="Cambria Math" w:cs="Arial"/>
              <w:lang w:val="en-IN"/>
            </w:rPr>
            <w:lastRenderedPageBreak/>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Y</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1"/>
              <m:ctrlPr>
                <w:rPr>
                  <w:rFonts w:ascii="Cambria Math" w:hAnsi="Cambria Math" w:cs="Arial"/>
                  <w:lang w:val="en-IN"/>
                </w:rPr>
              </m:ctrlPr>
            </m:naryPr>
            <m:sub>
              <m:r>
                <w:rPr>
                  <w:rFonts w:ascii="Cambria Math" w:hAnsi="Cambria Math" w:cs="Arial"/>
                  <w:lang w:val="en-IN"/>
                </w:rPr>
                <m:t>i=1</m:t>
              </m:r>
            </m:sub>
            <m:sup>
              <m:r>
                <w:rPr>
                  <w:rFonts w:ascii="Cambria Math" w:hAnsi="Cambria Math" w:cs="Arial"/>
                  <w:lang w:val="en-IN"/>
                </w:rPr>
                <m:t>6</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e>
          </m:nary>
          <m:r>
            <m:rPr>
              <m:sty m:val="p"/>
            </m:rPr>
            <w:rPr>
              <w:rFonts w:ascii="Cambria Math" w:hAnsi="Cambria Math" w:cs="Arial"/>
              <w:lang w:val="en-IN"/>
            </w:rPr>
            <m:t>ln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m:oMathPara>
    </w:p>
    <w:p w14:paraId="7EEEAF5D"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14:paraId="25CA8683" w14:textId="3F0F40A4" w:rsidR="00056720" w:rsidRPr="00056720" w:rsidRDefault="009A70D3" w:rsidP="00056720">
      <w:pPr>
        <w:pStyle w:val="Body"/>
        <w:numPr>
          <w:ilvl w:val="0"/>
          <w:numId w:val="38"/>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oMath>
      <w:r w:rsidR="00056720" w:rsidRPr="00056720">
        <w:rPr>
          <w:rFonts w:ascii="Arial" w:hAnsi="Arial" w:cs="Arial"/>
          <w:lang w:val="en-IN"/>
        </w:rPr>
        <w:t xml:space="preserve">: Random error (weather, market fluctuations, measurement errors) </w:t>
      </w:r>
    </w:p>
    <w:p w14:paraId="65970FA7" w14:textId="49C13446" w:rsidR="00056720" w:rsidRPr="00056720" w:rsidRDefault="009A70D3" w:rsidP="00056720">
      <w:pPr>
        <w:pStyle w:val="Body"/>
        <w:numPr>
          <w:ilvl w:val="0"/>
          <w:numId w:val="38"/>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oMath>
      <w:r w:rsidR="00056720" w:rsidRPr="00056720">
        <w:rPr>
          <w:rFonts w:ascii="Arial" w:hAnsi="Arial" w:cs="Arial"/>
          <w:lang w:val="en-IN"/>
        </w:rPr>
        <w:t xml:space="preserve">: Non-negative inefficiency term </w:t>
      </w:r>
    </w:p>
    <w:p w14:paraId="6F405F1E"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Assumptions:</w:t>
      </w:r>
    </w:p>
    <w:p w14:paraId="138DFFDB" w14:textId="6BC6E147" w:rsidR="00056720" w:rsidRPr="00056720" w:rsidRDefault="009A70D3" w:rsidP="00056720">
      <w:pPr>
        <w:pStyle w:val="Body"/>
        <w:numPr>
          <w:ilvl w:val="0"/>
          <w:numId w:val="39"/>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V</m:t>
            </m:r>
          </m:e>
          <m:sub>
            <m:r>
              <w:rPr>
                <w:rFonts w:ascii="Cambria Math" w:hAnsi="Cambria Math" w:cs="Arial"/>
                <w:lang w:val="en-IN"/>
              </w:rPr>
              <m:t>i</m:t>
            </m:r>
          </m:sub>
        </m:sSub>
        <m:r>
          <w:rPr>
            <w:rFonts w:ascii="Cambria Math" w:hAnsi="Cambria Math" w:cs="Arial"/>
            <w:lang w:val="en-IN"/>
          </w:rPr>
          <m:t>∼</m:t>
        </m:r>
        <m:r>
          <w:rPr>
            <w:rFonts w:ascii="Cambria Math" w:hAnsi="Cambria Math" w:cs="Arial"/>
            <w:lang w:val="en-IN"/>
          </w:rPr>
          <m:t>N</m:t>
        </m:r>
        <m:r>
          <w:rPr>
            <w:rFonts w:ascii="Cambria Math" w:hAnsi="Cambria Math" w:cs="Arial"/>
            <w:lang w:val="en-IN"/>
          </w:rPr>
          <m:t>(0,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v</m:t>
            </m:r>
          </m:sub>
          <m:sup>
            <m:r>
              <w:rPr>
                <w:rFonts w:ascii="Cambria Math" w:hAnsi="Cambria Math" w:cs="Arial"/>
                <w:lang w:val="en-IN"/>
              </w:rPr>
              <m:t>2</m:t>
            </m:r>
          </m:sup>
        </m:sSubSup>
        <m:r>
          <w:rPr>
            <w:rFonts w:ascii="Cambria Math" w:hAnsi="Cambria Math" w:cs="Arial"/>
            <w:lang w:val="en-IN"/>
          </w:rPr>
          <m:t>)</m:t>
        </m:r>
      </m:oMath>
    </w:p>
    <w:p w14:paraId="3425FFE1" w14:textId="73F7CB11" w:rsidR="00D41A18" w:rsidRPr="00056720" w:rsidRDefault="009A70D3" w:rsidP="00D41A18">
      <w:pPr>
        <w:pStyle w:val="Body"/>
        <w:numPr>
          <w:ilvl w:val="0"/>
          <w:numId w:val="39"/>
        </w:numPr>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N</m:t>
            </m:r>
          </m:e>
          <m:sup>
            <m:r>
              <w:rPr>
                <w:rFonts w:ascii="Cambria Math" w:hAnsi="Cambria Math" w:cs="Arial"/>
                <w:lang w:val="en-IN"/>
              </w:rPr>
              <m:t>+</m:t>
            </m:r>
          </m:sup>
        </m:sSup>
        <m:r>
          <w:rPr>
            <w:rFonts w:ascii="Cambria Math" w:hAnsi="Cambria Math" w:cs="Arial"/>
            <w:lang w:val="en-IN"/>
          </w:rPr>
          <m:t>(0,</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r>
          <w:rPr>
            <w:rFonts w:ascii="Cambria Math" w:hAnsi="Cambria Math" w:cs="Arial"/>
            <w:lang w:val="en-IN"/>
          </w:rPr>
          <m:t>)</m:t>
        </m:r>
      </m:oMath>
    </w:p>
    <w:p w14:paraId="285A99EB" w14:textId="0F34C337" w:rsidR="00056720" w:rsidRDefault="001932CD"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2.1</w:t>
      </w:r>
      <w:r w:rsidRPr="004A12C3">
        <w:rPr>
          <w:rFonts w:ascii="Arial" w:hAnsi="Arial" w:cs="Arial"/>
          <w:b/>
          <w:bCs/>
          <w:i/>
          <w:iCs/>
          <w:lang w:val="en-IN"/>
        </w:rPr>
        <w:t xml:space="preserve"> </w:t>
      </w:r>
      <w:r w:rsidR="00056720" w:rsidRPr="00056720">
        <w:rPr>
          <w:rFonts w:ascii="Arial" w:hAnsi="Arial" w:cs="Arial"/>
          <w:b/>
          <w:bCs/>
          <w:i/>
          <w:iCs/>
          <w:lang w:val="en-IN"/>
        </w:rPr>
        <w:t>Technical Efficiency</w:t>
      </w:r>
    </w:p>
    <w:p w14:paraId="2DEA2E9D" w14:textId="77777777" w:rsidR="00C66C6F" w:rsidRPr="00056720" w:rsidRDefault="00C66C6F" w:rsidP="00056720">
      <w:pPr>
        <w:pStyle w:val="Body"/>
        <w:spacing w:after="0"/>
        <w:rPr>
          <w:rFonts w:ascii="Arial" w:hAnsi="Arial" w:cs="Arial"/>
          <w:b/>
          <w:bCs/>
          <w:i/>
          <w:iCs/>
          <w:lang w:val="en-IN"/>
        </w:rPr>
      </w:pPr>
    </w:p>
    <w:p w14:paraId="36CF8F0F" w14:textId="0BE6801F" w:rsidR="00056720" w:rsidRPr="004A12C3" w:rsidRDefault="001932CD" w:rsidP="00056720">
      <w:pPr>
        <w:pStyle w:val="Body"/>
        <w:spacing w:after="0"/>
        <w:rPr>
          <w:rFonts w:ascii="Arial" w:hAnsi="Arial" w:cs="Arial"/>
          <w:lang w:val="en-IN"/>
        </w:rPr>
      </w:pPr>
      <m:oMathPara>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r>
            <w:rPr>
              <w:rFonts w:ascii="Cambria Math" w:hAnsi="Cambria Math" w:cs="Arial"/>
              <w:lang w:val="en-IN"/>
            </w:rPr>
            <m:t>=</m:t>
          </m:r>
          <m:func>
            <m:funcPr>
              <m:ctrlPr>
                <w:rPr>
                  <w:rFonts w:ascii="Cambria Math" w:hAnsi="Cambria Math" w:cs="Arial"/>
                  <w:i/>
                  <w:lang w:val="en-IN"/>
                </w:rPr>
              </m:ctrlPr>
            </m:funcPr>
            <m:fName>
              <m:r>
                <m:rPr>
                  <m:sty m:val="p"/>
                </m:rPr>
                <w:rPr>
                  <w:rFonts w:ascii="Cambria Math" w:hAnsi="Cambria Math" w:cs="Arial"/>
                  <w:lang w:val="en-IN"/>
                </w:rPr>
                <m:t>exp</m:t>
              </m:r>
            </m:fName>
            <m:e>
              <m:d>
                <m:dPr>
                  <m:ctrlPr>
                    <w:rPr>
                      <w:rFonts w:ascii="Cambria Math" w:hAnsi="Cambria Math" w:cs="Arial"/>
                      <w:i/>
                      <w:lang w:val="en-IN"/>
                    </w:rPr>
                  </m:ctrlPr>
                </m:dPr>
                <m:e>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U</m:t>
                      </m:r>
                    </m:e>
                    <m:sub>
                      <m:r>
                        <w:rPr>
                          <w:rFonts w:ascii="Cambria Math" w:hAnsi="Cambria Math" w:cs="Arial"/>
                          <w:lang w:val="en-IN"/>
                        </w:rPr>
                        <m:t>i</m:t>
                      </m:r>
                    </m:sub>
                  </m:sSub>
                </m:e>
              </m:d>
            </m:e>
          </m:func>
        </m:oMath>
      </m:oMathPara>
    </w:p>
    <w:p w14:paraId="0105FECD" w14:textId="77777777" w:rsidR="001932CD" w:rsidRPr="00056720" w:rsidRDefault="001932CD" w:rsidP="00056720">
      <w:pPr>
        <w:pStyle w:val="Body"/>
        <w:spacing w:after="0"/>
        <w:rPr>
          <w:rFonts w:ascii="Arial" w:hAnsi="Arial" w:cs="Arial"/>
          <w:lang w:val="en-IN"/>
        </w:rPr>
      </w:pPr>
    </w:p>
    <w:p w14:paraId="258B3EB7" w14:textId="77777777" w:rsidR="001932CD" w:rsidRPr="004A12C3" w:rsidRDefault="00B61CC4" w:rsidP="001932CD">
      <w:pPr>
        <w:pStyle w:val="Body"/>
        <w:spacing w:after="0"/>
        <w:rPr>
          <w:rFonts w:ascii="Arial" w:hAnsi="Arial" w:cs="Arial"/>
          <w:lang w:val="en-IN"/>
        </w:rPr>
      </w:pPr>
      <m:oMathPara>
        <m:oMath>
          <m:r>
            <w:rPr>
              <w:rFonts w:ascii="Cambria Math" w:hAnsi="Cambria Math" w:cs="Arial"/>
              <w:lang w:val="en-IN"/>
            </w:rPr>
            <m:t>0&lt;TE≤1</m:t>
          </m:r>
        </m:oMath>
      </m:oMathPara>
    </w:p>
    <w:p w14:paraId="12614D1F" w14:textId="77777777" w:rsidR="001932CD" w:rsidRPr="004A12C3" w:rsidRDefault="001932CD" w:rsidP="001932CD">
      <w:pPr>
        <w:pStyle w:val="Body"/>
        <w:spacing w:after="0"/>
        <w:rPr>
          <w:rFonts w:ascii="Arial" w:hAnsi="Arial" w:cs="Arial"/>
          <w:lang w:val="en-IN"/>
        </w:rPr>
      </w:pPr>
    </w:p>
    <w:p w14:paraId="2D7ADC00" w14:textId="4B66ED11" w:rsidR="00056720" w:rsidRPr="004A12C3" w:rsidRDefault="00056720" w:rsidP="001932CD">
      <w:pPr>
        <w:pStyle w:val="Body"/>
        <w:spacing w:after="0"/>
        <w:ind w:left="720"/>
        <w:rPr>
          <w:rFonts w:ascii="Arial" w:hAnsi="Arial" w:cs="Arial"/>
          <w:lang w:val="en-IN"/>
        </w:rPr>
      </w:pPr>
      <w:r w:rsidRPr="00056720">
        <w:rPr>
          <w:rFonts w:ascii="Arial" w:hAnsi="Arial" w:cs="Arial"/>
          <w:lang w:val="en-IN"/>
        </w:rPr>
        <w:t xml:space="preserve">Higher values indicate greater efficiency </w:t>
      </w:r>
    </w:p>
    <w:p w14:paraId="71B68A72" w14:textId="77777777" w:rsidR="001932CD" w:rsidRPr="00056720" w:rsidRDefault="001932CD" w:rsidP="001932CD">
      <w:pPr>
        <w:pStyle w:val="Body"/>
        <w:spacing w:after="0"/>
        <w:ind w:left="720"/>
        <w:rPr>
          <w:rFonts w:ascii="Arial" w:hAnsi="Arial" w:cs="Arial"/>
          <w:lang w:val="en-IN"/>
        </w:rPr>
      </w:pPr>
    </w:p>
    <w:p w14:paraId="5D56C5C3" w14:textId="7AA45E95" w:rsidR="00056720" w:rsidRDefault="001932CD" w:rsidP="00056720">
      <w:pPr>
        <w:pStyle w:val="Body"/>
        <w:spacing w:after="0"/>
        <w:rPr>
          <w:rFonts w:ascii="Arial" w:hAnsi="Arial" w:cs="Arial"/>
          <w:b/>
          <w:bCs/>
          <w:i/>
          <w:iCs/>
          <w:lang w:val="en-IN"/>
        </w:rPr>
      </w:pPr>
      <w:r w:rsidRPr="004A12C3">
        <w:rPr>
          <w:rFonts w:ascii="Arial" w:hAnsi="Arial" w:cs="Arial"/>
          <w:b/>
          <w:bCs/>
          <w:i/>
          <w:iCs/>
          <w:lang w:val="en-IN"/>
        </w:rPr>
        <w:t>2.4.</w:t>
      </w:r>
      <w:r w:rsidR="00292908" w:rsidRPr="004A12C3">
        <w:rPr>
          <w:rFonts w:ascii="Arial" w:hAnsi="Arial" w:cs="Arial"/>
          <w:b/>
          <w:bCs/>
          <w:i/>
          <w:iCs/>
          <w:lang w:val="en-IN"/>
        </w:rPr>
        <w:t xml:space="preserve">2.2 </w:t>
      </w:r>
      <w:r w:rsidR="00056720" w:rsidRPr="00056720">
        <w:rPr>
          <w:rFonts w:ascii="Arial" w:hAnsi="Arial" w:cs="Arial"/>
          <w:b/>
          <w:bCs/>
          <w:i/>
          <w:iCs/>
          <w:lang w:val="en-IN"/>
        </w:rPr>
        <w:t>Variance Ratio</w:t>
      </w:r>
    </w:p>
    <w:p w14:paraId="1D65C47C" w14:textId="77777777" w:rsidR="00C66C6F" w:rsidRPr="00056720" w:rsidRDefault="00C66C6F" w:rsidP="00056720">
      <w:pPr>
        <w:pStyle w:val="Body"/>
        <w:spacing w:after="0"/>
        <w:rPr>
          <w:rFonts w:ascii="Arial" w:hAnsi="Arial" w:cs="Arial"/>
          <w:b/>
          <w:bCs/>
          <w:i/>
          <w:iCs/>
          <w:lang w:val="en-IN"/>
        </w:rPr>
      </w:pPr>
    </w:p>
    <w:p w14:paraId="64EDBAE8" w14:textId="1B4D03EC" w:rsidR="00056720" w:rsidRPr="00056720" w:rsidRDefault="00B61CC4" w:rsidP="00056720">
      <w:pPr>
        <w:pStyle w:val="Body"/>
        <w:rPr>
          <w:rFonts w:ascii="Arial" w:hAnsi="Arial" w:cs="Arial"/>
          <w:lang w:val="en-IN"/>
        </w:rPr>
      </w:pPr>
      <m:oMathPara>
        <m:oMath>
          <m:r>
            <w:rPr>
              <w:rFonts w:ascii="Cambria Math" w:hAnsi="Cambria Math" w:cs="Arial"/>
              <w:lang w:val="en-IN"/>
            </w:rPr>
            <m:t>γ=</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u</m:t>
                  </m:r>
                </m:sub>
                <m:sup>
                  <m:r>
                    <w:rPr>
                      <w:rFonts w:ascii="Cambria Math" w:hAnsi="Cambria Math" w:cs="Arial"/>
                      <w:lang w:val="en-IN"/>
                    </w:rPr>
                    <m:t>2</m:t>
                  </m:r>
                </m:sup>
              </m:sSubSup>
              <m:r>
                <w:rPr>
                  <w:rFonts w:ascii="Cambria Math" w:hAnsi="Cambria Math" w:cs="Arial"/>
                  <w:lang w:val="en-IN"/>
                </w:rPr>
                <m:t>+</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v</m:t>
                  </m:r>
                </m:sub>
                <m:sup>
                  <m:r>
                    <w:rPr>
                      <w:rFonts w:ascii="Cambria Math" w:hAnsi="Cambria Math" w:cs="Arial"/>
                      <w:lang w:val="en-IN"/>
                    </w:rPr>
                    <m:t>2</m:t>
                  </m:r>
                </m:sup>
              </m:sSubSup>
            </m:den>
          </m:f>
          <m:r>
            <m:rPr>
              <m:sty m:val="p"/>
            </m:rPr>
            <w:rPr>
              <w:rFonts w:ascii="Arial" w:hAnsi="Arial" w:cs="Arial"/>
              <w:lang w:val="en-IN"/>
            </w:rPr>
            <w:br/>
          </m:r>
        </m:oMath>
      </m:oMathPara>
    </w:p>
    <w:p w14:paraId="1457C099" w14:textId="47F610CA" w:rsidR="00056720" w:rsidRPr="004A12C3" w:rsidRDefault="00056720" w:rsidP="00292908">
      <w:pPr>
        <w:pStyle w:val="Body"/>
        <w:spacing w:after="0"/>
        <w:ind w:left="720"/>
        <w:rPr>
          <w:rFonts w:ascii="Arial" w:hAnsi="Arial" w:cs="Arial"/>
          <w:lang w:val="en-IN"/>
        </w:rPr>
      </w:pPr>
      <w:r w:rsidRPr="00056720">
        <w:rPr>
          <w:rFonts w:ascii="Arial" w:hAnsi="Arial" w:cs="Arial"/>
          <w:lang w:val="en-IN"/>
        </w:rPr>
        <w:t xml:space="preserve">Indicates the relative importance of inefficiency </w:t>
      </w:r>
    </w:p>
    <w:p w14:paraId="7D6D6F7F" w14:textId="77777777" w:rsidR="00292908" w:rsidRPr="00056720" w:rsidRDefault="00292908" w:rsidP="00292908">
      <w:pPr>
        <w:pStyle w:val="Body"/>
        <w:spacing w:after="0"/>
        <w:ind w:left="360"/>
        <w:rPr>
          <w:rFonts w:ascii="Arial" w:hAnsi="Arial" w:cs="Arial"/>
          <w:lang w:val="en-IN"/>
        </w:rPr>
      </w:pPr>
    </w:p>
    <w:p w14:paraId="05847CDC" w14:textId="0394293F" w:rsidR="00056720" w:rsidRDefault="00292908" w:rsidP="00056720">
      <w:pPr>
        <w:pStyle w:val="Body"/>
        <w:spacing w:after="0"/>
        <w:rPr>
          <w:rFonts w:ascii="Arial" w:hAnsi="Arial" w:cs="Arial"/>
          <w:b/>
          <w:bCs/>
          <w:i/>
          <w:iCs/>
          <w:lang w:val="en-IN"/>
        </w:rPr>
      </w:pPr>
      <w:r w:rsidRPr="004A12C3">
        <w:rPr>
          <w:rFonts w:ascii="Arial" w:hAnsi="Arial" w:cs="Arial"/>
          <w:b/>
          <w:bCs/>
          <w:i/>
          <w:iCs/>
          <w:lang w:val="en-IN"/>
        </w:rPr>
        <w:t>2.4.3</w:t>
      </w:r>
      <w:r w:rsidR="00056720" w:rsidRPr="00056720">
        <w:rPr>
          <w:rFonts w:ascii="Arial" w:hAnsi="Arial" w:cs="Arial"/>
          <w:b/>
          <w:bCs/>
          <w:i/>
          <w:iCs/>
          <w:lang w:val="en-IN"/>
        </w:rPr>
        <w:t xml:space="preserve"> Tobit Regression Model</w:t>
      </w:r>
    </w:p>
    <w:p w14:paraId="1F6F9878" w14:textId="77777777" w:rsidR="00C66C6F" w:rsidRPr="00056720" w:rsidRDefault="00C66C6F" w:rsidP="00056720">
      <w:pPr>
        <w:pStyle w:val="Body"/>
        <w:spacing w:after="0"/>
        <w:rPr>
          <w:rFonts w:ascii="Arial" w:hAnsi="Arial" w:cs="Arial"/>
          <w:b/>
          <w:bCs/>
          <w:i/>
          <w:iCs/>
          <w:lang w:val="en-IN"/>
        </w:rPr>
      </w:pPr>
    </w:p>
    <w:p w14:paraId="46B6BE24"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Since technical efficiency scores are bounded between 0 and 1, a Tobit regression model was used to identify factors influencing efficiency.</w:t>
      </w:r>
    </w:p>
    <w:p w14:paraId="6BA94A16"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Model Specification</w:t>
      </w:r>
    </w:p>
    <w:p w14:paraId="588C141E" w14:textId="2758AD95" w:rsidR="00056720" w:rsidRPr="00056720" w:rsidRDefault="00B61CC4" w:rsidP="00056720">
      <w:pPr>
        <w:pStyle w:val="Body"/>
        <w:spacing w:after="0"/>
        <w:rPr>
          <w:rFonts w:ascii="Arial" w:hAnsi="Arial" w:cs="Arial"/>
          <w:lang w:val="en-IN"/>
        </w:rPr>
      </w:pPr>
      <m:oMathPara>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0</m:t>
              </m:r>
            </m:sub>
          </m:sSub>
          <m:r>
            <w:rPr>
              <w:rFonts w:ascii="Cambria Math" w:hAnsi="Cambria Math" w:cs="Arial"/>
              <w:lang w:val="en-IN"/>
            </w:rPr>
            <m:t>+</m:t>
          </m:r>
          <m:nary>
            <m:naryPr>
              <m:chr m:val="∑"/>
              <m:limLoc m:val="subSup"/>
              <m:grow m:val="1"/>
              <m:ctrlPr>
                <w:rPr>
                  <w:rFonts w:ascii="Cambria Math" w:hAnsi="Cambria Math" w:cs="Arial"/>
                  <w:lang w:val="en-IN"/>
                </w:rPr>
              </m:ctrlPr>
            </m:naryPr>
            <m:sub>
              <m:r>
                <w:rPr>
                  <w:rFonts w:ascii="Cambria Math" w:hAnsi="Cambria Math" w:cs="Arial"/>
                  <w:lang w:val="en-IN"/>
                </w:rPr>
                <m:t>j=1</m:t>
              </m:r>
            </m:sub>
            <m:sup>
              <m:r>
                <w:rPr>
                  <w:rFonts w:ascii="Cambria Math" w:hAnsi="Cambria Math" w:cs="Arial"/>
                  <w:lang w:val="en-IN"/>
                </w:rPr>
                <m:t>m</m:t>
              </m:r>
            </m:sup>
            <m:e>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j</m:t>
                  </m:r>
                </m:sub>
              </m:sSub>
            </m:e>
          </m:nary>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ji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ε</m:t>
              </m:r>
            </m:e>
            <m:sub>
              <m:r>
                <w:rPr>
                  <w:rFonts w:ascii="Cambria Math" w:hAnsi="Cambria Math" w:cs="Arial"/>
                  <w:lang w:val="en-IN"/>
                </w:rPr>
                <m:t>i</m:t>
              </m:r>
            </m:sub>
          </m:sSub>
        </m:oMath>
      </m:oMathPara>
    </w:p>
    <w:p w14:paraId="10ECB2EB" w14:textId="77777777" w:rsidR="00056720" w:rsidRPr="00056720" w:rsidRDefault="00056720" w:rsidP="00056720">
      <w:pPr>
        <w:pStyle w:val="Body"/>
        <w:spacing w:after="0"/>
        <w:rPr>
          <w:rFonts w:ascii="Arial" w:hAnsi="Arial" w:cs="Arial"/>
          <w:lang w:val="en-IN"/>
        </w:rPr>
      </w:pPr>
      <w:r w:rsidRPr="00056720">
        <w:rPr>
          <w:rFonts w:ascii="Arial" w:hAnsi="Arial" w:cs="Arial"/>
          <w:lang w:val="en-IN"/>
        </w:rPr>
        <w:t>Where:</w:t>
      </w:r>
    </w:p>
    <w:p w14:paraId="6398AA0D" w14:textId="64ED5A67" w:rsidR="00056720" w:rsidRPr="00056720" w:rsidRDefault="00B61CC4" w:rsidP="00292908">
      <w:pPr>
        <w:pStyle w:val="Body"/>
        <w:spacing w:after="0"/>
        <w:ind w:left="720"/>
        <w:rPr>
          <w:rFonts w:ascii="Arial" w:hAnsi="Arial" w:cs="Arial"/>
          <w:lang w:val="en-IN"/>
        </w:rPr>
      </w:pPr>
      <m:oMath>
        <m:r>
          <w:rPr>
            <w:rFonts w:ascii="Cambria Math" w:hAnsi="Cambria Math" w:cs="Arial"/>
            <w:lang w:val="en-IN"/>
          </w:rPr>
          <m:t>T</m:t>
        </m:r>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oMath>
      <w:r w:rsidR="00056720" w:rsidRPr="00056720">
        <w:rPr>
          <w:rFonts w:ascii="Arial" w:hAnsi="Arial" w:cs="Arial"/>
          <w:lang w:val="en-IN"/>
        </w:rPr>
        <w:t xml:space="preserve">: Technical efficiency score </w:t>
      </w:r>
    </w:p>
    <w:p w14:paraId="72C095E7" w14:textId="7A2ACD28" w:rsidR="00056720" w:rsidRPr="00056720" w:rsidRDefault="009A70D3" w:rsidP="00292908">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j</m:t>
            </m:r>
          </m:sub>
        </m:sSub>
      </m:oMath>
      <w:r w:rsidR="00056720" w:rsidRPr="00056720">
        <w:rPr>
          <w:rFonts w:ascii="Arial" w:hAnsi="Arial" w:cs="Arial"/>
          <w:lang w:val="en-IN"/>
        </w:rPr>
        <w:t xml:space="preserve">: Socio-economic variables (age, education, farm size, experience, extension contact, credit access, etc.) </w:t>
      </w:r>
    </w:p>
    <w:p w14:paraId="6143AF4F" w14:textId="067A94DE" w:rsidR="00056720" w:rsidRPr="004A12C3" w:rsidRDefault="009A70D3" w:rsidP="00292908">
      <w:pPr>
        <w:pStyle w:val="Body"/>
        <w:spacing w:after="0"/>
        <w:ind w:left="72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j</m:t>
            </m:r>
          </m:sub>
        </m:sSub>
      </m:oMath>
      <w:r w:rsidR="00056720" w:rsidRPr="00056720">
        <w:rPr>
          <w:rFonts w:ascii="Arial" w:hAnsi="Arial" w:cs="Arial"/>
          <w:lang w:val="en-IN"/>
        </w:rPr>
        <w:t xml:space="preserve">: Parameters </w:t>
      </w:r>
    </w:p>
    <w:p w14:paraId="032DC45E" w14:textId="77777777" w:rsidR="00292908" w:rsidRPr="004A12C3" w:rsidRDefault="00292908" w:rsidP="00292908">
      <w:pPr>
        <w:pStyle w:val="Body"/>
        <w:spacing w:after="0"/>
        <w:ind w:left="720"/>
        <w:rPr>
          <w:rFonts w:ascii="Arial" w:hAnsi="Arial" w:cs="Arial"/>
          <w:lang w:val="en-IN"/>
        </w:rPr>
      </w:pPr>
    </w:p>
    <w:p w14:paraId="0737384A" w14:textId="637924A0" w:rsidR="00056720" w:rsidRDefault="00DF7EAD" w:rsidP="00056720">
      <w:pPr>
        <w:pStyle w:val="Body"/>
        <w:spacing w:after="0"/>
        <w:rPr>
          <w:rFonts w:ascii="Arial" w:hAnsi="Arial" w:cs="Arial"/>
          <w:b/>
          <w:bCs/>
          <w:i/>
          <w:iCs/>
          <w:lang w:val="en-IN"/>
        </w:rPr>
      </w:pPr>
      <w:r w:rsidRPr="004A12C3">
        <w:rPr>
          <w:rFonts w:ascii="Arial" w:hAnsi="Arial" w:cs="Arial"/>
          <w:b/>
          <w:bCs/>
          <w:i/>
          <w:iCs/>
          <w:lang w:val="en-IN"/>
        </w:rPr>
        <w:t>2.4.4</w:t>
      </w:r>
      <w:r w:rsidR="00056720" w:rsidRPr="00056720">
        <w:rPr>
          <w:rFonts w:ascii="Arial" w:hAnsi="Arial" w:cs="Arial"/>
          <w:b/>
          <w:bCs/>
          <w:i/>
          <w:iCs/>
          <w:lang w:val="en-IN"/>
        </w:rPr>
        <w:t xml:space="preserve"> Estimation Technique</w:t>
      </w:r>
    </w:p>
    <w:p w14:paraId="01A899CE" w14:textId="77777777" w:rsidR="00C66C6F" w:rsidRPr="00056720" w:rsidRDefault="00C66C6F" w:rsidP="00056720">
      <w:pPr>
        <w:pStyle w:val="Body"/>
        <w:spacing w:after="0"/>
        <w:rPr>
          <w:rFonts w:ascii="Arial" w:hAnsi="Arial" w:cs="Arial"/>
          <w:b/>
          <w:bCs/>
          <w:i/>
          <w:iCs/>
          <w:lang w:val="en-IN"/>
        </w:rPr>
      </w:pPr>
    </w:p>
    <w:p w14:paraId="6C771492" w14:textId="77777777" w:rsidR="00056720" w:rsidRPr="00056720" w:rsidRDefault="00056720" w:rsidP="00056720">
      <w:pPr>
        <w:pStyle w:val="Body"/>
        <w:numPr>
          <w:ilvl w:val="0"/>
          <w:numId w:val="43"/>
        </w:numPr>
        <w:spacing w:after="0"/>
        <w:rPr>
          <w:rFonts w:ascii="Arial" w:hAnsi="Arial" w:cs="Arial"/>
          <w:lang w:val="en-IN"/>
        </w:rPr>
      </w:pPr>
      <w:r w:rsidRPr="00056720">
        <w:rPr>
          <w:rFonts w:ascii="Arial" w:hAnsi="Arial" w:cs="Arial"/>
          <w:lang w:val="en-IN"/>
        </w:rPr>
        <w:t xml:space="preserve">Parameters were estimated using Maximum Likelihood Estimation (MLE). </w:t>
      </w:r>
    </w:p>
    <w:p w14:paraId="2F5D0CE4" w14:textId="77777777" w:rsidR="00056720" w:rsidRPr="00056720" w:rsidRDefault="00056720" w:rsidP="00056720">
      <w:pPr>
        <w:pStyle w:val="Body"/>
        <w:numPr>
          <w:ilvl w:val="0"/>
          <w:numId w:val="43"/>
        </w:numPr>
        <w:spacing w:after="0"/>
        <w:rPr>
          <w:rFonts w:ascii="Arial" w:hAnsi="Arial" w:cs="Arial"/>
          <w:lang w:val="en-IN"/>
        </w:rPr>
      </w:pPr>
      <w:r w:rsidRPr="00056720">
        <w:rPr>
          <w:rFonts w:ascii="Arial" w:hAnsi="Arial" w:cs="Arial"/>
          <w:lang w:val="en-IN"/>
        </w:rPr>
        <w:t>Statistical analysis was carried out using appropriate econometric software.</w:t>
      </w:r>
    </w:p>
    <w:p w14:paraId="00524741" w14:textId="04DC4891" w:rsidR="00056720" w:rsidRPr="004A12C3" w:rsidRDefault="00B61CC4" w:rsidP="009F44A6">
      <w:pPr>
        <w:pStyle w:val="Body"/>
        <w:spacing w:after="0"/>
        <w:rPr>
          <w:rFonts w:ascii="Arial" w:hAnsi="Arial" w:cs="Arial"/>
          <w:lang w:val="en-IN"/>
        </w:rPr>
      </w:pPr>
      <w:r w:rsidRPr="004A12C3">
        <w:rPr>
          <w:rFonts w:ascii="Arial" w:hAnsi="Arial" w:cs="Arial"/>
        </w:rPr>
        <w:t>The stochastic frontier model was employed to estimate farm-level technical efficiency, and the obtained efficiency scores were further analyzed using a Tobit regression model to identify the socio-economic determinants influencing efficiency levels.</w:t>
      </w:r>
    </w:p>
    <w:p w14:paraId="576785B9" w14:textId="1610B4E1" w:rsidR="00054377" w:rsidRPr="00054377" w:rsidRDefault="00054377" w:rsidP="009F44A6">
      <w:pPr>
        <w:pStyle w:val="Body"/>
        <w:spacing w:after="0"/>
        <w:rPr>
          <w:rFonts w:ascii="Arial" w:hAnsi="Arial" w:cs="Arial"/>
          <w:b/>
          <w:bCs/>
          <w:sz w:val="22"/>
          <w:szCs w:val="22"/>
          <w:lang w:val="en-IN"/>
        </w:rPr>
      </w:pPr>
      <w:r w:rsidRPr="00054377">
        <w:rPr>
          <w:rFonts w:ascii="Arial" w:hAnsi="Arial" w:cs="Arial"/>
          <w:b/>
          <w:bCs/>
          <w:sz w:val="22"/>
          <w:szCs w:val="22"/>
          <w:lang w:val="en-IN"/>
        </w:rPr>
        <w:t xml:space="preserve"> </w:t>
      </w:r>
    </w:p>
    <w:p w14:paraId="4F3F424A" w14:textId="77777777" w:rsidR="00790ADA" w:rsidRPr="00FB3A86" w:rsidRDefault="00790ADA" w:rsidP="00441B6F">
      <w:pPr>
        <w:pStyle w:val="Body"/>
        <w:spacing w:after="0"/>
        <w:rPr>
          <w:rFonts w:ascii="Arial" w:hAnsi="Arial" w:cs="Arial"/>
        </w:rPr>
      </w:pPr>
    </w:p>
    <w:p w14:paraId="48DEF91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EA03E4" w14:textId="77777777" w:rsidR="00A47A53" w:rsidRPr="009A5FBD" w:rsidRDefault="00A47A53" w:rsidP="009A5FBD">
      <w:pPr>
        <w:pStyle w:val="Body"/>
        <w:spacing w:after="0"/>
        <w:rPr>
          <w:rFonts w:ascii="Arial" w:hAnsi="Arial" w:cs="Arial"/>
          <w:b/>
          <w:bCs/>
          <w:lang w:val="en-IN"/>
        </w:rPr>
      </w:pPr>
    </w:p>
    <w:p w14:paraId="698CE2BB" w14:textId="2966DA89" w:rsidR="00A47A53" w:rsidRPr="00986B89" w:rsidRDefault="00986B89" w:rsidP="00A47A53">
      <w:pPr>
        <w:pStyle w:val="Body"/>
        <w:spacing w:after="0"/>
        <w:rPr>
          <w:rFonts w:ascii="Arial" w:hAnsi="Arial" w:cs="Arial"/>
          <w:b/>
          <w:bCs/>
          <w:sz w:val="22"/>
          <w:szCs w:val="22"/>
          <w:lang w:val="en-IN"/>
        </w:rPr>
      </w:pPr>
      <w:r w:rsidRPr="00A47A53">
        <w:rPr>
          <w:rFonts w:ascii="Arial" w:hAnsi="Arial" w:cs="Arial"/>
          <w:b/>
          <w:bCs/>
          <w:sz w:val="22"/>
          <w:szCs w:val="22"/>
          <w:lang w:val="en-IN"/>
        </w:rPr>
        <w:t>3.1 PRODUCTION BEHAVIOUR AND RESOURCE USE EFFICIENCY</w:t>
      </w:r>
    </w:p>
    <w:p w14:paraId="0752DACC" w14:textId="77777777" w:rsidR="00C03219" w:rsidRPr="00A47A53" w:rsidRDefault="00C03219" w:rsidP="00A47A53">
      <w:pPr>
        <w:pStyle w:val="Body"/>
        <w:spacing w:after="0"/>
        <w:rPr>
          <w:rFonts w:ascii="Arial" w:hAnsi="Arial" w:cs="Arial"/>
          <w:b/>
          <w:bCs/>
          <w:sz w:val="22"/>
          <w:szCs w:val="22"/>
          <w:lang w:val="en-IN"/>
        </w:rPr>
      </w:pPr>
    </w:p>
    <w:p w14:paraId="5CE2FDF8" w14:textId="77777777"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3.1.1 Estimated Production Function</w:t>
      </w:r>
    </w:p>
    <w:p w14:paraId="7AFC7835" w14:textId="77777777" w:rsidR="00C03219" w:rsidRPr="00A47A53" w:rsidRDefault="00C03219" w:rsidP="00A47A53">
      <w:pPr>
        <w:pStyle w:val="Body"/>
        <w:spacing w:after="0"/>
        <w:rPr>
          <w:rFonts w:ascii="Arial" w:hAnsi="Arial" w:cs="Arial"/>
          <w:b/>
          <w:bCs/>
          <w:i/>
          <w:iCs/>
          <w:lang w:val="en-IN"/>
        </w:rPr>
      </w:pPr>
    </w:p>
    <w:p w14:paraId="58A257D2" w14:textId="4E479C68" w:rsidR="00A47A53" w:rsidRPr="00A47A53" w:rsidRDefault="00A47A53" w:rsidP="00A47A53">
      <w:pPr>
        <w:pStyle w:val="Body"/>
        <w:spacing w:after="0"/>
        <w:rPr>
          <w:rFonts w:ascii="Arial" w:hAnsi="Arial" w:cs="Arial"/>
          <w:lang w:val="en-IN"/>
        </w:rPr>
      </w:pPr>
      <w:r w:rsidRPr="00A47A53">
        <w:rPr>
          <w:rFonts w:ascii="Arial" w:hAnsi="Arial" w:cs="Arial"/>
          <w:lang w:val="en-IN"/>
        </w:rPr>
        <w:lastRenderedPageBreak/>
        <w:t xml:space="preserve">The production behaviour of off-season cabbage farms was analysed using the </w:t>
      </w:r>
      <w:r w:rsidRPr="00A47A53">
        <w:rPr>
          <w:rFonts w:ascii="Arial" w:hAnsi="Arial" w:cs="Arial"/>
          <w:b/>
          <w:bCs/>
          <w:lang w:val="en-IN"/>
        </w:rPr>
        <w:t>Cobb</w:t>
      </w:r>
      <w:r w:rsidR="00986B89">
        <w:rPr>
          <w:rFonts w:ascii="Arial" w:hAnsi="Arial" w:cs="Arial"/>
          <w:b/>
          <w:bCs/>
          <w:lang w:val="en-IN"/>
        </w:rPr>
        <w:t>-</w:t>
      </w:r>
      <w:r w:rsidRPr="00A47A53">
        <w:rPr>
          <w:rFonts w:ascii="Arial" w:hAnsi="Arial" w:cs="Arial"/>
          <w:b/>
          <w:bCs/>
          <w:lang w:val="en-IN"/>
        </w:rPr>
        <w:t>Douglas production function</w:t>
      </w:r>
      <w:r w:rsidRPr="00A47A53">
        <w:rPr>
          <w:rFonts w:ascii="Arial" w:hAnsi="Arial" w:cs="Arial"/>
          <w:lang w:val="en-IN"/>
        </w:rPr>
        <w:t>, estimated separately for marginal, small and overall farm categories. The estimated models exhibited satisfactory goodness of fit, with adjusted R² values of 0.85, 0.89 and 0.82 for marginal, small and overall farms, respectively. This indicated that 82 to 89 per cent of the variation in yield was explained by the selected inputs, namely seeds, human labour, fertilizers and manure, and plant protection chemicals.</w:t>
      </w:r>
      <w:r w:rsidR="00F17E87">
        <w:rPr>
          <w:rFonts w:ascii="Arial" w:hAnsi="Arial" w:cs="Arial"/>
          <w:lang w:val="en-IN"/>
        </w:rPr>
        <w:t xml:space="preserve"> </w:t>
      </w:r>
      <w:r w:rsidRPr="00A47A53">
        <w:rPr>
          <w:rFonts w:ascii="Arial" w:hAnsi="Arial" w:cs="Arial"/>
          <w:lang w:val="en-IN"/>
        </w:rPr>
        <w:t>The estimated coefficients revealed considerable variation in input responsiveness across farm categories.</w:t>
      </w:r>
    </w:p>
    <w:p w14:paraId="2156553C" w14:textId="2DD44DDA" w:rsidR="00A47A53" w:rsidRPr="00A47A53" w:rsidRDefault="00A47A53" w:rsidP="00A47A53">
      <w:pPr>
        <w:pStyle w:val="Body"/>
        <w:spacing w:after="0"/>
        <w:rPr>
          <w:rFonts w:ascii="Arial" w:hAnsi="Arial" w:cs="Arial"/>
          <w:lang w:val="en-IN"/>
        </w:rPr>
      </w:pPr>
      <w:r w:rsidRPr="00A47A53">
        <w:rPr>
          <w:rFonts w:ascii="Arial" w:hAnsi="Arial" w:cs="Arial"/>
          <w:lang w:val="en-IN"/>
        </w:rPr>
        <w:t>Seed expenditure showed a positive and statistically significant effect on yield in marginal (0.21) and overall farms (0.20), indicating that an increase in seed use contributed substantially to output. In contrast, the coefficient was negative (-0.06) and statistically insignificant in small farms, suggesting inefficiency in seed utilization in this category.</w:t>
      </w:r>
      <w:r w:rsidR="00F17E87">
        <w:rPr>
          <w:rFonts w:ascii="Arial" w:hAnsi="Arial" w:cs="Arial"/>
          <w:lang w:val="en-IN"/>
        </w:rPr>
        <w:t xml:space="preserve"> </w:t>
      </w:r>
      <w:r w:rsidRPr="00A47A53">
        <w:rPr>
          <w:rFonts w:ascii="Arial" w:hAnsi="Arial" w:cs="Arial"/>
          <w:lang w:val="en-IN"/>
        </w:rPr>
        <w:t>Human labour exhibited a positive and statistically significant effect in marginal (0.006) and overall farms (0.013), although the magnitude of the coefficients remained low, indicating limited responsiveness of output to labour use. In small farms, the coefficient (0.001) was negligible and statistically insignificant.</w:t>
      </w:r>
      <w:r w:rsidR="00F17E87">
        <w:rPr>
          <w:rFonts w:ascii="Arial" w:hAnsi="Arial" w:cs="Arial"/>
          <w:lang w:val="en-IN"/>
        </w:rPr>
        <w:t xml:space="preserve"> </w:t>
      </w:r>
      <w:r w:rsidRPr="00A47A53">
        <w:rPr>
          <w:rFonts w:ascii="Arial" w:hAnsi="Arial" w:cs="Arial"/>
          <w:lang w:val="en-IN"/>
        </w:rPr>
        <w:t>Fertilizer and manure demonstrated a strong positive and significant influence on yield in marginal farms (0.36), while the effect was smaller but significant in small farms (0.06). However, at the overall level, the coefficient turned negative (-0.07), indicating possible overuse or imbalance in fertilizer application.</w:t>
      </w:r>
    </w:p>
    <w:p w14:paraId="7FB40E7E" w14:textId="599F75F3" w:rsidR="00A47A53" w:rsidRDefault="00A47A53" w:rsidP="00C03219">
      <w:pPr>
        <w:pStyle w:val="Body"/>
        <w:spacing w:after="0"/>
        <w:rPr>
          <w:rFonts w:ascii="Arial" w:hAnsi="Arial" w:cs="Arial"/>
          <w:lang w:val="en-IN"/>
        </w:rPr>
      </w:pPr>
      <w:r w:rsidRPr="00A47A53">
        <w:rPr>
          <w:rFonts w:ascii="Arial" w:hAnsi="Arial" w:cs="Arial"/>
          <w:lang w:val="en-IN"/>
        </w:rPr>
        <w:t>Plant protection chemicals showed a positive and statistically significant effect in small (0.17) and overall farms (0.40), whereas a negative coefficient (-0.58) was observed in marginal farms, indicating adverse effects on yield due to possible over-application.</w:t>
      </w:r>
    </w:p>
    <w:p w14:paraId="381AF119" w14:textId="77777777" w:rsidR="002B1CC1" w:rsidRDefault="002B1CC1" w:rsidP="00C03219">
      <w:pPr>
        <w:pStyle w:val="Body"/>
        <w:spacing w:after="0"/>
        <w:rPr>
          <w:rFonts w:ascii="Arial" w:hAnsi="Arial" w:cs="Arial"/>
          <w:lang w:val="en-IN"/>
        </w:rPr>
      </w:pPr>
    </w:p>
    <w:p w14:paraId="1475DAE8" w14:textId="77777777" w:rsidR="002B1CC1" w:rsidRPr="003346CE" w:rsidRDefault="002B1CC1" w:rsidP="002B1CC1">
      <w:pPr>
        <w:rPr>
          <w:rFonts w:ascii="Arial" w:hAnsi="Arial" w:cs="Arial"/>
          <w:b/>
          <w:bCs/>
        </w:rPr>
      </w:pPr>
      <w:r w:rsidRPr="003346CE">
        <w:rPr>
          <w:rFonts w:ascii="Arial" w:hAnsi="Arial" w:cs="Arial"/>
          <w:b/>
          <w:bCs/>
        </w:rPr>
        <w:t>Table:1 Regression co-</w:t>
      </w:r>
      <w:proofErr w:type="spellStart"/>
      <w:r w:rsidRPr="003346CE">
        <w:rPr>
          <w:rFonts w:ascii="Arial" w:hAnsi="Arial" w:cs="Arial"/>
          <w:b/>
          <w:bCs/>
        </w:rPr>
        <w:t>efficients</w:t>
      </w:r>
      <w:proofErr w:type="spellEnd"/>
      <w:r w:rsidRPr="003346CE">
        <w:rPr>
          <w:rFonts w:ascii="Arial" w:hAnsi="Arial" w:cs="Arial"/>
          <w:b/>
          <w:bCs/>
        </w:rPr>
        <w:t xml:space="preserve"> of the Explanatory variables from Cobb-Doughlas Production function: </w:t>
      </w:r>
    </w:p>
    <w:tbl>
      <w:tblPr>
        <w:tblStyle w:val="TableGrid"/>
        <w:tblW w:w="0" w:type="auto"/>
        <w:tblLook w:val="04A0" w:firstRow="1" w:lastRow="0" w:firstColumn="1" w:lastColumn="0" w:noHBand="0" w:noVBand="1"/>
      </w:tblPr>
      <w:tblGrid>
        <w:gridCol w:w="2124"/>
        <w:gridCol w:w="2100"/>
        <w:gridCol w:w="2100"/>
        <w:gridCol w:w="2100"/>
      </w:tblGrid>
      <w:tr w:rsidR="002B1CC1" w:rsidRPr="003346CE" w14:paraId="32EBDC65" w14:textId="77777777" w:rsidTr="004F600B">
        <w:tc>
          <w:tcPr>
            <w:tcW w:w="2254" w:type="dxa"/>
          </w:tcPr>
          <w:p w14:paraId="085BB706"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Explanatory variables</w:t>
            </w:r>
          </w:p>
        </w:tc>
        <w:tc>
          <w:tcPr>
            <w:tcW w:w="2254" w:type="dxa"/>
          </w:tcPr>
          <w:p w14:paraId="41891242"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Marginal farms t-calculated values</w:t>
            </w:r>
          </w:p>
        </w:tc>
        <w:tc>
          <w:tcPr>
            <w:tcW w:w="2254" w:type="dxa"/>
          </w:tcPr>
          <w:p w14:paraId="428E46D7"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Small farms t-calculated values</w:t>
            </w:r>
          </w:p>
        </w:tc>
        <w:tc>
          <w:tcPr>
            <w:tcW w:w="2254" w:type="dxa"/>
          </w:tcPr>
          <w:p w14:paraId="67409047"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Overall farms t-calculated values</w:t>
            </w:r>
          </w:p>
        </w:tc>
      </w:tr>
      <w:tr w:rsidR="002B1CC1" w:rsidRPr="003346CE" w14:paraId="4979C88D" w14:textId="77777777" w:rsidTr="004F600B">
        <w:tc>
          <w:tcPr>
            <w:tcW w:w="2254" w:type="dxa"/>
          </w:tcPr>
          <w:p w14:paraId="1D72D80C"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X1 (seed)</w:t>
            </w:r>
          </w:p>
        </w:tc>
        <w:tc>
          <w:tcPr>
            <w:tcW w:w="2254" w:type="dxa"/>
          </w:tcPr>
          <w:p w14:paraId="59D71787" w14:textId="77777777" w:rsidR="002B1CC1" w:rsidRPr="003346CE" w:rsidRDefault="002B1CC1" w:rsidP="004F600B">
            <w:pPr>
              <w:rPr>
                <w:rFonts w:ascii="Arial" w:hAnsi="Arial" w:cs="Arial"/>
                <w:sz w:val="20"/>
                <w:szCs w:val="20"/>
              </w:rPr>
            </w:pPr>
            <w:r w:rsidRPr="003346CE">
              <w:rPr>
                <w:rFonts w:ascii="Arial" w:hAnsi="Arial" w:cs="Arial"/>
                <w:sz w:val="20"/>
                <w:szCs w:val="20"/>
              </w:rPr>
              <w:t>3.74*</w:t>
            </w:r>
          </w:p>
        </w:tc>
        <w:tc>
          <w:tcPr>
            <w:tcW w:w="2254" w:type="dxa"/>
          </w:tcPr>
          <w:p w14:paraId="2BAE87B6" w14:textId="77777777" w:rsidR="002B1CC1" w:rsidRPr="003346CE" w:rsidRDefault="002B1CC1" w:rsidP="004F600B">
            <w:pPr>
              <w:rPr>
                <w:rFonts w:ascii="Arial" w:hAnsi="Arial" w:cs="Arial"/>
                <w:sz w:val="20"/>
                <w:szCs w:val="20"/>
              </w:rPr>
            </w:pPr>
            <w:r w:rsidRPr="003346CE">
              <w:rPr>
                <w:rFonts w:ascii="Arial" w:hAnsi="Arial" w:cs="Arial"/>
                <w:sz w:val="20"/>
                <w:szCs w:val="20"/>
              </w:rPr>
              <w:t>1.52</w:t>
            </w:r>
          </w:p>
        </w:tc>
        <w:tc>
          <w:tcPr>
            <w:tcW w:w="2254" w:type="dxa"/>
          </w:tcPr>
          <w:p w14:paraId="619919A5" w14:textId="77777777" w:rsidR="002B1CC1" w:rsidRPr="003346CE" w:rsidRDefault="002B1CC1" w:rsidP="004F600B">
            <w:pPr>
              <w:rPr>
                <w:rFonts w:ascii="Arial" w:hAnsi="Arial" w:cs="Arial"/>
                <w:sz w:val="20"/>
                <w:szCs w:val="20"/>
              </w:rPr>
            </w:pPr>
            <w:r w:rsidRPr="003346CE">
              <w:rPr>
                <w:rFonts w:ascii="Arial" w:hAnsi="Arial" w:cs="Arial"/>
                <w:sz w:val="20"/>
                <w:szCs w:val="20"/>
              </w:rPr>
              <w:t>4.63*</w:t>
            </w:r>
          </w:p>
        </w:tc>
      </w:tr>
      <w:tr w:rsidR="002B1CC1" w:rsidRPr="003346CE" w14:paraId="243EE67E" w14:textId="77777777" w:rsidTr="004F600B">
        <w:tc>
          <w:tcPr>
            <w:tcW w:w="2254" w:type="dxa"/>
          </w:tcPr>
          <w:p w14:paraId="600F9B7E"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 xml:space="preserve">X2 (human </w:t>
            </w:r>
            <w:proofErr w:type="spellStart"/>
            <w:r w:rsidRPr="003346CE">
              <w:rPr>
                <w:rFonts w:ascii="Arial" w:hAnsi="Arial" w:cs="Arial"/>
                <w:b/>
                <w:bCs/>
                <w:sz w:val="20"/>
                <w:szCs w:val="20"/>
              </w:rPr>
              <w:t>labour</w:t>
            </w:r>
            <w:proofErr w:type="spellEnd"/>
            <w:r w:rsidRPr="003346CE">
              <w:rPr>
                <w:rFonts w:ascii="Arial" w:hAnsi="Arial" w:cs="Arial"/>
                <w:b/>
                <w:bCs/>
                <w:sz w:val="20"/>
                <w:szCs w:val="20"/>
              </w:rPr>
              <w:t>)</w:t>
            </w:r>
          </w:p>
        </w:tc>
        <w:tc>
          <w:tcPr>
            <w:tcW w:w="2254" w:type="dxa"/>
          </w:tcPr>
          <w:p w14:paraId="51CD1B8C" w14:textId="77777777" w:rsidR="002B1CC1" w:rsidRPr="003346CE" w:rsidRDefault="002B1CC1" w:rsidP="004F600B">
            <w:pPr>
              <w:rPr>
                <w:rFonts w:ascii="Arial" w:hAnsi="Arial" w:cs="Arial"/>
                <w:sz w:val="20"/>
                <w:szCs w:val="20"/>
              </w:rPr>
            </w:pPr>
            <w:r w:rsidRPr="003346CE">
              <w:rPr>
                <w:rFonts w:ascii="Arial" w:hAnsi="Arial" w:cs="Arial"/>
                <w:sz w:val="20"/>
                <w:szCs w:val="20"/>
              </w:rPr>
              <w:t>1.57*</w:t>
            </w:r>
          </w:p>
        </w:tc>
        <w:tc>
          <w:tcPr>
            <w:tcW w:w="2254" w:type="dxa"/>
          </w:tcPr>
          <w:p w14:paraId="44A69D7B" w14:textId="77777777" w:rsidR="002B1CC1" w:rsidRPr="003346CE" w:rsidRDefault="002B1CC1" w:rsidP="004F600B">
            <w:pPr>
              <w:rPr>
                <w:rFonts w:ascii="Arial" w:hAnsi="Arial" w:cs="Arial"/>
                <w:sz w:val="20"/>
                <w:szCs w:val="20"/>
              </w:rPr>
            </w:pPr>
            <w:r w:rsidRPr="003346CE">
              <w:rPr>
                <w:rFonts w:ascii="Arial" w:hAnsi="Arial" w:cs="Arial"/>
                <w:sz w:val="20"/>
                <w:szCs w:val="20"/>
              </w:rPr>
              <w:t>0.60</w:t>
            </w:r>
          </w:p>
        </w:tc>
        <w:tc>
          <w:tcPr>
            <w:tcW w:w="2254" w:type="dxa"/>
          </w:tcPr>
          <w:p w14:paraId="46F4466F" w14:textId="77777777" w:rsidR="002B1CC1" w:rsidRPr="003346CE" w:rsidRDefault="002B1CC1" w:rsidP="004F600B">
            <w:pPr>
              <w:rPr>
                <w:rFonts w:ascii="Arial" w:hAnsi="Arial" w:cs="Arial"/>
                <w:sz w:val="20"/>
                <w:szCs w:val="20"/>
              </w:rPr>
            </w:pPr>
            <w:r w:rsidRPr="003346CE">
              <w:rPr>
                <w:rFonts w:ascii="Arial" w:hAnsi="Arial" w:cs="Arial"/>
                <w:sz w:val="20"/>
                <w:szCs w:val="20"/>
              </w:rPr>
              <w:t>4.68*</w:t>
            </w:r>
          </w:p>
        </w:tc>
      </w:tr>
      <w:tr w:rsidR="002B1CC1" w:rsidRPr="003346CE" w14:paraId="168AC77A" w14:textId="77777777" w:rsidTr="004F600B">
        <w:tc>
          <w:tcPr>
            <w:tcW w:w="2254" w:type="dxa"/>
          </w:tcPr>
          <w:p w14:paraId="1C1D4545"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X3 (fertilizer)</w:t>
            </w:r>
          </w:p>
        </w:tc>
        <w:tc>
          <w:tcPr>
            <w:tcW w:w="2254" w:type="dxa"/>
          </w:tcPr>
          <w:p w14:paraId="29F72536" w14:textId="77777777" w:rsidR="002B1CC1" w:rsidRPr="003346CE" w:rsidRDefault="002B1CC1" w:rsidP="004F600B">
            <w:pPr>
              <w:rPr>
                <w:rFonts w:ascii="Arial" w:hAnsi="Arial" w:cs="Arial"/>
                <w:sz w:val="20"/>
                <w:szCs w:val="20"/>
              </w:rPr>
            </w:pPr>
            <w:r w:rsidRPr="003346CE">
              <w:rPr>
                <w:rFonts w:ascii="Arial" w:hAnsi="Arial" w:cs="Arial"/>
                <w:sz w:val="20"/>
                <w:szCs w:val="20"/>
              </w:rPr>
              <w:t>4.48*</w:t>
            </w:r>
          </w:p>
        </w:tc>
        <w:tc>
          <w:tcPr>
            <w:tcW w:w="2254" w:type="dxa"/>
          </w:tcPr>
          <w:p w14:paraId="095B447D" w14:textId="77777777" w:rsidR="002B1CC1" w:rsidRPr="003346CE" w:rsidRDefault="002B1CC1" w:rsidP="004F600B">
            <w:pPr>
              <w:rPr>
                <w:rFonts w:ascii="Arial" w:hAnsi="Arial" w:cs="Arial"/>
                <w:sz w:val="20"/>
                <w:szCs w:val="20"/>
              </w:rPr>
            </w:pPr>
            <w:r w:rsidRPr="003346CE">
              <w:rPr>
                <w:rFonts w:ascii="Arial" w:hAnsi="Arial" w:cs="Arial"/>
                <w:sz w:val="20"/>
                <w:szCs w:val="20"/>
              </w:rPr>
              <w:t>7.09*</w:t>
            </w:r>
          </w:p>
        </w:tc>
        <w:tc>
          <w:tcPr>
            <w:tcW w:w="2254" w:type="dxa"/>
          </w:tcPr>
          <w:p w14:paraId="0D5F27E9" w14:textId="77777777" w:rsidR="002B1CC1" w:rsidRPr="003346CE" w:rsidRDefault="002B1CC1" w:rsidP="004F600B">
            <w:pPr>
              <w:rPr>
                <w:rFonts w:ascii="Arial" w:hAnsi="Arial" w:cs="Arial"/>
                <w:sz w:val="20"/>
                <w:szCs w:val="20"/>
              </w:rPr>
            </w:pPr>
            <w:r w:rsidRPr="003346CE">
              <w:rPr>
                <w:rFonts w:ascii="Arial" w:hAnsi="Arial" w:cs="Arial"/>
                <w:sz w:val="20"/>
                <w:szCs w:val="20"/>
              </w:rPr>
              <w:t>3.282</w:t>
            </w:r>
          </w:p>
        </w:tc>
      </w:tr>
      <w:tr w:rsidR="002B1CC1" w:rsidRPr="003346CE" w14:paraId="00D32AC4" w14:textId="77777777" w:rsidTr="004F600B">
        <w:tc>
          <w:tcPr>
            <w:tcW w:w="2254" w:type="dxa"/>
          </w:tcPr>
          <w:p w14:paraId="65133EC7"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X4 (PPC)</w:t>
            </w:r>
          </w:p>
        </w:tc>
        <w:tc>
          <w:tcPr>
            <w:tcW w:w="2254" w:type="dxa"/>
          </w:tcPr>
          <w:p w14:paraId="2E5C3F9F" w14:textId="77777777" w:rsidR="002B1CC1" w:rsidRPr="003346CE" w:rsidRDefault="002B1CC1" w:rsidP="004F600B">
            <w:pPr>
              <w:rPr>
                <w:rFonts w:ascii="Arial" w:hAnsi="Arial" w:cs="Arial"/>
                <w:sz w:val="20"/>
                <w:szCs w:val="20"/>
              </w:rPr>
            </w:pPr>
            <w:r w:rsidRPr="003346CE">
              <w:rPr>
                <w:rFonts w:ascii="Arial" w:hAnsi="Arial" w:cs="Arial"/>
                <w:sz w:val="20"/>
                <w:szCs w:val="20"/>
              </w:rPr>
              <w:t>3.02</w:t>
            </w:r>
          </w:p>
        </w:tc>
        <w:tc>
          <w:tcPr>
            <w:tcW w:w="2254" w:type="dxa"/>
          </w:tcPr>
          <w:p w14:paraId="24017CBF" w14:textId="77777777" w:rsidR="002B1CC1" w:rsidRPr="003346CE" w:rsidRDefault="002B1CC1" w:rsidP="004F600B">
            <w:pPr>
              <w:rPr>
                <w:rFonts w:ascii="Arial" w:hAnsi="Arial" w:cs="Arial"/>
                <w:sz w:val="20"/>
                <w:szCs w:val="20"/>
              </w:rPr>
            </w:pPr>
            <w:r w:rsidRPr="003346CE">
              <w:rPr>
                <w:rFonts w:ascii="Arial" w:hAnsi="Arial" w:cs="Arial"/>
                <w:sz w:val="20"/>
                <w:szCs w:val="20"/>
              </w:rPr>
              <w:t>5.95*</w:t>
            </w:r>
          </w:p>
        </w:tc>
        <w:tc>
          <w:tcPr>
            <w:tcW w:w="2254" w:type="dxa"/>
          </w:tcPr>
          <w:p w14:paraId="681B77E3" w14:textId="77777777" w:rsidR="002B1CC1" w:rsidRPr="003346CE" w:rsidRDefault="002B1CC1" w:rsidP="004F600B">
            <w:pPr>
              <w:rPr>
                <w:rFonts w:ascii="Arial" w:hAnsi="Arial" w:cs="Arial"/>
                <w:sz w:val="20"/>
                <w:szCs w:val="20"/>
              </w:rPr>
            </w:pPr>
            <w:r w:rsidRPr="003346CE">
              <w:rPr>
                <w:rFonts w:ascii="Arial" w:hAnsi="Arial" w:cs="Arial"/>
                <w:sz w:val="20"/>
                <w:szCs w:val="20"/>
              </w:rPr>
              <w:t>13.98*</w:t>
            </w:r>
          </w:p>
        </w:tc>
      </w:tr>
      <w:tr w:rsidR="002B1CC1" w:rsidRPr="003346CE" w14:paraId="758BD8AF" w14:textId="77777777" w:rsidTr="004F600B">
        <w:tc>
          <w:tcPr>
            <w:tcW w:w="2254" w:type="dxa"/>
          </w:tcPr>
          <w:p w14:paraId="401C58E0"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Explanatory variables</w:t>
            </w:r>
          </w:p>
        </w:tc>
        <w:tc>
          <w:tcPr>
            <w:tcW w:w="2254" w:type="dxa"/>
          </w:tcPr>
          <w:p w14:paraId="1A8A61A5"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Marginal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c>
          <w:tcPr>
            <w:tcW w:w="2254" w:type="dxa"/>
          </w:tcPr>
          <w:p w14:paraId="49D0B4D5"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Small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c>
          <w:tcPr>
            <w:tcW w:w="2254" w:type="dxa"/>
          </w:tcPr>
          <w:p w14:paraId="66B62A91"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Overall farms b</w:t>
            </w:r>
            <w:r w:rsidRPr="003346CE">
              <w:rPr>
                <w:rFonts w:ascii="Arial" w:hAnsi="Arial" w:cs="Arial"/>
                <w:b/>
                <w:bCs/>
                <w:sz w:val="20"/>
                <w:szCs w:val="20"/>
                <w:vertAlign w:val="subscript"/>
              </w:rPr>
              <w:t>i</w:t>
            </w:r>
            <w:r w:rsidRPr="003346CE">
              <w:rPr>
                <w:rFonts w:ascii="Arial" w:hAnsi="Arial" w:cs="Arial"/>
                <w:b/>
                <w:bCs/>
                <w:sz w:val="20"/>
                <w:szCs w:val="20"/>
              </w:rPr>
              <w:t xml:space="preserve"> values</w:t>
            </w:r>
          </w:p>
        </w:tc>
      </w:tr>
      <w:tr w:rsidR="002B1CC1" w:rsidRPr="003346CE" w14:paraId="69FA2170" w14:textId="77777777" w:rsidTr="004F600B">
        <w:tc>
          <w:tcPr>
            <w:tcW w:w="2254" w:type="dxa"/>
          </w:tcPr>
          <w:p w14:paraId="1104B3E1"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X1 (seed)</w:t>
            </w:r>
          </w:p>
        </w:tc>
        <w:tc>
          <w:tcPr>
            <w:tcW w:w="2254" w:type="dxa"/>
          </w:tcPr>
          <w:p w14:paraId="7C756D6A" w14:textId="77777777" w:rsidR="002B1CC1" w:rsidRPr="003346CE" w:rsidRDefault="002B1CC1" w:rsidP="004F600B">
            <w:pPr>
              <w:rPr>
                <w:rFonts w:ascii="Arial" w:hAnsi="Arial" w:cs="Arial"/>
                <w:sz w:val="20"/>
                <w:szCs w:val="20"/>
              </w:rPr>
            </w:pPr>
            <w:r w:rsidRPr="003346CE">
              <w:rPr>
                <w:rFonts w:ascii="Arial" w:hAnsi="Arial" w:cs="Arial"/>
                <w:sz w:val="20"/>
                <w:szCs w:val="20"/>
              </w:rPr>
              <w:t>0.21*</w:t>
            </w:r>
          </w:p>
        </w:tc>
        <w:tc>
          <w:tcPr>
            <w:tcW w:w="2254" w:type="dxa"/>
          </w:tcPr>
          <w:p w14:paraId="3FF381EE" w14:textId="77777777" w:rsidR="002B1CC1" w:rsidRPr="003346CE" w:rsidRDefault="002B1CC1" w:rsidP="004F600B">
            <w:pPr>
              <w:rPr>
                <w:rFonts w:ascii="Arial" w:hAnsi="Arial" w:cs="Arial"/>
                <w:sz w:val="20"/>
                <w:szCs w:val="20"/>
              </w:rPr>
            </w:pPr>
            <w:r w:rsidRPr="003346CE">
              <w:rPr>
                <w:rFonts w:ascii="Arial" w:hAnsi="Arial" w:cs="Arial"/>
                <w:sz w:val="20"/>
                <w:szCs w:val="20"/>
              </w:rPr>
              <w:t xml:space="preserve">-0.06 </w:t>
            </w:r>
          </w:p>
        </w:tc>
        <w:tc>
          <w:tcPr>
            <w:tcW w:w="2254" w:type="dxa"/>
          </w:tcPr>
          <w:p w14:paraId="7BCC5C34" w14:textId="77777777" w:rsidR="002B1CC1" w:rsidRPr="003346CE" w:rsidRDefault="002B1CC1" w:rsidP="004F600B">
            <w:pPr>
              <w:rPr>
                <w:rFonts w:ascii="Arial" w:hAnsi="Arial" w:cs="Arial"/>
                <w:sz w:val="20"/>
                <w:szCs w:val="20"/>
              </w:rPr>
            </w:pPr>
            <w:r w:rsidRPr="003346CE">
              <w:rPr>
                <w:rFonts w:ascii="Arial" w:hAnsi="Arial" w:cs="Arial"/>
                <w:sz w:val="20"/>
                <w:szCs w:val="20"/>
              </w:rPr>
              <w:t>0.20*</w:t>
            </w:r>
          </w:p>
        </w:tc>
      </w:tr>
      <w:tr w:rsidR="002B1CC1" w:rsidRPr="003346CE" w14:paraId="1696BD01" w14:textId="77777777" w:rsidTr="004F600B">
        <w:tc>
          <w:tcPr>
            <w:tcW w:w="2254" w:type="dxa"/>
          </w:tcPr>
          <w:p w14:paraId="3BE1AAEB"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 xml:space="preserve">X2 (human </w:t>
            </w:r>
            <w:proofErr w:type="spellStart"/>
            <w:r w:rsidRPr="003346CE">
              <w:rPr>
                <w:rFonts w:ascii="Arial" w:hAnsi="Arial" w:cs="Arial"/>
                <w:b/>
                <w:bCs/>
                <w:sz w:val="20"/>
                <w:szCs w:val="20"/>
              </w:rPr>
              <w:t>labour</w:t>
            </w:r>
            <w:proofErr w:type="spellEnd"/>
            <w:r w:rsidRPr="003346CE">
              <w:rPr>
                <w:rFonts w:ascii="Arial" w:hAnsi="Arial" w:cs="Arial"/>
                <w:b/>
                <w:bCs/>
                <w:sz w:val="20"/>
                <w:szCs w:val="20"/>
              </w:rPr>
              <w:t>)</w:t>
            </w:r>
          </w:p>
        </w:tc>
        <w:tc>
          <w:tcPr>
            <w:tcW w:w="2254" w:type="dxa"/>
          </w:tcPr>
          <w:p w14:paraId="5B66BC0E" w14:textId="77777777" w:rsidR="002B1CC1" w:rsidRPr="003346CE" w:rsidRDefault="002B1CC1" w:rsidP="004F600B">
            <w:pPr>
              <w:rPr>
                <w:rFonts w:ascii="Arial" w:hAnsi="Arial" w:cs="Arial"/>
                <w:sz w:val="20"/>
                <w:szCs w:val="20"/>
              </w:rPr>
            </w:pPr>
            <w:r w:rsidRPr="003346CE">
              <w:rPr>
                <w:rFonts w:ascii="Arial" w:hAnsi="Arial" w:cs="Arial"/>
                <w:sz w:val="20"/>
                <w:szCs w:val="20"/>
              </w:rPr>
              <w:t>0.006**</w:t>
            </w:r>
          </w:p>
        </w:tc>
        <w:tc>
          <w:tcPr>
            <w:tcW w:w="2254" w:type="dxa"/>
          </w:tcPr>
          <w:p w14:paraId="0F495841" w14:textId="77777777" w:rsidR="002B1CC1" w:rsidRPr="003346CE" w:rsidRDefault="002B1CC1" w:rsidP="004F600B">
            <w:pPr>
              <w:rPr>
                <w:rFonts w:ascii="Arial" w:hAnsi="Arial" w:cs="Arial"/>
                <w:sz w:val="20"/>
                <w:szCs w:val="20"/>
              </w:rPr>
            </w:pPr>
            <w:r w:rsidRPr="003346CE">
              <w:rPr>
                <w:rFonts w:ascii="Arial" w:hAnsi="Arial" w:cs="Arial"/>
                <w:sz w:val="20"/>
                <w:szCs w:val="20"/>
              </w:rPr>
              <w:t>0.001</w:t>
            </w:r>
          </w:p>
        </w:tc>
        <w:tc>
          <w:tcPr>
            <w:tcW w:w="2254" w:type="dxa"/>
          </w:tcPr>
          <w:p w14:paraId="0BCB7010" w14:textId="77777777" w:rsidR="002B1CC1" w:rsidRPr="003346CE" w:rsidRDefault="002B1CC1" w:rsidP="004F600B">
            <w:pPr>
              <w:rPr>
                <w:rFonts w:ascii="Arial" w:hAnsi="Arial" w:cs="Arial"/>
                <w:sz w:val="20"/>
                <w:szCs w:val="20"/>
              </w:rPr>
            </w:pPr>
            <w:r w:rsidRPr="003346CE">
              <w:rPr>
                <w:rFonts w:ascii="Arial" w:hAnsi="Arial" w:cs="Arial"/>
                <w:sz w:val="20"/>
                <w:szCs w:val="20"/>
              </w:rPr>
              <w:t>0.013*</w:t>
            </w:r>
          </w:p>
        </w:tc>
      </w:tr>
      <w:tr w:rsidR="002B1CC1" w:rsidRPr="003346CE" w14:paraId="3B8FC9DB" w14:textId="77777777" w:rsidTr="004F600B">
        <w:tc>
          <w:tcPr>
            <w:tcW w:w="2254" w:type="dxa"/>
          </w:tcPr>
          <w:p w14:paraId="2FDD82C4"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X3 (fertilizer)</w:t>
            </w:r>
          </w:p>
        </w:tc>
        <w:tc>
          <w:tcPr>
            <w:tcW w:w="2254" w:type="dxa"/>
          </w:tcPr>
          <w:p w14:paraId="5FEE63E8" w14:textId="77777777" w:rsidR="002B1CC1" w:rsidRPr="003346CE" w:rsidRDefault="002B1CC1" w:rsidP="004F600B">
            <w:pPr>
              <w:rPr>
                <w:rFonts w:ascii="Arial" w:hAnsi="Arial" w:cs="Arial"/>
                <w:sz w:val="20"/>
                <w:szCs w:val="20"/>
              </w:rPr>
            </w:pPr>
            <w:r w:rsidRPr="003346CE">
              <w:rPr>
                <w:rFonts w:ascii="Arial" w:hAnsi="Arial" w:cs="Arial"/>
                <w:sz w:val="20"/>
                <w:szCs w:val="20"/>
              </w:rPr>
              <w:t>0.36*</w:t>
            </w:r>
          </w:p>
        </w:tc>
        <w:tc>
          <w:tcPr>
            <w:tcW w:w="2254" w:type="dxa"/>
          </w:tcPr>
          <w:p w14:paraId="577B98CA" w14:textId="77777777" w:rsidR="002B1CC1" w:rsidRPr="003346CE" w:rsidRDefault="002B1CC1" w:rsidP="004F600B">
            <w:pPr>
              <w:rPr>
                <w:rFonts w:ascii="Arial" w:hAnsi="Arial" w:cs="Arial"/>
                <w:sz w:val="20"/>
                <w:szCs w:val="20"/>
              </w:rPr>
            </w:pPr>
            <w:r w:rsidRPr="003346CE">
              <w:rPr>
                <w:rFonts w:ascii="Arial" w:hAnsi="Arial" w:cs="Arial"/>
                <w:sz w:val="20"/>
                <w:szCs w:val="20"/>
              </w:rPr>
              <w:t>0.06*</w:t>
            </w:r>
          </w:p>
        </w:tc>
        <w:tc>
          <w:tcPr>
            <w:tcW w:w="2254" w:type="dxa"/>
          </w:tcPr>
          <w:p w14:paraId="3BA17199" w14:textId="77777777" w:rsidR="002B1CC1" w:rsidRPr="003346CE" w:rsidRDefault="002B1CC1" w:rsidP="004F600B">
            <w:pPr>
              <w:rPr>
                <w:rFonts w:ascii="Arial" w:hAnsi="Arial" w:cs="Arial"/>
                <w:sz w:val="20"/>
                <w:szCs w:val="20"/>
              </w:rPr>
            </w:pPr>
            <w:r w:rsidRPr="003346CE">
              <w:rPr>
                <w:rFonts w:ascii="Arial" w:hAnsi="Arial" w:cs="Arial"/>
                <w:sz w:val="20"/>
                <w:szCs w:val="20"/>
              </w:rPr>
              <w:t>-0.07</w:t>
            </w:r>
          </w:p>
        </w:tc>
      </w:tr>
      <w:tr w:rsidR="002B1CC1" w:rsidRPr="003346CE" w14:paraId="0E98132F" w14:textId="77777777" w:rsidTr="004F600B">
        <w:tc>
          <w:tcPr>
            <w:tcW w:w="2254" w:type="dxa"/>
          </w:tcPr>
          <w:p w14:paraId="163FB725" w14:textId="77777777" w:rsidR="002B1CC1" w:rsidRPr="003346CE" w:rsidRDefault="002B1CC1" w:rsidP="004F600B">
            <w:pPr>
              <w:rPr>
                <w:rFonts w:ascii="Arial" w:hAnsi="Arial" w:cs="Arial"/>
                <w:b/>
                <w:bCs/>
                <w:sz w:val="20"/>
                <w:szCs w:val="20"/>
              </w:rPr>
            </w:pPr>
            <w:r w:rsidRPr="003346CE">
              <w:rPr>
                <w:rFonts w:ascii="Arial" w:hAnsi="Arial" w:cs="Arial"/>
                <w:b/>
                <w:bCs/>
                <w:sz w:val="20"/>
                <w:szCs w:val="20"/>
              </w:rPr>
              <w:t>X4 (PPC)</w:t>
            </w:r>
          </w:p>
        </w:tc>
        <w:tc>
          <w:tcPr>
            <w:tcW w:w="2254" w:type="dxa"/>
          </w:tcPr>
          <w:p w14:paraId="2561BF17" w14:textId="77777777" w:rsidR="002B1CC1" w:rsidRPr="003346CE" w:rsidRDefault="002B1CC1" w:rsidP="004F600B">
            <w:pPr>
              <w:rPr>
                <w:rFonts w:ascii="Arial" w:hAnsi="Arial" w:cs="Arial"/>
                <w:sz w:val="20"/>
                <w:szCs w:val="20"/>
              </w:rPr>
            </w:pPr>
            <w:r w:rsidRPr="003346CE">
              <w:rPr>
                <w:rFonts w:ascii="Arial" w:hAnsi="Arial" w:cs="Arial"/>
                <w:sz w:val="20"/>
                <w:szCs w:val="20"/>
              </w:rPr>
              <w:t>-0.58</w:t>
            </w:r>
          </w:p>
        </w:tc>
        <w:tc>
          <w:tcPr>
            <w:tcW w:w="2254" w:type="dxa"/>
          </w:tcPr>
          <w:p w14:paraId="31EC951F" w14:textId="77777777" w:rsidR="002B1CC1" w:rsidRPr="003346CE" w:rsidRDefault="002B1CC1" w:rsidP="004F600B">
            <w:pPr>
              <w:rPr>
                <w:rFonts w:ascii="Arial" w:hAnsi="Arial" w:cs="Arial"/>
                <w:sz w:val="20"/>
                <w:szCs w:val="20"/>
              </w:rPr>
            </w:pPr>
            <w:r w:rsidRPr="003346CE">
              <w:rPr>
                <w:rFonts w:ascii="Arial" w:hAnsi="Arial" w:cs="Arial"/>
                <w:sz w:val="20"/>
                <w:szCs w:val="20"/>
              </w:rPr>
              <w:t>0.17*</w:t>
            </w:r>
          </w:p>
        </w:tc>
        <w:tc>
          <w:tcPr>
            <w:tcW w:w="2254" w:type="dxa"/>
          </w:tcPr>
          <w:p w14:paraId="5C218FD7" w14:textId="77777777" w:rsidR="002B1CC1" w:rsidRPr="003346CE" w:rsidRDefault="002B1CC1" w:rsidP="004F600B">
            <w:pPr>
              <w:rPr>
                <w:rFonts w:ascii="Arial" w:hAnsi="Arial" w:cs="Arial"/>
                <w:sz w:val="20"/>
                <w:szCs w:val="20"/>
              </w:rPr>
            </w:pPr>
            <w:r w:rsidRPr="003346CE">
              <w:rPr>
                <w:rFonts w:ascii="Arial" w:hAnsi="Arial" w:cs="Arial"/>
                <w:sz w:val="20"/>
                <w:szCs w:val="20"/>
              </w:rPr>
              <w:t>0.40*</w:t>
            </w:r>
          </w:p>
        </w:tc>
      </w:tr>
    </w:tbl>
    <w:p w14:paraId="7B24B103" w14:textId="79431A3B" w:rsidR="002B1CC1" w:rsidRPr="003346CE" w:rsidRDefault="002B1CC1" w:rsidP="002B1CC1">
      <w:pPr>
        <w:rPr>
          <w:rFonts w:ascii="Arial" w:hAnsi="Arial" w:cs="Arial"/>
          <w:b/>
          <w:bCs/>
          <w:i/>
          <w:iCs/>
        </w:rPr>
      </w:pPr>
      <w:r w:rsidRPr="003346CE">
        <w:rPr>
          <w:rFonts w:ascii="Arial" w:hAnsi="Arial" w:cs="Arial"/>
          <w:b/>
          <w:bCs/>
          <w:i/>
          <w:iCs/>
        </w:rPr>
        <w:t xml:space="preserve">* </w:t>
      </w:r>
      <w:r w:rsidR="003346CE" w:rsidRPr="003346CE">
        <w:rPr>
          <w:rFonts w:ascii="Arial" w:hAnsi="Arial" w:cs="Arial"/>
          <w:b/>
          <w:bCs/>
          <w:i/>
          <w:iCs/>
        </w:rPr>
        <w:t>S</w:t>
      </w:r>
      <w:r w:rsidRPr="003346CE">
        <w:rPr>
          <w:rFonts w:ascii="Arial" w:hAnsi="Arial" w:cs="Arial"/>
          <w:b/>
          <w:bCs/>
          <w:i/>
          <w:iCs/>
        </w:rPr>
        <w:t xml:space="preserve">ignificant at 1%  </w:t>
      </w:r>
    </w:p>
    <w:p w14:paraId="22007DD0" w14:textId="5314043D" w:rsidR="00C03219" w:rsidRPr="003346CE" w:rsidRDefault="002B1CC1" w:rsidP="003346CE">
      <w:pPr>
        <w:rPr>
          <w:rFonts w:ascii="Arial" w:hAnsi="Arial" w:cs="Arial"/>
          <w:b/>
          <w:bCs/>
          <w:i/>
          <w:iCs/>
        </w:rPr>
      </w:pPr>
      <w:r w:rsidRPr="003346CE">
        <w:rPr>
          <w:rFonts w:ascii="Arial" w:hAnsi="Arial" w:cs="Arial"/>
          <w:b/>
          <w:bCs/>
          <w:i/>
          <w:iCs/>
        </w:rPr>
        <w:t xml:space="preserve">** </w:t>
      </w:r>
      <w:r w:rsidR="003346CE" w:rsidRPr="003346CE">
        <w:rPr>
          <w:rFonts w:ascii="Arial" w:hAnsi="Arial" w:cs="Arial"/>
          <w:b/>
          <w:bCs/>
          <w:i/>
          <w:iCs/>
        </w:rPr>
        <w:t>S</w:t>
      </w:r>
      <w:r w:rsidRPr="003346CE">
        <w:rPr>
          <w:rFonts w:ascii="Arial" w:hAnsi="Arial" w:cs="Arial"/>
          <w:b/>
          <w:bCs/>
          <w:i/>
          <w:iCs/>
        </w:rPr>
        <w:t>ignificant at 5%</w:t>
      </w:r>
    </w:p>
    <w:p w14:paraId="353E1C8A" w14:textId="77777777" w:rsidR="003346CE" w:rsidRPr="00A47A53" w:rsidRDefault="003346CE" w:rsidP="003346CE">
      <w:pPr>
        <w:rPr>
          <w:rFonts w:ascii="Arial" w:hAnsi="Arial" w:cs="Arial"/>
          <w:b/>
          <w:bCs/>
          <w:i/>
          <w:iCs/>
        </w:rPr>
      </w:pPr>
    </w:p>
    <w:p w14:paraId="399CFEDF" w14:textId="77777777" w:rsidR="00A47A53" w:rsidRPr="00C03219" w:rsidRDefault="00A47A53" w:rsidP="00A47A53">
      <w:pPr>
        <w:pStyle w:val="Body"/>
        <w:spacing w:after="0"/>
        <w:rPr>
          <w:rFonts w:ascii="Arial" w:hAnsi="Arial" w:cs="Arial"/>
          <w:b/>
          <w:bCs/>
          <w:i/>
          <w:iCs/>
          <w:lang w:val="en-IN"/>
        </w:rPr>
      </w:pPr>
      <w:r w:rsidRPr="00A47A53">
        <w:rPr>
          <w:rFonts w:ascii="Arial" w:hAnsi="Arial" w:cs="Arial"/>
          <w:b/>
          <w:bCs/>
          <w:i/>
          <w:iCs/>
          <w:lang w:val="en-IN"/>
        </w:rPr>
        <w:t>3.1.3 Resource Use Efficiency</w:t>
      </w:r>
    </w:p>
    <w:p w14:paraId="3F1F57ED" w14:textId="77777777" w:rsidR="00C03219" w:rsidRPr="00A47A53" w:rsidRDefault="00C03219" w:rsidP="00A47A53">
      <w:pPr>
        <w:pStyle w:val="Body"/>
        <w:spacing w:after="0"/>
        <w:rPr>
          <w:rFonts w:ascii="Arial" w:hAnsi="Arial" w:cs="Arial"/>
          <w:b/>
          <w:bCs/>
          <w:lang w:val="en-IN"/>
        </w:rPr>
      </w:pPr>
    </w:p>
    <w:p w14:paraId="56EA77AB" w14:textId="77777777" w:rsidR="00A47A53" w:rsidRPr="00A47A53" w:rsidRDefault="00A47A53" w:rsidP="00A47A53">
      <w:pPr>
        <w:pStyle w:val="Body"/>
        <w:spacing w:after="0"/>
        <w:rPr>
          <w:rFonts w:ascii="Arial" w:hAnsi="Arial" w:cs="Arial"/>
          <w:lang w:val="en-IN"/>
        </w:rPr>
      </w:pPr>
      <w:r w:rsidRPr="00A47A53">
        <w:rPr>
          <w:rFonts w:ascii="Arial" w:hAnsi="Arial" w:cs="Arial"/>
          <w:lang w:val="en-IN"/>
        </w:rPr>
        <w:t>Resource use efficiency was evaluated using the ratio of marginal value product to marginal factor cost (MVP/MFC). The estimated ratios indicated substantial variation in the efficiency of input use across farm categories.</w:t>
      </w:r>
    </w:p>
    <w:p w14:paraId="7BFDBFF9" w14:textId="77777777" w:rsidR="00A47A53" w:rsidRPr="00A47A53" w:rsidRDefault="00A47A53" w:rsidP="00A47A53">
      <w:pPr>
        <w:pStyle w:val="Body"/>
        <w:spacing w:after="0"/>
        <w:rPr>
          <w:rFonts w:ascii="Arial" w:hAnsi="Arial" w:cs="Arial"/>
          <w:lang w:val="en-IN"/>
        </w:rPr>
      </w:pPr>
      <w:r w:rsidRPr="00A47A53">
        <w:rPr>
          <w:rFonts w:ascii="Arial" w:hAnsi="Arial" w:cs="Arial"/>
          <w:lang w:val="en-IN"/>
        </w:rPr>
        <w:t>In marginal farms, seed (2.63) and fertilizer (4.51) exhibited values greater than unity, indicating under-utilization, whereas labour (-2.79) and plant protection chemicals (-768.97) showed over-utilization. In small farms, fertilizer (2.65) and plant protection chemicals (5.24) were under-utilized, while seed (-3.84) and labour (-4.07) were over-utilized. In overall farms, seed (2.57) and plant protection chemicals (6.22) were under-utilized, whereas labour (-1.95) and fertilizer (-17.44) were over-utilized.</w:t>
      </w:r>
    </w:p>
    <w:p w14:paraId="229A0E07" w14:textId="36D2E1C5" w:rsidR="00A47A53" w:rsidRDefault="00A47A53" w:rsidP="00A51D3B">
      <w:pPr>
        <w:pStyle w:val="Body"/>
        <w:spacing w:after="0"/>
        <w:rPr>
          <w:rFonts w:ascii="Arial" w:hAnsi="Arial" w:cs="Arial"/>
          <w:lang w:val="en-IN"/>
        </w:rPr>
      </w:pPr>
      <w:r w:rsidRPr="00A47A53">
        <w:rPr>
          <w:rFonts w:ascii="Arial" w:hAnsi="Arial" w:cs="Arial"/>
          <w:lang w:val="en-IN"/>
        </w:rPr>
        <w:t>These results indicated the simultaneous presence of under- and over-utilization of inputs across all farm categories.</w:t>
      </w:r>
    </w:p>
    <w:p w14:paraId="71F1C417" w14:textId="77777777" w:rsidR="00A51D3B" w:rsidRPr="00A47A53" w:rsidRDefault="00A51D3B" w:rsidP="00A51D3B">
      <w:pPr>
        <w:pStyle w:val="Body"/>
        <w:spacing w:after="0"/>
        <w:rPr>
          <w:rFonts w:ascii="Arial" w:hAnsi="Arial" w:cs="Arial"/>
          <w:lang w:val="en-IN"/>
        </w:rPr>
      </w:pPr>
    </w:p>
    <w:p w14:paraId="0B18E216" w14:textId="77777777"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3.1.4 Returns to Scale</w:t>
      </w:r>
    </w:p>
    <w:p w14:paraId="073249C7" w14:textId="77777777" w:rsidR="00C03219" w:rsidRPr="00A47A53" w:rsidRDefault="00C03219" w:rsidP="00A47A53">
      <w:pPr>
        <w:pStyle w:val="Body"/>
        <w:spacing w:after="0"/>
        <w:rPr>
          <w:rFonts w:ascii="Arial" w:hAnsi="Arial" w:cs="Arial"/>
          <w:b/>
          <w:bCs/>
          <w:i/>
          <w:iCs/>
          <w:lang w:val="en-IN"/>
        </w:rPr>
      </w:pPr>
    </w:p>
    <w:p w14:paraId="54A61AAA" w14:textId="77777777" w:rsidR="00A47A53" w:rsidRDefault="00A47A53" w:rsidP="00A47A53">
      <w:pPr>
        <w:pStyle w:val="Body"/>
        <w:spacing w:after="0"/>
        <w:rPr>
          <w:rFonts w:ascii="Arial" w:hAnsi="Arial" w:cs="Arial"/>
          <w:lang w:val="en-IN"/>
        </w:rPr>
      </w:pPr>
      <w:r w:rsidRPr="00A47A53">
        <w:rPr>
          <w:rFonts w:ascii="Arial" w:hAnsi="Arial" w:cs="Arial"/>
          <w:lang w:val="en-IN"/>
        </w:rPr>
        <w:t>The sum of output elasticities (∑bi) was estimated at 0.016 for marginal farms, 0.174 for small farms, and 0.551 for overall farms. Since these values were less than unity, the production process exhibited decreasing returns to scale across all farm categories.</w:t>
      </w:r>
    </w:p>
    <w:p w14:paraId="16349204" w14:textId="77777777" w:rsidR="002479CC" w:rsidRPr="002479CC" w:rsidRDefault="002479CC" w:rsidP="00A47A53">
      <w:pPr>
        <w:pStyle w:val="Body"/>
        <w:spacing w:after="0"/>
        <w:rPr>
          <w:rFonts w:ascii="Arial" w:hAnsi="Arial" w:cs="Arial"/>
          <w:lang w:val="en-IN"/>
        </w:rPr>
      </w:pPr>
    </w:p>
    <w:tbl>
      <w:tblPr>
        <w:tblStyle w:val="TableGrid"/>
        <w:tblpPr w:leftFromText="180" w:rightFromText="180" w:vertAnchor="text" w:horzAnchor="margin" w:tblpY="359"/>
        <w:tblW w:w="0" w:type="auto"/>
        <w:tblLook w:val="04A0" w:firstRow="1" w:lastRow="0" w:firstColumn="1" w:lastColumn="0" w:noHBand="0" w:noVBand="1"/>
      </w:tblPr>
      <w:tblGrid>
        <w:gridCol w:w="2314"/>
        <w:gridCol w:w="2318"/>
        <w:gridCol w:w="1888"/>
        <w:gridCol w:w="1904"/>
      </w:tblGrid>
      <w:tr w:rsidR="009A1086" w:rsidRPr="002479CC" w14:paraId="3C81E4B6" w14:textId="77777777" w:rsidTr="004F600B">
        <w:tc>
          <w:tcPr>
            <w:tcW w:w="2465" w:type="dxa"/>
          </w:tcPr>
          <w:p w14:paraId="33C64A9E"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MVP/MFC</w:t>
            </w:r>
          </w:p>
        </w:tc>
        <w:tc>
          <w:tcPr>
            <w:tcW w:w="2483" w:type="dxa"/>
          </w:tcPr>
          <w:p w14:paraId="59295630"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Marginal</w:t>
            </w:r>
          </w:p>
        </w:tc>
        <w:tc>
          <w:tcPr>
            <w:tcW w:w="2034" w:type="dxa"/>
          </w:tcPr>
          <w:p w14:paraId="21DC43BC"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Small</w:t>
            </w:r>
          </w:p>
        </w:tc>
        <w:tc>
          <w:tcPr>
            <w:tcW w:w="2034" w:type="dxa"/>
          </w:tcPr>
          <w:p w14:paraId="1A1F440A"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Overall</w:t>
            </w:r>
          </w:p>
        </w:tc>
      </w:tr>
      <w:tr w:rsidR="009A1086" w:rsidRPr="002479CC" w14:paraId="6B971CEB" w14:textId="77777777" w:rsidTr="004F600B">
        <w:tc>
          <w:tcPr>
            <w:tcW w:w="2465" w:type="dxa"/>
          </w:tcPr>
          <w:p w14:paraId="5E2FF2FB"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X1 seed</w:t>
            </w:r>
          </w:p>
        </w:tc>
        <w:tc>
          <w:tcPr>
            <w:tcW w:w="2483" w:type="dxa"/>
          </w:tcPr>
          <w:p w14:paraId="7089715B"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2.63</w:t>
            </w:r>
          </w:p>
        </w:tc>
        <w:tc>
          <w:tcPr>
            <w:tcW w:w="2034" w:type="dxa"/>
          </w:tcPr>
          <w:p w14:paraId="63CE98A8"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-3.84</w:t>
            </w:r>
          </w:p>
        </w:tc>
        <w:tc>
          <w:tcPr>
            <w:tcW w:w="2034" w:type="dxa"/>
          </w:tcPr>
          <w:p w14:paraId="07C354C1"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2.57</w:t>
            </w:r>
          </w:p>
        </w:tc>
      </w:tr>
      <w:tr w:rsidR="009A1086" w:rsidRPr="002479CC" w14:paraId="55CBD953" w14:textId="77777777" w:rsidTr="004F600B">
        <w:tc>
          <w:tcPr>
            <w:tcW w:w="2465" w:type="dxa"/>
          </w:tcPr>
          <w:p w14:paraId="1F3D550A"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 xml:space="preserve">X2 </w:t>
            </w:r>
            <w:proofErr w:type="spellStart"/>
            <w:r w:rsidRPr="008C428B">
              <w:rPr>
                <w:rFonts w:ascii="Arial" w:hAnsi="Arial" w:cs="Arial"/>
                <w:b/>
                <w:bCs/>
                <w:sz w:val="20"/>
                <w:szCs w:val="20"/>
              </w:rPr>
              <w:t>labour</w:t>
            </w:r>
            <w:proofErr w:type="spellEnd"/>
          </w:p>
        </w:tc>
        <w:tc>
          <w:tcPr>
            <w:tcW w:w="2483" w:type="dxa"/>
          </w:tcPr>
          <w:p w14:paraId="0EF4293E"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-2.79</w:t>
            </w:r>
          </w:p>
        </w:tc>
        <w:tc>
          <w:tcPr>
            <w:tcW w:w="2034" w:type="dxa"/>
          </w:tcPr>
          <w:p w14:paraId="47DEE360"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-4.07</w:t>
            </w:r>
          </w:p>
        </w:tc>
        <w:tc>
          <w:tcPr>
            <w:tcW w:w="2034" w:type="dxa"/>
          </w:tcPr>
          <w:p w14:paraId="4CC5A806"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-1.95</w:t>
            </w:r>
          </w:p>
        </w:tc>
      </w:tr>
      <w:tr w:rsidR="009A1086" w:rsidRPr="002479CC" w14:paraId="7E970CE3" w14:textId="77777777" w:rsidTr="004F600B">
        <w:tc>
          <w:tcPr>
            <w:tcW w:w="2465" w:type="dxa"/>
          </w:tcPr>
          <w:p w14:paraId="085D3B9E"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X3 fertilizer</w:t>
            </w:r>
          </w:p>
        </w:tc>
        <w:tc>
          <w:tcPr>
            <w:tcW w:w="2483" w:type="dxa"/>
          </w:tcPr>
          <w:p w14:paraId="7BC4D68A"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4.51</w:t>
            </w:r>
          </w:p>
        </w:tc>
        <w:tc>
          <w:tcPr>
            <w:tcW w:w="2034" w:type="dxa"/>
          </w:tcPr>
          <w:p w14:paraId="49676A89"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2.65</w:t>
            </w:r>
          </w:p>
        </w:tc>
        <w:tc>
          <w:tcPr>
            <w:tcW w:w="2034" w:type="dxa"/>
          </w:tcPr>
          <w:p w14:paraId="1F6EF418"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-17.44</w:t>
            </w:r>
          </w:p>
        </w:tc>
      </w:tr>
      <w:tr w:rsidR="009A1086" w:rsidRPr="002479CC" w14:paraId="2FC374BD" w14:textId="77777777" w:rsidTr="004F600B">
        <w:tc>
          <w:tcPr>
            <w:tcW w:w="2465" w:type="dxa"/>
          </w:tcPr>
          <w:p w14:paraId="03D66E4F"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X4 PPC</w:t>
            </w:r>
          </w:p>
        </w:tc>
        <w:tc>
          <w:tcPr>
            <w:tcW w:w="2483" w:type="dxa"/>
          </w:tcPr>
          <w:p w14:paraId="54527A54"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-768.97</w:t>
            </w:r>
          </w:p>
        </w:tc>
        <w:tc>
          <w:tcPr>
            <w:tcW w:w="2034" w:type="dxa"/>
          </w:tcPr>
          <w:p w14:paraId="7B2BDA1B"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5.24</w:t>
            </w:r>
          </w:p>
        </w:tc>
        <w:tc>
          <w:tcPr>
            <w:tcW w:w="2034" w:type="dxa"/>
          </w:tcPr>
          <w:p w14:paraId="5C5B25BC"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6.22</w:t>
            </w:r>
          </w:p>
        </w:tc>
      </w:tr>
      <w:tr w:rsidR="009A1086" w:rsidRPr="002479CC" w14:paraId="5F19E129" w14:textId="77777777" w:rsidTr="004F600B">
        <w:tc>
          <w:tcPr>
            <w:tcW w:w="2465" w:type="dxa"/>
          </w:tcPr>
          <w:p w14:paraId="78624F86"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Sum of bi values</w:t>
            </w:r>
          </w:p>
        </w:tc>
        <w:tc>
          <w:tcPr>
            <w:tcW w:w="2483" w:type="dxa"/>
          </w:tcPr>
          <w:p w14:paraId="6E91B1DA"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0.016</w:t>
            </w:r>
          </w:p>
        </w:tc>
        <w:tc>
          <w:tcPr>
            <w:tcW w:w="2034" w:type="dxa"/>
          </w:tcPr>
          <w:p w14:paraId="6660E0DE"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0.174</w:t>
            </w:r>
          </w:p>
        </w:tc>
        <w:tc>
          <w:tcPr>
            <w:tcW w:w="2034" w:type="dxa"/>
          </w:tcPr>
          <w:p w14:paraId="2D9F9B69" w14:textId="77777777" w:rsidR="009A1086" w:rsidRPr="008C428B" w:rsidRDefault="009A1086" w:rsidP="004F600B">
            <w:pPr>
              <w:jc w:val="center"/>
              <w:rPr>
                <w:rFonts w:ascii="Arial" w:hAnsi="Arial" w:cs="Arial"/>
                <w:sz w:val="20"/>
                <w:szCs w:val="20"/>
              </w:rPr>
            </w:pPr>
            <w:r w:rsidRPr="008C428B">
              <w:rPr>
                <w:rFonts w:ascii="Arial" w:hAnsi="Arial" w:cs="Arial"/>
                <w:sz w:val="20"/>
                <w:szCs w:val="20"/>
              </w:rPr>
              <w:t>0.551</w:t>
            </w:r>
          </w:p>
        </w:tc>
      </w:tr>
      <w:tr w:rsidR="009A1086" w:rsidRPr="002479CC" w14:paraId="7BF661B9" w14:textId="77777777" w:rsidTr="004F600B">
        <w:tc>
          <w:tcPr>
            <w:tcW w:w="2465" w:type="dxa"/>
          </w:tcPr>
          <w:p w14:paraId="7EDFCFD0"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Adj R</w:t>
            </w:r>
            <w:r w:rsidRPr="008C428B">
              <w:rPr>
                <w:rFonts w:ascii="Arial" w:hAnsi="Arial" w:cs="Arial"/>
                <w:b/>
                <w:bCs/>
                <w:sz w:val="20"/>
                <w:szCs w:val="20"/>
                <w:vertAlign w:val="superscript"/>
              </w:rPr>
              <w:t xml:space="preserve">2 </w:t>
            </w:r>
            <w:r w:rsidRPr="008C428B">
              <w:rPr>
                <w:rFonts w:ascii="Arial" w:hAnsi="Arial" w:cs="Arial"/>
                <w:b/>
                <w:bCs/>
                <w:sz w:val="20"/>
                <w:szCs w:val="20"/>
              </w:rPr>
              <w:t>values</w:t>
            </w:r>
          </w:p>
        </w:tc>
        <w:tc>
          <w:tcPr>
            <w:tcW w:w="2483" w:type="dxa"/>
          </w:tcPr>
          <w:p w14:paraId="6B344A4F"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0.85</w:t>
            </w:r>
          </w:p>
        </w:tc>
        <w:tc>
          <w:tcPr>
            <w:tcW w:w="2034" w:type="dxa"/>
          </w:tcPr>
          <w:p w14:paraId="50139A55"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0.89</w:t>
            </w:r>
          </w:p>
        </w:tc>
        <w:tc>
          <w:tcPr>
            <w:tcW w:w="2034" w:type="dxa"/>
          </w:tcPr>
          <w:p w14:paraId="1B147C6F" w14:textId="77777777" w:rsidR="009A1086" w:rsidRPr="008C428B" w:rsidRDefault="009A1086" w:rsidP="004F600B">
            <w:pPr>
              <w:jc w:val="center"/>
              <w:rPr>
                <w:rFonts w:ascii="Arial" w:hAnsi="Arial" w:cs="Arial"/>
                <w:b/>
                <w:bCs/>
                <w:sz w:val="20"/>
                <w:szCs w:val="20"/>
              </w:rPr>
            </w:pPr>
            <w:r w:rsidRPr="008C428B">
              <w:rPr>
                <w:rFonts w:ascii="Arial" w:hAnsi="Arial" w:cs="Arial"/>
                <w:b/>
                <w:bCs/>
                <w:sz w:val="20"/>
                <w:szCs w:val="20"/>
              </w:rPr>
              <w:t>0.82</w:t>
            </w:r>
          </w:p>
        </w:tc>
      </w:tr>
    </w:tbl>
    <w:p w14:paraId="19858EDC" w14:textId="7631E311" w:rsidR="009A1086" w:rsidRPr="00A47A53" w:rsidRDefault="002479CC" w:rsidP="00A47A53">
      <w:pPr>
        <w:pStyle w:val="Body"/>
        <w:spacing w:after="0"/>
        <w:rPr>
          <w:rFonts w:ascii="Arial" w:hAnsi="Arial" w:cs="Arial"/>
          <w:lang w:val="en-IN"/>
        </w:rPr>
      </w:pPr>
      <w:r w:rsidRPr="008C428B">
        <w:rPr>
          <w:rFonts w:ascii="Arial" w:hAnsi="Arial" w:cs="Arial"/>
          <w:b/>
          <w:bCs/>
          <w:lang w:val="en-IN"/>
        </w:rPr>
        <w:t>Table 2 -</w:t>
      </w:r>
      <w:r w:rsidRPr="008C428B">
        <w:rPr>
          <w:rFonts w:ascii="Arial" w:hAnsi="Arial" w:cs="Arial"/>
          <w:b/>
          <w:bCs/>
        </w:rPr>
        <w:t>Representation of</w:t>
      </w:r>
      <w:r w:rsidRPr="008C428B">
        <w:rPr>
          <w:rFonts w:ascii="Times New Roman" w:hAnsi="Times New Roman"/>
          <w:b/>
          <w:bCs/>
        </w:rPr>
        <w:t xml:space="preserve"> </w:t>
      </w:r>
      <w:r w:rsidRPr="008C428B">
        <w:rPr>
          <w:rFonts w:ascii="Arial" w:hAnsi="Arial" w:cs="Arial"/>
          <w:b/>
          <w:bCs/>
        </w:rPr>
        <w:t>Allocative Efficiencies of Various farms</w:t>
      </w:r>
    </w:p>
    <w:p w14:paraId="0359E033" w14:textId="0F83251E" w:rsidR="00A47A53" w:rsidRPr="002479CC" w:rsidRDefault="00A47A53" w:rsidP="00A47A53">
      <w:pPr>
        <w:pStyle w:val="Body"/>
        <w:rPr>
          <w:rFonts w:ascii="Arial" w:hAnsi="Arial" w:cs="Arial"/>
          <w:sz w:val="22"/>
          <w:szCs w:val="22"/>
          <w:lang w:val="en-IN"/>
        </w:rPr>
      </w:pPr>
    </w:p>
    <w:p w14:paraId="29FAC258" w14:textId="77777777"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3.2 Stochastic Frontier Production Analysis</w:t>
      </w:r>
    </w:p>
    <w:p w14:paraId="74BD3FD0" w14:textId="77777777" w:rsidR="00DC6BD1" w:rsidRPr="00A47A53" w:rsidRDefault="00DC6BD1" w:rsidP="00A47A53">
      <w:pPr>
        <w:pStyle w:val="Body"/>
        <w:spacing w:after="0"/>
        <w:rPr>
          <w:rFonts w:ascii="Arial" w:hAnsi="Arial" w:cs="Arial"/>
          <w:b/>
          <w:bCs/>
          <w:i/>
          <w:iCs/>
          <w:lang w:val="en-IN"/>
        </w:rPr>
      </w:pPr>
    </w:p>
    <w:p w14:paraId="7161076F" w14:textId="305D50C7" w:rsidR="00A47A53" w:rsidRPr="00A47A53" w:rsidRDefault="00A47A53" w:rsidP="00A47A53">
      <w:pPr>
        <w:pStyle w:val="Body"/>
        <w:spacing w:after="0"/>
        <w:rPr>
          <w:rFonts w:ascii="Arial" w:hAnsi="Arial" w:cs="Arial"/>
          <w:lang w:val="en-IN"/>
        </w:rPr>
      </w:pPr>
      <w:r w:rsidRPr="00A47A53">
        <w:rPr>
          <w:rFonts w:ascii="Arial" w:hAnsi="Arial" w:cs="Arial"/>
          <w:lang w:val="en-IN"/>
        </w:rPr>
        <w:t xml:space="preserve">To further examine technical efficiency, the </w:t>
      </w:r>
      <w:r w:rsidRPr="00A47A53">
        <w:rPr>
          <w:rFonts w:ascii="Arial" w:hAnsi="Arial" w:cs="Arial"/>
          <w:b/>
          <w:bCs/>
          <w:lang w:val="en-IN"/>
        </w:rPr>
        <w:t>Stochastic Frontier Analysis</w:t>
      </w:r>
      <w:r w:rsidRPr="00A47A53">
        <w:rPr>
          <w:rFonts w:ascii="Arial" w:hAnsi="Arial" w:cs="Arial"/>
          <w:lang w:val="en-IN"/>
        </w:rPr>
        <w:t xml:space="preserve"> was employed using the </w:t>
      </w:r>
      <w:proofErr w:type="spellStart"/>
      <w:r w:rsidRPr="00A47A53">
        <w:rPr>
          <w:rFonts w:ascii="Arial" w:hAnsi="Arial" w:cs="Arial"/>
          <w:lang w:val="en-IN"/>
        </w:rPr>
        <w:t>Battese</w:t>
      </w:r>
      <w:proofErr w:type="spellEnd"/>
      <w:r w:rsidRPr="00A47A53">
        <w:rPr>
          <w:rFonts w:ascii="Arial" w:hAnsi="Arial" w:cs="Arial"/>
          <w:lang w:val="en-IN"/>
        </w:rPr>
        <w:t xml:space="preserve"> and </w:t>
      </w:r>
      <w:proofErr w:type="spellStart"/>
      <w:r w:rsidRPr="00A47A53">
        <w:rPr>
          <w:rFonts w:ascii="Arial" w:hAnsi="Arial" w:cs="Arial"/>
          <w:lang w:val="en-IN"/>
        </w:rPr>
        <w:t>Coelli</w:t>
      </w:r>
      <w:proofErr w:type="spellEnd"/>
      <w:r w:rsidRPr="00A47A53">
        <w:rPr>
          <w:rFonts w:ascii="Arial" w:hAnsi="Arial" w:cs="Arial"/>
          <w:lang w:val="en-IN"/>
        </w:rPr>
        <w:t xml:space="preserve"> (1992) model. The model was estimated using maximum likelihood estimation and converged after 11 iterations, yielding a log-likelihood value of 203.99 for 80 observations.</w:t>
      </w:r>
      <w:r w:rsidR="00212A95">
        <w:rPr>
          <w:rFonts w:ascii="Arial" w:hAnsi="Arial" w:cs="Arial"/>
          <w:lang w:val="en-IN"/>
        </w:rPr>
        <w:t xml:space="preserve"> </w:t>
      </w:r>
      <w:r w:rsidRPr="00A47A53">
        <w:rPr>
          <w:rFonts w:ascii="Arial" w:hAnsi="Arial" w:cs="Arial"/>
          <w:lang w:val="en-IN"/>
        </w:rPr>
        <w:t>The estimated coefficients indicated that seed (0.449) had a positive and highly significant effect on output (z = 21.28, p &lt; 0.01). Human labour (0.137) was also positive and statistically significant (z = 3.04, p = 0.002), indicating a moderate contribution to output.</w:t>
      </w:r>
    </w:p>
    <w:p w14:paraId="6701C447" w14:textId="1DFEFE2D" w:rsidR="00A47A53" w:rsidRDefault="00A47A53" w:rsidP="00A47A53">
      <w:pPr>
        <w:pStyle w:val="Body"/>
        <w:spacing w:after="0"/>
        <w:rPr>
          <w:rFonts w:ascii="Arial" w:hAnsi="Arial" w:cs="Arial"/>
          <w:lang w:val="en-IN"/>
        </w:rPr>
      </w:pPr>
      <w:r w:rsidRPr="00A47A53">
        <w:rPr>
          <w:rFonts w:ascii="Arial" w:hAnsi="Arial" w:cs="Arial"/>
          <w:lang w:val="en-IN"/>
        </w:rPr>
        <w:t>Fertilizer (-0.013) exhibited a negative coefficient and was statistically insignificant (z = -1.26, p = 0.207). Plant protection chemicals (0.076) showed a positive coefficient and were significant at the 10 per cent level (z = 1.92, p = 0.054).</w:t>
      </w:r>
      <w:r w:rsidR="00212A95">
        <w:rPr>
          <w:rFonts w:ascii="Arial" w:hAnsi="Arial" w:cs="Arial"/>
          <w:lang w:val="en-IN"/>
        </w:rPr>
        <w:t xml:space="preserve"> </w:t>
      </w:r>
      <w:r w:rsidRPr="00A47A53">
        <w:rPr>
          <w:rFonts w:ascii="Arial" w:hAnsi="Arial" w:cs="Arial"/>
          <w:lang w:val="en-IN"/>
        </w:rPr>
        <w:t>The estimated variance parameter (σ² = 0.00123) was positive and statistically significant (z = 6.01, p &lt; 0.01), confirming the presence of inefficiency effects. The gamma (γ) parameter was estimated at 0.9988 and was highly significant (z = 106.60, p &lt; 0.01), indicating that approximately 99.88 per cent of the total variation in output was attributable to inefficiency effects rather than random noise.</w:t>
      </w:r>
      <w:r w:rsidR="000377B5">
        <w:rPr>
          <w:rFonts w:ascii="Arial" w:hAnsi="Arial" w:cs="Arial"/>
          <w:lang w:val="en-IN"/>
        </w:rPr>
        <w:t xml:space="preserve"> </w:t>
      </w:r>
      <w:r w:rsidRPr="00A47A53">
        <w:rPr>
          <w:rFonts w:ascii="Arial" w:hAnsi="Arial" w:cs="Arial"/>
          <w:lang w:val="en-IN"/>
        </w:rPr>
        <w:t>The mean technical efficiency was estimated at 0.9749, indicating that, on average, farms operated at 97.49 per cent of the potential frontier output. This suggested a relatively small efficiency gap across farms.</w:t>
      </w:r>
    </w:p>
    <w:p w14:paraId="3FC0BBFA" w14:textId="77777777" w:rsidR="00890538" w:rsidRDefault="00890538" w:rsidP="00A47A53">
      <w:pPr>
        <w:pStyle w:val="Body"/>
        <w:spacing w:after="0"/>
        <w:rPr>
          <w:rFonts w:ascii="Arial" w:hAnsi="Arial" w:cs="Arial"/>
        </w:rPr>
      </w:pPr>
    </w:p>
    <w:p w14:paraId="410EB790" w14:textId="7121B71B" w:rsidR="00890538" w:rsidRPr="00A47A53" w:rsidRDefault="00890538" w:rsidP="00A47A53">
      <w:pPr>
        <w:pStyle w:val="Body"/>
        <w:spacing w:after="0"/>
        <w:rPr>
          <w:rFonts w:ascii="Arial" w:hAnsi="Arial" w:cs="Arial"/>
          <w:b/>
          <w:bCs/>
          <w:lang w:val="en-IN"/>
        </w:rPr>
      </w:pPr>
      <w:r w:rsidRPr="00890538">
        <w:rPr>
          <w:rFonts w:ascii="Arial" w:hAnsi="Arial" w:cs="Arial"/>
          <w:b/>
          <w:bCs/>
        </w:rPr>
        <w:t>Table 3- Stochastic Frontier Production Function Estimates</w:t>
      </w:r>
    </w:p>
    <w:p w14:paraId="314E438A" w14:textId="77777777" w:rsidR="000377B5" w:rsidRDefault="000377B5" w:rsidP="00A47A53">
      <w:pPr>
        <w:pStyle w:val="Body"/>
        <w:spacing w:after="0"/>
        <w:rPr>
          <w:rFonts w:ascii="Arial" w:hAnsi="Arial" w:cs="Arial"/>
          <w:lang w:val="en-IN"/>
        </w:rPr>
      </w:pPr>
    </w:p>
    <w:tbl>
      <w:tblPr>
        <w:tblStyle w:val="TableGrid"/>
        <w:tblW w:w="0" w:type="auto"/>
        <w:tblLook w:val="04A0" w:firstRow="1" w:lastRow="0" w:firstColumn="1" w:lastColumn="0" w:noHBand="0" w:noVBand="1"/>
      </w:tblPr>
      <w:tblGrid>
        <w:gridCol w:w="1684"/>
        <w:gridCol w:w="1685"/>
        <w:gridCol w:w="1685"/>
        <w:gridCol w:w="1685"/>
        <w:gridCol w:w="1685"/>
      </w:tblGrid>
      <w:tr w:rsidR="00B26359" w:rsidRPr="003A74C2" w14:paraId="0C97A527" w14:textId="77777777">
        <w:tc>
          <w:tcPr>
            <w:tcW w:w="1684" w:type="dxa"/>
          </w:tcPr>
          <w:p w14:paraId="4E425EBA"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Variables</w:t>
            </w:r>
          </w:p>
        </w:tc>
        <w:tc>
          <w:tcPr>
            <w:tcW w:w="1685" w:type="dxa"/>
          </w:tcPr>
          <w:p w14:paraId="6338DE22"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Coefficient</w:t>
            </w:r>
          </w:p>
        </w:tc>
        <w:tc>
          <w:tcPr>
            <w:tcW w:w="1685" w:type="dxa"/>
          </w:tcPr>
          <w:p w14:paraId="17AEB305"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Std. Error</w:t>
            </w:r>
          </w:p>
        </w:tc>
        <w:tc>
          <w:tcPr>
            <w:tcW w:w="1685" w:type="dxa"/>
          </w:tcPr>
          <w:p w14:paraId="2416732D"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z-value</w:t>
            </w:r>
          </w:p>
        </w:tc>
        <w:tc>
          <w:tcPr>
            <w:tcW w:w="1685" w:type="dxa"/>
          </w:tcPr>
          <w:p w14:paraId="0C4D4D35" w14:textId="77777777" w:rsidR="00B26359" w:rsidRPr="003A74C2" w:rsidRDefault="00B26359" w:rsidP="00B33DB7">
            <w:pPr>
              <w:pStyle w:val="Body"/>
              <w:jc w:val="center"/>
              <w:rPr>
                <w:rFonts w:ascii="Arial" w:hAnsi="Arial" w:cs="Arial"/>
                <w:b/>
                <w:bCs/>
                <w:sz w:val="20"/>
                <w:szCs w:val="20"/>
                <w:lang w:val="en-IN"/>
              </w:rPr>
            </w:pPr>
            <w:r w:rsidRPr="003A74C2">
              <w:rPr>
                <w:rFonts w:ascii="Arial" w:hAnsi="Arial" w:cs="Arial"/>
                <w:b/>
                <w:bCs/>
                <w:sz w:val="20"/>
                <w:szCs w:val="20"/>
                <w:lang w:val="en-IN"/>
              </w:rPr>
              <w:t>p-value</w:t>
            </w:r>
          </w:p>
        </w:tc>
      </w:tr>
      <w:tr w:rsidR="00B26359" w:rsidRPr="003A74C2" w14:paraId="25F6AECD" w14:textId="77777777">
        <w:tc>
          <w:tcPr>
            <w:tcW w:w="1684" w:type="dxa"/>
          </w:tcPr>
          <w:p w14:paraId="30A773CE"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Intercept</w:t>
            </w:r>
          </w:p>
        </w:tc>
        <w:tc>
          <w:tcPr>
            <w:tcW w:w="1685" w:type="dxa"/>
          </w:tcPr>
          <w:p w14:paraId="231266E0"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3.658</w:t>
            </w:r>
          </w:p>
        </w:tc>
        <w:tc>
          <w:tcPr>
            <w:tcW w:w="1685" w:type="dxa"/>
          </w:tcPr>
          <w:p w14:paraId="14016C5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0.486</w:t>
            </w:r>
          </w:p>
        </w:tc>
        <w:tc>
          <w:tcPr>
            <w:tcW w:w="1685" w:type="dxa"/>
          </w:tcPr>
          <w:p w14:paraId="15A59AE6"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7.53</w:t>
            </w:r>
          </w:p>
        </w:tc>
        <w:tc>
          <w:tcPr>
            <w:tcW w:w="1685" w:type="dxa"/>
          </w:tcPr>
          <w:p w14:paraId="0D342EDE"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18BECAD7" w14:textId="77777777">
        <w:tc>
          <w:tcPr>
            <w:tcW w:w="1684" w:type="dxa"/>
          </w:tcPr>
          <w:p w14:paraId="039CB223"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Seed</w:t>
            </w:r>
          </w:p>
        </w:tc>
        <w:tc>
          <w:tcPr>
            <w:tcW w:w="1685" w:type="dxa"/>
          </w:tcPr>
          <w:p w14:paraId="2D6A9D0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0.449</w:t>
            </w:r>
          </w:p>
        </w:tc>
        <w:tc>
          <w:tcPr>
            <w:tcW w:w="1685" w:type="dxa"/>
          </w:tcPr>
          <w:p w14:paraId="6E16740C"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0.021</w:t>
            </w:r>
          </w:p>
        </w:tc>
        <w:tc>
          <w:tcPr>
            <w:tcW w:w="1685" w:type="dxa"/>
          </w:tcPr>
          <w:p w14:paraId="6E6EE924"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21.28</w:t>
            </w:r>
          </w:p>
        </w:tc>
        <w:tc>
          <w:tcPr>
            <w:tcW w:w="1685" w:type="dxa"/>
          </w:tcPr>
          <w:p w14:paraId="2FF302CA"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1E017129" w14:textId="77777777">
        <w:tc>
          <w:tcPr>
            <w:tcW w:w="1684" w:type="dxa"/>
          </w:tcPr>
          <w:p w14:paraId="6A784A35"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Human labour</w:t>
            </w:r>
          </w:p>
        </w:tc>
        <w:tc>
          <w:tcPr>
            <w:tcW w:w="1685" w:type="dxa"/>
          </w:tcPr>
          <w:p w14:paraId="23C3C49F"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0.137</w:t>
            </w:r>
          </w:p>
        </w:tc>
        <w:tc>
          <w:tcPr>
            <w:tcW w:w="1685" w:type="dxa"/>
          </w:tcPr>
          <w:p w14:paraId="285ADAC9"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0.045</w:t>
            </w:r>
          </w:p>
        </w:tc>
        <w:tc>
          <w:tcPr>
            <w:tcW w:w="1685" w:type="dxa"/>
          </w:tcPr>
          <w:p w14:paraId="40880E6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3.04</w:t>
            </w:r>
          </w:p>
        </w:tc>
        <w:tc>
          <w:tcPr>
            <w:tcW w:w="1685" w:type="dxa"/>
          </w:tcPr>
          <w:p w14:paraId="3E9CBC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0.002**</w:t>
            </w:r>
          </w:p>
        </w:tc>
      </w:tr>
      <w:tr w:rsidR="00B26359" w:rsidRPr="003A74C2" w14:paraId="486E3D9C" w14:textId="77777777">
        <w:tc>
          <w:tcPr>
            <w:tcW w:w="1684" w:type="dxa"/>
          </w:tcPr>
          <w:p w14:paraId="385EE4D9"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Fertilizer</w:t>
            </w:r>
          </w:p>
        </w:tc>
        <w:tc>
          <w:tcPr>
            <w:tcW w:w="1685" w:type="dxa"/>
          </w:tcPr>
          <w:p w14:paraId="2B7E2017"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-0.013</w:t>
            </w:r>
          </w:p>
        </w:tc>
        <w:tc>
          <w:tcPr>
            <w:tcW w:w="1685" w:type="dxa"/>
          </w:tcPr>
          <w:p w14:paraId="20A1E23B"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0.010</w:t>
            </w:r>
          </w:p>
        </w:tc>
        <w:tc>
          <w:tcPr>
            <w:tcW w:w="1685" w:type="dxa"/>
          </w:tcPr>
          <w:p w14:paraId="7D70BD08"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-1.26</w:t>
            </w:r>
          </w:p>
        </w:tc>
        <w:tc>
          <w:tcPr>
            <w:tcW w:w="1685" w:type="dxa"/>
          </w:tcPr>
          <w:p w14:paraId="6910E6AC"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0.207</w:t>
            </w:r>
          </w:p>
        </w:tc>
      </w:tr>
      <w:tr w:rsidR="00B26359" w:rsidRPr="003A74C2" w14:paraId="0DE11DDD" w14:textId="77777777">
        <w:tc>
          <w:tcPr>
            <w:tcW w:w="1684" w:type="dxa"/>
          </w:tcPr>
          <w:p w14:paraId="483E5D71"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t>PPC</w:t>
            </w:r>
          </w:p>
        </w:tc>
        <w:tc>
          <w:tcPr>
            <w:tcW w:w="1685" w:type="dxa"/>
          </w:tcPr>
          <w:p w14:paraId="1B9394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0.076</w:t>
            </w:r>
          </w:p>
        </w:tc>
        <w:tc>
          <w:tcPr>
            <w:tcW w:w="1685" w:type="dxa"/>
          </w:tcPr>
          <w:p w14:paraId="07BDE497"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0.040</w:t>
            </w:r>
          </w:p>
        </w:tc>
        <w:tc>
          <w:tcPr>
            <w:tcW w:w="1685" w:type="dxa"/>
          </w:tcPr>
          <w:p w14:paraId="1AF724BD"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1.92</w:t>
            </w:r>
          </w:p>
        </w:tc>
        <w:tc>
          <w:tcPr>
            <w:tcW w:w="1685" w:type="dxa"/>
          </w:tcPr>
          <w:p w14:paraId="16491CC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0.054*</w:t>
            </w:r>
          </w:p>
        </w:tc>
      </w:tr>
      <w:tr w:rsidR="00B26359" w:rsidRPr="003A74C2" w14:paraId="2CA4C396" w14:textId="77777777">
        <w:tc>
          <w:tcPr>
            <w:tcW w:w="1684" w:type="dxa"/>
          </w:tcPr>
          <w:p w14:paraId="10436388" w14:textId="77777777" w:rsidR="00B26359" w:rsidRPr="00B33DB7" w:rsidRDefault="00B26359" w:rsidP="00B33DB7">
            <w:pPr>
              <w:pStyle w:val="Body"/>
              <w:jc w:val="center"/>
              <w:rPr>
                <w:rFonts w:ascii="Arial" w:hAnsi="Arial" w:cs="Arial"/>
                <w:b/>
                <w:bCs/>
                <w:sz w:val="20"/>
                <w:szCs w:val="20"/>
                <w:lang w:val="en-IN"/>
              </w:rPr>
            </w:pPr>
            <w:r w:rsidRPr="00B33DB7">
              <w:rPr>
                <w:rFonts w:ascii="Arial" w:hAnsi="Arial" w:cs="Arial"/>
                <w:b/>
                <w:bCs/>
                <w:sz w:val="20"/>
                <w:szCs w:val="20"/>
                <w:lang w:val="en-IN"/>
              </w:rPr>
              <w:lastRenderedPageBreak/>
              <w:t>sigma² (σ²)</w:t>
            </w:r>
          </w:p>
        </w:tc>
        <w:tc>
          <w:tcPr>
            <w:tcW w:w="1685" w:type="dxa"/>
          </w:tcPr>
          <w:p w14:paraId="044E0D62"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0.00123</w:t>
            </w:r>
          </w:p>
        </w:tc>
        <w:tc>
          <w:tcPr>
            <w:tcW w:w="1685" w:type="dxa"/>
          </w:tcPr>
          <w:p w14:paraId="41642C30"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0.00020</w:t>
            </w:r>
          </w:p>
        </w:tc>
        <w:tc>
          <w:tcPr>
            <w:tcW w:w="1685" w:type="dxa"/>
          </w:tcPr>
          <w:p w14:paraId="3B000122"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6.01</w:t>
            </w:r>
          </w:p>
        </w:tc>
        <w:tc>
          <w:tcPr>
            <w:tcW w:w="1685" w:type="dxa"/>
          </w:tcPr>
          <w:p w14:paraId="0A384B13" w14:textId="77777777" w:rsidR="00B26359" w:rsidRPr="003A74C2" w:rsidRDefault="00B26359" w:rsidP="00B33DB7">
            <w:pPr>
              <w:pStyle w:val="Body"/>
              <w:jc w:val="center"/>
              <w:rPr>
                <w:rFonts w:ascii="Arial" w:hAnsi="Arial" w:cs="Arial"/>
                <w:sz w:val="20"/>
                <w:szCs w:val="20"/>
                <w:lang w:val="en-IN"/>
              </w:rPr>
            </w:pPr>
            <w:r w:rsidRPr="003A74C2">
              <w:rPr>
                <w:rFonts w:ascii="Arial" w:hAnsi="Arial" w:cs="Arial"/>
                <w:sz w:val="20"/>
                <w:szCs w:val="20"/>
                <w:lang w:val="en-IN"/>
              </w:rPr>
              <w:t>0.000***</w:t>
            </w:r>
          </w:p>
        </w:tc>
      </w:tr>
      <w:tr w:rsidR="00B26359" w:rsidRPr="003A74C2" w14:paraId="6220A4A7" w14:textId="77777777">
        <w:tc>
          <w:tcPr>
            <w:tcW w:w="1684" w:type="dxa"/>
          </w:tcPr>
          <w:p w14:paraId="47F0275C" w14:textId="77777777" w:rsidR="00B26359" w:rsidRPr="00B33DB7" w:rsidRDefault="00B26359" w:rsidP="00B33DB7">
            <w:pPr>
              <w:pStyle w:val="Body"/>
              <w:spacing w:after="0"/>
              <w:jc w:val="center"/>
              <w:rPr>
                <w:rFonts w:ascii="Arial" w:hAnsi="Arial" w:cs="Arial"/>
                <w:b/>
                <w:bCs/>
                <w:sz w:val="20"/>
                <w:szCs w:val="20"/>
                <w:lang w:val="en-IN"/>
              </w:rPr>
            </w:pPr>
            <w:r w:rsidRPr="00B33DB7">
              <w:rPr>
                <w:rFonts w:ascii="Arial" w:hAnsi="Arial" w:cs="Arial"/>
                <w:b/>
                <w:bCs/>
                <w:sz w:val="20"/>
                <w:szCs w:val="20"/>
                <w:lang w:val="en-IN"/>
              </w:rPr>
              <w:t>gamma (γ)</w:t>
            </w:r>
          </w:p>
        </w:tc>
        <w:tc>
          <w:tcPr>
            <w:tcW w:w="1685" w:type="dxa"/>
          </w:tcPr>
          <w:p w14:paraId="6322D467"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0.9988</w:t>
            </w:r>
          </w:p>
        </w:tc>
        <w:tc>
          <w:tcPr>
            <w:tcW w:w="1685" w:type="dxa"/>
          </w:tcPr>
          <w:p w14:paraId="4A3B6768"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0.0094</w:t>
            </w:r>
          </w:p>
        </w:tc>
        <w:tc>
          <w:tcPr>
            <w:tcW w:w="1685" w:type="dxa"/>
          </w:tcPr>
          <w:p w14:paraId="63FAE183"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106.60</w:t>
            </w:r>
          </w:p>
        </w:tc>
        <w:tc>
          <w:tcPr>
            <w:tcW w:w="1685" w:type="dxa"/>
          </w:tcPr>
          <w:p w14:paraId="2AAA4B8A" w14:textId="77777777" w:rsidR="00B26359" w:rsidRPr="003A74C2" w:rsidRDefault="00B26359" w:rsidP="00B33DB7">
            <w:pPr>
              <w:pStyle w:val="Body"/>
              <w:spacing w:after="0"/>
              <w:jc w:val="center"/>
              <w:rPr>
                <w:rFonts w:ascii="Arial" w:hAnsi="Arial" w:cs="Arial"/>
                <w:sz w:val="20"/>
                <w:szCs w:val="20"/>
                <w:lang w:val="en-IN"/>
              </w:rPr>
            </w:pPr>
            <w:r w:rsidRPr="003A74C2">
              <w:rPr>
                <w:rFonts w:ascii="Arial" w:hAnsi="Arial" w:cs="Arial"/>
                <w:sz w:val="20"/>
                <w:szCs w:val="20"/>
                <w:lang w:val="en-IN"/>
              </w:rPr>
              <w:t>0.000***</w:t>
            </w:r>
          </w:p>
        </w:tc>
      </w:tr>
    </w:tbl>
    <w:p w14:paraId="2970A9D7" w14:textId="77777777" w:rsidR="00CD0414" w:rsidRDefault="00CD0414" w:rsidP="00A47A53">
      <w:pPr>
        <w:pStyle w:val="Body"/>
        <w:spacing w:after="0"/>
        <w:rPr>
          <w:rFonts w:ascii="Arial" w:hAnsi="Arial" w:cs="Arial"/>
          <w:b/>
          <w:bCs/>
          <w:i/>
          <w:iCs/>
          <w:lang w:val="en-IN"/>
        </w:rPr>
      </w:pPr>
    </w:p>
    <w:p w14:paraId="13A0A971" w14:textId="77777777" w:rsidR="00A66D0A" w:rsidRDefault="00CD0414" w:rsidP="00A66D0A">
      <w:pPr>
        <w:pStyle w:val="Body"/>
        <w:spacing w:after="0"/>
        <w:jc w:val="left"/>
        <w:rPr>
          <w:rFonts w:ascii="Arial" w:hAnsi="Arial" w:cs="Arial"/>
          <w:b/>
          <w:bCs/>
          <w:i/>
          <w:iCs/>
        </w:rPr>
      </w:pPr>
      <w:r w:rsidRPr="00CD0414">
        <w:rPr>
          <w:rFonts w:ascii="Arial" w:hAnsi="Arial" w:cs="Arial"/>
          <w:b/>
          <w:bCs/>
          <w:i/>
          <w:iCs/>
        </w:rPr>
        <w:t>***Significant at 1 per cent level</w:t>
      </w:r>
      <w:r w:rsidRPr="00CD0414">
        <w:rPr>
          <w:rFonts w:ascii="Arial" w:hAnsi="Arial" w:cs="Arial"/>
          <w:b/>
          <w:bCs/>
          <w:i/>
          <w:iCs/>
        </w:rPr>
        <w:br/>
        <w:t>** Significant at 5 per cent level</w:t>
      </w:r>
      <w:r w:rsidR="00A66D0A">
        <w:rPr>
          <w:rFonts w:ascii="Arial" w:hAnsi="Arial" w:cs="Arial"/>
          <w:b/>
          <w:bCs/>
          <w:i/>
          <w:iCs/>
        </w:rPr>
        <w:t xml:space="preserve"> </w:t>
      </w:r>
    </w:p>
    <w:p w14:paraId="3FBED228" w14:textId="723919D3" w:rsidR="00CD0414" w:rsidRDefault="00A66D0A" w:rsidP="00A66D0A">
      <w:pPr>
        <w:pStyle w:val="Body"/>
        <w:spacing w:after="0"/>
        <w:jc w:val="left"/>
        <w:rPr>
          <w:rFonts w:ascii="Arial" w:hAnsi="Arial" w:cs="Arial"/>
          <w:b/>
          <w:bCs/>
          <w:i/>
          <w:iCs/>
        </w:rPr>
      </w:pPr>
      <w:r w:rsidRPr="00A66D0A">
        <w:rPr>
          <w:rFonts w:ascii="Arial" w:hAnsi="Arial" w:cs="Arial"/>
          <w:b/>
          <w:bCs/>
          <w:i/>
          <w:iCs/>
        </w:rPr>
        <w:t>*Significant at 10 per cent level</w:t>
      </w:r>
    </w:p>
    <w:p w14:paraId="05B3C426" w14:textId="77777777" w:rsidR="00A66D0A" w:rsidRDefault="00A66D0A" w:rsidP="00A66D0A">
      <w:pPr>
        <w:pStyle w:val="Body"/>
        <w:spacing w:after="0"/>
        <w:jc w:val="left"/>
        <w:rPr>
          <w:rFonts w:ascii="Arial" w:hAnsi="Arial" w:cs="Arial"/>
          <w:b/>
          <w:bCs/>
          <w:i/>
          <w:iCs/>
        </w:rPr>
      </w:pPr>
    </w:p>
    <w:tbl>
      <w:tblPr>
        <w:tblStyle w:val="TableGrid"/>
        <w:tblW w:w="0" w:type="auto"/>
        <w:tblLook w:val="04A0" w:firstRow="1" w:lastRow="0" w:firstColumn="1" w:lastColumn="0" w:noHBand="0" w:noVBand="1"/>
      </w:tblPr>
      <w:tblGrid>
        <w:gridCol w:w="4212"/>
        <w:gridCol w:w="4212"/>
      </w:tblGrid>
      <w:tr w:rsidR="00B87B03" w:rsidRPr="00B87B03" w14:paraId="728644D9" w14:textId="77777777">
        <w:tc>
          <w:tcPr>
            <w:tcW w:w="4212" w:type="dxa"/>
          </w:tcPr>
          <w:p w14:paraId="4653CB9F" w14:textId="166C08E4"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 xml:space="preserve">Model diagnostics </w:t>
            </w:r>
          </w:p>
        </w:tc>
        <w:tc>
          <w:tcPr>
            <w:tcW w:w="4212" w:type="dxa"/>
          </w:tcPr>
          <w:p w14:paraId="17B76ABB" w14:textId="77777777" w:rsidR="00B87B03" w:rsidRPr="00575196" w:rsidRDefault="00B87B03" w:rsidP="00575196">
            <w:pPr>
              <w:pStyle w:val="Body"/>
              <w:jc w:val="center"/>
              <w:rPr>
                <w:rFonts w:ascii="Arial" w:hAnsi="Arial" w:cs="Arial"/>
                <w:b/>
                <w:bCs/>
                <w:sz w:val="20"/>
                <w:szCs w:val="20"/>
                <w:lang w:val="en-IN"/>
              </w:rPr>
            </w:pPr>
            <w:r w:rsidRPr="00575196">
              <w:rPr>
                <w:rFonts w:ascii="Arial" w:hAnsi="Arial" w:cs="Arial"/>
                <w:b/>
                <w:bCs/>
                <w:sz w:val="20"/>
                <w:szCs w:val="20"/>
                <w:lang w:val="en-IN"/>
              </w:rPr>
              <w:t>Value</w:t>
            </w:r>
          </w:p>
        </w:tc>
      </w:tr>
      <w:tr w:rsidR="00B87B03" w:rsidRPr="00B87B03" w14:paraId="7450E632" w14:textId="77777777">
        <w:tc>
          <w:tcPr>
            <w:tcW w:w="4212" w:type="dxa"/>
          </w:tcPr>
          <w:p w14:paraId="240C2C86" w14:textId="77777777"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Log-likelihood</w:t>
            </w:r>
          </w:p>
        </w:tc>
        <w:tc>
          <w:tcPr>
            <w:tcW w:w="4212" w:type="dxa"/>
          </w:tcPr>
          <w:p w14:paraId="0214D58B" w14:textId="77777777"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203.99</w:t>
            </w:r>
          </w:p>
        </w:tc>
      </w:tr>
      <w:tr w:rsidR="00B87B03" w:rsidRPr="00B87B03" w14:paraId="0C6A3143" w14:textId="77777777">
        <w:tc>
          <w:tcPr>
            <w:tcW w:w="4212" w:type="dxa"/>
          </w:tcPr>
          <w:p w14:paraId="5E9C0EEA" w14:textId="77777777" w:rsidR="00B87B03" w:rsidRPr="00B33DB7" w:rsidRDefault="00B87B03" w:rsidP="00575196">
            <w:pPr>
              <w:pStyle w:val="Body"/>
              <w:jc w:val="center"/>
              <w:rPr>
                <w:rFonts w:ascii="Arial" w:hAnsi="Arial" w:cs="Arial"/>
                <w:b/>
                <w:bCs/>
                <w:sz w:val="20"/>
                <w:szCs w:val="20"/>
                <w:lang w:val="en-IN"/>
              </w:rPr>
            </w:pPr>
            <w:r w:rsidRPr="00B33DB7">
              <w:rPr>
                <w:rFonts w:ascii="Arial" w:hAnsi="Arial" w:cs="Arial"/>
                <w:b/>
                <w:bCs/>
                <w:sz w:val="20"/>
                <w:szCs w:val="20"/>
                <w:lang w:val="en-IN"/>
              </w:rPr>
              <w:t>Number of observations</w:t>
            </w:r>
          </w:p>
        </w:tc>
        <w:tc>
          <w:tcPr>
            <w:tcW w:w="4212" w:type="dxa"/>
          </w:tcPr>
          <w:p w14:paraId="23F5166E" w14:textId="77777777" w:rsidR="00B87B03" w:rsidRPr="00575196" w:rsidRDefault="00B87B03" w:rsidP="00575196">
            <w:pPr>
              <w:pStyle w:val="Body"/>
              <w:jc w:val="center"/>
              <w:rPr>
                <w:rFonts w:ascii="Arial" w:hAnsi="Arial" w:cs="Arial"/>
                <w:sz w:val="20"/>
                <w:szCs w:val="20"/>
                <w:lang w:val="en-IN"/>
              </w:rPr>
            </w:pPr>
            <w:r w:rsidRPr="00575196">
              <w:rPr>
                <w:rFonts w:ascii="Arial" w:hAnsi="Arial" w:cs="Arial"/>
                <w:sz w:val="20"/>
                <w:szCs w:val="20"/>
                <w:lang w:val="en-IN"/>
              </w:rPr>
              <w:t>80</w:t>
            </w:r>
          </w:p>
        </w:tc>
      </w:tr>
      <w:tr w:rsidR="00B87B03" w:rsidRPr="00B87B03" w14:paraId="63439920" w14:textId="77777777">
        <w:tc>
          <w:tcPr>
            <w:tcW w:w="4212" w:type="dxa"/>
          </w:tcPr>
          <w:p w14:paraId="60F08CC3" w14:textId="77777777" w:rsidR="00B87B03" w:rsidRPr="00B33DB7" w:rsidRDefault="00B87B03" w:rsidP="00575196">
            <w:pPr>
              <w:pStyle w:val="Body"/>
              <w:spacing w:after="0"/>
              <w:jc w:val="center"/>
              <w:rPr>
                <w:rFonts w:ascii="Arial" w:hAnsi="Arial" w:cs="Arial"/>
                <w:b/>
                <w:bCs/>
                <w:sz w:val="20"/>
                <w:szCs w:val="20"/>
                <w:lang w:val="en-IN"/>
              </w:rPr>
            </w:pPr>
            <w:r w:rsidRPr="00B33DB7">
              <w:rPr>
                <w:rFonts w:ascii="Arial" w:hAnsi="Arial" w:cs="Arial"/>
                <w:b/>
                <w:bCs/>
                <w:sz w:val="20"/>
                <w:szCs w:val="20"/>
                <w:lang w:val="en-IN"/>
              </w:rPr>
              <w:t>Mean technical efficiency</w:t>
            </w:r>
          </w:p>
        </w:tc>
        <w:tc>
          <w:tcPr>
            <w:tcW w:w="4212" w:type="dxa"/>
          </w:tcPr>
          <w:p w14:paraId="0755023D" w14:textId="77777777" w:rsidR="00B87B03" w:rsidRPr="00575196" w:rsidRDefault="00B87B03" w:rsidP="00575196">
            <w:pPr>
              <w:pStyle w:val="Body"/>
              <w:spacing w:after="0"/>
              <w:jc w:val="center"/>
              <w:rPr>
                <w:rFonts w:ascii="Arial" w:hAnsi="Arial" w:cs="Arial"/>
                <w:sz w:val="20"/>
                <w:szCs w:val="20"/>
                <w:lang w:val="en-IN"/>
              </w:rPr>
            </w:pPr>
            <w:r w:rsidRPr="00575196">
              <w:rPr>
                <w:rFonts w:ascii="Arial" w:hAnsi="Arial" w:cs="Arial"/>
                <w:sz w:val="20"/>
                <w:szCs w:val="20"/>
                <w:lang w:val="en-IN"/>
              </w:rPr>
              <w:t>0.9749</w:t>
            </w:r>
          </w:p>
        </w:tc>
      </w:tr>
    </w:tbl>
    <w:p w14:paraId="24DFA159" w14:textId="77777777" w:rsidR="00575196" w:rsidRDefault="00575196" w:rsidP="00A47A53">
      <w:pPr>
        <w:pStyle w:val="Body"/>
        <w:spacing w:after="0"/>
        <w:rPr>
          <w:rFonts w:ascii="Arial" w:hAnsi="Arial" w:cs="Arial"/>
          <w:b/>
          <w:bCs/>
          <w:i/>
          <w:iCs/>
          <w:lang w:val="en-IN"/>
        </w:rPr>
      </w:pPr>
    </w:p>
    <w:p w14:paraId="7F7D4CF1" w14:textId="77777777" w:rsidR="00575196" w:rsidRDefault="00575196" w:rsidP="00A47A53">
      <w:pPr>
        <w:pStyle w:val="Body"/>
        <w:spacing w:after="0"/>
        <w:rPr>
          <w:rFonts w:ascii="Arial" w:hAnsi="Arial" w:cs="Arial"/>
          <w:b/>
          <w:bCs/>
          <w:i/>
          <w:iCs/>
          <w:lang w:val="en-IN"/>
        </w:rPr>
      </w:pPr>
    </w:p>
    <w:p w14:paraId="5C5ED273" w14:textId="323D94AC" w:rsidR="00A47A53" w:rsidRDefault="00A47A53" w:rsidP="00A47A53">
      <w:pPr>
        <w:pStyle w:val="Body"/>
        <w:spacing w:after="0"/>
        <w:rPr>
          <w:rFonts w:ascii="Arial" w:hAnsi="Arial" w:cs="Arial"/>
          <w:b/>
          <w:bCs/>
          <w:i/>
          <w:iCs/>
          <w:lang w:val="en-IN"/>
        </w:rPr>
      </w:pPr>
      <w:r w:rsidRPr="00A47A53">
        <w:rPr>
          <w:rFonts w:ascii="Arial" w:hAnsi="Arial" w:cs="Arial"/>
          <w:b/>
          <w:bCs/>
          <w:i/>
          <w:iCs/>
          <w:lang w:val="en-IN"/>
        </w:rPr>
        <w:t>3.3 Determinants of Technical Efficiency</w:t>
      </w:r>
    </w:p>
    <w:p w14:paraId="70184F23" w14:textId="77777777" w:rsidR="00B26359" w:rsidRPr="00DC6BD1" w:rsidRDefault="00B26359" w:rsidP="00A47A53">
      <w:pPr>
        <w:pStyle w:val="Body"/>
        <w:spacing w:after="0"/>
        <w:rPr>
          <w:rFonts w:ascii="Arial" w:hAnsi="Arial" w:cs="Arial"/>
          <w:b/>
          <w:bCs/>
          <w:i/>
          <w:iCs/>
          <w:lang w:val="en-IN"/>
        </w:rPr>
      </w:pPr>
    </w:p>
    <w:p w14:paraId="4A9733F3" w14:textId="77777777" w:rsidR="00DC6BD1" w:rsidRPr="00A47A53" w:rsidRDefault="00DC6BD1" w:rsidP="00A47A53">
      <w:pPr>
        <w:pStyle w:val="Body"/>
        <w:spacing w:after="0"/>
        <w:rPr>
          <w:rFonts w:ascii="Arial" w:hAnsi="Arial" w:cs="Arial"/>
          <w:b/>
          <w:bCs/>
          <w:lang w:val="en-IN"/>
        </w:rPr>
      </w:pPr>
    </w:p>
    <w:p w14:paraId="75466F8F" w14:textId="77777777" w:rsidR="00ED19DE" w:rsidRDefault="00ED19DE" w:rsidP="00ED19DE">
      <w:pPr>
        <w:pStyle w:val="Body"/>
        <w:spacing w:after="0"/>
        <w:rPr>
          <w:rFonts w:ascii="Arial" w:hAnsi="Arial" w:cs="Arial"/>
          <w:lang w:val="en-IN"/>
        </w:rPr>
      </w:pPr>
      <w:r w:rsidRPr="00ED19DE">
        <w:rPr>
          <w:rFonts w:ascii="Arial" w:hAnsi="Arial" w:cs="Arial"/>
          <w:lang w:val="en-IN"/>
        </w:rPr>
        <w:t>The determinants of technical efficiency were examined using the Tobit regression model, considering that efficiency scores were bounded between zero and one. The model was estimated using maximum likelihood estimation and converged satisfactorily after two iterations, indicating stability of the estimation procedure. The intercept term was positive and highly significant (0.9778; z = 109.29, p &lt; 0.01), reflecting the overall high level of efficiency observed among the sampled farms.</w:t>
      </w:r>
    </w:p>
    <w:p w14:paraId="7D130E7E" w14:textId="77777777" w:rsidR="00ED19DE" w:rsidRPr="00ED19DE" w:rsidRDefault="00ED19DE" w:rsidP="00ED19DE">
      <w:pPr>
        <w:pStyle w:val="Body"/>
        <w:spacing w:after="0"/>
        <w:rPr>
          <w:rFonts w:ascii="Arial" w:hAnsi="Arial" w:cs="Arial"/>
          <w:lang w:val="en-IN"/>
        </w:rPr>
      </w:pPr>
    </w:p>
    <w:p w14:paraId="2A32A49B" w14:textId="77777777" w:rsidR="00ED19DE" w:rsidRDefault="00ED19DE" w:rsidP="00ED19DE">
      <w:pPr>
        <w:pStyle w:val="Body"/>
        <w:spacing w:after="0"/>
        <w:rPr>
          <w:rFonts w:ascii="Arial" w:hAnsi="Arial" w:cs="Arial"/>
          <w:lang w:val="en-IN"/>
        </w:rPr>
      </w:pPr>
      <w:r w:rsidRPr="00ED19DE">
        <w:rPr>
          <w:rFonts w:ascii="Arial" w:hAnsi="Arial" w:cs="Arial"/>
          <w:lang w:val="en-IN"/>
        </w:rPr>
        <w:t>The estimated coefficients of the explanatory variables—farm size, age, and labour availability—were all found to be statistically insignificant at conventional levels. Farm size exhibited a negative coefficient (-0.0031) with a p-value of 0.741, indicating that variations in landholding did not significantly influence technical efficiency. Similarly, age (-0.000062; p = 0.793) and labour availability (-0.000664; p = 0.812) were also found to have negligible and statistically insignificant effects on efficiency. The negative signs of the coefficients, although not meaningful due to lack of significance, suggest the absence of systematic improvement in efficiency with respect to these variables.</w:t>
      </w:r>
    </w:p>
    <w:p w14:paraId="662E9DF3" w14:textId="77777777" w:rsidR="00ED19DE" w:rsidRPr="00ED19DE" w:rsidRDefault="00ED19DE" w:rsidP="00ED19DE">
      <w:pPr>
        <w:pStyle w:val="Body"/>
        <w:spacing w:after="0"/>
        <w:rPr>
          <w:rFonts w:ascii="Arial" w:hAnsi="Arial" w:cs="Arial"/>
          <w:lang w:val="en-IN"/>
        </w:rPr>
      </w:pPr>
    </w:p>
    <w:p w14:paraId="73E19843" w14:textId="77777777" w:rsidR="00ED19DE" w:rsidRDefault="00ED19DE" w:rsidP="00ED19DE">
      <w:pPr>
        <w:pStyle w:val="Body"/>
        <w:spacing w:after="0"/>
        <w:rPr>
          <w:rFonts w:ascii="Arial" w:hAnsi="Arial" w:cs="Arial"/>
          <w:lang w:val="en-IN"/>
        </w:rPr>
      </w:pPr>
      <w:r w:rsidRPr="00ED19DE">
        <w:rPr>
          <w:rFonts w:ascii="Arial" w:hAnsi="Arial" w:cs="Arial"/>
          <w:lang w:val="en-IN"/>
        </w:rPr>
        <w:t>At the model level, the Wald statistic (0.1096) with a corresponding p-value of 0.7406 indicated that the explanatory variables included in the model jointly failed to explain variations in technical efficiency. The log-likelihood value of the model was estimated at 181.60. The estimated scale parameter (0.025) indicated low dispersion in efficiency scores, suggesting that the observed efficiency levels were highly concentrated.</w:t>
      </w:r>
    </w:p>
    <w:p w14:paraId="140CE403" w14:textId="77777777" w:rsidR="00ED19DE" w:rsidRPr="00ED19DE" w:rsidRDefault="00ED19DE" w:rsidP="00ED19DE">
      <w:pPr>
        <w:pStyle w:val="Body"/>
        <w:spacing w:after="0"/>
        <w:rPr>
          <w:rFonts w:ascii="Arial" w:hAnsi="Arial" w:cs="Arial"/>
          <w:lang w:val="en-IN"/>
        </w:rPr>
      </w:pPr>
    </w:p>
    <w:p w14:paraId="4B2FF00A" w14:textId="175336D2" w:rsidR="00ED19DE" w:rsidRPr="00ED19DE" w:rsidRDefault="00ED19DE" w:rsidP="00ED19DE">
      <w:pPr>
        <w:pStyle w:val="Body"/>
        <w:spacing w:after="0"/>
        <w:rPr>
          <w:rFonts w:ascii="Arial" w:hAnsi="Arial" w:cs="Arial"/>
          <w:lang w:val="en-IN"/>
        </w:rPr>
      </w:pPr>
      <w:r w:rsidRPr="00ED19DE">
        <w:rPr>
          <w:rFonts w:ascii="Arial" w:hAnsi="Arial" w:cs="Arial"/>
          <w:lang w:val="en-IN"/>
        </w:rPr>
        <w:t>Further, the absence of left- or right-censored observations (all 80 observations uncensored) indicated that efficiency scores were distributed strictly within the interior of the (0,1) interval. This reflects a high degree of homogeneity among farms in terms of efficiency levels.</w:t>
      </w:r>
      <w:r>
        <w:rPr>
          <w:rFonts w:ascii="Arial" w:hAnsi="Arial" w:cs="Arial"/>
          <w:lang w:val="en-IN"/>
        </w:rPr>
        <w:t xml:space="preserve"> </w:t>
      </w:r>
      <w:r w:rsidRPr="00ED19DE">
        <w:rPr>
          <w:rFonts w:ascii="Arial" w:hAnsi="Arial" w:cs="Arial"/>
          <w:lang w:val="en-IN"/>
        </w:rPr>
        <w:t>The lack of statistically significant determinants may be attributed to the high mean technical efficiency (97.5 per cent) observed from the stochastic frontier analysis, which results in limited variability in efficiency scores. As most farms operate close to the production frontier, variations in socio-economic characteristics such as farm size, age, and labour availability do not translate into meaningful differences in efficiency. This finding suggests that technical efficiency in off-season cabbage production is largely independent of these factors and is more closely associated with farm-level management practices rather than structural or demographic characteristics.</w:t>
      </w:r>
    </w:p>
    <w:p w14:paraId="45F03BD6" w14:textId="77777777" w:rsidR="00ED19DE" w:rsidRDefault="00ED19DE" w:rsidP="00A47A53">
      <w:pPr>
        <w:pStyle w:val="Body"/>
        <w:spacing w:after="0"/>
        <w:rPr>
          <w:rFonts w:ascii="Arial" w:hAnsi="Arial" w:cs="Arial"/>
          <w:lang w:val="en-IN"/>
        </w:rPr>
      </w:pPr>
    </w:p>
    <w:p w14:paraId="2A6EB1B9" w14:textId="77777777" w:rsidR="00191ECD" w:rsidRDefault="00191ECD" w:rsidP="00A47A53">
      <w:pPr>
        <w:pStyle w:val="Body"/>
        <w:spacing w:after="0"/>
        <w:rPr>
          <w:rFonts w:ascii="Arial" w:hAnsi="Arial" w:cs="Arial"/>
          <w:lang w:val="en-IN"/>
        </w:rPr>
      </w:pPr>
    </w:p>
    <w:p w14:paraId="17994993" w14:textId="3DA5D276" w:rsidR="00F25F3C" w:rsidRDefault="00975B5A" w:rsidP="00441B6F">
      <w:pPr>
        <w:pStyle w:val="Body"/>
        <w:spacing w:after="0"/>
        <w:rPr>
          <w:rFonts w:ascii="Arial" w:hAnsi="Arial" w:cs="Arial"/>
          <w:b/>
          <w:bCs/>
        </w:rPr>
      </w:pPr>
      <w:r w:rsidRPr="00975B5A">
        <w:rPr>
          <w:rFonts w:ascii="Arial" w:hAnsi="Arial" w:cs="Arial"/>
          <w:b/>
          <w:bCs/>
        </w:rPr>
        <w:t xml:space="preserve">Table 4- Tobit Regression Estimates of Determinants of Technical Efficiency </w:t>
      </w:r>
    </w:p>
    <w:p w14:paraId="4ED4AD3F" w14:textId="77777777" w:rsidR="00191ECD" w:rsidRDefault="00191ECD" w:rsidP="00441B6F">
      <w:pPr>
        <w:pStyle w:val="Body"/>
        <w:spacing w:after="0"/>
        <w:rPr>
          <w:rFonts w:ascii="Arial" w:hAnsi="Arial" w:cs="Arial"/>
          <w:b/>
          <w:bCs/>
        </w:rPr>
      </w:pPr>
    </w:p>
    <w:tbl>
      <w:tblPr>
        <w:tblStyle w:val="TableGrid"/>
        <w:tblW w:w="0" w:type="auto"/>
        <w:tblLook w:val="04A0" w:firstRow="1" w:lastRow="0" w:firstColumn="1" w:lastColumn="0" w:noHBand="0" w:noVBand="1"/>
      </w:tblPr>
      <w:tblGrid>
        <w:gridCol w:w="1684"/>
        <w:gridCol w:w="1685"/>
        <w:gridCol w:w="1685"/>
        <w:gridCol w:w="1685"/>
        <w:gridCol w:w="1685"/>
      </w:tblGrid>
      <w:tr w:rsidR="00191ECD" w:rsidRPr="000908FF" w14:paraId="744681FA" w14:textId="77777777" w:rsidTr="000908FF">
        <w:tc>
          <w:tcPr>
            <w:tcW w:w="1684" w:type="dxa"/>
          </w:tcPr>
          <w:p w14:paraId="302E12C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Variables</w:t>
            </w:r>
          </w:p>
        </w:tc>
        <w:tc>
          <w:tcPr>
            <w:tcW w:w="1685" w:type="dxa"/>
          </w:tcPr>
          <w:p w14:paraId="72931383"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Coefficient</w:t>
            </w:r>
          </w:p>
        </w:tc>
        <w:tc>
          <w:tcPr>
            <w:tcW w:w="1685" w:type="dxa"/>
          </w:tcPr>
          <w:p w14:paraId="0F6083C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Std. Error</w:t>
            </w:r>
          </w:p>
        </w:tc>
        <w:tc>
          <w:tcPr>
            <w:tcW w:w="1685" w:type="dxa"/>
          </w:tcPr>
          <w:p w14:paraId="04AC0E1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z-value</w:t>
            </w:r>
          </w:p>
        </w:tc>
        <w:tc>
          <w:tcPr>
            <w:tcW w:w="1685" w:type="dxa"/>
          </w:tcPr>
          <w:p w14:paraId="57A51C96"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p-value</w:t>
            </w:r>
          </w:p>
        </w:tc>
      </w:tr>
      <w:tr w:rsidR="00191ECD" w:rsidRPr="000908FF" w14:paraId="4AEC23F2" w14:textId="77777777" w:rsidTr="000908FF">
        <w:tc>
          <w:tcPr>
            <w:tcW w:w="1684" w:type="dxa"/>
          </w:tcPr>
          <w:p w14:paraId="4FF54BB4"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Intercept</w:t>
            </w:r>
          </w:p>
        </w:tc>
        <w:tc>
          <w:tcPr>
            <w:tcW w:w="1685" w:type="dxa"/>
          </w:tcPr>
          <w:p w14:paraId="10662A36" w14:textId="22780032"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0.977</w:t>
            </w:r>
          </w:p>
        </w:tc>
        <w:tc>
          <w:tcPr>
            <w:tcW w:w="1685" w:type="dxa"/>
          </w:tcPr>
          <w:p w14:paraId="3A6E09B9" w14:textId="1C3A70B3"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0.008</w:t>
            </w:r>
          </w:p>
        </w:tc>
        <w:tc>
          <w:tcPr>
            <w:tcW w:w="1685" w:type="dxa"/>
          </w:tcPr>
          <w:p w14:paraId="2A77C93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109.29</w:t>
            </w:r>
          </w:p>
        </w:tc>
        <w:tc>
          <w:tcPr>
            <w:tcW w:w="1685" w:type="dxa"/>
          </w:tcPr>
          <w:p w14:paraId="506EEFA3"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r>
      <w:tr w:rsidR="00191ECD" w:rsidRPr="000908FF" w14:paraId="7A0607FF" w14:textId="77777777" w:rsidTr="000908FF">
        <w:tc>
          <w:tcPr>
            <w:tcW w:w="1684" w:type="dxa"/>
          </w:tcPr>
          <w:p w14:paraId="602BCBAF"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Farm size</w:t>
            </w:r>
          </w:p>
        </w:tc>
        <w:tc>
          <w:tcPr>
            <w:tcW w:w="1685" w:type="dxa"/>
          </w:tcPr>
          <w:p w14:paraId="0B31F170" w14:textId="70AC4CD6"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-0.003</w:t>
            </w:r>
          </w:p>
        </w:tc>
        <w:tc>
          <w:tcPr>
            <w:tcW w:w="1685" w:type="dxa"/>
          </w:tcPr>
          <w:p w14:paraId="160808A4" w14:textId="090251DB"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0.009</w:t>
            </w:r>
          </w:p>
        </w:tc>
        <w:tc>
          <w:tcPr>
            <w:tcW w:w="1685" w:type="dxa"/>
          </w:tcPr>
          <w:p w14:paraId="4D4042D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-0.33</w:t>
            </w:r>
          </w:p>
        </w:tc>
        <w:tc>
          <w:tcPr>
            <w:tcW w:w="1685" w:type="dxa"/>
          </w:tcPr>
          <w:p w14:paraId="3550DB9E"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0.741</w:t>
            </w:r>
          </w:p>
        </w:tc>
      </w:tr>
      <w:tr w:rsidR="00191ECD" w:rsidRPr="000908FF" w14:paraId="58C726DB" w14:textId="77777777" w:rsidTr="000908FF">
        <w:tc>
          <w:tcPr>
            <w:tcW w:w="1684" w:type="dxa"/>
          </w:tcPr>
          <w:p w14:paraId="546DCC67" w14:textId="77777777" w:rsidR="00191ECD" w:rsidRPr="000908FF" w:rsidRDefault="00191ECD" w:rsidP="000908FF">
            <w:pPr>
              <w:pStyle w:val="Body"/>
              <w:jc w:val="center"/>
              <w:rPr>
                <w:rFonts w:ascii="Arial" w:hAnsi="Arial" w:cs="Arial"/>
                <w:b/>
                <w:bCs/>
                <w:sz w:val="20"/>
                <w:szCs w:val="20"/>
              </w:rPr>
            </w:pPr>
            <w:r w:rsidRPr="000908FF">
              <w:rPr>
                <w:rFonts w:ascii="Arial" w:hAnsi="Arial" w:cs="Arial"/>
                <w:b/>
                <w:bCs/>
                <w:sz w:val="20"/>
                <w:szCs w:val="20"/>
              </w:rPr>
              <w:t>Age</w:t>
            </w:r>
          </w:p>
        </w:tc>
        <w:tc>
          <w:tcPr>
            <w:tcW w:w="1685" w:type="dxa"/>
          </w:tcPr>
          <w:p w14:paraId="1347748C" w14:textId="08E1C10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374ECC44" w14:textId="390AF555"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64FF2963"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-0.26</w:t>
            </w:r>
          </w:p>
        </w:tc>
        <w:tc>
          <w:tcPr>
            <w:tcW w:w="1685" w:type="dxa"/>
          </w:tcPr>
          <w:p w14:paraId="2BE3AF41"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0.793</w:t>
            </w:r>
          </w:p>
        </w:tc>
      </w:tr>
      <w:tr w:rsidR="00191ECD" w:rsidRPr="000908FF" w14:paraId="1770B65E" w14:textId="77777777" w:rsidTr="000908FF">
        <w:tc>
          <w:tcPr>
            <w:tcW w:w="1684" w:type="dxa"/>
          </w:tcPr>
          <w:p w14:paraId="6B2A7C05" w14:textId="77777777" w:rsidR="00191ECD" w:rsidRPr="000908FF" w:rsidRDefault="00191ECD" w:rsidP="000908FF">
            <w:pPr>
              <w:pStyle w:val="Body"/>
              <w:jc w:val="center"/>
              <w:rPr>
                <w:rFonts w:ascii="Arial" w:hAnsi="Arial" w:cs="Arial"/>
                <w:b/>
                <w:bCs/>
                <w:sz w:val="20"/>
                <w:szCs w:val="20"/>
              </w:rPr>
            </w:pPr>
            <w:proofErr w:type="spellStart"/>
            <w:r w:rsidRPr="000908FF">
              <w:rPr>
                <w:rFonts w:ascii="Arial" w:hAnsi="Arial" w:cs="Arial"/>
                <w:b/>
                <w:bCs/>
                <w:sz w:val="20"/>
                <w:szCs w:val="20"/>
              </w:rPr>
              <w:t>Labour</w:t>
            </w:r>
            <w:proofErr w:type="spellEnd"/>
            <w:r w:rsidRPr="000908FF">
              <w:rPr>
                <w:rFonts w:ascii="Arial" w:hAnsi="Arial" w:cs="Arial"/>
                <w:b/>
                <w:bCs/>
                <w:sz w:val="20"/>
                <w:szCs w:val="20"/>
              </w:rPr>
              <w:t xml:space="preserve"> availability</w:t>
            </w:r>
          </w:p>
        </w:tc>
        <w:tc>
          <w:tcPr>
            <w:tcW w:w="1685" w:type="dxa"/>
          </w:tcPr>
          <w:p w14:paraId="57E4AB33" w14:textId="1FB99E6D"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-0.000</w:t>
            </w:r>
          </w:p>
        </w:tc>
        <w:tc>
          <w:tcPr>
            <w:tcW w:w="1685" w:type="dxa"/>
          </w:tcPr>
          <w:p w14:paraId="7A88A634" w14:textId="74728F40"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0.002</w:t>
            </w:r>
          </w:p>
        </w:tc>
        <w:tc>
          <w:tcPr>
            <w:tcW w:w="1685" w:type="dxa"/>
          </w:tcPr>
          <w:p w14:paraId="675D218F"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-0.24</w:t>
            </w:r>
          </w:p>
        </w:tc>
        <w:tc>
          <w:tcPr>
            <w:tcW w:w="1685" w:type="dxa"/>
          </w:tcPr>
          <w:p w14:paraId="7ADD50C6" w14:textId="77777777" w:rsidR="00191ECD" w:rsidRPr="000908FF" w:rsidRDefault="00191ECD" w:rsidP="000908FF">
            <w:pPr>
              <w:pStyle w:val="Body"/>
              <w:jc w:val="center"/>
              <w:rPr>
                <w:rFonts w:ascii="Arial" w:hAnsi="Arial" w:cs="Arial"/>
                <w:sz w:val="20"/>
                <w:szCs w:val="20"/>
              </w:rPr>
            </w:pPr>
            <w:r w:rsidRPr="000908FF">
              <w:rPr>
                <w:rFonts w:ascii="Arial" w:hAnsi="Arial" w:cs="Arial"/>
                <w:sz w:val="20"/>
                <w:szCs w:val="20"/>
              </w:rPr>
              <w:t>0.812</w:t>
            </w:r>
          </w:p>
        </w:tc>
      </w:tr>
      <w:tr w:rsidR="00191ECD" w:rsidRPr="000908FF" w14:paraId="6FE9C18F" w14:textId="77777777" w:rsidTr="000908FF">
        <w:tc>
          <w:tcPr>
            <w:tcW w:w="1684" w:type="dxa"/>
          </w:tcPr>
          <w:p w14:paraId="5A10E021" w14:textId="77777777" w:rsidR="00191ECD" w:rsidRPr="000908FF" w:rsidRDefault="00191ECD" w:rsidP="000908FF">
            <w:pPr>
              <w:pStyle w:val="Body"/>
              <w:spacing w:after="0"/>
              <w:jc w:val="center"/>
              <w:rPr>
                <w:rFonts w:ascii="Arial" w:hAnsi="Arial" w:cs="Arial"/>
                <w:b/>
                <w:bCs/>
                <w:sz w:val="20"/>
                <w:szCs w:val="20"/>
              </w:rPr>
            </w:pPr>
            <w:r w:rsidRPr="000908FF">
              <w:rPr>
                <w:rFonts w:ascii="Arial" w:hAnsi="Arial" w:cs="Arial"/>
                <w:b/>
                <w:bCs/>
                <w:sz w:val="20"/>
                <w:szCs w:val="20"/>
              </w:rPr>
              <w:t>Log(scale)</w:t>
            </w:r>
          </w:p>
        </w:tc>
        <w:tc>
          <w:tcPr>
            <w:tcW w:w="1685" w:type="dxa"/>
          </w:tcPr>
          <w:p w14:paraId="547343BA" w14:textId="2EFF8913"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-3.688</w:t>
            </w:r>
          </w:p>
        </w:tc>
        <w:tc>
          <w:tcPr>
            <w:tcW w:w="1685" w:type="dxa"/>
          </w:tcPr>
          <w:p w14:paraId="64FA2C6E" w14:textId="69EE6E21"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0.079</w:t>
            </w:r>
          </w:p>
        </w:tc>
        <w:tc>
          <w:tcPr>
            <w:tcW w:w="1685" w:type="dxa"/>
          </w:tcPr>
          <w:p w14:paraId="6C876D72" w14:textId="77777777"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-46.66</w:t>
            </w:r>
          </w:p>
        </w:tc>
        <w:tc>
          <w:tcPr>
            <w:tcW w:w="1685" w:type="dxa"/>
          </w:tcPr>
          <w:p w14:paraId="227EA76D" w14:textId="77777777" w:rsidR="00191ECD" w:rsidRPr="000908FF" w:rsidRDefault="00191ECD" w:rsidP="000908FF">
            <w:pPr>
              <w:pStyle w:val="Body"/>
              <w:spacing w:after="0"/>
              <w:jc w:val="center"/>
              <w:rPr>
                <w:rFonts w:ascii="Arial" w:hAnsi="Arial" w:cs="Arial"/>
                <w:sz w:val="20"/>
                <w:szCs w:val="20"/>
              </w:rPr>
            </w:pPr>
            <w:r w:rsidRPr="000908FF">
              <w:rPr>
                <w:rFonts w:ascii="Arial" w:hAnsi="Arial" w:cs="Arial"/>
                <w:sz w:val="20"/>
                <w:szCs w:val="20"/>
              </w:rPr>
              <w:t>0.000***</w:t>
            </w:r>
          </w:p>
        </w:tc>
      </w:tr>
    </w:tbl>
    <w:p w14:paraId="4A9B0027" w14:textId="77777777" w:rsidR="00975B5A" w:rsidRDefault="00975B5A" w:rsidP="00441B6F">
      <w:pPr>
        <w:pStyle w:val="Body"/>
        <w:spacing w:after="0"/>
        <w:rPr>
          <w:rFonts w:ascii="Arial" w:hAnsi="Arial" w:cs="Arial"/>
        </w:rPr>
      </w:pPr>
    </w:p>
    <w:p w14:paraId="3069032C" w14:textId="77777777" w:rsidR="00D2178C" w:rsidRDefault="00D2178C" w:rsidP="00D2178C">
      <w:pPr>
        <w:pStyle w:val="Body"/>
        <w:spacing w:after="0"/>
        <w:jc w:val="left"/>
        <w:rPr>
          <w:rFonts w:ascii="Arial" w:hAnsi="Arial" w:cs="Arial"/>
          <w:b/>
          <w:bCs/>
          <w:i/>
          <w:iCs/>
        </w:rPr>
      </w:pPr>
      <w:r w:rsidRPr="00CD0414">
        <w:rPr>
          <w:rFonts w:ascii="Arial" w:hAnsi="Arial" w:cs="Arial"/>
          <w:b/>
          <w:bCs/>
          <w:i/>
          <w:iCs/>
        </w:rPr>
        <w:t>***Significant at 1 per cent level</w:t>
      </w:r>
      <w:r w:rsidRPr="00CD0414">
        <w:rPr>
          <w:rFonts w:ascii="Arial" w:hAnsi="Arial" w:cs="Arial"/>
          <w:b/>
          <w:bCs/>
          <w:i/>
          <w:iCs/>
        </w:rPr>
        <w:br/>
        <w:t>** Significant at 5 per cent level</w:t>
      </w:r>
      <w:r>
        <w:rPr>
          <w:rFonts w:ascii="Arial" w:hAnsi="Arial" w:cs="Arial"/>
          <w:b/>
          <w:bCs/>
          <w:i/>
          <w:iCs/>
        </w:rPr>
        <w:t xml:space="preserve"> </w:t>
      </w:r>
    </w:p>
    <w:p w14:paraId="47AB6F46" w14:textId="77777777" w:rsidR="00D2178C" w:rsidRDefault="00D2178C" w:rsidP="00D2178C">
      <w:pPr>
        <w:pStyle w:val="Body"/>
        <w:spacing w:after="0"/>
        <w:jc w:val="left"/>
        <w:rPr>
          <w:rFonts w:ascii="Arial" w:hAnsi="Arial" w:cs="Arial"/>
          <w:b/>
          <w:bCs/>
          <w:i/>
          <w:iCs/>
        </w:rPr>
      </w:pPr>
      <w:r w:rsidRPr="00A66D0A">
        <w:rPr>
          <w:rFonts w:ascii="Arial" w:hAnsi="Arial" w:cs="Arial"/>
          <w:b/>
          <w:bCs/>
          <w:i/>
          <w:iCs/>
        </w:rPr>
        <w:t>*Significant at 10 per cent level</w:t>
      </w:r>
    </w:p>
    <w:p w14:paraId="05F37D67" w14:textId="77777777" w:rsidR="00F25F3C" w:rsidRDefault="00F25F3C" w:rsidP="00F25F3C">
      <w:pPr>
        <w:pStyle w:val="Body"/>
        <w:spacing w:after="0"/>
        <w:rPr>
          <w:rFonts w:ascii="Arial" w:hAnsi="Arial" w:cs="Arial"/>
        </w:rPr>
      </w:pPr>
    </w:p>
    <w:p w14:paraId="17DFCF31" w14:textId="77777777" w:rsidR="00333E12" w:rsidRDefault="00333E12" w:rsidP="00F25F3C">
      <w:pPr>
        <w:pStyle w:val="Body"/>
        <w:spacing w:after="0"/>
        <w:rPr>
          <w:rFonts w:ascii="Arial" w:hAnsi="Arial" w:cs="Arial"/>
        </w:rPr>
      </w:pPr>
    </w:p>
    <w:tbl>
      <w:tblPr>
        <w:tblStyle w:val="TableGrid"/>
        <w:tblW w:w="0" w:type="auto"/>
        <w:tblLook w:val="04A0" w:firstRow="1" w:lastRow="0" w:firstColumn="1" w:lastColumn="0" w:noHBand="0" w:noVBand="1"/>
      </w:tblPr>
      <w:tblGrid>
        <w:gridCol w:w="4212"/>
        <w:gridCol w:w="4212"/>
      </w:tblGrid>
      <w:tr w:rsidR="00D2178C" w:rsidRPr="00D2178C" w14:paraId="7A40842A" w14:textId="77777777">
        <w:tc>
          <w:tcPr>
            <w:tcW w:w="4212" w:type="dxa"/>
          </w:tcPr>
          <w:p w14:paraId="619E98F4" w14:textId="1F9CDDBE"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Model diagnostics</w:t>
            </w:r>
          </w:p>
        </w:tc>
        <w:tc>
          <w:tcPr>
            <w:tcW w:w="4212" w:type="dxa"/>
          </w:tcPr>
          <w:p w14:paraId="1C5EC1E1" w14:textId="77777777" w:rsidR="00D2178C" w:rsidRPr="00D2178C" w:rsidRDefault="00D2178C" w:rsidP="00D2178C">
            <w:pPr>
              <w:pStyle w:val="Body"/>
              <w:jc w:val="center"/>
              <w:rPr>
                <w:rFonts w:ascii="Arial" w:hAnsi="Arial" w:cs="Arial"/>
                <w:b/>
                <w:bCs/>
                <w:sz w:val="20"/>
                <w:szCs w:val="20"/>
              </w:rPr>
            </w:pPr>
            <w:r w:rsidRPr="00D2178C">
              <w:rPr>
                <w:rFonts w:ascii="Arial" w:hAnsi="Arial" w:cs="Arial"/>
                <w:b/>
                <w:bCs/>
                <w:sz w:val="20"/>
                <w:szCs w:val="20"/>
              </w:rPr>
              <w:t>Value</w:t>
            </w:r>
          </w:p>
        </w:tc>
      </w:tr>
      <w:tr w:rsidR="00D2178C" w:rsidRPr="00D2178C" w14:paraId="4B16F1BA" w14:textId="77777777">
        <w:tc>
          <w:tcPr>
            <w:tcW w:w="4212" w:type="dxa"/>
          </w:tcPr>
          <w:p w14:paraId="181B3EA3"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Log-likelihood</w:t>
            </w:r>
          </w:p>
        </w:tc>
        <w:tc>
          <w:tcPr>
            <w:tcW w:w="4212" w:type="dxa"/>
          </w:tcPr>
          <w:p w14:paraId="683EC4F6"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181.60</w:t>
            </w:r>
          </w:p>
        </w:tc>
      </w:tr>
      <w:tr w:rsidR="00D2178C" w:rsidRPr="00D2178C" w14:paraId="2CFF7D47" w14:textId="77777777">
        <w:tc>
          <w:tcPr>
            <w:tcW w:w="4212" w:type="dxa"/>
          </w:tcPr>
          <w:p w14:paraId="4A4436AD"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Number of observations</w:t>
            </w:r>
          </w:p>
        </w:tc>
        <w:tc>
          <w:tcPr>
            <w:tcW w:w="4212" w:type="dxa"/>
          </w:tcPr>
          <w:p w14:paraId="35F256FA"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80</w:t>
            </w:r>
          </w:p>
        </w:tc>
      </w:tr>
      <w:tr w:rsidR="00D2178C" w:rsidRPr="00D2178C" w14:paraId="62C15DDB" w14:textId="77777777">
        <w:tc>
          <w:tcPr>
            <w:tcW w:w="4212" w:type="dxa"/>
          </w:tcPr>
          <w:p w14:paraId="6075D911"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Left-censored observations</w:t>
            </w:r>
          </w:p>
        </w:tc>
        <w:tc>
          <w:tcPr>
            <w:tcW w:w="4212" w:type="dxa"/>
          </w:tcPr>
          <w:p w14:paraId="24155DEF"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14:paraId="73B022EA" w14:textId="77777777">
        <w:tc>
          <w:tcPr>
            <w:tcW w:w="4212" w:type="dxa"/>
          </w:tcPr>
          <w:p w14:paraId="2F3A9811"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Right-censored observations</w:t>
            </w:r>
          </w:p>
        </w:tc>
        <w:tc>
          <w:tcPr>
            <w:tcW w:w="4212" w:type="dxa"/>
          </w:tcPr>
          <w:p w14:paraId="75E8812A" w14:textId="7777777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w:t>
            </w:r>
          </w:p>
        </w:tc>
      </w:tr>
      <w:tr w:rsidR="00D2178C" w:rsidRPr="00D2178C" w14:paraId="13B650AA" w14:textId="77777777">
        <w:tc>
          <w:tcPr>
            <w:tcW w:w="4212" w:type="dxa"/>
          </w:tcPr>
          <w:p w14:paraId="4738522F"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Wald statistic</w:t>
            </w:r>
          </w:p>
        </w:tc>
        <w:tc>
          <w:tcPr>
            <w:tcW w:w="4212" w:type="dxa"/>
          </w:tcPr>
          <w:p w14:paraId="56B5B38F" w14:textId="1042D036"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0.109</w:t>
            </w:r>
          </w:p>
        </w:tc>
      </w:tr>
      <w:tr w:rsidR="00D2178C" w:rsidRPr="00D2178C" w14:paraId="613C6A9D" w14:textId="77777777">
        <w:tc>
          <w:tcPr>
            <w:tcW w:w="4212" w:type="dxa"/>
          </w:tcPr>
          <w:p w14:paraId="544149D2" w14:textId="77777777" w:rsidR="00D2178C" w:rsidRPr="00B33DB7" w:rsidRDefault="00D2178C" w:rsidP="00D2178C">
            <w:pPr>
              <w:pStyle w:val="Body"/>
              <w:jc w:val="center"/>
              <w:rPr>
                <w:rFonts w:ascii="Arial" w:hAnsi="Arial" w:cs="Arial"/>
                <w:b/>
                <w:bCs/>
                <w:sz w:val="20"/>
                <w:szCs w:val="20"/>
              </w:rPr>
            </w:pPr>
            <w:r w:rsidRPr="00B33DB7">
              <w:rPr>
                <w:rFonts w:ascii="Arial" w:hAnsi="Arial" w:cs="Arial"/>
                <w:b/>
                <w:bCs/>
                <w:sz w:val="20"/>
                <w:szCs w:val="20"/>
              </w:rPr>
              <w:t>p-value (Wald test)</w:t>
            </w:r>
          </w:p>
        </w:tc>
        <w:tc>
          <w:tcPr>
            <w:tcW w:w="4212" w:type="dxa"/>
          </w:tcPr>
          <w:p w14:paraId="67B9E2BD" w14:textId="6E3A6A87" w:rsidR="00D2178C" w:rsidRPr="00D2178C" w:rsidRDefault="00D2178C" w:rsidP="00D2178C">
            <w:pPr>
              <w:pStyle w:val="Body"/>
              <w:jc w:val="center"/>
              <w:rPr>
                <w:rFonts w:ascii="Arial" w:hAnsi="Arial" w:cs="Arial"/>
                <w:sz w:val="20"/>
                <w:szCs w:val="20"/>
              </w:rPr>
            </w:pPr>
            <w:r w:rsidRPr="00D2178C">
              <w:rPr>
                <w:rFonts w:ascii="Arial" w:hAnsi="Arial" w:cs="Arial"/>
                <w:sz w:val="20"/>
                <w:szCs w:val="20"/>
              </w:rPr>
              <w:t>0.740</w:t>
            </w:r>
          </w:p>
        </w:tc>
      </w:tr>
      <w:tr w:rsidR="00D2178C" w:rsidRPr="00D2178C" w14:paraId="249D9DD6" w14:textId="77777777">
        <w:tc>
          <w:tcPr>
            <w:tcW w:w="4212" w:type="dxa"/>
          </w:tcPr>
          <w:p w14:paraId="65D2EFD6" w14:textId="77777777" w:rsidR="00D2178C" w:rsidRPr="00B33DB7" w:rsidRDefault="00D2178C" w:rsidP="00D2178C">
            <w:pPr>
              <w:pStyle w:val="Body"/>
              <w:spacing w:after="0"/>
              <w:jc w:val="center"/>
              <w:rPr>
                <w:rFonts w:ascii="Arial" w:hAnsi="Arial" w:cs="Arial"/>
                <w:b/>
                <w:bCs/>
                <w:sz w:val="20"/>
                <w:szCs w:val="20"/>
              </w:rPr>
            </w:pPr>
            <w:r w:rsidRPr="00B33DB7">
              <w:rPr>
                <w:rFonts w:ascii="Arial" w:hAnsi="Arial" w:cs="Arial"/>
                <w:b/>
                <w:bCs/>
                <w:sz w:val="20"/>
                <w:szCs w:val="20"/>
              </w:rPr>
              <w:t>Scale parameter</w:t>
            </w:r>
          </w:p>
        </w:tc>
        <w:tc>
          <w:tcPr>
            <w:tcW w:w="4212" w:type="dxa"/>
          </w:tcPr>
          <w:p w14:paraId="6847C6AC" w14:textId="52159EC0" w:rsidR="00D2178C" w:rsidRPr="00D2178C" w:rsidRDefault="00D2178C" w:rsidP="00D2178C">
            <w:pPr>
              <w:pStyle w:val="Body"/>
              <w:spacing w:after="0"/>
              <w:jc w:val="center"/>
              <w:rPr>
                <w:rFonts w:ascii="Arial" w:hAnsi="Arial" w:cs="Arial"/>
                <w:sz w:val="20"/>
                <w:szCs w:val="20"/>
              </w:rPr>
            </w:pPr>
            <w:r w:rsidRPr="00D2178C">
              <w:rPr>
                <w:rFonts w:ascii="Arial" w:hAnsi="Arial" w:cs="Arial"/>
                <w:sz w:val="20"/>
                <w:szCs w:val="20"/>
              </w:rPr>
              <w:t>0.025</w:t>
            </w:r>
          </w:p>
        </w:tc>
      </w:tr>
    </w:tbl>
    <w:p w14:paraId="00D07AC7" w14:textId="77777777" w:rsidR="00333E12" w:rsidRDefault="00333E12" w:rsidP="00333E12">
      <w:pPr>
        <w:pStyle w:val="Body"/>
        <w:spacing w:after="0"/>
        <w:rPr>
          <w:rFonts w:ascii="Arial" w:hAnsi="Arial" w:cs="Arial"/>
        </w:rPr>
      </w:pPr>
    </w:p>
    <w:p w14:paraId="5EC01F5B" w14:textId="77777777" w:rsidR="00333E12" w:rsidRDefault="00333E12" w:rsidP="00333E12">
      <w:pPr>
        <w:pStyle w:val="Body"/>
        <w:spacing w:after="0"/>
        <w:rPr>
          <w:rFonts w:ascii="Arial" w:hAnsi="Arial" w:cs="Arial"/>
        </w:rPr>
      </w:pPr>
    </w:p>
    <w:p w14:paraId="47866738" w14:textId="1254978C" w:rsidR="006A1703" w:rsidRDefault="006A1703" w:rsidP="006A1703">
      <w:pPr>
        <w:pStyle w:val="Body"/>
        <w:spacing w:after="0"/>
        <w:rPr>
          <w:rFonts w:ascii="Arial" w:hAnsi="Arial" w:cs="Arial"/>
          <w:lang w:val="en-IN"/>
        </w:rPr>
      </w:pPr>
      <w:r w:rsidRPr="006A1703">
        <w:rPr>
          <w:rFonts w:ascii="Arial" w:hAnsi="Arial" w:cs="Arial"/>
          <w:lang w:val="en-IN"/>
        </w:rPr>
        <w:t>The negative and statistically insignificant coefficient of fertilizer observed in the present analysis indicates that fertilizer application has exceeded its economically optimal level, thereby reducing its marginal productivity. This outcome is consistent with the theoretical expectation of diminishing marginal returns, wherein excessive application of a variable input leads to a decline in its contribution to output. Empirical evidence from recent efficiency studies support</w:t>
      </w:r>
      <w:r w:rsidR="00F001EC">
        <w:rPr>
          <w:rFonts w:ascii="Arial" w:hAnsi="Arial" w:cs="Arial"/>
          <w:lang w:val="en-IN"/>
        </w:rPr>
        <w:t>ed</w:t>
      </w:r>
      <w:r w:rsidRPr="006A1703">
        <w:rPr>
          <w:rFonts w:ascii="Arial" w:hAnsi="Arial" w:cs="Arial"/>
          <w:lang w:val="en-IN"/>
        </w:rPr>
        <w:t xml:space="preserve"> this finding. Sultana, Shamima et al. (2023) reported that overuse of chemical fertilizers in potato cultivation resulted in insignificant or negative yield responses due to nutrient imbalance and soil degradation effects. Similarly, Tadesse, Tesfaye et al. (2020) found that imbalanced fertilizer </w:t>
      </w:r>
      <w:proofErr w:type="gramStart"/>
      <w:r w:rsidRPr="006A1703">
        <w:rPr>
          <w:rFonts w:ascii="Arial" w:hAnsi="Arial" w:cs="Arial"/>
          <w:lang w:val="en-IN"/>
        </w:rPr>
        <w:t>use</w:t>
      </w:r>
      <w:proofErr w:type="gramEnd"/>
      <w:r w:rsidRPr="006A1703">
        <w:rPr>
          <w:rFonts w:ascii="Arial" w:hAnsi="Arial" w:cs="Arial"/>
          <w:lang w:val="en-IN"/>
        </w:rPr>
        <w:t xml:space="preserve"> in maize production reduced productivity and contributed to allocative inefficiency, emphasizing that optimal input combination rather than quantity alone determines output response. These findings validate the present result that fertilizer inefficiency is primarily a consequence of misallocation rather than inadequate use.</w:t>
      </w:r>
    </w:p>
    <w:p w14:paraId="78F9CEE9" w14:textId="77777777" w:rsidR="00F46A2D" w:rsidRPr="006A1703" w:rsidRDefault="00F46A2D" w:rsidP="006A1703">
      <w:pPr>
        <w:pStyle w:val="Body"/>
        <w:spacing w:after="0"/>
        <w:rPr>
          <w:rFonts w:ascii="Arial" w:hAnsi="Arial" w:cs="Arial"/>
          <w:lang w:val="en-IN"/>
        </w:rPr>
      </w:pPr>
    </w:p>
    <w:p w14:paraId="0A32AC8F" w14:textId="22322E5C" w:rsidR="006A1703" w:rsidRDefault="006A1703" w:rsidP="006A1703">
      <w:pPr>
        <w:pStyle w:val="Body"/>
        <w:spacing w:after="0"/>
        <w:rPr>
          <w:rFonts w:ascii="Arial" w:hAnsi="Arial" w:cs="Arial"/>
          <w:lang w:val="en-IN"/>
        </w:rPr>
      </w:pPr>
      <w:r w:rsidRPr="006A1703">
        <w:rPr>
          <w:rFonts w:ascii="Arial" w:hAnsi="Arial" w:cs="Arial"/>
          <w:lang w:val="en-IN"/>
        </w:rPr>
        <w:lastRenderedPageBreak/>
        <w:t>The estimated gamma (γ ≈ 0.99) indicate</w:t>
      </w:r>
      <w:r w:rsidR="00986B89">
        <w:rPr>
          <w:rFonts w:ascii="Arial" w:hAnsi="Arial" w:cs="Arial"/>
          <w:lang w:val="en-IN"/>
        </w:rPr>
        <w:t>d</w:t>
      </w:r>
      <w:r w:rsidRPr="006A1703">
        <w:rPr>
          <w:rFonts w:ascii="Arial" w:hAnsi="Arial" w:cs="Arial"/>
          <w:lang w:val="en-IN"/>
        </w:rPr>
        <w:t xml:space="preserve"> that almost the entire variation in output is attributable to technical inefficiency rather than random shocks, which is a common outcome in cross-sectional agricultural efficiency studies. This implies that differences in output across farms are predominantly driven by managerial ability and input-use practices. Similar results were reported by Oumer, Ali M. et al. (2022), who found that gamma values approaching unity in stochastic frontier models reflect the dominance of inefficiency effects over stochastic variation in explaining output differences. These parallels indicate that the high gamma value in the present study reflects a strong presence of inefficiency effects and highlights the scope for improving output through better management rather than increased input use.</w:t>
      </w:r>
    </w:p>
    <w:p w14:paraId="20C4A29E" w14:textId="77777777" w:rsidR="00771FE1" w:rsidRPr="006A1703" w:rsidRDefault="00771FE1" w:rsidP="006A1703">
      <w:pPr>
        <w:pStyle w:val="Body"/>
        <w:spacing w:after="0"/>
        <w:rPr>
          <w:rFonts w:ascii="Arial" w:hAnsi="Arial" w:cs="Arial"/>
          <w:lang w:val="en-IN"/>
        </w:rPr>
      </w:pPr>
    </w:p>
    <w:p w14:paraId="55129BED" w14:textId="4F9CE1D6" w:rsidR="006A1703" w:rsidRDefault="006A1703" w:rsidP="006A1703">
      <w:pPr>
        <w:pStyle w:val="Body"/>
        <w:spacing w:after="0"/>
        <w:rPr>
          <w:rFonts w:ascii="Arial" w:hAnsi="Arial" w:cs="Arial"/>
          <w:lang w:val="en-IN"/>
        </w:rPr>
      </w:pPr>
      <w:r w:rsidRPr="006A1703">
        <w:rPr>
          <w:rFonts w:ascii="Arial" w:hAnsi="Arial" w:cs="Arial"/>
          <w:lang w:val="en-IN"/>
        </w:rPr>
        <w:t>The insignificance of farm size in the Tobit regression model further reinforce</w:t>
      </w:r>
      <w:r w:rsidR="00E14137">
        <w:rPr>
          <w:rFonts w:ascii="Arial" w:hAnsi="Arial" w:cs="Arial"/>
          <w:lang w:val="en-IN"/>
        </w:rPr>
        <w:t>d</w:t>
      </w:r>
      <w:r w:rsidRPr="006A1703">
        <w:rPr>
          <w:rFonts w:ascii="Arial" w:hAnsi="Arial" w:cs="Arial"/>
          <w:lang w:val="en-IN"/>
        </w:rPr>
        <w:t xml:space="preserve"> the argument that efficiency is not structurally determined by scale of operation. The estimated coefficient of farm size was negative but statistically insignificant, suggesting that variations in landholding do not systematically influence technical efficiency. This finding is consistent with empirical evidence indicating that efficiency differences are often independent of farm size, particularly in systems characterized by homogeneous technology and resource access. </w:t>
      </w:r>
      <w:proofErr w:type="spellStart"/>
      <w:r w:rsidRPr="006A1703">
        <w:rPr>
          <w:rFonts w:ascii="Arial" w:hAnsi="Arial" w:cs="Arial"/>
          <w:lang w:val="en-IN"/>
        </w:rPr>
        <w:t>Ogundari</w:t>
      </w:r>
      <w:proofErr w:type="spellEnd"/>
      <w:r w:rsidRPr="006A1703">
        <w:rPr>
          <w:rFonts w:ascii="Arial" w:hAnsi="Arial" w:cs="Arial"/>
          <w:lang w:val="en-IN"/>
        </w:rPr>
        <w:t>, Kolawole (2014) demonstrated that farm size does not necessarily improve efficiency levels in smallholder agriculture, as managerial ability and input allocation play a more critical role. Similarly, Alene, Arega et al. (2006) found that technical efficiency variations were largely unrelated to farm size and were instead influenced by institutional and behavioural factors. The present result is further supported by the high mean technical efficiency (0.975), which reduce</w:t>
      </w:r>
      <w:r w:rsidR="00B47662">
        <w:rPr>
          <w:rFonts w:ascii="Arial" w:hAnsi="Arial" w:cs="Arial"/>
          <w:lang w:val="en-IN"/>
        </w:rPr>
        <w:t>d</w:t>
      </w:r>
      <w:r w:rsidRPr="006A1703">
        <w:rPr>
          <w:rFonts w:ascii="Arial" w:hAnsi="Arial" w:cs="Arial"/>
          <w:lang w:val="en-IN"/>
        </w:rPr>
        <w:t xml:space="preserve"> variability in efficiency scores and limit</w:t>
      </w:r>
      <w:r w:rsidR="00B47662">
        <w:rPr>
          <w:rFonts w:ascii="Arial" w:hAnsi="Arial" w:cs="Arial"/>
          <w:lang w:val="en-IN"/>
        </w:rPr>
        <w:t>ed</w:t>
      </w:r>
      <w:r w:rsidRPr="006A1703">
        <w:rPr>
          <w:rFonts w:ascii="Arial" w:hAnsi="Arial" w:cs="Arial"/>
          <w:lang w:val="en-IN"/>
        </w:rPr>
        <w:t xml:space="preserve"> the explanatory power of farm-specific variables in the Tobit model.</w:t>
      </w:r>
    </w:p>
    <w:p w14:paraId="3C30123A" w14:textId="77777777" w:rsidR="004C10B0" w:rsidRPr="006A1703" w:rsidRDefault="004C10B0" w:rsidP="006A1703">
      <w:pPr>
        <w:pStyle w:val="Body"/>
        <w:spacing w:after="0"/>
        <w:rPr>
          <w:rFonts w:ascii="Arial" w:hAnsi="Arial" w:cs="Arial"/>
          <w:lang w:val="en-IN"/>
        </w:rPr>
      </w:pPr>
    </w:p>
    <w:p w14:paraId="09AD80DC" w14:textId="5A0CC881" w:rsidR="00DA09AB" w:rsidRPr="00890D3C" w:rsidRDefault="006A1703" w:rsidP="006A1703">
      <w:pPr>
        <w:pStyle w:val="Body"/>
        <w:spacing w:after="0"/>
        <w:rPr>
          <w:rFonts w:ascii="Arial" w:hAnsi="Arial" w:cs="Arial"/>
          <w:lang w:val="en-IN"/>
        </w:rPr>
      </w:pPr>
      <w:r w:rsidRPr="006A1703">
        <w:rPr>
          <w:rFonts w:ascii="Arial" w:hAnsi="Arial" w:cs="Arial"/>
          <w:lang w:val="en-IN"/>
        </w:rPr>
        <w:t>The coexistence of high technical efficiency and significant allocative inefficiency observed in the study highlights an important distinction in production economics. While farmers operate close to the production frontier, as indicated by the high mean efficiency, the MVP–MFC analysis revealed substantial misallocation of inputs, including overuse of labour and fertilizer and under-utilization of other inputs. This pattern is consistent with findings reported by Kumbhakar, Subal C. and Lovell, C. A. Knox (2000), who emphasized that farms can achieve high technical efficiency while remaining economically inefficient due to improper input combinations.</w:t>
      </w:r>
      <w:r w:rsidR="00890D3C">
        <w:rPr>
          <w:rFonts w:ascii="Arial" w:hAnsi="Arial" w:cs="Arial"/>
          <w:lang w:val="en-IN"/>
        </w:rPr>
        <w:t xml:space="preserve"> </w:t>
      </w:r>
      <w:r w:rsidR="00DA09AB" w:rsidRPr="00DA09AB">
        <w:rPr>
          <w:rFonts w:ascii="Arial" w:hAnsi="Arial" w:cs="Arial"/>
        </w:rPr>
        <w:t xml:space="preserve">Evidence from vegetable production systems indicates that input costs, particularly </w:t>
      </w:r>
      <w:proofErr w:type="spellStart"/>
      <w:r w:rsidR="00DA09AB" w:rsidRPr="00DA09AB">
        <w:rPr>
          <w:rFonts w:ascii="Arial" w:hAnsi="Arial" w:cs="Arial"/>
        </w:rPr>
        <w:t>labour</w:t>
      </w:r>
      <w:proofErr w:type="spellEnd"/>
      <w:r w:rsidR="00DA09AB" w:rsidRPr="00DA09AB">
        <w:rPr>
          <w:rFonts w:ascii="Arial" w:hAnsi="Arial" w:cs="Arial"/>
        </w:rPr>
        <w:t xml:space="preserve"> and fertilizer, play a crucial role in determining farm profitability and performance (</w:t>
      </w:r>
      <w:proofErr w:type="spellStart"/>
      <w:r w:rsidR="00DA09AB" w:rsidRPr="00DA09AB">
        <w:rPr>
          <w:rFonts w:ascii="Arial" w:hAnsi="Arial" w:cs="Arial"/>
        </w:rPr>
        <w:t>Wongnaa</w:t>
      </w:r>
      <w:proofErr w:type="spellEnd"/>
      <w:r w:rsidR="00DA09AB" w:rsidRPr="00DA09AB">
        <w:rPr>
          <w:rFonts w:ascii="Arial" w:hAnsi="Arial" w:cs="Arial"/>
        </w:rPr>
        <w:t xml:space="preserve"> et al., 2019). This is consistent with the present findings, where inefficient input allocation was observed to influence economic efficiency, highlighting the importance of optimal resource management.</w:t>
      </w:r>
    </w:p>
    <w:p w14:paraId="5C84A050" w14:textId="77777777" w:rsidR="00890D3C" w:rsidRDefault="00890D3C" w:rsidP="006A1703">
      <w:pPr>
        <w:pStyle w:val="Body"/>
        <w:spacing w:after="0"/>
        <w:rPr>
          <w:rFonts w:ascii="Arial" w:hAnsi="Arial" w:cs="Arial"/>
        </w:rPr>
      </w:pPr>
    </w:p>
    <w:p w14:paraId="6A5E75F2" w14:textId="3EC68A3E" w:rsidR="00163D33" w:rsidRPr="00F76B9E" w:rsidRDefault="00F76B9E" w:rsidP="006A1703">
      <w:pPr>
        <w:pStyle w:val="Body"/>
        <w:spacing w:after="0"/>
        <w:rPr>
          <w:rFonts w:ascii="Arial" w:hAnsi="Arial" w:cs="Arial"/>
          <w:b/>
          <w:bCs/>
          <w:sz w:val="22"/>
          <w:szCs w:val="22"/>
          <w:lang w:val="en-IN"/>
        </w:rPr>
      </w:pPr>
      <w:r w:rsidRPr="00F76B9E">
        <w:rPr>
          <w:rFonts w:ascii="Arial" w:hAnsi="Arial" w:cs="Arial"/>
          <w:b/>
          <w:bCs/>
          <w:sz w:val="22"/>
          <w:szCs w:val="22"/>
          <w:lang w:val="en-IN"/>
        </w:rPr>
        <w:t xml:space="preserve">4. </w:t>
      </w:r>
      <w:r w:rsidR="00163D33" w:rsidRPr="00F76B9E">
        <w:rPr>
          <w:rFonts w:ascii="Arial" w:hAnsi="Arial" w:cs="Arial"/>
          <w:b/>
          <w:bCs/>
          <w:sz w:val="22"/>
          <w:szCs w:val="22"/>
          <w:lang w:val="en-IN"/>
        </w:rPr>
        <w:t>CONCLUSION</w:t>
      </w:r>
    </w:p>
    <w:p w14:paraId="62C4A328" w14:textId="77777777" w:rsidR="006F1603" w:rsidRDefault="006F1603" w:rsidP="006A1703">
      <w:pPr>
        <w:pStyle w:val="Body"/>
        <w:spacing w:after="0"/>
        <w:rPr>
          <w:rFonts w:ascii="Arial" w:hAnsi="Arial" w:cs="Arial"/>
          <w:lang w:val="en-IN"/>
        </w:rPr>
      </w:pPr>
    </w:p>
    <w:p w14:paraId="7518F6D5" w14:textId="77777777" w:rsidR="006F1603" w:rsidRDefault="006F1603" w:rsidP="006F1603">
      <w:pPr>
        <w:pStyle w:val="Body"/>
        <w:spacing w:after="0"/>
        <w:rPr>
          <w:rFonts w:ascii="Arial" w:hAnsi="Arial" w:cs="Arial"/>
          <w:lang w:val="en-IN"/>
        </w:rPr>
      </w:pPr>
      <w:r w:rsidRPr="00FA0EB8">
        <w:rPr>
          <w:rFonts w:ascii="Arial" w:hAnsi="Arial" w:cs="Arial"/>
          <w:lang w:val="en-IN"/>
        </w:rPr>
        <w:t>The results of the present study assume greater significance when viewed in the context of off-season cabbage cultivation, which is characterized by high input intensity and greater management sensitivity compared to seasonal crops. Off-season vegetable production typically involves higher investment in seeds, fertilizers, and plant protection chemicals to exploit price advantages during lean supply periods. In such systems, even small deviations from optimal input use can lead to disproportionately large economic losses. The negative and insignificant coefficient of fertilizer, along with evidence of over-utilization in MVP–MFC analysis, therefore reflects not merely input inefficiency but the economic risk associated with imbalanced input application in high-value crops.</w:t>
      </w:r>
    </w:p>
    <w:p w14:paraId="59C24083" w14:textId="77777777" w:rsidR="006F1603" w:rsidRPr="00FA0EB8" w:rsidRDefault="006F1603" w:rsidP="006F1603">
      <w:pPr>
        <w:pStyle w:val="Body"/>
        <w:spacing w:after="0"/>
        <w:rPr>
          <w:rFonts w:ascii="Arial" w:hAnsi="Arial" w:cs="Arial"/>
          <w:lang w:val="en-IN"/>
        </w:rPr>
      </w:pPr>
    </w:p>
    <w:p w14:paraId="0C31DA9A" w14:textId="77777777" w:rsidR="006F1603" w:rsidRDefault="006F1603" w:rsidP="006F1603">
      <w:pPr>
        <w:pStyle w:val="Body"/>
        <w:spacing w:after="0"/>
        <w:rPr>
          <w:rFonts w:ascii="Arial" w:hAnsi="Arial" w:cs="Arial"/>
          <w:lang w:val="en-IN"/>
        </w:rPr>
      </w:pPr>
      <w:r w:rsidRPr="00FA0EB8">
        <w:rPr>
          <w:rFonts w:ascii="Arial" w:hAnsi="Arial" w:cs="Arial"/>
          <w:lang w:val="en-IN"/>
        </w:rPr>
        <w:t>The quantitative estimates further reinforce these observations. The mean technical efficiency of 97.5 per cent indicates that farms were operating close to the production frontier, while the gamma value of 0.99</w:t>
      </w:r>
      <w:r>
        <w:rPr>
          <w:rFonts w:ascii="Arial" w:hAnsi="Arial" w:cs="Arial"/>
          <w:lang w:val="en-IN"/>
        </w:rPr>
        <w:t xml:space="preserve"> </w:t>
      </w:r>
      <w:r w:rsidRPr="00FA0EB8">
        <w:rPr>
          <w:rFonts w:ascii="Arial" w:hAnsi="Arial" w:cs="Arial"/>
          <w:lang w:val="en-IN"/>
        </w:rPr>
        <w:t xml:space="preserve">confirms that nearly the entire variation in output was </w:t>
      </w:r>
      <w:r w:rsidRPr="00FA0EB8">
        <w:rPr>
          <w:rFonts w:ascii="Arial" w:hAnsi="Arial" w:cs="Arial"/>
          <w:lang w:val="en-IN"/>
        </w:rPr>
        <w:lastRenderedPageBreak/>
        <w:t>attributable to inefficiency effects rather than stochastic factors. This combination of high efficiency levels and high γ suggests that even marginal inefficiencies in input use and management practices significantly influence yield variation. The persistence of allocative inefficiency, despite high technical efficiency, highlights that farmers are producing near maximum output levels but not at optimal cost conditions.</w:t>
      </w:r>
    </w:p>
    <w:p w14:paraId="6F9C06D5" w14:textId="77777777" w:rsidR="006F1603" w:rsidRPr="00FA0EB8" w:rsidRDefault="006F1603" w:rsidP="006F1603">
      <w:pPr>
        <w:pStyle w:val="Body"/>
        <w:spacing w:after="0"/>
        <w:rPr>
          <w:rFonts w:ascii="Arial" w:hAnsi="Arial" w:cs="Arial"/>
          <w:lang w:val="en-IN"/>
        </w:rPr>
      </w:pPr>
    </w:p>
    <w:p w14:paraId="4FBEFEC2" w14:textId="77777777" w:rsidR="006F1603" w:rsidRDefault="006F1603" w:rsidP="006F1603">
      <w:pPr>
        <w:pStyle w:val="Body"/>
        <w:spacing w:after="0"/>
        <w:rPr>
          <w:rFonts w:ascii="Arial" w:hAnsi="Arial" w:cs="Arial"/>
          <w:lang w:val="en-IN"/>
        </w:rPr>
      </w:pPr>
      <w:r w:rsidRPr="00FA0EB8">
        <w:rPr>
          <w:rFonts w:ascii="Arial" w:hAnsi="Arial" w:cs="Arial"/>
          <w:lang w:val="en-IN"/>
        </w:rPr>
        <w:t>The insignificance of farm size in the Tobit model further strengthens the argument that efficiency in off-season cabbage cultivation is not scale-dependent. With a coefficient of -0.0031 and a p-value of 0.741, farm size did not exert any statistically significant influence on technical efficiency. This indicates that both marginal and small farms operated at comparable efficiency levels, and that differences in productivity are more closely associated with input management and decision-making rather than landholding size.</w:t>
      </w:r>
    </w:p>
    <w:p w14:paraId="6D40292C" w14:textId="77777777" w:rsidR="006F1603" w:rsidRPr="00FA0EB8" w:rsidRDefault="006F1603" w:rsidP="006F1603">
      <w:pPr>
        <w:pStyle w:val="Body"/>
        <w:spacing w:after="0"/>
        <w:rPr>
          <w:rFonts w:ascii="Arial" w:hAnsi="Arial" w:cs="Arial"/>
          <w:lang w:val="en-IN"/>
        </w:rPr>
      </w:pPr>
    </w:p>
    <w:p w14:paraId="51786EE0" w14:textId="77777777" w:rsidR="006F1603" w:rsidRPr="00FA0EB8" w:rsidRDefault="006F1603" w:rsidP="006F1603">
      <w:pPr>
        <w:pStyle w:val="Body"/>
        <w:spacing w:after="0"/>
        <w:rPr>
          <w:rFonts w:ascii="Arial" w:hAnsi="Arial" w:cs="Arial"/>
          <w:lang w:val="en-IN"/>
        </w:rPr>
      </w:pPr>
      <w:r w:rsidRPr="00FA0EB8">
        <w:rPr>
          <w:rFonts w:ascii="Arial" w:hAnsi="Arial" w:cs="Arial"/>
          <w:lang w:val="en-IN"/>
        </w:rPr>
        <w:t>Taken together, the findings of the study make a distinct contribution to the existing literature by demonstrating that in high-value, input-intensive vegetable systems, inefficiency is primarily driven by misallocation of resources rather than lack of technology or scale limitations. While previous studies have often emphasized either technical efficiency or scale effects, the present analysis highlights the coexistence of high technical efficiency (97.5 per cent) with substantial allocative inefficiency, thereby underscoring the need to address both dimensions simultaneously.</w:t>
      </w:r>
    </w:p>
    <w:p w14:paraId="6C04A811" w14:textId="77777777" w:rsidR="00B85E29" w:rsidRPr="006A1703" w:rsidRDefault="00B85E29" w:rsidP="006A1703">
      <w:pPr>
        <w:pStyle w:val="Body"/>
        <w:spacing w:after="0"/>
        <w:rPr>
          <w:rFonts w:ascii="Arial" w:hAnsi="Arial" w:cs="Arial"/>
          <w:lang w:val="en-IN"/>
        </w:rPr>
      </w:pPr>
    </w:p>
    <w:p w14:paraId="577E5AA4" w14:textId="77777777" w:rsidR="006A1703" w:rsidRPr="006A1703" w:rsidRDefault="006A1703" w:rsidP="006A1703">
      <w:pPr>
        <w:pStyle w:val="Body"/>
        <w:spacing w:after="0"/>
        <w:rPr>
          <w:rFonts w:ascii="Arial" w:hAnsi="Arial" w:cs="Arial"/>
          <w:lang w:val="en-IN"/>
        </w:rPr>
      </w:pPr>
      <w:r w:rsidRPr="006A1703">
        <w:rPr>
          <w:rFonts w:ascii="Arial" w:hAnsi="Arial" w:cs="Arial"/>
          <w:lang w:val="en-IN"/>
        </w:rPr>
        <w:t>Overall, the results suggest that inefficiencies in off-season cabbage production are primarily driven by suboptimal input allocation and management practices rather than limitations in scale or external constraints. The consistency of these findings with existing empirical literature strengthens the conclusion that targeted interventions focusing on balanced input use, improved advisory services, and enhanced managerial practices are essential for improving both technical and economic efficiency.</w:t>
      </w:r>
    </w:p>
    <w:p w14:paraId="6B02EBB9" w14:textId="77777777" w:rsidR="00FA1C26" w:rsidRPr="00BC7BA7" w:rsidRDefault="00FA1C26" w:rsidP="006A1703">
      <w:pPr>
        <w:pStyle w:val="Body"/>
        <w:rPr>
          <w:rFonts w:ascii="Arial" w:hAnsi="Arial" w:cs="Arial"/>
          <w:b/>
          <w:bCs/>
          <w:sz w:val="22"/>
          <w:szCs w:val="22"/>
          <w:lang w:val="en-IN"/>
        </w:rPr>
      </w:pPr>
    </w:p>
    <w:p w14:paraId="69FE0C12" w14:textId="45744850" w:rsidR="00FA1C26" w:rsidRPr="00BC7BA7" w:rsidRDefault="00F76B9E" w:rsidP="006A1703">
      <w:pPr>
        <w:pStyle w:val="Body"/>
        <w:rPr>
          <w:rFonts w:ascii="Arial" w:hAnsi="Arial" w:cs="Arial"/>
          <w:b/>
          <w:bCs/>
          <w:sz w:val="22"/>
          <w:szCs w:val="22"/>
          <w:lang w:val="en-IN"/>
        </w:rPr>
      </w:pPr>
      <w:r w:rsidRPr="00BC7BA7">
        <w:rPr>
          <w:rFonts w:ascii="Arial" w:hAnsi="Arial" w:cs="Arial"/>
          <w:b/>
          <w:bCs/>
          <w:sz w:val="22"/>
          <w:szCs w:val="22"/>
          <w:lang w:val="en-IN"/>
        </w:rPr>
        <w:t xml:space="preserve">5. </w:t>
      </w:r>
      <w:r w:rsidR="00FA1C26" w:rsidRPr="00BC7BA7">
        <w:rPr>
          <w:rFonts w:ascii="Arial" w:hAnsi="Arial" w:cs="Arial"/>
          <w:b/>
          <w:bCs/>
          <w:sz w:val="22"/>
          <w:szCs w:val="22"/>
          <w:lang w:val="en-IN"/>
        </w:rPr>
        <w:t>POLICY IMPLICATION</w:t>
      </w:r>
      <w:r w:rsidR="00BC7BA7" w:rsidRPr="00BC7BA7">
        <w:rPr>
          <w:rFonts w:ascii="Arial" w:hAnsi="Arial" w:cs="Arial"/>
          <w:b/>
          <w:bCs/>
          <w:sz w:val="22"/>
          <w:szCs w:val="22"/>
          <w:lang w:val="en-IN"/>
        </w:rPr>
        <w:t>S</w:t>
      </w:r>
    </w:p>
    <w:p w14:paraId="72615337" w14:textId="77777777" w:rsidR="00FA1C26" w:rsidRDefault="00FA1C26" w:rsidP="00FA1C26">
      <w:pPr>
        <w:pStyle w:val="Body"/>
        <w:spacing w:after="0"/>
        <w:rPr>
          <w:rFonts w:ascii="Arial" w:hAnsi="Arial" w:cs="Arial"/>
          <w:lang w:val="en-IN"/>
        </w:rPr>
      </w:pPr>
      <w:r w:rsidRPr="00FA0EB8">
        <w:rPr>
          <w:rFonts w:ascii="Arial" w:hAnsi="Arial" w:cs="Arial"/>
          <w:lang w:val="en-IN"/>
        </w:rPr>
        <w:t>The policy implications emerging from these results are directly aligned with the observed inefficiencies. The negative response and over-utilization of fertilizer indicate the need for balanced nutrient management and location-specific fertilizer recommendations. The consistent over-utilization of labour across farm categories suggests the importance of labour rationalization and adoption of labour-saving practices. The high gamma value (γ ≈ 1) points towards the dominance of managerial inefficiency, thereby emphasizing the critical role of extension services, farmer training, and advisory support in improving farm-level decision-making. The insignificance of farm size indicates that policies aimed at land consolidation or expansion may not yield substantial efficiency gains, and that focus should instead be placed on improving input use efficiency across all farm categories.</w:t>
      </w:r>
    </w:p>
    <w:p w14:paraId="3BC07D87" w14:textId="77777777" w:rsidR="00BC7BA7" w:rsidRPr="00FA0EB8" w:rsidRDefault="00BC7BA7" w:rsidP="00FA1C26">
      <w:pPr>
        <w:pStyle w:val="Body"/>
        <w:spacing w:after="0"/>
        <w:rPr>
          <w:rFonts w:ascii="Arial" w:hAnsi="Arial" w:cs="Arial"/>
          <w:lang w:val="en-IN"/>
        </w:rPr>
      </w:pPr>
    </w:p>
    <w:p w14:paraId="1AC25633" w14:textId="77777777" w:rsidR="00FA1C26" w:rsidRPr="00FA0EB8" w:rsidRDefault="00FA1C26" w:rsidP="00FA1C26">
      <w:pPr>
        <w:pStyle w:val="Body"/>
        <w:spacing w:after="0"/>
        <w:rPr>
          <w:rFonts w:ascii="Arial" w:hAnsi="Arial" w:cs="Arial"/>
          <w:lang w:val="en-IN"/>
        </w:rPr>
      </w:pPr>
      <w:r w:rsidRPr="00FA0EB8">
        <w:rPr>
          <w:rFonts w:ascii="Arial" w:hAnsi="Arial" w:cs="Arial"/>
          <w:lang w:val="en-IN"/>
        </w:rPr>
        <w:t>Overall, the findings of the present study contribute to the existing literature by demonstrating that, in the context of off-season cabbage cultivation, inefficiencies arise not from lack of input use but from improper input allocation and management practices. Despite a high mean technical efficiency of 97.5 per cent and a gamma value approaching unity (0.99), indicating that inefficiency dominates output variation, the presence of significant allocative inefficiencies highlights the divergence between technical and economic efficiency. The negative response of fertilizer and over-utilization of labour further emphasize the need for input rationalization rather than input intensification. These results suggest that productivity improvements in high-value vegetable systems are more likely to be achieved through better resource allocation, improved advisory services, and efficient farm management rather than expansion of farm size or increased input use.</w:t>
      </w:r>
    </w:p>
    <w:p w14:paraId="6365794D" w14:textId="77777777" w:rsidR="006F1603" w:rsidRDefault="006F1603" w:rsidP="00FA1C26">
      <w:pPr>
        <w:pStyle w:val="Body"/>
        <w:spacing w:after="0"/>
        <w:rPr>
          <w:rFonts w:ascii="Arial" w:hAnsi="Arial" w:cs="Arial"/>
        </w:rPr>
      </w:pPr>
    </w:p>
    <w:p w14:paraId="119E78F4" w14:textId="0C6C1142" w:rsidR="000C32A0" w:rsidRPr="000C32A0" w:rsidRDefault="00BC7BA7" w:rsidP="000C32A0">
      <w:pPr>
        <w:pStyle w:val="Body"/>
        <w:rPr>
          <w:rFonts w:ascii="Arial" w:hAnsi="Arial" w:cs="Arial"/>
          <w:b/>
          <w:bCs/>
          <w:sz w:val="22"/>
          <w:szCs w:val="22"/>
          <w:lang w:val="en-IN"/>
        </w:rPr>
      </w:pPr>
      <w:r w:rsidRPr="00BC7BA7">
        <w:rPr>
          <w:rFonts w:ascii="Arial" w:hAnsi="Arial" w:cs="Arial"/>
          <w:b/>
          <w:bCs/>
          <w:sz w:val="22"/>
          <w:szCs w:val="22"/>
          <w:lang w:val="en-IN"/>
        </w:rPr>
        <w:t xml:space="preserve">6. </w:t>
      </w:r>
      <w:r w:rsidRPr="000C32A0">
        <w:rPr>
          <w:rFonts w:ascii="Arial" w:hAnsi="Arial" w:cs="Arial"/>
          <w:b/>
          <w:bCs/>
          <w:sz w:val="22"/>
          <w:szCs w:val="22"/>
          <w:lang w:val="en-IN"/>
        </w:rPr>
        <w:t xml:space="preserve">LIMITATIONS </w:t>
      </w:r>
    </w:p>
    <w:p w14:paraId="51B72A75" w14:textId="77777777" w:rsidR="001C2AE6" w:rsidRDefault="000C32A0" w:rsidP="000C32A0">
      <w:pPr>
        <w:pStyle w:val="Body"/>
        <w:rPr>
          <w:rFonts w:ascii="Arial" w:hAnsi="Arial" w:cs="Arial"/>
          <w:lang w:val="en-IN"/>
        </w:rPr>
      </w:pPr>
      <w:r w:rsidRPr="000C32A0">
        <w:rPr>
          <w:rFonts w:ascii="Arial" w:hAnsi="Arial" w:cs="Arial"/>
          <w:lang w:val="en-IN"/>
        </w:rPr>
        <w:t>The findings of the present study should be interpreted in light of certain limitations. First, the analysis is based on cross-sectional data collected for a single agricultural season, which restricts the ability to capture temporal variations in input use, prices, and productivity. Off-season vegetable cultivation is inherently sensitive to market fluctuations and climatic variability, and the absence of time-series information may limit the generalizability of the results across different years.</w:t>
      </w:r>
      <w:r w:rsidR="001C2AE6">
        <w:rPr>
          <w:rFonts w:ascii="Arial" w:hAnsi="Arial" w:cs="Arial"/>
          <w:lang w:val="en-IN"/>
        </w:rPr>
        <w:t xml:space="preserve"> </w:t>
      </w:r>
    </w:p>
    <w:p w14:paraId="2BB9728A" w14:textId="0D5D5CA0" w:rsidR="000C32A0" w:rsidRPr="000C32A0" w:rsidRDefault="000C32A0" w:rsidP="000C32A0">
      <w:pPr>
        <w:pStyle w:val="Body"/>
        <w:rPr>
          <w:rFonts w:ascii="Arial" w:hAnsi="Arial" w:cs="Arial"/>
          <w:lang w:val="en-IN"/>
        </w:rPr>
      </w:pPr>
      <w:r w:rsidRPr="000C32A0">
        <w:rPr>
          <w:rFonts w:ascii="Arial" w:hAnsi="Arial" w:cs="Arial"/>
          <w:lang w:val="en-IN"/>
        </w:rPr>
        <w:t>Second, the estimation of technical efficiency using stochastic frontier analysis relies on specific distributional assumptions regarding the inefficiency term. While the model provides useful insights into farm-level efficiency, alternative specifications or panel data approaches could yield more robust estimates.</w:t>
      </w:r>
    </w:p>
    <w:p w14:paraId="046BF4E6" w14:textId="77777777" w:rsidR="000C32A0" w:rsidRPr="000C32A0" w:rsidRDefault="000C32A0" w:rsidP="000C32A0">
      <w:pPr>
        <w:pStyle w:val="Body"/>
        <w:rPr>
          <w:rFonts w:ascii="Arial" w:hAnsi="Arial" w:cs="Arial"/>
          <w:lang w:val="en-IN"/>
        </w:rPr>
      </w:pPr>
      <w:r w:rsidRPr="000C32A0">
        <w:rPr>
          <w:rFonts w:ascii="Arial" w:hAnsi="Arial" w:cs="Arial"/>
          <w:lang w:val="en-IN"/>
        </w:rPr>
        <w:t>Third, the measurement of inputs such as labour, fertilizers, and plant protection chemicals is based on aggregated expenditure data, which may not fully reflect differences in quality, timing, and application practices. In particular, variations in input use efficiency arising from managerial decisions could not be explicitly captured.</w:t>
      </w:r>
    </w:p>
    <w:p w14:paraId="3C9ECA16" w14:textId="77777777" w:rsidR="000C32A0" w:rsidRPr="000C32A0" w:rsidRDefault="000C32A0" w:rsidP="000C32A0">
      <w:pPr>
        <w:pStyle w:val="Body"/>
        <w:rPr>
          <w:rFonts w:ascii="Arial" w:hAnsi="Arial" w:cs="Arial"/>
          <w:lang w:val="en-IN"/>
        </w:rPr>
      </w:pPr>
      <w:r w:rsidRPr="000C32A0">
        <w:rPr>
          <w:rFonts w:ascii="Arial" w:hAnsi="Arial" w:cs="Arial"/>
          <w:lang w:val="en-IN"/>
        </w:rPr>
        <w:t>Fourth, the Tobit model used to identify determinants of technical efficiency exhibited limited explanatory power, partly due to the relatively high and less dispersed efficiency scores observed in the sample. As a result, the influence of farm-specific factors on efficiency could not be established with statistical precision.</w:t>
      </w:r>
    </w:p>
    <w:p w14:paraId="32BB801D" w14:textId="77777777" w:rsidR="000C32A0" w:rsidRPr="000C32A0" w:rsidRDefault="000C32A0" w:rsidP="000C32A0">
      <w:pPr>
        <w:pStyle w:val="Body"/>
        <w:rPr>
          <w:rFonts w:ascii="Arial" w:hAnsi="Arial" w:cs="Arial"/>
          <w:lang w:val="en-IN"/>
        </w:rPr>
      </w:pPr>
      <w:r w:rsidRPr="000C32A0">
        <w:rPr>
          <w:rFonts w:ascii="Arial" w:hAnsi="Arial" w:cs="Arial"/>
          <w:lang w:val="en-IN"/>
        </w:rPr>
        <w:t>Finally, the study is confined to a specific geographical area and focuses exclusively on off-season cabbage cultivation. While the results provide useful insights into input use and efficiency patterns, caution may be required in extending these findings to other regions or crops with different production conditions.</w:t>
      </w:r>
    </w:p>
    <w:p w14:paraId="583043DF" w14:textId="71AEE24D" w:rsidR="00FA1C26" w:rsidRPr="006A1703" w:rsidRDefault="00596980" w:rsidP="006A1703">
      <w:pPr>
        <w:pStyle w:val="Body"/>
        <w:rPr>
          <w:rFonts w:ascii="Arial" w:hAnsi="Arial" w:cs="Arial"/>
          <w:lang w:val="en-IN"/>
        </w:rPr>
      </w:pPr>
      <w:r w:rsidRPr="00596980">
        <w:rPr>
          <w:rFonts w:ascii="Arial" w:hAnsi="Arial" w:cs="Arial"/>
          <w:lang w:val="en-IN"/>
        </w:rPr>
        <w:t>Future research may build on the present analysis by employing panel data across multiple seasons to capture dynamic changes in efficiency and input use. Incorporating disaggregated measures of input quality and management practices would allow a more precise assessment of resource use behaviour. Further work could also extend the analysis to include additional socio-economic and institutional variables to better explain efficiency differentials. Comparative studies across regions and crops would help validate the generalizability of the findings and provide broader policy insights.</w:t>
      </w:r>
    </w:p>
    <w:p w14:paraId="4871C1EB" w14:textId="77777777" w:rsidR="00A73F67" w:rsidRPr="00D821B0" w:rsidRDefault="00A73F67" w:rsidP="006A1703">
      <w:pPr>
        <w:pStyle w:val="Body"/>
        <w:spacing w:after="0"/>
        <w:rPr>
          <w:rFonts w:ascii="Arial" w:hAnsi="Arial" w:cs="Arial"/>
          <w:b/>
          <w:bCs/>
          <w:sz w:val="22"/>
          <w:szCs w:val="22"/>
        </w:rPr>
      </w:pPr>
      <w:r w:rsidRPr="00D821B0">
        <w:rPr>
          <w:rFonts w:ascii="Arial" w:hAnsi="Arial" w:cs="Arial"/>
          <w:b/>
          <w:bCs/>
          <w:sz w:val="22"/>
          <w:szCs w:val="22"/>
        </w:rPr>
        <w:t xml:space="preserve">Disclaimer (Artificial Intelligence) </w:t>
      </w:r>
    </w:p>
    <w:p w14:paraId="42C51A5E" w14:textId="77777777" w:rsidR="00D821B0" w:rsidRPr="00D821B0" w:rsidRDefault="00D821B0" w:rsidP="006A1703">
      <w:pPr>
        <w:pStyle w:val="Body"/>
        <w:spacing w:after="0"/>
        <w:rPr>
          <w:rFonts w:ascii="Arial" w:hAnsi="Arial" w:cs="Arial"/>
        </w:rPr>
      </w:pPr>
    </w:p>
    <w:p w14:paraId="2DEF0859" w14:textId="35AD9991" w:rsidR="00A73F67" w:rsidRDefault="00A73F67" w:rsidP="006A1703">
      <w:pPr>
        <w:pStyle w:val="Body"/>
        <w:spacing w:after="0"/>
        <w:rPr>
          <w:rFonts w:ascii="Arial" w:hAnsi="Arial" w:cs="Arial"/>
        </w:rPr>
      </w:pPr>
      <w:r w:rsidRPr="00D821B0">
        <w:rPr>
          <w:rFonts w:ascii="Arial" w:hAnsi="Arial" w:cs="Arial"/>
        </w:rPr>
        <w:t>Author(s) hereby declare</w:t>
      </w:r>
      <w:r w:rsidR="002354C1">
        <w:rPr>
          <w:rFonts w:ascii="Arial" w:hAnsi="Arial" w:cs="Arial"/>
        </w:rPr>
        <w:t>d</w:t>
      </w:r>
      <w:r w:rsidRPr="00D821B0">
        <w:rPr>
          <w:rFonts w:ascii="Arial" w:hAnsi="Arial" w:cs="Arial"/>
        </w:rPr>
        <w:t xml:space="preserve"> that NO generative AI technologies such as Large Language Models (ChatGPT, COPILOT, etc.) and text-to-image generators have been used during the writing or editing of this manuscript. </w:t>
      </w:r>
    </w:p>
    <w:p w14:paraId="3DDEF83C" w14:textId="77777777" w:rsidR="00D821B0" w:rsidRPr="00D821B0" w:rsidRDefault="00D821B0" w:rsidP="006A1703">
      <w:pPr>
        <w:pStyle w:val="Body"/>
        <w:spacing w:after="0"/>
        <w:rPr>
          <w:rFonts w:ascii="Arial" w:hAnsi="Arial" w:cs="Arial"/>
        </w:rPr>
      </w:pPr>
    </w:p>
    <w:p w14:paraId="7927B41A" w14:textId="77777777" w:rsidR="00D821B0" w:rsidRDefault="00A73F67" w:rsidP="006A1703">
      <w:pPr>
        <w:pStyle w:val="Body"/>
        <w:spacing w:after="0"/>
        <w:rPr>
          <w:rFonts w:ascii="Arial" w:hAnsi="Arial" w:cs="Arial"/>
          <w:b/>
          <w:bCs/>
          <w:sz w:val="22"/>
          <w:szCs w:val="22"/>
        </w:rPr>
      </w:pPr>
      <w:r w:rsidRPr="00D821B0">
        <w:rPr>
          <w:rFonts w:ascii="Arial" w:hAnsi="Arial" w:cs="Arial"/>
          <w:b/>
          <w:bCs/>
          <w:sz w:val="22"/>
          <w:szCs w:val="22"/>
        </w:rPr>
        <w:t xml:space="preserve">Competing Interests </w:t>
      </w:r>
    </w:p>
    <w:p w14:paraId="4BEA9223" w14:textId="77777777" w:rsidR="00D821B0" w:rsidRPr="00D821B0" w:rsidRDefault="00D821B0" w:rsidP="006A1703">
      <w:pPr>
        <w:pStyle w:val="Body"/>
        <w:spacing w:after="0"/>
        <w:rPr>
          <w:rFonts w:ascii="Arial" w:hAnsi="Arial" w:cs="Arial"/>
          <w:b/>
          <w:bCs/>
          <w:sz w:val="22"/>
          <w:szCs w:val="22"/>
        </w:rPr>
      </w:pPr>
    </w:p>
    <w:p w14:paraId="039C1B3A" w14:textId="5538A53B" w:rsidR="00FD252A" w:rsidRPr="00D821B0" w:rsidRDefault="00A73F67" w:rsidP="006A1703">
      <w:pPr>
        <w:pStyle w:val="Body"/>
        <w:spacing w:after="0"/>
        <w:rPr>
          <w:rFonts w:ascii="Arial" w:hAnsi="Arial" w:cs="Arial"/>
          <w:lang w:val="en-IN"/>
        </w:rPr>
      </w:pPr>
      <w:r w:rsidRPr="00D821B0">
        <w:rPr>
          <w:rFonts w:ascii="Arial" w:hAnsi="Arial" w:cs="Arial"/>
        </w:rPr>
        <w:t>Authors have declared that they have no known competing financial interests or non-financial interests or personal relationships that could have appeared to influence the work reported in this paper.</w:t>
      </w:r>
    </w:p>
    <w:p w14:paraId="227C457C" w14:textId="77777777" w:rsidR="00FD252A" w:rsidRDefault="00FD252A" w:rsidP="006A1703">
      <w:pPr>
        <w:pStyle w:val="Body"/>
        <w:spacing w:after="0"/>
        <w:rPr>
          <w:rFonts w:ascii="Arial" w:hAnsi="Arial" w:cs="Arial"/>
          <w:b/>
          <w:bCs/>
          <w:lang w:val="en-IN"/>
        </w:rPr>
      </w:pPr>
    </w:p>
    <w:p w14:paraId="2BDE101A" w14:textId="19232653" w:rsidR="00FD252A" w:rsidRDefault="00FD252A" w:rsidP="00FD252A">
      <w:pPr>
        <w:pStyle w:val="Body"/>
        <w:spacing w:after="0"/>
        <w:rPr>
          <w:rFonts w:ascii="Arial" w:hAnsi="Arial" w:cs="Arial"/>
          <w:b/>
          <w:bCs/>
          <w:lang w:val="en-IN"/>
        </w:rPr>
      </w:pPr>
      <w:r w:rsidRPr="006576C1">
        <w:rPr>
          <w:rFonts w:ascii="Arial" w:hAnsi="Arial" w:cs="Arial"/>
          <w:b/>
          <w:bCs/>
          <w:lang w:val="en-IN"/>
        </w:rPr>
        <w:t xml:space="preserve">REFERENCES </w:t>
      </w:r>
    </w:p>
    <w:p w14:paraId="560657D6" w14:textId="77777777" w:rsidR="00D821B0" w:rsidRPr="006576C1" w:rsidRDefault="00D821B0" w:rsidP="00FD252A">
      <w:pPr>
        <w:pStyle w:val="Body"/>
        <w:spacing w:after="0"/>
        <w:rPr>
          <w:rFonts w:ascii="Arial" w:hAnsi="Arial" w:cs="Arial"/>
          <w:b/>
          <w:bCs/>
          <w:lang w:val="en-IN"/>
        </w:rPr>
      </w:pPr>
    </w:p>
    <w:p w14:paraId="011C7956" w14:textId="2DE4A30D"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Chadha, K. L., &amp; Pareek, O. P. (1993). </w:t>
      </w:r>
      <w:r w:rsidRPr="006576C1">
        <w:rPr>
          <w:rFonts w:ascii="Arial" w:hAnsi="Arial" w:cs="Arial"/>
          <w:i/>
          <w:iCs/>
          <w:lang w:val="en-IN"/>
        </w:rPr>
        <w:t>Advances in Horticulture</w:t>
      </w:r>
      <w:r w:rsidRPr="006576C1">
        <w:rPr>
          <w:rFonts w:ascii="Arial" w:hAnsi="Arial" w:cs="Arial"/>
          <w:lang w:val="en-IN"/>
        </w:rPr>
        <w:t>.</w:t>
      </w:r>
    </w:p>
    <w:p w14:paraId="3C677B16" w14:textId="7B8469DC"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lastRenderedPageBreak/>
        <w:t>Aigner, D. J., Lovell, C. A. K., &amp; Schmidt, P. (1977). Journal of Econometrics, 6(1), 21–37. https://doi.org/10.1016/0304-4076(77)90052-5</w:t>
      </w:r>
    </w:p>
    <w:p w14:paraId="68E9C03A" w14:textId="2C166944" w:rsidR="00FD252A" w:rsidRPr="006576C1"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Meeusen, W., &amp; van den Broeck, J. (1977). International Economic Review, 18(2), 435–444. </w:t>
      </w:r>
      <w:hyperlink r:id="rId14" w:tgtFrame="_new" w:history="1">
        <w:r w:rsidRPr="006576C1">
          <w:rPr>
            <w:rStyle w:val="Hyperlink"/>
            <w:rFonts w:ascii="Arial" w:hAnsi="Arial" w:cs="Arial"/>
            <w:lang w:val="en-IN"/>
          </w:rPr>
          <w:t>https://doi.org/10.2307/2525757</w:t>
        </w:r>
      </w:hyperlink>
    </w:p>
    <w:p w14:paraId="6A805014" w14:textId="7757353B" w:rsidR="00FD252A" w:rsidRPr="006576C1" w:rsidRDefault="00FD252A" w:rsidP="00D821B0">
      <w:pPr>
        <w:pStyle w:val="Body"/>
        <w:numPr>
          <w:ilvl w:val="1"/>
          <w:numId w:val="38"/>
        </w:numPr>
        <w:spacing w:after="0"/>
        <w:rPr>
          <w:rFonts w:ascii="Arial" w:hAnsi="Arial" w:cs="Arial"/>
          <w:lang w:val="en-IN"/>
        </w:rPr>
      </w:pPr>
      <w:proofErr w:type="spellStart"/>
      <w:r w:rsidRPr="006576C1">
        <w:rPr>
          <w:rFonts w:ascii="Arial" w:hAnsi="Arial" w:cs="Arial"/>
          <w:lang w:val="en-IN"/>
        </w:rPr>
        <w:t>Battese</w:t>
      </w:r>
      <w:proofErr w:type="spellEnd"/>
      <w:r w:rsidRPr="006576C1">
        <w:rPr>
          <w:rFonts w:ascii="Arial" w:hAnsi="Arial" w:cs="Arial"/>
          <w:lang w:val="en-IN"/>
        </w:rPr>
        <w:t xml:space="preserve">, G. E., &amp; </w:t>
      </w:r>
      <w:proofErr w:type="spellStart"/>
      <w:r w:rsidRPr="006576C1">
        <w:rPr>
          <w:rFonts w:ascii="Arial" w:hAnsi="Arial" w:cs="Arial"/>
          <w:lang w:val="en-IN"/>
        </w:rPr>
        <w:t>Coelli</w:t>
      </w:r>
      <w:proofErr w:type="spellEnd"/>
      <w:r w:rsidRPr="006576C1">
        <w:rPr>
          <w:rFonts w:ascii="Arial" w:hAnsi="Arial" w:cs="Arial"/>
          <w:lang w:val="en-IN"/>
        </w:rPr>
        <w:t xml:space="preserve">, T. J. (1995). Empirical Economics, 20(2), 325–332. </w:t>
      </w:r>
      <w:hyperlink r:id="rId15" w:tgtFrame="_new" w:history="1">
        <w:r w:rsidRPr="006576C1">
          <w:rPr>
            <w:rStyle w:val="Hyperlink"/>
            <w:rFonts w:ascii="Arial" w:hAnsi="Arial" w:cs="Arial"/>
            <w:lang w:val="en-IN"/>
          </w:rPr>
          <w:t>https://doi.org/10.1007/BF01205442</w:t>
        </w:r>
      </w:hyperlink>
    </w:p>
    <w:p w14:paraId="578CF564" w14:textId="6C315283" w:rsidR="00FD252A" w:rsidRPr="00E03C09" w:rsidRDefault="00FD252A" w:rsidP="00D821B0">
      <w:pPr>
        <w:pStyle w:val="Body"/>
        <w:numPr>
          <w:ilvl w:val="1"/>
          <w:numId w:val="38"/>
        </w:numPr>
        <w:spacing w:after="0"/>
        <w:rPr>
          <w:rFonts w:ascii="Arial" w:hAnsi="Arial" w:cs="Arial"/>
          <w:lang w:val="en-IN"/>
        </w:rPr>
      </w:pPr>
      <w:r w:rsidRPr="006576C1">
        <w:rPr>
          <w:rFonts w:ascii="Arial" w:hAnsi="Arial" w:cs="Arial"/>
          <w:lang w:val="en-IN"/>
        </w:rPr>
        <w:t xml:space="preserve">Government of India. (2023). </w:t>
      </w:r>
      <w:r w:rsidRPr="006576C1">
        <w:rPr>
          <w:rFonts w:ascii="Arial" w:hAnsi="Arial" w:cs="Arial"/>
          <w:i/>
          <w:iCs/>
          <w:lang w:val="en-IN"/>
        </w:rPr>
        <w:t>Horticultural Statistics at a Glance</w:t>
      </w:r>
      <w:r w:rsidRPr="006576C1">
        <w:rPr>
          <w:rFonts w:ascii="Arial" w:hAnsi="Arial" w:cs="Arial"/>
          <w:lang w:val="en-IN"/>
        </w:rPr>
        <w:t xml:space="preserve">. Ministry of Agriculture &amp; Farmers Welfare. </w:t>
      </w:r>
      <w:hyperlink r:id="rId16" w:history="1">
        <w:r w:rsidR="00D821B0" w:rsidRPr="006576C1">
          <w:rPr>
            <w:rStyle w:val="Hyperlink"/>
            <w:rFonts w:ascii="Arial" w:hAnsi="Arial" w:cs="Arial"/>
            <w:lang w:val="en-IN"/>
          </w:rPr>
          <w:t>https://agricoop.nic.in</w:t>
        </w:r>
      </w:hyperlink>
      <w:r w:rsidR="00D821B0">
        <w:rPr>
          <w:rFonts w:ascii="Arial" w:hAnsi="Arial" w:cs="Arial"/>
          <w:lang w:val="en-IN"/>
        </w:rPr>
        <w:t xml:space="preserve"> </w:t>
      </w:r>
    </w:p>
    <w:p w14:paraId="0C366F35" w14:textId="77777777" w:rsidR="00FD252A" w:rsidRPr="006A1703" w:rsidRDefault="00FD252A" w:rsidP="006A1703">
      <w:pPr>
        <w:pStyle w:val="Body"/>
        <w:spacing w:after="0"/>
        <w:rPr>
          <w:rFonts w:ascii="Arial" w:hAnsi="Arial" w:cs="Arial"/>
          <w:b/>
          <w:bCs/>
          <w:lang w:val="en-IN"/>
        </w:rPr>
      </w:pPr>
    </w:p>
    <w:p w14:paraId="504C84C9" w14:textId="160CC2FE"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Sultana, S., Hossain, M. M., &amp; Haque, M. N. (2023). Estimating the potato farming efficiency: A comparative study between stochastic frontier analysis and data envelopment analysis. </w:t>
      </w:r>
      <w:r w:rsidRPr="006A1703">
        <w:rPr>
          <w:rFonts w:ascii="Arial" w:hAnsi="Arial" w:cs="Arial"/>
          <w:i/>
          <w:iCs/>
          <w:lang w:val="en-IN"/>
        </w:rPr>
        <w:t>PLOS ONE, 18</w:t>
      </w:r>
      <w:r w:rsidRPr="006A1703">
        <w:rPr>
          <w:rFonts w:ascii="Arial" w:hAnsi="Arial" w:cs="Arial"/>
          <w:lang w:val="en-IN"/>
        </w:rPr>
        <w:t xml:space="preserve">(4), e0284391. </w:t>
      </w:r>
      <w:hyperlink r:id="rId17" w:history="1">
        <w:r w:rsidR="00D821B0" w:rsidRPr="006A1703">
          <w:rPr>
            <w:rStyle w:val="Hyperlink"/>
            <w:rFonts w:ascii="Arial" w:hAnsi="Arial" w:cs="Arial"/>
            <w:lang w:val="en-IN"/>
          </w:rPr>
          <w:t>https://doi.org/10.1371/journal.pone.0284391</w:t>
        </w:r>
      </w:hyperlink>
      <w:r w:rsidR="00D821B0">
        <w:rPr>
          <w:rFonts w:ascii="Arial" w:hAnsi="Arial" w:cs="Arial"/>
          <w:lang w:val="en-IN"/>
        </w:rPr>
        <w:t xml:space="preserve"> </w:t>
      </w:r>
    </w:p>
    <w:p w14:paraId="5C854FCF" w14:textId="6E3D1239"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Tadesse, T., Geta, E., &amp; Bogale, A. (2020). Technical efficiency of maize production in Ethiopia. </w:t>
      </w:r>
      <w:r w:rsidRPr="006A1703">
        <w:rPr>
          <w:rFonts w:ascii="Arial" w:hAnsi="Arial" w:cs="Arial"/>
          <w:i/>
          <w:iCs/>
          <w:lang w:val="en-IN"/>
        </w:rPr>
        <w:t>Agriculture &amp; Food Security, 9</w:t>
      </w:r>
      <w:r w:rsidRPr="006A1703">
        <w:rPr>
          <w:rFonts w:ascii="Arial" w:hAnsi="Arial" w:cs="Arial"/>
          <w:lang w:val="en-IN"/>
        </w:rPr>
        <w:t xml:space="preserve">(1), 1–14. </w:t>
      </w:r>
      <w:hyperlink r:id="rId18" w:history="1">
        <w:r w:rsidR="00D821B0" w:rsidRPr="006A1703">
          <w:rPr>
            <w:rStyle w:val="Hyperlink"/>
            <w:rFonts w:ascii="Arial" w:hAnsi="Arial" w:cs="Arial"/>
            <w:lang w:val="en-IN"/>
          </w:rPr>
          <w:t>https://doi.org/10.1186/s40066-020-00270-w</w:t>
        </w:r>
      </w:hyperlink>
      <w:r w:rsidR="00D821B0">
        <w:rPr>
          <w:rFonts w:ascii="Arial" w:hAnsi="Arial" w:cs="Arial"/>
          <w:lang w:val="en-IN"/>
        </w:rPr>
        <w:t xml:space="preserve"> </w:t>
      </w:r>
    </w:p>
    <w:p w14:paraId="615237E2" w14:textId="2C0B3165"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Oumer, A. M., </w:t>
      </w:r>
      <w:proofErr w:type="spellStart"/>
      <w:r w:rsidRPr="006A1703">
        <w:rPr>
          <w:rFonts w:ascii="Arial" w:hAnsi="Arial" w:cs="Arial"/>
          <w:lang w:val="en-IN"/>
        </w:rPr>
        <w:t>Mugera</w:t>
      </w:r>
      <w:proofErr w:type="spellEnd"/>
      <w:r w:rsidRPr="006A1703">
        <w:rPr>
          <w:rFonts w:ascii="Arial" w:hAnsi="Arial" w:cs="Arial"/>
          <w:lang w:val="en-IN"/>
        </w:rPr>
        <w:t xml:space="preserve">, A., Burton, M., &amp; Hailu, A. (2022). Technical efficiency and firm heterogeneity in stochastic frontier models. </w:t>
      </w:r>
      <w:r w:rsidRPr="006A1703">
        <w:rPr>
          <w:rFonts w:ascii="Arial" w:hAnsi="Arial" w:cs="Arial"/>
          <w:i/>
          <w:iCs/>
          <w:lang w:val="en-IN"/>
        </w:rPr>
        <w:t>Journal of Productivity Analysis, 58</w:t>
      </w:r>
      <w:r w:rsidRPr="006A1703">
        <w:rPr>
          <w:rFonts w:ascii="Arial" w:hAnsi="Arial" w:cs="Arial"/>
          <w:lang w:val="en-IN"/>
        </w:rPr>
        <w:t xml:space="preserve">(3), 1–17. </w:t>
      </w:r>
      <w:hyperlink r:id="rId19" w:history="1">
        <w:r w:rsidR="00D821B0" w:rsidRPr="006A1703">
          <w:rPr>
            <w:rStyle w:val="Hyperlink"/>
            <w:rFonts w:ascii="Arial" w:hAnsi="Arial" w:cs="Arial"/>
            <w:lang w:val="en-IN"/>
          </w:rPr>
          <w:t>https://doi.org/10.1007/s11123-022-00627-2</w:t>
        </w:r>
      </w:hyperlink>
      <w:r w:rsidR="00D821B0">
        <w:rPr>
          <w:rFonts w:ascii="Arial" w:hAnsi="Arial" w:cs="Arial"/>
          <w:lang w:val="en-IN"/>
        </w:rPr>
        <w:t xml:space="preserve"> </w:t>
      </w:r>
    </w:p>
    <w:p w14:paraId="3F958FC2" w14:textId="6F0FE5DA" w:rsidR="00D821B0" w:rsidRPr="006A1703" w:rsidRDefault="006A1703" w:rsidP="00D821B0">
      <w:pPr>
        <w:pStyle w:val="Body"/>
        <w:numPr>
          <w:ilvl w:val="1"/>
          <w:numId w:val="38"/>
        </w:numPr>
        <w:spacing w:after="0"/>
        <w:rPr>
          <w:rFonts w:ascii="Arial" w:hAnsi="Arial" w:cs="Arial"/>
          <w:lang w:val="en-IN"/>
        </w:rPr>
      </w:pPr>
      <w:proofErr w:type="spellStart"/>
      <w:r w:rsidRPr="006A1703">
        <w:rPr>
          <w:rFonts w:ascii="Arial" w:hAnsi="Arial" w:cs="Arial"/>
          <w:lang w:val="en-IN"/>
        </w:rPr>
        <w:t>Ogundari</w:t>
      </w:r>
      <w:proofErr w:type="spellEnd"/>
      <w:r w:rsidRPr="006A1703">
        <w:rPr>
          <w:rFonts w:ascii="Arial" w:hAnsi="Arial" w:cs="Arial"/>
          <w:lang w:val="en-IN"/>
        </w:rPr>
        <w:t xml:space="preserve">, K. (2014). The paradigm of agricultural efficiency and its implication on food security in Africa. </w:t>
      </w:r>
      <w:r w:rsidRPr="006A1703">
        <w:rPr>
          <w:rFonts w:ascii="Arial" w:hAnsi="Arial" w:cs="Arial"/>
          <w:i/>
          <w:iCs/>
          <w:lang w:val="en-IN"/>
        </w:rPr>
        <w:t>African Journal of Economic and Management Studies, 5</w:t>
      </w:r>
      <w:r w:rsidRPr="006A1703">
        <w:rPr>
          <w:rFonts w:ascii="Arial" w:hAnsi="Arial" w:cs="Arial"/>
          <w:lang w:val="en-IN"/>
        </w:rPr>
        <w:t xml:space="preserve">(1), 28–44. </w:t>
      </w:r>
      <w:hyperlink r:id="rId20" w:history="1">
        <w:r w:rsidR="00D821B0" w:rsidRPr="006A1703">
          <w:rPr>
            <w:rStyle w:val="Hyperlink"/>
            <w:rFonts w:ascii="Arial" w:hAnsi="Arial" w:cs="Arial"/>
            <w:lang w:val="en-IN"/>
          </w:rPr>
          <w:t>https://doi.org/10.1108/AJEMS-03-2013-0027</w:t>
        </w:r>
      </w:hyperlink>
      <w:r w:rsidR="00D821B0">
        <w:rPr>
          <w:rFonts w:ascii="Arial" w:hAnsi="Arial" w:cs="Arial"/>
          <w:lang w:val="en-IN"/>
        </w:rPr>
        <w:t xml:space="preserve"> </w:t>
      </w:r>
    </w:p>
    <w:p w14:paraId="40695F6C" w14:textId="6C5ADA63"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Alene, A. D., </w:t>
      </w:r>
      <w:proofErr w:type="spellStart"/>
      <w:r w:rsidRPr="006A1703">
        <w:rPr>
          <w:rFonts w:ascii="Arial" w:hAnsi="Arial" w:cs="Arial"/>
          <w:lang w:val="en-IN"/>
        </w:rPr>
        <w:t>Manyong</w:t>
      </w:r>
      <w:proofErr w:type="spellEnd"/>
      <w:r w:rsidRPr="006A1703">
        <w:rPr>
          <w:rFonts w:ascii="Arial" w:hAnsi="Arial" w:cs="Arial"/>
          <w:lang w:val="en-IN"/>
        </w:rPr>
        <w:t xml:space="preserve">, V. M., &amp; </w:t>
      </w:r>
      <w:proofErr w:type="spellStart"/>
      <w:r w:rsidRPr="006A1703">
        <w:rPr>
          <w:rFonts w:ascii="Arial" w:hAnsi="Arial" w:cs="Arial"/>
          <w:lang w:val="en-IN"/>
        </w:rPr>
        <w:t>Gockowski</w:t>
      </w:r>
      <w:proofErr w:type="spellEnd"/>
      <w:r w:rsidRPr="006A1703">
        <w:rPr>
          <w:rFonts w:ascii="Arial" w:hAnsi="Arial" w:cs="Arial"/>
          <w:lang w:val="en-IN"/>
        </w:rPr>
        <w:t xml:space="preserve">, J. (2006). The production efficiency of intercropping annual and perennial crops in southern Ethiopia. </w:t>
      </w:r>
      <w:r w:rsidRPr="006A1703">
        <w:rPr>
          <w:rFonts w:ascii="Arial" w:hAnsi="Arial" w:cs="Arial"/>
          <w:i/>
          <w:iCs/>
          <w:lang w:val="en-IN"/>
        </w:rPr>
        <w:t>Agricultural Systems, 91</w:t>
      </w:r>
      <w:r w:rsidRPr="006A1703">
        <w:rPr>
          <w:rFonts w:ascii="Arial" w:hAnsi="Arial" w:cs="Arial"/>
          <w:lang w:val="en-IN"/>
        </w:rPr>
        <w:t xml:space="preserve">(1–2), 51–72. </w:t>
      </w:r>
      <w:hyperlink r:id="rId21" w:history="1">
        <w:r w:rsidR="00D821B0" w:rsidRPr="006A1703">
          <w:rPr>
            <w:rStyle w:val="Hyperlink"/>
            <w:rFonts w:ascii="Arial" w:hAnsi="Arial" w:cs="Arial"/>
            <w:lang w:val="en-IN"/>
          </w:rPr>
          <w:t>https://doi.org/10.1016/j.agsy.2006.01.005</w:t>
        </w:r>
      </w:hyperlink>
      <w:r w:rsidR="00D821B0">
        <w:rPr>
          <w:rFonts w:ascii="Arial" w:hAnsi="Arial" w:cs="Arial"/>
          <w:lang w:val="en-IN"/>
        </w:rPr>
        <w:t xml:space="preserve"> </w:t>
      </w:r>
    </w:p>
    <w:p w14:paraId="257E80C3" w14:textId="0A1931C7" w:rsidR="006A1703" w:rsidRPr="006A1703" w:rsidRDefault="006A1703" w:rsidP="00D821B0">
      <w:pPr>
        <w:pStyle w:val="Body"/>
        <w:numPr>
          <w:ilvl w:val="1"/>
          <w:numId w:val="38"/>
        </w:numPr>
        <w:spacing w:after="0"/>
        <w:rPr>
          <w:rFonts w:ascii="Arial" w:hAnsi="Arial" w:cs="Arial"/>
          <w:lang w:val="en-IN"/>
        </w:rPr>
      </w:pPr>
      <w:r w:rsidRPr="006A1703">
        <w:rPr>
          <w:rFonts w:ascii="Arial" w:hAnsi="Arial" w:cs="Arial"/>
          <w:lang w:val="en-IN"/>
        </w:rPr>
        <w:t xml:space="preserve">Kumbhakar, S. C., &amp; Lovell, C. A. K. (2000). </w:t>
      </w:r>
      <w:r w:rsidRPr="006A1703">
        <w:rPr>
          <w:rFonts w:ascii="Arial" w:hAnsi="Arial" w:cs="Arial"/>
          <w:i/>
          <w:iCs/>
          <w:lang w:val="en-IN"/>
        </w:rPr>
        <w:t>Stochastic frontier analysis</w:t>
      </w:r>
      <w:r w:rsidRPr="006A1703">
        <w:rPr>
          <w:rFonts w:ascii="Arial" w:hAnsi="Arial" w:cs="Arial"/>
          <w:lang w:val="en-IN"/>
        </w:rPr>
        <w:t xml:space="preserve">. Cambridge University Press. </w:t>
      </w:r>
      <w:hyperlink r:id="rId22" w:history="1">
        <w:r w:rsidR="00D821B0" w:rsidRPr="006A1703">
          <w:rPr>
            <w:rStyle w:val="Hyperlink"/>
            <w:rFonts w:ascii="Arial" w:hAnsi="Arial" w:cs="Arial"/>
            <w:lang w:val="en-IN"/>
          </w:rPr>
          <w:t>https://doi.org/10.1017/CBO9781139174411</w:t>
        </w:r>
      </w:hyperlink>
      <w:r w:rsidR="00D821B0">
        <w:rPr>
          <w:rFonts w:ascii="Arial" w:hAnsi="Arial" w:cs="Arial"/>
          <w:lang w:val="en-IN"/>
        </w:rPr>
        <w:t xml:space="preserve"> </w:t>
      </w:r>
    </w:p>
    <w:p w14:paraId="650DFEF0" w14:textId="2473F209" w:rsidR="00DD794C" w:rsidRPr="00DD794C" w:rsidRDefault="00DD794C" w:rsidP="00D821B0">
      <w:pPr>
        <w:pStyle w:val="Body"/>
        <w:numPr>
          <w:ilvl w:val="1"/>
          <w:numId w:val="38"/>
        </w:numPr>
        <w:spacing w:after="0"/>
        <w:rPr>
          <w:rFonts w:ascii="Arial" w:hAnsi="Arial" w:cs="Arial"/>
          <w:lang w:val="en-IN"/>
        </w:rPr>
      </w:pPr>
      <w:proofErr w:type="spellStart"/>
      <w:r w:rsidRPr="00DD794C">
        <w:rPr>
          <w:rFonts w:ascii="Arial" w:hAnsi="Arial" w:cs="Arial"/>
        </w:rPr>
        <w:t>Wongnaa</w:t>
      </w:r>
      <w:proofErr w:type="spellEnd"/>
      <w:r w:rsidRPr="00DD794C">
        <w:rPr>
          <w:rFonts w:ascii="Arial" w:hAnsi="Arial" w:cs="Arial"/>
        </w:rPr>
        <w:t xml:space="preserve">, C. A., </w:t>
      </w:r>
      <w:proofErr w:type="spellStart"/>
      <w:r w:rsidRPr="00DD794C">
        <w:rPr>
          <w:rFonts w:ascii="Arial" w:hAnsi="Arial" w:cs="Arial"/>
        </w:rPr>
        <w:t>Akuriba</w:t>
      </w:r>
      <w:proofErr w:type="spellEnd"/>
      <w:r w:rsidRPr="00DD794C">
        <w:rPr>
          <w:rFonts w:ascii="Arial" w:hAnsi="Arial" w:cs="Arial"/>
        </w:rPr>
        <w:t xml:space="preserve">, M. A., Ebenezer, A., Danquah, K. S., &amp; Ofosu, D. A. (2019). Profitability and constraints to urban exotic vegetable production systems in the Kumasi metropolis of Ghana: A recipe for job creation. </w:t>
      </w:r>
      <w:r w:rsidRPr="00DD794C">
        <w:rPr>
          <w:rFonts w:ascii="Arial" w:hAnsi="Arial" w:cs="Arial"/>
          <w:i/>
          <w:iCs/>
        </w:rPr>
        <w:t>Journal of Global Entrepreneurship Research</w:t>
      </w:r>
      <w:r w:rsidRPr="00DD794C">
        <w:rPr>
          <w:rFonts w:ascii="Arial" w:hAnsi="Arial" w:cs="Arial"/>
        </w:rPr>
        <w:t xml:space="preserve">, 9(1), 33. </w:t>
      </w:r>
      <w:hyperlink r:id="rId23" w:history="1">
        <w:r w:rsidRPr="00270271">
          <w:rPr>
            <w:rStyle w:val="Hyperlink"/>
            <w:rFonts w:ascii="Arial" w:hAnsi="Arial" w:cs="Arial"/>
          </w:rPr>
          <w:t>https://doi.org/10.1186/s40497-019-0158-2</w:t>
        </w:r>
      </w:hyperlink>
    </w:p>
    <w:p w14:paraId="3B65A08E" w14:textId="77777777" w:rsidR="00E80433" w:rsidRPr="006A1703" w:rsidRDefault="00E80433" w:rsidP="00DD794C">
      <w:pPr>
        <w:pStyle w:val="Body"/>
        <w:spacing w:after="0"/>
        <w:ind w:left="1440"/>
        <w:rPr>
          <w:rFonts w:ascii="Arial" w:hAnsi="Arial" w:cs="Arial"/>
          <w:lang w:val="en-IN"/>
        </w:rPr>
      </w:pPr>
    </w:p>
    <w:p w14:paraId="39EC57BA" w14:textId="77777777" w:rsidR="006A1703" w:rsidRPr="00FB3A86" w:rsidRDefault="006A1703" w:rsidP="00441B6F">
      <w:pPr>
        <w:pStyle w:val="Body"/>
        <w:spacing w:after="0"/>
        <w:rPr>
          <w:rFonts w:ascii="Arial" w:hAnsi="Arial" w:cs="Arial"/>
        </w:rPr>
      </w:pPr>
    </w:p>
    <w:p w14:paraId="40EF7B5B" w14:textId="0B94125F" w:rsidR="00315186" w:rsidRDefault="00315186" w:rsidP="00441B6F">
      <w:pPr>
        <w:pStyle w:val="Body"/>
        <w:spacing w:after="0"/>
        <w:rPr>
          <w:rFonts w:ascii="Arial" w:hAnsi="Arial" w:cs="Arial"/>
        </w:rPr>
      </w:pPr>
    </w:p>
    <w:p w14:paraId="3E5C2933" w14:textId="77777777" w:rsidR="00315186" w:rsidRPr="00315186" w:rsidRDefault="00315186" w:rsidP="00441B6F"/>
    <w:p w14:paraId="70A56CE1" w14:textId="77777777" w:rsidR="00315186" w:rsidRPr="00315186" w:rsidRDefault="00315186" w:rsidP="00441B6F"/>
    <w:p w14:paraId="154EEE66" w14:textId="77777777" w:rsidR="00315186" w:rsidRPr="00315186" w:rsidRDefault="00315186" w:rsidP="00441B6F"/>
    <w:p w14:paraId="101C7FDF" w14:textId="77777777" w:rsidR="00315186" w:rsidRPr="00315186" w:rsidRDefault="00315186" w:rsidP="00441B6F"/>
    <w:p w14:paraId="6B75EC29" w14:textId="77777777" w:rsidR="00790ADA" w:rsidRPr="00FB3A86" w:rsidRDefault="00790ADA" w:rsidP="00441B6F">
      <w:pPr>
        <w:pStyle w:val="ReferHead"/>
        <w:spacing w:after="0"/>
        <w:jc w:val="both"/>
        <w:rPr>
          <w:rFonts w:ascii="Arial" w:hAnsi="Arial" w:cs="Arial"/>
        </w:rPr>
      </w:pPr>
    </w:p>
    <w:p w14:paraId="14995D5B" w14:textId="69A17309" w:rsidR="004D4277" w:rsidRPr="002D7425" w:rsidRDefault="004D4277" w:rsidP="002354C1">
      <w:pPr>
        <w:pStyle w:val="Body"/>
        <w:spacing w:after="0"/>
        <w:rPr>
          <w:lang w:val="en-GB"/>
        </w:rPr>
        <w:sectPr w:rsidR="004D4277" w:rsidRPr="002D7425" w:rsidSect="00BB7CA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5A9F2108" w14:textId="77777777" w:rsidR="00B01FCD" w:rsidRPr="00FB3A86" w:rsidRDefault="00B01FCD" w:rsidP="00441B6F">
      <w:pPr>
        <w:pStyle w:val="Appendix"/>
        <w:spacing w:after="0"/>
        <w:jc w:val="both"/>
        <w:rPr>
          <w:rFonts w:ascii="Arial" w:hAnsi="Arial" w:cs="Arial"/>
          <w:b w:val="0"/>
        </w:rPr>
      </w:pPr>
    </w:p>
    <w:sectPr w:rsidR="00B01FCD" w:rsidRPr="00FB3A86" w:rsidSect="00BB7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D141" w14:textId="77777777" w:rsidR="009A70D3" w:rsidRDefault="009A70D3" w:rsidP="00C37E61">
      <w:r>
        <w:separator/>
      </w:r>
    </w:p>
  </w:endnote>
  <w:endnote w:type="continuationSeparator" w:id="0">
    <w:p w14:paraId="2A6DB4BF" w14:textId="77777777" w:rsidR="009A70D3" w:rsidRDefault="009A70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551B" w14:textId="77777777" w:rsidR="00BB7CA2" w:rsidRDefault="00BB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AF62" w14:textId="77777777" w:rsidR="00BB7CA2" w:rsidRDefault="00BB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C9E5" w14:textId="28016598" w:rsidR="00754C9A" w:rsidRPr="00BB7CA2" w:rsidRDefault="00754C9A" w:rsidP="00BB7CA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5B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FF829" w14:textId="77777777" w:rsidR="009A70D3" w:rsidRDefault="009A70D3" w:rsidP="00C37E61">
      <w:r>
        <w:separator/>
      </w:r>
    </w:p>
  </w:footnote>
  <w:footnote w:type="continuationSeparator" w:id="0">
    <w:p w14:paraId="21E22240" w14:textId="77777777" w:rsidR="009A70D3" w:rsidRDefault="009A70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A61" w14:textId="176EDFCE" w:rsidR="00BB7CA2" w:rsidRDefault="00BB7CA2">
    <w:pPr>
      <w:pStyle w:val="Header"/>
    </w:pPr>
    <w:r>
      <w:rPr>
        <w:noProof/>
      </w:rPr>
      <w:pict w14:anchorId="76899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364E5" w14:textId="6C6D5A83" w:rsidR="00BB7CA2" w:rsidRDefault="00BB7CA2">
    <w:pPr>
      <w:pStyle w:val="Header"/>
    </w:pPr>
    <w:r>
      <w:rPr>
        <w:noProof/>
      </w:rPr>
      <w:pict w14:anchorId="0419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0BD9" w14:textId="5EED4F32" w:rsidR="00296529" w:rsidRPr="00296529" w:rsidRDefault="00BB7CA2" w:rsidP="00296529">
    <w:pPr>
      <w:ind w:left="2160"/>
      <w:jc w:val="center"/>
      <w:rPr>
        <w:rFonts w:ascii="Times New Roman" w:eastAsia="Calibri" w:hAnsi="Times New Roman"/>
        <w:i/>
        <w:sz w:val="18"/>
        <w:szCs w:val="22"/>
      </w:rPr>
    </w:pPr>
    <w:r>
      <w:rPr>
        <w:noProof/>
      </w:rPr>
      <w:pict w14:anchorId="72FFE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784B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E2A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5516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3F84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C9F9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76E6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6F2" w14:textId="4CD113AF" w:rsidR="00BB7CA2" w:rsidRDefault="00BB7CA2">
    <w:pPr>
      <w:pStyle w:val="Header"/>
    </w:pPr>
    <w:r>
      <w:rPr>
        <w:noProof/>
      </w:rPr>
      <w:pict w14:anchorId="7ABA0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DB22" w14:textId="3A674CFD" w:rsidR="00BB7CA2" w:rsidRDefault="00BB7CA2">
    <w:pPr>
      <w:pStyle w:val="Header"/>
    </w:pPr>
    <w:r>
      <w:rPr>
        <w:noProof/>
      </w:rPr>
      <w:pict w14:anchorId="4D00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F7A2" w14:textId="5EAC561A" w:rsidR="00BB7CA2" w:rsidRDefault="00BB7CA2">
    <w:pPr>
      <w:pStyle w:val="Header"/>
    </w:pPr>
    <w:r>
      <w:rPr>
        <w:noProof/>
      </w:rPr>
      <w:pict w14:anchorId="4CD69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2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35E74"/>
    <w:multiLevelType w:val="hybridMultilevel"/>
    <w:tmpl w:val="1A848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F246A4"/>
    <w:multiLevelType w:val="multilevel"/>
    <w:tmpl w:val="7DB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F1E3C"/>
    <w:multiLevelType w:val="multilevel"/>
    <w:tmpl w:val="4F9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43319D"/>
    <w:multiLevelType w:val="multilevel"/>
    <w:tmpl w:val="21D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F1BE2"/>
    <w:multiLevelType w:val="multilevel"/>
    <w:tmpl w:val="94365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A14646"/>
    <w:multiLevelType w:val="multilevel"/>
    <w:tmpl w:val="5424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32431E6"/>
    <w:multiLevelType w:val="multilevel"/>
    <w:tmpl w:val="237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F0DD5"/>
    <w:multiLevelType w:val="multilevel"/>
    <w:tmpl w:val="B60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A4F6C"/>
    <w:multiLevelType w:val="multilevel"/>
    <w:tmpl w:val="8A4ACBA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B1F3090"/>
    <w:multiLevelType w:val="multilevel"/>
    <w:tmpl w:val="802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C70FE"/>
    <w:multiLevelType w:val="multilevel"/>
    <w:tmpl w:val="12A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6227D"/>
    <w:multiLevelType w:val="multilevel"/>
    <w:tmpl w:val="809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957F6"/>
    <w:multiLevelType w:val="hybridMultilevel"/>
    <w:tmpl w:val="4672E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56C2695"/>
    <w:multiLevelType w:val="multilevel"/>
    <w:tmpl w:val="D16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AC257B8"/>
    <w:multiLevelType w:val="multilevel"/>
    <w:tmpl w:val="F76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61B43"/>
    <w:multiLevelType w:val="multilevel"/>
    <w:tmpl w:val="1BE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3B5621"/>
    <w:multiLevelType w:val="multilevel"/>
    <w:tmpl w:val="114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85B190C"/>
    <w:multiLevelType w:val="multilevel"/>
    <w:tmpl w:val="21C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CE2A54"/>
    <w:multiLevelType w:val="multilevel"/>
    <w:tmpl w:val="4B10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1516E"/>
    <w:multiLevelType w:val="multilevel"/>
    <w:tmpl w:val="44FC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42"/>
  </w:num>
  <w:num w:numId="10">
    <w:abstractNumId w:val="3"/>
  </w:num>
  <w:num w:numId="11">
    <w:abstractNumId w:val="32"/>
  </w:num>
  <w:num w:numId="12">
    <w:abstractNumId w:val="4"/>
  </w:num>
  <w:num w:numId="13">
    <w:abstractNumId w:val="30"/>
  </w:num>
  <w:num w:numId="14">
    <w:abstractNumId w:val="11"/>
  </w:num>
  <w:num w:numId="15">
    <w:abstractNumId w:val="37"/>
  </w:num>
  <w:num w:numId="16">
    <w:abstractNumId w:val="6"/>
  </w:num>
  <w:num w:numId="17">
    <w:abstractNumId w:val="38"/>
  </w:num>
  <w:num w:numId="18">
    <w:abstractNumId w:val="20"/>
  </w:num>
  <w:num w:numId="19">
    <w:abstractNumId w:val="48"/>
  </w:num>
  <w:num w:numId="20">
    <w:abstractNumId w:val="14"/>
  </w:num>
  <w:num w:numId="21">
    <w:abstractNumId w:val="12"/>
  </w:num>
  <w:num w:numId="22">
    <w:abstractNumId w:val="18"/>
  </w:num>
  <w:num w:numId="23">
    <w:abstractNumId w:val="35"/>
  </w:num>
  <w:num w:numId="24">
    <w:abstractNumId w:val="45"/>
  </w:num>
  <w:num w:numId="25">
    <w:abstractNumId w:val="5"/>
  </w:num>
  <w:num w:numId="26">
    <w:abstractNumId w:val="28"/>
  </w:num>
  <w:num w:numId="27">
    <w:abstractNumId w:val="36"/>
  </w:num>
  <w:num w:numId="28">
    <w:abstractNumId w:val="46"/>
  </w:num>
  <w:num w:numId="29">
    <w:abstractNumId w:val="41"/>
  </w:num>
  <w:num w:numId="30">
    <w:abstractNumId w:val="13"/>
  </w:num>
  <w:num w:numId="31">
    <w:abstractNumId w:val="1"/>
  </w:num>
  <w:num w:numId="32">
    <w:abstractNumId w:val="47"/>
  </w:num>
  <w:num w:numId="33">
    <w:abstractNumId w:val="26"/>
  </w:num>
  <w:num w:numId="34">
    <w:abstractNumId w:val="33"/>
  </w:num>
  <w:num w:numId="35">
    <w:abstractNumId w:val="39"/>
  </w:num>
  <w:num w:numId="36">
    <w:abstractNumId w:val="31"/>
  </w:num>
  <w:num w:numId="37">
    <w:abstractNumId w:val="34"/>
  </w:num>
  <w:num w:numId="38">
    <w:abstractNumId w:val="16"/>
  </w:num>
  <w:num w:numId="39">
    <w:abstractNumId w:val="7"/>
  </w:num>
  <w:num w:numId="40">
    <w:abstractNumId w:val="21"/>
  </w:num>
  <w:num w:numId="41">
    <w:abstractNumId w:val="27"/>
  </w:num>
  <w:num w:numId="42">
    <w:abstractNumId w:val="25"/>
  </w:num>
  <w:num w:numId="43">
    <w:abstractNumId w:val="43"/>
  </w:num>
  <w:num w:numId="44">
    <w:abstractNumId w:val="23"/>
  </w:num>
  <w:num w:numId="45">
    <w:abstractNumId w:val="19"/>
  </w:num>
  <w:num w:numId="46">
    <w:abstractNumId w:val="44"/>
  </w:num>
  <w:num w:numId="47">
    <w:abstractNumId w:val="8"/>
  </w:num>
  <w:num w:numId="48">
    <w:abstractNumId w:val="15"/>
  </w:num>
  <w:num w:numId="49">
    <w:abstractNumId w:val="29"/>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B81"/>
    <w:rsid w:val="00030174"/>
    <w:rsid w:val="000377B5"/>
    <w:rsid w:val="0004579C"/>
    <w:rsid w:val="00054377"/>
    <w:rsid w:val="00056720"/>
    <w:rsid w:val="000908FF"/>
    <w:rsid w:val="000968E4"/>
    <w:rsid w:val="000A47FA"/>
    <w:rsid w:val="000A65D3"/>
    <w:rsid w:val="000B1E33"/>
    <w:rsid w:val="000C32A0"/>
    <w:rsid w:val="000D689F"/>
    <w:rsid w:val="000E6026"/>
    <w:rsid w:val="000E7B7B"/>
    <w:rsid w:val="000E7D62"/>
    <w:rsid w:val="00103357"/>
    <w:rsid w:val="00123C9F"/>
    <w:rsid w:val="00126190"/>
    <w:rsid w:val="00130F17"/>
    <w:rsid w:val="00131D54"/>
    <w:rsid w:val="001320BF"/>
    <w:rsid w:val="00132929"/>
    <w:rsid w:val="0014607B"/>
    <w:rsid w:val="00163BC4"/>
    <w:rsid w:val="00163D33"/>
    <w:rsid w:val="001679FF"/>
    <w:rsid w:val="00191062"/>
    <w:rsid w:val="00191ECD"/>
    <w:rsid w:val="00192B72"/>
    <w:rsid w:val="001932CD"/>
    <w:rsid w:val="001A29D8"/>
    <w:rsid w:val="001A5CAA"/>
    <w:rsid w:val="001A6AD8"/>
    <w:rsid w:val="001B0427"/>
    <w:rsid w:val="001C2AE6"/>
    <w:rsid w:val="001D3A51"/>
    <w:rsid w:val="001D6230"/>
    <w:rsid w:val="001E10D2"/>
    <w:rsid w:val="001E25B4"/>
    <w:rsid w:val="001E44FE"/>
    <w:rsid w:val="001F4A8F"/>
    <w:rsid w:val="00200595"/>
    <w:rsid w:val="00204835"/>
    <w:rsid w:val="00212A95"/>
    <w:rsid w:val="002179CC"/>
    <w:rsid w:val="00231920"/>
    <w:rsid w:val="0023195C"/>
    <w:rsid w:val="002354C1"/>
    <w:rsid w:val="0024282C"/>
    <w:rsid w:val="002460DC"/>
    <w:rsid w:val="002479CC"/>
    <w:rsid w:val="00250985"/>
    <w:rsid w:val="002556F6"/>
    <w:rsid w:val="00283105"/>
    <w:rsid w:val="00284C4C"/>
    <w:rsid w:val="00287E68"/>
    <w:rsid w:val="00292908"/>
    <w:rsid w:val="00296529"/>
    <w:rsid w:val="002B1CC1"/>
    <w:rsid w:val="002B27FB"/>
    <w:rsid w:val="002B685A"/>
    <w:rsid w:val="002C57D2"/>
    <w:rsid w:val="002C604B"/>
    <w:rsid w:val="002D4EE7"/>
    <w:rsid w:val="002D7425"/>
    <w:rsid w:val="002E0D56"/>
    <w:rsid w:val="00300081"/>
    <w:rsid w:val="00315186"/>
    <w:rsid w:val="00330A4C"/>
    <w:rsid w:val="0033343E"/>
    <w:rsid w:val="00333E12"/>
    <w:rsid w:val="003346CE"/>
    <w:rsid w:val="0034098D"/>
    <w:rsid w:val="003512C2"/>
    <w:rsid w:val="003571CB"/>
    <w:rsid w:val="00362EEA"/>
    <w:rsid w:val="00364E20"/>
    <w:rsid w:val="00371FB6"/>
    <w:rsid w:val="003763C1"/>
    <w:rsid w:val="00376BBE"/>
    <w:rsid w:val="0039224F"/>
    <w:rsid w:val="003A43A4"/>
    <w:rsid w:val="003A74C2"/>
    <w:rsid w:val="003A7E18"/>
    <w:rsid w:val="003C4C86"/>
    <w:rsid w:val="003C6258"/>
    <w:rsid w:val="003E2904"/>
    <w:rsid w:val="003E4601"/>
    <w:rsid w:val="003F063D"/>
    <w:rsid w:val="003F218F"/>
    <w:rsid w:val="00400648"/>
    <w:rsid w:val="00401927"/>
    <w:rsid w:val="0041027F"/>
    <w:rsid w:val="00412475"/>
    <w:rsid w:val="00423789"/>
    <w:rsid w:val="00430AE9"/>
    <w:rsid w:val="00435D3A"/>
    <w:rsid w:val="00440F43"/>
    <w:rsid w:val="00441B6F"/>
    <w:rsid w:val="004421E8"/>
    <w:rsid w:val="00446221"/>
    <w:rsid w:val="00450E62"/>
    <w:rsid w:val="004539DB"/>
    <w:rsid w:val="004567EE"/>
    <w:rsid w:val="0047084B"/>
    <w:rsid w:val="00471A80"/>
    <w:rsid w:val="004A12C3"/>
    <w:rsid w:val="004C10B0"/>
    <w:rsid w:val="004D305E"/>
    <w:rsid w:val="004D4277"/>
    <w:rsid w:val="004E42E7"/>
    <w:rsid w:val="00502516"/>
    <w:rsid w:val="0050468A"/>
    <w:rsid w:val="00505F06"/>
    <w:rsid w:val="00506828"/>
    <w:rsid w:val="0053056E"/>
    <w:rsid w:val="00544D14"/>
    <w:rsid w:val="00554FDA"/>
    <w:rsid w:val="00575196"/>
    <w:rsid w:val="00584EB8"/>
    <w:rsid w:val="00596980"/>
    <w:rsid w:val="005C784C"/>
    <w:rsid w:val="005D17F6"/>
    <w:rsid w:val="005E094B"/>
    <w:rsid w:val="005E5539"/>
    <w:rsid w:val="005E6C70"/>
    <w:rsid w:val="00602BF5"/>
    <w:rsid w:val="00603CA1"/>
    <w:rsid w:val="0061299C"/>
    <w:rsid w:val="00617FDD"/>
    <w:rsid w:val="00633614"/>
    <w:rsid w:val="00633F68"/>
    <w:rsid w:val="00636EB2"/>
    <w:rsid w:val="006375B8"/>
    <w:rsid w:val="006474ED"/>
    <w:rsid w:val="006576C1"/>
    <w:rsid w:val="00663855"/>
    <w:rsid w:val="0066510A"/>
    <w:rsid w:val="00673F9F"/>
    <w:rsid w:val="00674F23"/>
    <w:rsid w:val="00686953"/>
    <w:rsid w:val="00687BC2"/>
    <w:rsid w:val="00687DEA"/>
    <w:rsid w:val="00687E67"/>
    <w:rsid w:val="006967F7"/>
    <w:rsid w:val="006A1703"/>
    <w:rsid w:val="006A250C"/>
    <w:rsid w:val="006B21D3"/>
    <w:rsid w:val="006B57D0"/>
    <w:rsid w:val="006D30FF"/>
    <w:rsid w:val="006D6940"/>
    <w:rsid w:val="006F11EC"/>
    <w:rsid w:val="006F1603"/>
    <w:rsid w:val="006F410E"/>
    <w:rsid w:val="0070038F"/>
    <w:rsid w:val="0070082C"/>
    <w:rsid w:val="0072192A"/>
    <w:rsid w:val="007369E6"/>
    <w:rsid w:val="00746E59"/>
    <w:rsid w:val="00754C9A"/>
    <w:rsid w:val="0075599A"/>
    <w:rsid w:val="00761D52"/>
    <w:rsid w:val="00771FE1"/>
    <w:rsid w:val="0077749E"/>
    <w:rsid w:val="00777A00"/>
    <w:rsid w:val="00790ADA"/>
    <w:rsid w:val="007A7D3A"/>
    <w:rsid w:val="007C1920"/>
    <w:rsid w:val="007C5CAC"/>
    <w:rsid w:val="007D2288"/>
    <w:rsid w:val="007E088F"/>
    <w:rsid w:val="007F268F"/>
    <w:rsid w:val="007F3EB3"/>
    <w:rsid w:val="007F5831"/>
    <w:rsid w:val="007F7B32"/>
    <w:rsid w:val="00804BC2"/>
    <w:rsid w:val="0081431A"/>
    <w:rsid w:val="00827CA0"/>
    <w:rsid w:val="0083216F"/>
    <w:rsid w:val="00837AC7"/>
    <w:rsid w:val="00845CD7"/>
    <w:rsid w:val="00847630"/>
    <w:rsid w:val="00860000"/>
    <w:rsid w:val="00863BD3"/>
    <w:rsid w:val="008641ED"/>
    <w:rsid w:val="00866D66"/>
    <w:rsid w:val="008671C6"/>
    <w:rsid w:val="00875803"/>
    <w:rsid w:val="00890538"/>
    <w:rsid w:val="00890D3C"/>
    <w:rsid w:val="008B459E"/>
    <w:rsid w:val="008C428B"/>
    <w:rsid w:val="008C707E"/>
    <w:rsid w:val="008E13AE"/>
    <w:rsid w:val="008E1506"/>
    <w:rsid w:val="008E710C"/>
    <w:rsid w:val="008F69D6"/>
    <w:rsid w:val="00902823"/>
    <w:rsid w:val="00906737"/>
    <w:rsid w:val="00915CA6"/>
    <w:rsid w:val="00922D7F"/>
    <w:rsid w:val="00927834"/>
    <w:rsid w:val="009500A6"/>
    <w:rsid w:val="00957C18"/>
    <w:rsid w:val="00964B78"/>
    <w:rsid w:val="009659BA"/>
    <w:rsid w:val="00975B5A"/>
    <w:rsid w:val="00981C7F"/>
    <w:rsid w:val="00983040"/>
    <w:rsid w:val="00986B89"/>
    <w:rsid w:val="009A1086"/>
    <w:rsid w:val="009A5FBD"/>
    <w:rsid w:val="009A70D3"/>
    <w:rsid w:val="009B3FB9"/>
    <w:rsid w:val="009C2465"/>
    <w:rsid w:val="009D35A0"/>
    <w:rsid w:val="009D7EB7"/>
    <w:rsid w:val="009E048A"/>
    <w:rsid w:val="009E08E9"/>
    <w:rsid w:val="009E1A66"/>
    <w:rsid w:val="009E3DB9"/>
    <w:rsid w:val="009E6E35"/>
    <w:rsid w:val="009F0EDA"/>
    <w:rsid w:val="009F44A6"/>
    <w:rsid w:val="00A03A4A"/>
    <w:rsid w:val="00A03B96"/>
    <w:rsid w:val="00A05B19"/>
    <w:rsid w:val="00A1134E"/>
    <w:rsid w:val="00A24E7E"/>
    <w:rsid w:val="00A258C3"/>
    <w:rsid w:val="00A347C0"/>
    <w:rsid w:val="00A44C86"/>
    <w:rsid w:val="00A47A53"/>
    <w:rsid w:val="00A51431"/>
    <w:rsid w:val="00A51D3B"/>
    <w:rsid w:val="00A539AD"/>
    <w:rsid w:val="00A66D0A"/>
    <w:rsid w:val="00A73F67"/>
    <w:rsid w:val="00A77FE5"/>
    <w:rsid w:val="00A94063"/>
    <w:rsid w:val="00A96E5C"/>
    <w:rsid w:val="00AA6219"/>
    <w:rsid w:val="00AA74E0"/>
    <w:rsid w:val="00AB703F"/>
    <w:rsid w:val="00AC1E50"/>
    <w:rsid w:val="00AC6BB8"/>
    <w:rsid w:val="00AE008F"/>
    <w:rsid w:val="00B01FCD"/>
    <w:rsid w:val="00B17365"/>
    <w:rsid w:val="00B1776C"/>
    <w:rsid w:val="00B26359"/>
    <w:rsid w:val="00B33DB7"/>
    <w:rsid w:val="00B47662"/>
    <w:rsid w:val="00B52583"/>
    <w:rsid w:val="00B52896"/>
    <w:rsid w:val="00B61CC4"/>
    <w:rsid w:val="00B85E29"/>
    <w:rsid w:val="00B87B03"/>
    <w:rsid w:val="00B949D3"/>
    <w:rsid w:val="00B95236"/>
    <w:rsid w:val="00B96BD9"/>
    <w:rsid w:val="00BA1B01"/>
    <w:rsid w:val="00BA2641"/>
    <w:rsid w:val="00BA6E8C"/>
    <w:rsid w:val="00BB37AA"/>
    <w:rsid w:val="00BB7CA2"/>
    <w:rsid w:val="00BC0DCC"/>
    <w:rsid w:val="00BC53A0"/>
    <w:rsid w:val="00BC64C7"/>
    <w:rsid w:val="00BC7BA7"/>
    <w:rsid w:val="00BD7F7C"/>
    <w:rsid w:val="00BE38A3"/>
    <w:rsid w:val="00BE62AD"/>
    <w:rsid w:val="00BF121F"/>
    <w:rsid w:val="00BF1F80"/>
    <w:rsid w:val="00C03219"/>
    <w:rsid w:val="00C166EF"/>
    <w:rsid w:val="00C17EB0"/>
    <w:rsid w:val="00C25809"/>
    <w:rsid w:val="00C25F71"/>
    <w:rsid w:val="00C27F5F"/>
    <w:rsid w:val="00C30A0F"/>
    <w:rsid w:val="00C3117A"/>
    <w:rsid w:val="00C37E61"/>
    <w:rsid w:val="00C53A5B"/>
    <w:rsid w:val="00C66C6F"/>
    <w:rsid w:val="00C70F1B"/>
    <w:rsid w:val="00C71A47"/>
    <w:rsid w:val="00C7464C"/>
    <w:rsid w:val="00C85588"/>
    <w:rsid w:val="00C92150"/>
    <w:rsid w:val="00CD0414"/>
    <w:rsid w:val="00CD5EEF"/>
    <w:rsid w:val="00CD6755"/>
    <w:rsid w:val="00CD6856"/>
    <w:rsid w:val="00CE0089"/>
    <w:rsid w:val="00CE793C"/>
    <w:rsid w:val="00CF193C"/>
    <w:rsid w:val="00D10144"/>
    <w:rsid w:val="00D16084"/>
    <w:rsid w:val="00D173F1"/>
    <w:rsid w:val="00D2178C"/>
    <w:rsid w:val="00D30F43"/>
    <w:rsid w:val="00D41A18"/>
    <w:rsid w:val="00D51698"/>
    <w:rsid w:val="00D53B8E"/>
    <w:rsid w:val="00D74CB0"/>
    <w:rsid w:val="00D821B0"/>
    <w:rsid w:val="00D826C2"/>
    <w:rsid w:val="00D8295D"/>
    <w:rsid w:val="00DA09AB"/>
    <w:rsid w:val="00DB01DC"/>
    <w:rsid w:val="00DB3EC3"/>
    <w:rsid w:val="00DC2A65"/>
    <w:rsid w:val="00DC3CC8"/>
    <w:rsid w:val="00DC6BD1"/>
    <w:rsid w:val="00DD4BEE"/>
    <w:rsid w:val="00DD794C"/>
    <w:rsid w:val="00DE15F0"/>
    <w:rsid w:val="00DE5663"/>
    <w:rsid w:val="00DE78AA"/>
    <w:rsid w:val="00DF7EAD"/>
    <w:rsid w:val="00E03C09"/>
    <w:rsid w:val="00E053D0"/>
    <w:rsid w:val="00E06F4E"/>
    <w:rsid w:val="00E14137"/>
    <w:rsid w:val="00E15994"/>
    <w:rsid w:val="00E3114E"/>
    <w:rsid w:val="00E31A70"/>
    <w:rsid w:val="00E35B02"/>
    <w:rsid w:val="00E43440"/>
    <w:rsid w:val="00E6277D"/>
    <w:rsid w:val="00E66496"/>
    <w:rsid w:val="00E66B35"/>
    <w:rsid w:val="00E66E10"/>
    <w:rsid w:val="00E769F6"/>
    <w:rsid w:val="00E80433"/>
    <w:rsid w:val="00E8407C"/>
    <w:rsid w:val="00E84F3C"/>
    <w:rsid w:val="00EA012C"/>
    <w:rsid w:val="00EA58AB"/>
    <w:rsid w:val="00EC6A55"/>
    <w:rsid w:val="00ED0288"/>
    <w:rsid w:val="00ED19DE"/>
    <w:rsid w:val="00EE52CB"/>
    <w:rsid w:val="00EF581D"/>
    <w:rsid w:val="00EF7AC7"/>
    <w:rsid w:val="00EF7FD8"/>
    <w:rsid w:val="00F001EC"/>
    <w:rsid w:val="00F06F59"/>
    <w:rsid w:val="00F17988"/>
    <w:rsid w:val="00F17E87"/>
    <w:rsid w:val="00F25F3C"/>
    <w:rsid w:val="00F378F8"/>
    <w:rsid w:val="00F469F0"/>
    <w:rsid w:val="00F46A2D"/>
    <w:rsid w:val="00F53273"/>
    <w:rsid w:val="00F53BB8"/>
    <w:rsid w:val="00F626C4"/>
    <w:rsid w:val="00F755E4"/>
    <w:rsid w:val="00F763C3"/>
    <w:rsid w:val="00F76B9E"/>
    <w:rsid w:val="00F77D02"/>
    <w:rsid w:val="00FA0EB8"/>
    <w:rsid w:val="00FA1C26"/>
    <w:rsid w:val="00FB3A86"/>
    <w:rsid w:val="00FC05FB"/>
    <w:rsid w:val="00FC6488"/>
    <w:rsid w:val="00FD252A"/>
    <w:rsid w:val="00FD36C8"/>
    <w:rsid w:val="00FD4656"/>
    <w:rsid w:val="00FE6BD3"/>
    <w:rsid w:val="00FF63FC"/>
    <w:rsid w:val="00FF7E2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07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C3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67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C3C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67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20-00270-w"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agsy.2006.01.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71/journal.pone.028439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agricoop.nic.in" TargetMode="External"/><Relationship Id="rId20" Type="http://schemas.openxmlformats.org/officeDocument/2006/relationships/hyperlink" Target="https://doi.org/10.1108/AJEMS-03-2013-0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7/BF01205442" TargetMode="External"/><Relationship Id="rId23" Type="http://schemas.openxmlformats.org/officeDocument/2006/relationships/hyperlink" Target="https://doi.org/10.1186/s40497-019-0158-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1123-022-0062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07/2525757" TargetMode="External"/><Relationship Id="rId22" Type="http://schemas.openxmlformats.org/officeDocument/2006/relationships/hyperlink" Target="https://doi.org/10.1017/CBO9781139174411"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E17DD-658E-4E44-ACF9-5A444C80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2788</TotalTime>
  <Pages>13</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172</cp:revision>
  <cp:lastPrinted>1999-07-06T11:00:00Z</cp:lastPrinted>
  <dcterms:created xsi:type="dcterms:W3CDTF">2014-10-25T14:34:00Z</dcterms:created>
  <dcterms:modified xsi:type="dcterms:W3CDTF">2026-04-20T09:46:00Z</dcterms:modified>
</cp:coreProperties>
</file>