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50" w:type="pct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5"/>
        <w:gridCol w:w="10115"/>
      </w:tblGrid>
      <w:tr w:rsidR="00F210A0">
        <w:trPr>
          <w:trHeight w:val="290"/>
        </w:trPr>
        <w:tc>
          <w:tcPr>
            <w:tcW w:w="13259" w:type="dxa"/>
            <w:gridSpan w:val="2"/>
            <w:tcBorders>
              <w:bottom w:val="single" w:sz="4" w:space="0" w:color="000000"/>
            </w:tcBorders>
          </w:tcPr>
          <w:p w:rsidR="00F210A0" w:rsidRDefault="00F210A0">
            <w:pPr>
              <w:rPr>
                <w:lang w:val="en-GB"/>
              </w:rPr>
            </w:pPr>
          </w:p>
        </w:tc>
      </w:tr>
      <w:tr w:rsidR="00F210A0">
        <w:trPr>
          <w:trHeight w:val="290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10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10A0" w:rsidRDefault="006F3AC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tgtFrame="_parent">
              <w:r>
                <w:rPr>
                  <w:b/>
                  <w:bCs/>
                  <w:color w:val="0000FF"/>
                  <w:sz w:val="20"/>
                  <w:szCs w:val="20"/>
                  <w:lang w:val="en-GB"/>
                </w:rPr>
                <w:t>South Asian Research Journal of Natural Products</w:t>
              </w:r>
            </w:hyperlink>
          </w:p>
        </w:tc>
      </w:tr>
      <w:tr w:rsidR="00F210A0">
        <w:trPr>
          <w:trHeight w:val="290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10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10A0" w:rsidRDefault="006F3AC4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Ms_SARJNP_155732</w:t>
            </w:r>
          </w:p>
        </w:tc>
      </w:tr>
      <w:tr w:rsidR="00F210A0">
        <w:trPr>
          <w:trHeight w:val="650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Title of the Manuscript:</w:t>
            </w:r>
          </w:p>
        </w:tc>
        <w:tc>
          <w:tcPr>
            <w:tcW w:w="10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10A0" w:rsidRDefault="006F3AC4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HARNESSING ELECTRICITY FROM SODIUM CHLORIDE(NaCl) AND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WATER(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H2O) FOR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DOMESTIC CONSUMPTION</w:t>
            </w:r>
          </w:p>
        </w:tc>
      </w:tr>
      <w:tr w:rsidR="00F210A0">
        <w:trPr>
          <w:trHeight w:val="332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10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F210A0" w:rsidRDefault="006F3AC4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F210A0" w:rsidRDefault="00F210A0">
      <w:pPr>
        <w:pStyle w:val="BodyText"/>
        <w:rPr>
          <w:rFonts w:ascii="Times New Roman" w:hAnsi="Times New Roman"/>
          <w:sz w:val="20"/>
          <w:szCs w:val="20"/>
          <w:lang w:val="en-GB"/>
        </w:rPr>
      </w:pPr>
      <w:bookmarkStart w:id="0" w:name="_GoBack"/>
      <w:bookmarkEnd w:id="0"/>
    </w:p>
    <w:p w:rsidR="00F210A0" w:rsidRDefault="006F3AC4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F210A0" w:rsidRDefault="00F210A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F210A0" w:rsidRDefault="00F210A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4817"/>
        <w:gridCol w:w="4966"/>
        <w:gridCol w:w="3682"/>
      </w:tblGrid>
      <w:tr w:rsidR="00F210A0"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F210A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F210A0" w:rsidRDefault="00F210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210A0">
        <w:trPr>
          <w:trHeight w:val="1264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These findings provide a practical demonstration of low-cost electrochemical energy conversion using abundant, non-toxic materials. They enrich scientific understanding of ion-based electricity </w:t>
            </w:r>
            <w:r>
              <w:rPr>
                <w:b/>
                <w:bCs/>
                <w:sz w:val="20"/>
                <w:szCs w:val="20"/>
              </w:rPr>
              <w:t>generation and its scalability for small-scale applications. The study contributes essential baseline data for advancing green, off-grid energy technologies. Ultimately, it inspires further research into sustainable alternatives for decentralized power sys</w:t>
            </w:r>
            <w:r>
              <w:rPr>
                <w:b/>
                <w:bCs/>
                <w:sz w:val="20"/>
                <w:szCs w:val="20"/>
              </w:rPr>
              <w:t>tems.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the positive remark.</w:t>
            </w:r>
          </w:p>
        </w:tc>
      </w:tr>
    </w:tbl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F210A0">
      <w:pPr>
        <w:rPr>
          <w:sz w:val="20"/>
          <w:szCs w:val="20"/>
          <w:lang w:val="en-GB"/>
        </w:rPr>
      </w:pPr>
    </w:p>
    <w:p w:rsidR="00F210A0" w:rsidRDefault="006F3AC4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>
        <w:rPr>
          <w:rFonts w:ascii="Times New Roman" w:hAnsi="Times New Roman"/>
          <w:highlight w:val="yellow"/>
          <w:lang w:val="en-GB" w:eastAsia="en-US"/>
        </w:rPr>
        <w:t>PART  2.1</w:t>
      </w:r>
      <w:proofErr w:type="gramEnd"/>
      <w:r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:rsidR="00F210A0" w:rsidRDefault="00F210A0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4818"/>
        <w:gridCol w:w="4965"/>
        <w:gridCol w:w="3682"/>
      </w:tblGrid>
      <w:tr w:rsidR="00F210A0">
        <w:tc>
          <w:tcPr>
            <w:tcW w:w="13260" w:type="dxa"/>
            <w:gridSpan w:val="3"/>
            <w:tcBorders>
              <w:bottom w:val="single" w:sz="4" w:space="0" w:color="000000"/>
            </w:tcBorders>
          </w:tcPr>
          <w:p w:rsidR="00F210A0" w:rsidRDefault="00F210A0">
            <w:pPr>
              <w:rPr>
                <w:lang w:val="en-GB"/>
              </w:rPr>
            </w:pPr>
          </w:p>
          <w:p w:rsidR="00F210A0" w:rsidRDefault="00F210A0">
            <w:pPr>
              <w:rPr>
                <w:sz w:val="20"/>
                <w:szCs w:val="20"/>
                <w:lang w:val="en-GB"/>
              </w:rPr>
            </w:pPr>
          </w:p>
        </w:tc>
      </w:tr>
      <w:tr w:rsidR="00F210A0"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F210A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F210A0">
        <w:trPr>
          <w:trHeight w:val="1262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1. Is the title clear and appropriate for the study?</w:t>
            </w:r>
          </w:p>
          <w:p w:rsidR="00F210A0" w:rsidRDefault="006F3A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F210A0" w:rsidRDefault="006F3AC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= Satisfactory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the positive remark. Commendable</w:t>
            </w:r>
          </w:p>
        </w:tc>
      </w:tr>
      <w:tr w:rsidR="00F210A0">
        <w:trPr>
          <w:trHeight w:val="1262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>2. Is the abstract of the article comprehensive?</w:t>
            </w:r>
          </w:p>
          <w:p w:rsidR="00F210A0" w:rsidRDefault="006F3A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F210A0" w:rsidRDefault="006F3A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the positive remark. </w:t>
            </w:r>
          </w:p>
        </w:tc>
      </w:tr>
      <w:tr w:rsidR="00F210A0">
        <w:trPr>
          <w:trHeight w:val="1262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F210A0" w:rsidRDefault="006F3A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F210A0" w:rsidRDefault="006F3A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the positive remark. </w:t>
            </w:r>
          </w:p>
        </w:tc>
      </w:tr>
      <w:tr w:rsidR="00F210A0">
        <w:trPr>
          <w:trHeight w:val="1262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</w:t>
            </w:r>
            <w:r>
              <w:rPr>
                <w:rFonts w:ascii="Times New Roman" w:hAnsi="Times New Roman"/>
                <w:lang w:val="en-GB"/>
              </w:rPr>
              <w:t>d information of the paper sufficient and well organized?</w:t>
            </w:r>
          </w:p>
          <w:p w:rsidR="00F210A0" w:rsidRDefault="006F3A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F210A0" w:rsidRDefault="006F3A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the positive remark. </w:t>
            </w:r>
          </w:p>
        </w:tc>
      </w:tr>
      <w:tr w:rsidR="00F210A0">
        <w:trPr>
          <w:trHeight w:val="1262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5. Are the research objectives/hypotheses clearly </w:t>
            </w:r>
            <w:r>
              <w:rPr>
                <w:rFonts w:ascii="Times New Roman" w:hAnsi="Times New Roman"/>
                <w:lang w:val="en-GB"/>
              </w:rPr>
              <w:t>stated?</w:t>
            </w:r>
          </w:p>
          <w:p w:rsidR="00F210A0" w:rsidRDefault="006F3A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F210A0" w:rsidRDefault="006F3A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the positive remark. </w:t>
            </w:r>
          </w:p>
        </w:tc>
      </w:tr>
      <w:tr w:rsidR="00F210A0">
        <w:trPr>
          <w:trHeight w:val="1262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F210A0" w:rsidRDefault="006F3A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F210A0" w:rsidRDefault="006F3A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the positive remark. </w:t>
            </w:r>
          </w:p>
        </w:tc>
      </w:tr>
      <w:tr w:rsidR="00F210A0">
        <w:trPr>
          <w:trHeight w:val="1262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F210A0" w:rsidRDefault="006F3A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F210A0" w:rsidRDefault="006F3A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hanks for the positive remark. </w:t>
            </w:r>
          </w:p>
        </w:tc>
      </w:tr>
      <w:tr w:rsidR="00F210A0">
        <w:trPr>
          <w:trHeight w:val="1262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F210A0" w:rsidRDefault="006F3A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F210A0" w:rsidRDefault="006F3A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the positive remark. </w:t>
            </w:r>
          </w:p>
        </w:tc>
      </w:tr>
      <w:tr w:rsidR="00F210A0">
        <w:trPr>
          <w:trHeight w:val="703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</w:t>
            </w:r>
            <w:r>
              <w:rPr>
                <w:b/>
                <w:sz w:val="20"/>
                <w:szCs w:val="20"/>
                <w:lang w:val="en-GB"/>
              </w:rPr>
              <w:t>presented clearly?</w:t>
            </w:r>
          </w:p>
          <w:p w:rsidR="00F210A0" w:rsidRDefault="006F3A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F210A0" w:rsidRDefault="006F3AC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the positive remark. </w:t>
            </w:r>
          </w:p>
        </w:tc>
      </w:tr>
      <w:tr w:rsidR="00F210A0">
        <w:trPr>
          <w:trHeight w:val="703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F210A0" w:rsidRDefault="006F3A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F210A0" w:rsidRDefault="006F3A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the positive remark. </w:t>
            </w:r>
          </w:p>
        </w:tc>
      </w:tr>
      <w:tr w:rsidR="00F210A0">
        <w:trPr>
          <w:trHeight w:val="703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F210A0" w:rsidRDefault="006F3A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F210A0" w:rsidRDefault="006F3A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the positive remark. </w:t>
            </w:r>
          </w:p>
        </w:tc>
      </w:tr>
      <w:tr w:rsidR="00F210A0">
        <w:trPr>
          <w:trHeight w:val="703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F210A0" w:rsidRDefault="006F3A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F210A0" w:rsidRDefault="006F3A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the positive remark. </w:t>
            </w:r>
          </w:p>
        </w:tc>
      </w:tr>
      <w:tr w:rsidR="00F210A0">
        <w:trPr>
          <w:trHeight w:val="703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</w:t>
            </w:r>
            <w:r>
              <w:rPr>
                <w:b/>
                <w:sz w:val="20"/>
                <w:szCs w:val="20"/>
                <w:lang w:val="en-GB"/>
              </w:rPr>
              <w:t xml:space="preserve"> limitations of the study discussed?</w:t>
            </w:r>
          </w:p>
          <w:p w:rsidR="00F210A0" w:rsidRDefault="006F3A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F210A0" w:rsidRDefault="006F3A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the positive remark. </w:t>
            </w:r>
          </w:p>
        </w:tc>
      </w:tr>
      <w:tr w:rsidR="00F210A0">
        <w:trPr>
          <w:trHeight w:val="703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F210A0" w:rsidRDefault="006F3A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F210A0" w:rsidRDefault="006F3A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Excellent 4 = Good 3 = Satisfactory 2 = Needs Improvement 1 = Poor</w:t>
            </w:r>
          </w:p>
          <w:p w:rsidR="00F210A0" w:rsidRDefault="006F3A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the positive remark. </w:t>
            </w:r>
          </w:p>
        </w:tc>
      </w:tr>
      <w:tr w:rsidR="00F210A0">
        <w:trPr>
          <w:trHeight w:val="703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F210A0" w:rsidRDefault="006F3A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F210A0" w:rsidRDefault="006F3A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Improvement 1 = Poor</w:t>
            </w:r>
          </w:p>
          <w:p w:rsidR="00F210A0" w:rsidRDefault="006F3A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the positive remark. </w:t>
            </w:r>
          </w:p>
        </w:tc>
      </w:tr>
    </w:tbl>
    <w:p w:rsidR="00F210A0" w:rsidRDefault="00F210A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210A0" w:rsidRDefault="00F210A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210A0" w:rsidRDefault="00F210A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210A0" w:rsidRDefault="00F210A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210A0" w:rsidRDefault="006F3AC4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>
        <w:rPr>
          <w:rFonts w:ascii="Times New Roman" w:hAnsi="Times New Roman"/>
          <w:highlight w:val="yellow"/>
          <w:lang w:val="en-GB" w:eastAsia="en-US"/>
        </w:rPr>
        <w:t>PART  2.2</w:t>
      </w:r>
      <w:proofErr w:type="gramEnd"/>
      <w:r>
        <w:rPr>
          <w:rFonts w:ascii="Times New Roman" w:hAnsi="Times New Roman"/>
          <w:highlight w:val="yellow"/>
          <w:lang w:val="en-GB" w:eastAsia="en-US"/>
        </w:rPr>
        <w:t xml:space="preserve"> (Subjective Evaluation)</w:t>
      </w:r>
    </w:p>
    <w:p w:rsidR="00F210A0" w:rsidRDefault="00F210A0">
      <w:pPr>
        <w:rPr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85"/>
        <w:gridCol w:w="6271"/>
        <w:gridCol w:w="4318"/>
      </w:tblGrid>
      <w:tr w:rsidR="00F210A0"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F210A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F210A0" w:rsidRDefault="00F210A0">
            <w:pPr>
              <w:rPr>
                <w:lang w:val="en-GB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210A0" w:rsidRDefault="00F210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210A0">
        <w:trPr>
          <w:trHeight w:val="1262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Is the title of the article </w:t>
            </w:r>
            <w:r>
              <w:rPr>
                <w:b/>
                <w:bCs/>
                <w:sz w:val="20"/>
                <w:szCs w:val="20"/>
                <w:lang w:val="en-GB"/>
              </w:rPr>
              <w:t>suitable?</w:t>
            </w:r>
          </w:p>
          <w:p w:rsidR="00F210A0" w:rsidRDefault="00F210A0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F210A0" w:rsidRDefault="006F3AC4">
            <w:pPr>
              <w:ind w:left="360"/>
              <w:rPr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the positive remark. </w:t>
            </w:r>
          </w:p>
        </w:tc>
      </w:tr>
      <w:tr w:rsidR="00F210A0">
        <w:trPr>
          <w:trHeight w:val="1262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Is the abstract of the article comprehensive?</w:t>
            </w:r>
          </w:p>
          <w:p w:rsidR="00F210A0" w:rsidRDefault="00F210A0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F210A0" w:rsidRDefault="006F3AC4">
            <w:pPr>
              <w:ind w:left="284"/>
              <w:rPr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 more can be added to the abstract briefly describing the methodology used in detail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method used in this research is a practical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methos</w:t>
            </w:r>
            <w:proofErr w:type="spell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which is summarised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as :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>
              <w:rPr>
                <w:rFonts w:ascii="Arial" w:hAnsi="Arial"/>
                <w:b w:val="0"/>
                <w:lang w:val="en-GB" w:eastAsia="en-US"/>
              </w:rPr>
              <w:t xml:space="preserve"> This study investigates the feasibility of harnessing electricity from sodium chloride (</w:t>
            </w:r>
            <w:r>
              <w:rPr>
                <w:rFonts w:ascii="Arial" w:hAnsi="Arial"/>
                <w:b w:val="0"/>
                <w:lang w:val="en-GB" w:eastAsia="en-US"/>
              </w:rPr>
              <w:t>NaCl) and water (H₂O) using electrochemical principles. When salt dissolves in water, it forms free-moving ions that enable electrical conductivity. By immersing two dissimilar metal electrodes, such as zinc and copper, in a saltwater solution, an electroc</w:t>
            </w:r>
            <w:r>
              <w:rPr>
                <w:rFonts w:ascii="Arial" w:hAnsi="Arial"/>
                <w:b w:val="0"/>
                <w:lang w:val="en-GB" w:eastAsia="en-US"/>
              </w:rPr>
              <w:t xml:space="preserve">hemical reaction occurs, generating a measurable electric current. </w:t>
            </w:r>
          </w:p>
        </w:tc>
      </w:tr>
      <w:tr w:rsidR="00F210A0">
        <w:trPr>
          <w:trHeight w:val="704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F210A0" w:rsidRDefault="006F3AC4">
            <w:pPr>
              <w:ind w:left="284"/>
              <w:rPr>
                <w:b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the positive comment.</w:t>
            </w:r>
          </w:p>
        </w:tc>
      </w:tr>
      <w:tr w:rsidR="00F210A0">
        <w:trPr>
          <w:trHeight w:val="703"/>
        </w:trPr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</w:t>
            </w:r>
            <w:r>
              <w:rPr>
                <w:b/>
                <w:bCs/>
                <w:sz w:val="20"/>
                <w:szCs w:val="20"/>
                <w:lang w:val="en-GB"/>
              </w:rPr>
              <w:t>sufficient and recent?</w:t>
            </w:r>
          </w:p>
          <w:p w:rsidR="00F210A0" w:rsidRDefault="006F3AC4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F210A0" w:rsidRDefault="00F210A0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F210A0" w:rsidRDefault="006F3A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more recent references can be included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0A0" w:rsidRDefault="006F3A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have added more recent references:</w:t>
            </w:r>
          </w:p>
          <w:p w:rsidR="00F210A0" w:rsidRDefault="006F3AC4">
            <w:pPr>
              <w:jc w:val="both"/>
            </w:pPr>
            <w:r>
              <w:rPr>
                <w:rFonts w:ascii="Arial" w:hAnsi="Arial"/>
                <w:sz w:val="20"/>
                <w:szCs w:val="20"/>
              </w:rPr>
              <w:t xml:space="preserve">[5].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Asad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Mujeeb,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Jamiu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Oladigbolu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Mutiu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Shola Bakare,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Abduljelil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Atima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Ibrahim, (2025). </w:t>
            </w:r>
            <w:bookmarkStart w:id="1" w:name="screen-reader-main-title_Copy_1"/>
            <w:bookmarkEnd w:id="1"/>
            <w:r>
              <w:rPr>
                <w:rFonts w:ascii="Arial" w:hAnsi="Arial"/>
                <w:sz w:val="20"/>
                <w:szCs w:val="20"/>
              </w:rPr>
              <w:t xml:space="preserve">Pathways to environmental sustainability through energy efficiency: A strategic next energy vision for sustainable development by 2050. </w:t>
            </w:r>
            <w:hyperlink r:id="rId7">
              <w:r>
                <w:rPr>
                  <w:rStyle w:val="Hyperlink"/>
                  <w:rFonts w:ascii="Arial" w:hAnsi="Arial"/>
                  <w:color w:val="1F1F1F"/>
                  <w:sz w:val="20"/>
                  <w:szCs w:val="20"/>
                  <w:u w:val="none"/>
                  <w:bdr w:val="single" w:sz="12" w:space="1" w:color="000000"/>
                </w:rPr>
                <w:t>Scientific African</w:t>
              </w:r>
            </w:hyperlink>
            <w:r>
              <w:rPr>
                <w:rFonts w:ascii="Arial" w:hAnsi="Arial"/>
                <w:color w:val="1F1F1F"/>
                <w:sz w:val="20"/>
                <w:szCs w:val="20"/>
                <w:bdr w:val="single" w:sz="12" w:space="1" w:color="000000"/>
              </w:rPr>
              <w:t xml:space="preserve">. </w:t>
            </w:r>
            <w:hyperlink r:id="rId8">
              <w:r>
                <w:rPr>
                  <w:rStyle w:val="Hyperlink"/>
                  <w:rFonts w:ascii="Arial" w:hAnsi="Arial"/>
                  <w:color w:val="1F1F1F"/>
                  <w:sz w:val="20"/>
                  <w:szCs w:val="20"/>
                  <w:u w:val="none"/>
                  <w:bdr w:val="single" w:sz="12" w:space="1" w:color="000000"/>
                </w:rPr>
                <w:t>Vol. 30</w:t>
              </w:r>
            </w:hyperlink>
            <w:r>
              <w:rPr>
                <w:rFonts w:ascii="Arial" w:hAnsi="Arial"/>
                <w:color w:val="1F1F1F"/>
                <w:sz w:val="20"/>
                <w:szCs w:val="20"/>
                <w:bdr w:val="single" w:sz="12" w:space="1" w:color="000000"/>
              </w:rPr>
              <w:t xml:space="preserve">, e03053, </w:t>
            </w:r>
            <w:hyperlink r:id="rId9">
              <w:r>
                <w:rPr>
                  <w:rStyle w:val="Hyperlink"/>
                  <w:rFonts w:ascii="Arial" w:hAnsi="Arial"/>
                  <w:color w:val="1F1F1F"/>
                  <w:sz w:val="20"/>
                  <w:szCs w:val="20"/>
                  <w:u w:val="none"/>
                  <w:bdr w:val="single" w:sz="12" w:space="1" w:color="EB6500"/>
                </w:rPr>
                <w:t>https://doi.org/10.1016/j.sciaf.2025.e03053</w:t>
              </w:r>
            </w:hyperlink>
            <w:r>
              <w:rPr>
                <w:rFonts w:ascii="Arial" w:hAnsi="Arial"/>
                <w:color w:val="1F1F1F"/>
                <w:sz w:val="20"/>
                <w:szCs w:val="20"/>
                <w:bdr w:val="single" w:sz="12" w:space="1" w:color="000000"/>
              </w:rPr>
              <w:t xml:space="preserve">. </w:t>
            </w:r>
          </w:p>
          <w:p w:rsidR="00F210A0" w:rsidRDefault="006F3AC4">
            <w:pPr>
              <w:jc w:val="both"/>
              <w:rPr>
                <w:shd w:val="clear" w:color="auto" w:fill="FFFF0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[6]. </w:t>
            </w:r>
            <w:hyperlink r:id="rId10">
              <w:proofErr w:type="spellStart"/>
              <w:r>
                <w:rPr>
                  <w:rStyle w:val="Hyperlink"/>
                  <w:rFonts w:ascii="Arial" w:hAnsi="Arial"/>
                  <w:sz w:val="20"/>
                  <w:szCs w:val="20"/>
                  <w:u w:val="none"/>
                </w:rPr>
                <w:t>Muh</w:t>
              </w:r>
              <w:proofErr w:type="spellEnd"/>
              <w:r>
                <w:rPr>
                  <w:rStyle w:val="Hyperlink"/>
                  <w:rFonts w:ascii="Arial" w:hAnsi="Arial"/>
                  <w:sz w:val="20"/>
                  <w:szCs w:val="20"/>
                  <w:u w:val="none"/>
                </w:rPr>
                <w:t>. Ridwan Kadir</w:t>
              </w:r>
            </w:hyperlink>
            <w:r>
              <w:rPr>
                <w:rFonts w:ascii="Arial" w:hAnsi="Arial"/>
                <w:sz w:val="20"/>
                <w:szCs w:val="20"/>
              </w:rPr>
              <w:t xml:space="preserve">, </w:t>
            </w:r>
            <w:hyperlink r:id="rId11">
              <w:r>
                <w:rPr>
                  <w:rStyle w:val="Hyperlink"/>
                  <w:rFonts w:ascii="Arial" w:hAnsi="Arial"/>
                  <w:sz w:val="20"/>
                  <w:szCs w:val="20"/>
                  <w:u w:val="none"/>
                </w:rPr>
                <w:t xml:space="preserve">Nurul </w:t>
              </w:r>
              <w:proofErr w:type="spellStart"/>
              <w:r>
                <w:rPr>
                  <w:rStyle w:val="Hyperlink"/>
                  <w:rFonts w:ascii="Arial" w:hAnsi="Arial"/>
                  <w:sz w:val="20"/>
                  <w:szCs w:val="20"/>
                  <w:u w:val="none"/>
                </w:rPr>
                <w:t>Afiqah</w:t>
              </w:r>
              <w:proofErr w:type="spellEnd"/>
              <w:r>
                <w:rPr>
                  <w:rStyle w:val="Hyperlink"/>
                  <w:rFonts w:ascii="Arial" w:hAnsi="Arial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>
                <w:rPr>
                  <w:rStyle w:val="Hyperlink"/>
                  <w:rFonts w:ascii="Arial" w:hAnsi="Arial"/>
                  <w:sz w:val="20"/>
                  <w:szCs w:val="20"/>
                  <w:u w:val="none"/>
                </w:rPr>
                <w:t>Arsyad</w:t>
              </w:r>
              <w:proofErr w:type="spellEnd"/>
            </w:hyperlink>
            <w:r>
              <w:rPr>
                <w:rFonts w:ascii="Arial" w:hAnsi="Arial"/>
                <w:sz w:val="20"/>
                <w:szCs w:val="20"/>
              </w:rPr>
              <w:t xml:space="preserve">, </w:t>
            </w:r>
            <w:hyperlink r:id="rId12">
              <w:proofErr w:type="spellStart"/>
              <w:r>
                <w:rPr>
                  <w:rStyle w:val="Hyperlink"/>
                  <w:rFonts w:ascii="Arial" w:hAnsi="Arial"/>
                  <w:sz w:val="20"/>
                  <w:szCs w:val="20"/>
                  <w:u w:val="none"/>
                </w:rPr>
                <w:t>Syarifah</w:t>
              </w:r>
              <w:proofErr w:type="spellEnd"/>
              <w:r>
                <w:rPr>
                  <w:rStyle w:val="Hyperlink"/>
                  <w:rFonts w:ascii="Arial" w:hAnsi="Arial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>
                <w:rPr>
                  <w:rStyle w:val="Hyperlink"/>
                  <w:rFonts w:ascii="Arial" w:hAnsi="Arial"/>
                  <w:sz w:val="20"/>
                  <w:szCs w:val="20"/>
                  <w:u w:val="none"/>
                </w:rPr>
                <w:t>Nuraeni</w:t>
              </w:r>
              <w:proofErr w:type="spellEnd"/>
              <w:r>
                <w:rPr>
                  <w:rStyle w:val="Hyperlink"/>
                  <w:rFonts w:ascii="Arial" w:hAnsi="Arial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>
                <w:rPr>
                  <w:rStyle w:val="Hyperlink"/>
                  <w:rFonts w:ascii="Arial" w:hAnsi="Arial"/>
                  <w:sz w:val="20"/>
                  <w:szCs w:val="20"/>
                  <w:u w:val="none"/>
                </w:rPr>
                <w:t>Alaydrus</w:t>
              </w:r>
              <w:proofErr w:type="spellEnd"/>
            </w:hyperlink>
            <w:bookmarkStart w:id="2" w:name="popover-trigger-%3ARrauirj9aqnkH1%3A"/>
            <w:bookmarkEnd w:id="2"/>
            <w:r>
              <w:rPr>
                <w:rFonts w:ascii="Arial" w:hAnsi="Arial"/>
                <w:sz w:val="20"/>
                <w:szCs w:val="20"/>
              </w:rPr>
              <w:t xml:space="preserve">, </w:t>
            </w:r>
            <w:hyperlink r:id="rId13">
              <w:proofErr w:type="spellStart"/>
              <w:r>
                <w:rPr>
                  <w:rStyle w:val="Hyperlink"/>
                  <w:rFonts w:ascii="Arial" w:hAnsi="Arial"/>
                  <w:sz w:val="20"/>
                  <w:szCs w:val="20"/>
                  <w:u w:val="none"/>
                </w:rPr>
                <w:t>Hardi</w:t>
              </w:r>
              <w:proofErr w:type="spellEnd"/>
              <w:r>
                <w:rPr>
                  <w:rStyle w:val="Hyperlink"/>
                  <w:rFonts w:ascii="Arial" w:hAnsi="Arial"/>
                  <w:sz w:val="20"/>
                  <w:szCs w:val="20"/>
                  <w:u w:val="none"/>
                </w:rPr>
                <w:t xml:space="preserve"> Hamzah</w:t>
              </w:r>
            </w:hyperlink>
            <w:r>
              <w:rPr>
                <w:rFonts w:ascii="Arial" w:hAnsi="Arial"/>
                <w:sz w:val="20"/>
                <w:szCs w:val="20"/>
              </w:rPr>
              <w:t xml:space="preserve">, (2026). </w:t>
            </w:r>
            <w:r>
              <w:rPr>
                <w:rFonts w:ascii="Arial" w:hAnsi="Arial"/>
                <w:color w:val="131314"/>
                <w:sz w:val="20"/>
                <w:szCs w:val="20"/>
              </w:rPr>
              <w:t xml:space="preserve">Seawater Lamp: Utilization of Seawater as an Alternative Energy Source to Generate Electricity. </w:t>
            </w:r>
            <w:r>
              <w:rPr>
                <w:rFonts w:ascii="Arial" w:hAnsi="Arial"/>
                <w:color w:val="39393A"/>
                <w:sz w:val="20"/>
                <w:szCs w:val="20"/>
              </w:rPr>
              <w:t>Indonesian Review of Physics6(1)</w:t>
            </w:r>
            <w:r>
              <w:rPr>
                <w:rFonts w:ascii="Arial" w:hAnsi="Arial"/>
                <w:color w:val="131314"/>
                <w:sz w:val="20"/>
                <w:szCs w:val="20"/>
              </w:rPr>
              <w:t xml:space="preserve">. </w:t>
            </w:r>
            <w:r>
              <w:rPr>
                <w:rFonts w:ascii="Arial" w:hAnsi="Arial"/>
                <w:color w:val="131314"/>
                <w:sz w:val="20"/>
                <w:szCs w:val="20"/>
              </w:rPr>
              <w:t>DOI: </w:t>
            </w:r>
            <w:hyperlink r:id="rId14" w:tgtFrame="_blank">
              <w:r>
                <w:rPr>
                  <w:rStyle w:val="Hyperlink"/>
                  <w:rFonts w:ascii="Arial" w:hAnsi="Arial"/>
                  <w:color w:val="131314"/>
                  <w:sz w:val="20"/>
                  <w:szCs w:val="20"/>
                  <w:u w:val="none"/>
                </w:rPr>
                <w:t>10.12928/</w:t>
              </w:r>
              <w:proofErr w:type="gramStart"/>
              <w:r>
                <w:rPr>
                  <w:rStyle w:val="Hyperlink"/>
                  <w:rFonts w:ascii="Arial" w:hAnsi="Arial"/>
                  <w:color w:val="131314"/>
                  <w:sz w:val="20"/>
                  <w:szCs w:val="20"/>
                  <w:u w:val="none"/>
                </w:rPr>
                <w:t>irip.v</w:t>
              </w:r>
              <w:proofErr w:type="gramEnd"/>
              <w:r>
                <w:rPr>
                  <w:rStyle w:val="Hyperlink"/>
                  <w:rFonts w:ascii="Arial" w:hAnsi="Arial"/>
                  <w:color w:val="131314"/>
                  <w:sz w:val="20"/>
                  <w:szCs w:val="20"/>
                  <w:u w:val="none"/>
                </w:rPr>
                <w:t>6i1.7070</w:t>
              </w:r>
            </w:hyperlink>
          </w:p>
          <w:p w:rsidR="00F210A0" w:rsidRDefault="006F3AC4">
            <w:pPr>
              <w:jc w:val="both"/>
              <w:rPr>
                <w:shd w:val="clear" w:color="auto" w:fill="FFFF0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[7]. </w:t>
            </w:r>
            <w:r>
              <w:rPr>
                <w:rFonts w:ascii="Arial" w:hAnsi="Arial"/>
                <w:sz w:val="20"/>
                <w:szCs w:val="20"/>
              </w:rPr>
              <w:t xml:space="preserve">Mohammad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Muhtasim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Mashfy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Tamzeed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Ahmed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Alvy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, Nazmul Hossain, Md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Azazul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Haque, Fatima Tasneem Mohsin,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Tasnuva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Sharmin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, Mohammad Nasim, (2026). </w:t>
            </w:r>
            <w:bookmarkStart w:id="3" w:name="screen-reader-main-title_Copy_2"/>
            <w:bookmarkEnd w:id="3"/>
            <w:r>
              <w:rPr>
                <w:rFonts w:ascii="Arial" w:hAnsi="Arial"/>
                <w:sz w:val="20"/>
                <w:szCs w:val="20"/>
              </w:rPr>
              <w:t>Sodium i</w:t>
            </w:r>
            <w:r>
              <w:rPr>
                <w:rFonts w:ascii="Arial" w:hAnsi="Arial"/>
                <w:sz w:val="20"/>
                <w:szCs w:val="20"/>
              </w:rPr>
              <w:t xml:space="preserve">on batteries: A sustainable alternative to lithium-ion batteries with an overview of market trends, recycling, and battery chemistry. Next energy. </w:t>
            </w:r>
            <w:hyperlink r:id="rId15">
              <w:r>
                <w:rPr>
                  <w:rStyle w:val="Hyperlink"/>
                  <w:rFonts w:ascii="Arial" w:hAnsi="Arial"/>
                  <w:sz w:val="20"/>
                  <w:szCs w:val="20"/>
                  <w:u w:val="none"/>
                  <w:bdr w:val="single" w:sz="12" w:space="1" w:color="000000"/>
                </w:rPr>
                <w:t>Volume 10</w:t>
              </w:r>
            </w:hyperlink>
            <w:r>
              <w:rPr>
                <w:rFonts w:ascii="Arial" w:hAnsi="Arial"/>
                <w:color w:val="1F1F1F"/>
                <w:sz w:val="20"/>
                <w:szCs w:val="20"/>
              </w:rPr>
              <w:t xml:space="preserve">, 100478. </w:t>
            </w:r>
            <w:hyperlink r:id="rId16" w:tgtFrame="_blank">
              <w:r>
                <w:rPr>
                  <w:rStyle w:val="Hyperlink"/>
                  <w:rFonts w:ascii="Arial" w:hAnsi="Arial"/>
                  <w:sz w:val="20"/>
                  <w:szCs w:val="20"/>
                  <w:u w:val="none"/>
                  <w:bdr w:val="single" w:sz="12" w:space="1" w:color="000000"/>
                </w:rPr>
                <w:t>https://doi.org/10.1016/j.nxener.2025.100478</w:t>
              </w:r>
            </w:hyperlink>
          </w:p>
        </w:tc>
      </w:tr>
    </w:tbl>
    <w:p w:rsidR="00F210A0" w:rsidRDefault="00F210A0">
      <w:pPr>
        <w:rPr>
          <w:lang w:val="en-GB"/>
        </w:rPr>
      </w:pPr>
    </w:p>
    <w:p w:rsidR="00F210A0" w:rsidRDefault="00F210A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210A0" w:rsidRDefault="006F3AC4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F210A0" w:rsidRDefault="00F210A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50" w:type="pct"/>
        <w:tblInd w:w="486" w:type="dxa"/>
        <w:tblLayout w:type="fixed"/>
        <w:tblLook w:val="04A0" w:firstRow="1" w:lastRow="0" w:firstColumn="1" w:lastColumn="0" w:noHBand="0" w:noVBand="1"/>
      </w:tblPr>
      <w:tblGrid>
        <w:gridCol w:w="4351"/>
        <w:gridCol w:w="4710"/>
        <w:gridCol w:w="4404"/>
      </w:tblGrid>
      <w:tr w:rsidR="00F210A0">
        <w:tc>
          <w:tcPr>
            <w:tcW w:w="13260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210A0" w:rsidRDefault="00F210A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210A0"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0A0" w:rsidRDefault="00F210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0A0" w:rsidRDefault="006F3AC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210A0" w:rsidRDefault="006F3AC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210A0" w:rsidRDefault="00F210A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210A0">
        <w:trPr>
          <w:trHeight w:val="890"/>
        </w:trPr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0A0" w:rsidRDefault="006F3AC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ethical issues in this manuscript?</w:t>
            </w:r>
          </w:p>
          <w:p w:rsidR="00F210A0" w:rsidRDefault="00F210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0A0" w:rsidRDefault="006F3AC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F210A0" w:rsidRDefault="00F210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10A0" w:rsidRDefault="00F210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210A0" w:rsidRDefault="00F210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210A0" w:rsidRDefault="00F210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bookmarkStart w:id="4" w:name="_Hlk156057883"/>
            <w:bookmarkEnd w:id="4"/>
          </w:p>
        </w:tc>
      </w:tr>
    </w:tbl>
    <w:p w:rsidR="00F210A0" w:rsidRDefault="00F210A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210A0" w:rsidRDefault="006F3AC4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:rsidR="00F210A0" w:rsidRDefault="00F210A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210A0" w:rsidRDefault="00F210A0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F210A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38" w:h="23811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3AC4" w:rsidRDefault="006F3AC4">
      <w:r>
        <w:separator/>
      </w:r>
    </w:p>
  </w:endnote>
  <w:endnote w:type="continuationSeparator" w:id="0">
    <w:p w:rsidR="006F3AC4" w:rsidRDefault="006F3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0A0" w:rsidRDefault="00F210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0A0" w:rsidRDefault="00F210A0">
    <w:pPr>
      <w:pStyle w:val="Footer"/>
      <w:jc w:val="right"/>
    </w:pPr>
  </w:p>
  <w:p w:rsidR="00F210A0" w:rsidRDefault="006F3AC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</w:p>
  <w:p w:rsidR="00F210A0" w:rsidRDefault="006F3AC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F210A0" w:rsidRDefault="00F210A0">
    <w:pPr>
      <w:pStyle w:val="Footer"/>
      <w:jc w:val="right"/>
    </w:pPr>
  </w:p>
  <w:p w:rsidR="00F210A0" w:rsidRDefault="00F210A0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0A0" w:rsidRDefault="00F210A0">
    <w:pPr>
      <w:pStyle w:val="Footer"/>
      <w:jc w:val="right"/>
    </w:pPr>
  </w:p>
  <w:p w:rsidR="00F210A0" w:rsidRDefault="006F3AC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</w:p>
  <w:p w:rsidR="00F210A0" w:rsidRDefault="006F3AC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F210A0" w:rsidRDefault="00F210A0">
    <w:pPr>
      <w:pStyle w:val="Footer"/>
      <w:jc w:val="right"/>
    </w:pPr>
  </w:p>
  <w:p w:rsidR="00F210A0" w:rsidRDefault="00F210A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3AC4" w:rsidRDefault="006F3AC4">
      <w:r>
        <w:separator/>
      </w:r>
    </w:p>
  </w:footnote>
  <w:footnote w:type="continuationSeparator" w:id="0">
    <w:p w:rsidR="006F3AC4" w:rsidRDefault="006F3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0A0" w:rsidRDefault="00F210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0A0" w:rsidRDefault="00F210A0">
    <w:pPr>
      <w:spacing w:beforeAutospacing="1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F210A0" w:rsidRDefault="006F3AC4">
    <w:pPr>
      <w:spacing w:beforeAutospacing="1" w:afterAutospacing="1"/>
      <w:jc w:val="center"/>
      <w:rPr>
        <w:sz w:val="20"/>
      </w:rPr>
    </w:pPr>
    <w:r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0A0" w:rsidRDefault="00F210A0">
    <w:pPr>
      <w:spacing w:beforeAutospacing="1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F210A0" w:rsidRDefault="006F3AC4">
    <w:pPr>
      <w:spacing w:beforeAutospacing="1" w:afterAutospacing="1"/>
      <w:jc w:val="center"/>
      <w:rPr>
        <w:sz w:val="20"/>
      </w:rPr>
    </w:pPr>
    <w:r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oNotTrackMove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10A0"/>
    <w:rsid w:val="006F3AC4"/>
    <w:rsid w:val="00AC477B"/>
    <w:rsid w:val="00F2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F0E118-8948-42D2-9C3E-B347D1ED0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pPr>
      <w:suppressAutoHyphens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Autospacing="1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sid w:val="0000007A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character" w:customStyle="1" w:styleId="NichtaufgelsteErwhnung">
    <w:name w:val="Nicht aufgelöste Erwähnung"/>
    <w:uiPriority w:val="99"/>
    <w:semiHidden/>
    <w:unhideWhenUsed/>
    <w:qFormat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qFormat/>
    <w:rsid w:val="002B3141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styleId="NormalWeb">
    <w:name w:val="Normal (Web)"/>
    <w:basedOn w:val="Normal"/>
    <w:qFormat/>
    <w:rsid w:val="0000007A"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uiPriority w:val="99"/>
    <w:semiHidden/>
    <w:qFormat/>
    <w:rsid w:val="00E57F4B"/>
    <w:pPr>
      <w:suppressAutoHyphens/>
    </w:pPr>
    <w:rPr>
      <w:sz w:val="22"/>
      <w:szCs w:val="22"/>
      <w:lang w:val="en-US" w:eastAsia="en-US"/>
    </w:rPr>
  </w:style>
  <w:style w:type="paragraph" w:customStyle="1" w:styleId="Affiliation">
    <w:name w:val="Affiliation"/>
    <w:basedOn w:val="Normal"/>
    <w:qFormat/>
    <w:rsid w:val="001831A4"/>
    <w:pPr>
      <w:spacing w:after="240" w:line="240" w:lineRule="exact"/>
      <w:jc w:val="right"/>
    </w:pPr>
    <w:rPr>
      <w:rFonts w:ascii="Helvetica" w:hAnsi="Helvetica"/>
      <w:sz w:val="20"/>
      <w:szCs w:val="20"/>
    </w:rPr>
  </w:style>
  <w:style w:type="table" w:styleId="TableGrid">
    <w:name w:val="Table Grid"/>
    <w:basedOn w:val="TableNormal"/>
    <w:uiPriority w:val="59"/>
    <w:rsid w:val="008913D5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iencedirect.com/journal/scientific-african/vol/30/suppl/C" TargetMode="External"/><Relationship Id="rId13" Type="http://schemas.openxmlformats.org/officeDocument/2006/relationships/hyperlink" Target="https://www.researchgate.net/profile/Hardi-Hamzah-2?_tp=eyJjb250ZXh0Ijp7InBhZ2UiOiJwdWJsaWNhdGlvbiIsInByZXZpb3VzUGFnZSI6bnVsbH19" TargetMode="External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hyperlink" Target="https://www.sciencedirect.com/journal/scientific-african" TargetMode="External"/><Relationship Id="rId12" Type="http://schemas.openxmlformats.org/officeDocument/2006/relationships/hyperlink" Target="https://www.researchgate.net/scientific-contributions/Syarifah-Nuraeni-Alaydrus-2288437818?_tp=eyJjb250ZXh0Ijp7InBhZ2UiOiJwdWJsaWNhdGlvbiIsInByZXZpb3VzUGFnZSI6bnVsbH19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doi.org/10.1016/j.nxener.2025.100478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https://journalsarjnp.com/" TargetMode="External"/><Relationship Id="rId11" Type="http://schemas.openxmlformats.org/officeDocument/2006/relationships/hyperlink" Target="https://www.researchgate.net/scientific-contributions/Nurul-Afiqah-Arsyad-2288428799?_tp=eyJjb250ZXh0Ijp7InBhZ2UiOiJwdWJsaWNhdGlvbiIsInByZXZpb3VzUGFnZSI6bnVsbH19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www.sciencedirect.com/journal/next-energy/vol/10/suppl/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researchgate.net/scientific-contributions/Muh-Ridwan-Kadir-2215502569?_tp=eyJjb250ZXh0Ijp7InBhZ2UiOiJwdWJsaWNhdGlvbiIsInByZXZpb3VzUGFnZSI6bnVsbH19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doi.org/10.1016/j.sciaf.2025.e03053" TargetMode="External"/><Relationship Id="rId14" Type="http://schemas.openxmlformats.org/officeDocument/2006/relationships/hyperlink" Target="https://doi.org/10.12928/irip.v6i1.7070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1174</Words>
  <Characters>6696</Characters>
  <Application>Microsoft Office Word</Application>
  <DocSecurity>0</DocSecurity>
  <Lines>55</Lines>
  <Paragraphs>15</Paragraphs>
  <ScaleCrop>false</ScaleCrop>
  <Company/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dc:description/>
  <cp:lastModifiedBy>SDI 1186</cp:lastModifiedBy>
  <cp:revision>9</cp:revision>
  <dcterms:created xsi:type="dcterms:W3CDTF">2026-03-24T06:14:00Z</dcterms:created>
  <dcterms:modified xsi:type="dcterms:W3CDTF">2026-04-02T10:19:00Z</dcterms:modified>
  <dc:language>en-NG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