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B1AE9" w:rsidRPr="00EF49FB" w:rsidRDefault="00A11BEE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EF49FB">
                <w:rPr>
                  <w:rStyle w:val="Hyperlink"/>
                  <w:rFonts w:ascii="Calibri" w:eastAsia="MS Mincho" w:hAnsi="Calibri" w:cs="Calibri"/>
                  <w:sz w:val="22"/>
                  <w:szCs w:val="22"/>
                </w:rPr>
                <w:t xml:space="preserve">Journal of Advances in Biology &amp; Biotechnology </w:t>
              </w:r>
            </w:hyperlink>
            <w:r w:rsidR="00D22D1E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B1AE9" w:rsidRDefault="00284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84B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EF49FB">
              <w:t xml:space="preserve"> </w:t>
            </w:r>
            <w:r w:rsidR="00EF49FB" w:rsidRPr="00EF49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JABB</w:t>
            </w:r>
            <w:r w:rsidR="00EF49FB" w:rsidRPr="00284B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 xml:space="preserve"> </w:t>
            </w:r>
            <w:r w:rsidRPr="00284B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_157722</w:t>
            </w:r>
          </w:p>
        </w:tc>
      </w:tr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B1AE9" w:rsidRDefault="005C7C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C7C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Phenetic Analysis and Morphological Traits Evaluation of Convolvulus L. from Flora of Saudi Arabia</w:t>
            </w:r>
          </w:p>
        </w:tc>
      </w:tr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B1AE9" w:rsidRDefault="00D22D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7B1AE9" w:rsidRDefault="007B1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B1AE9" w:rsidRDefault="007B1AE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B1AE9" w:rsidRDefault="00D22D1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B1AE9" w:rsidRDefault="007B1AE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7B1AE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B1AE9" w:rsidRDefault="00D22D1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B1AE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B1AE9" w:rsidRDefault="00D22D1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B1AE9" w:rsidRPr="00C646B6" w:rsidRDefault="00C646B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C646B6">
              <w:rPr>
                <w:rFonts w:asciiTheme="majorBidi" w:hAnsiTheme="majorBidi" w:cstheme="majorBidi"/>
                <w:sz w:val="20"/>
                <w:szCs w:val="20"/>
              </w:rPr>
              <w:t xml:space="preserve">haracteristics of </w:t>
            </w:r>
            <w:r w:rsidRPr="00C646B6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Convolvulus</w:t>
            </w:r>
            <w:r w:rsidRPr="00C646B6">
              <w:rPr>
                <w:rFonts w:asciiTheme="majorBidi" w:hAnsiTheme="majorBidi" w:cstheme="majorBidi"/>
                <w:sz w:val="20"/>
                <w:szCs w:val="20"/>
              </w:rPr>
              <w:t xml:space="preserve"> were shown to be essential for species differentiation. The morphological features showed a certain level of high variability that is useful for discrimination.</w:t>
            </w:r>
          </w:p>
        </w:tc>
        <w:tc>
          <w:tcPr>
            <w:tcW w:w="1367" w:type="pct"/>
            <w:shd w:val="clear" w:color="auto" w:fill="auto"/>
          </w:tcPr>
          <w:p w:rsidR="00BB7D4B" w:rsidRPr="00BB7D4B" w:rsidRDefault="00BB7D4B" w:rsidP="00BB7D4B">
            <w:pPr>
              <w:jc w:val="both"/>
              <w:rPr>
                <w:sz w:val="20"/>
                <w:szCs w:val="20"/>
              </w:rPr>
            </w:pPr>
            <w:r w:rsidRPr="00BB7D4B">
              <w:rPr>
                <w:sz w:val="20"/>
                <w:szCs w:val="20"/>
              </w:rPr>
              <w:t>Thank you for your encouraging review.</w:t>
            </w:r>
          </w:p>
          <w:p w:rsidR="00BB7D4B" w:rsidRPr="00BB7D4B" w:rsidRDefault="00BB7D4B" w:rsidP="00BB7D4B">
            <w:pPr>
              <w:jc w:val="both"/>
              <w:rPr>
                <w:sz w:val="20"/>
                <w:szCs w:val="20"/>
              </w:rPr>
            </w:pPr>
            <w:r w:rsidRPr="00BB7D4B">
              <w:rPr>
                <w:sz w:val="20"/>
                <w:szCs w:val="20"/>
              </w:rPr>
              <w:t>Indeed, as you have expressed your opinion</w:t>
            </w:r>
          </w:p>
          <w:p w:rsidR="00BB7D4B" w:rsidRPr="00BB7D4B" w:rsidRDefault="00BB7D4B" w:rsidP="00BB7D4B">
            <w:pPr>
              <w:pStyle w:val="Heading2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BB7D4B">
              <w:rPr>
                <w:rFonts w:ascii="Times New Roman" w:hAnsi="Times New Roman"/>
                <w:b w:val="0"/>
                <w:bCs w:val="0"/>
                <w:iCs/>
                <w:lang w:eastAsia="ko-KR"/>
              </w:rPr>
              <w:t>the research highlights</w:t>
            </w:r>
            <w:r w:rsidRPr="00BB7D4B">
              <w:rPr>
                <w:rFonts w:ascii="Times New Roman" w:hAnsi="Times New Roman"/>
                <w:b w:val="0"/>
                <w:bCs w:val="0"/>
                <w:lang w:val="en-GB"/>
              </w:rPr>
              <w:t xml:space="preserve"> are </w:t>
            </w:r>
          </w:p>
          <w:p w:rsidR="00BB7D4B" w:rsidRPr="00BB7D4B" w:rsidRDefault="00BB7D4B" w:rsidP="00BB7D4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13" w:firstLine="0"/>
              <w:jc w:val="both"/>
              <w:rPr>
                <w:sz w:val="20"/>
                <w:szCs w:val="20"/>
              </w:rPr>
            </w:pPr>
            <w:r w:rsidRPr="00BB7D4B">
              <w:rPr>
                <w:sz w:val="20"/>
                <w:szCs w:val="20"/>
              </w:rPr>
              <w:t xml:space="preserve">Estimating the </w:t>
            </w:r>
            <w:r w:rsidRPr="00BB7D4B">
              <w:rPr>
                <w:rFonts w:eastAsia="TimesNewRomanPSMT"/>
                <w:sz w:val="20"/>
                <w:szCs w:val="20"/>
              </w:rPr>
              <w:t xml:space="preserve">phenetic relationships within some taxa of genus </w:t>
            </w:r>
            <w:r w:rsidRPr="00BB7D4B">
              <w:rPr>
                <w:rFonts w:eastAsia="TimesNewRomanPSMT"/>
                <w:i/>
                <w:iCs/>
                <w:sz w:val="20"/>
                <w:szCs w:val="20"/>
              </w:rPr>
              <w:t>Convolvulus</w:t>
            </w:r>
            <w:r w:rsidRPr="00BB7D4B">
              <w:rPr>
                <w:rFonts w:eastAsia="TimesNewRomanPSMT"/>
                <w:sz w:val="20"/>
                <w:szCs w:val="20"/>
              </w:rPr>
              <w:t xml:space="preserve"> represented in Saudi Arabian flora.</w:t>
            </w:r>
          </w:p>
          <w:p w:rsidR="00BB7D4B" w:rsidRPr="00BB7D4B" w:rsidRDefault="00BB7D4B" w:rsidP="00BB7D4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13" w:firstLine="0"/>
              <w:jc w:val="both"/>
              <w:rPr>
                <w:sz w:val="20"/>
                <w:szCs w:val="20"/>
              </w:rPr>
            </w:pPr>
            <w:r w:rsidRPr="00BB7D4B">
              <w:rPr>
                <w:rFonts w:eastAsia="TimesNewRomanPSMT"/>
                <w:sz w:val="20"/>
                <w:szCs w:val="20"/>
              </w:rPr>
              <w:t>Evaluating the use of the morphological characters in systematics of</w:t>
            </w:r>
            <w:r w:rsidRPr="00BB7D4B">
              <w:rPr>
                <w:i/>
                <w:iCs/>
                <w:sz w:val="20"/>
                <w:szCs w:val="20"/>
              </w:rPr>
              <w:t xml:space="preserve"> </w:t>
            </w:r>
            <w:r w:rsidRPr="00BB7D4B">
              <w:rPr>
                <w:rFonts w:eastAsia="TimesNewRomanPSMT"/>
                <w:i/>
                <w:iCs/>
                <w:sz w:val="20"/>
                <w:szCs w:val="20"/>
              </w:rPr>
              <w:t>Convolvulus</w:t>
            </w:r>
            <w:r w:rsidRPr="00BB7D4B">
              <w:rPr>
                <w:rFonts w:eastAsia="TimesNewRomanPSMT"/>
                <w:sz w:val="20"/>
                <w:szCs w:val="20"/>
              </w:rPr>
              <w:t xml:space="preserve"> </w:t>
            </w:r>
            <w:r w:rsidRPr="00BB7D4B">
              <w:rPr>
                <w:sz w:val="20"/>
                <w:szCs w:val="20"/>
              </w:rPr>
              <w:t>by aid of PCA</w:t>
            </w:r>
            <w:r w:rsidRPr="00BB7D4B">
              <w:rPr>
                <w:rFonts w:eastAsia="TimesNewRomanPSMT"/>
                <w:sz w:val="20"/>
                <w:szCs w:val="20"/>
              </w:rPr>
              <w:t>.</w:t>
            </w:r>
          </w:p>
          <w:p w:rsidR="007B1AE9" w:rsidRPr="00BB7D4B" w:rsidRDefault="00BB7D4B" w:rsidP="00BB7D4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13" w:firstLine="0"/>
              <w:jc w:val="both"/>
              <w:rPr>
                <w:sz w:val="20"/>
                <w:szCs w:val="20"/>
              </w:rPr>
            </w:pPr>
            <w:r w:rsidRPr="00BB7D4B">
              <w:rPr>
                <w:sz w:val="20"/>
                <w:szCs w:val="20"/>
              </w:rPr>
              <w:t>The work demonstrates the reliability of herbarium specimens for PCA-based morphological assessment and offers a reproducible analytical approach that strengthens taxonomic interpretation of morphologically complex taxa.</w:t>
            </w:r>
          </w:p>
        </w:tc>
      </w:tr>
    </w:tbl>
    <w:p w:rsidR="007B1AE9" w:rsidRDefault="007B1AE9">
      <w:pPr>
        <w:rPr>
          <w:sz w:val="22"/>
          <w:szCs w:val="20"/>
          <w:lang w:val="en-GB"/>
        </w:rPr>
      </w:pPr>
    </w:p>
    <w:p w:rsidR="007B1AE9" w:rsidRDefault="007B1AE9">
      <w:pPr>
        <w:rPr>
          <w:sz w:val="22"/>
          <w:szCs w:val="20"/>
          <w:lang w:val="en-GB"/>
        </w:rPr>
      </w:pPr>
    </w:p>
    <w:p w:rsidR="007B1AE9" w:rsidRDefault="007B1AE9">
      <w:pPr>
        <w:rPr>
          <w:sz w:val="22"/>
          <w:szCs w:val="20"/>
          <w:lang w:val="en-GB"/>
        </w:rPr>
      </w:pPr>
    </w:p>
    <w:p w:rsidR="007B1AE9" w:rsidRDefault="00D22D1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7B1AE9" w:rsidRDefault="007B1AE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7B1AE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B1AE9" w:rsidRDefault="00D22D1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Pr="00C646B6" w:rsidRDefault="00C646B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C646B6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Cs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B1AE9" w:rsidRDefault="00BB7D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MS has been checked by a colleague that native English and some revision have been made</w:t>
            </w:r>
          </w:p>
        </w:tc>
      </w:tr>
    </w:tbl>
    <w:p w:rsidR="007B1AE9" w:rsidRDefault="007B1A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1AE9" w:rsidRDefault="00D22D1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7B1AE9" w:rsidRDefault="007B1AE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B1AE9" w:rsidRDefault="007B1AE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B1AE9" w:rsidRDefault="00D22D1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C646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B1AE9" w:rsidRDefault="00D22D1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  <w:tr w:rsidR="007B1AE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B1AE9" w:rsidRDefault="00C646B6" w:rsidP="00C646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 </w:t>
            </w:r>
          </w:p>
        </w:tc>
        <w:tc>
          <w:tcPr>
            <w:tcW w:w="1543" w:type="pct"/>
            <w:shd w:val="clear" w:color="auto" w:fill="auto"/>
          </w:tcPr>
          <w:p w:rsidR="007B1AE9" w:rsidRPr="00BB7D4B" w:rsidRDefault="00BB7D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 w:rsidRPr="00BB7D4B">
              <w:rPr>
                <w:rFonts w:ascii="Times New Roman" w:hAnsi="Times New Roman"/>
                <w:b w:val="0"/>
                <w:bCs w:val="0"/>
              </w:rPr>
              <w:t>Thank you for your encouraging review</w:t>
            </w:r>
          </w:p>
        </w:tc>
      </w:tr>
    </w:tbl>
    <w:p w:rsidR="007B1AE9" w:rsidRDefault="007B1AE9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  <w:bookmarkStart w:id="0" w:name="_GoBack"/>
      <w:bookmarkEnd w:id="0"/>
    </w:p>
    <w:sectPr w:rsidR="007B1AE9" w:rsidSect="004C25B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D25" w:rsidRDefault="002F0D25">
      <w:r>
        <w:separator/>
      </w:r>
    </w:p>
  </w:endnote>
  <w:endnote w:type="continuationSeparator" w:id="0">
    <w:p w:rsidR="002F0D25" w:rsidRDefault="002F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AE9" w:rsidRDefault="007B1AE9">
    <w:pPr>
      <w:pStyle w:val="Footer"/>
      <w:jc w:val="right"/>
    </w:pPr>
  </w:p>
  <w:p w:rsidR="007B1AE9" w:rsidRDefault="00D22D1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11BE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11BEE">
      <w:rPr>
        <w:b/>
        <w:sz w:val="20"/>
      </w:rPr>
      <w:fldChar w:fldCharType="separate"/>
    </w:r>
    <w:r w:rsidR="002F0D25">
      <w:rPr>
        <w:b/>
        <w:noProof/>
        <w:sz w:val="20"/>
      </w:rPr>
      <w:t>1</w:t>
    </w:r>
    <w:r w:rsidR="00A11BEE">
      <w:rPr>
        <w:b/>
        <w:sz w:val="20"/>
      </w:rPr>
      <w:fldChar w:fldCharType="end"/>
    </w:r>
    <w:r>
      <w:rPr>
        <w:sz w:val="20"/>
      </w:rPr>
      <w:t xml:space="preserve"> of </w:t>
    </w:r>
    <w:r w:rsidR="00A11BE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11BEE">
      <w:rPr>
        <w:b/>
        <w:sz w:val="20"/>
      </w:rPr>
      <w:fldChar w:fldCharType="separate"/>
    </w:r>
    <w:r w:rsidR="002F0D25">
      <w:rPr>
        <w:b/>
        <w:noProof/>
        <w:sz w:val="20"/>
      </w:rPr>
      <w:t>1</w:t>
    </w:r>
    <w:r w:rsidR="00A11BEE">
      <w:rPr>
        <w:b/>
        <w:sz w:val="20"/>
      </w:rPr>
      <w:fldChar w:fldCharType="end"/>
    </w:r>
  </w:p>
  <w:p w:rsidR="007B1AE9" w:rsidRDefault="00D22D1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B1AE9" w:rsidRDefault="007B1AE9">
    <w:pPr>
      <w:pStyle w:val="Footer"/>
      <w:jc w:val="right"/>
    </w:pPr>
  </w:p>
  <w:p w:rsidR="007B1AE9" w:rsidRDefault="007B1AE9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D25" w:rsidRDefault="002F0D25">
      <w:r>
        <w:separator/>
      </w:r>
    </w:p>
  </w:footnote>
  <w:footnote w:type="continuationSeparator" w:id="0">
    <w:p w:rsidR="002F0D25" w:rsidRDefault="002F0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AE9" w:rsidRDefault="007B1AE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B1AE9" w:rsidRDefault="00D22D1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019E6"/>
    <w:multiLevelType w:val="hybridMultilevel"/>
    <w:tmpl w:val="97840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AE9"/>
    <w:rsid w:val="001D586A"/>
    <w:rsid w:val="00284B80"/>
    <w:rsid w:val="002F0D25"/>
    <w:rsid w:val="003470EE"/>
    <w:rsid w:val="003B3D6B"/>
    <w:rsid w:val="004C25B3"/>
    <w:rsid w:val="005034B9"/>
    <w:rsid w:val="005C7CDE"/>
    <w:rsid w:val="007B1AE9"/>
    <w:rsid w:val="008D7EC9"/>
    <w:rsid w:val="00A11BEE"/>
    <w:rsid w:val="00AC321D"/>
    <w:rsid w:val="00BB7D4B"/>
    <w:rsid w:val="00C646B6"/>
    <w:rsid w:val="00D22D1E"/>
    <w:rsid w:val="00EF4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5B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C25B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C25B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C25B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C25B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C25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C25B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C25B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C25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25B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25B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C25B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C25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25B3"/>
    <w:pPr>
      <w:ind w:left="720"/>
      <w:contextualSpacing/>
    </w:pPr>
  </w:style>
  <w:style w:type="paragraph" w:styleId="Revision">
    <w:name w:val="Revision"/>
    <w:hidden/>
    <w:uiPriority w:val="99"/>
    <w:semiHidden/>
    <w:rsid w:val="004C25B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C25B3"/>
    <w:rPr>
      <w:color w:val="800080"/>
      <w:u w:val="single"/>
    </w:rPr>
  </w:style>
  <w:style w:type="table" w:styleId="TableGrid">
    <w:name w:val="Table Grid"/>
    <w:basedOn w:val="TableNormal"/>
    <w:uiPriority w:val="59"/>
    <w:rsid w:val="004C25B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4C25B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C25B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D7EC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Usama K Abdelhameed</cp:lastModifiedBy>
  <cp:revision>22</cp:revision>
  <dcterms:created xsi:type="dcterms:W3CDTF">2026-03-24T06:15:00Z</dcterms:created>
  <dcterms:modified xsi:type="dcterms:W3CDTF">2026-05-01T03:35:00Z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