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62DBC" w14:paraId="6C1FC85D" w14:textId="77777777">
        <w:trPr>
          <w:trHeight w:val="20"/>
          <w:jc w:val="center"/>
        </w:trPr>
        <w:tc>
          <w:tcPr>
            <w:tcW w:w="1186" w:type="pct"/>
          </w:tcPr>
          <w:p w14:paraId="6DD0D059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ED5D380" w14:textId="77777777" w:rsidR="00762DBC" w:rsidRDefault="005E251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Research and Reports in Dentistry</w:t>
            </w:r>
          </w:p>
        </w:tc>
      </w:tr>
      <w:tr w:rsidR="00762DBC" w14:paraId="08568DCA" w14:textId="77777777">
        <w:trPr>
          <w:trHeight w:val="20"/>
          <w:jc w:val="center"/>
        </w:trPr>
        <w:tc>
          <w:tcPr>
            <w:tcW w:w="1186" w:type="pct"/>
          </w:tcPr>
          <w:p w14:paraId="1A568329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3F27A9D" w14:textId="77777777" w:rsidR="00762DBC" w:rsidRDefault="00A877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877D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Ms_IJRRD_156912</w:t>
            </w:r>
          </w:p>
        </w:tc>
      </w:tr>
      <w:tr w:rsidR="00762DBC" w14:paraId="49AEA5C1" w14:textId="77777777">
        <w:trPr>
          <w:trHeight w:val="20"/>
          <w:jc w:val="center"/>
        </w:trPr>
        <w:tc>
          <w:tcPr>
            <w:tcW w:w="1186" w:type="pct"/>
          </w:tcPr>
          <w:p w14:paraId="7B8A2D0F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EEF9EDE" w14:textId="77777777" w:rsidR="00762DBC" w:rsidRDefault="00A877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877D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The "Double-Threat" Protocol: Management of a necrotic immature mandibular molar using a combination of 3D ultrasonic activation and </w:t>
            </w:r>
            <w:proofErr w:type="spellStart"/>
            <w:r w:rsidRPr="00A877D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bioceramic</w:t>
            </w:r>
            <w:proofErr w:type="spellEnd"/>
            <w:r w:rsidRPr="00A877D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putty: A Case Report</w:t>
            </w:r>
          </w:p>
        </w:tc>
      </w:tr>
      <w:tr w:rsidR="00762DBC" w14:paraId="077E9BCA" w14:textId="77777777">
        <w:trPr>
          <w:trHeight w:val="20"/>
          <w:jc w:val="center"/>
        </w:trPr>
        <w:tc>
          <w:tcPr>
            <w:tcW w:w="1186" w:type="pct"/>
          </w:tcPr>
          <w:p w14:paraId="4C19C7BC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4106359" w14:textId="77777777" w:rsidR="00762DBC" w:rsidRDefault="005E2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3BFFDF6" w14:textId="77777777"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F2B4A8F" w14:textId="77777777" w:rsidR="00762DBC" w:rsidRDefault="00762D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4383515" w14:textId="77777777" w:rsidR="00762DBC" w:rsidRDefault="00762DB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B592305" w14:textId="77777777" w:rsidR="00762DBC" w:rsidRDefault="00762DB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5A16017" w14:textId="77777777" w:rsidR="00762DBC" w:rsidRDefault="005E25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AF03423" w14:textId="77777777" w:rsidR="00762DBC" w:rsidRDefault="00762DB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62DBC" w14:paraId="34830B3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0CFE20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97E028A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2345E11" w14:textId="77777777" w:rsidR="00762DBC" w:rsidRDefault="005E251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E09AEC8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DB7A0A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2513D28" w14:textId="77777777" w:rsidR="00762DBC" w:rsidRDefault="005E251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1A3DFA8" w14:textId="4EAC2F19" w:rsidR="00762DBC" w:rsidRPr="006B3C1E" w:rsidRDefault="006B3C1E" w:rsidP="006B3C1E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B3C1E">
              <w:rPr>
                <w:b/>
                <w:bCs/>
                <w:sz w:val="20"/>
                <w:szCs w:val="20"/>
              </w:rPr>
              <w:t>This paper presents a well-conceived and therapeutically relevant case report on regenerative endodontics in immature molars, a field with obvious clinical significance. The paper presents a successful result with follow-up, unifies the tissue engineering triad, and exhibits solid theoretical foundation.</w:t>
            </w:r>
          </w:p>
        </w:tc>
        <w:tc>
          <w:tcPr>
            <w:tcW w:w="1367" w:type="pct"/>
          </w:tcPr>
          <w:p w14:paraId="26C7E562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89B7F35" w14:textId="77777777" w:rsidR="00762DBC" w:rsidRDefault="00762DBC">
      <w:pPr>
        <w:rPr>
          <w:sz w:val="22"/>
          <w:szCs w:val="20"/>
          <w:lang w:val="en-GB"/>
        </w:rPr>
      </w:pPr>
    </w:p>
    <w:p w14:paraId="306C1236" w14:textId="77777777" w:rsidR="00762DBC" w:rsidRDefault="00762DBC">
      <w:pPr>
        <w:rPr>
          <w:sz w:val="22"/>
          <w:szCs w:val="20"/>
          <w:lang w:val="en-GB"/>
        </w:rPr>
      </w:pPr>
    </w:p>
    <w:p w14:paraId="3D03620E" w14:textId="77777777" w:rsidR="00762DBC" w:rsidRDefault="00762DBC">
      <w:pPr>
        <w:rPr>
          <w:sz w:val="22"/>
          <w:szCs w:val="20"/>
          <w:lang w:val="en-GB"/>
        </w:rPr>
      </w:pPr>
    </w:p>
    <w:p w14:paraId="45D59504" w14:textId="77777777" w:rsidR="00762DBC" w:rsidRDefault="005E251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DC2A3CE" w14:textId="77777777" w:rsidR="00762DBC" w:rsidRDefault="00762DB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62DBC" w14:paraId="58C7B24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F12D826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0FAFA21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75A930A" w14:textId="77777777" w:rsidR="00762DBC" w:rsidRDefault="005E251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62DBC" w14:paraId="31E334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106C13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10ED38C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D64FA5" w14:textId="77777777" w:rsidR="00762DBC" w:rsidRDefault="005E251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BA2D66" w14:textId="26DE3CC2" w:rsidR="00762DBC" w:rsidRDefault="00486D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6C7C23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093B5B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73B0EF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557AC6D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7E7EC7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D28671" w14:textId="7DCFC5A5" w:rsidR="00762DBC" w:rsidRDefault="00486D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7C50FA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6ADA7F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42ED37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3932774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D6A21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BD376D" w14:textId="417342A0" w:rsidR="00762DBC" w:rsidRDefault="00486D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04165B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389808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47B41D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8D59985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6F6D1D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B9DDA7" w14:textId="25CCEB80" w:rsidR="00762DBC" w:rsidRDefault="00486D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B7953FE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679132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365B1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0B111E4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82275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1EB90D" w14:textId="142D3813" w:rsidR="00762DBC" w:rsidRDefault="00486D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0ADD355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49ECD8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55E066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18E764F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5D7296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01E60C" w14:textId="48072819" w:rsidR="00762DBC" w:rsidRDefault="00486D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E31015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0F4E7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3BD09F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7BF16DC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CF17A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28C364" w14:textId="13FF6660" w:rsidR="00762DBC" w:rsidRDefault="00486D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DCA6B9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1FCF9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5EB009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1944400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01A211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B35FEF" w14:textId="16068A96" w:rsidR="00762DBC" w:rsidRDefault="00486D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1743409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41101D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FA120E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939128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47EED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F62A4E" w14:textId="3A6028B5" w:rsidR="00762DBC" w:rsidRDefault="00486D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C1D4DD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10722B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361086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F24B801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3B13E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A357D0" w14:textId="2572A63D" w:rsidR="00762DBC" w:rsidRDefault="00486D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B6C9A8E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3126E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EF4547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4165CC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EB1501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91B5A9" w14:textId="5337F9B0" w:rsidR="00762DBC" w:rsidRDefault="00486D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4F2D641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7FCA14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3388FA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51A81E4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F5BB9C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2AF07D" w14:textId="24AB1B03" w:rsidR="00762DBC" w:rsidRDefault="00486D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58DAAE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7C3B23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91F8DB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904AFEB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DD935A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6ABA63" w14:textId="115FD640" w:rsidR="00762DBC" w:rsidRDefault="00486D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77D47DF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2A6C9C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BBCEC4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6F7D532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BACE81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9127EC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CB5425B" w14:textId="635A1A31" w:rsidR="00762DBC" w:rsidRDefault="00D90D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BF6AAF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7F964A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B54949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CC92D0A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D1C953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255630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682B87" w14:textId="7D98A0B4" w:rsidR="00762DBC" w:rsidRDefault="00D90D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5ACDCE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3A2C17D" w14:textId="77777777"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E5B53F" w14:textId="77777777"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670DBF" w14:textId="77777777"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874CC0" w14:textId="77777777" w:rsidR="00762DBC" w:rsidRDefault="005E251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5983EF5" w14:textId="77777777" w:rsidR="00762DBC" w:rsidRDefault="00762DB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762DBC" w14:paraId="343450F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B43BB6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9636E83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69376AD" w14:textId="77777777" w:rsidR="00762DBC" w:rsidRDefault="00762DB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23C9194" w14:textId="77777777" w:rsidR="00762DBC" w:rsidRDefault="005E251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A9C696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2DC9F0A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6120F55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E30B4B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5A3506CC" w14:textId="77777777" w:rsidR="00762DBC" w:rsidRDefault="005E251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F52B60C" w14:textId="3DD8A11F" w:rsidR="00762DBC" w:rsidRDefault="00555E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31EC073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15723C7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229162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4303E75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09D8F0E3" w14:textId="77777777" w:rsidR="00762DBC" w:rsidRDefault="005E251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29DFAE5" w14:textId="488EBDFD" w:rsidR="00762DBC" w:rsidRDefault="00B8269F" w:rsidP="00B8269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8269F">
              <w:rPr>
                <w:b/>
                <w:bCs/>
                <w:sz w:val="20"/>
                <w:szCs w:val="20"/>
              </w:rPr>
              <w:t>Lacks structured format (Background–Case–Outcome–Conclusion)</w:t>
            </w:r>
          </w:p>
        </w:tc>
        <w:tc>
          <w:tcPr>
            <w:tcW w:w="1543" w:type="pct"/>
          </w:tcPr>
          <w:p w14:paraId="61AF1980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6B7578B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854E9B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72579CF" w14:textId="77777777" w:rsidR="00762DBC" w:rsidRDefault="005E251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9759614" w14:textId="77777777" w:rsidR="00762DBC" w:rsidRPr="001C2DF8" w:rsidRDefault="00027289" w:rsidP="00027289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027289">
              <w:rPr>
                <w:bCs/>
                <w:sz w:val="20"/>
                <w:szCs w:val="20"/>
              </w:rPr>
              <w:t>Inconsistent tense</w:t>
            </w:r>
          </w:p>
          <w:p w14:paraId="3FD476A7" w14:textId="77777777" w:rsidR="001C2DF8" w:rsidRDefault="001C2DF8" w:rsidP="001C2DF8">
            <w:pPr>
              <w:pStyle w:val="ListParagraph"/>
              <w:rPr>
                <w:bCs/>
                <w:sz w:val="20"/>
                <w:szCs w:val="20"/>
              </w:rPr>
            </w:pPr>
          </w:p>
          <w:p w14:paraId="19311CFD" w14:textId="77777777" w:rsidR="001C2DF8" w:rsidRPr="00027289" w:rsidRDefault="001C2DF8" w:rsidP="001C2DF8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  <w:p w14:paraId="5362B044" w14:textId="77777777" w:rsidR="00555ECD" w:rsidRPr="005409AB" w:rsidRDefault="00555ECD" w:rsidP="00027289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555ECD">
              <w:rPr>
                <w:bCs/>
                <w:sz w:val="20"/>
                <w:szCs w:val="20"/>
              </w:rPr>
              <w:t xml:space="preserve">Why </w:t>
            </w:r>
            <w:r w:rsidRPr="00555ECD">
              <w:rPr>
                <w:b/>
                <w:bCs/>
                <w:sz w:val="20"/>
                <w:szCs w:val="20"/>
              </w:rPr>
              <w:t>antibiotics prescribed initially</w:t>
            </w:r>
            <w:r w:rsidRPr="00555ECD">
              <w:rPr>
                <w:bCs/>
                <w:sz w:val="20"/>
                <w:szCs w:val="20"/>
              </w:rPr>
              <w:t xml:space="preserve"> (justify per guidelines)</w:t>
            </w:r>
          </w:p>
          <w:p w14:paraId="5C1E08BA" w14:textId="77777777" w:rsidR="005409AB" w:rsidRDefault="005409AB" w:rsidP="005409AB">
            <w:pPr>
              <w:pStyle w:val="ListParagraph"/>
              <w:rPr>
                <w:bCs/>
                <w:sz w:val="20"/>
                <w:szCs w:val="20"/>
              </w:rPr>
            </w:pPr>
          </w:p>
          <w:p w14:paraId="7FDF1C84" w14:textId="77777777" w:rsidR="005409AB" w:rsidRDefault="005409AB" w:rsidP="005409AB">
            <w:pPr>
              <w:pStyle w:val="ListParagraph"/>
              <w:rPr>
                <w:bCs/>
                <w:sz w:val="20"/>
                <w:szCs w:val="20"/>
              </w:rPr>
            </w:pPr>
          </w:p>
          <w:p w14:paraId="52D29351" w14:textId="77777777" w:rsidR="005409AB" w:rsidRDefault="005409AB" w:rsidP="005409AB">
            <w:pPr>
              <w:pStyle w:val="ListParagraph"/>
              <w:rPr>
                <w:bCs/>
                <w:sz w:val="20"/>
                <w:szCs w:val="20"/>
              </w:rPr>
            </w:pPr>
          </w:p>
          <w:p w14:paraId="37315BBB" w14:textId="77777777" w:rsidR="005409AB" w:rsidRDefault="005409AB" w:rsidP="005409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34047F80" w14:textId="77777777" w:rsidR="005409AB" w:rsidRPr="00555ECD" w:rsidRDefault="005409AB" w:rsidP="005409AB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  <w:p w14:paraId="14D5DC50" w14:textId="77777777" w:rsidR="00555ECD" w:rsidRPr="005409AB" w:rsidRDefault="00555ECD" w:rsidP="00027289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Unclear </w:t>
            </w:r>
            <w:r w:rsidRPr="00555ECD">
              <w:rPr>
                <w:bCs/>
                <w:sz w:val="20"/>
                <w:szCs w:val="20"/>
              </w:rPr>
              <w:t xml:space="preserve">Exact </w:t>
            </w:r>
            <w:r w:rsidRPr="00555ECD">
              <w:rPr>
                <w:b/>
                <w:bCs/>
                <w:sz w:val="20"/>
                <w:szCs w:val="20"/>
              </w:rPr>
              <w:t>working length determination method</w:t>
            </w:r>
          </w:p>
          <w:p w14:paraId="317A711C" w14:textId="77777777" w:rsidR="005409AB" w:rsidRDefault="005409AB" w:rsidP="005409AB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033AB4ED" w14:textId="77777777" w:rsidR="005409AB" w:rsidRDefault="005409AB" w:rsidP="005409AB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4D314614" w14:textId="77777777" w:rsidR="005409AB" w:rsidRDefault="005409AB" w:rsidP="005409AB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035206DC" w14:textId="77777777" w:rsidR="005409AB" w:rsidRDefault="005409AB" w:rsidP="005409AB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66402BD9" w14:textId="77777777" w:rsidR="005409AB" w:rsidRDefault="005409AB" w:rsidP="005409AB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75CD2919" w14:textId="77777777" w:rsidR="005409AB" w:rsidRDefault="005409AB" w:rsidP="005409AB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5B9223BA" w14:textId="77777777" w:rsidR="005409AB" w:rsidRDefault="005409AB" w:rsidP="005409A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6C878B94" w14:textId="77777777" w:rsidR="005409AB" w:rsidRPr="00555ECD" w:rsidRDefault="005409AB" w:rsidP="005409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67F3450B" w14:textId="77777777" w:rsidR="00555ECD" w:rsidRPr="005409AB" w:rsidRDefault="00555ECD" w:rsidP="00027289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Clarify </w:t>
            </w:r>
            <w:r w:rsidRPr="00555ECD">
              <w:rPr>
                <w:b/>
                <w:bCs/>
                <w:sz w:val="20"/>
                <w:szCs w:val="20"/>
              </w:rPr>
              <w:t>Why no vasoconstrictor</w:t>
            </w:r>
            <w:r>
              <w:rPr>
                <w:b/>
                <w:bCs/>
                <w:sz w:val="20"/>
                <w:szCs w:val="20"/>
              </w:rPr>
              <w:t>?</w:t>
            </w:r>
          </w:p>
          <w:p w14:paraId="11C9BCB5" w14:textId="77777777" w:rsidR="005409AB" w:rsidRPr="00555ECD" w:rsidRDefault="005409AB" w:rsidP="005409AB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  <w:p w14:paraId="03BECA74" w14:textId="24AE816F" w:rsidR="00555ECD" w:rsidRDefault="00555ECD" w:rsidP="00027289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Provide </w:t>
            </w:r>
            <w:r w:rsidRPr="00555ECD">
              <w:rPr>
                <w:b/>
                <w:bCs/>
                <w:sz w:val="20"/>
                <w:szCs w:val="20"/>
              </w:rPr>
              <w:t>Ultrasonic activation parameters (frequency/device details)</w:t>
            </w:r>
          </w:p>
        </w:tc>
        <w:tc>
          <w:tcPr>
            <w:tcW w:w="1543" w:type="pct"/>
          </w:tcPr>
          <w:p w14:paraId="56A0A01A" w14:textId="5A7CA552" w:rsidR="00762DBC" w:rsidRDefault="001C2D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1-</w:t>
            </w:r>
            <w:r w:rsidR="00377099">
              <w:rPr>
                <w:rFonts w:ascii="Times New Roman" w:hAnsi="Times New Roman"/>
                <w:b w:val="0"/>
                <w:lang w:val="en-GB" w:eastAsia="en-US"/>
              </w:rPr>
              <w:t xml:space="preserve">Corrected </w:t>
            </w:r>
          </w:p>
          <w:p w14:paraId="59BE0B2B" w14:textId="77777777" w:rsidR="001C2DF8" w:rsidRDefault="001C2DF8" w:rsidP="005409AB">
            <w:pPr>
              <w:rPr>
                <w:lang w:val="en-GB"/>
              </w:rPr>
            </w:pPr>
          </w:p>
          <w:p w14:paraId="08276E84" w14:textId="79EB7A41" w:rsidR="005409AB" w:rsidRDefault="005409AB" w:rsidP="005409AB">
            <w:pPr>
              <w:rPr>
                <w:lang w:val="en-GB"/>
              </w:rPr>
            </w:pPr>
            <w:r>
              <w:rPr>
                <w:lang w:val="en-GB"/>
              </w:rPr>
              <w:t>2-</w:t>
            </w:r>
            <w:r w:rsidRPr="005409AB">
              <w:rPr>
                <w:lang w:val="en-GB"/>
              </w:rPr>
              <w:t xml:space="preserve">ue to the extent of the swelling, indicating a spreading odontogenic infection, operative treatment was initially deferred. In line with the Scottish Dental Clinical Effectiveness Programme, antibiotics were prescribed </w:t>
            </w:r>
          </w:p>
          <w:p w14:paraId="2BC9A23E" w14:textId="77777777" w:rsidR="005409AB" w:rsidRDefault="005409AB" w:rsidP="005409AB">
            <w:pPr>
              <w:rPr>
                <w:rFonts w:asciiTheme="majorBidi" w:hAnsiTheme="majorBidi" w:cstheme="majorBidi"/>
                <w:color w:val="0A0A0A"/>
                <w:shd w:val="clear" w:color="auto" w:fill="FFFFFF"/>
              </w:rPr>
            </w:pPr>
            <w:r>
              <w:rPr>
                <w:lang w:val="en-GB"/>
              </w:rPr>
              <w:t xml:space="preserve">3- </w:t>
            </w:r>
            <w:r w:rsidRPr="005409AB">
              <w:rPr>
                <w:rFonts w:asciiTheme="majorBidi" w:hAnsiTheme="majorBidi" w:cstheme="majorBidi"/>
                <w:color w:val="0A0A0A"/>
                <w:shd w:val="clear" w:color="auto" w:fill="FFFFFF"/>
              </w:rPr>
              <w:t>It is difficult to depend solely on an electronic apex locator (EAL) in open apex cases because </w:t>
            </w:r>
            <w:r w:rsidRPr="005409AB">
              <w:rPr>
                <w:rFonts w:asciiTheme="majorBidi" w:hAnsiTheme="majorBidi" w:cstheme="majorBidi"/>
              </w:rPr>
              <w:t>the device relies on a specific electrical impedance contrast at the apical constriction, which is absent in immature or resorbed roots</w:t>
            </w:r>
            <w:r w:rsidRPr="005409AB">
              <w:rPr>
                <w:rFonts w:asciiTheme="majorBidi" w:hAnsiTheme="majorBidi" w:cstheme="majorBidi"/>
                <w:color w:val="0A0A0A"/>
                <w:shd w:val="clear" w:color="auto" w:fill="FFFFFF"/>
              </w:rPr>
              <w:t>.</w:t>
            </w:r>
            <w:r>
              <w:rPr>
                <w:rFonts w:asciiTheme="majorBidi" w:hAnsiTheme="majorBidi" w:cstheme="majorBidi"/>
                <w:color w:val="0A0A0A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Theme="majorBidi" w:hAnsiTheme="majorBidi" w:cstheme="majorBidi"/>
                <w:color w:val="0A0A0A"/>
                <w:shd w:val="clear" w:color="auto" w:fill="FFFFFF"/>
              </w:rPr>
              <w:t>So</w:t>
            </w:r>
            <w:proofErr w:type="gramEnd"/>
            <w:r>
              <w:rPr>
                <w:rFonts w:asciiTheme="majorBidi" w:hAnsiTheme="majorBidi" w:cstheme="majorBidi"/>
                <w:color w:val="0A0A0A"/>
                <w:shd w:val="clear" w:color="auto" w:fill="FFFFFF"/>
              </w:rPr>
              <w:t xml:space="preserve"> we depend on apical radiograph as we mentioned in case presentation part.</w:t>
            </w:r>
          </w:p>
          <w:p w14:paraId="21A29A2C" w14:textId="77777777" w:rsidR="005409AB" w:rsidRPr="005409AB" w:rsidRDefault="005409AB" w:rsidP="005409AB">
            <w:pPr>
              <w:pStyle w:val="CommentText"/>
              <w:rPr>
                <w:rFonts w:asciiTheme="majorBidi" w:hAnsiTheme="majorBidi" w:cstheme="majorBidi"/>
              </w:rPr>
            </w:pPr>
            <w:r w:rsidRPr="005409AB">
              <w:rPr>
                <w:rFonts w:asciiTheme="majorBidi" w:hAnsiTheme="majorBidi" w:cstheme="majorBidi"/>
                <w:lang w:val="en-GB"/>
              </w:rPr>
              <w:t xml:space="preserve">4- </w:t>
            </w:r>
            <w:r w:rsidRPr="005409AB">
              <w:rPr>
                <w:rFonts w:asciiTheme="majorBidi" w:hAnsiTheme="majorBidi" w:cstheme="majorBidi"/>
                <w:color w:val="0A0A0A"/>
                <w:shd w:val="clear" w:color="auto" w:fill="FFFFFF"/>
              </w:rPr>
              <w:t>LA without a vasoconstrictor is recommended to facilitate the necessary apical bleeding.</w:t>
            </w:r>
          </w:p>
          <w:p w14:paraId="496965DC" w14:textId="7C203057" w:rsidR="005409AB" w:rsidRPr="005409AB" w:rsidRDefault="001C2DF8" w:rsidP="005409AB">
            <w:r>
              <w:t>5-Corrected.</w:t>
            </w:r>
          </w:p>
        </w:tc>
      </w:tr>
      <w:tr w:rsidR="00762DBC" w14:paraId="2E7FFA9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4A515D8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C43C1A2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E68263C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2C8FC974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3303225" w14:textId="3DCA3E4B" w:rsidR="00762DBC" w:rsidRDefault="00555E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B008877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11D39E8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EBD905A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57C58E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742B1FA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64B2920B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99A21D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DECFE83" w14:textId="6EC9DCBD" w:rsidR="00762DBC" w:rsidRDefault="00555E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Patient consent not mentioned?</w:t>
            </w:r>
          </w:p>
        </w:tc>
        <w:tc>
          <w:tcPr>
            <w:tcW w:w="1543" w:type="pct"/>
          </w:tcPr>
          <w:p w14:paraId="37ECC879" w14:textId="36B51C9E" w:rsidR="00762DBC" w:rsidRDefault="001C2D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 line 96.</w:t>
            </w:r>
          </w:p>
        </w:tc>
      </w:tr>
    </w:tbl>
    <w:p w14:paraId="7E7663D5" w14:textId="77777777" w:rsidR="00762DBC" w:rsidRDefault="00762DB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762DB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420E2" w14:textId="77777777" w:rsidR="00C40E6C" w:rsidRDefault="00C40E6C">
      <w:r>
        <w:separator/>
      </w:r>
    </w:p>
  </w:endnote>
  <w:endnote w:type="continuationSeparator" w:id="0">
    <w:p w14:paraId="04C6A0FD" w14:textId="77777777" w:rsidR="00C40E6C" w:rsidRDefault="00C4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135ED" w14:textId="77777777" w:rsidR="00762DBC" w:rsidRDefault="00762DBC">
    <w:pPr>
      <w:pStyle w:val="Footer"/>
      <w:jc w:val="right"/>
    </w:pPr>
  </w:p>
  <w:p w14:paraId="7B9E8994" w14:textId="50BBA806" w:rsidR="00762DBC" w:rsidRDefault="005E251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222E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222E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C10F3B9" w14:textId="77777777" w:rsidR="00762DBC" w:rsidRDefault="005E25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162A48D" w14:textId="77777777" w:rsidR="00762DBC" w:rsidRDefault="00762DBC">
    <w:pPr>
      <w:pStyle w:val="Footer"/>
      <w:jc w:val="right"/>
    </w:pPr>
  </w:p>
  <w:p w14:paraId="404F6C5F" w14:textId="77777777" w:rsidR="00762DBC" w:rsidRDefault="00762D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68C87" w14:textId="77777777" w:rsidR="00C40E6C" w:rsidRDefault="00C40E6C">
      <w:r>
        <w:separator/>
      </w:r>
    </w:p>
  </w:footnote>
  <w:footnote w:type="continuationSeparator" w:id="0">
    <w:p w14:paraId="33AFF18D" w14:textId="77777777" w:rsidR="00C40E6C" w:rsidRDefault="00C40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20C48" w14:textId="77777777" w:rsidR="00762DBC" w:rsidRDefault="00762D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2E1C2A" w14:textId="77777777" w:rsidR="00762DBC" w:rsidRDefault="005E251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1152E"/>
    <w:multiLevelType w:val="hybridMultilevel"/>
    <w:tmpl w:val="6568B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88318106">
    <w:abstractNumId w:val="4"/>
  </w:num>
  <w:num w:numId="2" w16cid:durableId="293870620">
    <w:abstractNumId w:val="8"/>
  </w:num>
  <w:num w:numId="3" w16cid:durableId="464933032">
    <w:abstractNumId w:val="7"/>
  </w:num>
  <w:num w:numId="4" w16cid:durableId="598755850">
    <w:abstractNumId w:val="9"/>
  </w:num>
  <w:num w:numId="5" w16cid:durableId="1051882604">
    <w:abstractNumId w:val="6"/>
  </w:num>
  <w:num w:numId="6" w16cid:durableId="865993979">
    <w:abstractNumId w:val="0"/>
  </w:num>
  <w:num w:numId="7" w16cid:durableId="1881089893">
    <w:abstractNumId w:val="3"/>
  </w:num>
  <w:num w:numId="8" w16cid:durableId="1776748779">
    <w:abstractNumId w:val="12"/>
  </w:num>
  <w:num w:numId="9" w16cid:durableId="1804614969">
    <w:abstractNumId w:val="11"/>
  </w:num>
  <w:num w:numId="10" w16cid:durableId="173694186">
    <w:abstractNumId w:val="2"/>
  </w:num>
  <w:num w:numId="11" w16cid:durableId="2106925190">
    <w:abstractNumId w:val="1"/>
  </w:num>
  <w:num w:numId="12" w16cid:durableId="1335035682">
    <w:abstractNumId w:val="5"/>
  </w:num>
  <w:num w:numId="13" w16cid:durableId="13576108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DBC"/>
    <w:rsid w:val="00027289"/>
    <w:rsid w:val="001C2DF8"/>
    <w:rsid w:val="00273EB3"/>
    <w:rsid w:val="003232B0"/>
    <w:rsid w:val="00376F72"/>
    <w:rsid w:val="00377099"/>
    <w:rsid w:val="00486D8D"/>
    <w:rsid w:val="005409AB"/>
    <w:rsid w:val="00555ECD"/>
    <w:rsid w:val="005D1F70"/>
    <w:rsid w:val="005E251B"/>
    <w:rsid w:val="006B3C1E"/>
    <w:rsid w:val="0075092C"/>
    <w:rsid w:val="00762DBC"/>
    <w:rsid w:val="007B46B1"/>
    <w:rsid w:val="00971E92"/>
    <w:rsid w:val="00A01BEA"/>
    <w:rsid w:val="00A222E1"/>
    <w:rsid w:val="00A877D4"/>
    <w:rsid w:val="00B8269F"/>
    <w:rsid w:val="00C40E6C"/>
    <w:rsid w:val="00C915A8"/>
    <w:rsid w:val="00D90D7A"/>
    <w:rsid w:val="00E17A39"/>
    <w:rsid w:val="00E362BE"/>
    <w:rsid w:val="00F6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07502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5409AB"/>
    <w:pPr>
      <w:spacing w:after="160"/>
    </w:pPr>
    <w:rPr>
      <w:rFonts w:ascii="Calibri" w:eastAsia="Calibri" w:hAnsi="Calibri" w:cs="Arial"/>
      <w:kern w:val="2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09AB"/>
    <w:rPr>
      <w:rFonts w:cs="Arial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nirvana Mansour</cp:lastModifiedBy>
  <cp:revision>2</cp:revision>
  <dcterms:created xsi:type="dcterms:W3CDTF">2026-04-15T21:10:00Z</dcterms:created>
  <dcterms:modified xsi:type="dcterms:W3CDTF">2026-04-15T21:10:00Z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