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31528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jc w:val="center"/>
        </w:trPr>
        <w:tc>
          <w:tcPr>
            <w:tcW w:w="1186" w:type="pct"/>
          </w:tcPr>
          <w:p w14:paraId="6AAF2955">
            <w:pPr>
              <w:pStyle w:val="4"/>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E385530">
            <w:pPr>
              <w:rPr>
                <w:rFonts w:ascii="Arial" w:hAnsi="Arial" w:cs="Arial"/>
                <w:bCs/>
                <w:color w:val="0000FF"/>
                <w:sz w:val="20"/>
                <w:szCs w:val="20"/>
              </w:rPr>
            </w:pPr>
            <w:r>
              <w:fldChar w:fldCharType="begin"/>
            </w:r>
            <w:r>
              <w:instrText xml:space="preserve"> HYPERLINK "https://r1.reviewerhub.org/arja/journal" </w:instrText>
            </w:r>
            <w:r>
              <w:fldChar w:fldCharType="separate"/>
            </w:r>
            <w:r>
              <w:rPr>
                <w:rFonts w:ascii="Arial" w:hAnsi="Arial" w:cs="Arial"/>
                <w:bCs/>
                <w:color w:val="0000FF"/>
                <w:sz w:val="20"/>
                <w:szCs w:val="20"/>
                <w:u w:val="single"/>
              </w:rPr>
              <w:t xml:space="preserve">Asian Research Journal of Agriculture </w:t>
            </w:r>
            <w:r>
              <w:rPr>
                <w:rFonts w:ascii="Arial" w:hAnsi="Arial" w:cs="Arial"/>
                <w:bCs/>
                <w:color w:val="0000FF"/>
                <w:sz w:val="20"/>
                <w:szCs w:val="20"/>
                <w:u w:val="single"/>
              </w:rPr>
              <w:fldChar w:fldCharType="end"/>
            </w:r>
          </w:p>
        </w:tc>
      </w:tr>
      <w:tr w14:paraId="2763F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29D58FF">
            <w:pPr>
              <w:pStyle w:val="4"/>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D9498C8">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Ms_ARJA_158381</w:t>
            </w:r>
          </w:p>
        </w:tc>
      </w:tr>
      <w:tr w14:paraId="393FA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9C37D5E">
            <w:pPr>
              <w:pStyle w:val="4"/>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A8239D1">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Regional Disparities in the Level of Rural Industrial Revitalization in Jiangsu Province</w:t>
            </w:r>
          </w:p>
        </w:tc>
      </w:tr>
      <w:tr w14:paraId="4B03B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04B0596">
            <w:pPr>
              <w:pStyle w:val="4"/>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EAD1E58">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5D43C7C">
            <w:pPr>
              <w:pStyle w:val="7"/>
              <w:spacing w:before="0" w:beforeAutospacing="0" w:after="0" w:afterAutospacing="0"/>
              <w:rPr>
                <w:rFonts w:ascii="Times New Roman" w:hAnsi="Times New Roman" w:cs="Times New Roman"/>
                <w:b/>
                <w:sz w:val="20"/>
                <w:szCs w:val="20"/>
                <w:lang w:val="en-GB"/>
              </w:rPr>
            </w:pPr>
          </w:p>
        </w:tc>
      </w:tr>
    </w:tbl>
    <w:p w14:paraId="445B223D">
      <w:pPr>
        <w:pStyle w:val="4"/>
        <w:rPr>
          <w:rFonts w:ascii="Times New Roman" w:hAnsi="Times New Roman"/>
          <w:i/>
          <w:sz w:val="20"/>
          <w:szCs w:val="20"/>
          <w:u w:val="single"/>
          <w:lang w:val="en-GB"/>
        </w:rPr>
      </w:pPr>
    </w:p>
    <w:p w14:paraId="2790F056">
      <w:pPr>
        <w:jc w:val="both"/>
        <w:rPr>
          <w:rFonts w:eastAsia="MS Mincho"/>
          <w:sz w:val="20"/>
          <w:szCs w:val="20"/>
          <w:lang w:val="en-GB"/>
        </w:rPr>
      </w:pPr>
    </w:p>
    <w:p w14:paraId="1D7FEE2B">
      <w:pPr>
        <w:jc w:val="both"/>
        <w:rPr>
          <w:rFonts w:eastAsia="MS Mincho"/>
          <w:sz w:val="20"/>
          <w:szCs w:val="20"/>
          <w:lang w:val="en-GB"/>
        </w:rPr>
      </w:pPr>
    </w:p>
    <w:p w14:paraId="2608E7E6">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713606DC">
      <w:pPr>
        <w:ind w:left="1440"/>
        <w:jc w:val="both"/>
        <w:rPr>
          <w:rFonts w:eastAsia="MS Mincho"/>
          <w:bCs/>
          <w:sz w:val="20"/>
          <w:szCs w:val="20"/>
          <w:lang w:val="en-GB"/>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1A13D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0EFEA11">
            <w:pPr>
              <w:keepNext/>
              <w:outlineLvl w:val="1"/>
              <w:rPr>
                <w:rFonts w:eastAsia="MS Mincho"/>
                <w:b/>
                <w:bCs/>
                <w:sz w:val="20"/>
                <w:szCs w:val="20"/>
                <w:lang w:val="en-GB"/>
              </w:rPr>
            </w:pPr>
          </w:p>
        </w:tc>
        <w:tc>
          <w:tcPr>
            <w:tcW w:w="1667" w:type="pct"/>
          </w:tcPr>
          <w:p w14:paraId="1C433C2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0ADF90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B43B9B">
            <w:pPr>
              <w:keepNext/>
              <w:outlineLvl w:val="1"/>
              <w:rPr>
                <w:rFonts w:eastAsia="MS Mincho"/>
                <w:bCs/>
                <w:sz w:val="20"/>
                <w:szCs w:val="20"/>
                <w:lang w:val="en-GB"/>
              </w:rPr>
            </w:pPr>
          </w:p>
        </w:tc>
      </w:tr>
      <w:tr w14:paraId="54304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C939DB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991F315">
            <w:pPr>
              <w:rPr>
                <w:rFonts w:eastAsia="MS Mincho"/>
                <w:bCs/>
                <w:sz w:val="20"/>
                <w:szCs w:val="20"/>
                <w:lang w:val="en-GB"/>
              </w:rPr>
            </w:pPr>
            <w:r>
              <w:rPr>
                <w:bCs/>
                <w:sz w:val="20"/>
                <w:szCs w:val="20"/>
                <w:lang w:val="en-GB"/>
              </w:rPr>
              <w:t>be required for this part.</w:t>
            </w:r>
          </w:p>
        </w:tc>
        <w:tc>
          <w:tcPr>
            <w:tcW w:w="1667" w:type="pct"/>
          </w:tcPr>
          <w:p w14:paraId="5B856641">
            <w:pPr>
              <w:contextualSpacing/>
              <w:jc w:val="both"/>
              <w:rPr>
                <w:b/>
                <w:bCs/>
                <w:sz w:val="20"/>
                <w:szCs w:val="20"/>
                <w:lang w:val="en-GB"/>
              </w:rPr>
            </w:pPr>
            <w:r>
              <w:rPr>
                <w:bCs/>
                <w:sz w:val="20"/>
                <w:szCs w:val="20"/>
                <w:lang w:val="en-GB"/>
              </w:rPr>
              <w:t>There is a disparity in the degree of revitalization of rural industries due to variations in accessibility to infrastructure facilities, capital availability, technological know-how, and skillful workers. In advanced regions, there is higher investment, and modern techniques are adopted easily, whereas backward regions suffer from bad communication facilities and resource deficiencies, resulting in disparities in employment and income distribution</w:t>
            </w:r>
            <w:r>
              <w:rPr>
                <w:b/>
                <w:bCs/>
                <w:sz w:val="20"/>
                <w:szCs w:val="20"/>
                <w:lang w:val="en-GB"/>
              </w:rPr>
              <w:t>.</w:t>
            </w:r>
          </w:p>
        </w:tc>
        <w:tc>
          <w:tcPr>
            <w:tcW w:w="1667" w:type="pct"/>
          </w:tcPr>
          <w:p w14:paraId="45524CCF">
            <w:pPr>
              <w:keepNext/>
              <w:outlineLvl w:val="1"/>
              <w:rPr>
                <w:rFonts w:eastAsia="MS Mincho"/>
                <w:bCs/>
                <w:sz w:val="20"/>
                <w:szCs w:val="20"/>
                <w:lang w:val="en-GB"/>
              </w:rPr>
            </w:pPr>
            <w:r>
              <w:rPr>
                <w:rFonts w:hint="eastAsia" w:eastAsia="MS Mincho"/>
                <w:bCs/>
                <w:sz w:val="20"/>
                <w:szCs w:val="20"/>
                <w:lang w:val="en-GB"/>
              </w:rPr>
              <w:t>Thank you for this insightful comment. We fully agree that infrastructure, capital, technology, and human capital are key drivers of uneven rural industrial development. Our study explicitly addresses these dimensions through a multidimensional evaluation framework (agricultural competitiveness, green support capacity, livelihood prosperity) and provides empirical evidence to inform targeted policy interventions for reducing regional disparities.</w:t>
            </w:r>
          </w:p>
        </w:tc>
      </w:tr>
    </w:tbl>
    <w:p w14:paraId="099976F6">
      <w:pPr>
        <w:rPr>
          <w:sz w:val="20"/>
          <w:szCs w:val="20"/>
          <w:lang w:val="en-GB"/>
        </w:rPr>
      </w:pPr>
    </w:p>
    <w:p w14:paraId="7FBEA289">
      <w:pPr>
        <w:rPr>
          <w:sz w:val="20"/>
          <w:szCs w:val="20"/>
          <w:lang w:val="en-GB"/>
        </w:rPr>
      </w:pPr>
    </w:p>
    <w:p w14:paraId="2946794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74370B4">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4B62E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43E0B1D">
            <w:pPr>
              <w:keepNext/>
              <w:outlineLvl w:val="1"/>
              <w:rPr>
                <w:rFonts w:eastAsia="MS Mincho"/>
                <w:b/>
                <w:bCs/>
                <w:sz w:val="20"/>
                <w:szCs w:val="20"/>
                <w:lang w:val="en-GB"/>
              </w:rPr>
            </w:pPr>
          </w:p>
        </w:tc>
        <w:tc>
          <w:tcPr>
            <w:tcW w:w="1667" w:type="pct"/>
          </w:tcPr>
          <w:p w14:paraId="1C75233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E3DB3E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69F9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274EE74">
            <w:pPr>
              <w:rPr>
                <w:b/>
                <w:bCs/>
                <w:sz w:val="20"/>
                <w:szCs w:val="20"/>
                <w:lang w:val="en-GB"/>
              </w:rPr>
            </w:pPr>
            <w:r>
              <w:rPr>
                <w:b/>
                <w:bCs/>
                <w:sz w:val="20"/>
                <w:szCs w:val="20"/>
                <w:lang w:val="en-GB"/>
              </w:rPr>
              <w:t xml:space="preserve">1. Is the title clear and appropriate for the study? </w:t>
            </w:r>
          </w:p>
          <w:p w14:paraId="3E9E3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D7FD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21B46F">
            <w:pPr>
              <w:rPr>
                <w:b/>
                <w:bCs/>
                <w:sz w:val="20"/>
                <w:szCs w:val="20"/>
                <w:lang w:val="en-GB"/>
              </w:rPr>
            </w:pPr>
            <w:r>
              <w:rPr>
                <w:b/>
                <w:bCs/>
                <w:sz w:val="20"/>
                <w:szCs w:val="20"/>
                <w:lang w:val="en-GB"/>
              </w:rPr>
              <w:t>4</w:t>
            </w:r>
          </w:p>
        </w:tc>
        <w:tc>
          <w:tcPr>
            <w:tcW w:w="1667" w:type="pct"/>
          </w:tcPr>
          <w:p w14:paraId="04E00959">
            <w:pPr>
              <w:keepNext/>
              <w:outlineLvl w:val="1"/>
              <w:rPr>
                <w:rFonts w:eastAsia="MS Mincho"/>
                <w:bCs/>
                <w:sz w:val="20"/>
                <w:szCs w:val="20"/>
                <w:lang w:val="en-GB"/>
              </w:rPr>
            </w:pPr>
            <w:r>
              <w:rPr>
                <w:rFonts w:hint="eastAsia" w:eastAsia="MS Mincho"/>
                <w:bCs/>
                <w:sz w:val="20"/>
                <w:szCs w:val="20"/>
                <w:lang w:val="en-GB"/>
              </w:rPr>
              <w:t>Thank you for the positive assessment. The title accurately reflects the study's focus on regional disparities in rural industrial revitalization in Jiangsu Province and remains unchanged.</w:t>
            </w:r>
          </w:p>
        </w:tc>
      </w:tr>
      <w:tr w14:paraId="3F7F5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D38E29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944E6E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C78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BD6AB7">
            <w:pPr>
              <w:rPr>
                <w:b/>
                <w:bCs/>
                <w:sz w:val="20"/>
                <w:szCs w:val="20"/>
                <w:lang w:val="en-GB"/>
              </w:rPr>
            </w:pPr>
            <w:r>
              <w:rPr>
                <w:b/>
                <w:bCs/>
                <w:sz w:val="20"/>
                <w:szCs w:val="20"/>
                <w:lang w:val="en-GB"/>
              </w:rPr>
              <w:t>4</w:t>
            </w:r>
          </w:p>
        </w:tc>
        <w:tc>
          <w:tcPr>
            <w:tcW w:w="1667" w:type="pct"/>
          </w:tcPr>
          <w:p w14:paraId="2D6A5039">
            <w:pPr>
              <w:keepNext/>
              <w:outlineLvl w:val="1"/>
              <w:rPr>
                <w:rFonts w:eastAsia="MS Mincho"/>
                <w:bCs/>
                <w:sz w:val="20"/>
                <w:szCs w:val="20"/>
                <w:lang w:val="en-GB"/>
              </w:rPr>
            </w:pPr>
            <w:r>
              <w:rPr>
                <w:rFonts w:hint="eastAsia" w:eastAsia="MS Mincho"/>
                <w:bCs/>
                <w:sz w:val="20"/>
                <w:szCs w:val="20"/>
                <w:lang w:val="en-GB"/>
              </w:rPr>
              <w:t>Thank you. The abstract has been refined for clarity and now explicitly states policy implications in the Conclusion paragraph.</w:t>
            </w:r>
          </w:p>
        </w:tc>
      </w:tr>
      <w:tr w14:paraId="19D28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9079F66">
            <w:pPr>
              <w:keepNext/>
              <w:outlineLvl w:val="1"/>
              <w:rPr>
                <w:rFonts w:eastAsia="MS Mincho"/>
                <w:b/>
                <w:bCs/>
                <w:sz w:val="20"/>
                <w:szCs w:val="20"/>
                <w:lang w:val="en-GB"/>
              </w:rPr>
            </w:pPr>
            <w:r>
              <w:rPr>
                <w:rFonts w:eastAsia="MS Mincho"/>
                <w:b/>
                <w:bCs/>
                <w:sz w:val="20"/>
                <w:szCs w:val="20"/>
                <w:lang w:val="en-GB"/>
              </w:rPr>
              <w:t>3. Are the keywords appropriate and useful?</w:t>
            </w:r>
          </w:p>
          <w:p w14:paraId="2B2063B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536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F7A829">
            <w:pPr>
              <w:rPr>
                <w:b/>
                <w:bCs/>
                <w:sz w:val="20"/>
                <w:szCs w:val="20"/>
                <w:lang w:val="en-GB"/>
              </w:rPr>
            </w:pPr>
            <w:r>
              <w:rPr>
                <w:b/>
                <w:bCs/>
                <w:sz w:val="20"/>
                <w:szCs w:val="20"/>
                <w:lang w:val="en-GB"/>
              </w:rPr>
              <w:t>3</w:t>
            </w:r>
          </w:p>
        </w:tc>
        <w:tc>
          <w:tcPr>
            <w:tcW w:w="1667" w:type="pct"/>
          </w:tcPr>
          <w:p w14:paraId="18408552">
            <w:pPr>
              <w:keepNext/>
              <w:outlineLvl w:val="1"/>
              <w:rPr>
                <w:rFonts w:eastAsia="MS Mincho"/>
                <w:bCs/>
                <w:sz w:val="20"/>
                <w:szCs w:val="20"/>
                <w:lang w:val="en-GB"/>
              </w:rPr>
            </w:pPr>
            <w:r>
              <w:rPr>
                <w:rFonts w:hint="eastAsia" w:eastAsia="MS Mincho"/>
                <w:bCs/>
                <w:sz w:val="20"/>
                <w:szCs w:val="20"/>
                <w:lang w:val="en-GB"/>
              </w:rPr>
              <w:t>Thank you for the feedback.  Keywords unchanged.</w:t>
            </w:r>
          </w:p>
        </w:tc>
      </w:tr>
      <w:tr w14:paraId="113A7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7774A68">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775D24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B8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2BE3F0">
            <w:pPr>
              <w:rPr>
                <w:b/>
                <w:bCs/>
                <w:sz w:val="20"/>
                <w:szCs w:val="20"/>
                <w:lang w:val="en-GB"/>
              </w:rPr>
            </w:pPr>
            <w:r>
              <w:rPr>
                <w:b/>
                <w:bCs/>
                <w:sz w:val="20"/>
                <w:szCs w:val="20"/>
                <w:lang w:val="en-GB"/>
              </w:rPr>
              <w:t>3</w:t>
            </w:r>
          </w:p>
        </w:tc>
        <w:tc>
          <w:tcPr>
            <w:tcW w:w="1667" w:type="pct"/>
          </w:tcPr>
          <w:p w14:paraId="38106FC5">
            <w:pPr>
              <w:keepNext/>
              <w:outlineLvl w:val="1"/>
              <w:rPr>
                <w:rFonts w:eastAsia="MS Mincho"/>
                <w:bCs/>
                <w:sz w:val="20"/>
                <w:szCs w:val="20"/>
                <w:lang w:val="en-GB"/>
              </w:rPr>
            </w:pPr>
            <w:r>
              <w:rPr>
                <w:rFonts w:eastAsia="MS Mincho"/>
                <w:bCs/>
                <w:sz w:val="20"/>
                <w:szCs w:val="20"/>
                <w:lang w:val="en-GB"/>
              </w:rPr>
              <w:t>Thank you. Background section unchanged</w:t>
            </w:r>
            <w:r>
              <w:rPr>
                <w:rFonts w:hint="eastAsia" w:eastAsia="宋体"/>
                <w:bCs/>
                <w:sz w:val="20"/>
                <w:szCs w:val="20"/>
                <w:lang w:val="en-US" w:eastAsia="zh-CN"/>
              </w:rPr>
              <w:t>.</w:t>
            </w:r>
          </w:p>
        </w:tc>
      </w:tr>
      <w:tr w14:paraId="0360B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8DFEF94">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17350D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8DF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05AFBC">
            <w:pPr>
              <w:rPr>
                <w:b/>
                <w:bCs/>
                <w:sz w:val="20"/>
                <w:szCs w:val="20"/>
                <w:lang w:val="en-GB"/>
              </w:rPr>
            </w:pPr>
            <w:r>
              <w:rPr>
                <w:b/>
                <w:bCs/>
                <w:sz w:val="20"/>
                <w:szCs w:val="20"/>
                <w:lang w:val="en-GB"/>
              </w:rPr>
              <w:t>2</w:t>
            </w:r>
          </w:p>
        </w:tc>
        <w:tc>
          <w:tcPr>
            <w:tcW w:w="1667" w:type="pct"/>
          </w:tcPr>
          <w:p w14:paraId="5FB696FC">
            <w:pPr>
              <w:keepNext/>
              <w:outlineLvl w:val="1"/>
              <w:rPr>
                <w:rFonts w:hint="eastAsia" w:eastAsia="宋体"/>
                <w:bCs/>
                <w:sz w:val="20"/>
                <w:szCs w:val="20"/>
                <w:lang w:val="en-US" w:eastAsia="zh-CN"/>
              </w:rPr>
            </w:pPr>
            <w:r>
              <w:rPr>
                <w:rFonts w:hint="eastAsia" w:eastAsia="MS Mincho"/>
                <w:bCs/>
                <w:sz w:val="20"/>
                <w:szCs w:val="20"/>
                <w:lang w:val="en-GB"/>
              </w:rPr>
              <w:t>We sincerely appreciate this critical comment. The research objectives are now explicitly stated in both the Abstract and Introduction</w:t>
            </w:r>
            <w:r>
              <w:rPr>
                <w:rFonts w:hint="eastAsia" w:eastAsia="宋体"/>
                <w:bCs/>
                <w:sz w:val="20"/>
                <w:szCs w:val="20"/>
                <w:lang w:val="en-US" w:eastAsia="zh-CN"/>
              </w:rPr>
              <w:t>.</w:t>
            </w:r>
          </w:p>
        </w:tc>
      </w:tr>
      <w:tr w14:paraId="25A47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332B5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24A8FA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1C2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0F26E4">
            <w:pPr>
              <w:rPr>
                <w:b/>
                <w:bCs/>
                <w:sz w:val="20"/>
                <w:szCs w:val="20"/>
                <w:lang w:val="en-GB"/>
              </w:rPr>
            </w:pPr>
            <w:r>
              <w:rPr>
                <w:b/>
                <w:bCs/>
                <w:sz w:val="20"/>
                <w:szCs w:val="20"/>
                <w:lang w:val="en-GB"/>
              </w:rPr>
              <w:t>2</w:t>
            </w:r>
          </w:p>
        </w:tc>
        <w:tc>
          <w:tcPr>
            <w:tcW w:w="1667" w:type="pct"/>
          </w:tcPr>
          <w:p w14:paraId="2DB0B2DC">
            <w:pPr>
              <w:keepNext/>
              <w:outlineLvl w:val="1"/>
              <w:rPr>
                <w:rFonts w:eastAsia="MS Mincho"/>
                <w:bCs/>
                <w:sz w:val="20"/>
                <w:szCs w:val="20"/>
                <w:lang w:val="en-GB"/>
              </w:rPr>
            </w:pPr>
            <w:r>
              <w:rPr>
                <w:rFonts w:eastAsia="MS Mincho"/>
                <w:bCs/>
                <w:sz w:val="20"/>
                <w:szCs w:val="20"/>
                <w:lang w:val="en-GB"/>
              </w:rPr>
              <w:t xml:space="preserve">We have substantially revised the literature review. It now includes 9 recent references (2024–2025) and is structured into three clear themes (conceptual, methodological, empirical). All references are real and retrievable. </w:t>
            </w:r>
          </w:p>
        </w:tc>
      </w:tr>
      <w:tr w14:paraId="31AA9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150F639">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738368E">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A35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055B42">
            <w:pPr>
              <w:rPr>
                <w:b/>
                <w:bCs/>
                <w:sz w:val="20"/>
                <w:szCs w:val="20"/>
                <w:lang w:val="en-GB"/>
              </w:rPr>
            </w:pPr>
            <w:r>
              <w:rPr>
                <w:b/>
                <w:bCs/>
                <w:sz w:val="20"/>
                <w:szCs w:val="20"/>
                <w:lang w:val="en-GB"/>
              </w:rPr>
              <w:t>4</w:t>
            </w:r>
          </w:p>
        </w:tc>
        <w:tc>
          <w:tcPr>
            <w:tcW w:w="1667" w:type="pct"/>
          </w:tcPr>
          <w:p w14:paraId="2A8DE5F1">
            <w:pPr>
              <w:keepNext/>
              <w:outlineLvl w:val="1"/>
              <w:rPr>
                <w:rFonts w:eastAsia="MS Mincho"/>
                <w:bCs/>
                <w:sz w:val="20"/>
                <w:szCs w:val="20"/>
                <w:lang w:val="en-GB"/>
              </w:rPr>
            </w:pPr>
            <w:r>
              <w:rPr>
                <w:rFonts w:hint="eastAsia" w:eastAsia="MS Mincho"/>
                <w:bCs/>
                <w:sz w:val="20"/>
                <w:szCs w:val="20"/>
                <w:lang w:val="en-GB"/>
              </w:rPr>
              <w:t>Thank you. Methodology unchanged.</w:t>
            </w:r>
          </w:p>
        </w:tc>
      </w:tr>
      <w:tr w14:paraId="4FC13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C9537AB">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5ED8F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576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FA4070">
            <w:pPr>
              <w:rPr>
                <w:b/>
                <w:bCs/>
                <w:sz w:val="20"/>
                <w:szCs w:val="20"/>
                <w:lang w:val="en-GB"/>
              </w:rPr>
            </w:pPr>
            <w:r>
              <w:rPr>
                <w:b/>
                <w:bCs/>
                <w:sz w:val="20"/>
                <w:szCs w:val="20"/>
                <w:lang w:val="en-GB"/>
              </w:rPr>
              <w:t>3</w:t>
            </w:r>
          </w:p>
        </w:tc>
        <w:tc>
          <w:tcPr>
            <w:tcW w:w="1667" w:type="pct"/>
          </w:tcPr>
          <w:p w14:paraId="6BFAF419">
            <w:pPr>
              <w:keepNext/>
              <w:outlineLvl w:val="1"/>
              <w:rPr>
                <w:rFonts w:eastAsia="MS Mincho"/>
                <w:bCs/>
                <w:sz w:val="20"/>
                <w:szCs w:val="20"/>
                <w:lang w:val="en-GB"/>
              </w:rPr>
            </w:pPr>
            <w:r>
              <w:rPr>
                <w:rFonts w:hint="eastAsia" w:eastAsia="MS Mincho"/>
                <w:bCs/>
                <w:sz w:val="20"/>
                <w:szCs w:val="20"/>
                <w:lang w:val="en-GB"/>
              </w:rPr>
              <w:t xml:space="preserve">No ethical issues apply. </w:t>
            </w:r>
          </w:p>
        </w:tc>
      </w:tr>
      <w:tr w14:paraId="5EF60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BACE1C">
            <w:pPr>
              <w:rPr>
                <w:b/>
                <w:sz w:val="20"/>
                <w:szCs w:val="20"/>
                <w:lang w:val="en-GB"/>
              </w:rPr>
            </w:pPr>
            <w:r>
              <w:rPr>
                <w:b/>
                <w:sz w:val="20"/>
                <w:szCs w:val="20"/>
                <w:lang w:val="en-GB"/>
              </w:rPr>
              <w:t xml:space="preserve">9. Are the results presented clearly? </w:t>
            </w:r>
          </w:p>
          <w:p w14:paraId="424C02C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C193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004AAB">
            <w:pPr>
              <w:contextualSpacing/>
              <w:rPr>
                <w:bCs/>
                <w:sz w:val="20"/>
                <w:szCs w:val="20"/>
                <w:lang w:val="en-GB"/>
              </w:rPr>
            </w:pPr>
            <w:r>
              <w:rPr>
                <w:bCs/>
                <w:sz w:val="20"/>
                <w:szCs w:val="20"/>
                <w:lang w:val="en-GB"/>
              </w:rPr>
              <w:t>3</w:t>
            </w:r>
          </w:p>
        </w:tc>
        <w:tc>
          <w:tcPr>
            <w:tcW w:w="1667" w:type="pct"/>
          </w:tcPr>
          <w:p w14:paraId="334A616A">
            <w:pPr>
              <w:keepNext/>
              <w:outlineLvl w:val="1"/>
              <w:rPr>
                <w:rFonts w:hint="eastAsia" w:eastAsia="宋体"/>
                <w:bCs/>
                <w:sz w:val="20"/>
                <w:szCs w:val="20"/>
                <w:lang w:val="en-US" w:eastAsia="zh-CN"/>
              </w:rPr>
            </w:pPr>
            <w:r>
              <w:rPr>
                <w:rFonts w:hint="eastAsia" w:eastAsia="MS Mincho"/>
                <w:bCs/>
                <w:sz w:val="20"/>
                <w:szCs w:val="20"/>
                <w:lang w:val="en-GB"/>
              </w:rPr>
              <w:t xml:space="preserve"> Thank you. Results unchanged</w:t>
            </w:r>
            <w:r>
              <w:rPr>
                <w:rFonts w:hint="eastAsia" w:eastAsia="宋体"/>
                <w:bCs/>
                <w:sz w:val="20"/>
                <w:szCs w:val="20"/>
                <w:lang w:val="en-US" w:eastAsia="zh-CN"/>
              </w:rPr>
              <w:t>.</w:t>
            </w:r>
          </w:p>
        </w:tc>
      </w:tr>
      <w:tr w14:paraId="1FF0A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5B980A5">
            <w:pPr>
              <w:rPr>
                <w:b/>
                <w:sz w:val="20"/>
                <w:szCs w:val="20"/>
                <w:lang w:val="en-GB"/>
              </w:rPr>
            </w:pPr>
            <w:r>
              <w:rPr>
                <w:b/>
                <w:sz w:val="20"/>
                <w:szCs w:val="20"/>
                <w:lang w:val="en-GB"/>
              </w:rPr>
              <w:t>10. Are tables and figures clear, relevant, and necessary?</w:t>
            </w:r>
          </w:p>
          <w:p w14:paraId="5CBB94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E662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B1ACBA0">
            <w:pPr>
              <w:rPr>
                <w:color w:val="404040"/>
                <w:sz w:val="20"/>
                <w:szCs w:val="20"/>
                <w:shd w:val="clear" w:color="auto" w:fill="FFFFFF"/>
                <w:lang w:val="en-GB"/>
              </w:rPr>
            </w:pPr>
          </w:p>
          <w:p w14:paraId="19BAA6F5">
            <w:pPr>
              <w:rPr>
                <w:sz w:val="20"/>
                <w:szCs w:val="20"/>
                <w:lang w:val="en-GB"/>
              </w:rPr>
            </w:pPr>
          </w:p>
        </w:tc>
        <w:tc>
          <w:tcPr>
            <w:tcW w:w="1667" w:type="pct"/>
          </w:tcPr>
          <w:p w14:paraId="0737F428">
            <w:pPr>
              <w:contextualSpacing/>
              <w:rPr>
                <w:bCs/>
                <w:sz w:val="20"/>
                <w:szCs w:val="20"/>
                <w:lang w:val="en-GB"/>
              </w:rPr>
            </w:pPr>
            <w:r>
              <w:rPr>
                <w:bCs/>
                <w:sz w:val="20"/>
                <w:szCs w:val="20"/>
                <w:lang w:val="en-GB"/>
              </w:rPr>
              <w:t>3</w:t>
            </w:r>
          </w:p>
        </w:tc>
        <w:tc>
          <w:tcPr>
            <w:tcW w:w="1667" w:type="pct"/>
          </w:tcPr>
          <w:p w14:paraId="26F8566B">
            <w:pPr>
              <w:keepNext/>
              <w:outlineLvl w:val="1"/>
              <w:rPr>
                <w:rFonts w:eastAsia="MS Mincho"/>
                <w:bCs/>
                <w:sz w:val="20"/>
                <w:szCs w:val="20"/>
                <w:lang w:val="en-GB"/>
              </w:rPr>
            </w:pPr>
            <w:r>
              <w:rPr>
                <w:rFonts w:hint="eastAsia" w:eastAsia="MS Mincho"/>
                <w:bCs/>
                <w:sz w:val="20"/>
                <w:szCs w:val="20"/>
                <w:lang w:val="en-GB"/>
              </w:rPr>
              <w:t>Thank you.</w:t>
            </w:r>
            <w:r>
              <w:rPr>
                <w:rFonts w:eastAsia="MS Mincho"/>
                <w:bCs/>
                <w:sz w:val="20"/>
                <w:szCs w:val="20"/>
                <w:lang w:val="en-GB"/>
              </w:rPr>
              <w:t>Tables and figures unchanged.</w:t>
            </w:r>
          </w:p>
        </w:tc>
      </w:tr>
      <w:tr w14:paraId="584E8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C1BA2B7">
            <w:pPr>
              <w:rPr>
                <w:b/>
                <w:sz w:val="20"/>
                <w:szCs w:val="20"/>
                <w:lang w:val="en-GB"/>
              </w:rPr>
            </w:pPr>
            <w:r>
              <w:rPr>
                <w:b/>
                <w:sz w:val="20"/>
                <w:szCs w:val="20"/>
                <w:lang w:val="en-GB"/>
              </w:rPr>
              <w:t>11. Does the discussion relate findings to existing literature?</w:t>
            </w:r>
          </w:p>
          <w:p w14:paraId="7B670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B33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994C22">
            <w:pPr>
              <w:contextualSpacing/>
              <w:rPr>
                <w:bCs/>
                <w:sz w:val="20"/>
                <w:szCs w:val="20"/>
                <w:lang w:val="en-GB"/>
              </w:rPr>
            </w:pPr>
            <w:r>
              <w:rPr>
                <w:bCs/>
                <w:sz w:val="20"/>
                <w:szCs w:val="20"/>
                <w:lang w:val="en-GB"/>
              </w:rPr>
              <w:t>3</w:t>
            </w:r>
          </w:p>
        </w:tc>
        <w:tc>
          <w:tcPr>
            <w:tcW w:w="1667" w:type="pct"/>
          </w:tcPr>
          <w:p w14:paraId="7FF0BE4C">
            <w:pPr>
              <w:keepNext/>
              <w:outlineLvl w:val="1"/>
              <w:rPr>
                <w:rFonts w:eastAsia="MS Mincho"/>
                <w:bCs/>
                <w:sz w:val="20"/>
                <w:szCs w:val="20"/>
                <w:lang w:val="en-GB"/>
              </w:rPr>
            </w:pPr>
            <w:r>
              <w:rPr>
                <w:rFonts w:hint="eastAsia" w:eastAsia="MS Mincho"/>
                <w:bCs/>
                <w:sz w:val="20"/>
                <w:szCs w:val="20"/>
                <w:lang w:val="en-GB"/>
              </w:rPr>
              <w:t>The Discussion section has been strengthened by explicitly linking our findings to recent empirical studies from Zhejiang, Guangdong, and the Yellow River Basin, highlighting consistencies and contextual differences in rural revitalization pathways.</w:t>
            </w:r>
          </w:p>
        </w:tc>
      </w:tr>
      <w:tr w14:paraId="06EEC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4B600FB">
            <w:pPr>
              <w:rPr>
                <w:b/>
                <w:sz w:val="20"/>
                <w:szCs w:val="20"/>
                <w:lang w:val="en-GB"/>
              </w:rPr>
            </w:pPr>
            <w:r>
              <w:rPr>
                <w:b/>
                <w:sz w:val="20"/>
                <w:szCs w:val="20"/>
                <w:lang w:val="en-GB"/>
              </w:rPr>
              <w:t>12. Are the conclusions supported by the data?</w:t>
            </w:r>
          </w:p>
          <w:p w14:paraId="503311D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D1F3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F06B96">
            <w:pPr>
              <w:contextualSpacing/>
              <w:rPr>
                <w:bCs/>
                <w:sz w:val="20"/>
                <w:szCs w:val="20"/>
                <w:lang w:val="en-GB"/>
              </w:rPr>
            </w:pPr>
            <w:r>
              <w:rPr>
                <w:bCs/>
                <w:sz w:val="20"/>
                <w:szCs w:val="20"/>
                <w:lang w:val="en-GB"/>
              </w:rPr>
              <w:t>3</w:t>
            </w:r>
          </w:p>
        </w:tc>
        <w:tc>
          <w:tcPr>
            <w:tcW w:w="1667" w:type="pct"/>
          </w:tcPr>
          <w:p w14:paraId="400AF0B5">
            <w:pPr>
              <w:keepNext/>
              <w:outlineLvl w:val="1"/>
              <w:rPr>
                <w:rFonts w:eastAsia="MS Mincho"/>
                <w:bCs/>
                <w:sz w:val="20"/>
                <w:szCs w:val="20"/>
                <w:lang w:val="en-GB"/>
              </w:rPr>
            </w:pPr>
            <w:r>
              <w:rPr>
                <w:rFonts w:hint="eastAsia" w:eastAsia="MS Mincho"/>
                <w:bCs/>
                <w:sz w:val="20"/>
                <w:szCs w:val="20"/>
                <w:lang w:val="en-GB"/>
              </w:rPr>
              <w:t>We confirm that all conclusions are directly derived from the empirical results (index trends, Gini decomposition, kernel density patterns). No over-interpretation has been made.</w:t>
            </w:r>
          </w:p>
        </w:tc>
      </w:tr>
      <w:tr w14:paraId="378DD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CAD7580">
            <w:pPr>
              <w:rPr>
                <w:b/>
                <w:sz w:val="20"/>
                <w:szCs w:val="20"/>
                <w:lang w:val="en-GB"/>
              </w:rPr>
            </w:pPr>
            <w:r>
              <w:rPr>
                <w:b/>
                <w:sz w:val="20"/>
                <w:szCs w:val="20"/>
                <w:lang w:val="en-GB"/>
              </w:rPr>
              <w:t>13. Are the limitations of the study discussed?</w:t>
            </w:r>
          </w:p>
          <w:p w14:paraId="4375EA0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5A84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9DC69A">
            <w:pPr>
              <w:contextualSpacing/>
              <w:rPr>
                <w:bCs/>
                <w:sz w:val="20"/>
                <w:szCs w:val="20"/>
                <w:lang w:val="en-GB"/>
              </w:rPr>
            </w:pPr>
            <w:r>
              <w:rPr>
                <w:bCs/>
                <w:sz w:val="20"/>
                <w:szCs w:val="20"/>
                <w:lang w:val="en-GB"/>
              </w:rPr>
              <w:t>4</w:t>
            </w:r>
          </w:p>
        </w:tc>
        <w:tc>
          <w:tcPr>
            <w:tcW w:w="1667" w:type="pct"/>
          </w:tcPr>
          <w:p w14:paraId="139EB751">
            <w:pPr>
              <w:keepNext/>
              <w:outlineLvl w:val="1"/>
              <w:rPr>
                <w:rFonts w:eastAsia="MS Mincho"/>
                <w:bCs/>
                <w:sz w:val="20"/>
                <w:szCs w:val="20"/>
                <w:lang w:val="en-GB"/>
              </w:rPr>
            </w:pPr>
            <w:r>
              <w:rPr>
                <w:rFonts w:eastAsia="MS Mincho"/>
                <w:bCs/>
                <w:sz w:val="20"/>
                <w:szCs w:val="20"/>
                <w:lang w:val="en-GB"/>
              </w:rPr>
              <w:t>Thank you. The limitations section now includes a detailed discussion of data-related constraints</w:t>
            </w:r>
            <w:r>
              <w:rPr>
                <w:rFonts w:hint="default" w:eastAsia="MS Mincho"/>
                <w:bCs/>
                <w:sz w:val="20"/>
                <w:szCs w:val="20"/>
                <w:lang w:val="en-GB"/>
              </w:rPr>
              <w:t> </w:t>
            </w:r>
          </w:p>
        </w:tc>
      </w:tr>
      <w:tr w14:paraId="421AB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06CAC44">
            <w:pPr>
              <w:rPr>
                <w:b/>
                <w:sz w:val="20"/>
                <w:szCs w:val="20"/>
                <w:lang w:val="en-GB"/>
              </w:rPr>
            </w:pPr>
            <w:r>
              <w:rPr>
                <w:b/>
                <w:sz w:val="20"/>
                <w:szCs w:val="20"/>
                <w:lang w:val="en-GB"/>
              </w:rPr>
              <w:t>14. Are the references relevant and sufficient (in number)?</w:t>
            </w:r>
          </w:p>
          <w:p w14:paraId="100125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9D6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661299">
            <w:pPr>
              <w:rPr>
                <w:sz w:val="20"/>
                <w:szCs w:val="20"/>
                <w:lang w:val="en-GB"/>
              </w:rPr>
            </w:pPr>
            <w:r>
              <w:rPr>
                <w:color w:val="404040"/>
                <w:sz w:val="20"/>
                <w:szCs w:val="20"/>
                <w:shd w:val="clear" w:color="auto" w:fill="FFFFFF"/>
                <w:lang w:val="en-GB"/>
              </w:rPr>
              <w:t>N/A = Not Applicable</w:t>
            </w:r>
          </w:p>
        </w:tc>
        <w:tc>
          <w:tcPr>
            <w:tcW w:w="1667" w:type="pct"/>
          </w:tcPr>
          <w:p w14:paraId="66DC9016">
            <w:pPr>
              <w:contextualSpacing/>
              <w:rPr>
                <w:bCs/>
                <w:sz w:val="20"/>
                <w:szCs w:val="20"/>
                <w:lang w:val="en-GB"/>
              </w:rPr>
            </w:pPr>
            <w:r>
              <w:rPr>
                <w:bCs/>
                <w:sz w:val="20"/>
                <w:szCs w:val="20"/>
                <w:lang w:val="en-GB"/>
              </w:rPr>
              <w:t>3</w:t>
            </w:r>
          </w:p>
        </w:tc>
        <w:tc>
          <w:tcPr>
            <w:tcW w:w="1667" w:type="pct"/>
          </w:tcPr>
          <w:p w14:paraId="26416D02">
            <w:pPr>
              <w:keepNext/>
              <w:outlineLvl w:val="1"/>
              <w:rPr>
                <w:rFonts w:eastAsia="MS Mincho"/>
                <w:bCs/>
                <w:sz w:val="20"/>
                <w:szCs w:val="20"/>
                <w:lang w:val="en-GB"/>
              </w:rPr>
            </w:pPr>
            <w:r>
              <w:rPr>
                <w:rFonts w:hint="eastAsia" w:eastAsia="MS Mincho"/>
                <w:bCs/>
                <w:sz w:val="20"/>
                <w:szCs w:val="20"/>
                <w:lang w:val="en-GB"/>
              </w:rPr>
              <w:t>The reference list has been thoroughly updated. Now 18 references (excluding the old, unrelated ones), all published between 2019 and 2025, with most from 2023–2025.</w:t>
            </w:r>
          </w:p>
        </w:tc>
      </w:tr>
      <w:tr w14:paraId="156B2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C13189F">
            <w:pPr>
              <w:rPr>
                <w:b/>
                <w:sz w:val="20"/>
                <w:szCs w:val="20"/>
                <w:highlight w:val="none"/>
                <w:lang w:val="en-GB"/>
              </w:rPr>
            </w:pPr>
            <w:r>
              <w:rPr>
                <w:b/>
                <w:sz w:val="20"/>
                <w:szCs w:val="20"/>
                <w:highlight w:val="none"/>
                <w:lang w:val="en-GB"/>
              </w:rPr>
              <w:t>15. Is the manuscript written in clear and understandable language?</w:t>
            </w:r>
          </w:p>
          <w:p w14:paraId="5D50A1A8">
            <w:pPr>
              <w:rPr>
                <w:color w:val="404040"/>
                <w:sz w:val="20"/>
                <w:szCs w:val="20"/>
                <w:highlight w:val="none"/>
                <w:shd w:val="clear" w:color="auto" w:fill="FFFFFF"/>
                <w:lang w:val="en-GB"/>
              </w:rPr>
            </w:pPr>
            <w:r>
              <w:rPr>
                <w:color w:val="404040"/>
                <w:sz w:val="20"/>
                <w:szCs w:val="20"/>
                <w:highlight w:val="none"/>
                <w:shd w:val="clear" w:color="auto" w:fill="FFFFFF"/>
                <w:lang w:val="en-GB"/>
              </w:rPr>
              <w:t xml:space="preserve">Rating Scale: </w:t>
            </w:r>
          </w:p>
          <w:p w14:paraId="0087FC56">
            <w:pPr>
              <w:rPr>
                <w:color w:val="404040"/>
                <w:sz w:val="20"/>
                <w:szCs w:val="20"/>
                <w:highlight w:val="none"/>
                <w:shd w:val="clear" w:color="auto" w:fill="FFFFFF"/>
                <w:lang w:val="en-GB"/>
              </w:rPr>
            </w:pPr>
            <w:r>
              <w:rPr>
                <w:color w:val="404040"/>
                <w:sz w:val="20"/>
                <w:szCs w:val="20"/>
                <w:highlight w:val="none"/>
                <w:shd w:val="clear" w:color="auto" w:fill="FFFFFF"/>
                <w:lang w:val="en-GB"/>
              </w:rPr>
              <w:t xml:space="preserve">5 = Excellent 4 = Good 3 = Satisfactory 2 = Needs Improvement 1 = Poor </w:t>
            </w:r>
          </w:p>
          <w:p w14:paraId="63C8214E">
            <w:pPr>
              <w:rPr>
                <w:sz w:val="20"/>
                <w:szCs w:val="20"/>
                <w:highlight w:val="none"/>
                <w:lang w:val="en-GB"/>
              </w:rPr>
            </w:pPr>
            <w:r>
              <w:rPr>
                <w:color w:val="404040"/>
                <w:sz w:val="20"/>
                <w:szCs w:val="20"/>
                <w:highlight w:val="none"/>
                <w:shd w:val="clear" w:color="auto" w:fill="FFFFFF"/>
                <w:lang w:val="en-GB"/>
              </w:rPr>
              <w:t>N/A = Not Applicable</w:t>
            </w:r>
          </w:p>
        </w:tc>
        <w:tc>
          <w:tcPr>
            <w:tcW w:w="1667" w:type="pct"/>
          </w:tcPr>
          <w:p w14:paraId="3C780B2A">
            <w:pPr>
              <w:contextualSpacing/>
              <w:rPr>
                <w:bCs/>
                <w:sz w:val="20"/>
                <w:szCs w:val="20"/>
                <w:highlight w:val="none"/>
                <w:lang w:val="en-GB"/>
              </w:rPr>
            </w:pPr>
            <w:r>
              <w:rPr>
                <w:bCs/>
                <w:sz w:val="20"/>
                <w:szCs w:val="20"/>
                <w:highlight w:val="none"/>
                <w:lang w:val="en-GB"/>
              </w:rPr>
              <w:t>3</w:t>
            </w:r>
          </w:p>
        </w:tc>
        <w:tc>
          <w:tcPr>
            <w:tcW w:w="1667" w:type="pct"/>
          </w:tcPr>
          <w:p w14:paraId="10B05D84">
            <w:pPr>
              <w:keepNext/>
              <w:outlineLvl w:val="1"/>
              <w:rPr>
                <w:rFonts w:eastAsia="MS Mincho"/>
                <w:bCs/>
                <w:sz w:val="20"/>
                <w:szCs w:val="20"/>
                <w:highlight w:val="none"/>
                <w:lang w:val="en-GB"/>
              </w:rPr>
            </w:pPr>
            <w:r>
              <w:rPr>
                <w:rFonts w:hint="eastAsia" w:eastAsia="MS Mincho"/>
                <w:bCs/>
                <w:sz w:val="20"/>
                <w:szCs w:val="20"/>
                <w:highlight w:val="none"/>
                <w:lang w:val="en-GB"/>
              </w:rPr>
              <w:t>Thank you for your comment. We have made minor revisions to improve the clarity and readability of the manuscript.</w:t>
            </w:r>
          </w:p>
        </w:tc>
      </w:tr>
    </w:tbl>
    <w:p w14:paraId="26DF9A28">
      <w:pPr>
        <w:jc w:val="both"/>
        <w:rPr>
          <w:rFonts w:eastAsia="MS Mincho"/>
          <w:b/>
          <w:bCs/>
          <w:sz w:val="20"/>
          <w:szCs w:val="20"/>
          <w:u w:val="single"/>
          <w:lang w:val="en-GB"/>
        </w:rPr>
      </w:pPr>
    </w:p>
    <w:p w14:paraId="1C021701">
      <w:pPr>
        <w:jc w:val="both"/>
        <w:rPr>
          <w:rFonts w:eastAsia="MS Mincho"/>
          <w:b/>
          <w:bCs/>
          <w:sz w:val="20"/>
          <w:szCs w:val="20"/>
          <w:u w:val="single"/>
          <w:lang w:val="en-GB"/>
        </w:rPr>
      </w:pPr>
    </w:p>
    <w:p w14:paraId="7462761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5C74B63">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96E7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34056B0">
            <w:pPr>
              <w:keepNext/>
              <w:outlineLvl w:val="1"/>
              <w:rPr>
                <w:rFonts w:eastAsia="MS Mincho"/>
                <w:b/>
                <w:bCs/>
                <w:sz w:val="20"/>
                <w:szCs w:val="20"/>
                <w:lang w:val="en-GB"/>
              </w:rPr>
            </w:pPr>
          </w:p>
        </w:tc>
        <w:tc>
          <w:tcPr>
            <w:tcW w:w="1667" w:type="pct"/>
          </w:tcPr>
          <w:p w14:paraId="5A959699">
            <w:pPr>
              <w:keepNext/>
              <w:outlineLvl w:val="1"/>
              <w:rPr>
                <w:rFonts w:eastAsia="MS Mincho"/>
                <w:b/>
                <w:bCs/>
                <w:sz w:val="20"/>
                <w:szCs w:val="20"/>
                <w:lang w:val="en-GB"/>
              </w:rPr>
            </w:pPr>
            <w:r>
              <w:rPr>
                <w:rFonts w:eastAsia="MS Mincho"/>
                <w:b/>
                <w:bCs/>
                <w:sz w:val="20"/>
                <w:szCs w:val="20"/>
                <w:lang w:val="en-GB"/>
              </w:rPr>
              <w:t>Reviewer’s comment</w:t>
            </w:r>
          </w:p>
          <w:p w14:paraId="55F8B0F3">
            <w:pPr>
              <w:rPr>
                <w:sz w:val="20"/>
                <w:szCs w:val="20"/>
                <w:lang w:val="en-GB"/>
              </w:rPr>
            </w:pPr>
          </w:p>
        </w:tc>
        <w:tc>
          <w:tcPr>
            <w:tcW w:w="1667" w:type="pct"/>
          </w:tcPr>
          <w:p w14:paraId="69E910B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697AC5">
            <w:pPr>
              <w:keepNext/>
              <w:outlineLvl w:val="1"/>
              <w:rPr>
                <w:rFonts w:eastAsia="MS Mincho"/>
                <w:bCs/>
                <w:sz w:val="20"/>
                <w:szCs w:val="20"/>
                <w:lang w:val="en-GB"/>
              </w:rPr>
            </w:pPr>
          </w:p>
        </w:tc>
      </w:tr>
      <w:tr w14:paraId="215DB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1C2C6F">
            <w:pPr>
              <w:rPr>
                <w:b/>
                <w:bCs/>
                <w:sz w:val="20"/>
                <w:szCs w:val="20"/>
                <w:lang w:val="en-GB"/>
              </w:rPr>
            </w:pPr>
            <w:r>
              <w:rPr>
                <w:b/>
                <w:bCs/>
                <w:sz w:val="20"/>
                <w:szCs w:val="20"/>
                <w:lang w:val="en-GB"/>
              </w:rPr>
              <w:t>Is the title of the article suitable?</w:t>
            </w:r>
          </w:p>
          <w:p w14:paraId="5913B689">
            <w:pPr>
              <w:rPr>
                <w:bCs/>
                <w:sz w:val="20"/>
                <w:szCs w:val="20"/>
                <w:lang w:val="en-GB"/>
              </w:rPr>
            </w:pPr>
          </w:p>
          <w:p w14:paraId="22FD0ECA">
            <w:pPr>
              <w:rPr>
                <w:bCs/>
                <w:sz w:val="20"/>
                <w:szCs w:val="20"/>
                <w:lang w:val="en-GB"/>
              </w:rPr>
            </w:pPr>
            <w:r>
              <w:rPr>
                <w:bCs/>
                <w:sz w:val="20"/>
                <w:szCs w:val="20"/>
                <w:lang w:val="en-GB"/>
              </w:rPr>
              <w:t>If your answer is NO, please provide a brief, clear suggestion for improvement.</w:t>
            </w:r>
          </w:p>
          <w:p w14:paraId="4D8E62A8">
            <w:pPr>
              <w:rPr>
                <w:sz w:val="20"/>
                <w:szCs w:val="20"/>
                <w:u w:val="single"/>
                <w:lang w:val="en-GB"/>
              </w:rPr>
            </w:pPr>
          </w:p>
        </w:tc>
        <w:tc>
          <w:tcPr>
            <w:tcW w:w="1667" w:type="pct"/>
          </w:tcPr>
          <w:p w14:paraId="1A46714A">
            <w:pPr>
              <w:ind w:left="360"/>
              <w:rPr>
                <w:b/>
                <w:bCs/>
                <w:sz w:val="20"/>
                <w:szCs w:val="20"/>
                <w:lang w:val="en-GB"/>
              </w:rPr>
            </w:pPr>
            <w:r>
              <w:rPr>
                <w:b/>
                <w:bCs/>
                <w:sz w:val="20"/>
                <w:szCs w:val="20"/>
                <w:lang w:val="en-GB"/>
              </w:rPr>
              <w:t>Yes</w:t>
            </w:r>
          </w:p>
        </w:tc>
        <w:tc>
          <w:tcPr>
            <w:tcW w:w="1667" w:type="pct"/>
          </w:tcPr>
          <w:p w14:paraId="5EE00099">
            <w:pPr>
              <w:keepNext/>
              <w:outlineLvl w:val="1"/>
              <w:rPr>
                <w:rFonts w:eastAsia="MS Mincho"/>
                <w:bCs/>
                <w:sz w:val="20"/>
                <w:szCs w:val="20"/>
                <w:lang w:val="en-GB"/>
              </w:rPr>
            </w:pPr>
            <w:r>
              <w:rPr>
                <w:rFonts w:eastAsia="MS Mincho"/>
                <w:bCs/>
                <w:sz w:val="20"/>
                <w:szCs w:val="20"/>
                <w:lang w:val="en-GB"/>
              </w:rPr>
              <w:t>Yes. The title precisely captures the study's geographic scope, thematic focus, and analytical objective.</w:t>
            </w:r>
          </w:p>
        </w:tc>
      </w:tr>
      <w:tr w14:paraId="34221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FCD81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71607ED">
            <w:pPr>
              <w:rPr>
                <w:bCs/>
                <w:sz w:val="20"/>
                <w:szCs w:val="20"/>
                <w:lang w:val="en-GB"/>
              </w:rPr>
            </w:pPr>
            <w:r>
              <w:rPr>
                <w:bCs/>
                <w:sz w:val="20"/>
                <w:szCs w:val="20"/>
                <w:lang w:val="en-GB"/>
              </w:rPr>
              <w:t>s</w:t>
            </w:r>
          </w:p>
          <w:p w14:paraId="5D92D6DE">
            <w:pPr>
              <w:rPr>
                <w:bCs/>
                <w:sz w:val="20"/>
                <w:szCs w:val="20"/>
                <w:lang w:val="en-GB"/>
              </w:rPr>
            </w:pPr>
            <w:r>
              <w:rPr>
                <w:bCs/>
                <w:sz w:val="20"/>
                <w:szCs w:val="20"/>
                <w:lang w:val="en-GB"/>
              </w:rPr>
              <w:t>If your answer is NO, please provide a brief, clear suggestion for improvement.</w:t>
            </w:r>
          </w:p>
          <w:p w14:paraId="1DCF5A87">
            <w:pPr>
              <w:rPr>
                <w:sz w:val="20"/>
                <w:szCs w:val="20"/>
                <w:lang w:val="en-GB"/>
              </w:rPr>
            </w:pPr>
          </w:p>
        </w:tc>
        <w:tc>
          <w:tcPr>
            <w:tcW w:w="1667" w:type="pct"/>
          </w:tcPr>
          <w:p w14:paraId="5FB5B888">
            <w:pPr>
              <w:ind w:left="360"/>
              <w:rPr>
                <w:b/>
                <w:bCs/>
                <w:sz w:val="20"/>
                <w:szCs w:val="20"/>
                <w:lang w:val="en-GB"/>
              </w:rPr>
            </w:pPr>
            <w:r>
              <w:rPr>
                <w:b/>
                <w:bCs/>
                <w:sz w:val="20"/>
                <w:szCs w:val="20"/>
                <w:lang w:val="en-GB"/>
              </w:rPr>
              <w:t>Yes</w:t>
            </w:r>
          </w:p>
        </w:tc>
        <w:tc>
          <w:tcPr>
            <w:tcW w:w="1667" w:type="pct"/>
          </w:tcPr>
          <w:p w14:paraId="04E1A2B4">
            <w:pPr>
              <w:keepNext/>
              <w:outlineLvl w:val="1"/>
              <w:rPr>
                <w:rFonts w:eastAsia="MS Mincho"/>
                <w:bCs/>
                <w:sz w:val="20"/>
                <w:szCs w:val="20"/>
                <w:lang w:val="en-GB"/>
              </w:rPr>
            </w:pPr>
            <w:r>
              <w:rPr>
                <w:rFonts w:eastAsia="MS Mincho"/>
                <w:bCs/>
                <w:sz w:val="20"/>
                <w:szCs w:val="20"/>
                <w:lang w:val="en-GB"/>
              </w:rPr>
              <w:t xml:space="preserve">Yes. The revised abstract now explicitly states policy implications: </w:t>
            </w:r>
            <w:r>
              <w:rPr>
                <w:rFonts w:hint="default" w:eastAsia="MS Mincho"/>
                <w:bCs/>
                <w:sz w:val="20"/>
                <w:szCs w:val="20"/>
                <w:lang w:val="en-GB"/>
              </w:rPr>
              <w:t>"strengthening provincial coordination, promoting region-specific strategies, and enhancing green agriculture, industrial competitiveness, and livelihood security to achieve long-term balanced growth."</w:t>
            </w:r>
          </w:p>
        </w:tc>
      </w:tr>
      <w:tr w14:paraId="04C97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E603EF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633A605C">
            <w:pPr>
              <w:rPr>
                <w:bCs/>
                <w:sz w:val="20"/>
                <w:szCs w:val="20"/>
                <w:lang w:val="en-GB"/>
              </w:rPr>
            </w:pPr>
            <w:r>
              <w:rPr>
                <w:bCs/>
                <w:sz w:val="20"/>
                <w:szCs w:val="20"/>
                <w:lang w:val="en-GB"/>
              </w:rPr>
              <w:t>If your answer is NO, please provide a brief, clear suggestion for improvement</w:t>
            </w:r>
          </w:p>
          <w:p w14:paraId="73D33A2F">
            <w:pPr>
              <w:rPr>
                <w:b/>
                <w:sz w:val="20"/>
                <w:szCs w:val="20"/>
                <w:lang w:val="en-GB"/>
              </w:rPr>
            </w:pPr>
            <w:r>
              <w:rPr>
                <w:bCs/>
                <w:sz w:val="20"/>
                <w:szCs w:val="20"/>
                <w:lang w:val="en-GB"/>
              </w:rPr>
              <w:t>.</w:t>
            </w:r>
          </w:p>
        </w:tc>
        <w:tc>
          <w:tcPr>
            <w:tcW w:w="1667" w:type="pct"/>
          </w:tcPr>
          <w:p w14:paraId="53812C15">
            <w:pPr>
              <w:contextualSpacing/>
              <w:rPr>
                <w:bCs/>
                <w:sz w:val="20"/>
                <w:szCs w:val="20"/>
                <w:lang w:val="en-GB"/>
              </w:rPr>
            </w:pPr>
            <w:r>
              <w:rPr>
                <w:bCs/>
                <w:sz w:val="20"/>
                <w:szCs w:val="20"/>
                <w:lang w:val="en-GB"/>
              </w:rPr>
              <w:t>Yes</w:t>
            </w:r>
          </w:p>
        </w:tc>
        <w:tc>
          <w:tcPr>
            <w:tcW w:w="1667" w:type="pct"/>
          </w:tcPr>
          <w:p w14:paraId="4B31A242">
            <w:pPr>
              <w:keepNext/>
              <w:outlineLvl w:val="1"/>
              <w:rPr>
                <w:rFonts w:eastAsia="MS Mincho"/>
                <w:bCs/>
                <w:sz w:val="20"/>
                <w:szCs w:val="20"/>
                <w:lang w:val="en-GB"/>
              </w:rPr>
            </w:pPr>
            <w:r>
              <w:rPr>
                <w:rFonts w:hint="eastAsia" w:eastAsia="MS Mincho"/>
                <w:bCs/>
                <w:sz w:val="20"/>
                <w:szCs w:val="20"/>
                <w:lang w:val="en-GB"/>
              </w:rPr>
              <w:t>Yes. The methodology (Entropy-TOPSIS, Dagum Gini, kernel density) is well-established; all analytical steps are reproducible and conclusions are empirically grounded.</w:t>
            </w:r>
          </w:p>
        </w:tc>
      </w:tr>
      <w:tr w14:paraId="2D8C6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D97CCD5">
            <w:pPr>
              <w:rPr>
                <w:b/>
                <w:bCs/>
                <w:sz w:val="20"/>
                <w:szCs w:val="20"/>
                <w:lang w:val="en-GB"/>
              </w:rPr>
            </w:pPr>
            <w:r>
              <w:rPr>
                <w:b/>
                <w:bCs/>
                <w:sz w:val="20"/>
                <w:szCs w:val="20"/>
                <w:lang w:val="en-GB"/>
              </w:rPr>
              <w:t xml:space="preserve">Are the references sufficient and recent? </w:t>
            </w:r>
          </w:p>
          <w:p w14:paraId="0DE4AD2F">
            <w:pPr>
              <w:rPr>
                <w:bCs/>
                <w:sz w:val="20"/>
                <w:szCs w:val="20"/>
                <w:lang w:val="en-GB"/>
              </w:rPr>
            </w:pPr>
            <w:r>
              <w:rPr>
                <w:bCs/>
                <w:sz w:val="20"/>
                <w:szCs w:val="20"/>
                <w:lang w:val="en-GB"/>
              </w:rPr>
              <w:t>(YES or NO)</w:t>
            </w:r>
          </w:p>
          <w:p w14:paraId="2DA44CDB">
            <w:pPr>
              <w:rPr>
                <w:bCs/>
                <w:sz w:val="20"/>
                <w:szCs w:val="20"/>
                <w:lang w:val="en-GB"/>
              </w:rPr>
            </w:pPr>
          </w:p>
          <w:p w14:paraId="58817B36">
            <w:pPr>
              <w:rPr>
                <w:bCs/>
                <w:sz w:val="20"/>
                <w:szCs w:val="20"/>
                <w:lang w:val="en-GB"/>
              </w:rPr>
            </w:pPr>
            <w:r>
              <w:rPr>
                <w:bCs/>
                <w:sz w:val="20"/>
                <w:szCs w:val="20"/>
                <w:lang w:val="en-GB"/>
              </w:rPr>
              <w:t>If your answer is NO, please provide clear suggestion for improvement.</w:t>
            </w:r>
          </w:p>
          <w:p w14:paraId="345F7A9F">
            <w:pPr>
              <w:rPr>
                <w:b/>
                <w:bCs/>
                <w:sz w:val="20"/>
                <w:szCs w:val="20"/>
                <w:lang w:val="en-GB"/>
              </w:rPr>
            </w:pPr>
          </w:p>
        </w:tc>
        <w:tc>
          <w:tcPr>
            <w:tcW w:w="1667" w:type="pct"/>
          </w:tcPr>
          <w:p w14:paraId="1887E5B7">
            <w:pPr>
              <w:contextualSpacing/>
              <w:rPr>
                <w:bCs/>
                <w:sz w:val="20"/>
                <w:szCs w:val="20"/>
                <w:lang w:val="en-GB"/>
              </w:rPr>
            </w:pPr>
            <w:r>
              <w:rPr>
                <w:bCs/>
                <w:sz w:val="20"/>
                <w:szCs w:val="20"/>
                <w:lang w:val="en-GB"/>
              </w:rPr>
              <w:t>Yes</w:t>
            </w:r>
          </w:p>
        </w:tc>
        <w:tc>
          <w:tcPr>
            <w:tcW w:w="1667" w:type="pct"/>
          </w:tcPr>
          <w:p w14:paraId="4182EA58">
            <w:pPr>
              <w:keepNext/>
              <w:outlineLvl w:val="1"/>
              <w:rPr>
                <w:rFonts w:eastAsia="MS Mincho"/>
                <w:bCs/>
                <w:sz w:val="20"/>
                <w:szCs w:val="20"/>
                <w:lang w:val="en-GB"/>
              </w:rPr>
            </w:pPr>
            <w:r>
              <w:rPr>
                <w:rFonts w:hint="eastAsia" w:eastAsia="MS Mincho"/>
                <w:bCs/>
                <w:sz w:val="20"/>
                <w:szCs w:val="20"/>
                <w:lang w:val="en-GB"/>
              </w:rPr>
              <w:t>Yes. The reference list now includes 18 sources, with 15 published in 2023–2025, ensuring theoretical currency and methodological rigor.</w:t>
            </w:r>
          </w:p>
        </w:tc>
      </w:tr>
      <w:tr w14:paraId="09B87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2992F05">
            <w:pPr>
              <w:rPr>
                <w:b/>
                <w:bCs/>
                <w:sz w:val="20"/>
                <w:szCs w:val="20"/>
                <w:lang w:val="en-GB"/>
              </w:rPr>
            </w:pPr>
            <w:r>
              <w:rPr>
                <w:b/>
                <w:bCs/>
                <w:sz w:val="20"/>
                <w:szCs w:val="20"/>
                <w:lang w:val="en-GB"/>
              </w:rPr>
              <w:t>Are there ethical issues in this manuscript?</w:t>
            </w:r>
          </w:p>
          <w:p w14:paraId="646D176A">
            <w:pPr>
              <w:rPr>
                <w:bCs/>
                <w:sz w:val="20"/>
                <w:szCs w:val="20"/>
                <w:lang w:val="en-GB"/>
              </w:rPr>
            </w:pPr>
            <w:r>
              <w:rPr>
                <w:bCs/>
                <w:sz w:val="20"/>
                <w:szCs w:val="20"/>
                <w:lang w:val="en-GB"/>
              </w:rPr>
              <w:t>(YES or NO)</w:t>
            </w:r>
          </w:p>
          <w:p w14:paraId="0090085C">
            <w:pPr>
              <w:rPr>
                <w:bCs/>
                <w:sz w:val="20"/>
                <w:szCs w:val="20"/>
                <w:lang w:val="en-GB"/>
              </w:rPr>
            </w:pPr>
          </w:p>
          <w:p w14:paraId="1B9DD2E4">
            <w:pPr>
              <w:rPr>
                <w:bCs/>
                <w:sz w:val="20"/>
                <w:szCs w:val="20"/>
                <w:lang w:val="en-GB"/>
              </w:rPr>
            </w:pPr>
            <w:r>
              <w:rPr>
                <w:bCs/>
                <w:sz w:val="20"/>
                <w:szCs w:val="20"/>
                <w:lang w:val="en-GB"/>
              </w:rPr>
              <w:t>(If yes, kindly please write down the ethical issues here in details)</w:t>
            </w:r>
          </w:p>
          <w:p w14:paraId="4CC30ACA">
            <w:pPr>
              <w:rPr>
                <w:bCs/>
                <w:sz w:val="20"/>
                <w:szCs w:val="20"/>
                <w:lang w:val="en-GB"/>
              </w:rPr>
            </w:pPr>
          </w:p>
        </w:tc>
        <w:tc>
          <w:tcPr>
            <w:tcW w:w="1667" w:type="pct"/>
          </w:tcPr>
          <w:p w14:paraId="06AF34CD">
            <w:pPr>
              <w:contextualSpacing/>
              <w:rPr>
                <w:bCs/>
                <w:sz w:val="20"/>
                <w:szCs w:val="20"/>
                <w:lang w:val="en-GB"/>
              </w:rPr>
            </w:pPr>
            <w:r>
              <w:rPr>
                <w:bCs/>
                <w:sz w:val="20"/>
                <w:szCs w:val="20"/>
                <w:lang w:val="en-GB"/>
              </w:rPr>
              <w:t>no</w:t>
            </w:r>
          </w:p>
        </w:tc>
        <w:tc>
          <w:tcPr>
            <w:tcW w:w="1667" w:type="pct"/>
          </w:tcPr>
          <w:p w14:paraId="4AFEE325">
            <w:pPr>
              <w:keepNext/>
              <w:outlineLvl w:val="1"/>
              <w:rPr>
                <w:rFonts w:eastAsia="MS Mincho"/>
                <w:bCs/>
                <w:sz w:val="20"/>
                <w:szCs w:val="20"/>
                <w:lang w:val="en-GB"/>
              </w:rPr>
            </w:pPr>
            <w:r>
              <w:rPr>
                <w:rFonts w:eastAsia="MS Mincho"/>
                <w:bCs/>
                <w:sz w:val="20"/>
                <w:szCs w:val="20"/>
                <w:lang w:val="en-GB"/>
              </w:rPr>
              <w:t>No. This is a secondary data analysis using publicly available statistical yearbooks; no ethical approval is required.</w:t>
            </w:r>
          </w:p>
        </w:tc>
      </w:tr>
    </w:tbl>
    <w:p w14:paraId="4B223961">
      <w:pPr>
        <w:keepNext/>
        <w:outlineLvl w:val="1"/>
        <w:rPr>
          <w:rFonts w:eastAsia="MS Mincho"/>
          <w:b/>
          <w:bCs/>
          <w:sz w:val="20"/>
          <w:szCs w:val="20"/>
          <w:highlight w:val="yellow"/>
          <w:lang w:val="en-GB"/>
        </w:rPr>
      </w:pPr>
    </w:p>
    <w:p w14:paraId="7EABE0AB">
      <w:pPr>
        <w:keepNext/>
        <w:outlineLvl w:val="1"/>
        <w:rPr>
          <w:rFonts w:eastAsia="MS Mincho"/>
          <w:b/>
          <w:bCs/>
          <w:sz w:val="20"/>
          <w:szCs w:val="20"/>
          <w:highlight w:val="yellow"/>
          <w:lang w:val="en-GB"/>
        </w:rPr>
      </w:pPr>
    </w:p>
    <w:p w14:paraId="795C1428">
      <w:pPr>
        <w:pStyle w:val="4"/>
        <w:spacing w:before="228"/>
        <w:ind w:left="23"/>
        <w:rPr>
          <w:rFonts w:ascii="Arial" w:hAnsi="Arial" w:cs="Arial"/>
          <w:color w:val="000000"/>
          <w:highlight w:val="yellow"/>
          <w:u w:val="single"/>
        </w:rPr>
      </w:pPr>
      <w:bookmarkStart w:id="0" w:name="_Hlk228437033"/>
      <w:bookmarkStart w:id="1" w:name="_Hlk228262614"/>
      <w:bookmarkStart w:id="2" w:name="_Hlk228443299"/>
      <w:bookmarkStart w:id="3" w:name="_Hlk228444856"/>
      <w:r>
        <w:rPr>
          <w:rFonts w:ascii="Arial" w:hAnsi="Arial" w:cs="Arial"/>
          <w:color w:val="000000"/>
          <w:highlight w:val="yellow"/>
          <w:u w:val="single"/>
        </w:rPr>
        <w:t>PART</w:t>
      </w:r>
      <w:r>
        <w:rPr>
          <w:rFonts w:ascii="Arial" w:hAnsi="Arial" w:cs="Arial"/>
          <w:color w:val="000000"/>
          <w:spacing w:val="-6"/>
          <w:highlight w:val="yellow"/>
          <w:u w:val="single"/>
        </w:rPr>
        <w:t xml:space="preserve"> </w:t>
      </w:r>
      <w:r>
        <w:rPr>
          <w:rFonts w:ascii="Arial" w:hAnsi="Arial" w:cs="Arial"/>
          <w:color w:val="000000"/>
          <w:highlight w:val="yellow"/>
          <w:u w:val="single"/>
        </w:rPr>
        <w:t>3</w:t>
      </w:r>
    </w:p>
    <w:p w14:paraId="2E9D4A60">
      <w:pPr>
        <w:pStyle w:val="4"/>
        <w:spacing w:before="228"/>
        <w:ind w:left="23"/>
        <w:rPr>
          <w:rFonts w:ascii="Arial" w:hAnsi="Arial" w:cs="Arial"/>
          <w:color w:val="000000"/>
          <w:highlight w:val="yellow"/>
          <w:u w:val="single"/>
        </w:rPr>
      </w:pPr>
    </w:p>
    <w:p w14:paraId="79A4E93A">
      <w:pPr>
        <w:rPr>
          <w:rFonts w:ascii="Arial" w:hAnsi="Arial" w:eastAsia="Arial Unicode MS" w:cs="Arial"/>
          <w:b/>
          <w:bCs/>
          <w:sz w:val="20"/>
          <w:szCs w:val="20"/>
          <w:u w:val="single"/>
        </w:rPr>
      </w:pPr>
      <w:r>
        <w:rPr>
          <w:rFonts w:ascii="Arial" w:hAnsi="Arial" w:eastAsia="Arial Unicode MS" w:cs="Arial"/>
          <w:b/>
          <w:bCs/>
          <w:sz w:val="20"/>
          <w:szCs w:val="20"/>
          <w:u w:val="single"/>
        </w:rPr>
        <w:t>Editorial Comments (This section is reserved for the comments from journal editorial office and editors):</w:t>
      </w:r>
    </w:p>
    <w:p w14:paraId="252A327E">
      <w:pPr>
        <w:spacing w:after="1"/>
        <w:rPr>
          <w:rFonts w:ascii="Arial" w:hAnsi="Arial" w:cs="Arial"/>
          <w:b/>
          <w:sz w:val="20"/>
          <w:szCs w:val="20"/>
        </w:rPr>
      </w:pP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94"/>
        <w:gridCol w:w="6275"/>
      </w:tblGrid>
      <w:tr w14:paraId="048DC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2754" w:type="pct"/>
          </w:tcPr>
          <w:p w14:paraId="7652EAEA">
            <w:pPr>
              <w:pStyle w:val="23"/>
              <w:spacing w:line="210" w:lineRule="exact"/>
              <w:rPr>
                <w:rFonts w:ascii="Arial" w:hAnsi="Arial" w:cs="Arial"/>
                <w:b/>
                <w:sz w:val="20"/>
                <w:szCs w:val="20"/>
              </w:rPr>
            </w:pPr>
          </w:p>
        </w:tc>
        <w:tc>
          <w:tcPr>
            <w:tcW w:w="2246" w:type="pct"/>
          </w:tcPr>
          <w:p w14:paraId="125FFD4E">
            <w:pPr>
              <w:pStyle w:val="23"/>
              <w:spacing w:line="210" w:lineRule="exact"/>
              <w:rPr>
                <w:rFonts w:ascii="Arial" w:hAnsi="Arial" w:cs="Arial"/>
                <w:b/>
                <w:sz w:val="20"/>
                <w:szCs w:val="20"/>
              </w:rPr>
            </w:pPr>
            <w:r>
              <w:rPr>
                <w:rFonts w:ascii="Arial" w:hAnsi="Arial" w:eastAsia="Arial Unicode MS" w:cs="Arial"/>
                <w:sz w:val="20"/>
                <w:szCs w:val="20"/>
                <w:lang w:val="en-GB"/>
              </w:rPr>
              <w:t>Author’s Feedback</w:t>
            </w:r>
          </w:p>
        </w:tc>
      </w:tr>
      <w:tr w14:paraId="79ACC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4" w:hRule="atLeast"/>
        </w:trPr>
        <w:tc>
          <w:tcPr>
            <w:tcW w:w="2754" w:type="pct"/>
          </w:tcPr>
          <w:p w14:paraId="2ADC2EA8">
            <w:pPr>
              <w:rPr>
                <w:sz w:val="20"/>
                <w:szCs w:val="20"/>
                <w:lang w:val="en-GB"/>
              </w:rPr>
            </w:pPr>
            <w:r>
              <w:rPr>
                <w:sz w:val="20"/>
                <w:szCs w:val="20"/>
                <w:lang w:val="en-GB"/>
              </w:rPr>
              <w:t>Over all, author done nice work. Bur minor correction needs:</w:t>
            </w:r>
          </w:p>
          <w:p w14:paraId="1F80BDAC">
            <w:pPr>
              <w:pStyle w:val="19"/>
              <w:numPr>
                <w:ilvl w:val="0"/>
                <w:numId w:val="1"/>
              </w:numPr>
              <w:rPr>
                <w:sz w:val="20"/>
                <w:szCs w:val="20"/>
                <w:lang w:val="en-GB"/>
              </w:rPr>
            </w:pPr>
            <w:r>
              <w:rPr>
                <w:sz w:val="20"/>
                <w:szCs w:val="20"/>
                <w:lang w:val="en-GB"/>
              </w:rPr>
              <w:t>Literature review should be including.</w:t>
            </w:r>
          </w:p>
          <w:p w14:paraId="1E466707">
            <w:pPr>
              <w:pStyle w:val="19"/>
              <w:numPr>
                <w:ilvl w:val="0"/>
                <w:numId w:val="1"/>
              </w:numPr>
              <w:rPr>
                <w:sz w:val="20"/>
                <w:szCs w:val="20"/>
                <w:lang w:val="en-GB"/>
              </w:rPr>
            </w:pPr>
            <w:r>
              <w:rPr>
                <w:sz w:val="20"/>
                <w:szCs w:val="20"/>
                <w:lang w:val="en-GB"/>
              </w:rPr>
              <w:t>Objective of the study should be properly mentioned.</w:t>
            </w:r>
          </w:p>
          <w:p w14:paraId="1216EBD3">
            <w:pPr>
              <w:pStyle w:val="23"/>
              <w:spacing w:line="230" w:lineRule="atLeast"/>
              <w:ind w:right="1144"/>
              <w:rPr>
                <w:rFonts w:ascii="Arial" w:hAnsi="Arial" w:cs="Arial"/>
                <w:sz w:val="20"/>
                <w:szCs w:val="20"/>
              </w:rPr>
            </w:pPr>
          </w:p>
        </w:tc>
        <w:tc>
          <w:tcPr>
            <w:tcW w:w="2246" w:type="pct"/>
          </w:tcPr>
          <w:p w14:paraId="64573C39">
            <w:pPr>
              <w:pStyle w:val="23"/>
              <w:rPr>
                <w:rFonts w:hint="eastAsia" w:ascii="Arial" w:hAnsi="Arial" w:cs="Arial"/>
                <w:sz w:val="20"/>
                <w:szCs w:val="20"/>
              </w:rPr>
            </w:pPr>
            <w:r>
              <w:rPr>
                <w:rFonts w:hint="eastAsia" w:ascii="Arial" w:hAnsi="Arial" w:cs="Arial"/>
                <w:sz w:val="20"/>
                <w:szCs w:val="20"/>
              </w:rPr>
              <w:t>Both points have been fully addressed:</w:t>
            </w:r>
          </w:p>
          <w:p w14:paraId="5570E4ED">
            <w:pPr>
              <w:pStyle w:val="23"/>
              <w:rPr>
                <w:rFonts w:hint="eastAsia" w:ascii="Arial" w:hAnsi="Arial" w:cs="Arial"/>
                <w:sz w:val="20"/>
                <w:szCs w:val="20"/>
              </w:rPr>
            </w:pPr>
            <w:r>
              <w:rPr>
                <w:rFonts w:hint="eastAsia" w:ascii="Arial" w:hAnsi="Arial" w:cs="Arial"/>
                <w:sz w:val="20"/>
                <w:szCs w:val="20"/>
              </w:rPr>
              <w:t xml:space="preserve"> Literature review comprehensively restructured and expanded with recent literature (see response to Q6 above)</w:t>
            </w:r>
          </w:p>
          <w:p w14:paraId="2C8A682A">
            <w:pPr>
              <w:pStyle w:val="23"/>
              <w:rPr>
                <w:rFonts w:hint="eastAsia" w:ascii="Arial" w:hAnsi="Arial" w:cs="Arial"/>
                <w:sz w:val="20"/>
                <w:szCs w:val="20"/>
              </w:rPr>
            </w:pPr>
            <w:r>
              <w:rPr>
                <w:rFonts w:hint="eastAsia" w:ascii="Arial" w:hAnsi="Arial" w:cs="Arial"/>
                <w:sz w:val="20"/>
                <w:szCs w:val="20"/>
              </w:rPr>
              <w:t xml:space="preserve"> Research objectives explicitly stated in Abstract and Introduction (see response to Q5 above)</w:t>
            </w:r>
          </w:p>
          <w:p w14:paraId="4E197061">
            <w:pPr>
              <w:pStyle w:val="23"/>
              <w:rPr>
                <w:rFonts w:ascii="Arial" w:hAnsi="Arial" w:cs="Arial"/>
                <w:sz w:val="20"/>
                <w:szCs w:val="20"/>
              </w:rPr>
            </w:pPr>
            <w:r>
              <w:rPr>
                <w:rFonts w:hint="eastAsia" w:ascii="Arial" w:hAnsi="Arial" w:cs="Arial"/>
                <w:sz w:val="20"/>
                <w:szCs w:val="20"/>
              </w:rPr>
              <w:t>All changes are highlighted in the revised manuscript.</w:t>
            </w:r>
          </w:p>
        </w:tc>
      </w:tr>
      <w:bookmarkEnd w:id="0"/>
      <w:bookmarkEnd w:id="1"/>
    </w:tbl>
    <w:p w14:paraId="0D40C1DE">
      <w:pPr>
        <w:pStyle w:val="4"/>
        <w:spacing w:before="1"/>
        <w:ind w:left="23"/>
        <w:rPr>
          <w:rFonts w:ascii="Arial" w:hAnsi="Arial" w:cs="Arial"/>
        </w:rPr>
      </w:pPr>
    </w:p>
    <w:bookmarkEnd w:id="2"/>
    <w:bookmarkEnd w:id="3"/>
    <w:p w14:paraId="7487DEB8">
      <w:pPr>
        <w:pStyle w:val="4"/>
        <w:spacing w:before="1"/>
        <w:ind w:left="23"/>
        <w:rPr>
          <w:rFonts w:ascii="Arial" w:hAnsi="Arial" w:cs="Arial"/>
        </w:rPr>
      </w:pPr>
    </w:p>
    <w:p w14:paraId="2C7B178B">
      <w:pPr>
        <w:keepNext/>
        <w:outlineLvl w:val="1"/>
        <w:rPr>
          <w:rFonts w:eastAsia="MS Mincho"/>
          <w:b/>
          <w:bCs/>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504020202030204"/>
    <w:charset w:val="00"/>
    <w:family w:val="swiss"/>
    <w:pitch w:val="default"/>
    <w:sig w:usb0="00000000" w:usb1="00000000" w:usb2="00000000" w:usb3="00000000" w:csb0="00000093"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0"/>
    <w:family w:val="swiss"/>
    <w:pitch w:val="default"/>
    <w:sig w:usb0="FFFFFFFF" w:usb1="E9FFFFFF" w:usb2="0000003F" w:usb3="00000000" w:csb0="603F01FF" w:csb1="FFFF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0F30E">
    <w:pPr>
      <w:pStyle w:val="5"/>
      <w:jc w:val="right"/>
    </w:pPr>
  </w:p>
  <w:p w14:paraId="5659DDAD">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DD6D22F">
    <w:pPr>
      <w:pStyle w:val="5"/>
      <w:jc w:val="right"/>
      <w:rPr>
        <w:b/>
        <w:sz w:val="20"/>
      </w:rPr>
    </w:pPr>
    <w:r>
      <w:rPr>
        <w:b/>
        <w:sz w:val="20"/>
      </w:rPr>
      <w:t>V240326</w:t>
    </w:r>
  </w:p>
  <w:p w14:paraId="28C81416">
    <w:pPr>
      <w:pStyle w:val="5"/>
      <w:jc w:val="right"/>
    </w:pPr>
  </w:p>
  <w:p w14:paraId="7908F120">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CA7CD">
    <w:pPr>
      <w:spacing w:before="100" w:beforeAutospacing="1" w:after="100" w:afterAutospacing="1"/>
      <w:jc w:val="center"/>
      <w:rPr>
        <w:b/>
        <w:bCs/>
        <w:color w:val="003399"/>
        <w:szCs w:val="20"/>
        <w:u w:val="single"/>
        <w:lang w:val="en-GB"/>
      </w:rPr>
    </w:pPr>
  </w:p>
  <w:p w14:paraId="6C060D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51BF1"/>
    <w:multiLevelType w:val="multilevel"/>
    <w:tmpl w:val="05251BF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42"/>
    <w:rsid w:val="00001C6C"/>
    <w:rsid w:val="001061B4"/>
    <w:rsid w:val="00153771"/>
    <w:rsid w:val="0017324E"/>
    <w:rsid w:val="00204042"/>
    <w:rsid w:val="00206283"/>
    <w:rsid w:val="00224586"/>
    <w:rsid w:val="00237778"/>
    <w:rsid w:val="00261933"/>
    <w:rsid w:val="00263929"/>
    <w:rsid w:val="002C66D6"/>
    <w:rsid w:val="002F4A4F"/>
    <w:rsid w:val="005C677A"/>
    <w:rsid w:val="006534F5"/>
    <w:rsid w:val="007A699C"/>
    <w:rsid w:val="008832EA"/>
    <w:rsid w:val="008A1CFE"/>
    <w:rsid w:val="008B1C67"/>
    <w:rsid w:val="008D2987"/>
    <w:rsid w:val="009A3A95"/>
    <w:rsid w:val="00A7113E"/>
    <w:rsid w:val="00AA43DB"/>
    <w:rsid w:val="00AA476E"/>
    <w:rsid w:val="00AF3F59"/>
    <w:rsid w:val="00B1563A"/>
    <w:rsid w:val="00B16562"/>
    <w:rsid w:val="00B2796E"/>
    <w:rsid w:val="00B4586A"/>
    <w:rsid w:val="00C255C0"/>
    <w:rsid w:val="00CE441D"/>
    <w:rsid w:val="00D51B4B"/>
    <w:rsid w:val="00D87EC8"/>
    <w:rsid w:val="00DF4831"/>
    <w:rsid w:val="00E13F66"/>
    <w:rsid w:val="00E24527"/>
    <w:rsid w:val="00E46CBC"/>
    <w:rsid w:val="00EA6E35"/>
    <w:rsid w:val="00EE3E18"/>
    <w:rsid w:val="00F62390"/>
    <w:rsid w:val="00FA42A2"/>
    <w:rsid w:val="047C0E90"/>
    <w:rsid w:val="29983CD2"/>
    <w:rsid w:val="3EFB2A52"/>
    <w:rsid w:val="78DE2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rPr>
  </w:style>
  <w:style w:type="paragraph" w:styleId="5">
    <w:name w:val="footer"/>
    <w:basedOn w:val="1"/>
    <w:link w:val="18"/>
    <w:unhideWhenUsed/>
    <w:qFormat/>
    <w:uiPriority w:val="99"/>
    <w:pPr>
      <w:tabs>
        <w:tab w:val="center" w:pos="4513"/>
        <w:tab w:val="right" w:pos="9026"/>
      </w:tabs>
    </w:pPr>
  </w:style>
  <w:style w:type="paragraph" w:styleId="6">
    <w:name w:val="header"/>
    <w:basedOn w:val="1"/>
    <w:link w:val="17"/>
    <w:qFormat/>
    <w:uiPriority w:val="99"/>
    <w:pPr>
      <w:tabs>
        <w:tab w:val="center" w:pos="4680"/>
        <w:tab w:val="right" w:pos="9360"/>
      </w:tabs>
    </w:p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Emphasis"/>
    <w:basedOn w:val="10"/>
    <w:qFormat/>
    <w:uiPriority w:val="20"/>
    <w:rPr>
      <w:i/>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paragraph" w:customStyle="1" w:styleId="23">
    <w:name w:val="Table Paragraph"/>
    <w:basedOn w:val="1"/>
    <w:qFormat/>
    <w:uiPriority w:val="1"/>
    <w:pPr>
      <w:widowControl w:val="0"/>
      <w:autoSpaceDE w:val="0"/>
      <w:autoSpaceDN w:val="0"/>
      <w:ind w:left="107"/>
    </w:pPr>
    <w:rPr>
      <w:sz w:val="22"/>
      <w:szCs w:val="22"/>
    </w:rPr>
  </w:style>
  <w:style w:type="character" w:customStyle="1" w:styleId="24">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1216</Words>
  <Characters>6564</Characters>
  <Lines>33</Lines>
  <Paragraphs>9</Paragraphs>
  <TotalTime>46</TotalTime>
  <ScaleCrop>false</ScaleCrop>
  <LinksUpToDate>false</LinksUpToDate>
  <CharactersWithSpaces>7680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2026-05-06T08:53:00Z</dcterms:created>
  <dc:creator>Surojit Bera</dc:creator>
  <cp:lastModifiedBy>舟山</cp:lastModifiedBy>
  <dcterms:modified xsi:type="dcterms:W3CDTF">2026-05-11T02:56:02Z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2052-12.1.0.26375</vt:lpwstr>
  </property>
  <property fmtid="{D5CDD505-2E9C-101B-9397-08002B2CF9AE}" pid="4" name="ICV">
    <vt:lpwstr>B5AC923479F843ECB2D282D1BFC96732_13</vt:lpwstr>
  </property>
  <property fmtid="{D5CDD505-2E9C-101B-9397-08002B2CF9AE}" pid="5" name="KSOTemplateDocerSaveRecord">
    <vt:lpwstr>eyJoZGlkIjoiZjRkZGFkM2IyNzQyYTAzNDU3YzE3NjUyY2ExOWJmNWQiLCJ1c2VySWQiOiI4ODQ1NzEzMzQifQ==</vt:lpwstr>
  </property>
</Properties>
</file>