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pPr>
              <w:rPr>
                <w:b/>
                <w:bCs/>
                <w:color w:val="0000FF"/>
                <w:sz w:val="20"/>
                <w:szCs w:val="20"/>
                <w:lang w:val="en-GB"/>
              </w:rPr>
            </w:pPr>
            <w:r>
              <w:fldChar w:fldCharType="begin"/>
            </w:r>
            <w:r>
              <w:instrText xml:space="preserve"> HYPERLINK "https://r1.reviewerhub.org/ajpr/journal" </w:instrText>
            </w:r>
            <w:r>
              <w:fldChar w:fldCharType="separate"/>
            </w:r>
            <w:r>
              <w:rPr>
                <w:rFonts w:ascii="Arial" w:hAnsi="Arial" w:cs="Arial"/>
                <w:bCs/>
                <w:color w:val="0000FF"/>
                <w:sz w:val="20"/>
                <w:szCs w:val="20"/>
                <w:u w:val="single"/>
              </w:rPr>
              <w:t xml:space="preserve">Asian Journal of Pediatric Research </w:t>
            </w:r>
            <w:r>
              <w:rPr>
                <w:rFonts w:ascii="Arial" w:hAnsi="Arial" w:cs="Arial"/>
                <w:bCs/>
                <w:color w:val="0000FF"/>
                <w:sz w:val="20"/>
                <w:szCs w:val="20"/>
                <w:u w:val="single"/>
              </w:rPr>
              <w:fldChar w:fldCharType="end"/>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pPr>
              <w:pStyle w:val="7"/>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Ms_AJPR_157934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1186" w:type="pct"/>
          </w:tcPr>
          <w:p>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pPr>
              <w:pStyle w:val="7"/>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Nursing Experience of One Child with Anti-metabotropic Glutamate Receptor 1 (mGluR1) Antibody-Associated Autoimmune Encephalitis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pPr>
              <w:pStyle w:val="7"/>
              <w:spacing w:before="0" w:beforeAutospacing="0" w:after="0" w:afterAutospacing="0"/>
              <w:rPr>
                <w:rFonts w:ascii="Times New Roman" w:hAnsi="Times New Roman" w:cs="Times New Roman"/>
                <w:b/>
                <w:sz w:val="20"/>
                <w:szCs w:val="20"/>
                <w:lang w:val="en-GB"/>
              </w:rPr>
            </w:pPr>
            <w:r>
              <w:rPr>
                <w:rFonts w:ascii="Arial" w:hAnsi="Arial" w:cs="Arial"/>
                <w:b/>
                <w:bCs/>
                <w:sz w:val="20"/>
                <w:szCs w:val="20"/>
              </w:rPr>
              <w:t>Case Report</w:t>
            </w:r>
          </w:p>
        </w:tc>
      </w:tr>
    </w:tbl>
    <w:p>
      <w:pPr>
        <w:pStyle w:val="4"/>
        <w:rPr>
          <w:rFonts w:ascii="Times New Roman" w:hAnsi="Times New Roman"/>
          <w:i/>
          <w:sz w:val="20"/>
          <w:szCs w:val="20"/>
          <w:u w:val="single"/>
          <w:lang w:val="en-GB"/>
        </w:rPr>
      </w:pPr>
    </w:p>
    <w:p>
      <w:pPr>
        <w:jc w:val="both"/>
        <w:rPr>
          <w:rFonts w:eastAsia="MS Mincho"/>
          <w:sz w:val="20"/>
          <w:szCs w:val="20"/>
          <w:lang w:val="en-GB" w:eastAsia="zh-CN"/>
        </w:rPr>
      </w:pPr>
    </w:p>
    <w:p>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pPr>
        <w:ind w:left="1440"/>
        <w:jc w:val="both"/>
        <w:rPr>
          <w:rFonts w:eastAsia="MS Mincho"/>
          <w:bCs/>
          <w:sz w:val="20"/>
          <w:szCs w:val="20"/>
          <w:lang w:val="en-GB" w:eastAsia="zh-CN"/>
        </w:rPr>
      </w:pPr>
    </w:p>
    <w:tbl>
      <w:tblPr>
        <w:tblStyle w:val="8"/>
        <w:tblW w:w="489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4"/>
        <w:gridCol w:w="4627"/>
        <w:gridCol w:w="46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keepNext/>
              <w:outlineLvl w:val="1"/>
              <w:rPr>
                <w:rFonts w:eastAsia="MS Mincho"/>
                <w:b/>
                <w:bCs/>
                <w:sz w:val="20"/>
                <w:szCs w:val="20"/>
                <w:lang w:val="en-GB"/>
              </w:rPr>
            </w:pPr>
          </w:p>
        </w:tc>
        <w:tc>
          <w:tcPr>
            <w:tcW w:w="1667" w:type="pct"/>
          </w:tcPr>
          <w:p>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pPr>
              <w:keepNext/>
              <w:outlineLvl w:val="1"/>
              <w:rPr>
                <w:rFonts w:eastAsia="MS Mincho"/>
                <w:b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pPr>
              <w:rPr>
                <w:bCs/>
                <w:sz w:val="20"/>
                <w:szCs w:val="20"/>
                <w:lang w:val="en-GB"/>
              </w:rPr>
            </w:pPr>
            <w:r>
              <w:rPr>
                <w:bCs/>
                <w:sz w:val="20"/>
                <w:szCs w:val="20"/>
                <w:lang w:val="en-GB"/>
              </w:rPr>
              <w:t>be required for this part.</w:t>
            </w:r>
          </w:p>
          <w:p>
            <w:pPr>
              <w:rPr>
                <w:bCs/>
                <w:sz w:val="20"/>
                <w:szCs w:val="20"/>
                <w:lang w:val="en-GB"/>
              </w:rPr>
            </w:pPr>
          </w:p>
          <w:p>
            <w:pPr>
              <w:rPr>
                <w:bCs/>
                <w:sz w:val="20"/>
                <w:szCs w:val="20"/>
                <w:lang w:val="en-GB"/>
              </w:rPr>
            </w:pPr>
          </w:p>
        </w:tc>
        <w:tc>
          <w:tcPr>
            <w:tcW w:w="1667" w:type="pct"/>
          </w:tcPr>
          <w:p>
            <w:pPr>
              <w:contextualSpacing/>
              <w:rPr>
                <w:b/>
                <w:bCs/>
                <w:sz w:val="20"/>
                <w:szCs w:val="20"/>
                <w:lang w:val="en-GB"/>
              </w:rPr>
            </w:pPr>
            <w:r>
              <w:rPr>
                <w:b/>
                <w:bCs/>
                <w:sz w:val="20"/>
                <w:szCs w:val="20"/>
                <w:lang w:val="en-GB"/>
              </w:rPr>
              <w:t xml:space="preserve">Please follow the case report guidelines and there are multiple comments made in the main manuscript </w:t>
            </w:r>
          </w:p>
        </w:tc>
        <w:tc>
          <w:tcPr>
            <w:tcW w:w="1667" w:type="pct"/>
          </w:tcPr>
          <w:p>
            <w:pPr>
              <w:keepNext/>
              <w:outlineLvl w:val="1"/>
              <w:rPr>
                <w:rFonts w:hint="eastAsia" w:eastAsia="MS Mincho"/>
                <w:bCs/>
                <w:sz w:val="20"/>
                <w:szCs w:val="20"/>
                <w:lang w:val="en-GB"/>
              </w:rPr>
            </w:pPr>
            <w:r>
              <w:rPr>
                <w:rFonts w:hint="eastAsia" w:eastAsia="MS Mincho"/>
                <w:bCs/>
                <w:sz w:val="20"/>
                <w:szCs w:val="20"/>
                <w:lang w:val="en-GB"/>
              </w:rPr>
              <w:t>The relevant content has been revised accordingly.</w:t>
            </w:r>
          </w:p>
          <w:p>
            <w:pPr>
              <w:keepNext/>
              <w:outlineLvl w:val="1"/>
              <w:rPr>
                <w:rFonts w:hint="eastAsia" w:eastAsia="MS Mincho"/>
                <w:bCs/>
                <w:sz w:val="20"/>
                <w:szCs w:val="20"/>
                <w:lang w:val="en-GB"/>
              </w:rPr>
            </w:pPr>
          </w:p>
          <w:p>
            <w:pPr>
              <w:keepNext/>
              <w:outlineLvl w:val="1"/>
              <w:rPr>
                <w:rFonts w:hint="eastAsia" w:eastAsia="MS Mincho"/>
                <w:bCs/>
                <w:sz w:val="20"/>
                <w:szCs w:val="20"/>
                <w:lang w:val="en-GB"/>
              </w:rPr>
            </w:pPr>
            <w:r>
              <w:rPr>
                <w:rFonts w:hint="eastAsia"/>
                <w:bCs/>
                <w:sz w:val="20"/>
                <w:szCs w:val="20"/>
                <w:lang w:val="en-GB"/>
              </w:rPr>
              <w:t>The successful management of this case provides valuable empirical evidence for the clinical nursing of anti-mGluR1 antibody-mediated autoimmune encephalitis, a rare disease, and enriches medical understanding of its pediatric manifestations and nursing requirements. Through the systematic implementation of refined nursing interventions targeting multidimensional symptoms, this case not only validates the effectiveness of comprehensive nursing strategies in controlling disease progression and preventing complications, but more importantly, long-term follow-up results demonstrate favorable neurological recovery and quality of life in the child, offering key clinical data for evaluating the long-term prognosis of this disease. Furthermore, the individualized nursing and multidisciplinary collaboration model emphasized in this study establishes an important clinical example for optimizing the diagnosis and treatment pathway of rare autoimmune encephalitis and improving long-term outcomes in pediatric patients.</w:t>
            </w:r>
            <w:bookmarkStart w:id="1" w:name="_GoBack"/>
            <w:bookmarkEnd w:id="1"/>
          </w:p>
        </w:tc>
      </w:tr>
    </w:tbl>
    <w:p>
      <w:pPr>
        <w:rPr>
          <w:sz w:val="20"/>
          <w:szCs w:val="20"/>
          <w:lang w:val="en-GB"/>
        </w:rPr>
      </w:pPr>
    </w:p>
    <w:p>
      <w:pPr>
        <w:rPr>
          <w:sz w:val="20"/>
          <w:szCs w:val="20"/>
          <w:lang w:val="en-GB"/>
        </w:rPr>
      </w:pPr>
    </w:p>
    <w:p>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pPr>
        <w:rPr>
          <w:sz w:val="20"/>
          <w:szCs w:val="20"/>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8"/>
        <w:gridCol w:w="4632"/>
        <w:gridCol w:w="46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keepNext/>
              <w:outlineLvl w:val="1"/>
              <w:rPr>
                <w:rFonts w:eastAsia="MS Mincho"/>
                <w:b/>
                <w:bCs/>
                <w:sz w:val="20"/>
                <w:szCs w:val="20"/>
                <w:lang w:val="en-GB"/>
              </w:rPr>
            </w:pPr>
          </w:p>
        </w:tc>
        <w:tc>
          <w:tcPr>
            <w:tcW w:w="1667" w:type="pct"/>
          </w:tcPr>
          <w:p>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rPr>
                <w:b/>
                <w:bCs/>
                <w:sz w:val="20"/>
                <w:szCs w:val="20"/>
                <w:lang w:val="en-GB"/>
              </w:rPr>
            </w:pPr>
            <w:r>
              <w:rPr>
                <w:b/>
                <w:bCs/>
                <w:sz w:val="20"/>
                <w:szCs w:val="20"/>
                <w:lang w:val="en-GB"/>
              </w:rPr>
              <w:t xml:space="preserve">1. Is the title clear and appropriate for the study? </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pPr>
              <w:ind w:left="360"/>
              <w:rPr>
                <w:b/>
                <w:bCs/>
                <w:sz w:val="20"/>
                <w:szCs w:val="20"/>
                <w:lang w:val="en-GB"/>
              </w:rPr>
            </w:pPr>
            <w:r>
              <w:rPr>
                <w:b/>
                <w:bCs/>
                <w:sz w:val="20"/>
                <w:szCs w:val="20"/>
                <w:lang w:val="en-GB"/>
              </w:rPr>
              <w:t>2</w:t>
            </w:r>
          </w:p>
        </w:tc>
        <w:tc>
          <w:tcPr>
            <w:tcW w:w="1667" w:type="pct"/>
          </w:tcPr>
          <w:p>
            <w:pPr>
              <w:keepNext/>
              <w:outlineLvl w:val="1"/>
              <w:rPr>
                <w:rFonts w:hint="eastAsia" w:eastAsia="MS Mincho"/>
                <w:bCs/>
                <w:sz w:val="20"/>
                <w:szCs w:val="20"/>
                <w:lang w:val="en-GB"/>
              </w:rPr>
            </w:pPr>
            <w:r>
              <w:rPr>
                <w:rFonts w:hint="eastAsia" w:eastAsia="MS Mincho"/>
                <w:bCs/>
                <w:sz w:val="20"/>
                <w:szCs w:val="20"/>
                <w:lang w:val="en-GB"/>
              </w:rPr>
              <w:t>The relevant content has been revised accordingly.</w:t>
            </w:r>
          </w:p>
          <w:p>
            <w:pPr>
              <w:keepNext/>
              <w:outlineLvl w:val="1"/>
              <w:rPr>
                <w:rFonts w:hint="eastAsia" w:eastAsia="MS Mincho"/>
                <w:bCs/>
                <w:sz w:val="20"/>
                <w:szCs w:val="20"/>
                <w:lang w:val="en-GB"/>
              </w:rPr>
            </w:pPr>
          </w:p>
          <w:p>
            <w:pPr>
              <w:keepNext/>
              <w:outlineLvl w:val="1"/>
              <w:rPr>
                <w:rFonts w:hint="eastAsia" w:eastAsia="MS Mincho"/>
                <w:bCs/>
                <w:sz w:val="20"/>
                <w:szCs w:val="20"/>
                <w:lang w:val="en-GB"/>
              </w:rPr>
            </w:pPr>
            <w:r>
              <w:rPr>
                <w:rFonts w:hint="eastAsia" w:eastAsia="MS Mincho"/>
                <w:bCs/>
                <w:sz w:val="20"/>
                <w:szCs w:val="20"/>
                <w:lang w:val="en-GB"/>
              </w:rPr>
              <w:t>A rare case of  Anti-metabotropic Glutamate Receptor 1 (mGluR1) Antibody-Associated Autoimmune Encephalitis in a school going age child related to nursing experience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pPr>
              <w:ind w:left="360"/>
              <w:rPr>
                <w:b/>
                <w:bCs/>
                <w:sz w:val="20"/>
                <w:szCs w:val="20"/>
                <w:lang w:val="en-GB"/>
              </w:rPr>
            </w:pPr>
            <w:r>
              <w:rPr>
                <w:b/>
                <w:bCs/>
                <w:sz w:val="20"/>
                <w:szCs w:val="20"/>
                <w:lang w:val="en-GB"/>
              </w:rPr>
              <w:t>2</w:t>
            </w:r>
          </w:p>
        </w:tc>
        <w:tc>
          <w:tcPr>
            <w:tcW w:w="1667" w:type="pct"/>
          </w:tcPr>
          <w:p>
            <w:pPr>
              <w:keepNext/>
              <w:outlineLvl w:val="1"/>
              <w:rPr>
                <w:rFonts w:eastAsia="MS Mincho"/>
                <w:bCs/>
                <w:sz w:val="20"/>
                <w:szCs w:val="20"/>
                <w:lang w:val="en-GB"/>
              </w:rPr>
            </w:pPr>
            <w:r>
              <w:rPr>
                <w:rFonts w:hint="eastAsia" w:eastAsia="MS Mincho"/>
                <w:bCs/>
                <w:sz w:val="20"/>
                <w:szCs w:val="20"/>
                <w:lang w:val="en-GB"/>
              </w:rPr>
              <w:t>The relevant content has been revised accordingly.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pPr>
              <w:ind w:left="360"/>
              <w:rPr>
                <w:b/>
                <w:bCs/>
                <w:sz w:val="20"/>
                <w:szCs w:val="20"/>
                <w:lang w:val="en-GB"/>
              </w:rPr>
            </w:pPr>
            <w:r>
              <w:rPr>
                <w:b/>
                <w:bCs/>
                <w:sz w:val="20"/>
                <w:szCs w:val="20"/>
                <w:lang w:val="en-GB"/>
              </w:rPr>
              <w:t>3</w:t>
            </w:r>
          </w:p>
        </w:tc>
        <w:tc>
          <w:tcPr>
            <w:tcW w:w="1667" w:type="pct"/>
          </w:tcPr>
          <w:p>
            <w:pPr>
              <w:keepNext/>
              <w:outlineLvl w:val="1"/>
              <w:rPr>
                <w:rFonts w:eastAsia="MS Mincho"/>
                <w:b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pPr>
              <w:ind w:left="360"/>
              <w:rPr>
                <w:b/>
                <w:bCs/>
                <w:sz w:val="20"/>
                <w:szCs w:val="20"/>
                <w:lang w:val="en-GB"/>
              </w:rPr>
            </w:pPr>
            <w:r>
              <w:rPr>
                <w:b/>
                <w:bCs/>
                <w:sz w:val="20"/>
                <w:szCs w:val="20"/>
                <w:lang w:val="en-GB"/>
              </w:rPr>
              <w:t>2</w:t>
            </w:r>
          </w:p>
        </w:tc>
        <w:tc>
          <w:tcPr>
            <w:tcW w:w="1667" w:type="pct"/>
          </w:tcPr>
          <w:p>
            <w:pPr>
              <w:keepNext/>
              <w:outlineLvl w:val="1"/>
              <w:rPr>
                <w:rFonts w:eastAsia="MS Mincho"/>
                <w:bCs/>
                <w:sz w:val="20"/>
                <w:szCs w:val="20"/>
                <w:lang w:val="en-GB"/>
              </w:rPr>
            </w:pPr>
            <w:r>
              <w:rPr>
                <w:rFonts w:hint="eastAsia" w:eastAsia="MS Mincho"/>
                <w:bCs/>
                <w:sz w:val="20"/>
                <w:szCs w:val="20"/>
                <w:lang w:val="en-GB"/>
              </w:rPr>
              <w:t>The relevant content has been revised accordingly.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keepNex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pPr>
              <w:ind w:left="360"/>
              <w:rPr>
                <w:b/>
                <w:bCs/>
                <w:sz w:val="20"/>
                <w:szCs w:val="20"/>
                <w:lang w:val="en-GB"/>
              </w:rPr>
            </w:pPr>
            <w:r>
              <w:rPr>
                <w:b/>
                <w:bCs/>
                <w:sz w:val="20"/>
                <w:szCs w:val="20"/>
                <w:lang w:val="en-GB"/>
              </w:rPr>
              <w:t>3</w:t>
            </w:r>
          </w:p>
        </w:tc>
        <w:tc>
          <w:tcPr>
            <w:tcW w:w="1667" w:type="pct"/>
          </w:tcPr>
          <w:p>
            <w:pPr>
              <w:keepNext/>
              <w:outlineLvl w:val="1"/>
              <w:rPr>
                <w:rFonts w:eastAsia="MS Mincho"/>
                <w:b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pPr>
              <w:ind w:left="360"/>
              <w:rPr>
                <w:b/>
                <w:bCs/>
                <w:sz w:val="20"/>
                <w:szCs w:val="20"/>
                <w:lang w:val="en-GB"/>
              </w:rPr>
            </w:pPr>
            <w:r>
              <w:rPr>
                <w:b/>
                <w:bCs/>
                <w:sz w:val="20"/>
                <w:szCs w:val="20"/>
                <w:lang w:val="en-GB"/>
              </w:rPr>
              <w:t>3</w:t>
            </w:r>
          </w:p>
        </w:tc>
        <w:tc>
          <w:tcPr>
            <w:tcW w:w="1667" w:type="pct"/>
          </w:tcPr>
          <w:p>
            <w:pPr>
              <w:keepNext/>
              <w:outlineLvl w:val="1"/>
              <w:rPr>
                <w:rFonts w:eastAsia="MS Mincho"/>
                <w:b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pPr>
              <w:ind w:left="360"/>
              <w:rPr>
                <w:b/>
                <w:bCs/>
                <w:sz w:val="20"/>
                <w:szCs w:val="20"/>
                <w:lang w:val="en-GB"/>
              </w:rPr>
            </w:pPr>
            <w:r>
              <w:rPr>
                <w:b/>
                <w:bCs/>
                <w:sz w:val="20"/>
                <w:szCs w:val="20"/>
                <w:lang w:val="en-GB"/>
              </w:rPr>
              <w:t>3</w:t>
            </w:r>
          </w:p>
        </w:tc>
        <w:tc>
          <w:tcPr>
            <w:tcW w:w="1667" w:type="pct"/>
          </w:tcPr>
          <w:p>
            <w:pPr>
              <w:keepNext/>
              <w:outlineLvl w:val="1"/>
              <w:rPr>
                <w:rFonts w:eastAsia="MS Mincho"/>
                <w:b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keepNex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pPr>
              <w:ind w:left="360"/>
              <w:rPr>
                <w:b/>
                <w:bCs/>
                <w:sz w:val="20"/>
                <w:szCs w:val="20"/>
                <w:lang w:val="en-GB"/>
              </w:rPr>
            </w:pPr>
            <w:r>
              <w:rPr>
                <w:b/>
                <w:bCs/>
                <w:sz w:val="20"/>
                <w:szCs w:val="20"/>
                <w:lang w:val="en-GB"/>
              </w:rPr>
              <w:t>2</w:t>
            </w:r>
          </w:p>
        </w:tc>
        <w:tc>
          <w:tcPr>
            <w:tcW w:w="1667" w:type="pct"/>
          </w:tcPr>
          <w:p>
            <w:pPr>
              <w:keepNext/>
              <w:outlineLvl w:val="1"/>
              <w:rPr>
                <w:rFonts w:eastAsia="MS Mincho"/>
                <w:bCs/>
                <w:sz w:val="20"/>
                <w:szCs w:val="20"/>
                <w:lang w:val="en-GB"/>
              </w:rPr>
            </w:pPr>
            <w:r>
              <w:rPr>
                <w:rFonts w:hint="eastAsia" w:eastAsia="MS Mincho"/>
                <w:bCs/>
                <w:sz w:val="20"/>
                <w:szCs w:val="20"/>
                <w:lang w:val="en-GB"/>
              </w:rPr>
              <w:t>Written informed consent was obtained from the patient's parents/legal guardians for publication of this case report and any accompanying images.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rPr>
                <w:b/>
                <w:sz w:val="20"/>
                <w:szCs w:val="20"/>
                <w:lang w:val="en-GB"/>
              </w:rPr>
            </w:pPr>
            <w:r>
              <w:rPr>
                <w:b/>
                <w:sz w:val="20"/>
                <w:szCs w:val="20"/>
                <w:lang w:val="en-GB"/>
              </w:rPr>
              <w:t xml:space="preserve">9. Are the results presented clearly? </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pPr>
              <w:contextualSpacing/>
              <w:rPr>
                <w:bCs/>
                <w:sz w:val="20"/>
                <w:szCs w:val="20"/>
                <w:lang w:val="en-GB"/>
              </w:rPr>
            </w:pPr>
            <w:r>
              <w:rPr>
                <w:bCs/>
                <w:sz w:val="20"/>
                <w:szCs w:val="20"/>
                <w:lang w:val="en-GB"/>
              </w:rPr>
              <w:t>2</w:t>
            </w:r>
          </w:p>
        </w:tc>
        <w:tc>
          <w:tcPr>
            <w:tcW w:w="1667" w:type="pct"/>
          </w:tcPr>
          <w:p>
            <w:pPr>
              <w:keepNext/>
              <w:outlineLvl w:val="1"/>
              <w:rPr>
                <w:rFonts w:eastAsia="MS Mincho"/>
                <w:bCs/>
                <w:sz w:val="20"/>
                <w:szCs w:val="20"/>
                <w:lang w:val="en-GB"/>
              </w:rPr>
            </w:pPr>
            <w:r>
              <w:rPr>
                <w:rFonts w:hint="eastAsia" w:eastAsia="MS Mincho"/>
                <w:bCs/>
                <w:sz w:val="20"/>
                <w:szCs w:val="20"/>
                <w:lang w:val="en-GB"/>
              </w:rPr>
              <w:t>The relevant content has been revised accordingly.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rPr>
                <w:b/>
                <w:sz w:val="20"/>
                <w:szCs w:val="20"/>
                <w:lang w:val="en-GB"/>
              </w:rPr>
            </w:pPr>
            <w:r>
              <w:rPr>
                <w:b/>
                <w:sz w:val="20"/>
                <w:szCs w:val="20"/>
                <w:lang w:val="en-GB"/>
              </w:rPr>
              <w:t>10. Are tables and figures clear, relevant, and necessary?</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pPr>
              <w:rPr>
                <w:color w:val="404040"/>
                <w:sz w:val="20"/>
                <w:szCs w:val="20"/>
                <w:shd w:val="clear" w:color="auto" w:fill="FFFFFF"/>
                <w:lang w:val="en-GB"/>
              </w:rPr>
            </w:pPr>
          </w:p>
          <w:p>
            <w:pPr>
              <w:rPr>
                <w:sz w:val="20"/>
                <w:szCs w:val="20"/>
                <w:lang w:val="en-GB"/>
              </w:rPr>
            </w:pPr>
          </w:p>
        </w:tc>
        <w:tc>
          <w:tcPr>
            <w:tcW w:w="1667" w:type="pct"/>
          </w:tcPr>
          <w:p>
            <w:pPr>
              <w:contextualSpacing/>
              <w:rPr>
                <w:bCs/>
                <w:sz w:val="20"/>
                <w:szCs w:val="20"/>
                <w:lang w:val="en-GB"/>
              </w:rPr>
            </w:pPr>
            <w:r>
              <w:rPr>
                <w:bCs/>
                <w:sz w:val="20"/>
                <w:szCs w:val="20"/>
                <w:lang w:val="en-GB"/>
              </w:rPr>
              <w:t>1</w:t>
            </w:r>
          </w:p>
        </w:tc>
        <w:tc>
          <w:tcPr>
            <w:tcW w:w="1667" w:type="pct"/>
          </w:tcPr>
          <w:p>
            <w:pPr>
              <w:keepNext/>
              <w:outlineLvl w:val="1"/>
              <w:rPr>
                <w:rFonts w:eastAsia="MS Mincho"/>
                <w:bCs/>
                <w:sz w:val="20"/>
                <w:szCs w:val="20"/>
                <w:lang w:val="en-GB"/>
              </w:rPr>
            </w:pPr>
            <w:r>
              <w:rPr>
                <w:rFonts w:hint="eastAsia" w:eastAsia="MS Mincho"/>
                <w:bCs/>
                <w:sz w:val="20"/>
                <w:szCs w:val="20"/>
                <w:lang w:val="en-GB"/>
              </w:rPr>
              <w:t>The relevant content has been revised accordingly.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rPr>
                <w:b/>
                <w:sz w:val="20"/>
                <w:szCs w:val="20"/>
                <w:lang w:val="en-GB"/>
              </w:rPr>
            </w:pPr>
            <w:r>
              <w:rPr>
                <w:b/>
                <w:sz w:val="20"/>
                <w:szCs w:val="20"/>
                <w:lang w:val="en-GB"/>
              </w:rPr>
              <w:t>11. Does the discussion relate findings to existing literature?</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pPr>
              <w:contextualSpacing/>
              <w:rPr>
                <w:bCs/>
                <w:sz w:val="20"/>
                <w:szCs w:val="20"/>
                <w:lang w:val="en-GB"/>
              </w:rPr>
            </w:pPr>
            <w:r>
              <w:rPr>
                <w:bCs/>
                <w:sz w:val="20"/>
                <w:szCs w:val="20"/>
                <w:lang w:val="en-GB"/>
              </w:rPr>
              <w:t>2</w:t>
            </w:r>
          </w:p>
        </w:tc>
        <w:tc>
          <w:tcPr>
            <w:tcW w:w="1667" w:type="pct"/>
          </w:tcPr>
          <w:p>
            <w:pPr>
              <w:keepNext/>
              <w:outlineLvl w:val="1"/>
              <w:rPr>
                <w:rFonts w:eastAsia="MS Mincho"/>
                <w:bCs/>
                <w:sz w:val="20"/>
                <w:szCs w:val="20"/>
                <w:lang w:val="en-GB"/>
              </w:rPr>
            </w:pPr>
            <w:r>
              <w:rPr>
                <w:rFonts w:hint="eastAsia" w:eastAsia="MS Mincho"/>
                <w:bCs/>
                <w:sz w:val="20"/>
                <w:szCs w:val="20"/>
                <w:lang w:val="en-GB"/>
              </w:rPr>
              <w:t>The relevant content has been revised accordingly.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rPr>
                <w:b/>
                <w:sz w:val="20"/>
                <w:szCs w:val="20"/>
                <w:lang w:val="en-GB"/>
              </w:rPr>
            </w:pPr>
            <w:r>
              <w:rPr>
                <w:b/>
                <w:sz w:val="20"/>
                <w:szCs w:val="20"/>
                <w:lang w:val="en-GB"/>
              </w:rPr>
              <w:t>12. Are the conclusions supported by the data?</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pPr>
              <w:contextualSpacing/>
              <w:rPr>
                <w:bCs/>
                <w:sz w:val="20"/>
                <w:szCs w:val="20"/>
                <w:lang w:val="en-GB"/>
              </w:rPr>
            </w:pPr>
            <w:r>
              <w:rPr>
                <w:bCs/>
                <w:sz w:val="20"/>
                <w:szCs w:val="20"/>
                <w:lang w:val="en-GB"/>
              </w:rPr>
              <w:t>1</w:t>
            </w:r>
          </w:p>
        </w:tc>
        <w:tc>
          <w:tcPr>
            <w:tcW w:w="1667" w:type="pct"/>
          </w:tcPr>
          <w:p>
            <w:pPr>
              <w:keepNext/>
              <w:outlineLvl w:val="1"/>
              <w:rPr>
                <w:rFonts w:eastAsia="MS Mincho"/>
                <w:bCs/>
                <w:sz w:val="20"/>
                <w:szCs w:val="20"/>
                <w:lang w:val="en-GB"/>
              </w:rPr>
            </w:pPr>
            <w:r>
              <w:rPr>
                <w:rFonts w:hint="eastAsia" w:eastAsia="MS Mincho"/>
                <w:bCs/>
                <w:sz w:val="20"/>
                <w:szCs w:val="20"/>
                <w:lang w:val="en-GB"/>
              </w:rPr>
              <w:t>We have added the corresponding conclusion in the revised manuscript.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rPr>
                <w:b/>
                <w:sz w:val="20"/>
                <w:szCs w:val="20"/>
                <w:lang w:val="en-GB"/>
              </w:rPr>
            </w:pPr>
            <w:r>
              <w:rPr>
                <w:b/>
                <w:sz w:val="20"/>
                <w:szCs w:val="20"/>
                <w:lang w:val="en-GB"/>
              </w:rPr>
              <w:t>13. Are the limitations of the study discussed?</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pPr>
              <w:contextualSpacing/>
              <w:rPr>
                <w:bCs/>
                <w:sz w:val="20"/>
                <w:szCs w:val="20"/>
                <w:lang w:val="en-GB"/>
              </w:rPr>
            </w:pPr>
            <w:r>
              <w:rPr>
                <w:bCs/>
                <w:sz w:val="20"/>
                <w:szCs w:val="20"/>
                <w:lang w:val="en-GB"/>
              </w:rPr>
              <w:t>No, 1</w:t>
            </w:r>
          </w:p>
        </w:tc>
        <w:tc>
          <w:tcPr>
            <w:tcW w:w="1667" w:type="pct"/>
          </w:tcPr>
          <w:p>
            <w:pPr>
              <w:keepNext/>
              <w:outlineLvl w:val="1"/>
              <w:rPr>
                <w:rFonts w:eastAsia="MS Mincho"/>
                <w:bCs/>
                <w:sz w:val="20"/>
                <w:szCs w:val="20"/>
                <w:lang w:val="en-GB"/>
              </w:rPr>
            </w:pPr>
            <w:r>
              <w:rPr>
                <w:rFonts w:hint="eastAsia" w:eastAsia="MS Mincho"/>
                <w:bCs/>
                <w:sz w:val="20"/>
                <w:szCs w:val="20"/>
                <w:lang w:val="en-GB"/>
              </w:rPr>
              <w:t>As a single-case report, the generalizability of the conclusions in this study is significantly limited by the small sample size. The summarized nursing experience may not fully represent the clinical manifestations and nursing needs of other pediatric patients. In addition, given the uniqueness of the case, a controlled trial cannot be conducted to verify the specific efficacy of each nursing measure. Furthermore, the child’s rehabilitation outcome may be affected by multiple confounding factors such as individual differences, treatment regimens and family support. Therefore, the causal relationship between nursing interventions and rehabilitation effects should be interpreted with caution.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rPr>
                <w:b/>
                <w:sz w:val="20"/>
                <w:szCs w:val="20"/>
                <w:lang w:val="en-GB"/>
              </w:rPr>
            </w:pPr>
            <w:r>
              <w:rPr>
                <w:b/>
                <w:sz w:val="20"/>
                <w:szCs w:val="20"/>
                <w:lang w:val="en-GB"/>
              </w:rPr>
              <w:t>14. Are the references relevant and sufficient (in number)?</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pPr>
              <w:rPr>
                <w:sz w:val="20"/>
                <w:szCs w:val="20"/>
                <w:lang w:val="en-GB"/>
              </w:rPr>
            </w:pPr>
            <w:r>
              <w:rPr>
                <w:color w:val="404040"/>
                <w:sz w:val="20"/>
                <w:szCs w:val="20"/>
                <w:shd w:val="clear" w:color="auto" w:fill="FFFFFF"/>
                <w:lang w:val="en-GB"/>
              </w:rPr>
              <w:t>N/A = Not Applicable</w:t>
            </w:r>
          </w:p>
        </w:tc>
        <w:tc>
          <w:tcPr>
            <w:tcW w:w="1667" w:type="pct"/>
          </w:tcPr>
          <w:p>
            <w:pPr>
              <w:contextualSpacing/>
              <w:rPr>
                <w:bCs/>
                <w:sz w:val="20"/>
                <w:szCs w:val="20"/>
                <w:lang w:val="en-GB"/>
              </w:rPr>
            </w:pPr>
            <w:r>
              <w:rPr>
                <w:bCs/>
                <w:sz w:val="20"/>
                <w:szCs w:val="20"/>
                <w:lang w:val="en-GB"/>
              </w:rPr>
              <w:t>2</w:t>
            </w:r>
          </w:p>
        </w:tc>
        <w:tc>
          <w:tcPr>
            <w:tcW w:w="1667" w:type="pct"/>
          </w:tcPr>
          <w:p>
            <w:pPr>
              <w:keepNext/>
              <w:outlineLvl w:val="1"/>
              <w:rPr>
                <w:rFonts w:eastAsia="MS Mincho"/>
                <w:bCs/>
                <w:sz w:val="20"/>
                <w:szCs w:val="20"/>
                <w:lang w:val="en-GB"/>
              </w:rPr>
            </w:pPr>
            <w:r>
              <w:rPr>
                <w:rFonts w:hint="eastAsia" w:eastAsia="MS Mincho"/>
                <w:bCs/>
                <w:sz w:val="20"/>
                <w:szCs w:val="20"/>
                <w:lang w:val="en-GB"/>
              </w:rPr>
              <w:t>The relevant content has been revised accordingly.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rPr>
                <w:b/>
                <w:sz w:val="20"/>
                <w:szCs w:val="20"/>
                <w:lang w:val="en-GB"/>
              </w:rPr>
            </w:pPr>
            <w:r>
              <w:rPr>
                <w:b/>
                <w:sz w:val="20"/>
                <w:szCs w:val="20"/>
                <w:lang w:val="en-GB"/>
              </w:rPr>
              <w:t>15. Is the manuscript written in clear and understandable language?</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pPr>
              <w:rPr>
                <w:sz w:val="20"/>
                <w:szCs w:val="20"/>
                <w:lang w:val="en-GB"/>
              </w:rPr>
            </w:pPr>
            <w:r>
              <w:rPr>
                <w:color w:val="404040"/>
                <w:sz w:val="20"/>
                <w:szCs w:val="20"/>
                <w:shd w:val="clear" w:color="auto" w:fill="FFFFFF"/>
                <w:lang w:val="en-GB"/>
              </w:rPr>
              <w:t>N/A = Not Applicable</w:t>
            </w:r>
          </w:p>
        </w:tc>
        <w:tc>
          <w:tcPr>
            <w:tcW w:w="1667" w:type="pct"/>
          </w:tcPr>
          <w:p>
            <w:pPr>
              <w:contextualSpacing/>
              <w:rPr>
                <w:bCs/>
                <w:sz w:val="20"/>
                <w:szCs w:val="20"/>
                <w:lang w:val="en-GB"/>
              </w:rPr>
            </w:pPr>
            <w:r>
              <w:rPr>
                <w:bCs/>
                <w:sz w:val="20"/>
                <w:szCs w:val="20"/>
                <w:lang w:val="en-GB"/>
              </w:rPr>
              <w:t>2</w:t>
            </w:r>
          </w:p>
        </w:tc>
        <w:tc>
          <w:tcPr>
            <w:tcW w:w="1667" w:type="pct"/>
          </w:tcPr>
          <w:p>
            <w:pPr>
              <w:keepNext/>
              <w:outlineLvl w:val="1"/>
              <w:rPr>
                <w:rFonts w:eastAsia="MS Mincho"/>
                <w:bCs/>
                <w:sz w:val="20"/>
                <w:szCs w:val="20"/>
                <w:lang w:val="en-GB"/>
              </w:rPr>
            </w:pPr>
            <w:r>
              <w:rPr>
                <w:rFonts w:hint="eastAsia" w:eastAsia="MS Mincho"/>
                <w:bCs/>
                <w:sz w:val="20"/>
                <w:szCs w:val="20"/>
                <w:lang w:val="en-GB"/>
              </w:rPr>
              <w:t>The relevant content has been revised accordingly.</w:t>
            </w:r>
          </w:p>
        </w:tc>
      </w:tr>
    </w:tbl>
    <w:p>
      <w:pPr>
        <w:jc w:val="both"/>
        <w:rPr>
          <w:rFonts w:eastAsia="MS Mincho"/>
          <w:b/>
          <w:bCs/>
          <w:sz w:val="20"/>
          <w:szCs w:val="20"/>
          <w:u w:val="single"/>
          <w:lang w:val="en-GB" w:eastAsia="zh-CN"/>
        </w:rPr>
      </w:pPr>
    </w:p>
    <w:p>
      <w:pPr>
        <w:jc w:val="both"/>
        <w:rPr>
          <w:rFonts w:eastAsia="MS Mincho"/>
          <w:b/>
          <w:bCs/>
          <w:sz w:val="20"/>
          <w:szCs w:val="20"/>
          <w:u w:val="single"/>
          <w:lang w:val="en-GB" w:eastAsia="zh-CN"/>
        </w:rPr>
      </w:pPr>
    </w:p>
    <w:p>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pPr>
        <w:rPr>
          <w:sz w:val="20"/>
          <w:szCs w:val="20"/>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8"/>
        <w:gridCol w:w="4632"/>
        <w:gridCol w:w="46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keepNext/>
              <w:outlineLvl w:val="1"/>
              <w:rPr>
                <w:rFonts w:eastAsia="MS Mincho"/>
                <w:b/>
                <w:bCs/>
                <w:sz w:val="20"/>
                <w:szCs w:val="20"/>
                <w:lang w:val="en-GB"/>
              </w:rPr>
            </w:pPr>
          </w:p>
        </w:tc>
        <w:tc>
          <w:tcPr>
            <w:tcW w:w="1667" w:type="pct"/>
          </w:tcPr>
          <w:p>
            <w:pPr>
              <w:keepNext/>
              <w:outlineLvl w:val="1"/>
              <w:rPr>
                <w:rFonts w:eastAsia="MS Mincho"/>
                <w:b/>
                <w:bCs/>
                <w:sz w:val="20"/>
                <w:szCs w:val="20"/>
                <w:lang w:val="en-GB"/>
              </w:rPr>
            </w:pPr>
            <w:r>
              <w:rPr>
                <w:rFonts w:eastAsia="MS Mincho"/>
                <w:b/>
                <w:bCs/>
                <w:sz w:val="20"/>
                <w:szCs w:val="20"/>
                <w:lang w:val="en-GB"/>
              </w:rPr>
              <w:t>Reviewer’s comment</w:t>
            </w:r>
          </w:p>
          <w:p>
            <w:pPr>
              <w:rPr>
                <w:sz w:val="20"/>
                <w:szCs w:val="20"/>
                <w:lang w:val="en-GB"/>
              </w:rPr>
            </w:pPr>
          </w:p>
        </w:tc>
        <w:tc>
          <w:tcPr>
            <w:tcW w:w="1667" w:type="pct"/>
          </w:tcPr>
          <w:p>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pPr>
              <w:keepNext/>
              <w:outlineLvl w:val="1"/>
              <w:rPr>
                <w:rFonts w:eastAsia="MS Mincho"/>
                <w:b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rPr>
                <w:b/>
                <w:bCs/>
                <w:sz w:val="20"/>
                <w:szCs w:val="20"/>
                <w:lang w:val="en-GB"/>
              </w:rPr>
            </w:pPr>
            <w:r>
              <w:rPr>
                <w:b/>
                <w:bCs/>
                <w:sz w:val="20"/>
                <w:szCs w:val="20"/>
                <w:lang w:val="en-GB"/>
              </w:rPr>
              <w:t>Is the title of the article suitable?</w:t>
            </w:r>
          </w:p>
          <w:p>
            <w:pPr>
              <w:rPr>
                <w:bCs/>
                <w:sz w:val="20"/>
                <w:szCs w:val="20"/>
                <w:lang w:val="en-GB"/>
              </w:rPr>
            </w:pPr>
          </w:p>
          <w:p>
            <w:pPr>
              <w:rPr>
                <w:bCs/>
                <w:sz w:val="20"/>
                <w:szCs w:val="20"/>
                <w:lang w:val="en-GB"/>
              </w:rPr>
            </w:pPr>
            <w:r>
              <w:rPr>
                <w:bCs/>
                <w:sz w:val="20"/>
                <w:szCs w:val="20"/>
                <w:lang w:val="en-GB"/>
              </w:rPr>
              <w:t>If your answer is NO, please provide a brief, clear suggestion for improvement.</w:t>
            </w:r>
          </w:p>
          <w:p>
            <w:pPr>
              <w:rPr>
                <w:sz w:val="20"/>
                <w:szCs w:val="20"/>
                <w:u w:val="single"/>
                <w:lang w:val="en-GB"/>
              </w:rPr>
            </w:pPr>
          </w:p>
        </w:tc>
        <w:tc>
          <w:tcPr>
            <w:tcW w:w="1667" w:type="pct"/>
          </w:tcPr>
          <w:p>
            <w:pPr>
              <w:ind w:left="360"/>
              <w:rPr>
                <w:b/>
                <w:bCs/>
                <w:sz w:val="20"/>
                <w:szCs w:val="20"/>
                <w:lang w:val="en-GB"/>
              </w:rPr>
            </w:pPr>
          </w:p>
          <w:p>
            <w:pPr>
              <w:rPr>
                <w:sz w:val="20"/>
                <w:szCs w:val="20"/>
                <w:lang w:val="en-GB"/>
              </w:rPr>
            </w:pPr>
            <w:bookmarkStart w:id="0" w:name="OLE_LINK1"/>
            <w:r>
              <w:rPr>
                <w:sz w:val="20"/>
                <w:szCs w:val="20"/>
                <w:lang w:val="en-GB"/>
              </w:rPr>
              <w:t xml:space="preserve">A rare case of  Anti-metabotropic Glutamate Receptor 1 (mGluR1) Antibody-Associated Autoimmune Encephalitis in a school going age child related to nursing experience </w:t>
            </w:r>
            <w:bookmarkEnd w:id="0"/>
          </w:p>
        </w:tc>
        <w:tc>
          <w:tcPr>
            <w:tcW w:w="1667" w:type="pct"/>
          </w:tcPr>
          <w:p>
            <w:pPr>
              <w:keepNext/>
              <w:outlineLvl w:val="1"/>
              <w:rPr>
                <w:rFonts w:eastAsia="MS Mincho"/>
                <w:bCs/>
                <w:sz w:val="20"/>
                <w:szCs w:val="20"/>
                <w:lang w:val="en-GB"/>
              </w:rPr>
            </w:pPr>
            <w:r>
              <w:rPr>
                <w:rFonts w:hint="eastAsia" w:eastAsia="MS Mincho"/>
                <w:bCs/>
                <w:sz w:val="20"/>
                <w:szCs w:val="20"/>
                <w:lang w:val="en-GB"/>
              </w:rPr>
              <w:t>The relevant content has been revised accordingly.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pPr>
              <w:rPr>
                <w:bCs/>
                <w:sz w:val="20"/>
                <w:szCs w:val="20"/>
                <w:lang w:val="en-GB"/>
              </w:rPr>
            </w:pPr>
            <w:r>
              <w:rPr>
                <w:bCs/>
                <w:sz w:val="20"/>
                <w:szCs w:val="20"/>
                <w:lang w:val="en-GB"/>
              </w:rPr>
              <w:t>s</w:t>
            </w:r>
          </w:p>
          <w:p>
            <w:pPr>
              <w:rPr>
                <w:bCs/>
                <w:sz w:val="20"/>
                <w:szCs w:val="20"/>
                <w:lang w:val="en-GB"/>
              </w:rPr>
            </w:pPr>
            <w:r>
              <w:rPr>
                <w:bCs/>
                <w:sz w:val="20"/>
                <w:szCs w:val="20"/>
                <w:lang w:val="en-GB"/>
              </w:rPr>
              <w:t>If your answer is NO, please provide a brief, clear suggestion for improvement.</w:t>
            </w:r>
          </w:p>
          <w:p>
            <w:pPr>
              <w:rPr>
                <w:sz w:val="20"/>
                <w:szCs w:val="20"/>
                <w:lang w:val="en-GB"/>
              </w:rPr>
            </w:pPr>
          </w:p>
        </w:tc>
        <w:tc>
          <w:tcPr>
            <w:tcW w:w="1667" w:type="pct"/>
          </w:tcPr>
          <w:p>
            <w:pPr>
              <w:ind w:left="360"/>
              <w:rPr>
                <w:b/>
                <w:bCs/>
                <w:sz w:val="20"/>
                <w:szCs w:val="20"/>
                <w:lang w:val="en-GB"/>
              </w:rPr>
            </w:pPr>
            <w:r>
              <w:rPr>
                <w:b/>
                <w:bCs/>
                <w:sz w:val="20"/>
                <w:szCs w:val="20"/>
                <w:lang w:val="en-GB"/>
              </w:rPr>
              <w:t>Write background about this condition in two sentences followed by case presentation in two to three sentences so please look at them write about the investigations and management with outcome in 3 to 4 sentences so no need to write any headings in the abstract</w:t>
            </w:r>
          </w:p>
        </w:tc>
        <w:tc>
          <w:tcPr>
            <w:tcW w:w="1667" w:type="pct"/>
          </w:tcPr>
          <w:p>
            <w:pPr>
              <w:keepNext/>
              <w:outlineLvl w:val="1"/>
              <w:rPr>
                <w:rFonts w:eastAsia="MS Mincho"/>
                <w:bCs/>
                <w:sz w:val="20"/>
                <w:szCs w:val="20"/>
                <w:lang w:val="en-GB"/>
              </w:rPr>
            </w:pPr>
            <w:r>
              <w:rPr>
                <w:rFonts w:hint="eastAsia" w:eastAsia="MS Mincho"/>
                <w:bCs/>
                <w:sz w:val="20"/>
                <w:szCs w:val="20"/>
                <w:lang w:val="en-GB"/>
              </w:rPr>
              <w:t>The relevant content has been revised accordingly.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keepNext/>
              <w:outlineLvl w:val="1"/>
              <w:rPr>
                <w:rFonts w:hint="eastAsia" w:eastAsia="宋体"/>
                <w:b/>
                <w:bCs/>
                <w:sz w:val="20"/>
                <w:szCs w:val="20"/>
                <w:lang w:val="en-GB" w:eastAsia="zh-CN"/>
              </w:rPr>
            </w:pPr>
            <w:r>
              <w:rPr>
                <w:rFonts w:eastAsia="MS Mincho"/>
                <w:b/>
                <w:bCs/>
                <w:sz w:val="20"/>
                <w:szCs w:val="20"/>
                <w:lang w:val="en-GB"/>
              </w:rPr>
              <w:t xml:space="preserve">Is the manuscript scientifically correct? </w:t>
            </w:r>
          </w:p>
          <w:p>
            <w:pPr>
              <w:keepNext/>
              <w:outlineLvl w:val="1"/>
              <w:rPr>
                <w:rFonts w:hint="eastAsia" w:eastAsia="宋体"/>
                <w:b/>
                <w:bCs/>
                <w:sz w:val="20"/>
                <w:szCs w:val="20"/>
                <w:lang w:val="en-GB" w:eastAsia="zh-CN"/>
              </w:rPr>
            </w:pPr>
          </w:p>
          <w:p>
            <w:pPr>
              <w:rPr>
                <w:bCs/>
                <w:sz w:val="20"/>
                <w:szCs w:val="20"/>
                <w:lang w:val="en-GB"/>
              </w:rPr>
            </w:pPr>
            <w:r>
              <w:rPr>
                <w:bCs/>
                <w:sz w:val="20"/>
                <w:szCs w:val="20"/>
                <w:lang w:val="en-GB"/>
              </w:rPr>
              <w:t>If your answer is NO, please provide a brief, clear suggestion for improvement</w:t>
            </w:r>
          </w:p>
          <w:p>
            <w:pPr>
              <w:rPr>
                <w:b/>
                <w:sz w:val="20"/>
                <w:szCs w:val="20"/>
                <w:lang w:val="en-GB"/>
              </w:rPr>
            </w:pPr>
            <w:r>
              <w:rPr>
                <w:bCs/>
                <w:sz w:val="20"/>
                <w:szCs w:val="20"/>
                <w:lang w:val="en-GB"/>
              </w:rPr>
              <w:t>.</w:t>
            </w:r>
          </w:p>
        </w:tc>
        <w:tc>
          <w:tcPr>
            <w:tcW w:w="1667" w:type="pct"/>
          </w:tcPr>
          <w:p>
            <w:pPr>
              <w:contextualSpacing/>
              <w:rPr>
                <w:bCs/>
                <w:sz w:val="20"/>
                <w:szCs w:val="20"/>
                <w:lang w:val="en-GB"/>
              </w:rPr>
            </w:pPr>
            <w:r>
              <w:rPr>
                <w:bCs/>
                <w:sz w:val="20"/>
                <w:szCs w:val="20"/>
                <w:lang w:val="en-GB"/>
              </w:rPr>
              <w:t xml:space="preserve">Please follow my advice in the manuscript </w:t>
            </w:r>
          </w:p>
        </w:tc>
        <w:tc>
          <w:tcPr>
            <w:tcW w:w="1667" w:type="pct"/>
          </w:tcPr>
          <w:p>
            <w:pPr>
              <w:keepNext/>
              <w:outlineLvl w:val="1"/>
              <w:rPr>
                <w:rFonts w:eastAsia="MS Mincho"/>
                <w:bCs/>
                <w:sz w:val="20"/>
                <w:szCs w:val="20"/>
                <w:lang w:val="en-GB"/>
              </w:rPr>
            </w:pPr>
            <w:r>
              <w:rPr>
                <w:rFonts w:hint="eastAsia" w:eastAsia="MS Mincho"/>
                <w:bCs/>
                <w:sz w:val="20"/>
                <w:szCs w:val="20"/>
                <w:lang w:val="en-GB"/>
              </w:rPr>
              <w:t>The relevant content has been revised accordingly.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rPr>
                <w:b/>
                <w:bCs/>
                <w:sz w:val="20"/>
                <w:szCs w:val="20"/>
                <w:lang w:val="en-GB"/>
              </w:rPr>
            </w:pPr>
            <w:r>
              <w:rPr>
                <w:b/>
                <w:bCs/>
                <w:sz w:val="20"/>
                <w:szCs w:val="20"/>
                <w:lang w:val="en-GB"/>
              </w:rPr>
              <w:t xml:space="preserve">Are the references sufficient and recent? </w:t>
            </w:r>
          </w:p>
          <w:p>
            <w:pPr>
              <w:rPr>
                <w:bCs/>
                <w:sz w:val="20"/>
                <w:szCs w:val="20"/>
                <w:lang w:val="en-GB"/>
              </w:rPr>
            </w:pPr>
            <w:r>
              <w:rPr>
                <w:bCs/>
                <w:sz w:val="20"/>
                <w:szCs w:val="20"/>
                <w:lang w:val="en-GB"/>
              </w:rPr>
              <w:t>(YES or NO)</w:t>
            </w:r>
          </w:p>
          <w:p>
            <w:pPr>
              <w:rPr>
                <w:bCs/>
                <w:sz w:val="20"/>
                <w:szCs w:val="20"/>
                <w:lang w:val="en-GB"/>
              </w:rPr>
            </w:pPr>
          </w:p>
          <w:p>
            <w:pPr>
              <w:rPr>
                <w:bCs/>
                <w:sz w:val="20"/>
                <w:szCs w:val="20"/>
                <w:lang w:val="en-GB"/>
              </w:rPr>
            </w:pPr>
            <w:r>
              <w:rPr>
                <w:bCs/>
                <w:sz w:val="20"/>
                <w:szCs w:val="20"/>
                <w:lang w:val="en-GB"/>
              </w:rPr>
              <w:t>If your answer is NO, please provide clear suggestion for improvement.</w:t>
            </w:r>
          </w:p>
          <w:p>
            <w:pPr>
              <w:rPr>
                <w:b/>
                <w:bCs/>
                <w:sz w:val="20"/>
                <w:szCs w:val="20"/>
                <w:lang w:val="en-GB"/>
              </w:rPr>
            </w:pPr>
          </w:p>
        </w:tc>
        <w:tc>
          <w:tcPr>
            <w:tcW w:w="1667" w:type="pct"/>
          </w:tcPr>
          <w:p>
            <w:pPr>
              <w:contextualSpacing/>
              <w:rPr>
                <w:bCs/>
                <w:sz w:val="20"/>
                <w:szCs w:val="20"/>
                <w:lang w:val="en-GB"/>
              </w:rPr>
            </w:pPr>
            <w:r>
              <w:rPr>
                <w:bCs/>
                <w:sz w:val="20"/>
                <w:szCs w:val="20"/>
                <w:lang w:val="en-GB"/>
              </w:rPr>
              <w:t xml:space="preserve">No </w:t>
            </w:r>
          </w:p>
          <w:p>
            <w:pPr>
              <w:contextualSpacing/>
              <w:rPr>
                <w:bCs/>
                <w:sz w:val="20"/>
                <w:szCs w:val="20"/>
                <w:lang w:val="en-GB"/>
              </w:rPr>
            </w:pPr>
            <w:r>
              <w:rPr>
                <w:bCs/>
                <w:sz w:val="20"/>
                <w:szCs w:val="20"/>
                <w:lang w:val="en-GB"/>
              </w:rPr>
              <w:t>Write some case reports of similar cases in the children</w:t>
            </w:r>
          </w:p>
        </w:tc>
        <w:tc>
          <w:tcPr>
            <w:tcW w:w="1667" w:type="pct"/>
          </w:tcPr>
          <w:p>
            <w:pPr>
              <w:keepNext/>
              <w:outlineLvl w:val="1"/>
              <w:rPr>
                <w:rFonts w:eastAsia="MS Mincho"/>
                <w:bCs/>
                <w:sz w:val="20"/>
                <w:szCs w:val="20"/>
                <w:lang w:val="en-GB"/>
              </w:rPr>
            </w:pPr>
            <w:r>
              <w:rPr>
                <w:rFonts w:hint="eastAsia" w:eastAsia="MS Mincho"/>
                <w:bCs/>
                <w:sz w:val="20"/>
                <w:szCs w:val="20"/>
                <w:lang w:val="en-GB"/>
              </w:rPr>
              <w:t>Song TT, Jiang YS, Huang SP, et al. A case report of pediatric anti-metabotropic glutamate receptor 1 antibody-associated encephalitis and literature review. International Journal of Pediatrics, 2025, 52(1): 61-65. DOI:10.3760/cma.j.issn.1673-4408.2025.01.012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rPr>
                <w:b/>
                <w:bCs/>
                <w:sz w:val="20"/>
                <w:szCs w:val="20"/>
                <w:lang w:val="en-GB"/>
              </w:rPr>
            </w:pPr>
            <w:r>
              <w:rPr>
                <w:b/>
                <w:bCs/>
                <w:sz w:val="20"/>
                <w:szCs w:val="20"/>
                <w:lang w:val="en-GB"/>
              </w:rPr>
              <w:t>Are there ethical issues in this manuscript?</w:t>
            </w:r>
          </w:p>
          <w:p>
            <w:pPr>
              <w:rPr>
                <w:bCs/>
                <w:sz w:val="20"/>
                <w:szCs w:val="20"/>
                <w:lang w:val="en-GB"/>
              </w:rPr>
            </w:pPr>
            <w:r>
              <w:rPr>
                <w:bCs/>
                <w:sz w:val="20"/>
                <w:szCs w:val="20"/>
                <w:lang w:val="en-GB"/>
              </w:rPr>
              <w:t>(YES or NO)</w:t>
            </w:r>
          </w:p>
          <w:p>
            <w:pPr>
              <w:rPr>
                <w:bCs/>
                <w:sz w:val="20"/>
                <w:szCs w:val="20"/>
                <w:lang w:val="en-GB"/>
              </w:rPr>
            </w:pPr>
          </w:p>
          <w:p>
            <w:pPr>
              <w:rPr>
                <w:bCs/>
                <w:sz w:val="20"/>
                <w:szCs w:val="20"/>
                <w:lang w:val="en-GB"/>
              </w:rPr>
            </w:pPr>
            <w:r>
              <w:rPr>
                <w:bCs/>
                <w:sz w:val="20"/>
                <w:szCs w:val="20"/>
                <w:lang w:val="en-GB"/>
              </w:rPr>
              <w:t>(If yes, kindly please write down the ethical issues here in details)</w:t>
            </w:r>
          </w:p>
          <w:p>
            <w:pPr>
              <w:rPr>
                <w:bCs/>
                <w:sz w:val="20"/>
                <w:szCs w:val="20"/>
                <w:lang w:val="en-GB"/>
              </w:rPr>
            </w:pPr>
          </w:p>
        </w:tc>
        <w:tc>
          <w:tcPr>
            <w:tcW w:w="1667" w:type="pct"/>
          </w:tcPr>
          <w:p>
            <w:pPr>
              <w:contextualSpacing/>
              <w:rPr>
                <w:bCs/>
                <w:sz w:val="20"/>
                <w:szCs w:val="20"/>
                <w:lang w:val="en-GB"/>
              </w:rPr>
            </w:pPr>
            <w:r>
              <w:rPr>
                <w:bCs/>
                <w:sz w:val="20"/>
                <w:szCs w:val="20"/>
                <w:lang w:val="en-GB"/>
              </w:rPr>
              <w:t>Was written consent taken from the parents ? if yes then mention in the case report</w:t>
            </w:r>
          </w:p>
        </w:tc>
        <w:tc>
          <w:tcPr>
            <w:tcW w:w="1667" w:type="pct"/>
          </w:tcPr>
          <w:p>
            <w:pPr>
              <w:keepNext/>
              <w:outlineLvl w:val="1"/>
              <w:rPr>
                <w:rFonts w:hint="eastAsia" w:eastAsia="宋体"/>
                <w:bCs/>
                <w:sz w:val="20"/>
                <w:szCs w:val="20"/>
                <w:lang w:val="en-US" w:eastAsia="zh-CN"/>
              </w:rPr>
            </w:pPr>
            <w:r>
              <w:rPr>
                <w:rFonts w:hint="eastAsia" w:eastAsia="MS Mincho"/>
                <w:bCs/>
                <w:sz w:val="20"/>
                <w:szCs w:val="20"/>
                <w:lang w:val="en-GB"/>
              </w:rPr>
              <w:t>The relevant statement has been specified accordingly</w:t>
            </w:r>
            <w:r>
              <w:rPr>
                <w:rFonts w:hint="eastAsia" w:eastAsia="宋体"/>
                <w:bCs/>
                <w:sz w:val="20"/>
                <w:szCs w:val="20"/>
                <w:lang w:val="en-US" w:eastAsia="zh-CN"/>
              </w:rPr>
              <w:t>.</w:t>
            </w:r>
          </w:p>
        </w:tc>
      </w:tr>
    </w:tbl>
    <w:p>
      <w:pPr>
        <w:keepNext/>
        <w:outlineLvl w:val="1"/>
        <w:rPr>
          <w:rFonts w:eastAsia="MS Mincho"/>
          <w:b/>
          <w:bCs/>
          <w:sz w:val="20"/>
          <w:szCs w:val="20"/>
          <w:highlight w:val="yellow"/>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pPr>
  </w:p>
  <w:p>
    <w:pPr>
      <w:pStyle w:val="5"/>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1</w:t>
    </w:r>
    <w:r>
      <w:rPr>
        <w:b/>
        <w:sz w:val="20"/>
      </w:rPr>
      <w:fldChar w:fldCharType="end"/>
    </w:r>
  </w:p>
  <w:p>
    <w:pPr>
      <w:pStyle w:val="5"/>
      <w:jc w:val="right"/>
      <w:rPr>
        <w:b/>
        <w:sz w:val="20"/>
      </w:rPr>
    </w:pPr>
    <w:r>
      <w:rPr>
        <w:b/>
        <w:sz w:val="20"/>
      </w:rPr>
      <w:t>V240326</w:t>
    </w:r>
  </w:p>
  <w:p>
    <w:pPr>
      <w:pStyle w:val="5"/>
      <w:jc w:val="right"/>
    </w:pPr>
  </w:p>
  <w:p>
    <w:pPr>
      <w:pStyle w:val="5"/>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00" w:beforeAutospacing="1" w:after="100" w:afterAutospacing="1"/>
      <w:jc w:val="center"/>
      <w:rPr>
        <w:b/>
        <w:bCs/>
        <w:color w:val="003399"/>
        <w:szCs w:val="20"/>
        <w:u w:val="single"/>
        <w:lang w:val="en-GB"/>
      </w:rPr>
    </w:pPr>
  </w:p>
  <w:p>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hyphenationZone w:val="425"/>
  <w:drawingGridHorizontalSpacing w:val="12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AxODNmNzQ1NzFmZjMxNzY4OWNmOTg1NmIzNTI4YmEifQ=="/>
  </w:docVars>
  <w:rsids>
    <w:rsidRoot w:val="00204042"/>
    <w:rsid w:val="000E45A0"/>
    <w:rsid w:val="001061B4"/>
    <w:rsid w:val="00204042"/>
    <w:rsid w:val="00206283"/>
    <w:rsid w:val="00261933"/>
    <w:rsid w:val="00293C83"/>
    <w:rsid w:val="002C66D6"/>
    <w:rsid w:val="00336EAF"/>
    <w:rsid w:val="00357587"/>
    <w:rsid w:val="004632D6"/>
    <w:rsid w:val="004718EF"/>
    <w:rsid w:val="00477888"/>
    <w:rsid w:val="00522BF7"/>
    <w:rsid w:val="005C677A"/>
    <w:rsid w:val="006059A2"/>
    <w:rsid w:val="0061669B"/>
    <w:rsid w:val="00624838"/>
    <w:rsid w:val="00645F2E"/>
    <w:rsid w:val="006534F5"/>
    <w:rsid w:val="006702C0"/>
    <w:rsid w:val="00745DDC"/>
    <w:rsid w:val="0075288B"/>
    <w:rsid w:val="00784EE4"/>
    <w:rsid w:val="007A699C"/>
    <w:rsid w:val="007F06CD"/>
    <w:rsid w:val="008D2987"/>
    <w:rsid w:val="00954C47"/>
    <w:rsid w:val="00960429"/>
    <w:rsid w:val="009951D1"/>
    <w:rsid w:val="009A3A95"/>
    <w:rsid w:val="009E0ED7"/>
    <w:rsid w:val="00A7113E"/>
    <w:rsid w:val="00AA476E"/>
    <w:rsid w:val="00AC6205"/>
    <w:rsid w:val="00AD514F"/>
    <w:rsid w:val="00AE506D"/>
    <w:rsid w:val="00AF3F59"/>
    <w:rsid w:val="00B13483"/>
    <w:rsid w:val="00BD2C51"/>
    <w:rsid w:val="00C23E44"/>
    <w:rsid w:val="00C255C0"/>
    <w:rsid w:val="00C3350A"/>
    <w:rsid w:val="00D51B4B"/>
    <w:rsid w:val="00D634D0"/>
    <w:rsid w:val="00DF4831"/>
    <w:rsid w:val="00E13F66"/>
    <w:rsid w:val="00E24527"/>
    <w:rsid w:val="00E46CBC"/>
    <w:rsid w:val="00E64F6E"/>
    <w:rsid w:val="00E73ED2"/>
    <w:rsid w:val="00E74B7E"/>
    <w:rsid w:val="00EA6E35"/>
    <w:rsid w:val="00EE3E18"/>
    <w:rsid w:val="00FA0B1B"/>
    <w:rsid w:val="00FC4C18"/>
    <w:rsid w:val="0EA8714E"/>
    <w:rsid w:val="21FC7CC7"/>
    <w:rsid w:val="22AA1DBA"/>
    <w:rsid w:val="245C2C9F"/>
    <w:rsid w:val="26BD5C77"/>
    <w:rsid w:val="3E21273C"/>
    <w:rsid w:val="41EE0F83"/>
    <w:rsid w:val="5EE94B54"/>
    <w:rsid w:val="67825B46"/>
    <w:rsid w:val="792627D5"/>
  </w:rsids>
  <m:mathPr>
    <m:mathFont m:val="Cambria Math"/>
    <m:brkBin m:val="before"/>
    <m:brkBinSub m:val="--"/>
    <m:smallFrac m:val="0"/>
    <m:dispDef/>
    <m:lMargin m:val="0"/>
    <m:rMargin m:val="0"/>
    <m:defJc m:val="centerGroup"/>
    <m:wrapIndent m:val="1440"/>
    <m:intLim m:val="subSup"/>
    <m:naryLim m:val="undOvr"/>
  </m:mathPr>
  <w:themeFontLang w:val="en-IN" w:eastAsia="ii-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4">
    <w:name w:val="Body Text"/>
    <w:basedOn w:val="1"/>
    <w:link w:val="15"/>
    <w:uiPriority w:val="0"/>
    <w:pPr>
      <w:jc w:val="both"/>
    </w:pPr>
    <w:rPr>
      <w:rFonts w:ascii="Helvetica" w:hAnsi="Helvetica" w:eastAsia="MS Mincho"/>
      <w:lang w:val="fr-FR" w:eastAsia="zh-CN"/>
    </w:rPr>
  </w:style>
  <w:style w:type="paragraph" w:styleId="5">
    <w:name w:val="footer"/>
    <w:basedOn w:val="1"/>
    <w:link w:val="17"/>
    <w:autoRedefine/>
    <w:unhideWhenUsed/>
    <w:qFormat/>
    <w:uiPriority w:val="99"/>
    <w:pPr>
      <w:tabs>
        <w:tab w:val="center" w:pos="4513"/>
        <w:tab w:val="right" w:pos="9026"/>
      </w:tabs>
    </w:pPr>
    <w:rPr>
      <w:lang w:eastAsia="zh-CN"/>
    </w:rPr>
  </w:style>
  <w:style w:type="paragraph" w:styleId="6">
    <w:name w:val="header"/>
    <w:basedOn w:val="1"/>
    <w:link w:val="16"/>
    <w:uiPriority w:val="99"/>
    <w:pPr>
      <w:tabs>
        <w:tab w:val="center" w:pos="4680"/>
        <w:tab w:val="right" w:pos="9360"/>
      </w:tabs>
    </w:pPr>
    <w:rPr>
      <w:lang w:eastAsia="zh-CN"/>
    </w:rPr>
  </w:style>
  <w:style w:type="paragraph" w:styleId="7">
    <w:name w:val="Normal (Web)"/>
    <w:basedOn w:val="1"/>
    <w:autoRedefine/>
    <w:uiPriority w:val="0"/>
    <w:pPr>
      <w:spacing w:before="100" w:beforeAutospacing="1" w:after="100" w:afterAutospacing="1"/>
    </w:pPr>
    <w:rPr>
      <w:rFonts w:ascii="Arial Unicode MS" w:hAnsi="Arial Unicode MS" w:eastAsia="Arial Unicode MS" w:cs="Arial Unicode MS"/>
    </w:rPr>
  </w:style>
  <w:style w:type="table" w:styleId="9">
    <w:name w:val="Table Grid"/>
    <w:basedOn w:val="8"/>
    <w:autoRedefine/>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FollowedHyperlink"/>
    <w:autoRedefine/>
    <w:semiHidden/>
    <w:unhideWhenUsed/>
    <w:qFormat/>
    <w:uiPriority w:val="99"/>
    <w:rPr>
      <w:color w:val="800080"/>
      <w:u w:val="single"/>
    </w:rPr>
  </w:style>
  <w:style w:type="character" w:styleId="12">
    <w:name w:val="Hyperlink"/>
    <w:autoRedefine/>
    <w:unhideWhenUsed/>
    <w:uiPriority w:val="99"/>
    <w:rPr>
      <w:color w:val="0000FF"/>
      <w:u w:val="single"/>
    </w:rPr>
  </w:style>
  <w:style w:type="character" w:customStyle="1" w:styleId="13">
    <w:name w:val="Heading 2 Char"/>
    <w:link w:val="2"/>
    <w:autoRedefine/>
    <w:uiPriority w:val="0"/>
    <w:rPr>
      <w:rFonts w:ascii="Helvetica" w:hAnsi="Helvetica" w:eastAsia="MS Mincho" w:cs="Helvetica"/>
      <w:b/>
      <w:bCs/>
      <w:sz w:val="20"/>
      <w:szCs w:val="20"/>
      <w:lang w:val="fr-FR"/>
    </w:rPr>
  </w:style>
  <w:style w:type="character" w:customStyle="1" w:styleId="14">
    <w:name w:val="Heading 4 Char"/>
    <w:link w:val="3"/>
    <w:autoRedefine/>
    <w:uiPriority w:val="0"/>
    <w:rPr>
      <w:rFonts w:ascii="Arial Unicode MS" w:hAnsi="Arial Unicode MS" w:eastAsia="Arial Unicode MS" w:cs="Arial Unicode MS"/>
      <w:b/>
      <w:bCs/>
      <w:sz w:val="24"/>
      <w:szCs w:val="24"/>
      <w:lang w:val="en-US"/>
    </w:rPr>
  </w:style>
  <w:style w:type="character" w:customStyle="1" w:styleId="15">
    <w:name w:val="Body Text Char"/>
    <w:link w:val="4"/>
    <w:autoRedefine/>
    <w:uiPriority w:val="0"/>
    <w:rPr>
      <w:rFonts w:ascii="Helvetica" w:hAnsi="Helvetica" w:eastAsia="MS Mincho" w:cs="Helvetica"/>
      <w:sz w:val="24"/>
      <w:szCs w:val="24"/>
      <w:lang w:val="fr-FR"/>
    </w:rPr>
  </w:style>
  <w:style w:type="character" w:customStyle="1" w:styleId="16">
    <w:name w:val="Header Char"/>
    <w:link w:val="6"/>
    <w:autoRedefine/>
    <w:qFormat/>
    <w:uiPriority w:val="99"/>
    <w:rPr>
      <w:rFonts w:ascii="Times New Roman" w:hAnsi="Times New Roman" w:eastAsia="Times New Roman" w:cs="Times New Roman"/>
      <w:sz w:val="24"/>
      <w:szCs w:val="24"/>
      <w:lang w:val="en-US"/>
    </w:rPr>
  </w:style>
  <w:style w:type="character" w:customStyle="1" w:styleId="17">
    <w:name w:val="Footer Char"/>
    <w:link w:val="5"/>
    <w:autoRedefine/>
    <w:qFormat/>
    <w:uiPriority w:val="99"/>
    <w:rPr>
      <w:rFonts w:ascii="Times New Roman" w:hAnsi="Times New Roman" w:eastAsia="Times New Roman" w:cs="Times New Roman"/>
      <w:sz w:val="24"/>
      <w:szCs w:val="24"/>
      <w:lang w:val="en-US"/>
    </w:rPr>
  </w:style>
  <w:style w:type="paragraph" w:styleId="18">
    <w:name w:val="List Paragraph"/>
    <w:basedOn w:val="1"/>
    <w:autoRedefine/>
    <w:qFormat/>
    <w:uiPriority w:val="34"/>
    <w:pPr>
      <w:ind w:left="720"/>
      <w:contextualSpacing/>
    </w:pPr>
  </w:style>
  <w:style w:type="paragraph" w:customStyle="1" w:styleId="19">
    <w:name w:val="Revision"/>
    <w:autoRedefine/>
    <w:hidden/>
    <w:semiHidden/>
    <w:uiPriority w:val="99"/>
    <w:rPr>
      <w:rFonts w:ascii="Calibri" w:hAnsi="Calibri" w:eastAsia="Calibri" w:cs="Times New Roman"/>
      <w:sz w:val="22"/>
      <w:szCs w:val="22"/>
      <w:lang w:val="en-US" w:eastAsia="en-US" w:bidi="ar-SA"/>
    </w:rPr>
  </w:style>
  <w:style w:type="character" w:customStyle="1" w:styleId="20">
    <w:name w:val="Nicht aufgelöste Erwähnung"/>
    <w:autoRedefine/>
    <w:semiHidden/>
    <w:unhideWhenUsed/>
    <w:qFormat/>
    <w:uiPriority w:val="99"/>
    <w:rPr>
      <w:color w:val="605E5C"/>
      <w:shd w:val="clear" w:color="auto" w:fill="E1DFDD"/>
    </w:rPr>
  </w:style>
  <w:style w:type="character" w:customStyle="1" w:styleId="21">
    <w:name w:val="Unresolved Mention1"/>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699</Words>
  <Characters>3989</Characters>
  <Lines>33</Lines>
  <Paragraphs>9</Paragraphs>
  <TotalTime>0</TotalTime>
  <ScaleCrop>false</ScaleCrop>
  <LinksUpToDate>false</LinksUpToDate>
  <CharactersWithSpaces>4679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2026-04-27T13:49:00Z</dcterms:created>
  <dc:creator>Surojit Bera</dc:creator>
  <cp:lastModifiedBy>彭梅月</cp:lastModifiedBy>
  <dcterms:modified xsi:type="dcterms:W3CDTF">2026-05-08T02:37:01Z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2052-12.1.0.16120</vt:lpwstr>
  </property>
  <property fmtid="{D5CDD505-2E9C-101B-9397-08002B2CF9AE}" pid="4" name="ICV">
    <vt:lpwstr>150F51A216154411B625DBF8087033CF_13</vt:lpwstr>
  </property>
</Properties>
</file>