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31841" w:rsidRPr="00336B92" w14:paraId="048ED896" w14:textId="77777777">
        <w:trPr>
          <w:trHeight w:val="20"/>
          <w:jc w:val="center"/>
        </w:trPr>
        <w:tc>
          <w:tcPr>
            <w:tcW w:w="1186" w:type="pct"/>
          </w:tcPr>
          <w:p w14:paraId="781F3A44" w14:textId="77777777" w:rsidR="00F31841" w:rsidRPr="00336B92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10B2B74" w14:textId="77777777" w:rsidR="00F31841" w:rsidRPr="00336B92" w:rsidRDefault="007637BD">
            <w:pPr>
              <w:rPr>
                <w:rFonts w:ascii="Arial" w:hAnsi="Arial" w:cs="Arial"/>
                <w:b/>
                <w:bCs/>
                <w:color w:val="0000FF"/>
                <w:sz w:val="22"/>
                <w:szCs w:val="22"/>
                <w:lang w:val="en-GB"/>
              </w:rPr>
            </w:pPr>
            <w:hyperlink r:id="rId7" w:history="1">
              <w:r w:rsidRPr="00336B92">
                <w:rPr>
                  <w:rFonts w:ascii="Arial" w:hAnsi="Arial" w:cs="Arial"/>
                  <w:color w:val="0F4C82"/>
                  <w:sz w:val="22"/>
                  <w:szCs w:val="22"/>
                  <w:u w:val="single"/>
                  <w:bdr w:val="none" w:sz="0" w:space="0" w:color="auto" w:frame="1"/>
                </w:rPr>
                <w:t>Asian Journal of Medicine and Health</w:t>
              </w:r>
            </w:hyperlink>
          </w:p>
        </w:tc>
      </w:tr>
      <w:tr w:rsidR="00F31841" w:rsidRPr="00336B92" w14:paraId="5F629416" w14:textId="77777777">
        <w:trPr>
          <w:trHeight w:val="20"/>
          <w:jc w:val="center"/>
        </w:trPr>
        <w:tc>
          <w:tcPr>
            <w:tcW w:w="1186" w:type="pct"/>
          </w:tcPr>
          <w:p w14:paraId="7717A4FE" w14:textId="77777777" w:rsidR="00F31841" w:rsidRPr="00336B92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1218E72" w14:textId="77777777" w:rsidR="00F31841" w:rsidRPr="00336B92" w:rsidRDefault="00705C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Ms_AJMAH_157437</w:t>
            </w:r>
          </w:p>
        </w:tc>
      </w:tr>
      <w:tr w:rsidR="00F31841" w:rsidRPr="00336B92" w14:paraId="18CDA605" w14:textId="77777777">
        <w:trPr>
          <w:trHeight w:val="20"/>
          <w:jc w:val="center"/>
        </w:trPr>
        <w:tc>
          <w:tcPr>
            <w:tcW w:w="1186" w:type="pct"/>
          </w:tcPr>
          <w:p w14:paraId="63D806AD" w14:textId="77777777" w:rsidR="00F31841" w:rsidRPr="00336B92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71851042" w14:textId="77777777" w:rsidR="00F31841" w:rsidRPr="00336B92" w:rsidRDefault="00705C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The Relationship between Animal Protein Consumption and the Nutritional Status of Children Under Two Years of Age in Indonesia</w:t>
            </w:r>
          </w:p>
        </w:tc>
      </w:tr>
      <w:tr w:rsidR="00F31841" w:rsidRPr="00336B92" w14:paraId="325C89EB" w14:textId="77777777">
        <w:trPr>
          <w:trHeight w:val="20"/>
          <w:jc w:val="center"/>
        </w:trPr>
        <w:tc>
          <w:tcPr>
            <w:tcW w:w="1186" w:type="pct"/>
          </w:tcPr>
          <w:p w14:paraId="2466D2FA" w14:textId="77777777" w:rsidR="00F31841" w:rsidRPr="00336B92" w:rsidRDefault="007637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1E154DF6" w14:textId="2FA04929" w:rsidR="00F31841" w:rsidRPr="00336B92" w:rsidRDefault="000F42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</w:rPr>
              <w:t>Original Research Article</w:t>
            </w:r>
          </w:p>
        </w:tc>
      </w:tr>
    </w:tbl>
    <w:p w14:paraId="2323D503" w14:textId="77777777" w:rsidR="00F31841" w:rsidRPr="00336B92" w:rsidRDefault="00F31841">
      <w:pPr>
        <w:pStyle w:val="BodyText"/>
        <w:rPr>
          <w:rFonts w:ascii="Arial" w:hAnsi="Arial" w:cs="Arial"/>
          <w:i/>
          <w:sz w:val="22"/>
          <w:szCs w:val="22"/>
          <w:u w:val="single"/>
          <w:lang w:val="en-GB"/>
        </w:rPr>
      </w:pPr>
    </w:p>
    <w:p w14:paraId="30AFA95C" w14:textId="77777777" w:rsidR="00F31841" w:rsidRPr="00336B92" w:rsidRDefault="00F31841">
      <w:pPr>
        <w:pStyle w:val="BodyText"/>
        <w:rPr>
          <w:rFonts w:ascii="Arial" w:hAnsi="Arial" w:cs="Arial"/>
          <w:sz w:val="22"/>
          <w:szCs w:val="22"/>
          <w:lang w:val="en-GB"/>
        </w:rPr>
      </w:pPr>
    </w:p>
    <w:p w14:paraId="5E00FD05" w14:textId="77777777" w:rsidR="00F31841" w:rsidRPr="00336B92" w:rsidRDefault="00F31841">
      <w:pPr>
        <w:pStyle w:val="BodyText"/>
        <w:rPr>
          <w:rFonts w:ascii="Arial" w:hAnsi="Arial" w:cs="Arial"/>
          <w:sz w:val="22"/>
          <w:szCs w:val="22"/>
          <w:lang w:val="en-GB"/>
        </w:rPr>
      </w:pPr>
    </w:p>
    <w:p w14:paraId="66F79769" w14:textId="77777777" w:rsidR="00F31841" w:rsidRPr="00336B92" w:rsidRDefault="007637BD">
      <w:pPr>
        <w:pStyle w:val="BodyText"/>
        <w:rPr>
          <w:rFonts w:ascii="Arial" w:hAnsi="Arial" w:cs="Arial"/>
          <w:b/>
          <w:sz w:val="22"/>
          <w:szCs w:val="22"/>
          <w:u w:val="single"/>
          <w:lang w:val="en-GB"/>
        </w:rPr>
      </w:pPr>
      <w:r w:rsidRPr="00336B92">
        <w:rPr>
          <w:rFonts w:ascii="Arial" w:hAnsi="Arial" w:cs="Arial"/>
          <w:b/>
          <w:sz w:val="22"/>
          <w:szCs w:val="22"/>
          <w:highlight w:val="yellow"/>
          <w:u w:val="single"/>
          <w:lang w:val="en-GB"/>
        </w:rPr>
        <w:t>PART 1 (Importance of the manuscript)</w:t>
      </w:r>
      <w:r w:rsidRPr="00336B92">
        <w:rPr>
          <w:rFonts w:ascii="Arial" w:hAnsi="Arial" w:cs="Arial"/>
          <w:b/>
          <w:sz w:val="22"/>
          <w:szCs w:val="22"/>
          <w:u w:val="single"/>
          <w:lang w:val="en-GB"/>
        </w:rPr>
        <w:t xml:space="preserve"> </w:t>
      </w:r>
    </w:p>
    <w:p w14:paraId="437874E1" w14:textId="77777777" w:rsidR="00F31841" w:rsidRPr="00336B92" w:rsidRDefault="00F31841">
      <w:pPr>
        <w:pStyle w:val="BodyText"/>
        <w:ind w:left="144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31841" w:rsidRPr="00336B92" w14:paraId="31299F54" w14:textId="77777777">
        <w:trPr>
          <w:trHeight w:val="20"/>
          <w:jc w:val="center"/>
        </w:trPr>
        <w:tc>
          <w:tcPr>
            <w:tcW w:w="1789" w:type="pct"/>
            <w:noWrap/>
          </w:tcPr>
          <w:p w14:paraId="7F28BE7E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4" w:type="pct"/>
          </w:tcPr>
          <w:p w14:paraId="5920D10C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B009B24" w14:textId="77777777" w:rsidR="00F31841" w:rsidRPr="00336B92" w:rsidRDefault="007637BD">
            <w:pPr>
              <w:spacing w:after="160" w:line="259" w:lineRule="auto"/>
              <w:rPr>
                <w:rFonts w:ascii="Arial" w:eastAsia="Calibri" w:hAnsi="Arial" w:cs="Arial"/>
                <w:kern w:val="2"/>
                <w:sz w:val="22"/>
                <w:szCs w:val="22"/>
                <w:lang w:val="en-GB"/>
              </w:rPr>
            </w:pPr>
            <w:r w:rsidRPr="00336B92">
              <w:rPr>
                <w:rFonts w:ascii="Arial" w:eastAsia="Calibri" w:hAnsi="Arial" w:cs="Arial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336B92">
              <w:rPr>
                <w:rFonts w:ascii="Arial" w:eastAsia="Calibri" w:hAnsi="Arial" w:cs="Arial"/>
                <w:kern w:val="2"/>
                <w:sz w:val="22"/>
                <w:szCs w:val="22"/>
                <w:lang w:val="en-GB"/>
              </w:rPr>
              <w:t xml:space="preserve"> </w:t>
            </w:r>
          </w:p>
          <w:p w14:paraId="414C8F7E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1A91689A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D22917" w14:textId="77777777" w:rsidR="00F31841" w:rsidRPr="00336B92" w:rsidRDefault="007637BD">
            <w:pPr>
              <w:rPr>
                <w:rFonts w:ascii="Arial" w:eastAsia="MS Mincho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Please write a few sentences regarding the importance of this manuscript for the scientific community.</w:t>
            </w: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D7F2D73" w14:textId="77777777" w:rsidR="00F31841" w:rsidRPr="00336B92" w:rsidRDefault="00077747">
            <w:pPr>
              <w:pStyle w:val="ListParagraph"/>
              <w:ind w:left="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The manuscript has importance to the scientific community since it allows  a large cross sectional study to be made with a little or no expense</w:t>
            </w:r>
          </w:p>
        </w:tc>
        <w:tc>
          <w:tcPr>
            <w:tcW w:w="1367" w:type="pct"/>
          </w:tcPr>
          <w:p w14:paraId="02FF634E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</w:tbl>
    <w:p w14:paraId="57669771" w14:textId="77777777" w:rsidR="00F31841" w:rsidRPr="00336B92" w:rsidRDefault="00F31841">
      <w:pPr>
        <w:rPr>
          <w:rFonts w:ascii="Arial" w:hAnsi="Arial" w:cs="Arial"/>
          <w:sz w:val="22"/>
          <w:szCs w:val="22"/>
          <w:lang w:val="en-GB"/>
        </w:rPr>
      </w:pPr>
    </w:p>
    <w:p w14:paraId="15CC9D13" w14:textId="77777777" w:rsidR="00F31841" w:rsidRPr="00336B92" w:rsidRDefault="00F31841">
      <w:pPr>
        <w:rPr>
          <w:rFonts w:ascii="Arial" w:hAnsi="Arial" w:cs="Arial"/>
          <w:sz w:val="22"/>
          <w:szCs w:val="22"/>
          <w:lang w:val="en-GB"/>
        </w:rPr>
      </w:pPr>
    </w:p>
    <w:p w14:paraId="65B29F44" w14:textId="77777777" w:rsidR="00F31841" w:rsidRPr="00336B92" w:rsidRDefault="00F31841">
      <w:pPr>
        <w:rPr>
          <w:rFonts w:ascii="Arial" w:hAnsi="Arial" w:cs="Arial"/>
          <w:sz w:val="22"/>
          <w:szCs w:val="22"/>
          <w:lang w:val="en-GB"/>
        </w:rPr>
      </w:pPr>
    </w:p>
    <w:p w14:paraId="1094EAD8" w14:textId="77777777" w:rsidR="00F31841" w:rsidRPr="00336B92" w:rsidRDefault="007637BD">
      <w:pPr>
        <w:pStyle w:val="Heading2"/>
        <w:jc w:val="left"/>
        <w:rPr>
          <w:rFonts w:ascii="Arial" w:hAnsi="Arial" w:cs="Arial"/>
          <w:sz w:val="22"/>
          <w:szCs w:val="22"/>
          <w:highlight w:val="yellow"/>
          <w:u w:val="single"/>
          <w:lang w:val="en-GB"/>
        </w:rPr>
      </w:pPr>
      <w:r w:rsidRPr="00336B92">
        <w:rPr>
          <w:rFonts w:ascii="Arial" w:hAnsi="Arial" w:cs="Arial"/>
          <w:sz w:val="22"/>
          <w:szCs w:val="22"/>
          <w:highlight w:val="yellow"/>
          <w:u w:val="single"/>
          <w:lang w:val="en-GB"/>
        </w:rPr>
        <w:t>PART 2.1 (Objective Evaluation)</w:t>
      </w:r>
    </w:p>
    <w:p w14:paraId="3C020C9A" w14:textId="77777777" w:rsidR="00F31841" w:rsidRPr="00336B92" w:rsidRDefault="00F31841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31841" w:rsidRPr="00336B92" w14:paraId="11BA831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AA4943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pct"/>
          </w:tcPr>
          <w:p w14:paraId="60C95698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270BFB75" w14:textId="77777777" w:rsidR="00F31841" w:rsidRPr="00336B92" w:rsidRDefault="007637BD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eastAsia="Calibri" w:hAnsi="Arial" w:cs="Arial"/>
                <w:b/>
                <w:kern w:val="2"/>
                <w:sz w:val="22"/>
                <w:szCs w:val="22"/>
                <w:lang w:val="en-GB"/>
              </w:rPr>
              <w:t>Author’s Feedback</w:t>
            </w:r>
            <w:r w:rsidRPr="00336B92">
              <w:rPr>
                <w:rFonts w:ascii="Arial" w:eastAsia="Calibri" w:hAnsi="Arial" w:cs="Arial"/>
                <w:kern w:val="2"/>
                <w:sz w:val="22"/>
                <w:szCs w:val="22"/>
                <w:lang w:val="en-GB"/>
              </w:rPr>
              <w:t xml:space="preserve"> </w:t>
            </w:r>
          </w:p>
        </w:tc>
      </w:tr>
      <w:tr w:rsidR="00F31841" w:rsidRPr="00336B92" w14:paraId="46741C7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448737" w14:textId="77777777" w:rsidR="00F31841" w:rsidRPr="00336B92" w:rsidRDefault="007637B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1. Is the title clear and appropriate for the study? </w:t>
            </w:r>
          </w:p>
          <w:p w14:paraId="4F040BBE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69434BCB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BF876E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4=Good</w:t>
            </w:r>
          </w:p>
        </w:tc>
        <w:tc>
          <w:tcPr>
            <w:tcW w:w="1367" w:type="pct"/>
          </w:tcPr>
          <w:p w14:paraId="2FBB7B40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569823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75EA3B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 xml:space="preserve">2. Is the abstract of the article comprehensive? </w:t>
            </w:r>
          </w:p>
          <w:p w14:paraId="19A7DF2F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829CA64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4640A2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602A6CAD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6C8CCE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8E535B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3. Are the keywords appropriate and useful?</w:t>
            </w:r>
          </w:p>
          <w:p w14:paraId="60208780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AFB113D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145E5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3373623F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758BE0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E26B43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4. Is the background information of the paper sufficient and well organized?</w:t>
            </w:r>
          </w:p>
          <w:p w14:paraId="3939D90F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7B48E7B1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ED69F0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3= Satisfactory</w:t>
            </w:r>
          </w:p>
        </w:tc>
        <w:tc>
          <w:tcPr>
            <w:tcW w:w="1367" w:type="pct"/>
          </w:tcPr>
          <w:p w14:paraId="4D05E0BF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661966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416A6D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5. Are the research objectives/hypotheses clearly stated?</w:t>
            </w:r>
          </w:p>
          <w:p w14:paraId="729C8839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7A22EE7C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240DF3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6737E357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1893D5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D250A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6. Is the literature review relevant and up to date?</w:t>
            </w:r>
          </w:p>
          <w:p w14:paraId="3132D770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67F9F42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D69F6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2= Needs Improvement</w:t>
            </w:r>
          </w:p>
        </w:tc>
        <w:tc>
          <w:tcPr>
            <w:tcW w:w="1367" w:type="pct"/>
          </w:tcPr>
          <w:p w14:paraId="0F76C75D" w14:textId="77777777" w:rsidR="00F31841" w:rsidRPr="00336B92" w:rsidRDefault="006713AC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proofErr w:type="spellStart"/>
            <w:r w:rsidRPr="00336B92"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>Sudah</w:t>
            </w:r>
            <w:proofErr w:type="spellEnd"/>
            <w:r w:rsidRPr="00336B92"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36B92"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>dilengkapi</w:t>
            </w:r>
            <w:proofErr w:type="spellEnd"/>
            <w:r w:rsidRPr="00336B92">
              <w:rPr>
                <w:rFonts w:ascii="Arial" w:hAnsi="Arial" w:cs="Arial"/>
                <w:b w:val="0"/>
                <w:sz w:val="22"/>
                <w:szCs w:val="22"/>
                <w:lang w:val="en-GB"/>
              </w:rPr>
              <w:t>:</w:t>
            </w:r>
          </w:p>
          <w:p w14:paraId="5ACAF12F" w14:textId="77777777" w:rsidR="006713AC" w:rsidRPr="00336B92" w:rsidRDefault="006713AC" w:rsidP="006713AC">
            <w:pPr>
              <w:ind w:firstLine="720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id-ID"/>
              </w:rPr>
            </w:pP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 xml:space="preserve">Animal protein-based nutritional interventions are currently seen as a fundamental strategy in mitigating the global malnutrition crisis, especially in the critical phase of the first thousand days of life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10.1111/mcn.13264","author":[{"dropping-particle":"","family":"Parikh","given":"Panam","non-dropping-particle":"","parse-names":false,"suffix":""},{"dropping-particle":"","family":"Semba","given":"Richard","non-dropping-particle":"","parse-names":false,"suffix":""},{"dropping-particle":"","family":"Manary","given":"Mark","non-dropping-particle":"","parse-names":false,"suffix":""},{"dropping-particle":"","family":"Swaminathan","given":"Sumathi","non-dropping-particle":""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en-ID"/>
              </w:rPr>
              <w:instrText>,"parse-names":false,"suffix":""},{"dropping-particle":"","family":"Udomkesmalee","given":"Emorn","non-dropping-particle":"","parse-names":false,"suffix":""},{"dropping-particle":"","family":"Bos","given":"Rolf","non-dropping-particle":"","parse-names":false,"suffix":""},{"dropping-particle":"","family":"Koon","given":"Bee","non-dropping-particle":"","parse-names":false,"suffix":""},{"dropping-particle":"","family":"Nipa","given":"Poh","non-dropping-particle":"","parse-names":false,"suffix":""},{"dropping-particle":"","family":"Geurts","given":"Jan","non-dropping-particle":"","parse-names":false,"suffix":""},{"dropping-particle":"","family":"Nga","given":"Tran Thuy","non-dropping-particle":"","parse-names":false,"suffix":""}],"container-title":"Maternal &amp; child nutrition","id":"ITEM-1","issue":"e13264","issued":{"date-parts":[["2022"]]},"page":"1-12","title":"Animal source foods , rich in essential amino acids , are important for linear growth and development of young children in low- and middle-income countries","type":"article-journal","volume":"18"},"uris":["http://www.mendeley.com/documents/?uuid=9905ee3b-047c-4e2d-aff3-9f8dc1d9044c"]}],"mendeley":{"formattedCitation":"(Parikh et al., 2022)","manualFormatting":"(Parikh et al., 2022;","plainTextFormattedCitation":"(Parikh et al., 2022)","previouslyFormattedCitation":"(Parikh et al., 2022)"},"properties":{"noteIndex":0},"schema":"https://github.com/citation-style-language/schema/raw/master/csl-citation.json"}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en-ID"/>
              </w:rPr>
              <w:t>(Parikh et al., 2022;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en-ID"/>
              </w:rPr>
              <w:instrText>ADDIN CSL_CITATION {"citationItems":[{"id":"ITEM-1","itemData":{"DOI":"10.1016/j.gfs.2019.100325","author":[{"dropping-particle":"","family":"Adesogan","given":"Adegbola T","non-dropping-particle":"","parse-names":false,"suffix":""},{"dropping-particle":"","family":"Havelaar","given":"Arie H","non-dropping-particle":"","parse-names":false,"suffix":""},{"dropping-particle":"","family":"Mckune","given":"Sarah L","non-dropping-particle":"","parse-names":false,"suffix":""},{"dropping-particle":"","family":"Eilittä","given":"Marjatta","non-dropping-particle":"","parse-names":false,"suffix":""},{"dropping-particle":"","family":"Dahl","given":"E","non-dropping-particle":"","parse-names":false,"suffix":""}],"container-title":"Global Food Security","id":"ITEM-1","issue":"100325","issued":{"date-parts":[["2020"]]},"title":"Animal source foods : Sustainability problem or malnutrition and sustainability solution ? Perspective matters","type":"article-journal","volume":"25"},"uris":["http://www.mendeley.com/documents/?uuid=e89c7a69-757f-4655-8f8a-a917e8619bf2"]}],"mendeley":{"formattedCitation":"(Adesogan et al., 2020)","manualFormatting":" Adesogan et al., 2020;","plainTextFormattedCitation":"(Adesogan et al., 2020)","previouslyFormattedCitation":"(Adesogan et al., 2020)"},"properties":{"noteIndex":0},"schema":"https://github.com/citation-style-language/schema/raw/master/csl-citation.json"}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en-ID"/>
              </w:rPr>
              <w:t xml:space="preserve"> Adesogan et al., 2020;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en-ID"/>
              </w:rPr>
              <w:instrText>ADDIN CSL_CITATION {"citationItems":[{"id":"ITEM-1","itemData":{"author":[{"dropping-particle":"","family":"Schwarzenberg","given":"SJ","non-dropping-particle":"","parse-names":false,"suffix":""},{"dropping-particle":"","family":"Georgieff","given":"MK","non-dropping-particle":"","parse-names":false,"suffix":""}],"container-title":"Pediatrics","id":"ITEM-1","issue":"2","issued":{"date-parts":[["2023"]]},"page":"1-10","title":"Advocacy for Improving Nutrition in the First 1000 Days To Support Childhood Development and Adult Health","type":"article-journal","volume":"141"},"uris":["http://www.mendeley.com/documents/?uuid=b120836f-a70a-4e49-a83e-fd3c1c4a64d7"]}],"mendeley":{"formattedCitation":"(Schwarzenberg &amp; Georgieff, 2023)","manualFormatting":" Schwarzenberg &amp; Georgieff, 2023;","plainTextFormattedCitation":"(Schwarzenberg &amp; Georgieff, 2023)","previouslyFormattedCitation":"(Schwarzenberg &amp; Georgieff, 2023)"},"properties":{"noteIndex":0},"schema":"https://github.com/citation-style-language/schema/raw/master/csl-citation.json"}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</w:rPr>
              <w:t xml:space="preserve"> </w:t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en-ID"/>
              </w:rPr>
              <w:t>Schwarzenberg &amp; Georgieff, 2023;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en-ID"/>
              </w:rPr>
              <w:instrText>ADDIN CSL_CITATION {"citationItems":[{"id":"ITEM-1","itemData":{"DOI":"10.1093/advances/nmac102","ISSN":"2161-8313","author":[{"dropping-particle":"","family":"Byrd","given":"Kendra A","non-dropping-particle":"","parse-names":false,"suffix":""},{"dropping-particle":"","family":"Shieh","given":"Jacqueline","non-dropping-particle":"","parse-names":false,"suffix":""},{"dropping-particle":"","family":"Mork","given":"Stephanie","non-dropping-particle":"","parse-names":false,"suffix":""},{"dropping-particle":"","family":"Pincus","given":"Lauren","non-dropping-particle":"","parse-names":false,"suffix":""},{"dropping-particle":"","family":"Meara","given":"Lydia O","non-dropping-particle":"","parse-names":false,"suffix":""},{"dropping-particle":"","family":"Atkins","given":"Molly","non-dropping-particle":"","parse-names":false,"suffix":""},{"dropping-particle":"","family":"Thilsted","given":"Shakuntala H","non-dropping-particle":"","parse-names":false,"suffix":""}],"container-title":"Advances in Nutrition","id":"ITEM-1","issue":"6","issued":{"date-parts":[["2022"]]},"page":"2458-2487","publisher":"The Author(s) 2022. Published by Oxford University Press on behalf of the American Society for Nutrition.","title":"Fish and Fish-Based Products for Nutrition and Health in the First 1000 Days : A Systematic Review of the Evidence from Low and Middle-Income Countries","type":"article-journal","volume":"13"},"uris":["http://www.mendeley.com/documents/?uuid=f6871bfc-26ec-4a52-abbf-be5e8dbd9040"]}],"mendeley":{"formattedCitation":"(Byrd et al., 2022)","manualFormatting":" Byrd et al., 2022)","plainTextFormattedCitation":"(Byrd et al., 2022)","previouslyFormattedCitation":"(Byrd et al., 2022)"},"properties":{"noteIndex":0},"schema":"https://github.com/citation-style-language/schema/raw/master/csl-citation.json"}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en-ID"/>
              </w:rPr>
              <w:t xml:space="preserve"> Byrd et al., 2022)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en-ID"/>
              </w:rPr>
              <w:t xml:space="preserve">.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 xml:space="preserve">Various recent studies confirm that the bioavailability of essential amino acids from animal sources provides a metabolic advantage that cannot be completely replaced by plant sources in supporting the child's somatic growth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10.1111/mcn.13264","author":[{"dropping-particle":"","family":"Parikh","given":"Panam","non-dropping-particle":"","parse-names":false,"suffix":""},{"dropping-particle":"","family":"Semba","given":"Richard","non-dropping-particle":"","parse-names":false,"suffix":""},{"dropping-particle":"","family":"Manary","given":"Mark","non-dropping-particle":"","parse-names":false,"suffix":""},{"dropping-particle":"","family":"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Swaminathan","given":"Sumathi","non-dropping-particle":"","parse-names":false,"suffix":""},{"dropping-particle":"","family":"Udomkesmalee","given":"Emorn","non-dropping-particle":"","parse-names":false,"suffix":""},{"dropping-particle":"","family":"Bos","given":"Rolf","non-dropping-particle":"","parse-names":false,"suffix":""},{"dropping-particle":"","family":"Koon","given":"Bee","non-dropping-particle":"","parse-names":false,"suffix":""},{"dropping-particle":"","family":"Nipa","given":"Poh","non-dropping-particle":"","parse-names":false,"suffix":""},{"dropping-particle":"","family":"Geurts","given":"Jan","non-dropping-particle":"","parse-names":false,"suffix":""},{"dropping-particle":"","family":"Nga","given":"Tran Thuy","non-dropping-particle":"","parse-names":false,"suffix":""}],"container-title":"Maternal &amp; child nutrition","id":"ITEM-1","issue":"e13264","issued":{"date-parts":[["2022"]]},"page":"1-12","title":"Animal source foods , rich in essential amino acids , are important for linear growth and development of young children in low- and middle-income countries","type":"article-journal","volume":"18"},"uris":["http://www.mendeley.com/documents/?uuid=9905ee3b-047c-4e2d-aff3-9f8dc1d9044c"]}],"mendeley":{"formattedCitation":"(Parikh et al., 2022)","plainTextFormattedCitation":"(Parikh et al., 2022)","previouslyFormattedCitation":"(Parikh et al., 2022)"},"properties":{"noteIndex":0},"schema":"https://github.com/citation-style-language/schema/raw/master/csl-citation.json"}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(Parikh et al., 2022;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{"citationItems":[{"id":"ITEM-1","itemData":{"DOI":"10.1016/j.gfs.2019.100325","author":[{"dropping-particle":"","family":"Adesogan","given":"Adegbola T","non-dropping-particle":"","parse-names":false,"suffix":""},{"dropping-particle":"","family":"Havelaar","given":"Arie H","non-dropping-particle":"","parse-names":false,"suffix":""},{"dropping-particle":"","family":"Mckune","given":"Sarah L","non-dropping-particle":"","parse-names":false,"suffix":""},{"dropping-particle":"","family":"Eilittä","given":"Marjatta","non-dropping-particle":"","parse-names":false,"suffix":""},{"dropping-particle":"","family":"Dahl","given":"E","non-dropping-particle":"","parse-names":false,"suffix":""}],"container-title":"Global Food Security","id":"ITEM-1","issue":"100325","issued":{"date-parts":[["2020"]]},"title":"Animal source foods : Sustainability problem or malnutrition and sustainability solution ? Perspective matters","type":"article-journal","volume":"25"},"uris":["http://www.mendeley.com/documents/?uuid=e89c7a69-757f-4655-8f8a-a917e8619bf2"]}],"mendeley":{"formattedCitation":"(Adesogan et al., 2020)","manualFormatting":"Adesogan et al., 2020;","plainTextFormattedCitation":"(Adesogan et al., 2020)","previouslyFormattedCitation":"(Adesogan et al., 2020)"},"properties":{"noteIndex":0},"schema":"https://github.com/citation-style-language/schema/raw/master/csl-citation.json"}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>Adesogan et al., 2020;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{"citationItems":[{"id":"ITEM-1","itemData":{"author":[{"dropping-particle":"","family":"Neumann","given":"Charlotte","non-dropping-particle":"","parse-names":false,"suffix":""},{"dropping-particle":"","family":"Harris","given":"Diane M","non-dropping-particle":"","parse-names":false,"suffix":""},{"dropping-particle":"","family":"Rogers","given":"Lisa M","non-dropping-particle":"","parse-names":false,"suffix":""}],"container-title":"Nutrition Research","id":"ITEM-1","issue":"2","issued":{"date-parts":[["2002"]]},"page":"2-7","title":"Contribution of animal source foods in improving diet quality and function in children in the developing world","type":"article-journal","volume":"22"},"uris":["http://www.mendeley.com/documents/?uuid=3bfc9e1e-029c-497a-a818-3c624c445d57"]}],"mendeley":{"formattedCitation":"(Neumann et al., 2002)","manualFormatting":" Neumann et al., 2002;","plainTextFormattedCitation":"(Neumann et al., 2002)","previouslyFormattedCitation":"(Neumann et al., 2002)"},"properties":{"noteIndex":0},"schema":"https://github.com/citation-style-language/schema/raw/master/csl-citation.json"}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 Neumann et al., 2002;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{"citationItems":[{"id":"ITEM-1","itemData":{"ISBN":"3463959046","author":[{"dropping-particle":"","family":"Escobedo-monge","given":"Marlene Fabiola","non-dropping-particle":"","parse-names":false,"suffix":""},{"dropping-particle":"","family":"Parodi-román","given":"Joaquín","non-dropping-particle":"","parse-names":false,"suffix":""},{"dropping-particle":"","family":"Escobedo-monge","given":"María Antonieta","non-dropping-particle":"","parse-names":false,"suffix":""},{"dropping-particle":"","family":"Marugán-miguelsanz","given":"José Manuel","non-dropping-particle":"","parse-names":false,"suffix":""}],"container-title":"Nutrients","id":"ITEM-1","issue":"2221","issued":{"date-parts":[["2025"]]},"page":"1-23","title":"The Biological Value of Proteins for Pediatric Growth and Development : A Narrative Review","type":"article-journal","volume":"17"},"uris":["http://www.mendeley.com/documents/?uuid=c7dff7e1-e06f-4f9e-8fd8-284a710b8799"]}],"mendeley":{"formattedCitation":"(Escobedo-monge et al., 2025)","manualFormatting":" Escobedo-monge et al., 2025)","plainTextFormattedCitation":"(Escobedo-monge et al., 2025)","previouslyFormattedCitation":"(Escobedo-monge et al., 2025)"},"properties":{"noteIndex":0},"schema":"https://github.com/citation-style-language/schema/raw/master/csl-citation.json"}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 Escobedo-monge et al., 2025)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.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 xml:space="preserve">Recent research shows that despite improved household food security, disparities in animal protein intake remain a major determinant of the manifestation of wasting or acute malnutrition in regions with low economic burden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author":[{"dropping-particle":"","family":"Kittisakmontri","given":"Kulnipa","non-dropping-particle":"","parse-names":false,"suffix":""},{"dropping-particle":"","family":"Lanigan","given":"Julie","non-dropping-particle":"","parse-names":false,"suffix":""},{"dropping-particle":"","family":"Wells","given":"Jonathan C K","non-dropping-particle":"","parse-names":false,"suffix":""},{"dropping-particle":"","family":"Manowong","given":"Suphara","non-dropping-particle":"","parse-names":false,"suffix":""},{"dropping-particle":"","family":"Kaewarree","given":"Sujitra","non-dropping-particle":"","parse-names":false,"suffix":""},{"dropping-particle":"","family":"Fewtrell","given":"Mary","non-dropping-particle":"","parse-names":false,"suffix":""}],"container-title":"Nutrients","id":"ITEM-1","issue":"3948","issued":{"date-parts":[["2022"]]},"page":"1-18","title":"Quantity and Source of Protein during Complementary Feeding and Infant Growth : Evidence from a Population Facing Double Burden of Malnutrition","type":"article-journal","volume":"14"},"uris":["http://www.mendeley.com/documents/?uuid=24516cea-2008-46ad-8616-c2eb279be40d"]}],"mendeley":{"formattedCitation":"(Kittisakmontri et al., 2022)","plainTextFormattedCitation":"(Kittisakmontri et al., 2022)","previouslyFormattedCitation":"(Kittisakmontri et al., 2022)"},"properties":{"noteIndex":0},"schema":"https://github.com/citation-style-language/schema/raw/master/csl-citation.json"}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</w:rPr>
              <w:t>(Kittisakmontri et al., 2022;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 xml:space="preserve">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10.1002/14651858.CD012818.pub2.www.cochranelibrary.com","author":[{"dropping-particle":"","family":"Eaton","given":"JC","non-dropping-particle":"","parse-names":false,"suffix":""},{"dropping-particle":"","family":"Rothpletz-Puglia","given":"P","non-dropping-particle":"","parse-names":false,"suffix":""},{"dropping-particle":"","family":"Dreker MR","given":"MR","non-dropping-particle":"","parse-names":false,"suffix":""},{"dropping-particle":"","family":"Iannotti","given":"L","non-dropping-particle":"","parse-names":false,"suffix":""},{"dropping-particle":"","family":"Lutter","given":"C","non-dropping-particle":"","parse-names":false,"suffix":""},{"dropping-particle":"","family":"Kaganda","given":"J","non-dropping-particle":"","parse-names":false,"suffix":""},{"dropping-particle":"","family":"Rayco-Solon","given":"P","non-dropping-particle":"","parse-names":false,"suffix":""}],"container-title":"Cochrane Database of Systematic Reviews","id":"ITEM-1","issue":"2","issued":{"date-parts":[["2019"]]},"page":"1-56","title":"E ectiveness of provision of animal-source foods for supporting optimal growth and development in children 6 to 59 months of age (Review)","type":"article-journal"},"uris":["http://www.mendeley.com/documents/?uuid=1f3374b2-1ea6-4499-9a39-6a1237823482"]}],"mendeley":{"formattedCitation":"(Eaton et al., 2019)","manualFormatting":"Eaton et al., 2019; ","plainTextFormattedCitation":"(Eaton et al., 2019)","previouslyFormattedCitation":"(Eaton et al., 2019)"},"properties":{"noteIndex":0},"schema":"https://github.com/citation-style-language/schema/raw/master/csl-citation.json"}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</w:rPr>
              <w:t xml:space="preserve">Eaton et al., 2019;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{"citationItems":[{"id":"ITEM-1","itemData":{"DOI":"10.1093/ajae/aay053","author":[{"dropping-particle":"","family":"Eadey","given":"D Erek H","non-dropping-particle":"","parse-names":false,"suffix":""},{"dropping-particle":"","family":"Irvonen","given":"K Alle H","non-dropping-particle":"","parse-names":false,"suffix":""},{"dropping-particle":"","family":"Oddinott","given":"J O H N H","non-dropping-particle":"","parse-names":false,"suffix":""}],"container-title":"Amer. J. Agr. Econ.","id":"ITEM-1","issue":"5","issued":{"date-parts":[["2018"]]},"page":"1302-1319","title":"Animal Sourced Foods and Child Stunting","type":"article-journal","volume":"100"},"uris":["http://www.mendeley.com/documents/?uuid=9afb4f65-7a77-45b7-a871-3240762dea6a"]}],"mendeley":{"formattedCitation":"(Eadey et al., 2018)","manualFormatting":"Eadey et al., 2018; ","plainTextFormattedCitation":"(Eadey et al., 2018)","previouslyFormattedCitation":"(Eadey et al., 2018)"},"properties":{"noteIndex":0},"schema":"https://github.com/citation-style-language/schema/raw/master/csl-citation.json"}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</w:rPr>
              <w:t xml:space="preserve">Eadey et al., 2018;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10.1093/ajcn/nqy348","ISSN":"0002-9165","author":[{"dropping-particle":"","family":"Pimpin","given":"Laura","non-dropping-particle":"","parse-names":false,"suffix":""},{"dropping-particle":"","family":"Kranz","given":"Sarah","non-dropping-particle":"","parse-names":false,"suffix":""},{"dropping-particle":"","family":"Liu","given":"Enju","non-dropping-particle":"","parse-names":false,"suffix":""},{"dropping-particle":"","family":"Shulkin","given":"Masha","non-dropping-particle":"","parse-names":false,"suffix":""},{"dropping-particle":"","family":"Karageorgou","given":"Dimitra","non-dropping-particle":"","parse-names":false,"suffix":""},{"dropping-particle":"","family":"Miller","given":"Victoria","non-dropping-particle":"","parse-names":false,"suffix":""},{"dropping-particle":"","family":"Fawzi","given":"Wafaie","non-dropping-particle":"","parse-names":false,"suffix":""}],"container-title":"The American Journal of Clinical Nutrition","id":"ITEM-1","issue":"2","issued":{"date-parts":[["2019"]]},"page":"410-429","publisher":"American Society for Nutrition.","title":"Effects of animal protein supplementation of mothers , preterm infants , and term infants on growth outcomes in childhood : a systematic review and meta-analysis of randomized trials","type":"article-journal","volume":"110"},"uris":["http://www.mendeley.com/documents/?uuid=794198a5-915b-4c58-a6e5-5a0e6210eaa0"]}],"mendeley":{"formattedCitation":"(Pimpin et al., 2019)","manualFormatting":"Pimpin et al., 2019)","plainTextFormattedCitation":"(Pimpin et al., 2019)","previouslyFormattedCitation":"(Pimpin et al., 2019)"},"properties":{"noteIndex":0},"schema":"https://github.com/citation-style-language/schema/raw/master/csl-citation.json"}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</w:rPr>
              <w:t>Pimpin et al., 2019)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t xml:space="preserve">. In addition, the integration between gender-based growth monitoring and increased access to animal food has been shown to significantly lower the risk of developmental delay in clowns (infants under two years of age)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instrText>ADDIN CSL_CITATION {"citationItems":[{"id":"ITEM-1","itemData":{"DOI":"10.1111/mcn.13264","author":[{"dropping-particle":"","family":"Parikh","given":"Panam","non-dropping-particle":"","parse-names":false,"suffix":""},{"dropping-particle":"","family":"Semba","given":"Richard","non-dropping-particle":"","parse-names":false,"suffix":""},{"dropping-particle":"","family":"Manary","given":"Mark","non-dropping-particle":"","parse-names":false,"suffix":""},{"dropping-particle":"","family":"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Swaminathan","given":"Sumathi","non-dropping-particle":"","parse-names":false,"suffix":""},{"dropping-particle":"","family":"Udomkesmalee","given":"Emorn","non-dropping-particle":"","parse-names":false,"suffix":""},{"dropping-particle":"","family":"Bos","given":"Rolf","non-dropping-particle":"","parse-names":false,"suffix":""},{"dropping-particle":"","family":"Koon","given":"Bee","non-dropping-particle":"","parse-names":false,"suffix":""},{"dropping-particle":"","family":"Nipa","given":"Poh","non-dropping-particle":"","parse-names":false,"suffix":""},{"dropping-particle":"","family":"Geurts","given":"Jan","non-dropping-particle":"","parse-names":false,"suffix":""},{"dropping-particle":"","family":"Nga","given":"Tran Thuy","non-dropping-particle":"","parse-names":false,"suffix":""}],"container-title":"Maternal &amp; child nutrition","id":"ITEM-1","issue":"e13264","issued":{"date-parts":[["2022"]]},"page":"1-12","title":"Animal source foods , rich in essential amino acids , are important for linear growth and development of young children in low- and middle-income countries","type":"article-journal","volume":"18"},"uris":["http://www.mendeley.com/documents/?uuid=9905ee3b-047c-4e2d-aff3-9f8dc1d9044c"]}],"mendeley":{"formattedCitation":"(Parikh et al., 2022)","plainTextFormattedCitation":"(Parikh et al., 2022)","previouslyFormattedCitation":"(Parikh et al., 2022)"},"properties":{"noteIndex":0},"schema":"https://github.com/citation-style-language/schema/raw/master/csl-citation.json"}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>(Parikh et al., 2022;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DOI":"10.3390/nu11020480","author":[{"dropping-particle":"","family":"Kaimila","given":"Yankho","non-dropping-particle":"","parse-names":false,"suffix":""},{"dropping-particle":"","family":"Divala","given":"Oscar","non-dropping-particle":"","parse-names":false,"suffix":""},{"dropping-particle":"","family":"Agapova","given":"Sophia E","non-dropping-particle":"","parse-names":false,"suffix":""},{"dropping-particle":"","family":"Stephenson","given":"Kevin B","non-dropping-particle":"","parse-names":false,"suffix":""},{"dropping-particle":"","family":"Thakwalakwa","given":"Chrissie","non-dropping-particle":"","parse-names":false,"suffix":""},{"dropping-particle":"","family":"Trehan","given":"Indi","non-dropping-particle":"","parse-names":false,"suffix":""},{"dropping-particle":"","family":"Manary","given":"Mark J","non-dropping-particle":"","parse-names":false,"suffix":""},{"dropping-particle":"","family":"Maleta","given":"Kenneth M","non-dropping-particle":"","parse-names":false,"suffix":""}],"container-title":"Nutrients","id":"ITEM-1","issue":"480","issued":{"date-parts":[["2019"]]},"page":"1-21","title":"Consumption of Animal-Source Protein is Associated with Improved Height-for-Age Z Scores in Rural","type":"article-journal","volume":"11"},"uris":["http://www.mendeley.com/documents/?uuid=4605023c-bea5-4a75-9e42-7ec77a06df17"]}],"mendeley":{"formattedCitation":"(Kaimila et al., 2019a)","manualFormatting":" Kaimila et al., 2019","plainTextFormattedCitation":"(Kaimila et al., 2019a)","previouslyFormattedCitation":"(Kaimila et al., 2019a)"},"properties":{"noteIndex":0},"schema":"https://github.com/citation-style-language/schema/raw/master/csl-citation.json"}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 Kaimila et al., 2019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t>;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author":[{"dropping-particle":"","family":"Pokharel","given":"Ashish","non-dropping-particle":"","parse-names":false,"suffix":""},{"dropping-particle":"","family":"Webb","given":"Patrick","non-dropping-particle":"","parse-names":false,"suffix":""},{"dropping-particle":"","family":"Miller","given":"Laurie C","non-dropping-particle":"","parse-names":false,"suffix":""},{"dropping-particle":"","family":"Zaharia","given":"Sonia","non-dropping-particle":"","parse-names":false,"suffix":""},{"dropping-particle":"","family":"Shrestha","given":"Robin","non-dropping-particle":"","parse-names":false,"suffix":""},{"dropping-particle":"","family":"Davis","given":"Dale","non-dropping-particle":"","parse-names":false,"suffix":""},{"dropping-particle":"","family":"Trevino","given":"Johanna Andrews","non-dropping-particle":"","parse-names":false,"suffix":""},{"dropping-particle":"","family":"Baral","given":"Kedar Prasad","non-dropping-particle":"","parse-names":false,"suffix":""},{"dropping-particle":"","family":"Paudel","given":"Krishna","non-dropping-particle":"","parse-names":false,"suffix":""},{"dropping-particle":"","family":"Ghosh","given":"Shibani","non-dropping-particle":"","parse-names":false,"suffix":""}],"container-title":"Nutrients","id":"ITEM-1","issue":"315","issued":{"date-parts":[["2023"]]},"page":"1-20","title":"Relationship between Animal Sourced Food Consumption and Early Childhood Development Outcomes","type":"article-journal","volume":"15"},"uris":["http://www.mendeley.com/documents/?uuid=c2121b9a-18da-4b7f-9fe0-2af5f295b10f"]}],"mendeley":{"formattedCitation":"(Pokharel et al., 2023)","manualFormatting":" Pokharel et al., 2023; ","plainTextFormattedCitation":"(Pokharel et al., 2023)","previouslyFormattedCitation":"(Pokharel et al., 2023)"},"properties":{"noteIndex":0},"schema":"https://github.com/citation-style-language/schema/raw/master/csl-citation.json"}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 xml:space="preserve"> Pokharel et al., 2023; 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begin" w:fldLock="1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  <w:lang w:val="sv-SE"/>
              </w:rPr>
              <w:instrText>ADDIN CSL_CITATION {"citationItems":[{"id":"ITEM-1","itemData":{"DOI":"10.1002/14651858.CD012818.pub2.www.cochranelibrary.com","author":[{"dropping-particle":"","family":"Eaton","given":"JC","non-dropping-particle":"","parse-names":false,"suffix":""},{"dropping-particle":"","family":"Rothpletz-Puglia","given":"P","non-dropping-particle":"","parse-names":false,"suffix":""},{"dropping-particle":"","family":"Dreker MR","given":"MR","non-dropping-particle":"","parse-names":false,"suffix":""},{"dropping-particle":"","family":"Iannotti","given":"L","non-dropping-particle":"","parse-names":false,"suffix":""},{"dropping-particle":"","family":"Lutter","given":"C","non-dropping-particle":"","parse-names":false,"suffix":""},{"dropping-particle":"","family":"Kaganda","given":"J","non-dropping-particle":"","parse-names":false,"suffix":""},{"dropping-particle":"","family":"Rayco-Solon","given":"P","non-dropping-particle":"","parse-names":false,"suffix":""}],"container-title":"Cochrane Database of Systematic Reviews","id":"ITEM-1","issue":"2","issued":{"date-parts":[["2019"]]},"page":"1-56","title":"E ectiveness of provision of animal-source foods for supporting optimal growth and development in children 6 to 59 months of age (Review)","type":"article-journal"},"uris":["http://www.mendeley.com/documents/?uuid=1f3374b2-1ea6-4499-9a39-6a1237823482"]}],"mendeley":{"formattedCitation":"(Eaton et al., 2019)","plainTextFormattedCitation":"(Eaton et al., 2019)"},"properties":{"noteIndex":0},"schema":"https://github.com/citation-style-language/schema/raw/master/csl-citation.json"}</w:instrTex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separate"/>
            </w:r>
            <w:r w:rsidRPr="00336B92">
              <w:rPr>
                <w:rFonts w:ascii="Arial" w:hAnsi="Arial" w:cs="Arial"/>
                <w:noProof/>
                <w:color w:val="000000" w:themeColor="text1"/>
                <w:sz w:val="22"/>
                <w:szCs w:val="22"/>
                <w:highlight w:val="yellow"/>
                <w:lang w:val="sv-SE"/>
              </w:rPr>
              <w:t>Eaton et al., 2019)</w:t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  <w:fldChar w:fldCharType="end"/>
            </w:r>
            <w:r w:rsidRPr="00336B92"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 xml:space="preserve">. </w:t>
            </w:r>
          </w:p>
          <w:p w14:paraId="42A6EB0B" w14:textId="78773746" w:rsidR="006713AC" w:rsidRPr="00336B92" w:rsidRDefault="006713AC" w:rsidP="006713AC">
            <w:p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F31841" w:rsidRPr="00336B92" w14:paraId="7BCCF7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6B79D6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7. Is the research methodology appropriate for the study?</w:t>
            </w:r>
          </w:p>
          <w:p w14:paraId="082DF8C9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66ADFC2D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B03D4A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732C0BC8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7B8FB75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506478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8. Were ethical issues properly addressed (if applicable)?</w:t>
            </w:r>
          </w:p>
          <w:p w14:paraId="042AFE94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07522FA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CB7A11" w14:textId="77777777" w:rsidR="00F31841" w:rsidRPr="00336B92" w:rsidRDefault="00077747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21169CF2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2F9AA0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7A1289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9. Are the results presented clearly? </w:t>
            </w:r>
          </w:p>
          <w:p w14:paraId="0D25E65E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2035A67" w14:textId="77777777" w:rsidR="00F31841" w:rsidRPr="00336B92" w:rsidRDefault="007637B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</w:t>
            </w: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843" w:type="pct"/>
          </w:tcPr>
          <w:p w14:paraId="55AFC203" w14:textId="77777777" w:rsidR="00F31841" w:rsidRPr="00336B92" w:rsidRDefault="00077747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>4= Good</w:t>
            </w:r>
          </w:p>
        </w:tc>
        <w:tc>
          <w:tcPr>
            <w:tcW w:w="1367" w:type="pct"/>
          </w:tcPr>
          <w:p w14:paraId="52B2C774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0A4E1A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01D145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10. Are tables and figures clear, relevant, and necessary?</w:t>
            </w:r>
          </w:p>
          <w:p w14:paraId="12C63C1B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59FC8AD5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6701F8" w14:textId="77777777" w:rsidR="00F31841" w:rsidRPr="00336B92" w:rsidRDefault="00077747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32C352D9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6DDDE477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675814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11. Does the discussion relate findings to existing literature?</w:t>
            </w:r>
          </w:p>
          <w:p w14:paraId="24AAF226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4D187172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513DB" w14:textId="77777777" w:rsidR="00F31841" w:rsidRPr="00336B92" w:rsidRDefault="00077747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2= Need  Improvement</w:t>
            </w:r>
          </w:p>
        </w:tc>
        <w:tc>
          <w:tcPr>
            <w:tcW w:w="1367" w:type="pct"/>
          </w:tcPr>
          <w:p w14:paraId="4C97928C" w14:textId="6E3D6E8A" w:rsidR="00F31841" w:rsidRPr="00336B92" w:rsidRDefault="00E602F7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discussion relate findings to existing literature</w:t>
            </w:r>
          </w:p>
        </w:tc>
      </w:tr>
      <w:tr w:rsidR="00F31841" w:rsidRPr="00336B92" w14:paraId="11992B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92A0BD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12. Are the conclusions supported by the data?</w:t>
            </w:r>
          </w:p>
          <w:p w14:paraId="382D6813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40FE6CA8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B3501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0C4D6E9D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4B95AA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1DAC51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13. Are the limitations of the study discussed?</w:t>
            </w:r>
          </w:p>
          <w:p w14:paraId="59686662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152C97F8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CEBAD1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17E1C6D5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242D1A3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B04C89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14. Are the references relevant and sufficient (in number)?</w:t>
            </w:r>
          </w:p>
          <w:p w14:paraId="5174F8F6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F7FE35D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423323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B0A313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396CF62E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0F4EC6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5402E7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sz w:val="22"/>
                <w:szCs w:val="22"/>
                <w:lang w:val="en-GB"/>
              </w:rPr>
              <w:t>15. Is the manuscript written in clear and understandable language?</w:t>
            </w:r>
          </w:p>
          <w:p w14:paraId="3F003DF8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Rating Scale: </w:t>
            </w:r>
          </w:p>
          <w:p w14:paraId="07563C39" w14:textId="77777777" w:rsidR="00F31841" w:rsidRPr="00336B92" w:rsidRDefault="007637BD">
            <w:pPr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251041E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color w:val="404040"/>
                <w:sz w:val="22"/>
                <w:szCs w:val="22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17A939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4= Good</w:t>
            </w:r>
          </w:p>
        </w:tc>
        <w:tc>
          <w:tcPr>
            <w:tcW w:w="1367" w:type="pct"/>
          </w:tcPr>
          <w:p w14:paraId="2BC3BDA2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</w:tbl>
    <w:p w14:paraId="5C12632E" w14:textId="77777777" w:rsidR="00F31841" w:rsidRPr="00336B92" w:rsidRDefault="00F31841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p w14:paraId="4873BB18" w14:textId="77777777" w:rsidR="00F31841" w:rsidRPr="00336B92" w:rsidRDefault="00F31841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p w14:paraId="1ADD6A54" w14:textId="77777777" w:rsidR="00F31841" w:rsidRPr="00336B92" w:rsidRDefault="00F31841">
      <w:pPr>
        <w:pStyle w:val="BodyText"/>
        <w:rPr>
          <w:rFonts w:ascii="Arial" w:hAnsi="Arial" w:cs="Arial"/>
          <w:b/>
          <w:bCs/>
          <w:sz w:val="22"/>
          <w:szCs w:val="22"/>
          <w:u w:val="single"/>
          <w:lang w:val="en-GB"/>
        </w:rPr>
      </w:pPr>
    </w:p>
    <w:p w14:paraId="3B44CD7E" w14:textId="77777777" w:rsidR="00F31841" w:rsidRPr="00336B92" w:rsidRDefault="007637BD">
      <w:pPr>
        <w:pStyle w:val="Heading2"/>
        <w:jc w:val="left"/>
        <w:rPr>
          <w:rFonts w:ascii="Arial" w:hAnsi="Arial" w:cs="Arial"/>
          <w:sz w:val="22"/>
          <w:szCs w:val="22"/>
          <w:u w:val="single"/>
          <w:lang w:val="en-GB"/>
        </w:rPr>
      </w:pPr>
      <w:r w:rsidRPr="00336B92">
        <w:rPr>
          <w:rFonts w:ascii="Arial" w:hAnsi="Arial" w:cs="Arial"/>
          <w:sz w:val="22"/>
          <w:szCs w:val="22"/>
          <w:highlight w:val="yellow"/>
          <w:u w:val="single"/>
          <w:lang w:val="en-GB"/>
        </w:rPr>
        <w:t>PART 2.2 (Subjective Evaluation)</w:t>
      </w:r>
    </w:p>
    <w:p w14:paraId="598C1E5C" w14:textId="77777777" w:rsidR="00F31841" w:rsidRPr="00336B92" w:rsidRDefault="00F31841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31841" w:rsidRPr="00336B92" w14:paraId="7BC1CDB3" w14:textId="77777777">
        <w:trPr>
          <w:trHeight w:val="20"/>
          <w:jc w:val="center"/>
        </w:trPr>
        <w:tc>
          <w:tcPr>
            <w:tcW w:w="1672" w:type="pct"/>
            <w:noWrap/>
          </w:tcPr>
          <w:p w14:paraId="6F75831D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86" w:type="pct"/>
          </w:tcPr>
          <w:p w14:paraId="0A33EB9F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Reviewer’s comment</w:t>
            </w:r>
          </w:p>
          <w:p w14:paraId="04E2DE73" w14:textId="77777777" w:rsidR="00F31841" w:rsidRPr="00336B92" w:rsidRDefault="00F3184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E7C9149" w14:textId="77777777" w:rsidR="00F31841" w:rsidRPr="00336B92" w:rsidRDefault="007637BD">
            <w:pPr>
              <w:spacing w:after="160" w:line="259" w:lineRule="auto"/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</w:pPr>
            <w:r w:rsidRPr="00336B92">
              <w:rPr>
                <w:rFonts w:ascii="Arial" w:eastAsia="Calibri" w:hAnsi="Arial" w:cs="Arial"/>
                <w:b/>
                <w:kern w:val="2"/>
                <w:sz w:val="22"/>
                <w:szCs w:val="22"/>
                <w:lang w:val="en-IN"/>
              </w:rPr>
              <w:t>Author’s Feedback</w:t>
            </w:r>
            <w:r w:rsidRPr="00336B92">
              <w:rPr>
                <w:rFonts w:ascii="Arial" w:eastAsia="Calibri" w:hAnsi="Arial" w:cs="Arial"/>
                <w:kern w:val="2"/>
                <w:sz w:val="22"/>
                <w:szCs w:val="22"/>
                <w:lang w:val="en-IN"/>
              </w:rPr>
              <w:t xml:space="preserve"> (It is mandatory that authors should write his/her feedback here)</w:t>
            </w:r>
          </w:p>
          <w:p w14:paraId="5BDE5723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6651BE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FD531F" w14:textId="77777777" w:rsidR="00F31841" w:rsidRPr="00336B92" w:rsidRDefault="007637B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Is the title of the article suitable?</w:t>
            </w:r>
          </w:p>
          <w:p w14:paraId="156AB949" w14:textId="77777777" w:rsidR="00F31841" w:rsidRPr="00336B92" w:rsidRDefault="00F31841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3A52E403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u w:val="single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9020D4D" w14:textId="77777777" w:rsidR="00F31841" w:rsidRPr="00336B92" w:rsidRDefault="004C34EB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Yes</w:t>
            </w:r>
          </w:p>
        </w:tc>
        <w:tc>
          <w:tcPr>
            <w:tcW w:w="1543" w:type="pct"/>
          </w:tcPr>
          <w:p w14:paraId="7EC4FE03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15ADD647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01BB32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 xml:space="preserve">Is the abstract of the article comprehensive? </w:t>
            </w:r>
          </w:p>
          <w:p w14:paraId="02776833" w14:textId="77777777" w:rsidR="00F31841" w:rsidRPr="00336B92" w:rsidRDefault="00F31841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39E529BF" w14:textId="77777777" w:rsidR="00F31841" w:rsidRPr="00336B92" w:rsidRDefault="007637B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7F473A" w14:textId="77777777" w:rsidR="00F31841" w:rsidRPr="00336B92" w:rsidRDefault="004C34EB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The abstract is comprehensive but will need to be reviewed to remove the subheadings should be a single paragraph</w:t>
            </w:r>
          </w:p>
        </w:tc>
        <w:tc>
          <w:tcPr>
            <w:tcW w:w="1543" w:type="pct"/>
          </w:tcPr>
          <w:p w14:paraId="58DC4772" w14:textId="22D57AA8" w:rsidR="00F31841" w:rsidRPr="00336B92" w:rsidRDefault="00E602F7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abstract of the article comprehensive</w:t>
            </w:r>
          </w:p>
        </w:tc>
      </w:tr>
      <w:tr w:rsidR="00F31841" w:rsidRPr="00336B92" w14:paraId="62929DEE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0230EB" w14:textId="77777777" w:rsidR="00F31841" w:rsidRPr="00336B92" w:rsidRDefault="007637BD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 xml:space="preserve">Is the manuscript scientifically correct? </w:t>
            </w: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br/>
            </w:r>
          </w:p>
          <w:p w14:paraId="741B7A04" w14:textId="77777777" w:rsidR="00F31841" w:rsidRPr="00336B92" w:rsidRDefault="007637BD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D24D2B4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68B428EB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  <w:tr w:rsidR="00F31841" w:rsidRPr="00336B92" w14:paraId="6A6647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DC19625" w14:textId="77777777" w:rsidR="00F31841" w:rsidRPr="00336B92" w:rsidRDefault="007637B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Are the references sufficient and recent? </w:t>
            </w:r>
          </w:p>
          <w:p w14:paraId="76A9C562" w14:textId="77777777" w:rsidR="00F31841" w:rsidRPr="00336B92" w:rsidRDefault="007637B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(YES or NO)</w:t>
            </w:r>
          </w:p>
          <w:p w14:paraId="6A06266D" w14:textId="77777777" w:rsidR="00F31841" w:rsidRPr="00336B92" w:rsidRDefault="00F31841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08FD1E1C" w14:textId="77777777" w:rsidR="00F31841" w:rsidRPr="00336B92" w:rsidRDefault="007637B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178CAF8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They are sufficient additional  more recent references needed</w:t>
            </w:r>
            <w:r w:rsidR="00F703F0"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, Review the references for punctuations</w:t>
            </w:r>
          </w:p>
        </w:tc>
        <w:tc>
          <w:tcPr>
            <w:tcW w:w="1543" w:type="pct"/>
          </w:tcPr>
          <w:p w14:paraId="420F9224" w14:textId="5973A638" w:rsidR="00F31841" w:rsidRPr="00336B92" w:rsidRDefault="00E602F7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sz w:val="22"/>
                <w:szCs w:val="22"/>
                <w:lang w:val="en-GB"/>
              </w:rPr>
              <w:t>references sufficient and recent</w:t>
            </w:r>
          </w:p>
        </w:tc>
      </w:tr>
      <w:tr w:rsidR="00F31841" w:rsidRPr="00336B92" w14:paraId="25026B93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0C8F3E3" w14:textId="77777777" w:rsidR="00F31841" w:rsidRPr="00336B92" w:rsidRDefault="007637BD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Are there ethical issues in this manuscript?</w:t>
            </w:r>
          </w:p>
          <w:p w14:paraId="684132CA" w14:textId="77777777" w:rsidR="00F31841" w:rsidRPr="00336B92" w:rsidRDefault="007637B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(YES or NO)</w:t>
            </w:r>
          </w:p>
          <w:p w14:paraId="28465BCE" w14:textId="77777777" w:rsidR="00F31841" w:rsidRPr="00336B92" w:rsidRDefault="00F31841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14:paraId="2E3CC14F" w14:textId="77777777" w:rsidR="00F31841" w:rsidRPr="00336B92" w:rsidRDefault="007637BD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>(If yes, kindly please write down the ethical issues here in details)</w:t>
            </w:r>
          </w:p>
          <w:p w14:paraId="6BD0B483" w14:textId="77777777" w:rsidR="00F31841" w:rsidRPr="00336B92" w:rsidRDefault="00F31841">
            <w:p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1786" w:type="pct"/>
          </w:tcPr>
          <w:p w14:paraId="40A9E400" w14:textId="77777777" w:rsidR="00F31841" w:rsidRPr="00336B92" w:rsidRDefault="004C34EB">
            <w:pPr>
              <w:pStyle w:val="ListParagraph"/>
              <w:ind w:left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336B92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1543" w:type="pct"/>
          </w:tcPr>
          <w:p w14:paraId="509CA8BE" w14:textId="77777777" w:rsidR="00F31841" w:rsidRPr="00336B92" w:rsidRDefault="00F31841">
            <w:pPr>
              <w:pStyle w:val="Heading2"/>
              <w:jc w:val="left"/>
              <w:rPr>
                <w:rFonts w:ascii="Arial" w:hAnsi="Arial" w:cs="Arial"/>
                <w:b w:val="0"/>
                <w:sz w:val="22"/>
                <w:szCs w:val="22"/>
                <w:lang w:val="en-GB"/>
              </w:rPr>
            </w:pPr>
          </w:p>
        </w:tc>
      </w:tr>
    </w:tbl>
    <w:p w14:paraId="68E5A51D" w14:textId="77777777" w:rsidR="00F31841" w:rsidRPr="00336B92" w:rsidRDefault="00F31841" w:rsidP="003E1C0E">
      <w:pPr>
        <w:pStyle w:val="Heading2"/>
        <w:jc w:val="left"/>
        <w:rPr>
          <w:rFonts w:ascii="Arial" w:hAnsi="Arial" w:cs="Arial"/>
          <w:sz w:val="22"/>
          <w:szCs w:val="22"/>
          <w:highlight w:val="yellow"/>
          <w:lang w:val="en-GB"/>
        </w:rPr>
      </w:pPr>
    </w:p>
    <w:sectPr w:rsidR="00F31841" w:rsidRPr="00336B9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CA427" w14:textId="77777777" w:rsidR="00D94A0E" w:rsidRDefault="00D94A0E">
      <w:r>
        <w:separator/>
      </w:r>
    </w:p>
  </w:endnote>
  <w:endnote w:type="continuationSeparator" w:id="0">
    <w:p w14:paraId="074C43CF" w14:textId="77777777" w:rsidR="00D94A0E" w:rsidRDefault="00D94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88DE8" w14:textId="77777777" w:rsidR="00F31841" w:rsidRDefault="00F31841">
    <w:pPr>
      <w:pStyle w:val="Footer"/>
      <w:jc w:val="right"/>
    </w:pPr>
  </w:p>
  <w:p w14:paraId="6BA8E7FA" w14:textId="77777777" w:rsidR="00F31841" w:rsidRDefault="007637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E1C0E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E1C0E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9D854D6" w14:textId="77777777" w:rsidR="00F31841" w:rsidRDefault="007637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B3B68B1" w14:textId="77777777" w:rsidR="00F31841" w:rsidRDefault="00F31841">
    <w:pPr>
      <w:pStyle w:val="Footer"/>
      <w:jc w:val="right"/>
    </w:pPr>
  </w:p>
  <w:p w14:paraId="012C04B4" w14:textId="77777777" w:rsidR="00F31841" w:rsidRDefault="00F3184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015D6" w14:textId="77777777" w:rsidR="00D94A0E" w:rsidRDefault="00D94A0E">
      <w:r>
        <w:separator/>
      </w:r>
    </w:p>
  </w:footnote>
  <w:footnote w:type="continuationSeparator" w:id="0">
    <w:p w14:paraId="3822168D" w14:textId="77777777" w:rsidR="00D94A0E" w:rsidRDefault="00D94A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220C" w14:textId="77777777" w:rsidR="00F31841" w:rsidRDefault="00F3184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BCD975" w14:textId="77777777" w:rsidR="00F31841" w:rsidRDefault="007637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59661479">
    <w:abstractNumId w:val="4"/>
  </w:num>
  <w:num w:numId="2" w16cid:durableId="1436251035">
    <w:abstractNumId w:val="8"/>
  </w:num>
  <w:num w:numId="3" w16cid:durableId="1175875753">
    <w:abstractNumId w:val="7"/>
  </w:num>
  <w:num w:numId="4" w16cid:durableId="1896043253">
    <w:abstractNumId w:val="9"/>
  </w:num>
  <w:num w:numId="5" w16cid:durableId="1073577851">
    <w:abstractNumId w:val="6"/>
  </w:num>
  <w:num w:numId="6" w16cid:durableId="826748258">
    <w:abstractNumId w:val="0"/>
  </w:num>
  <w:num w:numId="7" w16cid:durableId="602617610">
    <w:abstractNumId w:val="3"/>
  </w:num>
  <w:num w:numId="8" w16cid:durableId="2094427112">
    <w:abstractNumId w:val="11"/>
  </w:num>
  <w:num w:numId="9" w16cid:durableId="988704723">
    <w:abstractNumId w:val="10"/>
  </w:num>
  <w:num w:numId="10" w16cid:durableId="1669477590">
    <w:abstractNumId w:val="2"/>
  </w:num>
  <w:num w:numId="11" w16cid:durableId="1479613907">
    <w:abstractNumId w:val="1"/>
  </w:num>
  <w:num w:numId="12" w16cid:durableId="717081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841"/>
    <w:rsid w:val="00030600"/>
    <w:rsid w:val="00050A67"/>
    <w:rsid w:val="00077747"/>
    <w:rsid w:val="000F4255"/>
    <w:rsid w:val="0014686F"/>
    <w:rsid w:val="001C0848"/>
    <w:rsid w:val="002440FB"/>
    <w:rsid w:val="00275032"/>
    <w:rsid w:val="002B780B"/>
    <w:rsid w:val="00330425"/>
    <w:rsid w:val="00336B92"/>
    <w:rsid w:val="003E1C0E"/>
    <w:rsid w:val="0043091C"/>
    <w:rsid w:val="004C34EB"/>
    <w:rsid w:val="005B2ADC"/>
    <w:rsid w:val="005F144C"/>
    <w:rsid w:val="005F2778"/>
    <w:rsid w:val="006713AC"/>
    <w:rsid w:val="00675EF7"/>
    <w:rsid w:val="00705C06"/>
    <w:rsid w:val="007637BD"/>
    <w:rsid w:val="00830072"/>
    <w:rsid w:val="008601B1"/>
    <w:rsid w:val="008607C3"/>
    <w:rsid w:val="009D4586"/>
    <w:rsid w:val="00B704E6"/>
    <w:rsid w:val="00D94A0E"/>
    <w:rsid w:val="00E602F7"/>
    <w:rsid w:val="00F17C49"/>
    <w:rsid w:val="00F31841"/>
    <w:rsid w:val="00F7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2DEBE"/>
  <w15:docId w15:val="{E34110A8-B4D9-4D6A-AC0F-810EF908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27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ah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4682</Words>
  <Characters>26693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Demsa Simbolon</cp:lastModifiedBy>
  <cp:revision>24</cp:revision>
  <dcterms:created xsi:type="dcterms:W3CDTF">2026-04-22T11:38:00Z</dcterms:created>
  <dcterms:modified xsi:type="dcterms:W3CDTF">2026-04-25T13:53:00Z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