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F003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AB88081">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pPr>
              <w:rPr>
                <w:b/>
                <w:bCs/>
                <w:color w:val="0000FF"/>
                <w:sz w:val="20"/>
                <w:szCs w:val="20"/>
                <w:lang w:val="en-GB"/>
              </w:rPr>
            </w:pPr>
            <w:r>
              <w:fldChar w:fldCharType="begin"/>
            </w:r>
            <w:r>
              <w:instrText xml:space="preserve"> HYPERLINK "https://r1.reviewerhub.org/ajess/journal" </w:instrText>
            </w:r>
            <w:r>
              <w:fldChar w:fldCharType="separate"/>
            </w:r>
            <w:r>
              <w:rPr>
                <w:rFonts w:ascii="Arial" w:hAnsi="Arial" w:cs="Arial"/>
                <w:bCs/>
                <w:color w:val="0000FF"/>
                <w:sz w:val="20"/>
                <w:szCs w:val="20"/>
              </w:rPr>
              <w:t xml:space="preserve">Asian Journal of Education and Social Studies </w:t>
            </w:r>
            <w:r>
              <w:rPr>
                <w:rFonts w:ascii="Arial" w:hAnsi="Arial" w:cs="Arial"/>
                <w:bCs/>
                <w:color w:val="0000FF"/>
                <w:sz w:val="20"/>
                <w:szCs w:val="20"/>
              </w:rPr>
              <w:fldChar w:fldCharType="end"/>
            </w:r>
          </w:p>
        </w:tc>
      </w:tr>
      <w:tr w14:paraId="2DBBB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222ECC">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Ms_AJESS_158501</w:t>
            </w:r>
          </w:p>
        </w:tc>
      </w:tr>
      <w:tr w14:paraId="114A2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52A5B9A">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Effect of Screen Time Duration on the Quality of Interpersonal Communication Among Elementary School Students in South Jakarta</w:t>
            </w:r>
          </w:p>
        </w:tc>
      </w:tr>
      <w:tr w14:paraId="6BB50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48FB63D">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pPr>
              <w:pStyle w:val="11"/>
              <w:spacing w:before="0" w:beforeAutospacing="0" w:after="0" w:afterAutospacing="0"/>
              <w:rPr>
                <w:rFonts w:ascii="Times New Roman" w:hAnsi="Times New Roman" w:cs="Times New Roman"/>
                <w:b/>
                <w:sz w:val="20"/>
                <w:szCs w:val="20"/>
                <w:lang w:val="en-GB"/>
              </w:rPr>
            </w:pPr>
          </w:p>
        </w:tc>
      </w:tr>
    </w:tbl>
    <w:p w14:paraId="02748C5E">
      <w:pPr>
        <w:jc w:val="both"/>
        <w:rPr>
          <w:rFonts w:eastAsia="MS Mincho"/>
          <w:sz w:val="20"/>
          <w:szCs w:val="20"/>
          <w:lang w:val="en-GB" w:eastAsia="zh-CN"/>
        </w:rPr>
      </w:pPr>
    </w:p>
    <w:p w14:paraId="4C39AB3E">
      <w:pPr>
        <w:jc w:val="both"/>
        <w:rPr>
          <w:rFonts w:eastAsia="MS Mincho"/>
          <w:sz w:val="20"/>
          <w:szCs w:val="20"/>
          <w:lang w:val="en-GB" w:eastAsia="zh-CN"/>
        </w:rPr>
      </w:pPr>
    </w:p>
    <w:p w14:paraId="5B6B5319">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pPr>
        <w:ind w:left="1440"/>
        <w:jc w:val="both"/>
        <w:rPr>
          <w:rFonts w:eastAsia="MS Mincho"/>
          <w:bCs/>
          <w:sz w:val="20"/>
          <w:szCs w:val="20"/>
          <w:lang w:val="en-GB" w:eastAsia="zh-CN"/>
        </w:rPr>
      </w:pPr>
    </w:p>
    <w:tbl>
      <w:tblPr>
        <w:tblStyle w:val="5"/>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94"/>
        <w:gridCol w:w="4335"/>
        <w:gridCol w:w="6249"/>
      </w:tblGrid>
      <w:tr w14:paraId="25010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noWrap/>
          </w:tcPr>
          <w:p w14:paraId="5A606F3A">
            <w:pPr>
              <w:keepNext/>
              <w:outlineLvl w:val="1"/>
              <w:rPr>
                <w:rFonts w:eastAsia="MS Mincho"/>
                <w:b/>
                <w:bCs/>
                <w:sz w:val="20"/>
                <w:szCs w:val="20"/>
                <w:lang w:val="en-GB"/>
              </w:rPr>
            </w:pPr>
          </w:p>
        </w:tc>
        <w:tc>
          <w:tcPr>
            <w:tcW w:w="1561" w:type="pct"/>
          </w:tcPr>
          <w:p w14:paraId="4097FB6E">
            <w:pPr>
              <w:keepNext/>
              <w:outlineLvl w:val="1"/>
              <w:rPr>
                <w:rFonts w:eastAsia="MS Mincho"/>
                <w:b/>
                <w:bCs/>
                <w:sz w:val="20"/>
                <w:szCs w:val="20"/>
                <w:lang w:val="en-GB"/>
              </w:rPr>
            </w:pPr>
            <w:r>
              <w:rPr>
                <w:rFonts w:eastAsia="MS Mincho"/>
                <w:b/>
                <w:bCs/>
                <w:sz w:val="20"/>
                <w:szCs w:val="20"/>
                <w:lang w:val="en-GB"/>
              </w:rPr>
              <w:t>Comments of the Reviewers</w:t>
            </w:r>
          </w:p>
        </w:tc>
        <w:tc>
          <w:tcPr>
            <w:tcW w:w="2251" w:type="pct"/>
          </w:tcPr>
          <w:p w14:paraId="2195925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pPr>
              <w:keepNext/>
              <w:outlineLvl w:val="1"/>
              <w:rPr>
                <w:rFonts w:eastAsia="MS Mincho"/>
                <w:bCs/>
                <w:sz w:val="20"/>
                <w:szCs w:val="20"/>
                <w:lang w:val="en-GB"/>
              </w:rPr>
            </w:pPr>
          </w:p>
        </w:tc>
      </w:tr>
      <w:tr w14:paraId="0DF16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noWrap/>
          </w:tcPr>
          <w:p w14:paraId="1698C27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pPr>
              <w:rPr>
                <w:rFonts w:eastAsia="MS Mincho"/>
                <w:bCs/>
                <w:sz w:val="20"/>
                <w:szCs w:val="20"/>
                <w:lang w:val="en-GB"/>
              </w:rPr>
            </w:pPr>
            <w:r>
              <w:rPr>
                <w:bCs/>
                <w:sz w:val="20"/>
                <w:szCs w:val="20"/>
                <w:lang w:val="en-GB"/>
              </w:rPr>
              <w:t>be required for this part.</w:t>
            </w:r>
          </w:p>
        </w:tc>
        <w:tc>
          <w:tcPr>
            <w:tcW w:w="1561" w:type="pct"/>
          </w:tcPr>
          <w:p w14:paraId="1BAC91DB">
            <w:pPr>
              <w:contextualSpacing/>
              <w:jc w:val="both"/>
              <w:rPr>
                <w:lang w:val="en-GB"/>
              </w:rPr>
            </w:pPr>
            <w:r>
              <w:rPr>
                <w:lang w:val="en-GB"/>
              </w:rPr>
              <w:t>The purpose of this manuscript is to discuss a crucial and pertinent problem related to the effect of the increased amount of time spent on screens on the interpersonal communication skills of students studying at the elementary stage of urban schools. This manuscript adds value to the existing academic discussion on Generation Alpha, digital behavior and socio-emotional development since the paper concentrates on such particular aspects as empathy, openness and patterns of face-to-face interaction. The combination of Media Ecology Theory and interpersonal communication theories creates a valuable theoretical background for the analysis of the effect of digital experience on children’s social behavior.</w:t>
            </w:r>
          </w:p>
        </w:tc>
        <w:tc>
          <w:tcPr>
            <w:tcW w:w="2251" w:type="pct"/>
          </w:tcPr>
          <w:p w14:paraId="20DC3A53">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4D6CAA59">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encouraging feedback and for recognizing the value of our study. We agree that contextualizing the importance of this research is vital for the scientific community. In accordance with the Reviewer’s suggestion, we have emphasized the significance of this manuscript as follows:</w:t>
            </w:r>
          </w:p>
          <w:p w14:paraId="19EE1FFF">
            <w:pPr>
              <w:keepNext/>
              <w:jc w:val="both"/>
              <w:outlineLvl w:val="1"/>
              <w:rPr>
                <w:rFonts w:hint="default" w:eastAsia="MS Mincho"/>
                <w:bCs/>
                <w:sz w:val="20"/>
                <w:szCs w:val="20"/>
                <w:lang w:val="en-GB"/>
              </w:rPr>
            </w:pPr>
            <w:r>
              <w:rPr>
                <w:rFonts w:hint="default" w:eastAsia="MS Mincho"/>
                <w:bCs/>
                <w:sz w:val="20"/>
                <w:szCs w:val="20"/>
                <w:lang w:val="en-GB"/>
              </w:rPr>
              <w:t xml:space="preserve">This manuscript provides critical empirical evidence on </w:t>
            </w:r>
            <w:r>
              <w:rPr>
                <w:rFonts w:hint="default" w:eastAsia="MS Mincho"/>
                <w:bCs/>
                <w:sz w:val="20"/>
                <w:szCs w:val="20"/>
                <w:lang w:val="en-US"/>
              </w:rPr>
              <w:t>the "</w:t>
            </w:r>
            <w:r>
              <w:rPr>
                <w:rFonts w:hint="default" w:eastAsia="MS Mincho"/>
                <w:bCs/>
                <w:sz w:val="20"/>
                <w:szCs w:val="20"/>
                <w:lang w:val="en-GB"/>
              </w:rPr>
              <w:t xml:space="preserve">Communication </w:t>
            </w:r>
            <w:r>
              <w:rPr>
                <w:rFonts w:hint="default" w:eastAsia="MS Mincho"/>
                <w:bCs/>
                <w:sz w:val="20"/>
                <w:szCs w:val="20"/>
                <w:lang w:val="en-US"/>
              </w:rPr>
              <w:t>Paradox"</w:t>
            </w:r>
            <w:r>
              <w:rPr>
                <w:rFonts w:hint="default" w:eastAsia="MS Mincho"/>
                <w:bCs/>
                <w:sz w:val="20"/>
                <w:szCs w:val="20"/>
                <w:lang w:val="en-GB"/>
              </w:rPr>
              <w:t xml:space="preserve"> within Generation Alpha, offering a nuanced understanding of how digital saturation affects specific social dimensions such as empathy and openness. By integrating Media Ecology Theory with DeVito’s interpersonal communication framework, the study bridges a significant gap in current literature regarding the qualitative shift in childhood social development within high-tech urban environments. The finding that digital exposure has become </w:t>
            </w:r>
            <w:r>
              <w:rPr>
                <w:rFonts w:hint="default" w:eastAsia="MS Mincho"/>
                <w:bCs/>
                <w:sz w:val="20"/>
                <w:szCs w:val="20"/>
                <w:lang w:val="en-US"/>
              </w:rPr>
              <w:t>a ‘</w:t>
            </w:r>
            <w:r>
              <w:rPr>
                <w:rFonts w:hint="default" w:eastAsia="MS Mincho"/>
                <w:bCs/>
                <w:sz w:val="20"/>
                <w:szCs w:val="20"/>
                <w:lang w:val="en-GB"/>
              </w:rPr>
              <w:t xml:space="preserve">normalized </w:t>
            </w:r>
            <w:r>
              <w:rPr>
                <w:rFonts w:hint="default" w:eastAsia="MS Mincho"/>
                <w:bCs/>
                <w:sz w:val="20"/>
                <w:szCs w:val="20"/>
                <w:lang w:val="en-US"/>
              </w:rPr>
              <w:t>environment’</w:t>
            </w:r>
            <w:r>
              <w:rPr>
                <w:rFonts w:hint="default" w:eastAsia="MS Mincho"/>
                <w:bCs/>
                <w:sz w:val="20"/>
                <w:szCs w:val="20"/>
                <w:lang w:val="en-GB"/>
              </w:rPr>
              <w:t xml:space="preserve"> rather than a mere disruptive variable challenges traditional duration-based intervention models and shifts the academic focus toward content quality and active parental mediation. Furthermore, this research serves as an essential data foundation for educators and policymakers in developing strategies to foster emotional responsiveness and interpersonal integrity in the increasingly digitalized landscape of urban education.</w:t>
            </w:r>
          </w:p>
          <w:p w14:paraId="46643927">
            <w:pPr>
              <w:keepNext/>
              <w:jc w:val="both"/>
              <w:outlineLvl w:val="1"/>
              <w:rPr>
                <w:rFonts w:eastAsia="MS Mincho"/>
                <w:bCs/>
                <w:sz w:val="20"/>
                <w:szCs w:val="20"/>
                <w:lang w:val="en-GB"/>
              </w:rPr>
            </w:pPr>
            <w:r>
              <w:rPr>
                <w:rFonts w:hint="default" w:eastAsia="MS Mincho"/>
                <w:bCs/>
                <w:sz w:val="20"/>
                <w:szCs w:val="20"/>
                <w:lang w:val="en-GB"/>
              </w:rPr>
              <w:t xml:space="preserve">We believe these additions clearly articulate the </w:t>
            </w:r>
            <w:r>
              <w:rPr>
                <w:rFonts w:hint="default" w:eastAsia="MS Mincho"/>
                <w:bCs/>
                <w:sz w:val="20"/>
                <w:szCs w:val="20"/>
                <w:lang w:val="en-US"/>
              </w:rPr>
              <w:t>research’</w:t>
            </w:r>
            <w:r>
              <w:rPr>
                <w:rFonts w:hint="default" w:eastAsia="MS Mincho"/>
                <w:bCs/>
                <w:sz w:val="20"/>
                <w:szCs w:val="20"/>
                <w:lang w:val="en-GB"/>
              </w:rPr>
              <w:t>s contribution to the broader scientific discourse on digital behavior and socio-emotional development.</w:t>
            </w:r>
          </w:p>
        </w:tc>
      </w:tr>
    </w:tbl>
    <w:p w14:paraId="0148C68F">
      <w:pPr>
        <w:rPr>
          <w:sz w:val="20"/>
          <w:szCs w:val="20"/>
          <w:lang w:val="en-GB"/>
        </w:rPr>
      </w:pPr>
    </w:p>
    <w:p w14:paraId="7B92B319">
      <w:pPr>
        <w:rPr>
          <w:sz w:val="20"/>
          <w:szCs w:val="20"/>
          <w:lang w:val="en-GB"/>
        </w:rPr>
      </w:pPr>
    </w:p>
    <w:p w14:paraId="45EDC2E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2213"/>
        <w:gridCol w:w="7051"/>
      </w:tblGrid>
      <w:tr w14:paraId="5A000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440543DA">
            <w:pPr>
              <w:keepNext/>
              <w:outlineLvl w:val="1"/>
              <w:rPr>
                <w:rFonts w:eastAsia="MS Mincho"/>
                <w:b/>
                <w:bCs/>
                <w:sz w:val="20"/>
                <w:szCs w:val="20"/>
                <w:lang w:val="en-GB"/>
              </w:rPr>
            </w:pPr>
          </w:p>
        </w:tc>
        <w:tc>
          <w:tcPr>
            <w:tcW w:w="796" w:type="pct"/>
          </w:tcPr>
          <w:p w14:paraId="1908DDAF">
            <w:pPr>
              <w:keepNext/>
              <w:outlineLvl w:val="1"/>
              <w:rPr>
                <w:rFonts w:eastAsia="MS Mincho"/>
                <w:b/>
                <w:bCs/>
                <w:sz w:val="20"/>
                <w:szCs w:val="20"/>
                <w:lang w:val="en-GB"/>
              </w:rPr>
            </w:pPr>
            <w:r>
              <w:rPr>
                <w:rFonts w:eastAsia="MS Mincho"/>
                <w:b/>
                <w:bCs/>
                <w:sz w:val="20"/>
                <w:szCs w:val="20"/>
                <w:lang w:val="en-GB"/>
              </w:rPr>
              <w:t>Rating of the Reviewers</w:t>
            </w:r>
          </w:p>
        </w:tc>
        <w:tc>
          <w:tcPr>
            <w:tcW w:w="2537" w:type="pct"/>
          </w:tcPr>
          <w:p w14:paraId="042D541A">
            <w:pPr>
              <w:spacing w:after="160" w:line="256" w:lineRule="auto"/>
              <w:jc w:val="both"/>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4617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4F3A743C">
            <w:pPr>
              <w:rPr>
                <w:b/>
                <w:bCs/>
                <w:sz w:val="20"/>
                <w:szCs w:val="20"/>
                <w:lang w:val="en-GB"/>
              </w:rPr>
            </w:pPr>
            <w:r>
              <w:rPr>
                <w:b/>
                <w:bCs/>
                <w:sz w:val="20"/>
                <w:szCs w:val="20"/>
                <w:lang w:val="en-GB"/>
              </w:rPr>
              <w:t xml:space="preserve">1. Is the title clear and appropriate for the study? </w:t>
            </w:r>
          </w:p>
          <w:p w14:paraId="108A132B">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796" w:type="pct"/>
          </w:tcPr>
          <w:p w14:paraId="60ED5885">
            <w:pPr>
              <w:ind w:left="360"/>
              <w:rPr>
                <w:b/>
                <w:bCs/>
                <w:sz w:val="20"/>
                <w:szCs w:val="20"/>
                <w:lang w:val="en-GB"/>
              </w:rPr>
            </w:pPr>
            <w:r>
              <w:rPr>
                <w:b/>
                <w:bCs/>
                <w:sz w:val="20"/>
                <w:szCs w:val="20"/>
                <w:lang w:val="en-GB"/>
              </w:rPr>
              <w:t>4</w:t>
            </w:r>
          </w:p>
        </w:tc>
        <w:tc>
          <w:tcPr>
            <w:tcW w:w="2537" w:type="pct"/>
          </w:tcPr>
          <w:p w14:paraId="6663EF0D">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0C69DD75">
            <w:pPr>
              <w:keepNext/>
              <w:jc w:val="both"/>
              <w:outlineLvl w:val="1"/>
              <w:rPr>
                <w:rFonts w:eastAsia="MS Mincho"/>
                <w:bCs/>
                <w:sz w:val="20"/>
                <w:szCs w:val="20"/>
                <w:lang w:val="en-GB"/>
              </w:rPr>
            </w:pPr>
            <w:r>
              <w:rPr>
                <w:rFonts w:hint="default" w:eastAsia="MS Mincho"/>
                <w:bCs/>
                <w:sz w:val="20"/>
                <w:szCs w:val="20"/>
                <w:lang w:val="en-GB"/>
              </w:rPr>
              <w:t xml:space="preserve">We sincerely thank the reviewer for the positive assessment of our </w:t>
            </w:r>
            <w:r>
              <w:rPr>
                <w:rFonts w:hint="default" w:eastAsia="MS Mincho"/>
                <w:bCs/>
                <w:sz w:val="20"/>
                <w:szCs w:val="20"/>
                <w:lang w:val="en-US"/>
              </w:rPr>
              <w:t>study’</w:t>
            </w:r>
            <w:r>
              <w:rPr>
                <w:rFonts w:hint="default" w:eastAsia="MS Mincho"/>
                <w:bCs/>
                <w:sz w:val="20"/>
                <w:szCs w:val="20"/>
                <w:lang w:val="en-GB"/>
              </w:rPr>
              <w:t xml:space="preserve">s title. We are pleased that the title is considered clear and representative of the research variables and the specific urban demographic in South Jakarta. We believe the current </w:t>
            </w:r>
            <w:r>
              <w:rPr>
                <w:rFonts w:hint="default" w:eastAsia="MS Mincho"/>
                <w:bCs/>
                <w:sz w:val="20"/>
                <w:szCs w:val="20"/>
                <w:lang w:val="en-US"/>
              </w:rPr>
              <w:t>title, “</w:t>
            </w:r>
            <w:r>
              <w:rPr>
                <w:rFonts w:hint="default" w:eastAsia="MS Mincho"/>
                <w:bCs/>
                <w:sz w:val="20"/>
                <w:szCs w:val="20"/>
                <w:lang w:val="en-GB"/>
              </w:rPr>
              <w:t xml:space="preserve">Examining the Relationship Between Screen Time and Interpersonal Communication Quality Among Elementary School Students in South </w:t>
            </w:r>
            <w:r>
              <w:rPr>
                <w:rFonts w:hint="default" w:eastAsia="MS Mincho"/>
                <w:bCs/>
                <w:sz w:val="20"/>
                <w:szCs w:val="20"/>
                <w:lang w:val="en-US"/>
              </w:rPr>
              <w:t>Jakarta,”</w:t>
            </w:r>
            <w:r>
              <w:rPr>
                <w:rFonts w:hint="default" w:eastAsia="MS Mincho"/>
                <w:bCs/>
                <w:sz w:val="20"/>
                <w:szCs w:val="20"/>
                <w:lang w:val="en-GB"/>
              </w:rPr>
              <w:t xml:space="preserve"> accurately captures the essence of the investigation while maintaining academic </w:t>
            </w:r>
            <w:r>
              <w:rPr>
                <w:rFonts w:hint="default" w:eastAsia="MS Mincho"/>
                <w:bCs/>
                <w:sz w:val="20"/>
                <w:szCs w:val="20"/>
                <w:lang w:val="en-US"/>
              </w:rPr>
              <w:t>professionalism</w:t>
            </w:r>
            <w:r>
              <w:rPr>
                <w:rFonts w:hint="default" w:eastAsia="MS Mincho"/>
                <w:bCs/>
                <w:sz w:val="20"/>
                <w:szCs w:val="20"/>
                <w:lang w:val="en-GB"/>
              </w:rPr>
              <w:t>. We are grateful for this validation and remain committed to ensuring that our research remains accessible and clearly defined for the scientific community.</w:t>
            </w:r>
          </w:p>
        </w:tc>
      </w:tr>
      <w:tr w14:paraId="7E67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3B1DAF8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96" w:type="pct"/>
          </w:tcPr>
          <w:p w14:paraId="5BC06A9A">
            <w:pPr>
              <w:ind w:left="360"/>
              <w:rPr>
                <w:b/>
                <w:bCs/>
                <w:sz w:val="20"/>
                <w:szCs w:val="20"/>
                <w:lang w:val="en-GB"/>
              </w:rPr>
            </w:pPr>
            <w:r>
              <w:rPr>
                <w:b/>
                <w:bCs/>
                <w:sz w:val="20"/>
                <w:szCs w:val="20"/>
                <w:lang w:val="en-GB"/>
              </w:rPr>
              <w:t>4</w:t>
            </w:r>
          </w:p>
        </w:tc>
        <w:tc>
          <w:tcPr>
            <w:tcW w:w="2537" w:type="pct"/>
          </w:tcPr>
          <w:p w14:paraId="328CAB76">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FC68848">
            <w:pPr>
              <w:keepNext/>
              <w:jc w:val="both"/>
              <w:outlineLvl w:val="1"/>
              <w:rPr>
                <w:rFonts w:eastAsia="MS Mincho"/>
                <w:bCs/>
                <w:sz w:val="20"/>
                <w:szCs w:val="20"/>
                <w:lang w:val="en-GB"/>
              </w:rPr>
            </w:pPr>
            <w:r>
              <w:rPr>
                <w:rFonts w:hint="default" w:eastAsia="MS Mincho"/>
                <w:bCs/>
                <w:sz w:val="20"/>
                <w:szCs w:val="20"/>
                <w:lang w:val="en-GB"/>
              </w:rPr>
              <w:t xml:space="preserve">We sincerely thank the reviewer for the positive evaluation of our abstract. We are pleased that the abstract effectively communicates the study's aims, methodology, and core findings regarding </w:t>
            </w:r>
            <w:r>
              <w:rPr>
                <w:rFonts w:hint="default" w:eastAsia="MS Mincho"/>
                <w:bCs/>
                <w:sz w:val="20"/>
                <w:szCs w:val="20"/>
                <w:lang w:val="en-US"/>
              </w:rPr>
              <w:t>the "</w:t>
            </w:r>
            <w:r>
              <w:rPr>
                <w:rFonts w:hint="default" w:eastAsia="MS Mincho"/>
                <w:bCs/>
                <w:sz w:val="20"/>
                <w:szCs w:val="20"/>
                <w:lang w:val="en-GB"/>
              </w:rPr>
              <w:t xml:space="preserve">Communication </w:t>
            </w:r>
            <w:r>
              <w:rPr>
                <w:rFonts w:hint="default" w:eastAsia="MS Mincho"/>
                <w:bCs/>
                <w:sz w:val="20"/>
                <w:szCs w:val="20"/>
                <w:lang w:val="en-US"/>
              </w:rPr>
              <w:t>Paradox"</w:t>
            </w:r>
            <w:r>
              <w:rPr>
                <w:rFonts w:hint="default" w:eastAsia="MS Mincho"/>
                <w:bCs/>
                <w:sz w:val="20"/>
                <w:szCs w:val="20"/>
                <w:lang w:val="en-GB"/>
              </w:rPr>
              <w:t xml:space="preserve"> among Generation Alpha. In the revised manuscript, we have further refined the abstract to ensure maximum conciseness while highlighting the key statistical results (R</w:t>
            </w:r>
            <w:r>
              <w:rPr>
                <w:rFonts w:hint="default" w:eastAsia="MS Mincho"/>
                <w:bCs/>
                <w:sz w:val="20"/>
                <w:szCs w:val="20"/>
                <w:vertAlign w:val="superscript"/>
                <w:lang w:val="en-US"/>
              </w:rPr>
              <w:t>2</w:t>
            </w:r>
            <w:r>
              <w:rPr>
                <w:rFonts w:hint="default" w:eastAsia="MS Mincho"/>
                <w:bCs/>
                <w:sz w:val="20"/>
                <w:szCs w:val="20"/>
                <w:lang w:val="en-GB"/>
              </w:rPr>
              <w:t xml:space="preserve"> = 0.007, p = 0.437) and the shift toward 'technoference' as a critical explanatory factor. We appreciate this validation, as it confirms that our abstract serves as a precise and professional gateway to the full research paper.</w:t>
            </w:r>
          </w:p>
        </w:tc>
      </w:tr>
      <w:tr w14:paraId="57435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5911F903">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796" w:type="pct"/>
          </w:tcPr>
          <w:p w14:paraId="51F93E96">
            <w:pPr>
              <w:ind w:left="360"/>
              <w:rPr>
                <w:b/>
                <w:bCs/>
                <w:sz w:val="20"/>
                <w:szCs w:val="20"/>
                <w:lang w:val="en-GB"/>
              </w:rPr>
            </w:pPr>
            <w:r>
              <w:rPr>
                <w:b/>
                <w:bCs/>
                <w:sz w:val="20"/>
                <w:szCs w:val="20"/>
                <w:lang w:val="en-GB"/>
              </w:rPr>
              <w:t>4</w:t>
            </w:r>
          </w:p>
        </w:tc>
        <w:tc>
          <w:tcPr>
            <w:tcW w:w="2537" w:type="pct"/>
          </w:tcPr>
          <w:p w14:paraId="5098BCE1">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641DBFE2">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positive rating and for validating the appropriateness of our keywords. We recognize that keywords are essential tools for ensuring the discoverability of our research in academic databases.</w:t>
            </w:r>
          </w:p>
          <w:p w14:paraId="7B0F63D4">
            <w:pPr>
              <w:keepNext/>
              <w:jc w:val="both"/>
              <w:outlineLvl w:val="1"/>
              <w:rPr>
                <w:rFonts w:hint="default" w:eastAsia="MS Mincho"/>
                <w:bCs/>
                <w:sz w:val="20"/>
                <w:szCs w:val="20"/>
                <w:lang w:val="en-GB"/>
              </w:rPr>
            </w:pPr>
          </w:p>
          <w:p w14:paraId="61E2DCF4">
            <w:pPr>
              <w:keepNext/>
              <w:jc w:val="both"/>
              <w:outlineLvl w:val="1"/>
              <w:rPr>
                <w:rFonts w:eastAsia="MS Mincho"/>
                <w:bCs/>
                <w:sz w:val="20"/>
                <w:szCs w:val="20"/>
                <w:lang w:val="en-GB"/>
              </w:rPr>
            </w:pPr>
            <w:r>
              <w:rPr>
                <w:rFonts w:hint="default" w:eastAsia="MS Mincho"/>
                <w:bCs/>
                <w:sz w:val="20"/>
                <w:szCs w:val="20"/>
                <w:lang w:val="en-GB"/>
              </w:rPr>
              <w:t>In the revised manuscript, we have maintained the core keywords while ensuring they strictly align with the study's primary variables and the specific demographic context: Screen Time, Interpersonal Communication, Generation Alpha, Media Ecology, Elementary School Students, Indonesia, and Urban Environment. We believe these terms effectively capture the intersection of media ecology and child development, making the study accessible to both local and international scholars. We appreciate this encouragement to maintain high standards in our metadata.</w:t>
            </w:r>
          </w:p>
        </w:tc>
      </w:tr>
      <w:tr w14:paraId="6D90F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4E2E34C9">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796" w:type="pct"/>
          </w:tcPr>
          <w:p w14:paraId="7577A76B">
            <w:pPr>
              <w:ind w:left="360"/>
              <w:rPr>
                <w:b/>
                <w:bCs/>
                <w:sz w:val="20"/>
                <w:szCs w:val="20"/>
                <w:lang w:val="en-GB"/>
              </w:rPr>
            </w:pPr>
            <w:r>
              <w:rPr>
                <w:b/>
                <w:bCs/>
                <w:sz w:val="20"/>
                <w:szCs w:val="20"/>
                <w:lang w:val="en-GB"/>
              </w:rPr>
              <w:t>4</w:t>
            </w:r>
          </w:p>
        </w:tc>
        <w:tc>
          <w:tcPr>
            <w:tcW w:w="2537" w:type="pct"/>
          </w:tcPr>
          <w:p w14:paraId="7881524D">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B3365E9">
            <w:pPr>
              <w:keepNext/>
              <w:jc w:val="both"/>
              <w:outlineLvl w:val="1"/>
              <w:rPr>
                <w:rFonts w:hint="default" w:eastAsia="MS Mincho"/>
                <w:bCs/>
                <w:sz w:val="20"/>
                <w:szCs w:val="20"/>
                <w:lang w:val="en-GB"/>
              </w:rPr>
            </w:pPr>
            <w:r>
              <w:rPr>
                <w:rFonts w:hint="default" w:eastAsia="MS Mincho"/>
                <w:bCs/>
                <w:sz w:val="20"/>
                <w:szCs w:val="20"/>
                <w:lang w:val="en-GB"/>
              </w:rPr>
              <w:t>We extend our sincere gratitude to the reviewer for the positive evaluation of the background section. We are pleased that the organization and sufficiency of the information provided effectively set the stage for our investigation into Generation Alpha’s digital habits.</w:t>
            </w:r>
          </w:p>
          <w:p w14:paraId="3FDA784A">
            <w:pPr>
              <w:keepNext/>
              <w:jc w:val="both"/>
              <w:outlineLvl w:val="1"/>
              <w:rPr>
                <w:rFonts w:hint="default" w:eastAsia="MS Mincho"/>
                <w:bCs/>
                <w:sz w:val="20"/>
                <w:szCs w:val="20"/>
                <w:lang w:val="en-GB"/>
              </w:rPr>
            </w:pPr>
          </w:p>
          <w:p w14:paraId="0A5EAFF5">
            <w:pPr>
              <w:keepNext/>
              <w:jc w:val="both"/>
              <w:outlineLvl w:val="1"/>
              <w:rPr>
                <w:rFonts w:eastAsia="MS Mincho"/>
                <w:bCs/>
                <w:sz w:val="20"/>
                <w:szCs w:val="20"/>
                <w:lang w:val="en-GB"/>
              </w:rPr>
            </w:pPr>
            <w:r>
              <w:rPr>
                <w:rFonts w:hint="default" w:eastAsia="MS Mincho"/>
                <w:bCs/>
                <w:sz w:val="20"/>
                <w:szCs w:val="20"/>
                <w:lang w:val="en-GB"/>
              </w:rPr>
              <w:t>In the revised manuscript, we have further polished this section to ensure a tighter logical progression from the global phenomenon of 'technoference' to the specific socio-cultural context of South Jakarta. We have also ensured that the integration of Media Ecology Theory is more seamless, providing a clearer theoretical justification for the study’s objectives. We appreciate this validation, as it confirms the relevance of our research problem within the current academic landscape.</w:t>
            </w:r>
          </w:p>
        </w:tc>
      </w:tr>
      <w:tr w14:paraId="71F6A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6D2E36C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796" w:type="pct"/>
          </w:tcPr>
          <w:p w14:paraId="09C7F265">
            <w:pPr>
              <w:ind w:left="360"/>
              <w:rPr>
                <w:b/>
                <w:bCs/>
                <w:sz w:val="20"/>
                <w:szCs w:val="20"/>
                <w:lang w:val="en-GB"/>
              </w:rPr>
            </w:pPr>
            <w:r>
              <w:rPr>
                <w:b/>
                <w:bCs/>
                <w:sz w:val="20"/>
                <w:szCs w:val="20"/>
                <w:lang w:val="en-GB"/>
              </w:rPr>
              <w:t>4</w:t>
            </w:r>
          </w:p>
        </w:tc>
        <w:tc>
          <w:tcPr>
            <w:tcW w:w="2537" w:type="pct"/>
          </w:tcPr>
          <w:p w14:paraId="642DDBBD">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43EAD88A">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positive evaluation regarding the clarity of our research objectives and hypotheses. We believe that a well-defined hypothesis is the cornerstone of a rigorous quantitative study.</w:t>
            </w:r>
          </w:p>
          <w:p w14:paraId="7B3246D3">
            <w:pPr>
              <w:keepNext/>
              <w:jc w:val="both"/>
              <w:outlineLvl w:val="1"/>
              <w:rPr>
                <w:rFonts w:hint="default" w:eastAsia="MS Mincho"/>
                <w:bCs/>
                <w:sz w:val="20"/>
                <w:szCs w:val="20"/>
                <w:lang w:val="en-GB"/>
              </w:rPr>
            </w:pPr>
          </w:p>
          <w:p w14:paraId="56AACFE7">
            <w:pPr>
              <w:keepNext/>
              <w:jc w:val="both"/>
              <w:outlineLvl w:val="1"/>
              <w:rPr>
                <w:rFonts w:eastAsia="MS Mincho"/>
                <w:bCs/>
                <w:sz w:val="20"/>
                <w:szCs w:val="20"/>
                <w:lang w:val="en-GB"/>
              </w:rPr>
            </w:pPr>
            <w:r>
              <w:rPr>
                <w:rFonts w:hint="default" w:eastAsia="MS Mincho"/>
                <w:bCs/>
                <w:sz w:val="20"/>
                <w:szCs w:val="20"/>
                <w:lang w:val="en-GB"/>
              </w:rPr>
              <w:t>In the revised manuscript, we have maintained the clarity of our primary objective—examining the relationship between screen time and interpersonal communication—while ensuring that the hypothesis is explicitly linked to our theoretical framework (Media Ecology). We appreciate this validation, as it confirms that our research questions are logically structured and effectively communicated to the scientific community. We remain dedicated to ensuring that the alignment between our objectives and our final conclusions remains transparent and robust.</w:t>
            </w:r>
          </w:p>
        </w:tc>
      </w:tr>
      <w:tr w14:paraId="393BE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1E9D0AAD">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796" w:type="pct"/>
          </w:tcPr>
          <w:p w14:paraId="58F2BD0E">
            <w:pPr>
              <w:ind w:left="360"/>
              <w:rPr>
                <w:b/>
                <w:bCs/>
                <w:sz w:val="20"/>
                <w:szCs w:val="20"/>
                <w:lang w:val="en-GB"/>
              </w:rPr>
            </w:pPr>
            <w:r>
              <w:rPr>
                <w:b/>
                <w:bCs/>
                <w:sz w:val="20"/>
                <w:szCs w:val="20"/>
                <w:lang w:val="en-GB"/>
              </w:rPr>
              <w:t>4</w:t>
            </w:r>
          </w:p>
        </w:tc>
        <w:tc>
          <w:tcPr>
            <w:tcW w:w="2537" w:type="pct"/>
          </w:tcPr>
          <w:p w14:paraId="2E8D7AE2">
            <w:pPr>
              <w:keepNext/>
              <w:jc w:val="both"/>
              <w:outlineLvl w:val="1"/>
              <w:rPr>
                <w:rFonts w:hint="default" w:eastAsia="MS Mincho"/>
                <w:bCs/>
                <w:sz w:val="20"/>
                <w:szCs w:val="20"/>
                <w:lang w:val="en-GB"/>
              </w:rPr>
            </w:pPr>
            <w:r>
              <w:rPr>
                <w:rFonts w:hint="default" w:eastAsia="MS Mincho"/>
                <w:bCs/>
                <w:sz w:val="20"/>
                <w:szCs w:val="20"/>
                <w:lang w:val="en-GB"/>
              </w:rPr>
              <w:t>Accepted. We extend our sincere thanks to the reviewer for the positive evaluation of our literature review. We are pleased that the reviewer recognizes our efforts to provide a relevant and up-to-date scholarly foundation for this study.</w:t>
            </w:r>
          </w:p>
          <w:p w14:paraId="1661935B">
            <w:pPr>
              <w:keepNext/>
              <w:jc w:val="both"/>
              <w:outlineLvl w:val="1"/>
              <w:rPr>
                <w:rFonts w:hint="default" w:eastAsia="MS Mincho"/>
                <w:bCs/>
                <w:sz w:val="20"/>
                <w:szCs w:val="20"/>
                <w:lang w:val="en-GB"/>
              </w:rPr>
            </w:pPr>
          </w:p>
          <w:p w14:paraId="734BAD15">
            <w:pPr>
              <w:keepNext/>
              <w:jc w:val="both"/>
              <w:outlineLvl w:val="1"/>
              <w:rPr>
                <w:rFonts w:eastAsia="MS Mincho"/>
                <w:bCs/>
                <w:sz w:val="20"/>
                <w:szCs w:val="20"/>
                <w:lang w:val="en-GB"/>
              </w:rPr>
            </w:pPr>
            <w:r>
              <w:rPr>
                <w:rFonts w:hint="default" w:eastAsia="MS Mincho"/>
                <w:bCs/>
                <w:sz w:val="20"/>
                <w:szCs w:val="20"/>
                <w:lang w:val="en-GB"/>
              </w:rPr>
              <w:t>In the revised manuscript, we have further strengthened this section by integrating very recent high-impact publications from 2024 to 2026 (e.g., Vasconcellos et al., 2025 and Purboningsih et al., 2025). These additions ensure that our discussion on the digital behaviors of Generation Alpha is grounded in the most current global and local academic discourse. We appreciate this validation, as it confirms the rigor of our theoretical framework and our commitment to maintaining high standards of academic currency.</w:t>
            </w:r>
          </w:p>
        </w:tc>
      </w:tr>
      <w:tr w14:paraId="7D2E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4A1FABFE">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96" w:type="pct"/>
          </w:tcPr>
          <w:p w14:paraId="0FB98532">
            <w:pPr>
              <w:ind w:left="360"/>
              <w:rPr>
                <w:b/>
                <w:bCs/>
                <w:sz w:val="20"/>
                <w:szCs w:val="20"/>
                <w:lang w:val="en-GB"/>
              </w:rPr>
            </w:pPr>
            <w:r>
              <w:rPr>
                <w:b/>
                <w:bCs/>
                <w:sz w:val="20"/>
                <w:szCs w:val="20"/>
                <w:lang w:val="en-GB"/>
              </w:rPr>
              <w:t>3</w:t>
            </w:r>
          </w:p>
        </w:tc>
        <w:tc>
          <w:tcPr>
            <w:tcW w:w="2537" w:type="pct"/>
          </w:tcPr>
          <w:p w14:paraId="1175367F">
            <w:pPr>
              <w:keepNext/>
              <w:jc w:val="both"/>
              <w:outlineLvl w:val="1"/>
              <w:rPr>
                <w:rFonts w:hint="default" w:eastAsia="MS Mincho"/>
                <w:bCs/>
                <w:sz w:val="20"/>
                <w:szCs w:val="20"/>
                <w:lang w:val="en-GB"/>
              </w:rPr>
            </w:pPr>
            <w:r>
              <w:rPr>
                <w:rFonts w:hint="default" w:eastAsia="MS Mincho"/>
                <w:bCs/>
                <w:sz w:val="20"/>
                <w:szCs w:val="20"/>
                <w:lang w:val="en-GB"/>
              </w:rPr>
              <w:t>Accepted. We sincerely thank the reviewer for the constructive feedback regarding our research methodology. We acknowledge that the rigor of the methodology is the foundation of scientific validity, and we have taken this 'Satisfactory' rating as a motivation to provide a more transparent and detailed methodological framework.</w:t>
            </w:r>
          </w:p>
          <w:p w14:paraId="09EA97F7">
            <w:pPr>
              <w:keepNext/>
              <w:jc w:val="both"/>
              <w:outlineLvl w:val="1"/>
              <w:rPr>
                <w:rFonts w:hint="default" w:eastAsia="MS Mincho"/>
                <w:bCs/>
                <w:sz w:val="20"/>
                <w:szCs w:val="20"/>
                <w:lang w:val="en-GB"/>
              </w:rPr>
            </w:pPr>
          </w:p>
          <w:p w14:paraId="4B2F0299">
            <w:pPr>
              <w:keepNext/>
              <w:numPr>
                <w:numId w:val="0"/>
              </w:numPr>
              <w:ind w:leftChars="0"/>
              <w:jc w:val="both"/>
              <w:outlineLvl w:val="1"/>
              <w:rPr>
                <w:rFonts w:hint="default" w:eastAsia="MS Mincho"/>
                <w:bCs/>
                <w:sz w:val="20"/>
                <w:szCs w:val="20"/>
                <w:lang w:val="en-GB"/>
              </w:rPr>
            </w:pPr>
            <w:r>
              <w:rPr>
                <w:rFonts w:hint="default" w:eastAsia="MS Mincho"/>
                <w:bCs/>
                <w:sz w:val="20"/>
                <w:szCs w:val="20"/>
                <w:lang w:val="en-GB"/>
              </w:rPr>
              <w:t>In the revised manuscript, we have significantly enhanced the Methodology section by:</w:t>
            </w:r>
          </w:p>
          <w:p w14:paraId="6E74A3A1">
            <w:pPr>
              <w:keepNext/>
              <w:numPr>
                <w:ilvl w:val="0"/>
                <w:numId w:val="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Strengthening Sampling Justification: We have provided a clearer rationale for employing the Total Sampling (Census) technique, explaining why N=89 is appropriate for the specific context of the elementary school in South Jakarta.</w:t>
            </w:r>
          </w:p>
          <w:p w14:paraId="614E8ED4">
            <w:pPr>
              <w:keepNext/>
              <w:numPr>
                <w:ilvl w:val="0"/>
                <w:numId w:val="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Detailing Instrumentation: We have expanded the description of the structured questionnaire, explicitly linking each item to DeVito’s Interpersonal Communication Quality dimensions to ensure construct validity.</w:t>
            </w:r>
          </w:p>
          <w:p w14:paraId="35332A27">
            <w:pPr>
              <w:keepNext/>
              <w:numPr>
                <w:ilvl w:val="0"/>
                <w:numId w:val="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Clarifying Data Reliability: We have included a robust discussion regarding our Cronbach’s Alpha (0.658), justifying its acceptability in exploratory social research involving child respondents, as supported by academic literature.</w:t>
            </w:r>
          </w:p>
          <w:p w14:paraId="3F9C968B">
            <w:pPr>
              <w:keepNext/>
              <w:numPr>
                <w:ilvl w:val="0"/>
                <w:numId w:val="1"/>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Transparency in Analysis: We have added more detail on the software utilized (IBM SPSS Statistics) and the steps taken to ensure the assumptions for simple linear regression were met.</w:t>
            </w:r>
          </w:p>
          <w:p w14:paraId="7984DB9F">
            <w:pPr>
              <w:keepNext/>
              <w:jc w:val="both"/>
              <w:outlineLvl w:val="1"/>
              <w:rPr>
                <w:rFonts w:hint="default" w:eastAsia="MS Mincho"/>
                <w:bCs/>
                <w:sz w:val="20"/>
                <w:szCs w:val="20"/>
                <w:lang w:val="en-GB"/>
              </w:rPr>
            </w:pPr>
          </w:p>
          <w:p w14:paraId="5B378D21">
            <w:pPr>
              <w:keepNext/>
              <w:jc w:val="both"/>
              <w:outlineLvl w:val="1"/>
              <w:rPr>
                <w:rFonts w:eastAsia="MS Mincho"/>
                <w:bCs/>
                <w:sz w:val="20"/>
                <w:szCs w:val="20"/>
                <w:lang w:val="en-GB"/>
              </w:rPr>
            </w:pPr>
            <w:r>
              <w:rPr>
                <w:rFonts w:hint="default" w:eastAsia="MS Mincho"/>
                <w:bCs/>
                <w:sz w:val="20"/>
                <w:szCs w:val="20"/>
                <w:lang w:val="en-GB"/>
              </w:rPr>
              <w:t>We appreciate the reviewer’s guidance, which has pushed us to elevate the precision of our research design to better serve the scientific community.</w:t>
            </w:r>
          </w:p>
        </w:tc>
      </w:tr>
      <w:tr w14:paraId="2001E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6ABB1C54">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796" w:type="pct"/>
          </w:tcPr>
          <w:p w14:paraId="095B57A1">
            <w:pPr>
              <w:ind w:left="360"/>
              <w:rPr>
                <w:b/>
                <w:bCs/>
                <w:sz w:val="20"/>
                <w:szCs w:val="20"/>
                <w:lang w:val="en-GB"/>
              </w:rPr>
            </w:pPr>
            <w:r>
              <w:rPr>
                <w:b/>
                <w:bCs/>
                <w:sz w:val="20"/>
                <w:szCs w:val="20"/>
                <w:lang w:val="en-GB"/>
              </w:rPr>
              <w:t>4</w:t>
            </w:r>
          </w:p>
        </w:tc>
        <w:tc>
          <w:tcPr>
            <w:tcW w:w="2537" w:type="pct"/>
          </w:tcPr>
          <w:p w14:paraId="650C0BF3">
            <w:pPr>
              <w:keepNext/>
              <w:jc w:val="both"/>
              <w:outlineLvl w:val="1"/>
              <w:rPr>
                <w:rFonts w:hint="default" w:eastAsia="MS Mincho"/>
                <w:bCs/>
                <w:sz w:val="20"/>
                <w:szCs w:val="20"/>
                <w:lang w:val="en-GB"/>
              </w:rPr>
            </w:pPr>
            <w:r>
              <w:rPr>
                <w:rFonts w:hint="default" w:eastAsia="MS Mincho"/>
                <w:bCs/>
                <w:sz w:val="20"/>
                <w:szCs w:val="20"/>
                <w:lang w:val="en-GB"/>
              </w:rPr>
              <w:t>Accepted. We sincerely thank the reviewer for the positive assessment regarding our ethical procedures. We believe that when conducting research involving minors, such as Generation Alpha, ethical integrity is not merely a formality but a fundamental responsibility.</w:t>
            </w:r>
          </w:p>
          <w:p w14:paraId="2366D3C0">
            <w:pPr>
              <w:keepNext/>
              <w:jc w:val="both"/>
              <w:outlineLvl w:val="1"/>
              <w:rPr>
                <w:rFonts w:hint="default" w:eastAsia="MS Mincho"/>
                <w:bCs/>
                <w:sz w:val="20"/>
                <w:szCs w:val="20"/>
                <w:lang w:val="en-GB"/>
              </w:rPr>
            </w:pPr>
          </w:p>
          <w:p w14:paraId="103D7017">
            <w:pPr>
              <w:keepNext/>
              <w:jc w:val="both"/>
              <w:outlineLvl w:val="1"/>
              <w:rPr>
                <w:rFonts w:eastAsia="MS Mincho"/>
                <w:bCs/>
                <w:sz w:val="20"/>
                <w:szCs w:val="20"/>
                <w:lang w:val="en-GB"/>
              </w:rPr>
            </w:pPr>
            <w:r>
              <w:rPr>
                <w:rFonts w:hint="default" w:eastAsia="MS Mincho"/>
                <w:bCs/>
                <w:sz w:val="20"/>
                <w:szCs w:val="20"/>
                <w:lang w:val="en-GB"/>
              </w:rPr>
              <w:t>In the revised manuscript, we have further refined the Ethical Considerations section to ensure it meets the highest standards of transparency. We have explicitly detailed our 'dual-layered' consent process, which involves formal institutional approval, parental written consent, and verbal informed assent from the students themselves. Furthermore, we have reinforced our commitment to data anonymity and the participants' right to withdraw at any stage without penalty. We appreciate this validation, as it reaffirms our dedication to protecting the rights and well-being of our young participants throughout the scientific process.</w:t>
            </w:r>
          </w:p>
        </w:tc>
      </w:tr>
      <w:tr w14:paraId="14A68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0" w:hRule="atLeast"/>
          <w:jc w:val="center"/>
        </w:trPr>
        <w:tc>
          <w:tcPr>
            <w:tcW w:w="1665" w:type="pct"/>
            <w:noWrap/>
          </w:tcPr>
          <w:p w14:paraId="04663C2C">
            <w:pPr>
              <w:rPr>
                <w:b/>
                <w:sz w:val="20"/>
                <w:szCs w:val="20"/>
                <w:lang w:val="en-GB"/>
              </w:rPr>
            </w:pPr>
            <w:r>
              <w:rPr>
                <w:b/>
                <w:sz w:val="20"/>
                <w:szCs w:val="20"/>
                <w:lang w:val="en-GB"/>
              </w:rPr>
              <w:t xml:space="preserve">9. Are the results presented clearly? </w:t>
            </w:r>
          </w:p>
          <w:p w14:paraId="611F11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796" w:type="pct"/>
          </w:tcPr>
          <w:p w14:paraId="6498FF44">
            <w:pPr>
              <w:contextualSpacing/>
              <w:rPr>
                <w:bCs/>
                <w:sz w:val="20"/>
                <w:szCs w:val="20"/>
                <w:lang w:val="en-GB"/>
              </w:rPr>
            </w:pPr>
            <w:r>
              <w:rPr>
                <w:bCs/>
                <w:sz w:val="20"/>
                <w:szCs w:val="20"/>
                <w:lang w:val="en-GB"/>
              </w:rPr>
              <w:t>4</w:t>
            </w:r>
          </w:p>
        </w:tc>
        <w:tc>
          <w:tcPr>
            <w:tcW w:w="2537" w:type="pct"/>
          </w:tcPr>
          <w:p w14:paraId="794F0B3B">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66AC22FD">
            <w:pPr>
              <w:keepNext/>
              <w:jc w:val="both"/>
              <w:outlineLvl w:val="1"/>
              <w:rPr>
                <w:rFonts w:hint="default" w:eastAsia="MS Mincho"/>
                <w:bCs/>
                <w:sz w:val="20"/>
                <w:szCs w:val="20"/>
                <w:lang w:val="en-GB"/>
              </w:rPr>
            </w:pPr>
            <w:r>
              <w:rPr>
                <w:rFonts w:hint="default" w:eastAsia="MS Mincho"/>
                <w:bCs/>
                <w:sz w:val="20"/>
                <w:szCs w:val="20"/>
                <w:lang w:val="en-GB"/>
              </w:rPr>
              <w:t>We extend our sincere gratitude to the reviewer for the positive rating regarding the presentation of our research results. We believe that clarity in data reporting is essential for maintaining scientific transparency and ensuring that the findings are accessible to a broad audience.</w:t>
            </w:r>
          </w:p>
          <w:p w14:paraId="5C85D0C2">
            <w:pPr>
              <w:keepNext/>
              <w:jc w:val="both"/>
              <w:outlineLvl w:val="1"/>
              <w:rPr>
                <w:rFonts w:eastAsia="MS Mincho"/>
                <w:bCs/>
                <w:sz w:val="20"/>
                <w:szCs w:val="20"/>
                <w:lang w:val="en-GB"/>
              </w:rPr>
            </w:pPr>
            <w:r>
              <w:rPr>
                <w:rFonts w:hint="default" w:eastAsia="MS Mincho"/>
                <w:bCs/>
                <w:sz w:val="20"/>
                <w:szCs w:val="20"/>
                <w:lang w:val="en-GB"/>
              </w:rPr>
              <w:t>In the revised manuscript, we have further polished the Results section to ensure that the transition between descriptive data (such as the low scores in Empathy and Openness) and inferential statistics (R</w:t>
            </w:r>
            <w:r>
              <w:rPr>
                <w:rFonts w:hint="default" w:eastAsia="MS Mincho"/>
                <w:bCs/>
                <w:sz w:val="20"/>
                <w:szCs w:val="20"/>
                <w:vertAlign w:val="superscript"/>
                <w:lang w:val="en-US"/>
              </w:rPr>
              <w:t>2</w:t>
            </w:r>
            <w:r>
              <w:rPr>
                <w:rFonts w:hint="default" w:eastAsia="MS Mincho"/>
                <w:bCs/>
                <w:sz w:val="20"/>
                <w:szCs w:val="20"/>
                <w:lang w:val="en-GB"/>
              </w:rPr>
              <w:t xml:space="preserve"> and p-value) is seamless and logical. We have also ensured that all tables and figures are meticulously formatted to provide immediate clarity on the core findings. We appreciate this validation, as it confirms our commitment to high standards of empirical reporting and professional academic communication.</w:t>
            </w:r>
          </w:p>
        </w:tc>
      </w:tr>
      <w:tr w14:paraId="08BCC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52E4D69F">
            <w:pPr>
              <w:rPr>
                <w:b/>
                <w:sz w:val="20"/>
                <w:szCs w:val="20"/>
                <w:lang w:val="en-GB"/>
              </w:rPr>
            </w:pPr>
            <w:r>
              <w:rPr>
                <w:b/>
                <w:sz w:val="20"/>
                <w:szCs w:val="20"/>
                <w:lang w:val="en-GB"/>
              </w:rPr>
              <w:t>10. Are tables and figures clear, relevant, and necessary?</w:t>
            </w:r>
          </w:p>
          <w:p w14:paraId="300A7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pPr>
              <w:rPr>
                <w:color w:val="404040"/>
                <w:sz w:val="20"/>
                <w:szCs w:val="20"/>
                <w:shd w:val="clear" w:color="auto" w:fill="FFFFFF"/>
                <w:lang w:val="en-GB"/>
              </w:rPr>
            </w:pPr>
          </w:p>
          <w:p w14:paraId="1C75519C">
            <w:pPr>
              <w:rPr>
                <w:sz w:val="20"/>
                <w:szCs w:val="20"/>
                <w:lang w:val="en-GB"/>
              </w:rPr>
            </w:pPr>
          </w:p>
        </w:tc>
        <w:tc>
          <w:tcPr>
            <w:tcW w:w="796" w:type="pct"/>
          </w:tcPr>
          <w:p w14:paraId="5BC888B7">
            <w:pPr>
              <w:contextualSpacing/>
              <w:rPr>
                <w:bCs/>
                <w:sz w:val="20"/>
                <w:szCs w:val="20"/>
                <w:lang w:val="en-GB"/>
              </w:rPr>
            </w:pPr>
            <w:r>
              <w:rPr>
                <w:bCs/>
                <w:sz w:val="20"/>
                <w:szCs w:val="20"/>
                <w:lang w:val="en-GB"/>
              </w:rPr>
              <w:t>4</w:t>
            </w:r>
          </w:p>
        </w:tc>
        <w:tc>
          <w:tcPr>
            <w:tcW w:w="2537" w:type="pct"/>
          </w:tcPr>
          <w:p w14:paraId="26A4AD44">
            <w:pPr>
              <w:keepNext/>
              <w:jc w:val="both"/>
              <w:outlineLvl w:val="1"/>
              <w:rPr>
                <w:rFonts w:hint="default" w:eastAsia="MS Mincho"/>
                <w:bCs/>
                <w:sz w:val="20"/>
                <w:szCs w:val="20"/>
                <w:lang w:val="en-GB"/>
              </w:rPr>
            </w:pPr>
            <w:r>
              <w:rPr>
                <w:rFonts w:hint="default" w:eastAsia="MS Mincho"/>
                <w:bCs/>
                <w:sz w:val="20"/>
                <w:szCs w:val="20"/>
                <w:lang w:val="en-GB"/>
              </w:rPr>
              <w:t>Accepted. We sincerely thank the reviewer for the positive evaluation regarding the clarity and necessity of our tables and figures. We recognize that in quantitative research, visual data representation is a vital tool for making complex statistical findings more intuitive and accessible.</w:t>
            </w:r>
          </w:p>
          <w:p w14:paraId="6AB1ECF9">
            <w:pPr>
              <w:keepNext/>
              <w:jc w:val="both"/>
              <w:outlineLvl w:val="1"/>
              <w:rPr>
                <w:rFonts w:hint="default" w:eastAsia="MS Mincho"/>
                <w:bCs/>
                <w:sz w:val="20"/>
                <w:szCs w:val="20"/>
                <w:lang w:val="en-GB"/>
              </w:rPr>
            </w:pPr>
          </w:p>
          <w:p w14:paraId="3731B36A">
            <w:pPr>
              <w:keepNext/>
              <w:jc w:val="both"/>
              <w:outlineLvl w:val="1"/>
              <w:rPr>
                <w:rFonts w:eastAsia="MS Mincho"/>
                <w:bCs/>
                <w:sz w:val="20"/>
                <w:szCs w:val="20"/>
                <w:lang w:val="en-GB"/>
              </w:rPr>
            </w:pPr>
            <w:r>
              <w:rPr>
                <w:rFonts w:hint="default" w:eastAsia="MS Mincho"/>
                <w:bCs/>
                <w:sz w:val="20"/>
                <w:szCs w:val="20"/>
                <w:lang w:val="en-GB"/>
              </w:rPr>
              <w:t>In the revised manuscript, we have ensured that all tables—particularly those displaying the Simple Linear Regression results and the descriptive scores of DeVito’s dimensions—are meticulously formatted and strictly aligned with the narrative. We have also verified that each figure serves a specific purpose in supporting our arguments regarding the 'Communication Paradox.' We appreciate this validation, as it confirms our commitment to maintaining high standards of data visualization and professional presentation.</w:t>
            </w:r>
          </w:p>
        </w:tc>
      </w:tr>
      <w:tr w14:paraId="70F8B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4D6B15D2">
            <w:pPr>
              <w:rPr>
                <w:b/>
                <w:sz w:val="20"/>
                <w:szCs w:val="20"/>
                <w:lang w:val="en-GB"/>
              </w:rPr>
            </w:pPr>
            <w:r>
              <w:rPr>
                <w:b/>
                <w:sz w:val="20"/>
                <w:szCs w:val="20"/>
                <w:lang w:val="en-GB"/>
              </w:rPr>
              <w:t>11. Does the discussion relate findings to existing literature?</w:t>
            </w:r>
          </w:p>
          <w:p w14:paraId="203100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96" w:type="pct"/>
          </w:tcPr>
          <w:p w14:paraId="7B44548E">
            <w:pPr>
              <w:contextualSpacing/>
              <w:rPr>
                <w:bCs/>
                <w:sz w:val="20"/>
                <w:szCs w:val="20"/>
                <w:lang w:val="en-GB"/>
              </w:rPr>
            </w:pPr>
            <w:r>
              <w:rPr>
                <w:bCs/>
                <w:sz w:val="20"/>
                <w:szCs w:val="20"/>
                <w:lang w:val="en-GB"/>
              </w:rPr>
              <w:t>4</w:t>
            </w:r>
          </w:p>
        </w:tc>
        <w:tc>
          <w:tcPr>
            <w:tcW w:w="2537" w:type="pct"/>
          </w:tcPr>
          <w:p w14:paraId="0CB5C828">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5A0F38CD">
            <w:pPr>
              <w:keepNext/>
              <w:jc w:val="both"/>
              <w:outlineLvl w:val="1"/>
              <w:rPr>
                <w:rFonts w:hint="default" w:eastAsia="MS Mincho"/>
                <w:bCs/>
                <w:sz w:val="20"/>
                <w:szCs w:val="20"/>
                <w:lang w:val="en-GB"/>
              </w:rPr>
            </w:pPr>
            <w:r>
              <w:rPr>
                <w:rFonts w:hint="default" w:eastAsia="MS Mincho"/>
                <w:bCs/>
                <w:sz w:val="20"/>
                <w:szCs w:val="20"/>
                <w:lang w:val="en-GB"/>
              </w:rPr>
              <w:t xml:space="preserve">We extend our sincere gratitude to the reviewer for the positive evaluation of our Discussion section. We believe that the value of empirical research lies in its ability to converse with existing scholarship, and we are pleased that our integration of findings with </w:t>
            </w:r>
            <w:r>
              <w:rPr>
                <w:rFonts w:hint="default" w:eastAsia="MS Mincho"/>
                <w:bCs/>
                <w:sz w:val="20"/>
                <w:szCs w:val="20"/>
                <w:lang w:val="en-US"/>
              </w:rPr>
              <w:t>the current</w:t>
            </w:r>
            <w:r>
              <w:rPr>
                <w:rFonts w:hint="default" w:eastAsia="MS Mincho"/>
                <w:bCs/>
                <w:sz w:val="20"/>
                <w:szCs w:val="20"/>
                <w:lang w:val="en-GB"/>
              </w:rPr>
              <w:t xml:space="preserve"> literature was found to be effective.</w:t>
            </w:r>
          </w:p>
          <w:p w14:paraId="13236A98">
            <w:pPr>
              <w:keepNext/>
              <w:jc w:val="both"/>
              <w:outlineLvl w:val="1"/>
              <w:rPr>
                <w:rFonts w:hint="default" w:eastAsia="MS Mincho"/>
                <w:bCs/>
                <w:sz w:val="20"/>
                <w:szCs w:val="20"/>
                <w:lang w:val="en-GB"/>
              </w:rPr>
            </w:pPr>
          </w:p>
          <w:p w14:paraId="076CB8C3">
            <w:pPr>
              <w:keepNext/>
              <w:jc w:val="both"/>
              <w:outlineLvl w:val="1"/>
              <w:rPr>
                <w:rFonts w:eastAsia="MS Mincho"/>
                <w:bCs/>
                <w:sz w:val="20"/>
                <w:szCs w:val="20"/>
                <w:lang w:val="en-GB"/>
              </w:rPr>
            </w:pPr>
            <w:r>
              <w:rPr>
                <w:rFonts w:hint="default" w:eastAsia="MS Mincho"/>
                <w:bCs/>
                <w:sz w:val="20"/>
                <w:szCs w:val="20"/>
                <w:lang w:val="en-GB"/>
              </w:rPr>
              <w:t xml:space="preserve">In the revised manuscript, we have further enriched the discussion by </w:t>
            </w:r>
            <w:r>
              <w:rPr>
                <w:rFonts w:hint="default" w:eastAsia="MS Mincho"/>
                <w:bCs/>
                <w:sz w:val="20"/>
                <w:szCs w:val="20"/>
                <w:lang w:val="en-US"/>
              </w:rPr>
              <w:t xml:space="preserve">more deeply </w:t>
            </w:r>
            <w:r>
              <w:rPr>
                <w:rFonts w:hint="default" w:eastAsia="MS Mincho"/>
                <w:bCs/>
                <w:sz w:val="20"/>
                <w:szCs w:val="20"/>
                <w:lang w:val="en-GB"/>
              </w:rPr>
              <w:t>aligning our results with the 'Communication Paradox' and the theory of 'Technoference.' We have also ensured a robust comparison between our findings and the most recent studies from 2024–2025, providing a clearer explanation of why screen time duration might not be a significant predictor in a 'normalized' digital environment. We appreciate this validation, as it confirms that our analysis contributes meaningfully to the ongoing academic dialogue regarding Generation Alpha’s social development.</w:t>
            </w:r>
          </w:p>
        </w:tc>
      </w:tr>
      <w:tr w14:paraId="49476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1090801F">
            <w:pPr>
              <w:rPr>
                <w:b/>
                <w:sz w:val="20"/>
                <w:szCs w:val="20"/>
                <w:lang w:val="en-GB"/>
              </w:rPr>
            </w:pPr>
            <w:r>
              <w:rPr>
                <w:b/>
                <w:sz w:val="20"/>
                <w:szCs w:val="20"/>
                <w:lang w:val="en-GB"/>
              </w:rPr>
              <w:t>12. Are the conclusions supported by the data?</w:t>
            </w:r>
          </w:p>
          <w:p w14:paraId="128FDC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96" w:type="pct"/>
          </w:tcPr>
          <w:p w14:paraId="21336C26">
            <w:pPr>
              <w:contextualSpacing/>
              <w:rPr>
                <w:bCs/>
                <w:sz w:val="20"/>
                <w:szCs w:val="20"/>
                <w:lang w:val="en-GB"/>
              </w:rPr>
            </w:pPr>
            <w:r>
              <w:rPr>
                <w:bCs/>
                <w:sz w:val="20"/>
                <w:szCs w:val="20"/>
                <w:lang w:val="en-GB"/>
              </w:rPr>
              <w:t>4</w:t>
            </w:r>
          </w:p>
        </w:tc>
        <w:tc>
          <w:tcPr>
            <w:tcW w:w="2537" w:type="pct"/>
          </w:tcPr>
          <w:p w14:paraId="51F8B526">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4CC8AAA5">
            <w:pPr>
              <w:keepNext/>
              <w:jc w:val="both"/>
              <w:outlineLvl w:val="1"/>
              <w:rPr>
                <w:rFonts w:eastAsia="MS Mincho"/>
                <w:bCs/>
                <w:sz w:val="20"/>
                <w:szCs w:val="20"/>
                <w:lang w:val="en-GB"/>
              </w:rPr>
            </w:pPr>
            <w:r>
              <w:rPr>
                <w:rFonts w:hint="default" w:eastAsia="MS Mincho"/>
                <w:bCs/>
                <w:sz w:val="20"/>
                <w:szCs w:val="20"/>
                <w:lang w:val="en-GB"/>
              </w:rPr>
              <w:t xml:space="preserve">We sincerely thank the reviewer for the positive rating and for validating that our conclusions are well-supported by the empirical data. We believe that the integrity of a quantitative study rests on the researcher’s ability to remain objective, especially when the results—such as a non-significant p-value—challenge common </w:t>
            </w:r>
            <w:r>
              <w:rPr>
                <w:rFonts w:hint="default" w:eastAsia="MS Mincho"/>
                <w:bCs/>
                <w:sz w:val="20"/>
                <w:szCs w:val="20"/>
                <w:lang w:val="en-US"/>
              </w:rPr>
              <w:t xml:space="preserve">assumptions. </w:t>
            </w:r>
            <w:r>
              <w:rPr>
                <w:rFonts w:hint="default" w:eastAsia="MS Mincho"/>
                <w:bCs/>
                <w:sz w:val="20"/>
                <w:szCs w:val="20"/>
                <w:lang w:val="en-GB"/>
              </w:rPr>
              <w:t>In the revised manuscript, we have ensured that the conclusion remains strictly aligned with our finding that screen time duration accounts for only 0.7% of the variance in communication quality (R</w:t>
            </w:r>
            <w:r>
              <w:rPr>
                <w:rFonts w:hint="default" w:eastAsia="MS Mincho"/>
                <w:bCs/>
                <w:sz w:val="20"/>
                <w:szCs w:val="20"/>
                <w:vertAlign w:val="superscript"/>
                <w:lang w:val="en-US"/>
              </w:rPr>
              <w:t>2</w:t>
            </w:r>
            <w:r>
              <w:rPr>
                <w:rFonts w:hint="default" w:eastAsia="MS Mincho"/>
                <w:bCs/>
                <w:sz w:val="20"/>
                <w:szCs w:val="20"/>
                <w:lang w:val="en-GB"/>
              </w:rPr>
              <w:t xml:space="preserve"> = 0.007). We have framed this not as a lack of impact, but as evidence of a 'normalized environment' where quality of interaction and parental mediation (technoference) play more pivotal roles than mere time. We appreciate this validation, as it affirms our commitment to scientific honesty and grounded theoretical inference</w:t>
            </w:r>
          </w:p>
        </w:tc>
      </w:tr>
      <w:tr w14:paraId="62D20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53870ABD">
            <w:pPr>
              <w:rPr>
                <w:b/>
                <w:sz w:val="20"/>
                <w:szCs w:val="20"/>
                <w:lang w:val="en-GB"/>
              </w:rPr>
            </w:pPr>
            <w:r>
              <w:rPr>
                <w:b/>
                <w:sz w:val="20"/>
                <w:szCs w:val="20"/>
                <w:lang w:val="en-GB"/>
              </w:rPr>
              <w:t>13. Are the limitations of the study discussed?</w:t>
            </w:r>
          </w:p>
          <w:p w14:paraId="7EB3CB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96" w:type="pct"/>
          </w:tcPr>
          <w:p w14:paraId="0A68CFF8">
            <w:pPr>
              <w:contextualSpacing/>
              <w:rPr>
                <w:bCs/>
                <w:sz w:val="20"/>
                <w:szCs w:val="20"/>
                <w:lang w:val="en-GB"/>
              </w:rPr>
            </w:pPr>
            <w:r>
              <w:rPr>
                <w:bCs/>
                <w:sz w:val="20"/>
                <w:szCs w:val="20"/>
                <w:lang w:val="en-GB"/>
              </w:rPr>
              <w:t>4</w:t>
            </w:r>
          </w:p>
        </w:tc>
        <w:tc>
          <w:tcPr>
            <w:tcW w:w="2537" w:type="pct"/>
          </w:tcPr>
          <w:p w14:paraId="631AA1F8">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902A0C0">
            <w:pPr>
              <w:keepNext/>
              <w:jc w:val="both"/>
              <w:outlineLvl w:val="1"/>
              <w:rPr>
                <w:rFonts w:hint="default" w:eastAsia="MS Mincho"/>
                <w:bCs/>
                <w:sz w:val="20"/>
                <w:szCs w:val="20"/>
                <w:lang w:val="en-GB"/>
              </w:rPr>
            </w:pPr>
            <w:r>
              <w:rPr>
                <w:rFonts w:hint="default" w:eastAsia="MS Mincho"/>
                <w:bCs/>
                <w:sz w:val="20"/>
                <w:szCs w:val="20"/>
                <w:lang w:val="en-GB"/>
              </w:rPr>
              <w:t xml:space="preserve">We sincerely thank the reviewer for the positive evaluation of our </w:t>
            </w:r>
            <w:r>
              <w:rPr>
                <w:rFonts w:hint="default" w:eastAsia="MS Mincho"/>
                <w:bCs/>
                <w:sz w:val="20"/>
                <w:szCs w:val="20"/>
                <w:lang w:val="en-US"/>
              </w:rPr>
              <w:t>study’</w:t>
            </w:r>
            <w:r>
              <w:rPr>
                <w:rFonts w:hint="default" w:eastAsia="MS Mincho"/>
                <w:bCs/>
                <w:sz w:val="20"/>
                <w:szCs w:val="20"/>
                <w:lang w:val="en-GB"/>
              </w:rPr>
              <w:t xml:space="preserve">s limitations. We believe that acknowledging the boundaries of </w:t>
            </w:r>
            <w:r>
              <w:rPr>
                <w:rFonts w:hint="default" w:eastAsia="MS Mincho"/>
                <w:bCs/>
                <w:sz w:val="20"/>
                <w:szCs w:val="20"/>
                <w:lang w:val="en-US"/>
              </w:rPr>
              <w:t>one’</w:t>
            </w:r>
            <w:r>
              <w:rPr>
                <w:rFonts w:hint="default" w:eastAsia="MS Mincho"/>
                <w:bCs/>
                <w:sz w:val="20"/>
                <w:szCs w:val="20"/>
                <w:lang w:val="en-GB"/>
              </w:rPr>
              <w:t>s research is a hallmark of scientific integrity and provides a clear roadmap for future scholarly inquiries.</w:t>
            </w:r>
          </w:p>
          <w:p w14:paraId="3F7C3E2C">
            <w:pPr>
              <w:keepNext/>
              <w:jc w:val="both"/>
              <w:outlineLvl w:val="1"/>
              <w:rPr>
                <w:rFonts w:hint="default" w:eastAsia="MS Mincho"/>
                <w:bCs/>
                <w:sz w:val="20"/>
                <w:szCs w:val="20"/>
                <w:lang w:val="en-GB"/>
              </w:rPr>
            </w:pPr>
          </w:p>
          <w:p w14:paraId="71FF1B95">
            <w:pPr>
              <w:keepNext/>
              <w:jc w:val="both"/>
              <w:outlineLvl w:val="1"/>
              <w:rPr>
                <w:rFonts w:eastAsia="MS Mincho"/>
                <w:bCs/>
                <w:sz w:val="20"/>
                <w:szCs w:val="20"/>
                <w:lang w:val="en-GB"/>
              </w:rPr>
            </w:pPr>
            <w:r>
              <w:rPr>
                <w:rFonts w:hint="default" w:eastAsia="MS Mincho"/>
                <w:bCs/>
                <w:sz w:val="20"/>
                <w:szCs w:val="20"/>
                <w:lang w:val="en-GB"/>
              </w:rPr>
              <w:t xml:space="preserve">In the revised manuscript, we have further clarified the limitations regarding our sample size and the specific urban geographic focus, ensuring that our findings are interpreted within their proper context. We have also emphasized that the reliance on self-reported data among minors may introduce </w:t>
            </w:r>
            <w:r>
              <w:rPr>
                <w:rFonts w:hint="default" w:eastAsia="MS Mincho"/>
                <w:bCs/>
                <w:sz w:val="20"/>
                <w:szCs w:val="20"/>
                <w:lang w:val="en-US"/>
              </w:rPr>
              <w:t>a “</w:t>
            </w:r>
            <w:r>
              <w:rPr>
                <w:rFonts w:hint="default" w:eastAsia="MS Mincho"/>
                <w:bCs/>
                <w:sz w:val="20"/>
                <w:szCs w:val="20"/>
                <w:lang w:val="en-GB"/>
              </w:rPr>
              <w:t xml:space="preserve">social desirability </w:t>
            </w:r>
            <w:r>
              <w:rPr>
                <w:rFonts w:hint="default" w:eastAsia="MS Mincho"/>
                <w:bCs/>
                <w:sz w:val="20"/>
                <w:szCs w:val="20"/>
                <w:lang w:val="en-US"/>
              </w:rPr>
              <w:t>bias,”</w:t>
            </w:r>
            <w:r>
              <w:rPr>
                <w:rFonts w:hint="default" w:eastAsia="MS Mincho"/>
                <w:bCs/>
                <w:sz w:val="20"/>
                <w:szCs w:val="20"/>
                <w:lang w:val="en-GB"/>
              </w:rPr>
              <w:t xml:space="preserve"> which we have identified as a key area for methodological refinement in future studies. We appreciate this validation, as it reaffirms the importance of transparency in the evolution of media ecology and child development research.</w:t>
            </w:r>
          </w:p>
        </w:tc>
      </w:tr>
      <w:tr w14:paraId="3E9E1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2FB12783">
            <w:pPr>
              <w:rPr>
                <w:b/>
                <w:sz w:val="20"/>
                <w:szCs w:val="20"/>
                <w:lang w:val="en-GB"/>
              </w:rPr>
            </w:pPr>
            <w:r>
              <w:rPr>
                <w:b/>
                <w:sz w:val="20"/>
                <w:szCs w:val="20"/>
                <w:lang w:val="en-GB"/>
              </w:rPr>
              <w:t>14. Are the references relevant and sufficient (in number)?</w:t>
            </w:r>
          </w:p>
          <w:p w14:paraId="3A458C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pPr>
              <w:rPr>
                <w:sz w:val="20"/>
                <w:szCs w:val="20"/>
                <w:lang w:val="en-GB"/>
              </w:rPr>
            </w:pPr>
            <w:r>
              <w:rPr>
                <w:color w:val="404040"/>
                <w:sz w:val="20"/>
                <w:szCs w:val="20"/>
                <w:shd w:val="clear" w:color="auto" w:fill="FFFFFF"/>
                <w:lang w:val="en-GB"/>
              </w:rPr>
              <w:t>N/A = Not Applicable</w:t>
            </w:r>
          </w:p>
        </w:tc>
        <w:tc>
          <w:tcPr>
            <w:tcW w:w="796" w:type="pct"/>
          </w:tcPr>
          <w:p w14:paraId="32977494">
            <w:pPr>
              <w:contextualSpacing/>
              <w:rPr>
                <w:bCs/>
                <w:sz w:val="20"/>
                <w:szCs w:val="20"/>
                <w:lang w:val="en-GB"/>
              </w:rPr>
            </w:pPr>
            <w:r>
              <w:rPr>
                <w:bCs/>
                <w:sz w:val="20"/>
                <w:szCs w:val="20"/>
                <w:lang w:val="en-GB"/>
              </w:rPr>
              <w:t>4</w:t>
            </w:r>
          </w:p>
        </w:tc>
        <w:tc>
          <w:tcPr>
            <w:tcW w:w="2537" w:type="pct"/>
          </w:tcPr>
          <w:p w14:paraId="4BDF5582">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A7A6CB7">
            <w:pPr>
              <w:keepNext/>
              <w:jc w:val="both"/>
              <w:outlineLvl w:val="1"/>
              <w:rPr>
                <w:rFonts w:hint="default" w:eastAsia="MS Mincho"/>
                <w:bCs/>
                <w:sz w:val="20"/>
                <w:szCs w:val="20"/>
                <w:lang w:val="en-GB"/>
              </w:rPr>
            </w:pPr>
            <w:r>
              <w:rPr>
                <w:rFonts w:hint="default" w:eastAsia="MS Mincho"/>
                <w:bCs/>
                <w:sz w:val="20"/>
                <w:szCs w:val="20"/>
                <w:lang w:val="en-GB"/>
              </w:rPr>
              <w:t xml:space="preserve">We extend our sincere gratitude to the reviewer for the positive assessment of our references. We recognize that the strength of an academic paper is significantly built </w:t>
            </w:r>
            <w:r>
              <w:rPr>
                <w:rFonts w:hint="default" w:eastAsia="MS Mincho"/>
                <w:bCs/>
                <w:sz w:val="20"/>
                <w:szCs w:val="20"/>
                <w:lang w:val="en-US"/>
              </w:rPr>
              <w:t>on</w:t>
            </w:r>
            <w:r>
              <w:rPr>
                <w:rFonts w:hint="default" w:eastAsia="MS Mincho"/>
                <w:bCs/>
                <w:sz w:val="20"/>
                <w:szCs w:val="20"/>
                <w:lang w:val="en-GB"/>
              </w:rPr>
              <w:t xml:space="preserve"> the quality and currency of its citations.</w:t>
            </w:r>
          </w:p>
          <w:p w14:paraId="45CD6408">
            <w:pPr>
              <w:keepNext/>
              <w:jc w:val="both"/>
              <w:outlineLvl w:val="1"/>
              <w:rPr>
                <w:rFonts w:hint="default" w:eastAsia="MS Mincho"/>
                <w:bCs/>
                <w:sz w:val="20"/>
                <w:szCs w:val="20"/>
                <w:lang w:val="en-GB"/>
              </w:rPr>
            </w:pPr>
          </w:p>
          <w:p w14:paraId="776025FB">
            <w:pPr>
              <w:keepNext/>
              <w:jc w:val="both"/>
              <w:outlineLvl w:val="1"/>
              <w:rPr>
                <w:rFonts w:eastAsia="MS Mincho"/>
                <w:bCs/>
                <w:sz w:val="20"/>
                <w:szCs w:val="20"/>
                <w:lang w:val="en-GB"/>
              </w:rPr>
            </w:pPr>
            <w:r>
              <w:rPr>
                <w:rFonts w:hint="default" w:eastAsia="MS Mincho"/>
                <w:bCs/>
                <w:sz w:val="20"/>
                <w:szCs w:val="20"/>
                <w:lang w:val="en-GB"/>
              </w:rPr>
              <w:t>In the revised manuscript, we have maintained a rigorous selection of sources, ensuring a balanced mix of foundational theories (such as Marshall McLuhan and Joseph DeVito) and contemporary empirical studies. We have specifically ensured that over 80% of our references are from high-impact journals published within the last 5 to 10 years, including several key publications from 2024 and 2025 (e.g., Vasconcellos et al., 2025 and Saepudin et al., 2025). This ensures that our discussion on Generation Alpha is grounded in the most recent global and local scholarly developments. We appreciate this validation, as it confirms our commitment to academic excellence and thorough literature mapping.</w:t>
            </w:r>
          </w:p>
        </w:tc>
      </w:tr>
      <w:tr w14:paraId="6C116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518C32D9">
            <w:pPr>
              <w:rPr>
                <w:b/>
                <w:sz w:val="20"/>
                <w:szCs w:val="20"/>
                <w:lang w:val="en-GB"/>
              </w:rPr>
            </w:pPr>
            <w:r>
              <w:rPr>
                <w:b/>
                <w:sz w:val="20"/>
                <w:szCs w:val="20"/>
                <w:lang w:val="en-GB"/>
              </w:rPr>
              <w:t>15. Is the manuscript written in clear and understandable language?</w:t>
            </w:r>
          </w:p>
          <w:p w14:paraId="0A878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pPr>
              <w:rPr>
                <w:sz w:val="20"/>
                <w:szCs w:val="20"/>
                <w:lang w:val="en-GB"/>
              </w:rPr>
            </w:pPr>
            <w:r>
              <w:rPr>
                <w:color w:val="404040"/>
                <w:sz w:val="20"/>
                <w:szCs w:val="20"/>
                <w:shd w:val="clear" w:color="auto" w:fill="FFFFFF"/>
                <w:lang w:val="en-GB"/>
              </w:rPr>
              <w:t>N/A = Not Applicable</w:t>
            </w:r>
          </w:p>
        </w:tc>
        <w:tc>
          <w:tcPr>
            <w:tcW w:w="796" w:type="pct"/>
          </w:tcPr>
          <w:p w14:paraId="1AB8C62B">
            <w:pPr>
              <w:contextualSpacing/>
              <w:rPr>
                <w:bCs/>
                <w:sz w:val="20"/>
                <w:szCs w:val="20"/>
                <w:lang w:val="en-GB"/>
              </w:rPr>
            </w:pPr>
            <w:r>
              <w:rPr>
                <w:bCs/>
                <w:sz w:val="20"/>
                <w:szCs w:val="20"/>
                <w:lang w:val="en-GB"/>
              </w:rPr>
              <w:t>3</w:t>
            </w:r>
          </w:p>
        </w:tc>
        <w:tc>
          <w:tcPr>
            <w:tcW w:w="2537" w:type="pct"/>
          </w:tcPr>
          <w:p w14:paraId="61B19D5D">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62D07889">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feedback regarding the clarity of the language used in this manuscript. We acknowledge that for a study to have a meaningful impact, its findings must be communicated in a clear, concise, and professional manner. We take this 'Satisfactory' rating as a valuable suggestion to improve the accessibility of our writing.</w:t>
            </w:r>
          </w:p>
          <w:p w14:paraId="3D972FCB">
            <w:pPr>
              <w:keepNext/>
              <w:jc w:val="both"/>
              <w:outlineLvl w:val="1"/>
              <w:rPr>
                <w:rFonts w:hint="default" w:eastAsia="MS Mincho"/>
                <w:bCs/>
                <w:sz w:val="20"/>
                <w:szCs w:val="20"/>
                <w:lang w:val="en-GB"/>
              </w:rPr>
            </w:pPr>
            <w:r>
              <w:rPr>
                <w:rFonts w:hint="default" w:eastAsia="MS Mincho"/>
                <w:bCs/>
                <w:sz w:val="20"/>
                <w:szCs w:val="20"/>
                <w:lang w:val="en-GB"/>
              </w:rPr>
              <w:t>In the revised manuscript, we have conducted a comprehensive linguistic refinement, focusing on:</w:t>
            </w:r>
          </w:p>
          <w:p w14:paraId="07099726">
            <w:pPr>
              <w:keepNext/>
              <w:numPr>
                <w:ilvl w:val="0"/>
                <w:numId w:val="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US"/>
              </w:rPr>
              <w:t>Enhancing</w:t>
            </w:r>
            <w:r>
              <w:rPr>
                <w:rFonts w:hint="default" w:eastAsia="MS Mincho"/>
                <w:bCs/>
                <w:sz w:val="20"/>
                <w:szCs w:val="20"/>
                <w:lang w:val="en-GB"/>
              </w:rPr>
              <w:t xml:space="preserve"> Readability: We have restructured overly long and complex sentences to ensure a smoother flow of ideas, particularly in the Discussion section.</w:t>
            </w:r>
          </w:p>
          <w:p w14:paraId="5B751F22">
            <w:pPr>
              <w:keepNext/>
              <w:numPr>
                <w:ilvl w:val="0"/>
                <w:numId w:val="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Technical Precision: We have ensured that all technical terms related to Media Ecology and Interpersonal Communication are used consistently throughout the text.</w:t>
            </w:r>
          </w:p>
          <w:p w14:paraId="63E568B6">
            <w:pPr>
              <w:keepNext/>
              <w:numPr>
                <w:ilvl w:val="0"/>
                <w:numId w:val="2"/>
              </w:numPr>
              <w:ind w:left="425" w:leftChars="0" w:hanging="425" w:firstLineChars="0"/>
              <w:jc w:val="both"/>
              <w:outlineLvl w:val="1"/>
              <w:rPr>
                <w:rFonts w:hint="default" w:eastAsia="MS Mincho"/>
                <w:bCs/>
                <w:sz w:val="20"/>
                <w:szCs w:val="20"/>
                <w:lang w:val="en-GB"/>
              </w:rPr>
            </w:pPr>
            <w:r>
              <w:rPr>
                <w:rFonts w:hint="default" w:eastAsia="MS Mincho"/>
                <w:bCs/>
                <w:sz w:val="20"/>
                <w:szCs w:val="20"/>
                <w:lang w:val="en-GB"/>
              </w:rPr>
              <w:t>Professional Proofreading: The manuscript has undergone a thorough review to correct grammatical inconsistencies and improve the academic tone, ensuring it meets the standards of an international audience.</w:t>
            </w:r>
          </w:p>
          <w:p w14:paraId="6BF358AB">
            <w:pPr>
              <w:keepNext/>
              <w:jc w:val="both"/>
              <w:outlineLvl w:val="1"/>
              <w:rPr>
                <w:rFonts w:hint="default" w:eastAsia="MS Mincho"/>
                <w:bCs/>
                <w:sz w:val="20"/>
                <w:szCs w:val="20"/>
                <w:lang w:val="en-GB"/>
              </w:rPr>
            </w:pPr>
          </w:p>
          <w:p w14:paraId="2B5E3457">
            <w:pPr>
              <w:keepNext/>
              <w:jc w:val="both"/>
              <w:outlineLvl w:val="1"/>
              <w:rPr>
                <w:rFonts w:hint="default" w:eastAsia="MS Mincho"/>
                <w:bCs/>
                <w:sz w:val="20"/>
                <w:szCs w:val="20"/>
                <w:lang w:val="en-GB"/>
              </w:rPr>
            </w:pPr>
            <w:r>
              <w:rPr>
                <w:rFonts w:hint="default" w:eastAsia="MS Mincho"/>
                <w:bCs/>
                <w:sz w:val="20"/>
                <w:szCs w:val="20"/>
                <w:lang w:val="en-GB"/>
              </w:rPr>
              <w:t>We appreciate the reviewer’s attention to this detail, as it has helped us elevate the overall quality and professionalism of our work.</w:t>
            </w:r>
          </w:p>
        </w:tc>
      </w:tr>
    </w:tbl>
    <w:p w14:paraId="728B6CA0">
      <w:pPr>
        <w:jc w:val="both"/>
        <w:rPr>
          <w:rFonts w:eastAsia="MS Mincho"/>
          <w:b/>
          <w:bCs/>
          <w:sz w:val="20"/>
          <w:szCs w:val="20"/>
          <w:u w:val="single"/>
          <w:lang w:val="en-GB" w:eastAsia="zh-CN"/>
        </w:rPr>
      </w:pPr>
    </w:p>
    <w:p w14:paraId="4531F6FC">
      <w:pPr>
        <w:jc w:val="both"/>
        <w:rPr>
          <w:rFonts w:eastAsia="MS Mincho"/>
          <w:b/>
          <w:bCs/>
          <w:sz w:val="20"/>
          <w:szCs w:val="20"/>
          <w:u w:val="single"/>
          <w:lang w:val="en-GB" w:eastAsia="zh-CN"/>
        </w:rPr>
      </w:pPr>
    </w:p>
    <w:p w14:paraId="793DF82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pPr>
        <w:jc w:val="both"/>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53"/>
        <w:gridCol w:w="3828"/>
        <w:gridCol w:w="6311"/>
      </w:tblGrid>
      <w:tr w14:paraId="149AD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50" w:type="pct"/>
            <w:noWrap/>
          </w:tcPr>
          <w:p w14:paraId="63797B48">
            <w:pPr>
              <w:keepNext/>
              <w:jc w:val="both"/>
              <w:outlineLvl w:val="1"/>
              <w:rPr>
                <w:rFonts w:eastAsia="MS Mincho"/>
                <w:b/>
                <w:bCs/>
                <w:sz w:val="20"/>
                <w:szCs w:val="20"/>
                <w:lang w:val="en-GB"/>
              </w:rPr>
            </w:pPr>
          </w:p>
        </w:tc>
        <w:tc>
          <w:tcPr>
            <w:tcW w:w="1377" w:type="pct"/>
          </w:tcPr>
          <w:p w14:paraId="467B62F4">
            <w:pPr>
              <w:keepNext/>
              <w:jc w:val="both"/>
              <w:outlineLvl w:val="1"/>
              <w:rPr>
                <w:rFonts w:eastAsia="MS Mincho"/>
                <w:b/>
                <w:bCs/>
                <w:sz w:val="20"/>
                <w:szCs w:val="20"/>
                <w:lang w:val="en-GB"/>
              </w:rPr>
            </w:pPr>
            <w:r>
              <w:rPr>
                <w:rFonts w:eastAsia="MS Mincho"/>
                <w:b/>
                <w:bCs/>
                <w:sz w:val="20"/>
                <w:szCs w:val="20"/>
                <w:lang w:val="en-GB"/>
              </w:rPr>
              <w:t>Reviewer’s comment</w:t>
            </w:r>
          </w:p>
          <w:p w14:paraId="069016C4">
            <w:pPr>
              <w:jc w:val="both"/>
              <w:rPr>
                <w:sz w:val="20"/>
                <w:szCs w:val="20"/>
                <w:lang w:val="en-GB"/>
              </w:rPr>
            </w:pPr>
          </w:p>
        </w:tc>
        <w:tc>
          <w:tcPr>
            <w:tcW w:w="2271" w:type="pct"/>
          </w:tcPr>
          <w:p w14:paraId="60C614CC">
            <w:pPr>
              <w:spacing w:after="160" w:line="256" w:lineRule="auto"/>
              <w:jc w:val="both"/>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pPr>
              <w:keepNext/>
              <w:jc w:val="both"/>
              <w:outlineLvl w:val="1"/>
              <w:rPr>
                <w:rFonts w:eastAsia="MS Mincho"/>
                <w:bCs/>
                <w:sz w:val="20"/>
                <w:szCs w:val="20"/>
                <w:lang w:val="en-GB"/>
              </w:rPr>
            </w:pPr>
          </w:p>
        </w:tc>
      </w:tr>
      <w:tr w14:paraId="26817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50" w:type="pct"/>
            <w:noWrap/>
          </w:tcPr>
          <w:p w14:paraId="13E2BA27">
            <w:pPr>
              <w:rPr>
                <w:b/>
                <w:bCs/>
                <w:sz w:val="20"/>
                <w:szCs w:val="20"/>
                <w:lang w:val="en-GB"/>
              </w:rPr>
            </w:pPr>
            <w:r>
              <w:rPr>
                <w:b/>
                <w:bCs/>
                <w:sz w:val="20"/>
                <w:szCs w:val="20"/>
                <w:lang w:val="en-GB"/>
              </w:rPr>
              <w:t>Is the title of the article suitable?</w:t>
            </w:r>
          </w:p>
          <w:p w14:paraId="7C0C340B">
            <w:pPr>
              <w:rPr>
                <w:bCs/>
                <w:sz w:val="20"/>
                <w:szCs w:val="20"/>
                <w:lang w:val="en-GB"/>
              </w:rPr>
            </w:pPr>
          </w:p>
          <w:p w14:paraId="7B358DF1">
            <w:pPr>
              <w:rPr>
                <w:bCs/>
                <w:sz w:val="20"/>
                <w:szCs w:val="20"/>
                <w:lang w:val="en-GB"/>
              </w:rPr>
            </w:pPr>
            <w:r>
              <w:rPr>
                <w:bCs/>
                <w:sz w:val="20"/>
                <w:szCs w:val="20"/>
                <w:lang w:val="en-GB"/>
              </w:rPr>
              <w:t>If your answer is NO, please provide a brief, clear suggestion for improvement.</w:t>
            </w:r>
          </w:p>
          <w:p w14:paraId="509351CF">
            <w:pPr>
              <w:rPr>
                <w:sz w:val="20"/>
                <w:szCs w:val="20"/>
                <w:u w:val="single"/>
                <w:lang w:val="en-GB"/>
              </w:rPr>
            </w:pPr>
          </w:p>
        </w:tc>
        <w:tc>
          <w:tcPr>
            <w:tcW w:w="1377" w:type="pct"/>
          </w:tcPr>
          <w:p w14:paraId="3EB64465">
            <w:pPr>
              <w:ind w:left="360"/>
              <w:rPr>
                <w:b/>
                <w:bCs/>
                <w:sz w:val="20"/>
                <w:szCs w:val="20"/>
                <w:lang w:val="en-GB"/>
              </w:rPr>
            </w:pPr>
            <w:r>
              <w:rPr>
                <w:b/>
                <w:bCs/>
                <w:sz w:val="20"/>
                <w:szCs w:val="20"/>
                <w:lang w:val="en-GB"/>
              </w:rPr>
              <w:t>yes</w:t>
            </w:r>
          </w:p>
        </w:tc>
        <w:tc>
          <w:tcPr>
            <w:tcW w:w="2271" w:type="pct"/>
          </w:tcPr>
          <w:p w14:paraId="4270BDA8">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716ABA7E">
            <w:pPr>
              <w:keepNext/>
              <w:jc w:val="both"/>
              <w:outlineLvl w:val="1"/>
              <w:rPr>
                <w:rFonts w:eastAsia="MS Mincho"/>
                <w:bCs/>
                <w:sz w:val="20"/>
                <w:szCs w:val="20"/>
                <w:lang w:val="en-GB"/>
              </w:rPr>
            </w:pPr>
            <w:r>
              <w:rPr>
                <w:rFonts w:hint="default" w:eastAsia="MS Mincho"/>
                <w:bCs/>
                <w:sz w:val="20"/>
                <w:szCs w:val="20"/>
                <w:lang w:val="en-GB"/>
              </w:rPr>
              <w:t xml:space="preserve">We sincerely thank the reviewer for confirming the suitability of our title. We appreciate the validation that the current </w:t>
            </w:r>
            <w:r>
              <w:rPr>
                <w:rFonts w:hint="default" w:eastAsia="MS Mincho"/>
                <w:bCs/>
                <w:sz w:val="20"/>
                <w:szCs w:val="20"/>
                <w:lang w:val="en-US"/>
              </w:rPr>
              <w:t>title, "</w:t>
            </w:r>
            <w:r>
              <w:rPr>
                <w:rFonts w:hint="default" w:eastAsia="MS Mincho"/>
                <w:bCs/>
                <w:sz w:val="20"/>
                <w:szCs w:val="20"/>
                <w:lang w:val="en-GB"/>
              </w:rPr>
              <w:t xml:space="preserve">Examining the Relationship Between Screen Time and Interpersonal Communication Quality Among Elementary School Students in South </w:t>
            </w:r>
            <w:r>
              <w:rPr>
                <w:rFonts w:hint="default" w:eastAsia="MS Mincho"/>
                <w:bCs/>
                <w:sz w:val="20"/>
                <w:szCs w:val="20"/>
                <w:lang w:val="en-US"/>
              </w:rPr>
              <w:t>Jakarta</w:t>
            </w:r>
            <w:r>
              <w:rPr>
                <w:rFonts w:hint="default" w:eastAsia="MS Mincho"/>
                <w:bCs/>
                <w:sz w:val="20"/>
                <w:szCs w:val="20"/>
                <w:lang w:val="en-GB"/>
              </w:rPr>
              <w:t>, is clear, appropriate, and effectively encapsulates the research variables and the specific demographic context. We believe this title provides a strong and professional point of entry for readers interested in the digital behaviors of Generation Alpha.</w:t>
            </w:r>
          </w:p>
        </w:tc>
      </w:tr>
      <w:tr w14:paraId="4502F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50" w:type="pct"/>
            <w:noWrap/>
          </w:tcPr>
          <w:p w14:paraId="4EFA933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pPr>
              <w:rPr>
                <w:bCs/>
                <w:sz w:val="20"/>
                <w:szCs w:val="20"/>
                <w:lang w:val="en-GB"/>
              </w:rPr>
            </w:pPr>
            <w:r>
              <w:rPr>
                <w:bCs/>
                <w:sz w:val="20"/>
                <w:szCs w:val="20"/>
                <w:lang w:val="en-GB"/>
              </w:rPr>
              <w:t>s</w:t>
            </w:r>
          </w:p>
          <w:p w14:paraId="1A4B73B3">
            <w:pPr>
              <w:rPr>
                <w:bCs/>
                <w:sz w:val="20"/>
                <w:szCs w:val="20"/>
                <w:lang w:val="en-GB"/>
              </w:rPr>
            </w:pPr>
            <w:r>
              <w:rPr>
                <w:bCs/>
                <w:sz w:val="20"/>
                <w:szCs w:val="20"/>
                <w:lang w:val="en-GB"/>
              </w:rPr>
              <w:t>If your answer is NO, please provide a brief, clear suggestion for improvement.</w:t>
            </w:r>
          </w:p>
          <w:p w14:paraId="5BA255BE">
            <w:pPr>
              <w:rPr>
                <w:sz w:val="20"/>
                <w:szCs w:val="20"/>
                <w:lang w:val="en-GB"/>
              </w:rPr>
            </w:pPr>
          </w:p>
        </w:tc>
        <w:tc>
          <w:tcPr>
            <w:tcW w:w="1377" w:type="pct"/>
          </w:tcPr>
          <w:p w14:paraId="7DC0514E">
            <w:pPr>
              <w:ind w:left="360"/>
              <w:rPr>
                <w:b/>
                <w:bCs/>
                <w:sz w:val="20"/>
                <w:szCs w:val="20"/>
                <w:lang w:val="en-GB"/>
              </w:rPr>
            </w:pPr>
            <w:r>
              <w:rPr>
                <w:b/>
                <w:bCs/>
                <w:sz w:val="20"/>
                <w:szCs w:val="20"/>
                <w:lang w:val="en-GB"/>
              </w:rPr>
              <w:t>yes</w:t>
            </w:r>
          </w:p>
        </w:tc>
        <w:tc>
          <w:tcPr>
            <w:tcW w:w="2271" w:type="pct"/>
          </w:tcPr>
          <w:p w14:paraId="6BAAE476">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55FC2422">
            <w:pPr>
              <w:keepNext/>
              <w:jc w:val="both"/>
              <w:outlineLvl w:val="1"/>
              <w:rPr>
                <w:rFonts w:eastAsia="MS Mincho"/>
                <w:bCs/>
                <w:sz w:val="20"/>
                <w:szCs w:val="20"/>
                <w:lang w:val="en-GB"/>
              </w:rPr>
            </w:pPr>
            <w:r>
              <w:rPr>
                <w:rFonts w:hint="default" w:eastAsia="MS Mincho"/>
                <w:bCs/>
                <w:sz w:val="20"/>
                <w:szCs w:val="20"/>
                <w:lang w:val="en-GB"/>
              </w:rPr>
              <w:t>We sincerely thank the reviewer for the positive feedback regarding the comprehensiveness of our abstract. We are pleased that the abstract effectively distills the core components of our study—including the research aims, the total sampling methodology, the key statistical findings (R</w:t>
            </w:r>
            <w:r>
              <w:rPr>
                <w:rFonts w:hint="default" w:eastAsia="MS Mincho"/>
                <w:bCs/>
                <w:sz w:val="20"/>
                <w:szCs w:val="20"/>
                <w:vertAlign w:val="superscript"/>
                <w:lang w:val="en-US"/>
              </w:rPr>
              <w:t>2</w:t>
            </w:r>
            <w:r>
              <w:rPr>
                <w:rFonts w:hint="default" w:eastAsia="MS Mincho"/>
                <w:bCs/>
                <w:sz w:val="20"/>
                <w:szCs w:val="20"/>
                <w:lang w:val="en-GB"/>
              </w:rPr>
              <w:t xml:space="preserve"> and p-value), and the concluding insights. We believe that a comprehensive abstract is vital for ensuring the clarity and impact of our research within the global scientific community. We appreciate this validation of our efforts to provide a transparent and professional summary of our work.</w:t>
            </w:r>
          </w:p>
        </w:tc>
      </w:tr>
      <w:tr w14:paraId="5C374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50" w:type="pct"/>
            <w:noWrap/>
          </w:tcPr>
          <w:p w14:paraId="1EC3E67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5C6D9B07">
            <w:pPr>
              <w:rPr>
                <w:bCs/>
                <w:sz w:val="20"/>
                <w:szCs w:val="20"/>
                <w:lang w:val="en-GB"/>
              </w:rPr>
            </w:pPr>
            <w:r>
              <w:rPr>
                <w:bCs/>
                <w:sz w:val="20"/>
                <w:szCs w:val="20"/>
                <w:lang w:val="en-GB"/>
              </w:rPr>
              <w:t>If your answer is NO, please provide a brief, clear suggestion for improvement</w:t>
            </w:r>
          </w:p>
          <w:p w14:paraId="73E14B09">
            <w:pPr>
              <w:rPr>
                <w:b/>
                <w:sz w:val="20"/>
                <w:szCs w:val="20"/>
                <w:lang w:val="en-GB"/>
              </w:rPr>
            </w:pPr>
            <w:r>
              <w:rPr>
                <w:bCs/>
                <w:sz w:val="20"/>
                <w:szCs w:val="20"/>
                <w:lang w:val="en-GB"/>
              </w:rPr>
              <w:t>.</w:t>
            </w:r>
          </w:p>
        </w:tc>
        <w:tc>
          <w:tcPr>
            <w:tcW w:w="1377" w:type="pct"/>
          </w:tcPr>
          <w:p w14:paraId="3FA0DE86">
            <w:pPr>
              <w:contextualSpacing/>
              <w:rPr>
                <w:bCs/>
                <w:lang w:val="en-GB"/>
              </w:rPr>
            </w:pPr>
            <w:r>
              <w:rPr>
                <w:bCs/>
                <w:lang w:val="en-GB"/>
              </w:rPr>
              <w:t>Yes,</w:t>
            </w:r>
          </w:p>
          <w:p w14:paraId="181F6B4F">
            <w:pPr>
              <w:pStyle w:val="11"/>
            </w:pPr>
            <w:r>
              <w:t>Nevertheless, there are some suggestions that can be made with regard to the content of the manuscript. In particular, it should be clarified why simple linear regression was used for analysis when there were a number of dimensions associated with the quality of communication.</w:t>
            </w:r>
          </w:p>
          <w:p w14:paraId="25087CE6">
            <w:pPr>
              <w:contextualSpacing/>
              <w:rPr>
                <w:bCs/>
                <w:lang w:val="en-GB"/>
              </w:rPr>
            </w:pPr>
          </w:p>
        </w:tc>
        <w:tc>
          <w:tcPr>
            <w:tcW w:w="2271" w:type="pct"/>
          </w:tcPr>
          <w:p w14:paraId="6903AFA5">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3449CC20">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the validation of the study's scientific correctness and for the insightful methodological suggestion. We acknowledge the reviewer’s concern regarding the use of simple linear regression in a study involving multiple dimensions of communication quality.</w:t>
            </w:r>
          </w:p>
          <w:p w14:paraId="197E2703">
            <w:pPr>
              <w:keepNext/>
              <w:jc w:val="both"/>
              <w:outlineLvl w:val="1"/>
              <w:rPr>
                <w:rFonts w:hint="default" w:eastAsia="MS Mincho"/>
                <w:bCs/>
                <w:sz w:val="20"/>
                <w:szCs w:val="20"/>
                <w:lang w:val="en-GB"/>
              </w:rPr>
            </w:pPr>
          </w:p>
          <w:p w14:paraId="51AC5B4C">
            <w:pPr>
              <w:keepNext/>
              <w:jc w:val="both"/>
              <w:outlineLvl w:val="1"/>
              <w:rPr>
                <w:rFonts w:hint="default" w:eastAsia="MS Mincho"/>
                <w:bCs/>
                <w:sz w:val="20"/>
                <w:szCs w:val="20"/>
                <w:lang w:val="en-GB"/>
              </w:rPr>
            </w:pPr>
            <w:r>
              <w:rPr>
                <w:rFonts w:hint="default" w:eastAsia="MS Mincho"/>
                <w:bCs/>
                <w:sz w:val="20"/>
                <w:szCs w:val="20"/>
                <w:lang w:val="en-GB"/>
              </w:rPr>
              <w:t>To address this, we have added a clarifying paragraph in the Data Analysis and Discussion sections. The decision to employ simple linear regression was based on our primary research objective: to isolate and examine the impact of screen time duration as a single independent variable on the total composite score of interpersonal communication quality. Since the composite score represents the collective manifestation of DeVito’s five dimensions (Openness, Empathy, Supportiveness, Positiveness, and Equality), simple linear regression effectively measures the overall predictive power of digital duration on the general quality of interaction.</w:t>
            </w:r>
          </w:p>
          <w:p w14:paraId="012F564A">
            <w:pPr>
              <w:keepNext/>
              <w:jc w:val="both"/>
              <w:outlineLvl w:val="1"/>
              <w:rPr>
                <w:rFonts w:hint="default" w:eastAsia="MS Mincho"/>
                <w:bCs/>
                <w:sz w:val="20"/>
                <w:szCs w:val="20"/>
                <w:lang w:val="en-GB"/>
              </w:rPr>
            </w:pPr>
          </w:p>
          <w:p w14:paraId="681BD892">
            <w:pPr>
              <w:keepNext/>
              <w:jc w:val="both"/>
              <w:outlineLvl w:val="1"/>
              <w:rPr>
                <w:rFonts w:hint="default" w:eastAsia="MS Mincho"/>
                <w:bCs/>
                <w:sz w:val="20"/>
                <w:szCs w:val="20"/>
                <w:lang w:val="en-GB"/>
              </w:rPr>
            </w:pPr>
            <w:r>
              <w:rPr>
                <w:rFonts w:hint="default" w:eastAsia="MS Mincho"/>
                <w:bCs/>
                <w:sz w:val="20"/>
                <w:szCs w:val="20"/>
                <w:lang w:val="en-GB"/>
              </w:rPr>
              <w:t xml:space="preserve">However, in response to the reviewer’s suggestion, we have now included a more detailed descriptive breakdown of the individual dimensions in the results. This allows us to explain that while duration may not be a significant predictor (p = 0.437), the internal degradation of specific dimensions </w:t>
            </w:r>
            <w:r>
              <w:rPr>
                <w:rFonts w:hint="default" w:eastAsia="MS Mincho"/>
                <w:bCs/>
                <w:sz w:val="20"/>
                <w:szCs w:val="20"/>
                <w:lang w:val="en-US"/>
              </w:rPr>
              <w:t xml:space="preserve">such as </w:t>
            </w:r>
            <w:r>
              <w:rPr>
                <w:rFonts w:hint="default" w:eastAsia="MS Mincho"/>
                <w:bCs/>
                <w:sz w:val="20"/>
                <w:szCs w:val="20"/>
                <w:lang w:val="en-GB"/>
              </w:rPr>
              <w:t>Empathy and Openness provides a more nuanced understanding of the 'Communication Paradox.' We appreciate this guidance, as it has significantly strengthened the analytical depth of our manuscript.</w:t>
            </w:r>
          </w:p>
        </w:tc>
      </w:tr>
      <w:tr w14:paraId="0D696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50" w:type="pct"/>
            <w:noWrap/>
          </w:tcPr>
          <w:p w14:paraId="4EC4DD3C">
            <w:pPr>
              <w:rPr>
                <w:b/>
                <w:bCs/>
                <w:sz w:val="20"/>
                <w:szCs w:val="20"/>
                <w:lang w:val="en-GB"/>
              </w:rPr>
            </w:pPr>
            <w:r>
              <w:rPr>
                <w:b/>
                <w:bCs/>
                <w:sz w:val="20"/>
                <w:szCs w:val="20"/>
                <w:lang w:val="en-GB"/>
              </w:rPr>
              <w:t xml:space="preserve">Are the references sufficient and recent? </w:t>
            </w:r>
          </w:p>
          <w:p w14:paraId="716830E5">
            <w:pPr>
              <w:rPr>
                <w:bCs/>
                <w:sz w:val="20"/>
                <w:szCs w:val="20"/>
                <w:lang w:val="en-GB"/>
              </w:rPr>
            </w:pPr>
            <w:r>
              <w:rPr>
                <w:bCs/>
                <w:sz w:val="20"/>
                <w:szCs w:val="20"/>
                <w:lang w:val="en-GB"/>
              </w:rPr>
              <w:t>(YES or NO)</w:t>
            </w:r>
          </w:p>
          <w:p w14:paraId="4528A2D3">
            <w:pPr>
              <w:rPr>
                <w:bCs/>
                <w:sz w:val="20"/>
                <w:szCs w:val="20"/>
                <w:lang w:val="en-GB"/>
              </w:rPr>
            </w:pPr>
          </w:p>
          <w:p w14:paraId="42FB4634">
            <w:pPr>
              <w:rPr>
                <w:bCs/>
                <w:sz w:val="20"/>
                <w:szCs w:val="20"/>
                <w:lang w:val="en-GB"/>
              </w:rPr>
            </w:pPr>
            <w:r>
              <w:rPr>
                <w:bCs/>
                <w:sz w:val="20"/>
                <w:szCs w:val="20"/>
                <w:lang w:val="en-GB"/>
              </w:rPr>
              <w:t>If your answer is NO, please provide clear suggestion for improvement.</w:t>
            </w:r>
          </w:p>
          <w:p w14:paraId="3CC112A8">
            <w:pPr>
              <w:rPr>
                <w:b/>
                <w:bCs/>
                <w:sz w:val="20"/>
                <w:szCs w:val="20"/>
                <w:lang w:val="en-GB"/>
              </w:rPr>
            </w:pPr>
          </w:p>
        </w:tc>
        <w:tc>
          <w:tcPr>
            <w:tcW w:w="1377" w:type="pct"/>
          </w:tcPr>
          <w:p w14:paraId="56E92577">
            <w:pPr>
              <w:contextualSpacing/>
              <w:rPr>
                <w:bCs/>
                <w:lang w:val="en-GB"/>
              </w:rPr>
            </w:pPr>
            <w:r>
              <w:rPr>
                <w:bCs/>
                <w:lang w:val="en-GB"/>
              </w:rPr>
              <w:t>Yes,</w:t>
            </w:r>
          </w:p>
          <w:p w14:paraId="55F581BC">
            <w:pPr>
              <w:contextualSpacing/>
              <w:rPr>
                <w:bCs/>
                <w:lang w:val="en-GB"/>
              </w:rPr>
            </w:pPr>
            <w:r>
              <w:rPr>
                <w:bCs/>
                <w:lang w:val="en-GB"/>
              </w:rPr>
              <w:t>The sources in the manuscript are well-balanced in terms of relevance to the subject areas like screen time, interpersonal communication, and the behavior of children in the digital sphere.</w:t>
            </w:r>
          </w:p>
        </w:tc>
        <w:tc>
          <w:tcPr>
            <w:tcW w:w="2271" w:type="pct"/>
          </w:tcPr>
          <w:p w14:paraId="54226788">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1FFE5F34">
            <w:pPr>
              <w:keepNext/>
              <w:jc w:val="both"/>
              <w:outlineLvl w:val="1"/>
              <w:rPr>
                <w:rFonts w:hint="default" w:eastAsia="MS Mincho"/>
                <w:bCs/>
                <w:sz w:val="20"/>
                <w:szCs w:val="20"/>
                <w:lang w:val="en-GB"/>
              </w:rPr>
            </w:pPr>
            <w:r>
              <w:rPr>
                <w:rFonts w:hint="default" w:eastAsia="MS Mincho"/>
                <w:bCs/>
                <w:sz w:val="20"/>
                <w:szCs w:val="20"/>
                <w:lang w:val="en-GB"/>
              </w:rPr>
              <w:t>We extend our sincere gratitude to the reviewer for the positive evaluation regarding the quality and currency of our references. We are particularly pleased that the reviewer found the sources to be well-balanced across the core thematic areas of our study—screen time, interpersonal communication, and digital-age child behavior.</w:t>
            </w:r>
          </w:p>
          <w:p w14:paraId="29E6A165">
            <w:pPr>
              <w:keepNext/>
              <w:jc w:val="both"/>
              <w:outlineLvl w:val="1"/>
              <w:rPr>
                <w:rFonts w:hint="default" w:eastAsia="MS Mincho"/>
                <w:bCs/>
                <w:sz w:val="20"/>
                <w:szCs w:val="20"/>
                <w:lang w:val="en-GB"/>
              </w:rPr>
            </w:pPr>
          </w:p>
          <w:p w14:paraId="467EE6CF">
            <w:pPr>
              <w:keepNext/>
              <w:jc w:val="both"/>
              <w:outlineLvl w:val="1"/>
              <w:rPr>
                <w:rFonts w:eastAsia="MS Mincho"/>
                <w:bCs/>
                <w:sz w:val="20"/>
                <w:szCs w:val="20"/>
                <w:lang w:val="en-GB"/>
              </w:rPr>
            </w:pPr>
            <w:r>
              <w:rPr>
                <w:rFonts w:hint="default" w:eastAsia="MS Mincho"/>
                <w:bCs/>
                <w:sz w:val="20"/>
                <w:szCs w:val="20"/>
                <w:lang w:val="en-GB"/>
              </w:rPr>
              <w:t>We believe that a multi-dimensional literature base is essential for capturing the complexity of Generation Alpha’s social dynamics. In the revised manuscript, we have maintained this balance while ensuring that our citations reflect the most recent global and local academic discourse, including key studies from 2024 and 2025. We appreciate this validation, as it confirms the rigor of our theoretical foundation and our commitment to a high standard of scholarly mapping.</w:t>
            </w:r>
          </w:p>
        </w:tc>
      </w:tr>
      <w:tr w14:paraId="124FF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50" w:type="pct"/>
            <w:noWrap/>
          </w:tcPr>
          <w:p w14:paraId="1EBCFF00">
            <w:pPr>
              <w:rPr>
                <w:b/>
                <w:bCs/>
                <w:sz w:val="20"/>
                <w:szCs w:val="20"/>
                <w:lang w:val="en-GB"/>
              </w:rPr>
            </w:pPr>
            <w:r>
              <w:rPr>
                <w:b/>
                <w:bCs/>
                <w:sz w:val="20"/>
                <w:szCs w:val="20"/>
                <w:lang w:val="en-GB"/>
              </w:rPr>
              <w:t>Are there ethical issues in this manuscript?</w:t>
            </w:r>
          </w:p>
          <w:p w14:paraId="538F5D38">
            <w:pPr>
              <w:rPr>
                <w:bCs/>
                <w:sz w:val="20"/>
                <w:szCs w:val="20"/>
                <w:lang w:val="en-GB"/>
              </w:rPr>
            </w:pPr>
            <w:r>
              <w:rPr>
                <w:bCs/>
                <w:sz w:val="20"/>
                <w:szCs w:val="20"/>
                <w:lang w:val="en-GB"/>
              </w:rPr>
              <w:t>(YES or NO)</w:t>
            </w:r>
          </w:p>
          <w:p w14:paraId="3DF80C5A">
            <w:pPr>
              <w:rPr>
                <w:bCs/>
                <w:sz w:val="20"/>
                <w:szCs w:val="20"/>
                <w:lang w:val="en-GB"/>
              </w:rPr>
            </w:pPr>
          </w:p>
          <w:p w14:paraId="6FFEBED2">
            <w:pPr>
              <w:rPr>
                <w:bCs/>
                <w:sz w:val="20"/>
                <w:szCs w:val="20"/>
                <w:lang w:val="en-GB"/>
              </w:rPr>
            </w:pPr>
            <w:r>
              <w:rPr>
                <w:bCs/>
                <w:sz w:val="20"/>
                <w:szCs w:val="20"/>
                <w:lang w:val="en-GB"/>
              </w:rPr>
              <w:t>(If yes, kindly please write down the ethical issues here in details)</w:t>
            </w:r>
          </w:p>
          <w:p w14:paraId="1AEB6E3C">
            <w:pPr>
              <w:rPr>
                <w:bCs/>
                <w:sz w:val="20"/>
                <w:szCs w:val="20"/>
                <w:lang w:val="en-GB"/>
              </w:rPr>
            </w:pPr>
          </w:p>
        </w:tc>
        <w:tc>
          <w:tcPr>
            <w:tcW w:w="1377" w:type="pct"/>
          </w:tcPr>
          <w:p w14:paraId="54F0B5A8">
            <w:pPr>
              <w:contextualSpacing/>
              <w:rPr>
                <w:bCs/>
                <w:sz w:val="20"/>
                <w:szCs w:val="20"/>
                <w:lang w:val="en-GB"/>
              </w:rPr>
            </w:pPr>
            <w:r>
              <w:rPr>
                <w:bCs/>
                <w:sz w:val="20"/>
                <w:szCs w:val="20"/>
                <w:lang w:val="en-GB"/>
              </w:rPr>
              <w:t>No</w:t>
            </w:r>
          </w:p>
        </w:tc>
        <w:tc>
          <w:tcPr>
            <w:tcW w:w="2271" w:type="pct"/>
          </w:tcPr>
          <w:p w14:paraId="20DF5334">
            <w:pPr>
              <w:keepNext/>
              <w:jc w:val="both"/>
              <w:outlineLvl w:val="1"/>
              <w:rPr>
                <w:rFonts w:hint="default" w:eastAsia="MS Mincho"/>
                <w:bCs/>
                <w:sz w:val="20"/>
                <w:szCs w:val="20"/>
                <w:lang w:val="en-GB"/>
              </w:rPr>
            </w:pPr>
            <w:r>
              <w:rPr>
                <w:rFonts w:hint="default" w:eastAsia="MS Mincho"/>
                <w:bCs/>
                <w:sz w:val="20"/>
                <w:szCs w:val="20"/>
                <w:lang w:val="en-GB"/>
              </w:rPr>
              <w:t xml:space="preserve">Accepted. </w:t>
            </w:r>
          </w:p>
          <w:p w14:paraId="647290D6">
            <w:pPr>
              <w:keepNext/>
              <w:jc w:val="both"/>
              <w:outlineLvl w:val="1"/>
              <w:rPr>
                <w:rFonts w:hint="default" w:eastAsia="MS Mincho"/>
                <w:bCs/>
                <w:sz w:val="20"/>
                <w:szCs w:val="20"/>
                <w:lang w:val="en-GB"/>
              </w:rPr>
            </w:pPr>
            <w:r>
              <w:rPr>
                <w:rFonts w:hint="default" w:eastAsia="MS Mincho"/>
                <w:bCs/>
                <w:sz w:val="20"/>
                <w:szCs w:val="20"/>
                <w:lang w:val="en-GB"/>
              </w:rPr>
              <w:t>We sincerely thank the reviewer for confirming that there are no ethical issues in this manuscript. We hold the ethical conduct of research in the highest regard, especially given that our study involves Generation Alpha and minors as the primary subjects.</w:t>
            </w:r>
          </w:p>
          <w:p w14:paraId="1D1F0CF5">
            <w:pPr>
              <w:keepNext/>
              <w:jc w:val="both"/>
              <w:outlineLvl w:val="1"/>
              <w:rPr>
                <w:rFonts w:hint="default" w:eastAsia="MS Mincho"/>
                <w:bCs/>
                <w:sz w:val="20"/>
                <w:szCs w:val="20"/>
                <w:lang w:val="en-GB"/>
              </w:rPr>
            </w:pPr>
          </w:p>
          <w:p w14:paraId="3175E146">
            <w:pPr>
              <w:keepNext/>
              <w:jc w:val="both"/>
              <w:outlineLvl w:val="1"/>
              <w:rPr>
                <w:rFonts w:eastAsia="MS Mincho"/>
                <w:bCs/>
                <w:sz w:val="20"/>
                <w:szCs w:val="20"/>
                <w:lang w:val="en-GB"/>
              </w:rPr>
            </w:pPr>
            <w:r>
              <w:rPr>
                <w:rFonts w:hint="default" w:eastAsia="MS Mincho"/>
                <w:bCs/>
                <w:sz w:val="20"/>
                <w:szCs w:val="20"/>
                <w:lang w:val="en-GB"/>
              </w:rPr>
              <w:t>We are pleased that our efforts to ensure participant anonymity, obtain institutional approval, and secure informed consent from both parents and students were clearly reflected in the manuscript. We remain committed to these ethical principles to ensure the integrity of the research and the protection of all participants involved. We appreciate the reviewer’s diligent assessment of this fundamental aspect of our work.</w:t>
            </w:r>
          </w:p>
        </w:tc>
      </w:tr>
    </w:tbl>
    <w:p w14:paraId="7739AA4A">
      <w:pPr>
        <w:rPr>
          <w:rFonts w:eastAsia="Arial Unicode MS"/>
          <w:b/>
          <w:bCs/>
          <w:sz w:val="20"/>
          <w:szCs w:val="20"/>
          <w:highlight w:val="yellow"/>
          <w:u w:val="single"/>
          <w:lang w:val="en-GB"/>
        </w:rPr>
      </w:pPr>
    </w:p>
    <w:p w14:paraId="624FA40E">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24559204">
      <w:pPr>
        <w:rPr>
          <w:lang w:val="en-GB"/>
        </w:rPr>
      </w:pPr>
    </w:p>
    <w:tbl>
      <w:tblPr>
        <w:tblStyle w:val="5"/>
        <w:tblW w:w="492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6901"/>
        <w:gridCol w:w="7047"/>
      </w:tblGrid>
      <w:tr w14:paraId="16B76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01CF70A2">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0E20ADC7">
            <w:pPr>
              <w:rPr>
                <w:rFonts w:eastAsia="Arial Unicode MS"/>
                <w:b/>
                <w:bCs/>
                <w:sz w:val="20"/>
                <w:szCs w:val="20"/>
                <w:u w:val="single"/>
                <w:lang w:val="en-GB"/>
              </w:rPr>
            </w:pPr>
          </w:p>
        </w:tc>
      </w:tr>
      <w:tr w14:paraId="115E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473" w:type="pct"/>
            <w:shd w:val="clear" w:color="auto" w:fill="EBFFFF"/>
            <w:noWrap/>
            <w:tcMar>
              <w:top w:w="0" w:type="dxa"/>
              <w:left w:w="108" w:type="dxa"/>
              <w:bottom w:w="0" w:type="dxa"/>
              <w:right w:w="108" w:type="dxa"/>
            </w:tcMar>
            <w:vAlign w:val="center"/>
          </w:tcPr>
          <w:p w14:paraId="148D6ACE">
            <w:pPr>
              <w:rPr>
                <w:rFonts w:eastAsia="Arial Unicode MS"/>
                <w:sz w:val="20"/>
                <w:szCs w:val="20"/>
                <w:lang w:val="en-GB"/>
              </w:rPr>
            </w:pPr>
          </w:p>
        </w:tc>
        <w:tc>
          <w:tcPr>
            <w:tcW w:w="2526" w:type="pct"/>
            <w:shd w:val="clear" w:color="auto" w:fill="EBFFFF"/>
            <w:tcMar>
              <w:top w:w="0" w:type="dxa"/>
              <w:left w:w="108" w:type="dxa"/>
              <w:bottom w:w="0" w:type="dxa"/>
              <w:right w:w="108" w:type="dxa"/>
            </w:tcMar>
            <w:vAlign w:val="center"/>
          </w:tcPr>
          <w:p w14:paraId="104710DE">
            <w:pPr>
              <w:rPr>
                <w:rFonts w:eastAsia="Arial Unicode MS"/>
                <w:b/>
                <w:bCs/>
                <w:sz w:val="20"/>
                <w:szCs w:val="20"/>
                <w:lang w:val="en-GB"/>
              </w:rPr>
            </w:pPr>
            <w:r>
              <w:rPr>
                <w:rFonts w:eastAsia="Arial Unicode MS"/>
                <w:sz w:val="20"/>
                <w:szCs w:val="20"/>
                <w:lang w:val="en-GB"/>
              </w:rPr>
              <w:t>Author’s Feedback</w:t>
            </w:r>
          </w:p>
        </w:tc>
      </w:tr>
      <w:tr w14:paraId="20D11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473" w:type="pct"/>
            <w:shd w:val="clear" w:color="auto" w:fill="EBFFFF"/>
            <w:noWrap/>
            <w:tcMar>
              <w:top w:w="0" w:type="dxa"/>
              <w:left w:w="108" w:type="dxa"/>
              <w:bottom w:w="0" w:type="dxa"/>
              <w:right w:w="108" w:type="dxa"/>
            </w:tcMar>
            <w:vAlign w:val="top"/>
          </w:tcPr>
          <w:p w14:paraId="7EAB88B6">
            <w:pPr>
              <w:jc w:val="left"/>
              <w:rPr>
                <w:rFonts w:eastAsia="Arial Unicode MS"/>
                <w:sz w:val="20"/>
                <w:szCs w:val="20"/>
                <w:lang w:val="en-GB"/>
              </w:rPr>
            </w:pPr>
          </w:p>
          <w:p w14:paraId="15A8B7D7">
            <w:pPr>
              <w:jc w:val="left"/>
              <w:rPr>
                <w:rFonts w:eastAsia="Arial Unicode MS"/>
                <w:sz w:val="20"/>
                <w:szCs w:val="20"/>
                <w:lang w:val="en-GB"/>
              </w:rPr>
            </w:pPr>
            <w:r>
              <w:rPr>
                <w:rFonts w:eastAsia="Arial Unicode MS"/>
                <w:sz w:val="20"/>
                <w:szCs w:val="20"/>
                <w:lang w:val="en-GB"/>
              </w:rPr>
              <w:t>The paper covers an interesting aspect of education and society and presents solid theoretical grounds for the study. The topic is appropriate for the journal’s focus. Nonetheless, it is advisable to provide some clarifications from the perspective of methodology and polish the language style prior to the final version.</w:t>
            </w:r>
          </w:p>
          <w:p w14:paraId="04A16131">
            <w:pPr>
              <w:jc w:val="left"/>
              <w:rPr>
                <w:rFonts w:eastAsia="Arial Unicode MS"/>
                <w:sz w:val="20"/>
                <w:szCs w:val="20"/>
                <w:lang w:val="en-GB"/>
              </w:rPr>
            </w:pPr>
          </w:p>
          <w:p w14:paraId="3E1A3D1D">
            <w:pPr>
              <w:jc w:val="left"/>
              <w:rPr>
                <w:rFonts w:eastAsia="Arial Unicode MS"/>
                <w:sz w:val="20"/>
                <w:szCs w:val="20"/>
                <w:lang w:val="en-GB"/>
              </w:rPr>
            </w:pPr>
          </w:p>
        </w:tc>
        <w:tc>
          <w:tcPr>
            <w:tcW w:w="2526" w:type="pct"/>
            <w:shd w:val="clear" w:color="auto" w:fill="EBFFFF"/>
            <w:tcMar>
              <w:top w:w="0" w:type="dxa"/>
              <w:left w:w="108" w:type="dxa"/>
              <w:bottom w:w="0" w:type="dxa"/>
              <w:right w:w="108" w:type="dxa"/>
            </w:tcMar>
            <w:vAlign w:val="top"/>
          </w:tcPr>
          <w:p w14:paraId="1CDD68D0">
            <w:pPr>
              <w:jc w:val="both"/>
              <w:rPr>
                <w:rFonts w:hint="default" w:eastAsia="Arial Unicode MS"/>
                <w:b w:val="0"/>
                <w:bCs w:val="0"/>
                <w:sz w:val="20"/>
                <w:szCs w:val="20"/>
                <w:lang w:val="en-GB"/>
              </w:rPr>
            </w:pPr>
            <w:r>
              <w:rPr>
                <w:rFonts w:hint="default" w:eastAsia="Arial Unicode MS"/>
                <w:b w:val="0"/>
                <w:bCs w:val="0"/>
                <w:sz w:val="20"/>
                <w:szCs w:val="20"/>
                <w:lang w:val="en-GB"/>
              </w:rPr>
              <w:t xml:space="preserve">Accepted. </w:t>
            </w:r>
          </w:p>
          <w:p w14:paraId="656AB4EC">
            <w:pPr>
              <w:jc w:val="both"/>
              <w:rPr>
                <w:rFonts w:hint="default" w:eastAsia="Arial Unicode MS"/>
                <w:b w:val="0"/>
                <w:bCs w:val="0"/>
                <w:sz w:val="20"/>
                <w:szCs w:val="20"/>
                <w:lang w:val="en-GB"/>
              </w:rPr>
            </w:pPr>
            <w:r>
              <w:rPr>
                <w:rFonts w:hint="default" w:eastAsia="Arial Unicode MS"/>
                <w:b w:val="0"/>
                <w:bCs w:val="0"/>
                <w:sz w:val="20"/>
                <w:szCs w:val="20"/>
                <w:lang w:val="en-GB"/>
              </w:rPr>
              <w:t>We would like to express our sincere appreciation to the Editorial Office for the encouraging remarks regarding the relevance of our research topic and the theoretical foundation of our study. We are honored that our work is considered appropriate for the journal’s focus.</w:t>
            </w:r>
          </w:p>
          <w:p w14:paraId="7D338415">
            <w:pPr>
              <w:jc w:val="both"/>
              <w:rPr>
                <w:rFonts w:hint="default" w:eastAsia="Arial Unicode MS"/>
                <w:b w:val="0"/>
                <w:bCs w:val="0"/>
                <w:sz w:val="20"/>
                <w:szCs w:val="20"/>
                <w:lang w:val="en-GB"/>
              </w:rPr>
            </w:pPr>
          </w:p>
          <w:p w14:paraId="0FA750BD">
            <w:pPr>
              <w:jc w:val="both"/>
              <w:rPr>
                <w:rFonts w:hint="default" w:eastAsia="Arial Unicode MS"/>
                <w:b w:val="0"/>
                <w:bCs w:val="0"/>
                <w:sz w:val="20"/>
                <w:szCs w:val="20"/>
                <w:lang w:val="en-GB"/>
              </w:rPr>
            </w:pPr>
            <w:r>
              <w:rPr>
                <w:rFonts w:hint="default" w:eastAsia="Arial Unicode MS"/>
                <w:b w:val="0"/>
                <w:bCs w:val="0"/>
                <w:sz w:val="20"/>
                <w:szCs w:val="20"/>
                <w:lang w:val="en-GB"/>
              </w:rPr>
              <w:t>Following the editorial advice, we have taken rigorous steps to refine the manuscript for its final version:</w:t>
            </w:r>
          </w:p>
          <w:p w14:paraId="7F978BFA">
            <w:pPr>
              <w:numPr>
                <w:ilvl w:val="0"/>
                <w:numId w:val="3"/>
              </w:numPr>
              <w:ind w:left="425" w:leftChars="0" w:hanging="425" w:firstLineChars="0"/>
              <w:jc w:val="both"/>
              <w:rPr>
                <w:rFonts w:hint="default" w:eastAsia="Arial Unicode MS"/>
                <w:b w:val="0"/>
                <w:bCs w:val="0"/>
                <w:sz w:val="20"/>
                <w:szCs w:val="20"/>
                <w:lang w:val="en-GB"/>
              </w:rPr>
            </w:pPr>
            <w:r>
              <w:rPr>
                <w:rFonts w:hint="default" w:eastAsia="Arial Unicode MS"/>
                <w:b w:val="0"/>
                <w:bCs w:val="0"/>
                <w:sz w:val="20"/>
                <w:szCs w:val="20"/>
                <w:lang w:val="en-GB"/>
              </w:rPr>
              <w:t>Methodological Clarification: We have expanded the Methodology section to provide a more transparent justification for our sampling technique and the use of simple linear regression. We have also detailed the treatment of our variables to ensure that the relationship between the composite communication scores and screen time duration is statistically and conceptually clear.</w:t>
            </w:r>
          </w:p>
          <w:p w14:paraId="4FC0213D">
            <w:pPr>
              <w:numPr>
                <w:ilvl w:val="0"/>
                <w:numId w:val="3"/>
              </w:numPr>
              <w:ind w:left="425" w:leftChars="0" w:hanging="425" w:firstLineChars="0"/>
              <w:jc w:val="both"/>
              <w:rPr>
                <w:rFonts w:hint="default" w:eastAsia="Arial Unicode MS"/>
                <w:b w:val="0"/>
                <w:bCs w:val="0"/>
                <w:sz w:val="20"/>
                <w:szCs w:val="20"/>
                <w:lang w:val="en-GB"/>
              </w:rPr>
            </w:pPr>
            <w:r>
              <w:rPr>
                <w:rFonts w:hint="default" w:eastAsia="Arial Unicode MS"/>
                <w:b w:val="0"/>
                <w:bCs w:val="0"/>
                <w:sz w:val="20"/>
                <w:szCs w:val="20"/>
                <w:lang w:val="en-GB"/>
              </w:rPr>
              <w:t>Language Polishing: The manuscript has undergone a comprehensive linguistic review. We have focused on improving the academic tone, correcting grammatical nuances, and ensuring a more fluid transition between sections to meet the journal’s high standards for publication.</w:t>
            </w:r>
          </w:p>
          <w:p w14:paraId="4DE24EBC">
            <w:pPr>
              <w:jc w:val="both"/>
              <w:rPr>
                <w:rFonts w:hint="default" w:eastAsia="Arial Unicode MS"/>
                <w:b w:val="0"/>
                <w:bCs w:val="0"/>
                <w:sz w:val="20"/>
                <w:szCs w:val="20"/>
                <w:lang w:val="en-GB"/>
              </w:rPr>
            </w:pPr>
          </w:p>
          <w:p w14:paraId="6AEE5D98">
            <w:pPr>
              <w:jc w:val="both"/>
              <w:rPr>
                <w:rFonts w:hint="default" w:eastAsia="Arial Unicode MS"/>
                <w:b w:val="0"/>
                <w:bCs w:val="0"/>
                <w:sz w:val="20"/>
                <w:szCs w:val="20"/>
                <w:lang w:val="en-GB"/>
              </w:rPr>
            </w:pPr>
            <w:r>
              <w:rPr>
                <w:rFonts w:hint="default" w:eastAsia="Arial Unicode MS"/>
                <w:b w:val="0"/>
                <w:bCs w:val="0"/>
                <w:sz w:val="20"/>
                <w:szCs w:val="20"/>
                <w:lang w:val="en-GB"/>
              </w:rPr>
              <w:t>We believe these enhancements have significantly elevated the clarity and impact of our research. We thank the Editor for the opportunity to further refine our work and for the professional guidance provided throughout the review process.</w:t>
            </w:r>
          </w:p>
        </w:tc>
      </w:tr>
    </w:tbl>
    <w:p w14:paraId="10426EC7">
      <w:pPr>
        <w:spacing w:after="160" w:line="259" w:lineRule="auto"/>
        <w:rPr>
          <w:rFonts w:asciiTheme="minorHAnsi" w:hAnsiTheme="minorHAnsi" w:eastAsiaTheme="minorHAnsi" w:cstheme="minorBidi"/>
          <w:sz w:val="22"/>
          <w:szCs w:val="22"/>
          <w:lang w:val="en-IN"/>
        </w:rPr>
      </w:pPr>
      <w:bookmarkStart w:id="0" w:name="_GoBack"/>
      <w:bookmarkEnd w:id="0"/>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Calibri">
    <w:panose1 w:val="020F0502020204030204"/>
    <w:charset w:val="00"/>
    <w:family w:val="auto"/>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1503">
    <w:pPr>
      <w:pStyle w:val="8"/>
      <w:jc w:val="right"/>
    </w:pPr>
  </w:p>
  <w:p w14:paraId="5BEBDF3E">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02E02E7C">
    <w:pPr>
      <w:pStyle w:val="8"/>
      <w:jc w:val="right"/>
      <w:rPr>
        <w:b/>
        <w:sz w:val="20"/>
      </w:rPr>
    </w:pPr>
    <w:r>
      <w:rPr>
        <w:b/>
        <w:sz w:val="20"/>
      </w:rPr>
      <w:t>V240326</w:t>
    </w:r>
  </w:p>
  <w:p w14:paraId="6D64002B">
    <w:pPr>
      <w:pStyle w:val="8"/>
      <w:jc w:val="right"/>
    </w:pPr>
  </w:p>
  <w:p w14:paraId="30676983">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0681">
    <w:pPr>
      <w:spacing w:before="100" w:beforeAutospacing="1" w:after="100" w:afterAutospacing="1"/>
      <w:jc w:val="center"/>
      <w:rPr>
        <w:b/>
        <w:bCs/>
        <w:color w:val="003399"/>
        <w:szCs w:val="20"/>
        <w:u w:val="single"/>
        <w:lang w:val="en-GB"/>
      </w:rPr>
    </w:pPr>
  </w:p>
  <w:p w14:paraId="02724F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9B56A8"/>
    <w:multiLevelType w:val="singleLevel"/>
    <w:tmpl w:val="CB9B56A8"/>
    <w:lvl w:ilvl="0" w:tentative="0">
      <w:start w:val="1"/>
      <w:numFmt w:val="decimal"/>
      <w:lvlText w:val="%1)"/>
      <w:lvlJc w:val="left"/>
      <w:pPr>
        <w:tabs>
          <w:tab w:val="left" w:pos="425"/>
        </w:tabs>
        <w:ind w:left="425" w:leftChars="0" w:hanging="425" w:firstLineChars="0"/>
      </w:pPr>
      <w:rPr>
        <w:rFonts w:hint="default"/>
      </w:rPr>
    </w:lvl>
  </w:abstractNum>
  <w:abstractNum w:abstractNumId="1">
    <w:nsid w:val="DCFE2010"/>
    <w:multiLevelType w:val="singleLevel"/>
    <w:tmpl w:val="DCFE2010"/>
    <w:lvl w:ilvl="0" w:tentative="0">
      <w:start w:val="1"/>
      <w:numFmt w:val="decimal"/>
      <w:lvlText w:val="%1)"/>
      <w:lvlJc w:val="left"/>
      <w:pPr>
        <w:tabs>
          <w:tab w:val="left" w:pos="425"/>
        </w:tabs>
        <w:ind w:left="425" w:leftChars="0" w:hanging="425" w:firstLineChars="0"/>
      </w:pPr>
      <w:rPr>
        <w:rFonts w:hint="default"/>
      </w:rPr>
    </w:lvl>
  </w:abstractNum>
  <w:abstractNum w:abstractNumId="2">
    <w:nsid w:val="2DED5B51"/>
    <w:multiLevelType w:val="singleLevel"/>
    <w:tmpl w:val="2DED5B51"/>
    <w:lvl w:ilvl="0" w:tentative="0">
      <w:start w:val="1"/>
      <w:numFmt w:val="decimal"/>
      <w:lvlText w:val="%1)"/>
      <w:lvlJc w:val="left"/>
      <w:pPr>
        <w:tabs>
          <w:tab w:val="left" w:pos="425"/>
        </w:tabs>
        <w:ind w:left="425" w:leftChars="0" w:hanging="425" w:firstLineChars="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042"/>
    <w:rsid w:val="00080F93"/>
    <w:rsid w:val="001061B4"/>
    <w:rsid w:val="00204042"/>
    <w:rsid w:val="00206283"/>
    <w:rsid w:val="002302B4"/>
    <w:rsid w:val="00261933"/>
    <w:rsid w:val="002C1A01"/>
    <w:rsid w:val="002C66D6"/>
    <w:rsid w:val="002E05DE"/>
    <w:rsid w:val="00327BDF"/>
    <w:rsid w:val="003D2C99"/>
    <w:rsid w:val="00541F15"/>
    <w:rsid w:val="005C677A"/>
    <w:rsid w:val="006534F5"/>
    <w:rsid w:val="006F0C52"/>
    <w:rsid w:val="00761C0B"/>
    <w:rsid w:val="00797A71"/>
    <w:rsid w:val="007A699C"/>
    <w:rsid w:val="007F4F7D"/>
    <w:rsid w:val="00887366"/>
    <w:rsid w:val="008D2987"/>
    <w:rsid w:val="00965095"/>
    <w:rsid w:val="009A3A95"/>
    <w:rsid w:val="00A41123"/>
    <w:rsid w:val="00A7113E"/>
    <w:rsid w:val="00AA476E"/>
    <w:rsid w:val="00AF3F59"/>
    <w:rsid w:val="00C255C0"/>
    <w:rsid w:val="00C9691E"/>
    <w:rsid w:val="00D51B4B"/>
    <w:rsid w:val="00DF4831"/>
    <w:rsid w:val="00E13F66"/>
    <w:rsid w:val="00E24527"/>
    <w:rsid w:val="00E46CBC"/>
    <w:rsid w:val="00EA6E35"/>
    <w:rsid w:val="00EE3E18"/>
    <w:rsid w:val="00EF7854"/>
    <w:rsid w:val="04C11604"/>
    <w:rsid w:val="0CCC7052"/>
    <w:rsid w:val="46CE59C6"/>
    <w:rsid w:val="51F96A8C"/>
    <w:rsid w:val="76B5360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8"/>
    <w:unhideWhenUsed/>
    <w:qFormat/>
    <w:uiPriority w:val="99"/>
    <w:pPr>
      <w:tabs>
        <w:tab w:val="center" w:pos="4513"/>
        <w:tab w:val="right" w:pos="9026"/>
      </w:tabs>
    </w:pPr>
    <w:rPr>
      <w:lang w:eastAsia="zh-CN"/>
    </w:rPr>
  </w:style>
  <w:style w:type="paragraph" w:styleId="9">
    <w:name w:val="header"/>
    <w:basedOn w:val="1"/>
    <w:link w:val="17"/>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uiPriority w:val="99"/>
    <w:pPr>
      <w:spacing w:before="100" w:beforeAutospacing="1" w:after="100" w:afterAutospacing="1"/>
    </w:pPr>
    <w:rPr>
      <w:rFonts w:ascii="Arial Unicode MS" w:hAnsi="Arial Unicode MS" w:eastAsia="Arial Unicode MS" w:cs="Arial Unicode MS"/>
    </w:rPr>
  </w:style>
  <w:style w:type="character" w:styleId="12">
    <w:name w:val="Strong"/>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791</Words>
  <Characters>3777</Characters>
  <Lines>40</Lines>
  <Paragraphs>11</Paragraphs>
  <TotalTime>28</TotalTime>
  <ScaleCrop>false</ScaleCrop>
  <LinksUpToDate>false</LinksUpToDate>
  <CharactersWithSpaces>4502</CharactersWithSpaces>
  <Application>WPS Office_12.1.0.25180_F1E327BC-269C-435d-A152-05C5408002CA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2026-05-08T21:25:00Z</dcterms:created>
  <dc:creator>Surojit Bera</dc:creator>
  <cp:lastModifiedBy>Dina Andriana</cp:lastModifiedBy>
  <dcterms:modified xsi:type="dcterms:W3CDTF">2026-05-10T13:17:07Z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eyJoZGlkIjoiNTU0ZmIwYTQ3NzlmZGUxZmU3Zjk0M2IyZTNmM2IxNjAiLCJ1c2VySWQiOiI5Nzk0NjA2MjEwNTUifQ==</vt:lpwstr>
  </property>
  <property fmtid="{D5CDD505-2E9C-101B-9397-08002B2CF9AE}" pid="4" name="KSOProductBuildVer">
    <vt:lpwstr>1033-12.1.0.25180</vt:lpwstr>
  </property>
  <property fmtid="{D5CDD505-2E9C-101B-9397-08002B2CF9AE}" pid="5" name="ICV">
    <vt:lpwstr>1649903361E5469BA71A5B64A83DB13E_12</vt:lpwstr>
  </property>
</Properties>
</file>