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59591E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59591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59591E" w:rsidRDefault="00280CB8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97A71" w:rsidRPr="0059591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59591E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59591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9DB78FA" w:rsidR="00204042" w:rsidRPr="0059591E" w:rsidRDefault="00A552F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Ms_AJESS_158428</w:t>
            </w:r>
          </w:p>
        </w:tc>
      </w:tr>
      <w:tr w:rsidR="00204042" w:rsidRPr="0059591E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59591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739852C" w:rsidR="00204042" w:rsidRPr="0059591E" w:rsidRDefault="00AA33A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 (revised): Teachers’ Perceptions and Systemic Challenges in ECARP Implementation: A Qualitative Study in Baguio City and La Trinidad, Philippines</w:t>
            </w:r>
          </w:p>
        </w:tc>
      </w:tr>
      <w:tr w:rsidR="00204042" w:rsidRPr="0059591E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59591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59591E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59591E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59591E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59591E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9591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9591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59591E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59591E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59591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59591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9591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591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59591E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59591E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200BD15" w:rsidR="00204042" w:rsidRPr="0059591E" w:rsidRDefault="00752DF8" w:rsidP="00AF3F5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  <w:lang w:val="en-GB"/>
              </w:rPr>
              <w:t xml:space="preserve">Overall the paper is based on the qualitative paradigm but the write up seems to be deterministic and data analysis process are of quantitative type. </w:t>
            </w:r>
          </w:p>
        </w:tc>
        <w:tc>
          <w:tcPr>
            <w:tcW w:w="1667" w:type="pct"/>
          </w:tcPr>
          <w:p w14:paraId="46643927" w14:textId="07576728" w:rsidR="00204042" w:rsidRPr="0059591E" w:rsidRDefault="00AA33A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59591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thank the reviewer for this important paradigmatic observation, which prompted us to make our methodological position explicit in the revision. The study uses Braun and Clarke’s (2006) thematic analysis within a basic qualitative research design (Merriam &amp; </w:t>
            </w:r>
            <w:proofErr w:type="spellStart"/>
            <w:r w:rsidRPr="0059591E">
              <w:rPr>
                <w:rFonts w:ascii="Arial" w:eastAsia="MS Mincho" w:hAnsi="Arial" w:cs="Arial"/>
                <w:bCs/>
                <w:sz w:val="20"/>
                <w:szCs w:val="20"/>
              </w:rPr>
              <w:t>Tisdell</w:t>
            </w:r>
            <w:proofErr w:type="spellEnd"/>
            <w:r w:rsidRPr="0059591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, 2016). The frequency counts and percentages reported in the Results are not statistical inferences; they are descriptive code-occurrence counts across the thirty-four named participants, reported in line with the use of “quasi-statistics” in qualitative inquiry advocated by </w:t>
            </w:r>
            <w:proofErr w:type="spellStart"/>
            <w:r w:rsidRPr="0059591E">
              <w:rPr>
                <w:rFonts w:ascii="Arial" w:eastAsia="MS Mincho" w:hAnsi="Arial" w:cs="Arial"/>
                <w:bCs/>
                <w:sz w:val="20"/>
                <w:szCs w:val="20"/>
              </w:rPr>
              <w:t>Sandelowski</w:t>
            </w:r>
            <w:proofErr w:type="spellEnd"/>
            <w:r w:rsidRPr="0059591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(2001) and Maxwell (2010), who argue that simple counts strengthen qualitative rigor by enhancing transparency and preventing selective quotation. We have made four revisions in response to this comment: (a) added an explicit statement of this methodological position in Section 2.5, with citations to </w:t>
            </w:r>
            <w:proofErr w:type="spellStart"/>
            <w:r w:rsidRPr="0059591E">
              <w:rPr>
                <w:rFonts w:ascii="Arial" w:eastAsia="MS Mincho" w:hAnsi="Arial" w:cs="Arial"/>
                <w:bCs/>
                <w:sz w:val="20"/>
                <w:szCs w:val="20"/>
              </w:rPr>
              <w:t>Sandelowski</w:t>
            </w:r>
            <w:proofErr w:type="spellEnd"/>
            <w:r w:rsidRPr="0059591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(2001) and Maxwell (2010); (b) reframed Results-section prose to lead with case-count language rather than percentage-led phrasing; (c) added two labeled composite vignettes (Sections 3.1 and 3.4) to deepen the qualitative texture of the findings, in direct response to the reviewer’s call for vignette development under Item 9; and (d) restated in Section 2.5 that the study makes no inferential or statistical-generalization claim.</w:t>
            </w:r>
          </w:p>
        </w:tc>
      </w:tr>
    </w:tbl>
    <w:p w14:paraId="0148C68F" w14:textId="77777777" w:rsidR="00204042" w:rsidRPr="0059591E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59591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9591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59591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59591E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59591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59591E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9591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55F0D" w:rsidRPr="0059591E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955F0D" w:rsidRPr="0059591E" w:rsidRDefault="00955F0D" w:rsidP="00955F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162B954" w:rsidR="00955F0D" w:rsidRPr="0059591E" w:rsidRDefault="00955F0D" w:rsidP="00955F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3113A0A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55F0D" w:rsidRPr="0059591E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7CE3BBA9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D1ED38B" w:rsidR="00955F0D" w:rsidRPr="0059591E" w:rsidRDefault="00955F0D" w:rsidP="00955F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7FC68848" w14:textId="28E87573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55F0D" w:rsidRPr="0059591E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06FFA06" w:rsidR="00955F0D" w:rsidRPr="0059591E" w:rsidRDefault="00955F0D" w:rsidP="00955F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(Need to avoid that are used in the title)</w:t>
            </w:r>
          </w:p>
        </w:tc>
        <w:tc>
          <w:tcPr>
            <w:tcW w:w="1667" w:type="pct"/>
          </w:tcPr>
          <w:p w14:paraId="61E2DCF4" w14:textId="4F91226F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</w:rPr>
              <w:t>Action:</w:t>
            </w:r>
            <w:r w:rsidRPr="0059591E">
              <w:rPr>
                <w:rFonts w:ascii="Arial" w:hAnsi="Arial" w:cs="Arial"/>
                <w:sz w:val="20"/>
                <w:szCs w:val="20"/>
              </w:rPr>
              <w:t xml:space="preserve"> We have revised the keywords to ensure they complement rather than repeat the title. For example, "Every Child a Reader Program" was removed as it is in the title, and replaced with broader indexing terms like </w:t>
            </w:r>
            <w:r w:rsidRPr="0059591E">
              <w:rPr>
                <w:rFonts w:ascii="Arial" w:hAnsi="Arial" w:cs="Arial"/>
                <w:b/>
                <w:bCs/>
                <w:sz w:val="20"/>
                <w:szCs w:val="20"/>
              </w:rPr>
              <w:t>"Literacy Intervention"</w:t>
            </w:r>
            <w:r w:rsidRPr="0059591E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59591E">
              <w:rPr>
                <w:rFonts w:ascii="Arial" w:hAnsi="Arial" w:cs="Arial"/>
                <w:b/>
                <w:bCs/>
                <w:sz w:val="20"/>
                <w:szCs w:val="20"/>
              </w:rPr>
              <w:t>"Policy Enactment"</w:t>
            </w:r>
            <w:r w:rsidRPr="005959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55F0D" w:rsidRPr="0059591E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2A63B09" w:rsidR="00955F0D" w:rsidRPr="0059591E" w:rsidRDefault="00955F0D" w:rsidP="00955F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2A1C0C85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55F0D" w:rsidRPr="0059591E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35BC5B5" w:rsidR="00955F0D" w:rsidRPr="0059591E" w:rsidRDefault="00955F0D" w:rsidP="00955F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(repeated )</w:t>
            </w:r>
          </w:p>
        </w:tc>
        <w:tc>
          <w:tcPr>
            <w:tcW w:w="1667" w:type="pct"/>
          </w:tcPr>
          <w:p w14:paraId="56AACFE7" w14:textId="2EFEA954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</w:rPr>
              <w:t>The redundancy between the introduction’s framing and the formal research-question list has been removed. The closing sentence after the RQ list has been tightened to signal cohesion across the three RQs and to map them onto the discussion structure.</w:t>
            </w:r>
          </w:p>
        </w:tc>
      </w:tr>
      <w:tr w:rsidR="00955F0D" w:rsidRPr="0059591E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DFDDBCA" w:rsidR="00955F0D" w:rsidRPr="0059591E" w:rsidRDefault="00955F0D" w:rsidP="00955F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(Need recent sources) </w:t>
            </w:r>
          </w:p>
        </w:tc>
        <w:tc>
          <w:tcPr>
            <w:tcW w:w="1667" w:type="pct"/>
          </w:tcPr>
          <w:p w14:paraId="75A2AF0F" w14:textId="45AF5E2E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</w:rPr>
              <w:t>Five recent additions: OECD (2023, PISA 2022); DepEd Memorandum No. 001, s. 2024; EDCOM II (2024); Coburn (2016); Tayeb (2023).</w:t>
            </w:r>
          </w:p>
          <w:p w14:paraId="388E49BB" w14:textId="77777777" w:rsidR="00955F0D" w:rsidRPr="0059591E" w:rsidRDefault="00955F0D" w:rsidP="00955F0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34BAD15" w14:textId="77777777" w:rsidR="00955F0D" w:rsidRPr="0059591E" w:rsidRDefault="00955F0D" w:rsidP="00955F0D">
            <w:pPr>
              <w:ind w:firstLine="72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955F0D" w:rsidRPr="0059591E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F0B736B" w:rsidR="00955F0D" w:rsidRPr="0059591E" w:rsidRDefault="00955F0D" w:rsidP="00955F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5B378D21" w14:textId="49ADB643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55F0D" w:rsidRPr="0059591E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5579242" w:rsidR="00955F0D" w:rsidRPr="0059591E" w:rsidRDefault="00955F0D" w:rsidP="00955F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02326BE2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55F0D" w:rsidRPr="0059591E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55F0D" w:rsidRPr="0059591E" w:rsidRDefault="00955F0D" w:rsidP="00955F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55F0D" w:rsidRPr="0059591E" w:rsidRDefault="00955F0D" w:rsidP="00955F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17FBB07" w:rsidR="00955F0D" w:rsidRPr="0059591E" w:rsidRDefault="00955F0D" w:rsidP="00955F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2 (Need to develop vignette)</w:t>
            </w:r>
          </w:p>
        </w:tc>
        <w:tc>
          <w:tcPr>
            <w:tcW w:w="1667" w:type="pct"/>
          </w:tcPr>
          <w:p w14:paraId="5C85D0C2" w14:textId="0DD26002" w:rsidR="00955F0D" w:rsidRPr="0059591E" w:rsidRDefault="00955F0D" w:rsidP="00955F0D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</w:rPr>
              <w:t>Two analytically constructed composite vignettes were added: Vignette 1 (“A Teacher Recognizing the Label but Not the System”) integrating accounts from T2, T9, T15, T22, and T28; and Vignette 2 (“Reporting Pressure as an Implementation Condition”) integrating accounts from T30, T32, and T33. Each vignette is presented as an interpretive synthesis, not as a single-participant report.</w:t>
            </w:r>
          </w:p>
        </w:tc>
      </w:tr>
      <w:tr w:rsidR="00955F0D" w:rsidRPr="0059591E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55F0D" w:rsidRPr="0059591E" w:rsidRDefault="00955F0D" w:rsidP="00955F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6DA3ED5" w:rsidR="00955F0D" w:rsidRPr="0059591E" w:rsidRDefault="00955F0D" w:rsidP="00955F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3731B36A" w14:textId="5AB9E0CD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</w:rPr>
              <w:t xml:space="preserve">Section 4.2 has been strengthened with explicit comparative engagement against Lucas et al. (2021), </w:t>
            </w:r>
            <w:proofErr w:type="spellStart"/>
            <w:r w:rsidRPr="0059591E">
              <w:rPr>
                <w:rFonts w:ascii="Arial" w:hAnsi="Arial" w:cs="Arial"/>
                <w:sz w:val="20"/>
                <w:szCs w:val="20"/>
              </w:rPr>
              <w:t>Idulog</w:t>
            </w:r>
            <w:proofErr w:type="spellEnd"/>
            <w:r w:rsidRPr="0059591E">
              <w:rPr>
                <w:rFonts w:ascii="Arial" w:hAnsi="Arial" w:cs="Arial"/>
                <w:sz w:val="20"/>
                <w:szCs w:val="20"/>
              </w:rPr>
              <w:t xml:space="preserve"> et al. (2023), and EDCOM II (2024). A new paragraph engages with the international literature on policy decoupling (Coburn, 2016) and connects this scholarship to our reporting-pressure finding via the teaching–testing nexus framing recommended by Reviewer 2.</w:t>
            </w:r>
          </w:p>
        </w:tc>
      </w:tr>
      <w:tr w:rsidR="00955F0D" w:rsidRPr="0059591E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55F0D" w:rsidRPr="0059591E" w:rsidRDefault="00955F0D" w:rsidP="00955F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C84BC67" w:rsidR="00955F0D" w:rsidRPr="0059591E" w:rsidRDefault="00955F0D" w:rsidP="00955F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1667" w:type="pct"/>
          </w:tcPr>
          <w:p w14:paraId="2835BE3D" w14:textId="30D0001B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</w:rPr>
              <w:t xml:space="preserve">Section 4.2 has been strengthened with explicit comparative engagement against Lucas et al. (2021), </w:t>
            </w:r>
            <w:proofErr w:type="spellStart"/>
            <w:r w:rsidRPr="0059591E">
              <w:rPr>
                <w:rFonts w:ascii="Arial" w:hAnsi="Arial" w:cs="Arial"/>
                <w:sz w:val="20"/>
                <w:szCs w:val="20"/>
              </w:rPr>
              <w:t>Idulog</w:t>
            </w:r>
            <w:proofErr w:type="spellEnd"/>
            <w:r w:rsidRPr="0059591E">
              <w:rPr>
                <w:rFonts w:ascii="Arial" w:hAnsi="Arial" w:cs="Arial"/>
                <w:sz w:val="20"/>
                <w:szCs w:val="20"/>
              </w:rPr>
              <w:t xml:space="preserve"> et al. (2023), and EDCOM II (2024). A new paragraph engages with the international literature on policy decoupling (Coburn, 2016) and connects this scholarship to our reporting-pressure finding via the teaching–testing nexus framing recommended by Reviewer 2.</w:t>
            </w:r>
          </w:p>
          <w:p w14:paraId="076CB8C3" w14:textId="77777777" w:rsidR="00955F0D" w:rsidRPr="0059591E" w:rsidRDefault="00955F0D" w:rsidP="00955F0D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955F0D" w:rsidRPr="0059591E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955F0D" w:rsidRPr="0059591E" w:rsidRDefault="00955F0D" w:rsidP="00955F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21336C26" w14:textId="3B3CA032" w:rsidR="00955F0D" w:rsidRPr="0059591E" w:rsidRDefault="00955F0D" w:rsidP="00955F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49182BA" w14:textId="6883AA40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</w:rPr>
              <w:t xml:space="preserve">The Conclusion has been rewritten so that each major claim is anchored to a specific findings subsection. The rewrite also includes explicit comparison with </w:t>
            </w:r>
            <w:proofErr w:type="spellStart"/>
            <w:r w:rsidRPr="0059591E">
              <w:rPr>
                <w:rFonts w:ascii="Arial" w:hAnsi="Arial" w:cs="Arial"/>
                <w:sz w:val="20"/>
                <w:szCs w:val="20"/>
              </w:rPr>
              <w:t>Idulog</w:t>
            </w:r>
            <w:proofErr w:type="spellEnd"/>
            <w:r w:rsidRPr="0059591E">
              <w:rPr>
                <w:rFonts w:ascii="Arial" w:hAnsi="Arial" w:cs="Arial"/>
                <w:sz w:val="20"/>
                <w:szCs w:val="20"/>
              </w:rPr>
              <w:t xml:space="preserve"> et al. (2023), Lucas et al. (2021), and EDCOM II (2024) so that the study’s distinctive contribution — the nominal-vs-functional awareness construct and the reporting-pressure finding — is visible against existing literature.</w:t>
            </w:r>
          </w:p>
          <w:p w14:paraId="7C7325F2" w14:textId="77777777" w:rsidR="00955F0D" w:rsidRPr="0059591E" w:rsidRDefault="00955F0D" w:rsidP="00955F0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CC8AAA5" w14:textId="77777777" w:rsidR="00955F0D" w:rsidRPr="0059591E" w:rsidRDefault="00955F0D" w:rsidP="00955F0D">
            <w:pPr>
              <w:ind w:firstLine="72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955F0D" w:rsidRPr="0059591E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955F0D" w:rsidRPr="0059591E" w:rsidRDefault="00955F0D" w:rsidP="00955F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0A68CFF8" w14:textId="1FDA83D8" w:rsidR="00955F0D" w:rsidRPr="0059591E" w:rsidRDefault="00955F0D" w:rsidP="00955F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09C9928E" w14:textId="15080032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</w:rPr>
              <w:t>Section 4.4 (Limitations and Future Research) has been substantially expanded from its original three-sentence form into three full paragraphs covering: (</w:t>
            </w:r>
            <w:proofErr w:type="spellStart"/>
            <w:r w:rsidRPr="0059591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59591E">
              <w:rPr>
                <w:rFonts w:ascii="Arial" w:hAnsi="Arial" w:cs="Arial"/>
                <w:sz w:val="20"/>
                <w:szCs w:val="20"/>
              </w:rPr>
              <w:t xml:space="preserve">) the two-locale focus and the analytical-transferability stance; (ii) reliance on </w:t>
            </w:r>
            <w:r w:rsidRPr="0059591E">
              <w:rPr>
                <w:rFonts w:ascii="Arial" w:hAnsi="Arial" w:cs="Arial"/>
                <w:sz w:val="20"/>
                <w:szCs w:val="20"/>
              </w:rPr>
              <w:lastRenderedPageBreak/>
              <w:t>teacher self-reports without triangulation against classroom observation, learner reading-level data, or policy-document analysis; and (iii) the absence of administrator and division-office perspectives. Each limitation is paired with a corresponding direction for future research.</w:t>
            </w:r>
          </w:p>
          <w:p w14:paraId="71FF1B95" w14:textId="77777777" w:rsidR="00955F0D" w:rsidRPr="0059591E" w:rsidRDefault="00955F0D" w:rsidP="00955F0D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955F0D" w:rsidRPr="0059591E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955F0D" w:rsidRPr="0059591E" w:rsidRDefault="00955F0D" w:rsidP="00955F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D00BB9B" w:rsidR="00955F0D" w:rsidRPr="0059591E" w:rsidRDefault="00955F0D" w:rsidP="00955F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07D58674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sz w:val="20"/>
                <w:szCs w:val="20"/>
              </w:rPr>
              <w:t xml:space="preserve">Ten additional references have been incorporated: Berger (2015); Coburn (2016); EO 210 (2003); DepEd Memo 001, s. 2024; EDCOM II (2024); Finlay (2002); Maxwell (2010); OECD (2023); </w:t>
            </w:r>
            <w:proofErr w:type="spellStart"/>
            <w:r w:rsidRPr="0059591E">
              <w:rPr>
                <w:rFonts w:ascii="Arial" w:hAnsi="Arial" w:cs="Arial"/>
                <w:sz w:val="20"/>
                <w:szCs w:val="20"/>
              </w:rPr>
              <w:t>Sandelowski</w:t>
            </w:r>
            <w:proofErr w:type="spellEnd"/>
            <w:r w:rsidRPr="0059591E">
              <w:rPr>
                <w:rFonts w:ascii="Arial" w:hAnsi="Arial" w:cs="Arial"/>
                <w:sz w:val="20"/>
                <w:szCs w:val="20"/>
              </w:rPr>
              <w:t xml:space="preserve"> (2001); Tayeb (2023).</w:t>
            </w:r>
          </w:p>
        </w:tc>
      </w:tr>
      <w:tr w:rsidR="00955F0D" w:rsidRPr="0059591E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55F0D" w:rsidRPr="0059591E" w:rsidRDefault="00955F0D" w:rsidP="00955F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55F0D" w:rsidRPr="0059591E" w:rsidRDefault="00955F0D" w:rsidP="00955F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55F0D" w:rsidRPr="0059591E" w:rsidRDefault="00955F0D" w:rsidP="00955F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029DD62" w:rsidR="00955F0D" w:rsidRPr="0059591E" w:rsidRDefault="00955F0D" w:rsidP="00955F0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955F0D" w:rsidRPr="0059591E" w:rsidRDefault="00955F0D" w:rsidP="00955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31F6FC" w14:textId="77777777" w:rsidR="00AA476E" w:rsidRPr="0059591E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59591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9591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59591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59591E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59591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59591E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59591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9591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9591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59591E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59591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59591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59591E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59591E" w:rsidRDefault="0020404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59591E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59591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59591E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59591E" w:rsidRDefault="0020404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59591E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59591E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959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59591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59591E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59591E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59591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59591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59591E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59591E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59591E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59591E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59591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59591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591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59591E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59591E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59591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59591E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59591E" w:rsidRDefault="0020404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04042" w:rsidRPr="0059591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5DF34" w14:textId="77777777" w:rsidR="00280CB8" w:rsidRDefault="00280CB8">
      <w:r>
        <w:separator/>
      </w:r>
    </w:p>
  </w:endnote>
  <w:endnote w:type="continuationSeparator" w:id="0">
    <w:p w14:paraId="51C64141" w14:textId="77777777" w:rsidR="00280CB8" w:rsidRDefault="0028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E2372" w14:textId="77777777" w:rsidR="00280CB8" w:rsidRDefault="00280CB8">
      <w:r>
        <w:separator/>
      </w:r>
    </w:p>
  </w:footnote>
  <w:footnote w:type="continuationSeparator" w:id="0">
    <w:p w14:paraId="620A09D4" w14:textId="77777777" w:rsidR="00280CB8" w:rsidRDefault="00280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xNTc1NDE0NjUxMzRU0lEKTi0uzszPAykwrAUAjHcy8CwAAAA="/>
  </w:docVars>
  <w:rsids>
    <w:rsidRoot w:val="00204042"/>
    <w:rsid w:val="0005653C"/>
    <w:rsid w:val="000D5DE9"/>
    <w:rsid w:val="001061B4"/>
    <w:rsid w:val="00204042"/>
    <w:rsid w:val="00206283"/>
    <w:rsid w:val="00261933"/>
    <w:rsid w:val="00274EAF"/>
    <w:rsid w:val="00280CB8"/>
    <w:rsid w:val="002C66D6"/>
    <w:rsid w:val="002C6FBC"/>
    <w:rsid w:val="00373C2B"/>
    <w:rsid w:val="0059591E"/>
    <w:rsid w:val="005C677A"/>
    <w:rsid w:val="006534F5"/>
    <w:rsid w:val="00663471"/>
    <w:rsid w:val="00752DF8"/>
    <w:rsid w:val="0075492B"/>
    <w:rsid w:val="00784E15"/>
    <w:rsid w:val="00797A71"/>
    <w:rsid w:val="007A699C"/>
    <w:rsid w:val="007E332D"/>
    <w:rsid w:val="007F4753"/>
    <w:rsid w:val="00811962"/>
    <w:rsid w:val="00836CA5"/>
    <w:rsid w:val="00880021"/>
    <w:rsid w:val="00880121"/>
    <w:rsid w:val="008A18B6"/>
    <w:rsid w:val="008D2987"/>
    <w:rsid w:val="00955F0D"/>
    <w:rsid w:val="009A3A2A"/>
    <w:rsid w:val="009A3A95"/>
    <w:rsid w:val="00A552FD"/>
    <w:rsid w:val="00A637F3"/>
    <w:rsid w:val="00A7113E"/>
    <w:rsid w:val="00A723F1"/>
    <w:rsid w:val="00AA33A1"/>
    <w:rsid w:val="00AA476E"/>
    <w:rsid w:val="00AF3F59"/>
    <w:rsid w:val="00BC7873"/>
    <w:rsid w:val="00C255C0"/>
    <w:rsid w:val="00C73BA4"/>
    <w:rsid w:val="00C9691E"/>
    <w:rsid w:val="00D22A44"/>
    <w:rsid w:val="00D51B4B"/>
    <w:rsid w:val="00D61779"/>
    <w:rsid w:val="00DA6148"/>
    <w:rsid w:val="00DF4831"/>
    <w:rsid w:val="00E13F66"/>
    <w:rsid w:val="00E24527"/>
    <w:rsid w:val="00E45CC7"/>
    <w:rsid w:val="00E46CBC"/>
    <w:rsid w:val="00EA6E35"/>
    <w:rsid w:val="00EE3E18"/>
    <w:rsid w:val="00F36916"/>
    <w:rsid w:val="00FE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3</Pages>
  <Words>1269</Words>
  <Characters>7235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2026-05-07T06:03:00Z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