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17C51" w14:textId="77777777" w:rsidR="003E6BB9" w:rsidRDefault="003E6BB9">
      <w:pPr>
        <w:spacing w:before="200" w:after="200"/>
        <w:jc w:val="center"/>
        <w:rPr>
          <w:b/>
          <w:bCs/>
          <w:sz w:val="28"/>
          <w:szCs w:val="28"/>
          <w:lang w:val="en-GB"/>
        </w:rPr>
      </w:pPr>
      <w:r w:rsidRPr="003E6BB9">
        <w:rPr>
          <w:b/>
          <w:bCs/>
          <w:sz w:val="28"/>
          <w:szCs w:val="28"/>
          <w:lang w:val="en-GB"/>
        </w:rPr>
        <w:t>Review Article</w:t>
      </w:r>
    </w:p>
    <w:p w14:paraId="29FC2B71" w14:textId="77777777" w:rsidR="003E6BB9" w:rsidRDefault="003E6BB9">
      <w:pPr>
        <w:spacing w:before="200" w:after="200"/>
        <w:jc w:val="center"/>
        <w:rPr>
          <w:b/>
          <w:bCs/>
          <w:sz w:val="28"/>
          <w:szCs w:val="28"/>
          <w:lang w:val="en-GB"/>
        </w:rPr>
      </w:pPr>
    </w:p>
    <w:p w14:paraId="1439C081" w14:textId="67AB1972" w:rsidR="00B32E9E" w:rsidRPr="0012501A" w:rsidRDefault="0012501A">
      <w:pPr>
        <w:spacing w:before="200" w:after="200"/>
        <w:jc w:val="center"/>
        <w:rPr>
          <w:lang w:val="en-GB"/>
        </w:rPr>
      </w:pPr>
      <w:r w:rsidRPr="0012501A">
        <w:rPr>
          <w:b/>
          <w:bCs/>
          <w:sz w:val="28"/>
          <w:szCs w:val="28"/>
          <w:lang w:val="en-GB"/>
        </w:rPr>
        <w:t>Synergising Social Work and Indigenous Value Systems for</w:t>
      </w:r>
    </w:p>
    <w:p w14:paraId="069AD621" w14:textId="77777777" w:rsidR="00B32E9E" w:rsidRDefault="0012501A">
      <w:pPr>
        <w:spacing w:before="200" w:after="200"/>
        <w:jc w:val="center"/>
        <w:rPr>
          <w:b/>
          <w:bCs/>
          <w:sz w:val="28"/>
          <w:szCs w:val="28"/>
          <w:lang w:val="en-GB"/>
        </w:rPr>
      </w:pPr>
      <w:r w:rsidRPr="0012501A">
        <w:rPr>
          <w:b/>
          <w:bCs/>
          <w:sz w:val="28"/>
          <w:szCs w:val="28"/>
          <w:lang w:val="en-GB"/>
        </w:rPr>
        <w:t>Addressing Contemporary Social Issues: A Conceptual Framework</w:t>
      </w:r>
    </w:p>
    <w:p w14:paraId="4AE04933" w14:textId="77777777" w:rsidR="004A4ED2" w:rsidRPr="0012501A" w:rsidRDefault="004A4ED2">
      <w:pPr>
        <w:spacing w:before="200" w:after="200"/>
        <w:jc w:val="center"/>
        <w:rPr>
          <w:lang w:val="en-GB"/>
        </w:rPr>
      </w:pPr>
    </w:p>
    <w:p w14:paraId="7D156B7A" w14:textId="77777777" w:rsidR="00B32E9E" w:rsidRPr="0012501A" w:rsidRDefault="00B32E9E">
      <w:pPr>
        <w:spacing w:after="80"/>
        <w:rPr>
          <w:lang w:val="en-GB"/>
        </w:rPr>
      </w:pPr>
    </w:p>
    <w:p w14:paraId="39C93011" w14:textId="77777777" w:rsidR="00B32E9E" w:rsidRPr="0012501A" w:rsidRDefault="00B32E9E">
      <w:pPr>
        <w:spacing w:after="80"/>
        <w:rPr>
          <w:lang w:val="en-GB"/>
        </w:rPr>
      </w:pPr>
    </w:p>
    <w:p w14:paraId="7645C2AE" w14:textId="77777777" w:rsidR="00B32E9E" w:rsidRPr="0012501A" w:rsidRDefault="0012501A">
      <w:pPr>
        <w:spacing w:before="200" w:after="200"/>
        <w:jc w:val="center"/>
        <w:rPr>
          <w:lang w:val="en-GB"/>
        </w:rPr>
      </w:pPr>
      <w:r w:rsidRPr="0012501A">
        <w:rPr>
          <w:b/>
          <w:bCs/>
          <w:sz w:val="26"/>
          <w:szCs w:val="26"/>
          <w:lang w:val="en-GB"/>
        </w:rPr>
        <w:t>Abstract</w:t>
      </w:r>
    </w:p>
    <w:p w14:paraId="6D4A8A7D" w14:textId="77777777" w:rsidR="00B32E9E" w:rsidRPr="0012501A" w:rsidRDefault="00B32E9E">
      <w:pPr>
        <w:spacing w:after="80"/>
        <w:rPr>
          <w:lang w:val="en-GB"/>
        </w:rPr>
      </w:pPr>
    </w:p>
    <w:p w14:paraId="5FAFD239" w14:textId="77777777" w:rsidR="00B32E9E" w:rsidRPr="0012501A" w:rsidRDefault="0012501A">
      <w:pPr>
        <w:spacing w:after="160" w:line="360" w:lineRule="auto"/>
        <w:jc w:val="both"/>
        <w:rPr>
          <w:lang w:val="en-GB"/>
        </w:rPr>
      </w:pPr>
      <w:r w:rsidRPr="0012501A">
        <w:rPr>
          <w:lang w:val="en-GB"/>
        </w:rPr>
        <w:t>Contemporary social work faces mounting pressure to transcend its historically Eurocentric theoretical foundations and engage more meaningfully with diverse epistemological traditions. Indigenous value systems, characterised by holistic well-being, relational ontologies, communal responsibility, and deep ecological connectedness, offer substantial conceptual resources for enriching social work practice in ways that are culturally responsive, community-centred, and structurally transformative. This review article examines the theoretical and practical dimensions of synergising social work with Indigenous value systems to address pressing contemporary social challenges, including mental health crises, child welfare concerns, environmental degradation, and entrenched social inequalities. Drawing on a narrative review of peer-reviewed literature and authoritative international reports, the article identifies key convergence points between social work and Indigenous epistemologies, critically analyses the decolonisation imperative within the profession, and proposes a conceptual framework that integrates Indigenous knowledge systems into mainstream social work theory and practice. The framework emphasises four interlocking principles: epistemic pluralism, relational accountability, cultural safety, and structural transformation. The article further discusses implications for social work education, policy formulation, and frontline practice, whilst acknowledging the significant challenges posed by institutional inertia, tokenism, and unresolved tensions between Western and Indigenous paradigms. It is suggested that the genuine integration of Indigenous value systems into social work holds considerable promise not only for improving outcomes for Indigenous populations but also for reinvigorating the broader social work profession in its pursuit of social justice and human dignity.</w:t>
      </w:r>
    </w:p>
    <w:p w14:paraId="7720B570" w14:textId="77777777" w:rsidR="00B32E9E" w:rsidRPr="0012501A" w:rsidRDefault="00B32E9E">
      <w:pPr>
        <w:spacing w:after="80"/>
        <w:rPr>
          <w:lang w:val="en-GB"/>
        </w:rPr>
      </w:pPr>
    </w:p>
    <w:p w14:paraId="3CDD76A2" w14:textId="77777777" w:rsidR="00B32E9E" w:rsidRPr="0012501A" w:rsidRDefault="0012501A">
      <w:pPr>
        <w:spacing w:before="80" w:after="160" w:line="360" w:lineRule="auto"/>
        <w:jc w:val="both"/>
        <w:rPr>
          <w:lang w:val="en-GB"/>
        </w:rPr>
      </w:pPr>
      <w:r w:rsidRPr="0012501A">
        <w:rPr>
          <w:b/>
          <w:bCs/>
          <w:lang w:val="en-GB"/>
        </w:rPr>
        <w:t xml:space="preserve">Keywords: </w:t>
      </w:r>
      <w:r w:rsidRPr="0012501A">
        <w:rPr>
          <w:lang w:val="en-GB"/>
        </w:rPr>
        <w:t>Indigenous knowledge systems; social work; decolonisation; cultural safety; community-centred practice; holistic well-being; epistemic pluralism; social justice</w:t>
      </w:r>
    </w:p>
    <w:p w14:paraId="171D02E4" w14:textId="77777777" w:rsidR="00B32E9E" w:rsidRPr="0012501A" w:rsidRDefault="00B32E9E">
      <w:pPr>
        <w:spacing w:after="80"/>
        <w:rPr>
          <w:lang w:val="en-GB"/>
        </w:rPr>
      </w:pPr>
    </w:p>
    <w:p w14:paraId="4F0496BB" w14:textId="77777777" w:rsidR="00B32E9E" w:rsidRPr="0012501A" w:rsidRDefault="0012501A">
      <w:pPr>
        <w:pStyle w:val="Heading1"/>
        <w:rPr>
          <w:lang w:val="en-GB"/>
        </w:rPr>
      </w:pPr>
      <w:r w:rsidRPr="0012501A">
        <w:rPr>
          <w:lang w:val="en-GB"/>
        </w:rPr>
        <w:t>1. Introduction</w:t>
      </w:r>
    </w:p>
    <w:p w14:paraId="7E175CB8" w14:textId="63BCE07E" w:rsidR="00B32E9E" w:rsidRPr="0012501A" w:rsidRDefault="00E2288C">
      <w:pPr>
        <w:spacing w:after="160" w:line="360" w:lineRule="auto"/>
        <w:ind w:firstLine="720"/>
        <w:jc w:val="both"/>
        <w:rPr>
          <w:lang w:val="en-GB"/>
        </w:rPr>
      </w:pPr>
      <w:r w:rsidRPr="00E95A3A">
        <w:rPr>
          <w:rFonts w:ascii="Arial" w:hAnsi="Arial" w:cs="Arial"/>
          <w:color w:val="333333"/>
          <w:sz w:val="20"/>
          <w:szCs w:val="26"/>
          <w:highlight w:val="yellow"/>
        </w:rPr>
        <w:t xml:space="preserve">Indigenous peoples have unique ontologies and worldviews that stem from their continuing connection with nature and the spiritual world that altogether shape their cultural practices including their approach to collaborating with stakeholders in Indigenous tourism initiatives. By applying an Indigenous methodology, this study ethnographically explores how Indigenous </w:t>
      </w:r>
      <w:proofErr w:type="spellStart"/>
      <w:r w:rsidRPr="00E95A3A">
        <w:rPr>
          <w:rFonts w:ascii="Arial" w:hAnsi="Arial" w:cs="Arial"/>
          <w:color w:val="333333"/>
          <w:sz w:val="20"/>
          <w:szCs w:val="26"/>
          <w:highlight w:val="yellow"/>
        </w:rPr>
        <w:t>Newars</w:t>
      </w:r>
      <w:proofErr w:type="spellEnd"/>
      <w:r w:rsidRPr="00E95A3A">
        <w:rPr>
          <w:rFonts w:ascii="Arial" w:hAnsi="Arial" w:cs="Arial"/>
          <w:color w:val="333333"/>
          <w:sz w:val="20"/>
          <w:szCs w:val="26"/>
          <w:highlight w:val="yellow"/>
        </w:rPr>
        <w:t xml:space="preserve">’ traditional collaborative practices inherent in their </w:t>
      </w:r>
      <w:proofErr w:type="spellStart"/>
      <w:r w:rsidRPr="00E95A3A">
        <w:rPr>
          <w:rFonts w:ascii="Arial" w:hAnsi="Arial" w:cs="Arial"/>
          <w:color w:val="333333"/>
          <w:sz w:val="20"/>
          <w:szCs w:val="26"/>
          <w:highlight w:val="yellow"/>
        </w:rPr>
        <w:t>Guthi</w:t>
      </w:r>
      <w:proofErr w:type="spellEnd"/>
      <w:r w:rsidRPr="00E95A3A">
        <w:rPr>
          <w:rFonts w:ascii="Arial" w:hAnsi="Arial" w:cs="Arial"/>
          <w:color w:val="333333"/>
          <w:sz w:val="20"/>
          <w:szCs w:val="26"/>
          <w:highlight w:val="yellow"/>
        </w:rPr>
        <w:t xml:space="preserve"> system contribute to Indigenous tourism development</w:t>
      </w:r>
      <w:r w:rsidR="00EC40ED">
        <w:rPr>
          <w:rFonts w:ascii="Arial" w:hAnsi="Arial" w:cs="Arial"/>
          <w:color w:val="333333"/>
          <w:sz w:val="20"/>
          <w:szCs w:val="26"/>
          <w:highlight w:val="yellow"/>
        </w:rPr>
        <w:t xml:space="preserve"> (</w:t>
      </w:r>
      <w:proofErr w:type="spellStart"/>
      <w:r w:rsidR="009269CA" w:rsidRPr="00FF42F3">
        <w:rPr>
          <w:rFonts w:ascii="inherit" w:hAnsi="inherit" w:cs="Helvetica"/>
          <w:color w:val="222222"/>
          <w:sz w:val="22"/>
          <w:szCs w:val="18"/>
          <w:highlight w:val="yellow"/>
        </w:rPr>
        <w:t>Higashida</w:t>
      </w:r>
      <w:proofErr w:type="spellEnd"/>
      <w:r w:rsidR="009269CA" w:rsidRPr="00FF42F3">
        <w:rPr>
          <w:rFonts w:ascii="Arial" w:hAnsi="Arial" w:cs="Arial"/>
          <w:color w:val="222222"/>
          <w:sz w:val="20"/>
          <w:szCs w:val="20"/>
          <w:highlight w:val="yellow"/>
          <w:shd w:val="clear" w:color="auto" w:fill="FFFFFF"/>
        </w:rPr>
        <w:t xml:space="preserve"> </w:t>
      </w:r>
      <w:r w:rsidR="009269CA">
        <w:rPr>
          <w:rFonts w:ascii="Arial" w:hAnsi="Arial" w:cs="Arial"/>
          <w:color w:val="222222"/>
          <w:sz w:val="20"/>
          <w:szCs w:val="20"/>
          <w:highlight w:val="yellow"/>
          <w:shd w:val="clear" w:color="auto" w:fill="FFFFFF"/>
        </w:rPr>
        <w:t xml:space="preserve">et al., 2022; </w:t>
      </w:r>
      <w:r w:rsidR="00EC40ED" w:rsidRPr="00FF42F3">
        <w:rPr>
          <w:rFonts w:ascii="Arial" w:hAnsi="Arial" w:cs="Arial"/>
          <w:color w:val="222222"/>
          <w:sz w:val="20"/>
          <w:szCs w:val="20"/>
          <w:highlight w:val="yellow"/>
          <w:shd w:val="clear" w:color="auto" w:fill="FFFFFF"/>
        </w:rPr>
        <w:t>Shrestha</w:t>
      </w:r>
      <w:r w:rsidR="00EC40ED">
        <w:rPr>
          <w:rFonts w:ascii="Arial" w:hAnsi="Arial" w:cs="Arial"/>
          <w:color w:val="222222"/>
          <w:sz w:val="20"/>
          <w:szCs w:val="20"/>
          <w:highlight w:val="yellow"/>
          <w:shd w:val="clear" w:color="auto" w:fill="FFFFFF"/>
        </w:rPr>
        <w:t xml:space="preserve"> et al., 2026)</w:t>
      </w:r>
      <w:r w:rsidRPr="00E95A3A">
        <w:rPr>
          <w:rFonts w:ascii="Arial" w:hAnsi="Arial" w:cs="Arial"/>
          <w:color w:val="333333"/>
          <w:sz w:val="20"/>
          <w:szCs w:val="26"/>
          <w:highlight w:val="yellow"/>
        </w:rPr>
        <w:t>.</w:t>
      </w:r>
      <w:r w:rsidRPr="00E95A3A">
        <w:rPr>
          <w:rFonts w:ascii="Arial" w:hAnsi="Arial" w:cs="Arial"/>
          <w:color w:val="333333"/>
          <w:sz w:val="20"/>
          <w:szCs w:val="26"/>
        </w:rPr>
        <w:t xml:space="preserve"> </w:t>
      </w:r>
      <w:r w:rsidR="0012501A" w:rsidRPr="0012501A">
        <w:rPr>
          <w:lang w:val="en-GB"/>
        </w:rPr>
        <w:t xml:space="preserve">The relationship between social work and the communities it serves has never been uncomplicated. Rooted in the late nineteenth-century charity organisation movement and the settlement house tradition of North America and Britain, social work emerged from within Western liberal and progressive ideals that, whilst admirable in their humanitarian impulse, were deeply entangled with the colonial project (Coates et al., 2006). For much of its professional history, the discipline has operated from theoretical and methodological frameworks derived almost exclusively from European intellectual traditions, including psychoanalysis, systems theory, ecological models, and structural perspectives. These frameworks, whilst offering significant analytical power, have frequently been applied in ways that </w:t>
      </w:r>
      <w:proofErr w:type="spellStart"/>
      <w:r w:rsidR="0012501A" w:rsidRPr="0012501A">
        <w:rPr>
          <w:lang w:val="en-GB"/>
        </w:rPr>
        <w:t>pathologise</w:t>
      </w:r>
      <w:proofErr w:type="spellEnd"/>
      <w:r w:rsidR="0012501A" w:rsidRPr="0012501A">
        <w:rPr>
          <w:lang w:val="en-GB"/>
        </w:rPr>
        <w:t xml:space="preserve"> Indigenous communities, undermine their governance structures, and sever individuals from the cultural and spiritual resources that constitute their well-being (Weaver, 1999).</w:t>
      </w:r>
    </w:p>
    <w:p w14:paraId="614D0869" w14:textId="77777777" w:rsidR="00B32E9E" w:rsidRPr="0012501A" w:rsidRDefault="0012501A">
      <w:pPr>
        <w:spacing w:after="160" w:line="360" w:lineRule="auto"/>
        <w:ind w:firstLine="720"/>
        <w:jc w:val="both"/>
        <w:rPr>
          <w:lang w:val="en-GB"/>
        </w:rPr>
      </w:pPr>
      <w:r w:rsidRPr="0012501A">
        <w:rPr>
          <w:lang w:val="en-GB"/>
        </w:rPr>
        <w:t xml:space="preserve">The consequences of this epistemological narrowness have been well documented. Indigenous peoples worldwide continue to experience disproportionate levels of poverty, mental ill-health, family disruption, and social exclusion, even as social work services nominally exist to alleviate such conditions (United Nations Permanent Forum on Indigenous Issues [UNPFII], 2009). The persistence and indeed aggravation of these disparities invites a fundamental rethinking of professional practice. Increasingly, scholars and practitioners from both within and outside Indigenous communities are calling for substantive engagement with Indigenous value systems as a corrective to the limitations of conventional social work approaches (Gray &amp; Coates, 2010; </w:t>
      </w:r>
      <w:proofErr w:type="spellStart"/>
      <w:r w:rsidRPr="0012501A">
        <w:rPr>
          <w:lang w:val="en-GB"/>
        </w:rPr>
        <w:t>Dumbrill</w:t>
      </w:r>
      <w:proofErr w:type="spellEnd"/>
      <w:r w:rsidRPr="0012501A">
        <w:rPr>
          <w:lang w:val="en-GB"/>
        </w:rPr>
        <w:t xml:space="preserve"> &amp; Green, 2008).</w:t>
      </w:r>
    </w:p>
    <w:p w14:paraId="634890DD" w14:textId="77777777" w:rsidR="00B32E9E" w:rsidRPr="0012501A" w:rsidRDefault="0012501A">
      <w:pPr>
        <w:spacing w:after="160" w:line="360" w:lineRule="auto"/>
        <w:ind w:firstLine="720"/>
        <w:jc w:val="both"/>
        <w:rPr>
          <w:lang w:val="en-GB"/>
        </w:rPr>
      </w:pPr>
      <w:r w:rsidRPr="0012501A">
        <w:rPr>
          <w:lang w:val="en-GB"/>
        </w:rPr>
        <w:t xml:space="preserve">Indigenous value systems encompass a rich and heterogeneous body of knowledge, ethics, and praxis developed over millennia by diverse peoples across the globe. Whilst </w:t>
      </w:r>
      <w:r w:rsidRPr="0012501A">
        <w:rPr>
          <w:lang w:val="en-GB"/>
        </w:rPr>
        <w:lastRenderedPageBreak/>
        <w:t>acknowledging the profound diversity among Indigenous cultures, scholars have identified certain recurring philosophical orientations, including holistic conceptions of health and well-being, relational ontologies that situate individuals within intricate webs of kinship and ecological connection, emphasis on communal over individual identity, intergenerational responsibility, and deep spiritual dimensions that permeate all aspects of social life (Absolon, 2010). These orientations are not merely cultural curiosities but constitute sophisticated intellectual traditions with profound implications for how social problems are understood and addressed.</w:t>
      </w:r>
    </w:p>
    <w:p w14:paraId="71EA5DA0" w14:textId="77777777" w:rsidR="00B32E9E" w:rsidRPr="0012501A" w:rsidRDefault="0012501A">
      <w:pPr>
        <w:spacing w:after="160" w:line="360" w:lineRule="auto"/>
        <w:ind w:firstLine="720"/>
        <w:jc w:val="both"/>
        <w:rPr>
          <w:lang w:val="en-GB"/>
        </w:rPr>
      </w:pPr>
      <w:r w:rsidRPr="0012501A">
        <w:rPr>
          <w:lang w:val="en-GB"/>
        </w:rPr>
        <w:t xml:space="preserve">Social work, as a profession committed to social justice, human rights, and the enhancement of well-being, is arguably well-positioned to engage with Indigenous knowledge systems. The International Federation of Social Workers (IFSW, 2014) has explicitly recognised the importance of Indigenous knowledge in its global definition of social work, stating that the profession draws on Indigenous wisdoms alongside Western theories. However, translating this formal recognition into substantive practice remains a significant and underexplored challenge. The present article addresses this challenge by proposing a conceptual framework that elucidates how social work and Indigenous value systems might be synergised in ways that are intellectually rigorous, ethically sound, and practically transformative. The article contributes to a growing body of literature that seeks to move beyond tokenistic gestures towards Indigenous knowledge and towards a thoroughgoing reconfiguration of social </w:t>
      </w:r>
      <w:bookmarkStart w:id="0" w:name="_GoBack"/>
      <w:bookmarkEnd w:id="0"/>
      <w:r w:rsidRPr="0012501A">
        <w:rPr>
          <w:lang w:val="en-GB"/>
        </w:rPr>
        <w:t>work's epistemological commitments and institutional arrangements.</w:t>
      </w:r>
    </w:p>
    <w:p w14:paraId="4716C02E" w14:textId="77777777" w:rsidR="00B32E9E" w:rsidRPr="0012501A" w:rsidRDefault="0012501A">
      <w:pPr>
        <w:spacing w:after="160" w:line="360" w:lineRule="auto"/>
        <w:ind w:firstLine="720"/>
        <w:jc w:val="both"/>
        <w:rPr>
          <w:lang w:val="en-GB"/>
        </w:rPr>
      </w:pPr>
      <w:r w:rsidRPr="0012501A">
        <w:rPr>
          <w:lang w:val="en-GB"/>
        </w:rPr>
        <w:t>This review is structured to move from foundational conceptual analysis through to applied framework development. It begins by tracing the parallel yet often divergent intellectual histories of social work theory and Indigenous knowledge systems, before identifying points of genuine convergence and productive tension. It then examines specific contemporary social issues through an Indigenous lens, considers the decolonisation imperative as it applies to professional practice, and proposes a framework synthesising the insights of both traditions. The article concludes by examining the implications of this synthesis for social work education, policy, and practice, and by honestly acknowledging the considerable challenges that the project of integration entails.</w:t>
      </w:r>
    </w:p>
    <w:p w14:paraId="4ED784B2" w14:textId="77777777" w:rsidR="00B32E9E" w:rsidRPr="0012501A" w:rsidRDefault="0012501A">
      <w:pPr>
        <w:pStyle w:val="Heading2"/>
        <w:rPr>
          <w:lang w:val="en-GB"/>
        </w:rPr>
      </w:pPr>
      <w:r w:rsidRPr="0012501A">
        <w:rPr>
          <w:lang w:val="en-GB"/>
        </w:rPr>
        <w:t>1.1 Scope and Objectives</w:t>
      </w:r>
    </w:p>
    <w:p w14:paraId="3D0A6E4A" w14:textId="77777777" w:rsidR="00B32E9E" w:rsidRPr="0012501A" w:rsidRDefault="0012501A">
      <w:pPr>
        <w:spacing w:after="160" w:line="360" w:lineRule="auto"/>
        <w:ind w:firstLine="720"/>
        <w:jc w:val="both"/>
        <w:rPr>
          <w:lang w:val="en-GB"/>
        </w:rPr>
      </w:pPr>
      <w:r w:rsidRPr="0012501A">
        <w:rPr>
          <w:lang w:val="en-GB"/>
        </w:rPr>
        <w:lastRenderedPageBreak/>
        <w:t>This article is concerned with the theoretical dimensions of integrating Indigenous value systems into mainstream social work practice, with particular attention to contemporary social challenges. Its primary objective is to develop a conceptual framework that identifies the principles, components, and practical applications of such integration. Secondary objectives include examining the conceptual foundations of both social work and Indigenous knowledge systems, identifying points of convergence and tension, analysing the decolonisation imperative as it applies to social work, and discussing implications for education, policy, and practice. The article does not seek to represent any single Indigenous tradition as universal, nor does it privilege any particular geographical context, although illustrative examples are drawn from North America, Australia, Aotearoa New Zealand, and other regions where debates about Indigenous social work have been particularly prominent. The scope is primarily conceptual and theoretical rather than empirical, reflecting the article's nature as a narrative review.</w:t>
      </w:r>
    </w:p>
    <w:p w14:paraId="5435ED9D" w14:textId="77777777" w:rsidR="00B32E9E" w:rsidRPr="0012501A" w:rsidRDefault="0012501A">
      <w:pPr>
        <w:pStyle w:val="Heading1"/>
        <w:rPr>
          <w:lang w:val="en-GB"/>
        </w:rPr>
      </w:pPr>
      <w:r w:rsidRPr="0012501A">
        <w:rPr>
          <w:lang w:val="en-GB"/>
        </w:rPr>
        <w:t>2. Methods for Literature Selection</w:t>
      </w:r>
    </w:p>
    <w:p w14:paraId="33E98CFB" w14:textId="77777777" w:rsidR="00B32E9E" w:rsidRPr="0012501A" w:rsidRDefault="0012501A">
      <w:pPr>
        <w:spacing w:after="160" w:line="360" w:lineRule="auto"/>
        <w:ind w:firstLine="720"/>
        <w:jc w:val="both"/>
        <w:rPr>
          <w:lang w:val="en-GB"/>
        </w:rPr>
      </w:pPr>
      <w:r w:rsidRPr="0012501A">
        <w:rPr>
          <w:lang w:val="en-GB"/>
        </w:rPr>
        <w:t>This review was conducted as a narrative synthesis rather than a systematic review. The decision to employ narrative review methodology reflects the conceptual and interdisciplinary nature of the research question, which does not lend itself to the standardised outcome measurement that systematic approaches typically require (Snyder, 2019). Narrative reviews are particularly appropriate when the aim is to develop or elaborate theoretical frameworks, integrate heterogeneous bodies of knowledge, or examine complex policy and practice questions that span multiple disciplines and epistemological traditions. A systematic review, by contrast, is more suited to assessing the efficacy of specific interventions against defined outcome measures. Given that the present article seeks to synthesise divergent theoretical traditions and develop an original conceptual framework rather than to estimate effect sizes or intervention efficacy, the narrative approach is epistemologically and methodologically appropriate.</w:t>
      </w:r>
    </w:p>
    <w:p w14:paraId="21D25712" w14:textId="77777777" w:rsidR="00B32E9E" w:rsidRPr="0012501A" w:rsidRDefault="0012501A">
      <w:pPr>
        <w:spacing w:after="160" w:line="360" w:lineRule="auto"/>
        <w:ind w:firstLine="720"/>
        <w:jc w:val="both"/>
        <w:rPr>
          <w:lang w:val="en-GB"/>
        </w:rPr>
      </w:pPr>
      <w:r w:rsidRPr="0012501A">
        <w:rPr>
          <w:lang w:val="en-GB"/>
        </w:rPr>
        <w:t xml:space="preserve">The review drew upon multiple academic databases, including Web of Science, Scopus, Google Scholar, which were searched using a combination of search strings. The primary search terms included "Indigenous social work," "Indigenous knowledge systems and social work," "decolonisation of social work," "Indigenous well-being," "cultural safety and social work," "Indigenous child welfare," "historical trauma," "environmental justice and Indigenous peoples," "Indigenous epistemology," and "social work education Indigenous." </w:t>
      </w:r>
      <w:r w:rsidRPr="0012501A">
        <w:rPr>
          <w:lang w:val="en-GB"/>
        </w:rPr>
        <w:lastRenderedPageBreak/>
        <w:t>Searches were conducted in November 2024 and updated in early 2025 to capture the most recent literature. The date range was set from 2007 to 2026 for the primary recent literature corpus, though seminal and foundational works published prior to 2007 were also included where their contribution to the theoretical development of the field was deemed significant and their influence is evidenced through sustained citation in contemporary scholarship.</w:t>
      </w:r>
    </w:p>
    <w:p w14:paraId="1D6317DF" w14:textId="77777777" w:rsidR="00B32E9E" w:rsidRPr="0012501A" w:rsidRDefault="0012501A">
      <w:pPr>
        <w:spacing w:after="160" w:line="360" w:lineRule="auto"/>
        <w:ind w:firstLine="720"/>
        <w:jc w:val="both"/>
        <w:rPr>
          <w:lang w:val="en-GB"/>
        </w:rPr>
      </w:pPr>
      <w:r w:rsidRPr="0012501A">
        <w:rPr>
          <w:lang w:val="en-GB"/>
        </w:rPr>
        <w:t>Inclusion criteria comprised peer-reviewed journal articles in English published in indexed academic journals, together with reports and policy documents from authoritative international organisations such as the United Nations, the World Health Organization, and the World Bank. Conference papers, grey literature, non-peer-reviewed sources, and unpublished theses were excluded. Where duplicate articles appeared across databases, the record from the database with the most complete metadata was retained. Relevance was assessed first by title and abstract screening, and subsequently by full-text review for all potentially eligible articles. Language was restricted to English, acknowledging the consequent limitation in representativeness. Theoretical saturation guided the decision to cease searching; that is, searching continued until no new conceptual themes were emerging from the literature. Influential or seminal studies were identified through a combination of citation frequency in other reviewed works, their explicit treatment of the synergies between social work and Indigenous knowledge, and the prominence of their contributing authors in the field.</w:t>
      </w:r>
    </w:p>
    <w:p w14:paraId="7D9780AD" w14:textId="77777777" w:rsidR="00B32E9E" w:rsidRPr="0012501A" w:rsidRDefault="0012501A">
      <w:pPr>
        <w:pStyle w:val="Heading1"/>
        <w:rPr>
          <w:lang w:val="en-GB"/>
        </w:rPr>
      </w:pPr>
      <w:r w:rsidRPr="0012501A">
        <w:rPr>
          <w:lang w:val="en-GB"/>
        </w:rPr>
        <w:t>3. Conceptual Foundations</w:t>
      </w:r>
    </w:p>
    <w:p w14:paraId="383075AB" w14:textId="77777777" w:rsidR="00B32E9E" w:rsidRPr="0012501A" w:rsidRDefault="0012501A">
      <w:pPr>
        <w:pStyle w:val="Heading2"/>
        <w:rPr>
          <w:lang w:val="en-GB"/>
        </w:rPr>
      </w:pPr>
      <w:r w:rsidRPr="0012501A">
        <w:rPr>
          <w:lang w:val="en-GB"/>
        </w:rPr>
        <w:t>3.1 Evolution of Social Work Theory and Practice</w:t>
      </w:r>
    </w:p>
    <w:p w14:paraId="361EEEAC" w14:textId="77777777" w:rsidR="00B32E9E" w:rsidRPr="0012501A" w:rsidRDefault="0012501A">
      <w:pPr>
        <w:spacing w:after="160" w:line="360" w:lineRule="auto"/>
        <w:ind w:firstLine="720"/>
        <w:jc w:val="both"/>
        <w:rPr>
          <w:lang w:val="en-GB"/>
        </w:rPr>
      </w:pPr>
      <w:r w:rsidRPr="0012501A">
        <w:rPr>
          <w:lang w:val="en-GB"/>
        </w:rPr>
        <w:t xml:space="preserve">Social work as a formally organised profession has undergone considerable theoretical evolution since its institutional origins in the late nineteenth century. From its early roots in the Charity Organisation Society and the settlement house movement, the profession gradually developed a more systematic theoretical basis, drawing successively on psychoanalytic theory, functionalist sociology, systems theory, ecological models, and critical social theories (Morley &amp; Macfarlane, 2012). Each of these theoretical traditions has contributed valuable analytical resources to the profession; however, each has also been criticised for failing to adequately account for the structural dimensions of inequality, the significance of cultural context, and the agency of marginalised communities. The dominance of individually focused, deficit-oriented approaches throughout much of the twentieth century is particularly significant for understanding the tensions between mainstream social work and </w:t>
      </w:r>
      <w:r w:rsidRPr="0012501A">
        <w:rPr>
          <w:lang w:val="en-GB"/>
        </w:rPr>
        <w:lastRenderedPageBreak/>
        <w:t>Indigenous value systems, since such approaches tend to locate the sources of social problems within individuals or families rather than in colonial structures and historical injustices.</w:t>
      </w:r>
    </w:p>
    <w:p w14:paraId="5BB7163F" w14:textId="77777777" w:rsidR="00B32E9E" w:rsidRPr="0012501A" w:rsidRDefault="0012501A">
      <w:pPr>
        <w:spacing w:after="160" w:line="360" w:lineRule="auto"/>
        <w:ind w:firstLine="720"/>
        <w:jc w:val="both"/>
        <w:rPr>
          <w:lang w:val="en-GB"/>
        </w:rPr>
      </w:pPr>
      <w:r w:rsidRPr="0012501A">
        <w:rPr>
          <w:lang w:val="en-GB"/>
        </w:rPr>
        <w:t>The emergence of radical and structural social work from the 1970s onwards represented a significant departure from individually focused approaches, directing attention towards the structural conditions of oppression and the collective dimensions of social life (Morley &amp; Macfarlane, 2012). Critical social work, anti-oppressive practice, and anti-discriminatory practice subsequently developed these insights further, drawing on feminist theory, postcolonial scholarship, and Marxist analysis to articulate a vision of social work as fundamentally committed to challenging power relations and structural injustice. These critical currents created intellectual space for engaging with Indigenous knowledge, insofar as they problematised dominant knowledge claims and advocated for the inclusion of marginalised perspectives. The critical tradition within social work thus constitutes an important but ultimately insufficient precursor to the more thoroughgoing epistemological engagement with Indigenous knowledge systems that this article advocates.</w:t>
      </w:r>
    </w:p>
    <w:p w14:paraId="19DD5FF5" w14:textId="77777777" w:rsidR="00B32E9E" w:rsidRPr="0012501A" w:rsidRDefault="0012501A">
      <w:pPr>
        <w:spacing w:after="160" w:line="360" w:lineRule="auto"/>
        <w:ind w:firstLine="720"/>
        <w:jc w:val="both"/>
        <w:rPr>
          <w:lang w:val="en-GB"/>
        </w:rPr>
      </w:pPr>
      <w:r w:rsidRPr="0012501A">
        <w:rPr>
          <w:lang w:val="en-GB"/>
        </w:rPr>
        <w:t xml:space="preserve">Nevertheless, even critical and radical social work traditions have been challenged for retaining Eurocentric epistemological assumptions. Gray and Coates (2010) argue that the indigenisation of social work requires not merely the addition of cultural content to existing frameworks but a more fundamental reorientation of the profession's epistemological commitments. </w:t>
      </w:r>
      <w:proofErr w:type="spellStart"/>
      <w:r w:rsidRPr="0012501A">
        <w:rPr>
          <w:lang w:val="en-GB"/>
        </w:rPr>
        <w:t>Dumbrill</w:t>
      </w:r>
      <w:proofErr w:type="spellEnd"/>
      <w:r w:rsidRPr="0012501A">
        <w:rPr>
          <w:lang w:val="en-GB"/>
        </w:rPr>
        <w:t xml:space="preserve"> and Green (2008) similarly contend that incorporating Indigenous knowledge into social work education demands an engagement with Indigenous ways of knowing that challenges the hegemony of Western academic knowledge production. The implication is that genuine theoretical pluralism in social work requires a willingness to question foundational assumptions about what constitutes valid knowledge, appropriate methods, and legitimate practice—a challenge that extends well beyond the remit of even the most radical strands of conventional social work theory.</w:t>
      </w:r>
    </w:p>
    <w:p w14:paraId="5CB6F126" w14:textId="77777777" w:rsidR="00B32E9E" w:rsidRPr="0012501A" w:rsidRDefault="0012501A">
      <w:pPr>
        <w:pStyle w:val="Heading2"/>
        <w:rPr>
          <w:lang w:val="en-GB"/>
        </w:rPr>
      </w:pPr>
      <w:r w:rsidRPr="0012501A">
        <w:rPr>
          <w:lang w:val="en-GB"/>
        </w:rPr>
        <w:t>3.2 Indigenous Value Systems: Core Principles and Philosophical Orientations</w:t>
      </w:r>
    </w:p>
    <w:p w14:paraId="714E3304" w14:textId="77777777" w:rsidR="00B32E9E" w:rsidRPr="0012501A" w:rsidRDefault="0012501A">
      <w:pPr>
        <w:spacing w:after="160" w:line="360" w:lineRule="auto"/>
        <w:ind w:firstLine="720"/>
        <w:jc w:val="both"/>
        <w:rPr>
          <w:lang w:val="en-GB"/>
        </w:rPr>
      </w:pPr>
      <w:r w:rsidRPr="0012501A">
        <w:rPr>
          <w:lang w:val="en-GB"/>
        </w:rPr>
        <w:t xml:space="preserve">Any serious engagement with Indigenous value systems must begin with an acknowledgement of their extraordinary diversity. There are over 370 million Indigenous peoples worldwide, speaking more than 4,000 languages and inhabiting territories in virtually every region of the globe (UNPFII, 2009). To speak of a single Indigenous value system or epistemology would constitute a profound oversimplification and would risk perpetuating the </w:t>
      </w:r>
      <w:r w:rsidRPr="0012501A">
        <w:rPr>
          <w:lang w:val="en-GB"/>
        </w:rPr>
        <w:lastRenderedPageBreak/>
        <w:t>very homogenising tendencies that colonialism imposed upon Indigenous peoples. Nevertheless, comparative scholarship has identified certain recurring philosophical orientations that, whilst expressed differently across cultures, exhibit sufficient commonality to permit tentative generalisation without collapsing the diversity of Indigenous traditions into a false unity (Absolon, 2010; Coates et al., 2006).</w:t>
      </w:r>
    </w:p>
    <w:p w14:paraId="60081617" w14:textId="77777777" w:rsidR="00B32E9E" w:rsidRPr="0012501A" w:rsidRDefault="0012501A">
      <w:pPr>
        <w:spacing w:after="160" w:line="360" w:lineRule="auto"/>
        <w:ind w:firstLine="720"/>
        <w:jc w:val="both"/>
        <w:rPr>
          <w:lang w:val="en-GB"/>
        </w:rPr>
      </w:pPr>
      <w:r w:rsidRPr="0012501A">
        <w:rPr>
          <w:lang w:val="en-GB"/>
        </w:rPr>
        <w:t xml:space="preserve">Chief among these orientations is a holistic understanding of health and well-being. In many Indigenous traditions, well-being is not conceived as the mere absence of disease or social dysfunction but as a dynamic equilibrium encompassing physical, mental, emotional, spiritual, communal, and environmental dimensions. Durie's (2003) influential work on Māori health, for instance, highlights the concept of </w:t>
      </w:r>
      <w:proofErr w:type="spellStart"/>
      <w:r w:rsidRPr="0012501A">
        <w:rPr>
          <w:lang w:val="en-GB"/>
        </w:rPr>
        <w:t>whānau</w:t>
      </w:r>
      <w:proofErr w:type="spellEnd"/>
      <w:r w:rsidRPr="0012501A">
        <w:rPr>
          <w:lang w:val="en-GB"/>
        </w:rPr>
        <w:t xml:space="preserve"> </w:t>
      </w:r>
      <w:proofErr w:type="spellStart"/>
      <w:r w:rsidRPr="0012501A">
        <w:rPr>
          <w:lang w:val="en-GB"/>
        </w:rPr>
        <w:t>ora</w:t>
      </w:r>
      <w:proofErr w:type="spellEnd"/>
      <w:r w:rsidRPr="0012501A">
        <w:rPr>
          <w:lang w:val="en-GB"/>
        </w:rPr>
        <w:t xml:space="preserve"> (family well-being) as central to Māori understandings of health, situating individual health within the context of family and community flourishing. Such holistic frameworks stand in productive tension with the predominantly individualistic and biomedical models that continue to predominate in many Western health and social welfare systems, and their integration into social work practice holds considerable potential for enriching the profession's conceptual repertoire.</w:t>
      </w:r>
    </w:p>
    <w:p w14:paraId="31445117" w14:textId="77777777" w:rsidR="00B32E9E" w:rsidRPr="0012501A" w:rsidRDefault="0012501A">
      <w:pPr>
        <w:spacing w:after="160" w:line="360" w:lineRule="auto"/>
        <w:ind w:firstLine="720"/>
        <w:jc w:val="both"/>
        <w:rPr>
          <w:lang w:val="en-GB"/>
        </w:rPr>
      </w:pPr>
      <w:r w:rsidRPr="0012501A">
        <w:rPr>
          <w:lang w:val="en-GB"/>
        </w:rPr>
        <w:t>A second major orientation concerns relational ontologies. Indigenous philosophical traditions frequently conceive of identity not as a fixed, autonomous self but as constituted through relationships—including relationships with other people, with ancestors, with non-human beings, and with the land itself (Absolon, 2010). This relational conception of personhood has profound implications for social work practice, suggesting that effective helping must attend to the full relational context of a person's life rather than treating them as a decontextualised individual with a discrete set of problems to be managed. Coates, Gray, and Hetherington (2006) have argued that Indigenous ecological and spiritual perspectives, which situate human beings within a broader web of relationships with the natural world, offer valuable correctives to the anthropocentric and materialist assumptions that underpin much of Western social work theory.</w:t>
      </w:r>
    </w:p>
    <w:p w14:paraId="24E7A5F1" w14:textId="77777777" w:rsidR="00B32E9E" w:rsidRPr="0012501A" w:rsidRDefault="0012501A">
      <w:pPr>
        <w:spacing w:after="160" w:line="360" w:lineRule="auto"/>
        <w:ind w:firstLine="720"/>
        <w:jc w:val="both"/>
        <w:rPr>
          <w:lang w:val="en-GB"/>
        </w:rPr>
      </w:pPr>
      <w:r w:rsidRPr="0012501A">
        <w:rPr>
          <w:lang w:val="en-GB"/>
        </w:rPr>
        <w:t>A third orientation involves the centrality of community and collective identity. Whereas liberal Western thought tends to privilege individual rights and autonomy as the primary currency of social life, many Indigenous traditions locate the community as the fundamental unit of social analysis and the primary context of human flourishing. This does not imply that individual agency and dignity are discounted; rather, they are understood as necessarily embedded within and constituted by communal relations (</w:t>
      </w:r>
      <w:proofErr w:type="spellStart"/>
      <w:r w:rsidRPr="0012501A">
        <w:rPr>
          <w:lang w:val="en-GB"/>
        </w:rPr>
        <w:t>Dumbrill</w:t>
      </w:r>
      <w:proofErr w:type="spellEnd"/>
      <w:r w:rsidRPr="0012501A">
        <w:rPr>
          <w:lang w:val="en-GB"/>
        </w:rPr>
        <w:t xml:space="preserve"> &amp; Green, </w:t>
      </w:r>
      <w:r w:rsidRPr="0012501A">
        <w:rPr>
          <w:lang w:val="en-GB"/>
        </w:rPr>
        <w:lastRenderedPageBreak/>
        <w:t>2008). Social work's formal commitment to community practice, community development, and collective empowerment resonates strongly with this orientation, even if much day-to-day practice has historically remained oriented towards individual casework. A fourth and closely related orientation involves intergenerational responsibility and the recognition that decisions made in the present carry obligations to past and future generations, a perspective that has profound implications for the long-term and sustainability-oriented dimensions of social work advocacy.</w:t>
      </w:r>
    </w:p>
    <w:p w14:paraId="65D5C612" w14:textId="77777777" w:rsidR="00B32E9E" w:rsidRPr="0012501A" w:rsidRDefault="0012501A">
      <w:pPr>
        <w:pStyle w:val="Heading1"/>
        <w:rPr>
          <w:lang w:val="en-GB"/>
        </w:rPr>
      </w:pPr>
      <w:r w:rsidRPr="0012501A">
        <w:rPr>
          <w:lang w:val="en-GB"/>
        </w:rPr>
        <w:t>4. Points of Convergence Between Social Work and Indigenous Value Systems</w:t>
      </w:r>
    </w:p>
    <w:p w14:paraId="551C913B" w14:textId="77777777" w:rsidR="00B32E9E" w:rsidRPr="0012501A" w:rsidRDefault="0012501A">
      <w:pPr>
        <w:pStyle w:val="Heading2"/>
        <w:rPr>
          <w:lang w:val="en-GB"/>
        </w:rPr>
      </w:pPr>
      <w:r w:rsidRPr="0012501A">
        <w:rPr>
          <w:lang w:val="en-GB"/>
        </w:rPr>
        <w:t>4.1 Holistic Approaches to Well-being</w:t>
      </w:r>
    </w:p>
    <w:p w14:paraId="43FC6577" w14:textId="77777777" w:rsidR="00B32E9E" w:rsidRPr="0012501A" w:rsidRDefault="0012501A">
      <w:pPr>
        <w:spacing w:after="160" w:line="360" w:lineRule="auto"/>
        <w:ind w:firstLine="720"/>
        <w:jc w:val="both"/>
        <w:rPr>
          <w:lang w:val="en-GB"/>
        </w:rPr>
      </w:pPr>
      <w:r w:rsidRPr="0012501A">
        <w:rPr>
          <w:lang w:val="en-GB"/>
        </w:rPr>
        <w:t>One of the most frequently cited points of convergence between social work and Indigenous value systems concerns their shared, at least aspirational, commitment to holistic approaches to well-being. The person-in-environment perspective, long regarded as foundational to social work theory, recognises that individuals cannot be adequately understood in isolation from their social, cultural, and ecological contexts. This systemic sensitivity, whilst not equivalent to Indigenous holistic frameworks, provides a conceptual bridge between the two traditions (Coates et al., 2006). Where social work tends to emphasise the social and material dimensions of context, Indigenous frameworks extend this contextualisation to include spiritual, ceremonial, and ecological dimensions that are frequently absent from mainstream social work discourse. The integration of these dimensions does not require the abandonment of existing social work frameworks but their enrichment and expansion through sustained intellectual engagement with Indigenous knowledge systems.</w:t>
      </w:r>
    </w:p>
    <w:p w14:paraId="44CD68B0" w14:textId="77777777" w:rsidR="00B32E9E" w:rsidRPr="0012501A" w:rsidRDefault="0012501A">
      <w:pPr>
        <w:spacing w:after="160" w:line="360" w:lineRule="auto"/>
        <w:ind w:firstLine="720"/>
        <w:jc w:val="both"/>
        <w:rPr>
          <w:lang w:val="en-GB"/>
        </w:rPr>
      </w:pPr>
      <w:r w:rsidRPr="0012501A">
        <w:rPr>
          <w:lang w:val="en-GB"/>
        </w:rPr>
        <w:t xml:space="preserve">The concept of cultural safety, developed within nursing education in Aotearoa New Zealand by Māori nurses in response to the cultural insensitivity of healthcare practice, has gained increasing traction in social work and health contexts (Curtis et al., 2019). Cultural safety moves beyond the cultural competence paradigm, which tends to reduce culture to a set of discrete characteristics to be assessed and managed by practitioners, towards a more reflexive understanding of how power relations between practitioners and clients shape the safety of therapeutic and supportive encounters. Curtis and colleagues (2019) argue that cultural safety rather than cultural competency is required to achieve genuine health equity, since competency frameworks tend to focus on practitioner knowledge and skills whilst </w:t>
      </w:r>
      <w:r w:rsidRPr="0012501A">
        <w:rPr>
          <w:lang w:val="en-GB"/>
        </w:rPr>
        <w:lastRenderedPageBreak/>
        <w:t>leaving unexamined the institutional structures that produce cultural harm. This shift aligns with Indigenous understandings of well-being as relational and contextually embedded, and signals a broader movement towards epistemological humility within social work.</w:t>
      </w:r>
    </w:p>
    <w:p w14:paraId="1735F557" w14:textId="77777777" w:rsidR="00B32E9E" w:rsidRPr="0012501A" w:rsidRDefault="0012501A">
      <w:pPr>
        <w:pStyle w:val="Heading2"/>
        <w:rPr>
          <w:lang w:val="en-GB"/>
        </w:rPr>
      </w:pPr>
      <w:r w:rsidRPr="0012501A">
        <w:rPr>
          <w:lang w:val="en-GB"/>
        </w:rPr>
        <w:t>4.2 Community-Centred Practice and Collective Identity</w:t>
      </w:r>
    </w:p>
    <w:p w14:paraId="0C11D670" w14:textId="77777777" w:rsidR="00B32E9E" w:rsidRPr="0012501A" w:rsidRDefault="0012501A">
      <w:pPr>
        <w:spacing w:after="160" w:line="360" w:lineRule="auto"/>
        <w:ind w:firstLine="720"/>
        <w:jc w:val="both"/>
        <w:rPr>
          <w:lang w:val="en-GB"/>
        </w:rPr>
      </w:pPr>
      <w:r w:rsidRPr="0012501A">
        <w:rPr>
          <w:lang w:val="en-GB"/>
        </w:rPr>
        <w:t>Community-centred practice represents another significant point of convergence between social work and Indigenous value systems. Social work has a long tradition of community organising, community development, and collective advocacy, tracing back to the settlement house movement and forward through the community work tradition that flourished from the 1960s onwards. These traditions share with Indigenous value systems a recognition that social problems are not reducible to individual pathology but are generated and sustained by structural conditions that require collective responses (Morley &amp; Macfarlane, 2012). The alignment between social work's community development tradition and Indigenous communal values is therefore substantial, even if it has not always been explicitly articulated or practically realised in the context of work with Indigenous communities.</w:t>
      </w:r>
    </w:p>
    <w:p w14:paraId="235C3346" w14:textId="77777777" w:rsidR="00B32E9E" w:rsidRPr="0012501A" w:rsidRDefault="0012501A">
      <w:pPr>
        <w:spacing w:after="160" w:line="360" w:lineRule="auto"/>
        <w:ind w:firstLine="720"/>
        <w:jc w:val="both"/>
        <w:rPr>
          <w:lang w:val="en-GB"/>
        </w:rPr>
      </w:pPr>
      <w:r w:rsidRPr="0012501A">
        <w:rPr>
          <w:lang w:val="en-GB"/>
        </w:rPr>
        <w:t>In many Indigenous contexts, community-based and community-driven approaches to social support are not merely preferred but are viewed as epistemologically and ethically necessary. The involvement of Elders, ceremonial leaders, kinship networks, and other community authorities in addressing social difficulties reflects an understanding that healing and well-being are communal processes rather than individual achievements (Absolon, 2010). Social work practice that genuinely seeks to engage with Indigenous communities must therefore move beyond the individualised service-delivery model that continues to dominate much of Western welfare provision, towards approaches that recognise and support the inherent capacities of Indigenous communities for self-determination and collective care. Participatory action research, community development, and Indigenous-led programme design represent methodological approaches that partially embody this commitment (Cargo &amp; Mercer, 2008). However, even these approaches can replicate colonial power relations if they are implemented without genuine attention to Indigenous governance structures, protocols, and decision-making processes.</w:t>
      </w:r>
    </w:p>
    <w:p w14:paraId="2327BAD4" w14:textId="77777777" w:rsidR="00B32E9E" w:rsidRPr="0012501A" w:rsidRDefault="0012501A">
      <w:pPr>
        <w:pStyle w:val="Heading2"/>
        <w:rPr>
          <w:lang w:val="en-GB"/>
        </w:rPr>
      </w:pPr>
      <w:r w:rsidRPr="0012501A">
        <w:rPr>
          <w:lang w:val="en-GB"/>
        </w:rPr>
        <w:t>4.3 Relational Ontologies and Interconnectedness</w:t>
      </w:r>
    </w:p>
    <w:p w14:paraId="46372BE9" w14:textId="77777777" w:rsidR="00B32E9E" w:rsidRPr="0012501A" w:rsidRDefault="0012501A">
      <w:pPr>
        <w:spacing w:after="160" w:line="360" w:lineRule="auto"/>
        <w:ind w:firstLine="720"/>
        <w:jc w:val="both"/>
        <w:rPr>
          <w:lang w:val="en-GB"/>
        </w:rPr>
      </w:pPr>
      <w:r w:rsidRPr="0012501A">
        <w:rPr>
          <w:lang w:val="en-GB"/>
        </w:rPr>
        <w:t xml:space="preserve">Perhaps the deepest point of convergence between social work and Indigenous value systems lies at the ontological level. Both traditions, in their most critically developed forms, </w:t>
      </w:r>
      <w:r w:rsidRPr="0012501A">
        <w:rPr>
          <w:lang w:val="en-GB"/>
        </w:rPr>
        <w:lastRenderedPageBreak/>
        <w:t>resist the Cartesian separation of self from other, human from nature, and mind from matter that has characterised mainstream Western epistemology since the Enlightenment. Social work's ecological and systems perspectives gesture towards a relational ontology, whilst Indigenous knowledge systems often articulate this relationality in more explicit philosophical terms, encompassing responsibilities to non-human beings, the land, water, and future generations (Whyte, 2017). This convergence is not merely abstract but has concrete implications for practice, suggesting that social work interventions addressing social isolation, community fragmentation, or environmental degradation are not separate streams of practice but are intimately connected dimensions of a single project: the restoration and cultivation of healthy relationships at all levels of existence.</w:t>
      </w:r>
    </w:p>
    <w:p w14:paraId="4D9C5BC4" w14:textId="77777777" w:rsidR="00B32E9E" w:rsidRPr="0012501A" w:rsidRDefault="0012501A">
      <w:pPr>
        <w:spacing w:after="160" w:line="360" w:lineRule="auto"/>
        <w:ind w:firstLine="720"/>
        <w:jc w:val="both"/>
        <w:rPr>
          <w:lang w:val="en-GB"/>
        </w:rPr>
      </w:pPr>
      <w:r w:rsidRPr="0012501A">
        <w:rPr>
          <w:lang w:val="en-GB"/>
        </w:rPr>
        <w:t>The growing interest in eco-social work and environmental justice within the profession (Coates et al., 2006; Whyte, 2017) reflects an emerging recognition that social and environmental crises are inseparable and that Indigenous knowledge systems, which have long understood this inseparability, offer invaluable guidance for a more holistic social work response. The epistemological alignment between eco-social work and Indigenous relational ontologies suggests that collaborative engagement across these traditions holds significant potential for generating practice frameworks that are both theoretically coherent and practically responsive to the interconnected social and environmental challenges of the contemporary moment. At the same time, the limitations of this alignment must be acknowledged: eco-social work frameworks that appropriate Indigenous ecological knowledge without engaging with the political realities of Indigenous self-determination risk reproducing the extractive logic of colonialism in a new register.</w:t>
      </w:r>
    </w:p>
    <w:p w14:paraId="02794B0B" w14:textId="77777777" w:rsidR="00B32E9E" w:rsidRPr="0012501A" w:rsidRDefault="0012501A">
      <w:pPr>
        <w:pStyle w:val="Heading1"/>
        <w:rPr>
          <w:lang w:val="en-GB"/>
        </w:rPr>
      </w:pPr>
      <w:r w:rsidRPr="0012501A">
        <w:rPr>
          <w:lang w:val="en-GB"/>
        </w:rPr>
        <w:t>5. Contemporary Social Issues Through an Indigenous Lens</w:t>
      </w:r>
    </w:p>
    <w:p w14:paraId="02409A80" w14:textId="77777777" w:rsidR="00B32E9E" w:rsidRPr="0012501A" w:rsidRDefault="0012501A">
      <w:pPr>
        <w:pStyle w:val="Heading2"/>
        <w:rPr>
          <w:lang w:val="en-GB"/>
        </w:rPr>
      </w:pPr>
      <w:r w:rsidRPr="0012501A">
        <w:rPr>
          <w:lang w:val="en-GB"/>
        </w:rPr>
        <w:t>5.1 Mental Health and Historical Trauma</w:t>
      </w:r>
    </w:p>
    <w:p w14:paraId="0373C825" w14:textId="77777777" w:rsidR="00B32E9E" w:rsidRPr="0012501A" w:rsidRDefault="0012501A">
      <w:pPr>
        <w:spacing w:after="160" w:line="360" w:lineRule="auto"/>
        <w:ind w:firstLine="720"/>
        <w:jc w:val="both"/>
        <w:rPr>
          <w:lang w:val="en-GB"/>
        </w:rPr>
      </w:pPr>
      <w:r w:rsidRPr="0012501A">
        <w:rPr>
          <w:lang w:val="en-GB"/>
        </w:rPr>
        <w:t xml:space="preserve">Mental health represents one of the most acute and persistent areas of concern in discussions of Indigenous well-being. Indigenous peoples across the globe experience significantly elevated rates of depression, anxiety, suicide, substance dependence, and other mental health challenges compared with non-Indigenous populations (World Health Organization [WHO], 2022). Mainstream explanations for these disparities have tended to focus on individual risk factors and social determinants such as poverty, unemployment, and inadequate housing. Whilst these factors are undeniably important, they do not fully account for the specific mental health challenges facing Indigenous peoples, nor do they adequately </w:t>
      </w:r>
      <w:r w:rsidRPr="0012501A">
        <w:rPr>
          <w:lang w:val="en-GB"/>
        </w:rPr>
        <w:lastRenderedPageBreak/>
        <w:t>capture the distinctive cultural and historical dimensions of Indigenous psychological suffering and resilience.</w:t>
      </w:r>
    </w:p>
    <w:p w14:paraId="0BD1DAED" w14:textId="77777777" w:rsidR="00B32E9E" w:rsidRPr="0012501A" w:rsidRDefault="0012501A">
      <w:pPr>
        <w:spacing w:after="160" w:line="360" w:lineRule="auto"/>
        <w:ind w:firstLine="720"/>
        <w:jc w:val="both"/>
        <w:rPr>
          <w:lang w:val="en-GB"/>
        </w:rPr>
      </w:pPr>
      <w:r w:rsidRPr="0012501A">
        <w:rPr>
          <w:lang w:val="en-GB"/>
        </w:rPr>
        <w:t>The concept of historical trauma has gained considerable scholarly and clinical traction as a framework for understanding the intergenerational mental health impacts of colonisation (Brave Heart et al., 2011). Developed initially in relation to the Holocaust survivor population and subsequently applied to the experiences of Native American peoples, historical trauma refers to cumulative emotional and psychological wounding transmitted across generations through the collective experience of massive group trauma. Gone (2009) has argued that genuine engagement with historical trauma requires practitioners to move beyond clinical frameworks derived from Western psychiatry and engage with Indigenous understandings of healing, community, and spiritual restoration. The evidence-based practice paradigm, whilst valuable in many respects, has limited capacity to recognise the validity of Indigenous healing approaches that do not conform to its methodological criteria, creating a significant structural barrier to culturally appropriate mental health provision.</w:t>
      </w:r>
    </w:p>
    <w:p w14:paraId="0CC87DBF" w14:textId="77777777" w:rsidR="00B32E9E" w:rsidRPr="0012501A" w:rsidRDefault="0012501A">
      <w:pPr>
        <w:spacing w:after="160" w:line="360" w:lineRule="auto"/>
        <w:ind w:firstLine="720"/>
        <w:jc w:val="both"/>
        <w:rPr>
          <w:lang w:val="en-GB"/>
        </w:rPr>
      </w:pPr>
      <w:r w:rsidRPr="0012501A">
        <w:rPr>
          <w:lang w:val="en-GB"/>
        </w:rPr>
        <w:t xml:space="preserve">Duran, Firehammer, and Gonzalez (2008) articulate a liberation psychology perspective that situates mental health practice within the broader context of cultural decolonisation, arguing that healing colonial soul wounds requires the reclamation of Indigenous identity, language, and ceremonial life. These insights have significant implications for social work practice. They suggest that effective mental health support for Indigenous peoples cannot be provided solely through Western psychotherapeutic modalities but must be integrated with culturally grounded healing practices, community support structures, and political advocacy for the conditions that sustain cultural vitality. The resilience framework developed by </w:t>
      </w:r>
      <w:proofErr w:type="spellStart"/>
      <w:r w:rsidRPr="0012501A">
        <w:rPr>
          <w:lang w:val="en-GB"/>
        </w:rPr>
        <w:t>Kirmayer</w:t>
      </w:r>
      <w:proofErr w:type="spellEnd"/>
      <w:r w:rsidRPr="0012501A">
        <w:rPr>
          <w:lang w:val="en-GB"/>
        </w:rPr>
        <w:t xml:space="preserve"> and colleagues (2011) extends this argument by identifying Indigenous cultural continuity, land connection, and community cohesion as significant protective factors against mental health adversity. This relational and cultural conception of resilience contrasts markedly with the predominantly individual, skills-based resilience discourse that dominates much of mainstream social work and psychology, and points towards the need for a fundamental </w:t>
      </w:r>
      <w:proofErr w:type="spellStart"/>
      <w:r w:rsidRPr="0012501A">
        <w:rPr>
          <w:lang w:val="en-GB"/>
        </w:rPr>
        <w:t>reconceptualisation</w:t>
      </w:r>
      <w:proofErr w:type="spellEnd"/>
      <w:r w:rsidRPr="0012501A">
        <w:rPr>
          <w:lang w:val="en-GB"/>
        </w:rPr>
        <w:t xml:space="preserve"> of mental health practice for Indigenous populations.</w:t>
      </w:r>
    </w:p>
    <w:p w14:paraId="028CC545" w14:textId="77777777" w:rsidR="00B32E9E" w:rsidRPr="0012501A" w:rsidRDefault="0012501A">
      <w:pPr>
        <w:pStyle w:val="Heading2"/>
        <w:rPr>
          <w:lang w:val="en-GB"/>
        </w:rPr>
      </w:pPr>
      <w:r w:rsidRPr="0012501A">
        <w:rPr>
          <w:lang w:val="en-GB"/>
        </w:rPr>
        <w:t>5.2 Child Welfare and Family Support</w:t>
      </w:r>
    </w:p>
    <w:p w14:paraId="6D789EB9" w14:textId="77777777" w:rsidR="00B32E9E" w:rsidRPr="0012501A" w:rsidRDefault="0012501A">
      <w:pPr>
        <w:spacing w:after="160" w:line="360" w:lineRule="auto"/>
        <w:ind w:firstLine="720"/>
        <w:jc w:val="both"/>
        <w:rPr>
          <w:lang w:val="en-GB"/>
        </w:rPr>
      </w:pPr>
      <w:r w:rsidRPr="0012501A">
        <w:rPr>
          <w:lang w:val="en-GB"/>
        </w:rPr>
        <w:t xml:space="preserve">Child welfare is perhaps the arena in which the tensions between conventional social work practice and Indigenous value systems have been most acutely experienced and most </w:t>
      </w:r>
      <w:r w:rsidRPr="0012501A">
        <w:rPr>
          <w:lang w:val="en-GB"/>
        </w:rPr>
        <w:lastRenderedPageBreak/>
        <w:t>extensively documented. In Australia, Canada, the United States, and Aotearoa New Zealand, Indigenous children have been and continue to be significantly over-represented in out-of-home care and child protection systems (Blackstock, 2009; Bennett &amp; Zubrzycki, 2003). This over-representation is not merely a statistical anomaly but reflects a long history of state-sanctioned removal of Indigenous children from their families and communities, ostensibly in the interests of their welfare but often serving the broader colonial project of cultural assimilation and dispossession. Understanding this history is essential for any serious engagement with Indigenous child welfare, as it illuminates both the structural conditions that continue to generate disproportionate child protection involvement and the profound mistrust of welfare institutions that characterises many Indigenous families' relationships with statutory services.</w:t>
      </w:r>
    </w:p>
    <w:p w14:paraId="476E1FAC" w14:textId="77777777" w:rsidR="00B32E9E" w:rsidRPr="0012501A" w:rsidRDefault="0012501A">
      <w:pPr>
        <w:spacing w:after="160" w:line="360" w:lineRule="auto"/>
        <w:ind w:firstLine="720"/>
        <w:jc w:val="both"/>
        <w:rPr>
          <w:lang w:val="en-GB"/>
        </w:rPr>
      </w:pPr>
      <w:r w:rsidRPr="0012501A">
        <w:rPr>
          <w:lang w:val="en-GB"/>
        </w:rPr>
        <w:t>The historical policies of residential schooling in Canada and Australia, and the Stolen Generations in Australia, represented the most extreme expressions of this project. Their legacies continue to shape the relationships between Indigenous families and state welfare systems, generating profound mistrust and fear that significantly impede effective service provision (Sherwood, 2013). Social workers operating within child welfare systems, regardless of their individual intentions, are embedded in institutional structures with deeply problematic colonial histories, and must grapple with this reality if they are to practise ethically and effectively with Indigenous families and communities.</w:t>
      </w:r>
    </w:p>
    <w:p w14:paraId="66C1F767" w14:textId="77777777" w:rsidR="00B32E9E" w:rsidRPr="0012501A" w:rsidRDefault="0012501A">
      <w:pPr>
        <w:spacing w:after="160" w:line="360" w:lineRule="auto"/>
        <w:ind w:firstLine="720"/>
        <w:jc w:val="both"/>
        <w:rPr>
          <w:lang w:val="en-GB"/>
        </w:rPr>
      </w:pPr>
      <w:r w:rsidRPr="0012501A">
        <w:rPr>
          <w:lang w:val="en-GB"/>
        </w:rPr>
        <w:t>Indigenous value systems offer important resources for reimagining child welfare practice. In many Indigenous traditions, child-rearing is understood as a communal responsibility distributed across extended family networks and the broader community rather than confined to the nuclear family unit. Bennett and Zubrzycki (2003), in their qualitative research with Indigenous social workers in Australia, demonstrated the profound influence of cultural identity on practice and the complex tensions these workers experience when negotiating between Indigenous knowledge systems and a professional social work identity shaped primarily by Western discourse. Their findings underscore the importance of engaging seriously with Indigenous practitioners' knowledge and experience rather than assessing practice against culturally normative criteria derived from non-Indigenous frameworks. Blackstock (2009) has argued for a fundamental transformation of child welfare systems that places Indigenous self-determination and cultural safety at the centre of all practice decisions, and that reconceives the relationship between the state and Indigenous families as one of partnership and mutual accountability rather than surveillance and control.</w:t>
      </w:r>
    </w:p>
    <w:p w14:paraId="3A3D162A" w14:textId="77777777" w:rsidR="00B32E9E" w:rsidRPr="0012501A" w:rsidRDefault="0012501A">
      <w:pPr>
        <w:spacing w:after="160" w:line="360" w:lineRule="auto"/>
        <w:ind w:firstLine="720"/>
        <w:jc w:val="both"/>
        <w:rPr>
          <w:lang w:val="en-GB"/>
        </w:rPr>
      </w:pPr>
      <w:r w:rsidRPr="0012501A">
        <w:rPr>
          <w:lang w:val="en-GB"/>
        </w:rPr>
        <w:lastRenderedPageBreak/>
        <w:t>Participatory approaches to family support that actively involve Indigenous communities in the design, governance, and evaluation of services have demonstrated greater cultural responsiveness and, in some contexts, improved outcomes compared with externally designed programmes (Cargo &amp; Mercer, 2008). Such approaches align with Indigenous values of collective responsibility and community control, and signal a broader shift from the delivery of services to Indigenous communities towards the support of Indigenous communities in providing for their own members. The structural conditions required for such a shift, including adequate and sustained funding, legal recognition of Indigenous governance authority, and genuine devolution of decision-making power, remain largely unrealised in most national contexts.</w:t>
      </w:r>
    </w:p>
    <w:p w14:paraId="54882ABD" w14:textId="77777777" w:rsidR="00B32E9E" w:rsidRPr="0012501A" w:rsidRDefault="0012501A">
      <w:pPr>
        <w:pStyle w:val="Heading2"/>
        <w:rPr>
          <w:lang w:val="en-GB"/>
        </w:rPr>
      </w:pPr>
      <w:r w:rsidRPr="0012501A">
        <w:rPr>
          <w:lang w:val="en-GB"/>
        </w:rPr>
        <w:t>5.3 Environmental Justice and Sustainability</w:t>
      </w:r>
    </w:p>
    <w:p w14:paraId="06DC7A91" w14:textId="77777777" w:rsidR="00B32E9E" w:rsidRPr="0012501A" w:rsidRDefault="0012501A">
      <w:pPr>
        <w:spacing w:after="160" w:line="360" w:lineRule="auto"/>
        <w:ind w:firstLine="720"/>
        <w:jc w:val="both"/>
        <w:rPr>
          <w:lang w:val="en-GB"/>
        </w:rPr>
      </w:pPr>
      <w:r w:rsidRPr="0012501A">
        <w:rPr>
          <w:lang w:val="en-GB"/>
        </w:rPr>
        <w:t>The relationship between social work and environmental issues has received increasing scholarly attention in recent years, driven in part by the growing urgency of the global climate crisis and its disproportionate impacts on vulnerable and marginalised populations (Whyte, 2017). Indigenous peoples are among the most severely affected by climate change and environmental degradation, not only because many Indigenous communities depend directly on natural environments for their livelihoods and cultural practices but also because environmental disruption threatens the land-based relationships that are central to Indigenous identity and well-being. The loss of traditional lands and the degradation of ecological systems is experienced by many Indigenous peoples not merely as an economic or material loss but as a profound spiritual and cultural harm, fundamentally undermining the relational systems that sustain their sense of identity, continuity, and purpose.</w:t>
      </w:r>
    </w:p>
    <w:p w14:paraId="5356C159" w14:textId="77777777" w:rsidR="00B32E9E" w:rsidRPr="0012501A" w:rsidRDefault="0012501A">
      <w:pPr>
        <w:spacing w:after="160" w:line="360" w:lineRule="auto"/>
        <w:ind w:firstLine="720"/>
        <w:jc w:val="both"/>
        <w:rPr>
          <w:lang w:val="en-GB"/>
        </w:rPr>
      </w:pPr>
      <w:r w:rsidRPr="0012501A">
        <w:rPr>
          <w:lang w:val="en-GB"/>
        </w:rPr>
        <w:t xml:space="preserve">Indigenous knowledge systems have long encompassed sophisticated understandings of ecological relationships, sustainable resource management, and the ethical responsibilities of human beings towards the natural world. These understandings are not merely technical but are embedded within broader moral and spiritual frameworks that conceive of human beings as members of, rather than masters over, the natural world (Coates et al., 2006). Whyte (2017) has argued that Indigenous climate justice frameworks draw on this relational ecological understanding to articulate a distinctive and powerful critique of the anthropocentric and </w:t>
      </w:r>
      <w:proofErr w:type="spellStart"/>
      <w:r w:rsidRPr="0012501A">
        <w:rPr>
          <w:lang w:val="en-GB"/>
        </w:rPr>
        <w:t>extractivist</w:t>
      </w:r>
      <w:proofErr w:type="spellEnd"/>
      <w:r w:rsidRPr="0012501A">
        <w:rPr>
          <w:lang w:val="en-GB"/>
        </w:rPr>
        <w:t xml:space="preserve"> assumptions that have driven both colonial dispossession and the current climate crisis. This critique is not merely academic but has direct political </w:t>
      </w:r>
      <w:r w:rsidRPr="0012501A">
        <w:rPr>
          <w:lang w:val="en-GB"/>
        </w:rPr>
        <w:lastRenderedPageBreak/>
        <w:t>implications, situating Indigenous land rights and environmental stewardship as central to any genuinely just response to the climate emergency.</w:t>
      </w:r>
    </w:p>
    <w:p w14:paraId="424467C5" w14:textId="77777777" w:rsidR="00B32E9E" w:rsidRPr="0012501A" w:rsidRDefault="0012501A">
      <w:pPr>
        <w:spacing w:after="160" w:line="360" w:lineRule="auto"/>
        <w:ind w:firstLine="720"/>
        <w:jc w:val="both"/>
        <w:rPr>
          <w:lang w:val="en-GB"/>
        </w:rPr>
      </w:pPr>
      <w:r w:rsidRPr="0012501A">
        <w:rPr>
          <w:lang w:val="en-GB"/>
        </w:rPr>
        <w:t>Social work has historically been slow to engage with environmental issues, remaining predominantly focused on human social systems. However, the growing eco-social work movement within the profession has begun to articulate a vision of social work practice that integrates environmental sustainability, climate justice, and ecological well-being within its scope of concern (Coates et al., 2006; Whyte, 2017). The integration of Indigenous ecological knowledge into this emerging tradition offers significant potential for enriching both its theoretical foundations and its practical approaches, fostering connections between social justice and environmental advocacy that are both intellectually coherent and politically urgent. Such integration requires, however, that Indigenous ecological knowledge be engaged respectfully and on Indigenous terms, rather than appropriated to serve agendas defined externally.</w:t>
      </w:r>
    </w:p>
    <w:p w14:paraId="554DD4BF" w14:textId="77777777" w:rsidR="00B32E9E" w:rsidRPr="0012501A" w:rsidRDefault="0012501A">
      <w:pPr>
        <w:pStyle w:val="Heading2"/>
        <w:rPr>
          <w:lang w:val="en-GB"/>
        </w:rPr>
      </w:pPr>
      <w:r w:rsidRPr="0012501A">
        <w:rPr>
          <w:lang w:val="en-GB"/>
        </w:rPr>
        <w:t>5.4 Social Inequalities and Structural Discrimination</w:t>
      </w:r>
    </w:p>
    <w:p w14:paraId="25E7779C" w14:textId="77777777" w:rsidR="00B32E9E" w:rsidRPr="0012501A" w:rsidRDefault="0012501A">
      <w:pPr>
        <w:spacing w:after="160" w:line="360" w:lineRule="auto"/>
        <w:ind w:firstLine="720"/>
        <w:jc w:val="both"/>
        <w:rPr>
          <w:lang w:val="en-GB"/>
        </w:rPr>
      </w:pPr>
      <w:r w:rsidRPr="0012501A">
        <w:rPr>
          <w:lang w:val="en-GB"/>
        </w:rPr>
        <w:t>Structural inequalities and systemic discrimination against Indigenous peoples represent perhaps the most fundamental and pervasive contemporary social issues with which social work must engage. Indigenous peoples worldwide continue to experience intersecting forms of disadvantage, including dispossession of lands and territories, denial of self-determination, economic marginalisation, educational disadvantage, and disproportionate contact with the criminal justice system (UNPFII, 2009; World Bank, 2019). These forms of disadvantage are not accidental but are the products of historically constituted colonial and racial hierarchies that continue to organise social life in profound and often invisible ways. Paradies (2016) has documented the specific pathways through which colonisation and racism produce measurable health and social disadvantages for Indigenous peoples, demonstrating that these impacts are not merely historical artefacts but contemporary lived realities that require active structural intervention.</w:t>
      </w:r>
    </w:p>
    <w:p w14:paraId="3BE45571" w14:textId="77777777" w:rsidR="00B32E9E" w:rsidRPr="0012501A" w:rsidRDefault="0012501A">
      <w:pPr>
        <w:spacing w:after="160" w:line="360" w:lineRule="auto"/>
        <w:ind w:firstLine="720"/>
        <w:jc w:val="both"/>
        <w:rPr>
          <w:lang w:val="en-GB"/>
        </w:rPr>
      </w:pPr>
      <w:r w:rsidRPr="0012501A">
        <w:rPr>
          <w:lang w:val="en-GB"/>
        </w:rPr>
        <w:t xml:space="preserve">The United Nations Declaration on the Rights of Indigenous Peoples (UNDRIP), adopted by the UN General Assembly in 2007, represents the most comprehensive international legal instrument recognising Indigenous peoples' rights to self-determination, cultural integrity, land, and participation in decision-making processes affecting their lives (United Nations, 2007). However, the formal recognition of rights at the international level has not automatically translated into their realisation at the local and national level, and social </w:t>
      </w:r>
      <w:r w:rsidRPr="0012501A">
        <w:rPr>
          <w:lang w:val="en-GB"/>
        </w:rPr>
        <w:lastRenderedPageBreak/>
        <w:t>workers operating within state welfare systems frequently find themselves mediating between official commitments to Indigenous rights and the structural realities of ongoing dispossession and discrimination. This tension is not merely a practical inconvenience but an ethical challenge that calls for social workers to engage in critical reflection on their own institutional positioning and on the structural constraints within which their practice occurs.</w:t>
      </w:r>
    </w:p>
    <w:p w14:paraId="41AEAB9D" w14:textId="77777777" w:rsidR="00B32E9E" w:rsidRPr="0012501A" w:rsidRDefault="0012501A">
      <w:pPr>
        <w:spacing w:after="160" w:line="360" w:lineRule="auto"/>
        <w:ind w:firstLine="720"/>
        <w:jc w:val="both"/>
        <w:rPr>
          <w:lang w:val="en-GB"/>
        </w:rPr>
      </w:pPr>
      <w:r w:rsidRPr="0012501A">
        <w:rPr>
          <w:lang w:val="en-GB"/>
        </w:rPr>
        <w:t>Indigenous value systems offer important critical perspectives on structural inequality, not merely by documenting its impacts but by articulating alternative visions of social organisation grounded in different principles. The emphasis on communal responsibility, reciprocity, and intergenerational stewardship found in many Indigenous ethical traditions challenges the individualist and short-term orientations of contemporary neoliberal governance and provides a moral framework for advocacy towards more just and sustainable social arrangements. Social workers who engage seriously with these perspectives are not only better equipped to support Indigenous clients but are positioned to contribute to broader transformative agendas that extend well beyond the immediate context of their professional practice.</w:t>
      </w:r>
    </w:p>
    <w:p w14:paraId="64FA7E86" w14:textId="77777777" w:rsidR="00B32E9E" w:rsidRPr="0012501A" w:rsidRDefault="0012501A">
      <w:pPr>
        <w:pStyle w:val="Heading1"/>
        <w:rPr>
          <w:lang w:val="en-GB"/>
        </w:rPr>
      </w:pPr>
      <w:r w:rsidRPr="0012501A">
        <w:rPr>
          <w:lang w:val="en-GB"/>
        </w:rPr>
        <w:t>6. Decolonising Social Work Practice</w:t>
      </w:r>
    </w:p>
    <w:p w14:paraId="78D4C85F" w14:textId="77777777" w:rsidR="00B32E9E" w:rsidRPr="0012501A" w:rsidRDefault="0012501A">
      <w:pPr>
        <w:pStyle w:val="Heading2"/>
        <w:rPr>
          <w:lang w:val="en-GB"/>
        </w:rPr>
      </w:pPr>
      <w:r w:rsidRPr="0012501A">
        <w:rPr>
          <w:lang w:val="en-GB"/>
        </w:rPr>
        <w:t>6.1 Historical Context of Colonisation and Social Work</w:t>
      </w:r>
    </w:p>
    <w:p w14:paraId="1617E1B8" w14:textId="77777777" w:rsidR="00B32E9E" w:rsidRPr="0012501A" w:rsidRDefault="0012501A">
      <w:pPr>
        <w:spacing w:after="160" w:line="360" w:lineRule="auto"/>
        <w:ind w:firstLine="720"/>
        <w:jc w:val="both"/>
        <w:rPr>
          <w:lang w:val="en-GB"/>
        </w:rPr>
      </w:pPr>
      <w:r w:rsidRPr="0012501A">
        <w:rPr>
          <w:lang w:val="en-GB"/>
        </w:rPr>
        <w:t>The relationship between social work and colonialism is not merely historical but remains a structuring feature of the profession's contemporary reality. Social work in settler-colonial contexts, such as Canada, Australia, Aotearoa New Zealand, and the United States, developed in close relationship with colonial governance structures, often functioning as an instrument of assimilation, surveillance, and control over Indigenous populations (Sherwood, 2013). The forcible removal of Indigenous children from their families, the imposition of European family norms, and the pathologisation of Indigenous cultural practices were not anomalies but were in many respects central functions of social work as a profession during much of its formative period (Blackstock, 2009). This historical reality demands honest acknowledgement rather than institutional amnesia, as it constitutes the essential context for understanding both the current over-representation of Indigenous peoples in child welfare and other social service systems and the deep ambivalence with which many Indigenous communities regard professional social work.</w:t>
      </w:r>
    </w:p>
    <w:p w14:paraId="2D3B1767" w14:textId="77777777" w:rsidR="00B32E9E" w:rsidRPr="0012501A" w:rsidRDefault="0012501A">
      <w:pPr>
        <w:spacing w:after="160" w:line="360" w:lineRule="auto"/>
        <w:ind w:firstLine="720"/>
        <w:jc w:val="both"/>
        <w:rPr>
          <w:lang w:val="en-GB"/>
        </w:rPr>
      </w:pPr>
      <w:r w:rsidRPr="0012501A">
        <w:rPr>
          <w:lang w:val="en-GB"/>
        </w:rPr>
        <w:t xml:space="preserve">Understanding this history is not merely an exercise in retrospective critique but is essential for grasping the conditions under which contemporary social work practice with </w:t>
      </w:r>
      <w:r w:rsidRPr="0012501A">
        <w:rPr>
          <w:lang w:val="en-GB"/>
        </w:rPr>
        <w:lastRenderedPageBreak/>
        <w:t xml:space="preserve">Indigenous communities takes place. The legacy of colonial social work continues to shape institutional cultures, professional norms, and the structural conditions within which practitioners operate. Indigenous communities' mistrust of social welfare institutions is rationally grounded in lived and inherited experience of harm, and social workers who are unaware of or unable to engage with this history are ill-equipped to build the relationships of genuine trust and partnership that effective practice requires (Bennett &amp; Zubrzycki, 2003; </w:t>
      </w:r>
      <w:proofErr w:type="spellStart"/>
      <w:r w:rsidRPr="0012501A">
        <w:rPr>
          <w:lang w:val="en-GB"/>
        </w:rPr>
        <w:t>Dumbrill</w:t>
      </w:r>
      <w:proofErr w:type="spellEnd"/>
      <w:r w:rsidRPr="0012501A">
        <w:rPr>
          <w:lang w:val="en-GB"/>
        </w:rPr>
        <w:t xml:space="preserve"> &amp; Green, 2008). This is not merely a matter of professional competence but of basic ethical accountability to the communities whom social work claims to serve.</w:t>
      </w:r>
    </w:p>
    <w:p w14:paraId="4EFD8FCD" w14:textId="77777777" w:rsidR="00B32E9E" w:rsidRPr="0012501A" w:rsidRDefault="0012501A">
      <w:pPr>
        <w:pStyle w:val="Heading2"/>
        <w:rPr>
          <w:lang w:val="en-GB"/>
        </w:rPr>
      </w:pPr>
      <w:r w:rsidRPr="0012501A">
        <w:rPr>
          <w:lang w:val="en-GB"/>
        </w:rPr>
        <w:t>6.2 Decolonisation as a Transformative Process</w:t>
      </w:r>
    </w:p>
    <w:p w14:paraId="70828CF4" w14:textId="77777777" w:rsidR="00B32E9E" w:rsidRPr="0012501A" w:rsidRDefault="0012501A">
      <w:pPr>
        <w:spacing w:after="160" w:line="360" w:lineRule="auto"/>
        <w:ind w:firstLine="720"/>
        <w:jc w:val="both"/>
        <w:rPr>
          <w:lang w:val="en-GB"/>
        </w:rPr>
      </w:pPr>
      <w:r w:rsidRPr="0012501A">
        <w:rPr>
          <w:lang w:val="en-GB"/>
        </w:rPr>
        <w:t>Decolonisation in the context of social work theory and practice is a multidimensional and ongoing process rather than a discrete event or outcome. At the epistemological level, it involves questioning the hegemony of Western academic knowledge production and creating genuine space for Indigenous knowledge systems, including their methods, values, and criteria for what constitutes valid knowledge (Gray &amp; Coates, 2010). At the institutional level, it involves transforming the structures, processes, and cultures of social work organisations to reflect Indigenous governance principles, including the principles of self-determination, cultural safety, and community control. At the relational level, it involves fundamentally renegotiating the power relations between social work practitioners and Indigenous communities, moving from service delivery towards genuine partnership and solidarity.</w:t>
      </w:r>
    </w:p>
    <w:p w14:paraId="5B66528B" w14:textId="77777777" w:rsidR="00B32E9E" w:rsidRPr="0012501A" w:rsidRDefault="0012501A">
      <w:pPr>
        <w:spacing w:after="160" w:line="360" w:lineRule="auto"/>
        <w:ind w:firstLine="720"/>
        <w:jc w:val="both"/>
        <w:rPr>
          <w:lang w:val="en-GB"/>
        </w:rPr>
      </w:pPr>
      <w:r w:rsidRPr="0012501A">
        <w:rPr>
          <w:lang w:val="en-GB"/>
        </w:rPr>
        <w:t>Simonds and Christopher (2013) have argued that adapting Western research methods to Indigenous ways of knowing is a critical component of decolonisation in the research context, requiring sustained engagement with Indigenous epistemologies and the explicit acknowledgement of their legitimacy and rigour. This argument applies with equal force to practice contexts, where the dominance of evidence-based practice paradigms derived from Western clinical research traditions can marginalise Indigenous healing practices that do not meet the evidentiary criteria established by these paradigms. A decolonised approach to evidence in social work recognises the validity of Indigenous knowledge, experiential wisdom, and community-derived evidence alongside more formalised research outputs, acknowledging that different kinds of knowledge serve different purposes and derive their authority from different sources.</w:t>
      </w:r>
    </w:p>
    <w:p w14:paraId="7F797988" w14:textId="77777777" w:rsidR="00B32E9E" w:rsidRPr="0012501A" w:rsidRDefault="0012501A">
      <w:pPr>
        <w:spacing w:after="160" w:line="360" w:lineRule="auto"/>
        <w:ind w:firstLine="720"/>
        <w:jc w:val="both"/>
        <w:rPr>
          <w:lang w:val="en-GB"/>
        </w:rPr>
      </w:pPr>
      <w:r w:rsidRPr="0012501A">
        <w:rPr>
          <w:lang w:val="en-GB"/>
        </w:rPr>
        <w:lastRenderedPageBreak/>
        <w:t>It is important to acknowledge that decolonisation is a politically charged and contested process. Within Indigenous communities, there are significant debates about the terms on which engagement with state institutions, including social welfare institutions, is appropriate, and about the risks of co-optation and tokenism that attend efforts at integration. Paradies (2016) notes that responses to colonial racism and disadvantage are themselves shaped by the differential power relations that produce them, and that simplistic prescriptions for "cultural inclusion" may inadvertently reinforce rather than challenge the structures of colonial power. Social work professionals and academics engaged in decolonisation work must approach these debates with genuine humility, actively supporting Indigenous leadership in defining the terms of engagement and resisting the temptation to appropriate Indigenous knowledge for institutional legitimation purposes (</w:t>
      </w:r>
      <w:proofErr w:type="spellStart"/>
      <w:r w:rsidRPr="0012501A">
        <w:rPr>
          <w:lang w:val="en-GB"/>
        </w:rPr>
        <w:t>Dumbrill</w:t>
      </w:r>
      <w:proofErr w:type="spellEnd"/>
      <w:r w:rsidRPr="0012501A">
        <w:rPr>
          <w:lang w:val="en-GB"/>
        </w:rPr>
        <w:t xml:space="preserve"> &amp; Green, 2008; Gray &amp; Coates, 2010).</w:t>
      </w:r>
    </w:p>
    <w:p w14:paraId="72384AD8" w14:textId="77777777" w:rsidR="00B32E9E" w:rsidRPr="0012501A" w:rsidRDefault="0012501A">
      <w:pPr>
        <w:pStyle w:val="Heading1"/>
        <w:rPr>
          <w:lang w:val="en-GB"/>
        </w:rPr>
      </w:pPr>
      <w:r w:rsidRPr="0012501A">
        <w:rPr>
          <w:lang w:val="en-GB"/>
        </w:rPr>
        <w:t>7. A Conceptual Framework for Synergising Social Work and Indigenous Value Systems</w:t>
      </w:r>
    </w:p>
    <w:p w14:paraId="749C24CB" w14:textId="77777777" w:rsidR="00B32E9E" w:rsidRPr="0012501A" w:rsidRDefault="0012501A">
      <w:pPr>
        <w:pStyle w:val="Heading2"/>
        <w:rPr>
          <w:lang w:val="en-GB"/>
        </w:rPr>
      </w:pPr>
      <w:r w:rsidRPr="0012501A">
        <w:rPr>
          <w:lang w:val="en-GB"/>
        </w:rPr>
        <w:t>7.1 Framework Principles</w:t>
      </w:r>
    </w:p>
    <w:p w14:paraId="253C8858" w14:textId="77777777" w:rsidR="00B32E9E" w:rsidRPr="0012501A" w:rsidRDefault="0012501A">
      <w:pPr>
        <w:spacing w:after="160" w:line="360" w:lineRule="auto"/>
        <w:ind w:firstLine="720"/>
        <w:jc w:val="both"/>
        <w:rPr>
          <w:lang w:val="en-GB"/>
        </w:rPr>
      </w:pPr>
      <w:r w:rsidRPr="0012501A">
        <w:rPr>
          <w:lang w:val="en-GB"/>
        </w:rPr>
        <w:t>The conceptual framework proposed in this article is grounded in four interlocking principles derived from the synthesis of social work theory and Indigenous value systems reviewed above. These principles do not constitute a step-by-step practice guide but rather an orienting set of commitments that should inform the design, implementation, and evaluation of integrated social work practice across diverse cultural and institutional contexts.</w:t>
      </w:r>
    </w:p>
    <w:p w14:paraId="1E47508B" w14:textId="77777777" w:rsidR="00B32E9E" w:rsidRPr="0012501A" w:rsidRDefault="0012501A">
      <w:pPr>
        <w:spacing w:after="160" w:line="360" w:lineRule="auto"/>
        <w:ind w:firstLine="720"/>
        <w:jc w:val="both"/>
        <w:rPr>
          <w:lang w:val="en-GB"/>
        </w:rPr>
      </w:pPr>
      <w:r w:rsidRPr="0012501A">
        <w:rPr>
          <w:lang w:val="en-GB"/>
        </w:rPr>
        <w:t>The first principle is epistemic pluralism, which holds that social work theory and practice should draw on multiple knowledge traditions, including but not limited to Western academic knowledge, and that the validity of Indigenous knowledge systems should be affirmed rather than merely tolerated. Epistemic pluralism is not equivalent to relativism; it does not imply that all knowledge claims are equally valid in all contexts. Rather, it affirms that different knowledge traditions have distinctive strengths, appropriate domains, and epistemological criteria, and that genuine engagement across these traditions can generate insights that neither tradition could produce alone (</w:t>
      </w:r>
      <w:proofErr w:type="spellStart"/>
      <w:r w:rsidRPr="0012501A">
        <w:rPr>
          <w:lang w:val="en-GB"/>
        </w:rPr>
        <w:t>Dumbrill</w:t>
      </w:r>
      <w:proofErr w:type="spellEnd"/>
      <w:r w:rsidRPr="0012501A">
        <w:rPr>
          <w:lang w:val="en-GB"/>
        </w:rPr>
        <w:t xml:space="preserve"> &amp; Green, 2008; Gray &amp; Coates, 2010). The affirmation of epistemic pluralism within social work requires not only changes in educational curricula and professional discourse but also structural changes in the conditions under which knowledge is produced, validated, and disseminated within the profession.</w:t>
      </w:r>
    </w:p>
    <w:p w14:paraId="30E99D4B" w14:textId="77777777" w:rsidR="00B32E9E" w:rsidRPr="0012501A" w:rsidRDefault="0012501A">
      <w:pPr>
        <w:spacing w:after="160" w:line="360" w:lineRule="auto"/>
        <w:ind w:firstLine="720"/>
        <w:jc w:val="both"/>
        <w:rPr>
          <w:lang w:val="en-GB"/>
        </w:rPr>
      </w:pPr>
      <w:r w:rsidRPr="0012501A">
        <w:rPr>
          <w:lang w:val="en-GB"/>
        </w:rPr>
        <w:lastRenderedPageBreak/>
        <w:t>The second principle is relational accountability, which encompasses the commitments of social work practitioners and institutions to the relationships within which their practice is embedded. Drawing on Indigenous relational ontologies, this principle extends the concept of professional accountability beyond compliance with procedural and statutory requirements to encompass accountability to the communities, families, and ecological systems within which clients and practitioners are situated. Relational accountability requires that practitioners attend to the relational impacts of their interventions, not merely their individual outcomes, and that organisations invest in long-term relationship building with Indigenous communities rather than episodic service delivery (Absolon, 2010; Cargo &amp; Mercer, 2008). It also requires that the profession as a whole acknowledge and take responsibility for its colonial history and its ongoing implication in structures of Indigenous disadvantage.</w:t>
      </w:r>
    </w:p>
    <w:p w14:paraId="0D4413F3" w14:textId="77777777" w:rsidR="00B32E9E" w:rsidRPr="0012501A" w:rsidRDefault="0012501A">
      <w:pPr>
        <w:spacing w:after="160" w:line="360" w:lineRule="auto"/>
        <w:ind w:firstLine="720"/>
        <w:jc w:val="both"/>
        <w:rPr>
          <w:lang w:val="en-GB"/>
        </w:rPr>
      </w:pPr>
      <w:r w:rsidRPr="0012501A">
        <w:rPr>
          <w:lang w:val="en-GB"/>
        </w:rPr>
        <w:t>The third principle is cultural safety, understood not merely as sensitivity to cultural difference but as a reflexive engagement with the power relations that shape the safety of professional encounters. Drawing on the cultural safety tradition in health and social care (Curtis et al., 2019), this principle requires that practitioners examine their own cultural positioning, acknowledge the institutional legacies of colonialism, and actively work to create practice environments in which Indigenous clients feel genuinely respected, affirmed, and safe. Cultural safety is a process rather than a destination, requiring ongoing reflection, learning, and structural transformation rather than the attainment of a fixed cultural competence standard. It is also inherently political, insofar as it requires attention to the power dynamics that produce cultural unsafety rather than limiting attention to the interpersonal dimensions of practice.</w:t>
      </w:r>
    </w:p>
    <w:p w14:paraId="07BE129E" w14:textId="77777777" w:rsidR="00B32E9E" w:rsidRPr="0012501A" w:rsidRDefault="0012501A">
      <w:pPr>
        <w:spacing w:after="160" w:line="360" w:lineRule="auto"/>
        <w:ind w:firstLine="720"/>
        <w:jc w:val="both"/>
        <w:rPr>
          <w:lang w:val="en-GB"/>
        </w:rPr>
      </w:pPr>
      <w:r w:rsidRPr="0012501A">
        <w:rPr>
          <w:lang w:val="en-GB"/>
        </w:rPr>
        <w:t xml:space="preserve">The fourth principle is structural transformation, which holds that synergising social work and Indigenous value systems is not merely a matter of adjusting practice techniques but requires fundamental changes in the structural conditions within which social work is practised. This includes transforming educational curricula, workforce composition, organisational governance, policy frameworks, and funding structures to genuinely support Indigenous self-determination and the integration of Indigenous knowledge (IFSW, 2014; United Nations, 2007). Without this structural dimension, efforts at integration risk remaining tokenistic and failing to address the systemic conditions that perpetuate Indigenous disadvantage. Structural transformation, in this sense, is not an optional supplement to other </w:t>
      </w:r>
      <w:r w:rsidRPr="0012501A">
        <w:rPr>
          <w:lang w:val="en-GB"/>
        </w:rPr>
        <w:lastRenderedPageBreak/>
        <w:t>forms of practice improvement but an essential precondition for genuine and sustainable change.</w:t>
      </w:r>
    </w:p>
    <w:p w14:paraId="21DCF9DD" w14:textId="77777777" w:rsidR="00B32E9E" w:rsidRPr="0012501A" w:rsidRDefault="0012501A">
      <w:pPr>
        <w:pStyle w:val="Heading2"/>
        <w:rPr>
          <w:lang w:val="en-GB"/>
        </w:rPr>
      </w:pPr>
      <w:r w:rsidRPr="0012501A">
        <w:rPr>
          <w:lang w:val="en-GB"/>
        </w:rPr>
        <w:t>7.2 Framework Components</w:t>
      </w:r>
    </w:p>
    <w:p w14:paraId="356A4B2F" w14:textId="77777777" w:rsidR="00B32E9E" w:rsidRPr="0012501A" w:rsidRDefault="0012501A">
      <w:pPr>
        <w:spacing w:after="160" w:line="360" w:lineRule="auto"/>
        <w:ind w:firstLine="720"/>
        <w:jc w:val="both"/>
        <w:rPr>
          <w:lang w:val="en-GB"/>
        </w:rPr>
      </w:pPr>
      <w:r w:rsidRPr="0012501A">
        <w:rPr>
          <w:lang w:val="en-GB"/>
        </w:rPr>
        <w:t>Building upon these four principles, the framework comprises five interconnected components that together articulate a vision of synergised social work practice. These components are intended to be understood as mutually reinforcing rather than sequential, and their application will vary in emphasis and configuration across different practice contexts.</w:t>
      </w:r>
    </w:p>
    <w:p w14:paraId="49D310E2" w14:textId="77777777" w:rsidR="00B32E9E" w:rsidRPr="0012501A" w:rsidRDefault="0012501A">
      <w:pPr>
        <w:spacing w:after="160" w:line="360" w:lineRule="auto"/>
        <w:ind w:firstLine="720"/>
        <w:jc w:val="both"/>
        <w:rPr>
          <w:lang w:val="en-GB"/>
        </w:rPr>
      </w:pPr>
      <w:r w:rsidRPr="0012501A">
        <w:rPr>
          <w:lang w:val="en-GB"/>
        </w:rPr>
        <w:t xml:space="preserve">The first component is knowledge integration, which encompasses the processes by which Indigenous knowledge is incorporated into social work theory, research, and practice. This is not a simple or unidirectional process but requires sustained dialogue between Indigenous knowledge holders and social work practitioners and academics, conducted on terms that respect Indigenous protocols and intellectual property rights. Knowledge integration must attend to the risks of </w:t>
      </w:r>
      <w:proofErr w:type="spellStart"/>
      <w:r w:rsidRPr="0012501A">
        <w:rPr>
          <w:lang w:val="en-GB"/>
        </w:rPr>
        <w:t>decontextualisation</w:t>
      </w:r>
      <w:proofErr w:type="spellEnd"/>
      <w:r w:rsidRPr="0012501A">
        <w:rPr>
          <w:lang w:val="en-GB"/>
        </w:rPr>
        <w:t xml:space="preserve"> and appropriation, ensuring that Indigenous knowledge is engaged in relation to its cultural and historical context rather than extracted and instrumentalised for institutional purposes (Simonds &amp; Christopher, 2013). It requires the development of genuinely collaborative research and curriculum development processes in which Indigenous knowledge holders are recognised as intellectual authorities rather than merely as consultants or informants.</w:t>
      </w:r>
    </w:p>
    <w:p w14:paraId="413B7A87" w14:textId="77777777" w:rsidR="00B32E9E" w:rsidRPr="0012501A" w:rsidRDefault="0012501A">
      <w:pPr>
        <w:spacing w:after="160" w:line="360" w:lineRule="auto"/>
        <w:ind w:firstLine="720"/>
        <w:jc w:val="both"/>
        <w:rPr>
          <w:lang w:val="en-GB"/>
        </w:rPr>
      </w:pPr>
      <w:r w:rsidRPr="0012501A">
        <w:rPr>
          <w:lang w:val="en-GB"/>
        </w:rPr>
        <w:t>The second component is relational practice, which refers to the cultivation of genuine, sustained, and mutually accountable relationships as the foundation of effective social work with Indigenous communities. Relational practice is distinguished from transactional service delivery by its emphasis on the quality of the relationship itself as a transformative force, rather than merely as a vehicle for the delivery of discrete interventions. It requires investment in time, trust-building, and cultural learning, and is incompatible with the short-term, high-caseload conditions that characterise much of contemporary statutory social work (Bennett &amp; Zubrzycki, 2003; Cargo &amp; Mercer, 2008). Relational practice also requires a willingness on the part of practitioners to be genuinely changed by their encounters with Indigenous knowledge and ways of being, rather than remaining safely positioned as experts dispensing culturally adapted services.</w:t>
      </w:r>
    </w:p>
    <w:p w14:paraId="21D87160" w14:textId="77777777" w:rsidR="00B32E9E" w:rsidRPr="0012501A" w:rsidRDefault="0012501A">
      <w:pPr>
        <w:spacing w:after="160" w:line="360" w:lineRule="auto"/>
        <w:ind w:firstLine="720"/>
        <w:jc w:val="both"/>
        <w:rPr>
          <w:lang w:val="en-GB"/>
        </w:rPr>
      </w:pPr>
      <w:r w:rsidRPr="0012501A">
        <w:rPr>
          <w:lang w:val="en-GB"/>
        </w:rPr>
        <w:t xml:space="preserve">The third component is community empowerment and self-determination, which encompasses approaches to social work practice that actively support Indigenous communities' capacities for collective decision-making, governance, and self-directed </w:t>
      </w:r>
      <w:r w:rsidRPr="0012501A">
        <w:rPr>
          <w:lang w:val="en-GB"/>
        </w:rPr>
        <w:lastRenderedPageBreak/>
        <w:t>development. This component draws directly on Indigenous values of communal responsibility and collective agency, as well as on the participatory and empowerment traditions within social work itself. Community empowerment is not something that social workers do to or for communities but something they support through solidarity, advocacy, resource mobilisation, and the strategic use of professional leverage (Absolon, 2010; Blackstock, 2009). It requires a reorientation of professional identity from expert problem-solver to ally and facilitator, and a corresponding willingness to yield authority and control to community-defined processes and priorities.</w:t>
      </w:r>
    </w:p>
    <w:p w14:paraId="07822BAC" w14:textId="77777777" w:rsidR="00B32E9E" w:rsidRPr="0012501A" w:rsidRDefault="0012501A">
      <w:pPr>
        <w:spacing w:after="160" w:line="360" w:lineRule="auto"/>
        <w:ind w:firstLine="720"/>
        <w:jc w:val="both"/>
        <w:rPr>
          <w:lang w:val="en-GB"/>
        </w:rPr>
      </w:pPr>
      <w:r w:rsidRPr="0012501A">
        <w:rPr>
          <w:lang w:val="en-GB"/>
        </w:rPr>
        <w:t>The fourth component is healing and cultural restoration, which recognises the centrality of cultural continuity, ceremonial life, and intergenerational knowledge transmission to Indigenous well-being. This component draws on the historical trauma literature (Brave Heart et al., 2011; Gone, 2009) and on Indigenous healing traditions that conceive of recovery from colonial harm as inseparable from the reclamation and revitalisation of cultural identity. Social work practice that incorporates this component actively supports access to cultural resources, facilitates connections with Elders and cultural knowledge holders, and creates space for Indigenous healing practices alongside or in lieu of Western clinical interventions. The world mental health report (WHO, 2022) has noted that culturally embedded, community-based approaches to mental health support are among the most effective means of addressing the mental health burden in marginalised populations, lending additional support to this component of the framework.</w:t>
      </w:r>
    </w:p>
    <w:p w14:paraId="27D21704" w14:textId="77777777" w:rsidR="00B32E9E" w:rsidRPr="0012501A" w:rsidRDefault="0012501A">
      <w:pPr>
        <w:spacing w:after="160" w:line="360" w:lineRule="auto"/>
        <w:ind w:firstLine="720"/>
        <w:jc w:val="both"/>
        <w:rPr>
          <w:lang w:val="en-GB"/>
        </w:rPr>
      </w:pPr>
      <w:r w:rsidRPr="0012501A">
        <w:rPr>
          <w:lang w:val="en-GB"/>
        </w:rPr>
        <w:t>The fifth component is advocacy for structural change, which recognises that individual and community-level interventions, however culturally grounded, cannot on their own address the structural conditions of inequality, dispossession, and discrimination that underpin Indigenous social disadvantage. This component requires social workers to engage in policy advocacy, coalition building, and structural critique, drawing on Indigenous rights frameworks such as the UNDRIP (United Nations, 2007) and Indigenous political analyses to inform their advocacy (Whyte, 2017; Paradies, 2016). Structural advocacy encompasses both direct engagement with legislative and policy processes and the cultivation of public discourse that recognises the rights and capacities of Indigenous peoples as foundational rather than contingent aspects of social justice.</w:t>
      </w:r>
    </w:p>
    <w:p w14:paraId="41C9AA67" w14:textId="77777777" w:rsidR="00B32E9E" w:rsidRPr="0012501A" w:rsidRDefault="0012501A">
      <w:pPr>
        <w:pStyle w:val="Heading2"/>
        <w:rPr>
          <w:lang w:val="en-GB"/>
        </w:rPr>
      </w:pPr>
      <w:r w:rsidRPr="0012501A">
        <w:rPr>
          <w:lang w:val="en-GB"/>
        </w:rPr>
        <w:t>7.3 Application of the Framework</w:t>
      </w:r>
    </w:p>
    <w:p w14:paraId="709B02DD" w14:textId="77777777" w:rsidR="00B32E9E" w:rsidRPr="0012501A" w:rsidRDefault="0012501A">
      <w:pPr>
        <w:spacing w:after="160" w:line="360" w:lineRule="auto"/>
        <w:ind w:firstLine="720"/>
        <w:jc w:val="both"/>
        <w:rPr>
          <w:lang w:val="en-GB"/>
        </w:rPr>
      </w:pPr>
      <w:r w:rsidRPr="0012501A">
        <w:rPr>
          <w:lang w:val="en-GB"/>
        </w:rPr>
        <w:lastRenderedPageBreak/>
        <w:t>The framework outlined above is intended as a conceptual resource for practitioners, educators, and policymakers rather than a prescriptive practice model. Its application will necessarily vary across different national contexts, Indigenous communities, and social work settings. However, several general principles of application can be articulated that may assist in translating the conceptual dimensions of the framework into concrete practice orientations.</w:t>
      </w:r>
    </w:p>
    <w:p w14:paraId="05C9C323" w14:textId="77777777" w:rsidR="00B32E9E" w:rsidRPr="0012501A" w:rsidRDefault="0012501A">
      <w:pPr>
        <w:spacing w:after="160" w:line="360" w:lineRule="auto"/>
        <w:ind w:firstLine="720"/>
        <w:jc w:val="both"/>
        <w:rPr>
          <w:lang w:val="en-GB"/>
        </w:rPr>
      </w:pPr>
      <w:r w:rsidRPr="0012501A">
        <w:rPr>
          <w:lang w:val="en-GB"/>
        </w:rPr>
        <w:t>In practice settings, the framework suggests that social workers adopt a strengths-based, relationship-centred orientation that foregrounds cultural identity, family, and community as sources of resilience and well-being rather than deficits to be managed. Assessment frameworks should be redesigned to incorporate Indigenous understandings of well-being, including spiritual and ecological dimensions, and to engage with kinship structures and community resources as central components of the helping process. Bainbridge and colleagues (2015) have argued that research and evaluation frameworks in Indigenous health and social welfare contexts must be genuinely participatory, reflecting community-defined priorities and epistemological frameworks rather than externally imposed outcome measures. This argument applies with equal force to practice assessment frameworks, which should be co-developed with Indigenous communities rather than imposed by professional or regulatory bodies.</w:t>
      </w:r>
    </w:p>
    <w:p w14:paraId="284FCA17" w14:textId="77777777" w:rsidR="00B32E9E" w:rsidRPr="0012501A" w:rsidRDefault="0012501A">
      <w:pPr>
        <w:spacing w:after="160" w:line="360" w:lineRule="auto"/>
        <w:ind w:firstLine="720"/>
        <w:jc w:val="both"/>
        <w:rPr>
          <w:lang w:val="en-GB"/>
        </w:rPr>
      </w:pPr>
      <w:r w:rsidRPr="0012501A">
        <w:rPr>
          <w:lang w:val="en-GB"/>
        </w:rPr>
        <w:t>In educational settings, the framework suggests a fundamental reimagining of social work curricula to embed Indigenous knowledge systems, colonial history, and decolonisation theory as core rather than elective content. This requires not only changes to course content but to pedagogical approaches and the composition of teaching faculties, with Indigenous knowledge holders and practitioners playing a central rather than supplementary role (</w:t>
      </w:r>
      <w:proofErr w:type="spellStart"/>
      <w:r w:rsidRPr="0012501A">
        <w:rPr>
          <w:lang w:val="en-GB"/>
        </w:rPr>
        <w:t>Dumbrill</w:t>
      </w:r>
      <w:proofErr w:type="spellEnd"/>
      <w:r w:rsidRPr="0012501A">
        <w:rPr>
          <w:lang w:val="en-GB"/>
        </w:rPr>
        <w:t xml:space="preserve"> &amp; Green, 2008). The cultivation of epistemic humility, reflexivity, and cross-cultural learning as professional virtues, rather than discrete competencies to be assessed and certificated, is a key educational implication of the framework. Such an approach to education is more likely to produce practitioners who are genuinely capable of sustained engagement with Indigenous knowledge systems than competency-based frameworks that reduce complex relational and epistemological orientations to assessable performance indicators.</w:t>
      </w:r>
    </w:p>
    <w:p w14:paraId="1808ACEC" w14:textId="77777777" w:rsidR="00B32E9E" w:rsidRPr="0012501A" w:rsidRDefault="0012501A">
      <w:pPr>
        <w:spacing w:after="160" w:line="360" w:lineRule="auto"/>
        <w:ind w:firstLine="720"/>
        <w:jc w:val="both"/>
        <w:rPr>
          <w:lang w:val="en-GB"/>
        </w:rPr>
      </w:pPr>
      <w:r w:rsidRPr="0012501A">
        <w:rPr>
          <w:lang w:val="en-GB"/>
        </w:rPr>
        <w:t xml:space="preserve">In policy contexts, the framework supports the formal recognition of Indigenous rights to self-determination in social welfare policy, the development of Indigenous-controlled social service organisations, the ring-fencing of funding for culturally grounded </w:t>
      </w:r>
      <w:r w:rsidRPr="0012501A">
        <w:rPr>
          <w:lang w:val="en-GB"/>
        </w:rPr>
        <w:lastRenderedPageBreak/>
        <w:t>programmes, and the inclusion of Indigenous representatives in governance structures at all levels (United Nations, 2007; World Bank, 2019). It also supports the development of accountability mechanisms that are responsive to Indigenous communities rather than solely to state funders and regulators. The alignment of national policy frameworks with international instruments such as the UNDRIP (United Nations, 2007) is a minimal precondition for the structural transformation that the framework envisions, though it is far from sufficient in itself.</w:t>
      </w:r>
    </w:p>
    <w:p w14:paraId="1FDEA809" w14:textId="77777777" w:rsidR="00B32E9E" w:rsidRPr="0012501A" w:rsidRDefault="0012501A">
      <w:pPr>
        <w:pStyle w:val="Heading1"/>
        <w:rPr>
          <w:lang w:val="en-GB"/>
        </w:rPr>
      </w:pPr>
      <w:r w:rsidRPr="0012501A">
        <w:rPr>
          <w:lang w:val="en-GB"/>
        </w:rPr>
        <w:t>8. Challenges and Barriers to Integration</w:t>
      </w:r>
    </w:p>
    <w:p w14:paraId="3BE133FE" w14:textId="77777777" w:rsidR="00B32E9E" w:rsidRPr="0012501A" w:rsidRDefault="0012501A">
      <w:pPr>
        <w:spacing w:after="160" w:line="360" w:lineRule="auto"/>
        <w:ind w:firstLine="720"/>
        <w:jc w:val="both"/>
        <w:rPr>
          <w:lang w:val="en-GB"/>
        </w:rPr>
      </w:pPr>
      <w:r w:rsidRPr="0012501A">
        <w:rPr>
          <w:lang w:val="en-GB"/>
        </w:rPr>
        <w:t>Notwithstanding the conceptual richness and practical promise of synergising social work and Indigenous value systems, significant challenges and barriers to genuine integration exist and must be honestly acknowledged if the field is to make substantive rather than merely rhetorical progress.</w:t>
      </w:r>
    </w:p>
    <w:p w14:paraId="49945F21" w14:textId="77777777" w:rsidR="00B32E9E" w:rsidRPr="0012501A" w:rsidRDefault="0012501A">
      <w:pPr>
        <w:spacing w:after="160" w:line="360" w:lineRule="auto"/>
        <w:ind w:firstLine="720"/>
        <w:jc w:val="both"/>
        <w:rPr>
          <w:lang w:val="en-GB"/>
        </w:rPr>
      </w:pPr>
      <w:r w:rsidRPr="0012501A">
        <w:rPr>
          <w:lang w:val="en-GB"/>
        </w:rPr>
        <w:t xml:space="preserve">One of the most pervasive challenges is the risk of tokenism and superficiality. The formal endorsement of Indigenous knowledge by professional bodies such as the IFSW (2014) and its incorporation into some educational curricula has not been uniformly accompanied by substantive changes in practice or structural conditions. There is a well-documented tendency for institutions to incorporate aspects of Indigenous culture in ways that are symbolic rather than substantive, adding Indigenous content as a cosmetic supplement to fundamentally unchanged Eurocentric frameworks rather than undertaking the deeper epistemological and structural transformations that genuine integration requires (Gray &amp; Coates, 2010; </w:t>
      </w:r>
      <w:proofErr w:type="spellStart"/>
      <w:r w:rsidRPr="0012501A">
        <w:rPr>
          <w:lang w:val="en-GB"/>
        </w:rPr>
        <w:t>Dumbrill</w:t>
      </w:r>
      <w:proofErr w:type="spellEnd"/>
      <w:r w:rsidRPr="0012501A">
        <w:rPr>
          <w:lang w:val="en-GB"/>
        </w:rPr>
        <w:t xml:space="preserve"> &amp; Green, 2008). Tokenism not only fails to produce genuine change but may actively impede it by creating an appearance of inclusion that legitimates the continued marginalisation of Indigenous knowledge systems within professional discourse.</w:t>
      </w:r>
    </w:p>
    <w:p w14:paraId="5C12563E" w14:textId="77777777" w:rsidR="00B32E9E" w:rsidRPr="0012501A" w:rsidRDefault="0012501A">
      <w:pPr>
        <w:spacing w:after="160" w:line="360" w:lineRule="auto"/>
        <w:ind w:firstLine="720"/>
        <w:jc w:val="both"/>
        <w:rPr>
          <w:lang w:val="en-GB"/>
        </w:rPr>
      </w:pPr>
      <w:r w:rsidRPr="0012501A">
        <w:rPr>
          <w:lang w:val="en-GB"/>
        </w:rPr>
        <w:t xml:space="preserve">A second challenge concerns the tensions between different Indigenous knowledge systems and the risk of pan-Indigenism—that is, the tendency to treat diverse Indigenous traditions as though they constituted a single, undifferentiated body of knowledge. Genuine respect for Indigenous epistemological diversity requires a place-based, community-specific approach to knowledge integration that honours the particular protocols, governance structures, and intellectual traditions of specific peoples rather than abstracting a generic Indigenous perspective (Absolon, 2010). This requires sustained investment in community relationships and localised knowledge partnerships that cannot be achieved through short-term or one-size-fits-all approaches. The temptation to synthesise a generalised Indigenous </w:t>
      </w:r>
      <w:r w:rsidRPr="0012501A">
        <w:rPr>
          <w:lang w:val="en-GB"/>
        </w:rPr>
        <w:lastRenderedPageBreak/>
        <w:t>worldview for incorporation into social work curricula or practice frameworks must be resisted, since such synthesis inevitably distorts and impoverishes the traditions it purports to represent.</w:t>
      </w:r>
    </w:p>
    <w:p w14:paraId="46837FE2" w14:textId="77777777" w:rsidR="00B32E9E" w:rsidRPr="0012501A" w:rsidRDefault="0012501A">
      <w:pPr>
        <w:spacing w:after="160" w:line="360" w:lineRule="auto"/>
        <w:ind w:firstLine="720"/>
        <w:jc w:val="both"/>
        <w:rPr>
          <w:lang w:val="en-GB"/>
        </w:rPr>
      </w:pPr>
      <w:r w:rsidRPr="0012501A">
        <w:rPr>
          <w:lang w:val="en-GB"/>
        </w:rPr>
        <w:t>A third challenge involves the structural conditions of contemporary social work practice, which in many contexts are characterised by high caseloads, bureaucratic managerialism, risk-averse organisational cultures, and funding arrangements oriented towards short-term outputs rather than long-term relationship building and community empowerment. These structural conditions are fundamentally inhospitable to the kind of relational, community-centred, and culturally responsive practice that genuine integration with Indigenous value systems demands (Morley &amp; Macfarlane, 2012). Addressing this challenge requires political advocacy for the transformation of welfare state structures and funding environments, as well as the development of alternative social service models that are less dependent on state bureaucratic structures. Without such structural changes, individual practitioners committed to culturally responsive practice may find themselves constrained by organisational conditions that make sustained relational and community-oriented work practically impossible.</w:t>
      </w:r>
    </w:p>
    <w:p w14:paraId="3DCDE881" w14:textId="77777777" w:rsidR="00B32E9E" w:rsidRPr="0012501A" w:rsidRDefault="0012501A">
      <w:pPr>
        <w:spacing w:after="160" w:line="360" w:lineRule="auto"/>
        <w:ind w:firstLine="720"/>
        <w:jc w:val="both"/>
        <w:rPr>
          <w:lang w:val="en-GB"/>
        </w:rPr>
      </w:pPr>
      <w:r w:rsidRPr="0012501A">
        <w:rPr>
          <w:lang w:val="en-GB"/>
        </w:rPr>
        <w:t xml:space="preserve">A fourth and particularly significant challenge concerns the epistemological tensions between Indigenous knowledge systems and the evidence-based practice paradigm that has become dominant in contemporary social work and health systems. The assumption that interventions are only legitimate if their efficacy can be demonstrated through randomised controlled trials or systematic reviews is fundamentally incompatible with Indigenous knowledge systems that derive their authority from tradition, community consensus, spiritual practice, and relational wisdom rather than empirical experimentation (Simonds &amp; Christopher, 2013). Navigating these tensions requires a broader and more pluralistic conception of evidence and a recognition that the epistemological criteria of Western clinical research represent one valid approach to knowledge validation among several. </w:t>
      </w:r>
      <w:proofErr w:type="spellStart"/>
      <w:r w:rsidRPr="0012501A">
        <w:rPr>
          <w:lang w:val="en-GB"/>
        </w:rPr>
        <w:t>Kirmayer</w:t>
      </w:r>
      <w:proofErr w:type="spellEnd"/>
      <w:r w:rsidRPr="0012501A">
        <w:rPr>
          <w:lang w:val="en-GB"/>
        </w:rPr>
        <w:t xml:space="preserve"> and colleagues (2011) have noted that Western biomedical frameworks and Indigenous healing approaches are not necessarily mutually exclusive but operate according to different logics that may be genuinely complementary when engaged with appropriate epistemological humility.</w:t>
      </w:r>
    </w:p>
    <w:p w14:paraId="1F5D69D1" w14:textId="77777777" w:rsidR="00B32E9E" w:rsidRPr="0012501A" w:rsidRDefault="0012501A">
      <w:pPr>
        <w:spacing w:after="160" w:line="360" w:lineRule="auto"/>
        <w:ind w:firstLine="720"/>
        <w:jc w:val="both"/>
        <w:rPr>
          <w:lang w:val="en-GB"/>
        </w:rPr>
      </w:pPr>
      <w:r w:rsidRPr="0012501A">
        <w:rPr>
          <w:lang w:val="en-GB"/>
        </w:rPr>
        <w:t xml:space="preserve">A fifth challenge concerns workforce development and the significant shortage of Indigenous social workers in many national contexts. The effectiveness of integrative practice </w:t>
      </w:r>
      <w:r w:rsidRPr="0012501A">
        <w:rPr>
          <w:lang w:val="en-GB"/>
        </w:rPr>
        <w:lastRenderedPageBreak/>
        <w:t>is substantially enhanced when practitioners share cultural knowledge and community membership with the populations they serve, and the under-representation of Indigenous peoples within the social work profession is therefore both a social justice concern and a practical constraint on the implementation of culturally grounded approaches (Bainbridge et al., 2015). Addressing this under-representation requires not merely recruitment initiatives but a thoroughgoing transformation of the educational and professional conditions that currently make social work an unwelcoming and culturally unsafe environment for many Indigenous students and practitioners.</w:t>
      </w:r>
    </w:p>
    <w:p w14:paraId="5DB13F4E" w14:textId="77777777" w:rsidR="00B32E9E" w:rsidRPr="0012501A" w:rsidRDefault="0012501A">
      <w:pPr>
        <w:pStyle w:val="Heading1"/>
        <w:rPr>
          <w:lang w:val="en-GB"/>
        </w:rPr>
      </w:pPr>
      <w:r w:rsidRPr="0012501A">
        <w:rPr>
          <w:lang w:val="en-GB"/>
        </w:rPr>
        <w:t>9. Implications for Social Work Education, Policy, and Practice</w:t>
      </w:r>
    </w:p>
    <w:p w14:paraId="73D67F01" w14:textId="77777777" w:rsidR="00B32E9E" w:rsidRPr="0012501A" w:rsidRDefault="0012501A">
      <w:pPr>
        <w:spacing w:after="160" w:line="360" w:lineRule="auto"/>
        <w:ind w:firstLine="720"/>
        <w:jc w:val="both"/>
        <w:rPr>
          <w:lang w:val="en-GB"/>
        </w:rPr>
      </w:pPr>
      <w:r w:rsidRPr="0012501A">
        <w:rPr>
          <w:lang w:val="en-GB"/>
        </w:rPr>
        <w:t>The conceptual framework and analysis presented in this article have several significant implications for social work education, policy development, and frontline practice that warrant explicit discussion. These implications are presented not as a definitive prescriptive agenda but as a set of directions for further development, grounded in the theoretical synthesis that the article has undertaken.</w:t>
      </w:r>
    </w:p>
    <w:p w14:paraId="06D34A3E" w14:textId="77777777" w:rsidR="00B32E9E" w:rsidRPr="0012501A" w:rsidRDefault="0012501A">
      <w:pPr>
        <w:spacing w:after="160" w:line="360" w:lineRule="auto"/>
        <w:ind w:firstLine="720"/>
        <w:jc w:val="both"/>
        <w:rPr>
          <w:lang w:val="en-GB"/>
        </w:rPr>
      </w:pPr>
      <w:r w:rsidRPr="0012501A">
        <w:rPr>
          <w:lang w:val="en-GB"/>
        </w:rPr>
        <w:t>In the domain of education, universities and professional schools delivering social work training bear a particular responsibility for equipping graduates with the knowledge, skills, and dispositions required for culturally responsive and decolonising practice. This responsibility extends beyond the inclusion of units on Indigenous history and culture to encompass a thoroughgoing engagement with Indigenous epistemologies as legitimate bodies of knowledge that should inform the theoretical foundations of social work, not merely its cultural applications (</w:t>
      </w:r>
      <w:proofErr w:type="spellStart"/>
      <w:r w:rsidRPr="0012501A">
        <w:rPr>
          <w:lang w:val="en-GB"/>
        </w:rPr>
        <w:t>Dumbrill</w:t>
      </w:r>
      <w:proofErr w:type="spellEnd"/>
      <w:r w:rsidRPr="0012501A">
        <w:rPr>
          <w:lang w:val="en-GB"/>
        </w:rPr>
        <w:t xml:space="preserve"> &amp; Green, 2008). The employment of Indigenous academics, the development of Indigenous-designed and Indigenous-delivered curriculum content, and the creation of genuine partnerships with Indigenous communities as co-educators are among the structural changes that serious engagement with this responsibility entails. The pedagogy of social work education itself must also be reconsidered, with greater attention to relational, experiential, and land-based learning approaches that align with Indigenous pedagogical traditions.</w:t>
      </w:r>
    </w:p>
    <w:p w14:paraId="72D3F02E" w14:textId="77777777" w:rsidR="00B32E9E" w:rsidRPr="0012501A" w:rsidRDefault="0012501A">
      <w:pPr>
        <w:spacing w:after="160" w:line="360" w:lineRule="auto"/>
        <w:ind w:firstLine="720"/>
        <w:jc w:val="both"/>
        <w:rPr>
          <w:lang w:val="en-GB"/>
        </w:rPr>
      </w:pPr>
      <w:r w:rsidRPr="0012501A">
        <w:rPr>
          <w:lang w:val="en-GB"/>
        </w:rPr>
        <w:t xml:space="preserve">At the policy level, the analysis presented in this article underscores the importance of aligning national social welfare policies with the commitments enshrined in international human rights instruments, particularly the UNDRIP (United Nations, 2007). This includes ensuring that Indigenous communities have genuine and meaningful participation in the design, governance, and evaluation of social welfare programmes that affect them, that </w:t>
      </w:r>
      <w:r w:rsidRPr="0012501A">
        <w:rPr>
          <w:lang w:val="en-GB"/>
        </w:rPr>
        <w:lastRenderedPageBreak/>
        <w:t>Indigenous-controlled social service organisations receive adequate and sustained funding, and that cultural safety and self-determination are enshrined as foundational principles of social welfare policy rather than discretionary extras. The World Bank (2019) has documented evidence that investing in Indigenous peoples' rights and capacities generates significant social and economic returns, providing a pragmatic complement to the moral case for structural transformation. Policy frameworks that operationalise the principles of the UNDRIP in specific national and local welfare contexts represent an important area for further development, requiring sustained collaboration between policymakers, Indigenous communities, and social work organisations.</w:t>
      </w:r>
    </w:p>
    <w:p w14:paraId="47B215BD" w14:textId="77777777" w:rsidR="00B32E9E" w:rsidRPr="0012501A" w:rsidRDefault="0012501A">
      <w:pPr>
        <w:spacing w:after="160" w:line="360" w:lineRule="auto"/>
        <w:ind w:firstLine="720"/>
        <w:jc w:val="both"/>
        <w:rPr>
          <w:lang w:val="en-GB"/>
        </w:rPr>
      </w:pPr>
      <w:r w:rsidRPr="0012501A">
        <w:rPr>
          <w:lang w:val="en-GB"/>
        </w:rPr>
        <w:t>In terms of frontline practice, the framework proposed in this article suggests several concrete orientations that practitioners may find valuable as starting points for developing more culturally responsive approaches. Social workers working with Indigenous clients and communities should prioritise relationship building as a core professional activity, investing time in learning about the specific cultural contexts, histories, and strengths of the communities they serve rather than applying generic cultural competence frameworks. They should actively seek out and collaborate with Indigenous cultural brokers, Elders, and knowledge holders rather than positioning themselves as the primary experts on their clients' well-being. They should approach assessment and intervention with genuine epistemic humility, recognising that their professional training, however valuable, provides them with only a partial view of the complex relational and cultural dimensions of Indigenous well-being (</w:t>
      </w:r>
      <w:proofErr w:type="spellStart"/>
      <w:r w:rsidRPr="0012501A">
        <w:rPr>
          <w:lang w:val="en-GB"/>
        </w:rPr>
        <w:t>Absolon</w:t>
      </w:r>
      <w:proofErr w:type="spellEnd"/>
      <w:r w:rsidRPr="0012501A">
        <w:rPr>
          <w:lang w:val="en-GB"/>
        </w:rPr>
        <w:t xml:space="preserve">, 2010; </w:t>
      </w:r>
      <w:proofErr w:type="spellStart"/>
      <w:r w:rsidRPr="0012501A">
        <w:rPr>
          <w:lang w:val="en-GB"/>
        </w:rPr>
        <w:t>Kirmayer</w:t>
      </w:r>
      <w:proofErr w:type="spellEnd"/>
      <w:r w:rsidRPr="0012501A">
        <w:rPr>
          <w:lang w:val="en-GB"/>
        </w:rPr>
        <w:t xml:space="preserve"> et al., 2011).</w:t>
      </w:r>
    </w:p>
    <w:p w14:paraId="15F8C569" w14:textId="77777777" w:rsidR="00B32E9E" w:rsidRPr="0012501A" w:rsidRDefault="0012501A">
      <w:pPr>
        <w:spacing w:after="160" w:line="360" w:lineRule="auto"/>
        <w:ind w:firstLine="720"/>
        <w:jc w:val="both"/>
        <w:rPr>
          <w:lang w:val="en-GB"/>
        </w:rPr>
      </w:pPr>
      <w:r w:rsidRPr="0012501A">
        <w:rPr>
          <w:lang w:val="en-GB"/>
        </w:rPr>
        <w:t xml:space="preserve">The implications for supervision and organisational culture are equally significant. Supervisors and managers have a critical role in creating the conditions within which culturally responsive practice can flourish, including through the provision of regular, reflective, and culturally informed supervision, the active recruitment and retention of Indigenous social workers, and the development of organisational cultures that value and protect cultural knowledge (Cargo &amp; Mercer, 2008). Bainbridge and colleagues (2015) have argued that evaluation and accountability frameworks in Indigenous social welfare contexts must be co-designed with communities, ensuring that what is measured reflects community priorities rather than merely the reporting requirements of funders. Without these supportive organisational conditions, even the most committed and culturally knowledgeable practitioners will struggle to translate their commitments into sustained practice change. The creation of culturally safe organisational environments is therefore not merely an ethical </w:t>
      </w:r>
      <w:r w:rsidRPr="0012501A">
        <w:rPr>
          <w:lang w:val="en-GB"/>
        </w:rPr>
        <w:lastRenderedPageBreak/>
        <w:t>aspiration but a practical prerequisite for the effective implementation of the framework this article proposes (Curtis et al., 2019).</w:t>
      </w:r>
    </w:p>
    <w:p w14:paraId="03BA0725" w14:textId="77777777" w:rsidR="00B32E9E" w:rsidRPr="0012501A" w:rsidRDefault="0012501A">
      <w:pPr>
        <w:spacing w:after="160" w:line="360" w:lineRule="auto"/>
        <w:ind w:firstLine="720"/>
        <w:jc w:val="both"/>
        <w:rPr>
          <w:lang w:val="en-GB"/>
        </w:rPr>
      </w:pPr>
      <w:r w:rsidRPr="0012501A">
        <w:rPr>
          <w:lang w:val="en-GB"/>
        </w:rPr>
        <w:t>Finally, the implications for research are substantial. The field of Indigenous social work requires a substantial expansion of empirical research that is co-designed with Indigenous communities, employs Indigenous-appropriate methodologies, and is evaluated against community-defined outcome criteria. Such research should attend not only to the outcomes of specific interventions but to the relational and structural conditions that enable or inhibit culturally responsive practice. Simonds and Christopher (2013) have provided valuable guidance on adapting research methods to Indigenous ways of knowing, and their framework offers a useful starting point for the development of a more robust research base for Indigenous social work practice. The challenge of building such a research base within a professional and academic culture that continues to privilege Western methodological conventions is significant but not insuperable, and the growing body of Indigenous scholarship offers important intellectual resources for meeting it.</w:t>
      </w:r>
    </w:p>
    <w:p w14:paraId="12B0BA2F" w14:textId="77777777" w:rsidR="00B32E9E" w:rsidRPr="0012501A" w:rsidRDefault="0012501A">
      <w:pPr>
        <w:pStyle w:val="Heading1"/>
        <w:rPr>
          <w:lang w:val="en-GB"/>
        </w:rPr>
      </w:pPr>
      <w:r w:rsidRPr="0012501A">
        <w:rPr>
          <w:lang w:val="en-GB"/>
        </w:rPr>
        <w:t>10. Conclusions</w:t>
      </w:r>
    </w:p>
    <w:p w14:paraId="20E36934" w14:textId="77777777" w:rsidR="00B32E9E" w:rsidRPr="0012501A" w:rsidRDefault="0012501A">
      <w:pPr>
        <w:spacing w:after="160" w:line="360" w:lineRule="auto"/>
        <w:ind w:firstLine="720"/>
        <w:jc w:val="both"/>
        <w:rPr>
          <w:lang w:val="en-GB"/>
        </w:rPr>
      </w:pPr>
      <w:r w:rsidRPr="0012501A">
        <w:rPr>
          <w:lang w:val="en-GB"/>
        </w:rPr>
        <w:t xml:space="preserve">This article has argued that the </w:t>
      </w:r>
      <w:proofErr w:type="spellStart"/>
      <w:r w:rsidRPr="0012501A">
        <w:rPr>
          <w:lang w:val="en-GB"/>
        </w:rPr>
        <w:t>synergisation</w:t>
      </w:r>
      <w:proofErr w:type="spellEnd"/>
      <w:r w:rsidRPr="0012501A">
        <w:rPr>
          <w:lang w:val="en-GB"/>
        </w:rPr>
        <w:t xml:space="preserve"> of social work and Indigenous value systems represents both an ethical imperative and a practical opportunity for a profession committed to social justice, human rights, and the enhancement of well-being. The convergences identified between social work theory and Indigenous philosophical orientations—encompassing holistic well-being, relational ontologies, community-centred practice, and ecological interconnectedness—suggest that genuine integration is intellectually coherent and professionally enriching rather than a mere exercise in cultural accommodation. The shared commitments of the two traditions to structural critique, collective agency, and the transformation of oppressive conditions provide a substantive basis for productive theoretical exchange and collaborative practice development.</w:t>
      </w:r>
    </w:p>
    <w:p w14:paraId="4F47B858" w14:textId="77777777" w:rsidR="00B32E9E" w:rsidRPr="0012501A" w:rsidRDefault="0012501A">
      <w:pPr>
        <w:spacing w:after="160" w:line="360" w:lineRule="auto"/>
        <w:ind w:firstLine="720"/>
        <w:jc w:val="both"/>
        <w:rPr>
          <w:lang w:val="en-GB"/>
        </w:rPr>
      </w:pPr>
      <w:r w:rsidRPr="0012501A">
        <w:rPr>
          <w:lang w:val="en-GB"/>
        </w:rPr>
        <w:t xml:space="preserve">The conceptual framework proposed, built upon the principles of epistemic pluralism, relational accountability, cultural safety, and structural transformation, and comprising the components of knowledge integration, relational practice, community empowerment, healing and cultural restoration, and advocacy for structural change, offers a comprehensive orientation for reimagining social work in ways that are genuinely responsive to Indigenous peoples' needs, rights, and aspirations. The framework draws on a wide and growing body of scholarship that is challenging the Eurocentric epistemological foundations of mainstream </w:t>
      </w:r>
      <w:r w:rsidRPr="0012501A">
        <w:rPr>
          <w:lang w:val="en-GB"/>
        </w:rPr>
        <w:lastRenderedPageBreak/>
        <w:t>social work and articulating intellectually rigorous and practically grounded alternatives. Its adoption across the full spectrum of social work education, policy, and practice represents a significant but achievable aspiration for a profession prepared to take seriously its own stated commitments to social justice and human dignity.</w:t>
      </w:r>
    </w:p>
    <w:p w14:paraId="0D77FA9D" w14:textId="77777777" w:rsidR="00B32E9E" w:rsidRPr="0012501A" w:rsidRDefault="0012501A">
      <w:pPr>
        <w:spacing w:after="160" w:line="360" w:lineRule="auto"/>
        <w:ind w:firstLine="720"/>
        <w:jc w:val="both"/>
        <w:rPr>
          <w:lang w:val="en-GB"/>
        </w:rPr>
      </w:pPr>
      <w:r w:rsidRPr="0012501A">
        <w:rPr>
          <w:lang w:val="en-GB"/>
        </w:rPr>
        <w:t xml:space="preserve">This article has also been candid about the significant challenges and barriers to genuine integration, including the risks of tokenism, the tensions between Indigenous epistemological diversity and the pressures of programmatic generalisation, the structural </w:t>
      </w:r>
      <w:proofErr w:type="spellStart"/>
      <w:r w:rsidRPr="0012501A">
        <w:rPr>
          <w:lang w:val="en-GB"/>
        </w:rPr>
        <w:t>inhospitability</w:t>
      </w:r>
      <w:proofErr w:type="spellEnd"/>
      <w:r w:rsidRPr="0012501A">
        <w:rPr>
          <w:lang w:val="en-GB"/>
        </w:rPr>
        <w:t xml:space="preserve"> of contemporary welfare state conditions, and the deep tensions between Indigenous knowledge systems and dominant evidence paradigms. These challenges are real and consequential, and addressing them requires not merely good intentions but sustained structural transformation, long-term investment in community partnerships, and a fundamental rethinking of the power relations within which social work practice is embedded. The prospect of genuine </w:t>
      </w:r>
      <w:proofErr w:type="spellStart"/>
      <w:r w:rsidRPr="0012501A">
        <w:rPr>
          <w:lang w:val="en-GB"/>
        </w:rPr>
        <w:t>synergisation</w:t>
      </w:r>
      <w:proofErr w:type="spellEnd"/>
      <w:r w:rsidRPr="0012501A">
        <w:rPr>
          <w:lang w:val="en-GB"/>
        </w:rPr>
        <w:t xml:space="preserve"> between social work and Indigenous value systems is compelling, but its realisation demands intellectual courage, institutional commitment, and genuine solidarity with Indigenous peoples in their ongoing pursuit of self-determination and well-being. The social work profession has both the theoretical resources and the ethical mandate to rise to this challenge; the question is whether it possesses the collective will to do so.</w:t>
      </w:r>
    </w:p>
    <w:p w14:paraId="4ED60910" w14:textId="77777777" w:rsidR="00B32E9E" w:rsidRPr="0012501A" w:rsidRDefault="0012501A">
      <w:pPr>
        <w:pStyle w:val="Heading1"/>
        <w:rPr>
          <w:lang w:val="en-GB"/>
        </w:rPr>
      </w:pPr>
      <w:r w:rsidRPr="0012501A">
        <w:rPr>
          <w:lang w:val="en-GB"/>
        </w:rPr>
        <w:t>11. Limitations</w:t>
      </w:r>
    </w:p>
    <w:p w14:paraId="04269537" w14:textId="77777777" w:rsidR="00B32E9E" w:rsidRPr="0012501A" w:rsidRDefault="0012501A">
      <w:pPr>
        <w:spacing w:after="160" w:line="360" w:lineRule="auto"/>
        <w:ind w:firstLine="720"/>
        <w:jc w:val="both"/>
        <w:rPr>
          <w:lang w:val="en-GB"/>
        </w:rPr>
      </w:pPr>
      <w:r w:rsidRPr="0012501A">
        <w:rPr>
          <w:lang w:val="en-GB"/>
        </w:rPr>
        <w:t>Several limitations of this review should be acknowledged. First, as a narrative review, the article does not employ the systematic selection and quality assessment procedures of a systematic review, and its conclusions are therefore susceptible to the selection biases and interpretive frameworks of the reviewing process. The use of theoretical saturation rather than predefined inclusion and exclusion criteria for all literature means that the coverage of the field, whilst broad, is not exhaustive, and important works may have been inadvertently excluded.</w:t>
      </w:r>
    </w:p>
    <w:p w14:paraId="57370FC2" w14:textId="77777777" w:rsidR="00B32E9E" w:rsidRPr="0012501A" w:rsidRDefault="0012501A">
      <w:pPr>
        <w:spacing w:after="160" w:line="360" w:lineRule="auto"/>
        <w:ind w:firstLine="720"/>
        <w:jc w:val="both"/>
        <w:rPr>
          <w:lang w:val="en-GB"/>
        </w:rPr>
      </w:pPr>
      <w:r w:rsidRPr="0012501A">
        <w:rPr>
          <w:lang w:val="en-GB"/>
        </w:rPr>
        <w:t xml:space="preserve">Second, the article's literature base is predominantly drawn from English-language sources, which may underrepresent important scholarship produced in other languages or within non-Anglophone Indigenous contexts. This limitation reflects both the language restriction applied in the search strategy and the broader structural inequalities in academic publishing that privilege English-language outlets. Indigenous scholars and communities </w:t>
      </w:r>
      <w:r w:rsidRPr="0012501A">
        <w:rPr>
          <w:lang w:val="en-GB"/>
        </w:rPr>
        <w:lastRenderedPageBreak/>
        <w:t>whose knowledge and perspectives are not represented in English-language academic literature are consequently less visible in the analysis presented here.</w:t>
      </w:r>
    </w:p>
    <w:p w14:paraId="766468D4" w14:textId="77777777" w:rsidR="00B32E9E" w:rsidRPr="0012501A" w:rsidRDefault="0012501A">
      <w:pPr>
        <w:spacing w:after="160" w:line="360" w:lineRule="auto"/>
        <w:ind w:firstLine="720"/>
        <w:jc w:val="both"/>
        <w:rPr>
          <w:lang w:val="en-GB"/>
        </w:rPr>
      </w:pPr>
      <w:r w:rsidRPr="0012501A">
        <w:rPr>
          <w:lang w:val="en-GB"/>
        </w:rPr>
        <w:t>Third, the article's conceptual framework, whilst drawing on diverse Indigenous traditions, inevitably reflects the particular Indigenous scholarship that has achieved prominence within English-language academic discourse, which is disproportionately drawn from North American, Australian, and Aotearoa New Zealand contexts. Indigenous peoples in Asia, Africa, the Pacific, and Latin America, whilst represented in some of the international literature cited, are underrepresented in the framework's development, and future work should seek to incorporate a more genuinely global range of Indigenous epistemological traditions.</w:t>
      </w:r>
    </w:p>
    <w:p w14:paraId="051687AD" w14:textId="77777777" w:rsidR="00B32E9E" w:rsidRPr="0012501A" w:rsidRDefault="0012501A">
      <w:pPr>
        <w:spacing w:after="160" w:line="360" w:lineRule="auto"/>
        <w:ind w:firstLine="720"/>
        <w:jc w:val="both"/>
        <w:rPr>
          <w:lang w:val="en-GB"/>
        </w:rPr>
      </w:pPr>
      <w:r w:rsidRPr="0012501A">
        <w:rPr>
          <w:lang w:val="en-GB"/>
        </w:rPr>
        <w:t>Fourth, the article is primarily conceptual and theoretical in orientation, and makes no claims about the empirical effectiveness of any specific practice approaches or interventions derived from the framework. Empirical research into the outcomes of integrated social work practice drawing on Indigenous knowledge systems is still relatively limited, and significant further work is needed to evaluate the impact of such approaches in diverse practice contexts. The conceptual framework should therefore be understood as a starting point for empirical investigation rather than as a finished product of proven practical utility.</w:t>
      </w:r>
    </w:p>
    <w:p w14:paraId="4C5FB8A9" w14:textId="1A1E856D" w:rsidR="00B32E9E" w:rsidRDefault="0012501A">
      <w:pPr>
        <w:spacing w:after="160" w:line="360" w:lineRule="auto"/>
        <w:ind w:firstLine="720"/>
        <w:jc w:val="both"/>
        <w:rPr>
          <w:lang w:val="en-GB"/>
        </w:rPr>
      </w:pPr>
      <w:r w:rsidRPr="0012501A">
        <w:rPr>
          <w:lang w:val="en-GB"/>
        </w:rPr>
        <w:t xml:space="preserve">Finally, the article does not substantively address the perspectives of social workers who are themselves Indigenous peoples, whose experiences, knowledge, and insights are of central importance to the project of </w:t>
      </w:r>
      <w:proofErr w:type="spellStart"/>
      <w:r w:rsidRPr="0012501A">
        <w:rPr>
          <w:lang w:val="en-GB"/>
        </w:rPr>
        <w:t>synergisation</w:t>
      </w:r>
      <w:proofErr w:type="spellEnd"/>
      <w:r w:rsidRPr="0012501A">
        <w:rPr>
          <w:lang w:val="en-GB"/>
        </w:rPr>
        <w:t>. Future research should prioritise the amplification of Indigenous social workers' voices and the integration of their practice wisdom into the ongoing development of this field.</w:t>
      </w:r>
    </w:p>
    <w:p w14:paraId="3C849F05" w14:textId="77777777" w:rsidR="00B3631B" w:rsidRPr="00CA3906" w:rsidRDefault="00B3631B" w:rsidP="00B3631B">
      <w:pPr>
        <w:rPr>
          <w:b/>
          <w:highlight w:val="yellow"/>
        </w:rPr>
      </w:pPr>
      <w:r w:rsidRPr="00CA3906">
        <w:rPr>
          <w:b/>
          <w:highlight w:val="yellow"/>
        </w:rPr>
        <w:t>Disclaimer (Artificial intelligence)</w:t>
      </w:r>
    </w:p>
    <w:p w14:paraId="46D5596F" w14:textId="77777777" w:rsidR="00B3631B" w:rsidRPr="00740879" w:rsidRDefault="00B3631B" w:rsidP="00B3631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FF16C22" w14:textId="77777777" w:rsidR="00B3631B" w:rsidRPr="0012501A" w:rsidRDefault="00B3631B">
      <w:pPr>
        <w:spacing w:after="160" w:line="360" w:lineRule="auto"/>
        <w:ind w:firstLine="720"/>
        <w:jc w:val="both"/>
        <w:rPr>
          <w:lang w:val="en-GB"/>
        </w:rPr>
      </w:pPr>
    </w:p>
    <w:p w14:paraId="0F3C09CF" w14:textId="77777777" w:rsidR="00B32E9E" w:rsidRPr="0012501A" w:rsidRDefault="0012501A">
      <w:pPr>
        <w:pStyle w:val="Heading1"/>
        <w:rPr>
          <w:lang w:val="en-GB"/>
        </w:rPr>
      </w:pPr>
      <w:r w:rsidRPr="0012501A">
        <w:rPr>
          <w:lang w:val="en-GB"/>
        </w:rPr>
        <w:t>References</w:t>
      </w:r>
    </w:p>
    <w:p w14:paraId="0D50F895" w14:textId="77777777" w:rsidR="00B32E9E" w:rsidRPr="0012501A" w:rsidRDefault="0012501A">
      <w:pPr>
        <w:spacing w:after="120" w:line="276" w:lineRule="auto"/>
        <w:ind w:left="720" w:hanging="720"/>
        <w:jc w:val="both"/>
        <w:rPr>
          <w:lang w:val="en-GB"/>
        </w:rPr>
      </w:pPr>
      <w:r w:rsidRPr="0012501A">
        <w:rPr>
          <w:sz w:val="22"/>
          <w:szCs w:val="22"/>
          <w:lang w:val="en-GB"/>
        </w:rPr>
        <w:t>Absolon, K. E. (2010). Indigenous wholistic theory: A knowledge set for practice. First Peoples Child &amp; Family Review, 5(2), 74–87. https://doi.org/10.7202/1068933ar</w:t>
      </w:r>
    </w:p>
    <w:p w14:paraId="765D3050" w14:textId="77777777" w:rsidR="00B32E9E" w:rsidRPr="0012501A" w:rsidRDefault="0012501A">
      <w:pPr>
        <w:spacing w:after="120" w:line="276" w:lineRule="auto"/>
        <w:ind w:left="720" w:hanging="720"/>
        <w:jc w:val="both"/>
        <w:rPr>
          <w:lang w:val="en-GB"/>
        </w:rPr>
      </w:pPr>
      <w:r w:rsidRPr="0012501A">
        <w:rPr>
          <w:sz w:val="22"/>
          <w:szCs w:val="22"/>
          <w:lang w:val="en-GB"/>
        </w:rPr>
        <w:t xml:space="preserve">Bainbridge, R., </w:t>
      </w:r>
      <w:proofErr w:type="spellStart"/>
      <w:r w:rsidRPr="0012501A">
        <w:rPr>
          <w:sz w:val="22"/>
          <w:szCs w:val="22"/>
          <w:lang w:val="en-GB"/>
        </w:rPr>
        <w:t>Tsey</w:t>
      </w:r>
      <w:proofErr w:type="spellEnd"/>
      <w:r w:rsidRPr="0012501A">
        <w:rPr>
          <w:sz w:val="22"/>
          <w:szCs w:val="22"/>
          <w:lang w:val="en-GB"/>
        </w:rPr>
        <w:t xml:space="preserve">, K., McCalman, J., </w:t>
      </w:r>
      <w:proofErr w:type="spellStart"/>
      <w:r w:rsidRPr="0012501A">
        <w:rPr>
          <w:sz w:val="22"/>
          <w:szCs w:val="22"/>
          <w:lang w:val="en-GB"/>
        </w:rPr>
        <w:t>Kinchin</w:t>
      </w:r>
      <w:proofErr w:type="spellEnd"/>
      <w:r w:rsidRPr="0012501A">
        <w:rPr>
          <w:sz w:val="22"/>
          <w:szCs w:val="22"/>
          <w:lang w:val="en-GB"/>
        </w:rPr>
        <w:t xml:space="preserve">, I., Saunders, V., Watkin Lui, F., Cadet-James, Y., Miller, A., &amp; Lawson, K. (2015). No one's discussing the elephant in the room: Contemplating questions of research impact and benefit in Aboriginal and Torres Strait </w:t>
      </w:r>
      <w:r w:rsidRPr="0012501A">
        <w:rPr>
          <w:sz w:val="22"/>
          <w:szCs w:val="22"/>
          <w:lang w:val="en-GB"/>
        </w:rPr>
        <w:lastRenderedPageBreak/>
        <w:t>Islander Australian health research. BMC Public Health, 15, 696. https://doi.org/10.1186/s12889-015-2052-3</w:t>
      </w:r>
    </w:p>
    <w:p w14:paraId="70135223" w14:textId="77777777" w:rsidR="00B32E9E" w:rsidRPr="0012501A" w:rsidRDefault="0012501A">
      <w:pPr>
        <w:spacing w:after="120" w:line="276" w:lineRule="auto"/>
        <w:ind w:left="720" w:hanging="720"/>
        <w:jc w:val="both"/>
        <w:rPr>
          <w:lang w:val="en-GB"/>
        </w:rPr>
      </w:pPr>
      <w:r w:rsidRPr="0012501A">
        <w:rPr>
          <w:sz w:val="22"/>
          <w:szCs w:val="22"/>
          <w:lang w:val="en-GB"/>
        </w:rPr>
        <w:t>Bennett, B., &amp; Zubrzycki, J. (2003). Hearing the stories of Australian Aboriginal and Torres Strait Islander social workers: Challenging and educating the system. Australian Social Work, 56(1), 61–70. https://doi.org/10.1046/j.0312-407X.2003.00054.x</w:t>
      </w:r>
    </w:p>
    <w:p w14:paraId="30430A44" w14:textId="77777777" w:rsidR="00B32E9E" w:rsidRPr="0012501A" w:rsidRDefault="0012501A">
      <w:pPr>
        <w:spacing w:after="120" w:line="276" w:lineRule="auto"/>
        <w:ind w:left="720" w:hanging="720"/>
        <w:jc w:val="both"/>
        <w:rPr>
          <w:lang w:val="en-GB"/>
        </w:rPr>
      </w:pPr>
      <w:r w:rsidRPr="0012501A">
        <w:rPr>
          <w:sz w:val="22"/>
          <w:szCs w:val="22"/>
          <w:lang w:val="en-GB"/>
        </w:rPr>
        <w:t>Blackstock, C. (2009). The occasional evil of angels: Learning from the experiences of Aboriginal peoples and social work. First Peoples Child &amp; Family Review, 4(1), 28–37. https://doi.org/10.7202/1069347ar</w:t>
      </w:r>
    </w:p>
    <w:p w14:paraId="16EDAECB" w14:textId="77777777" w:rsidR="00B32E9E" w:rsidRPr="0012501A" w:rsidRDefault="0012501A">
      <w:pPr>
        <w:spacing w:after="120" w:line="276" w:lineRule="auto"/>
        <w:ind w:left="720" w:hanging="720"/>
        <w:jc w:val="both"/>
        <w:rPr>
          <w:lang w:val="en-GB"/>
        </w:rPr>
      </w:pPr>
      <w:r w:rsidRPr="0012501A">
        <w:rPr>
          <w:sz w:val="22"/>
          <w:szCs w:val="22"/>
          <w:lang w:val="en-GB"/>
        </w:rPr>
        <w:t>Brave Heart, M. Y. H., Chase, J., Elkins, J., &amp; Altschul, D. B. (2011). Historical trauma among Indigenous peoples of the Americas: Concepts, research, and clinical considerations. Journal of Psychoactive Drugs, 43(4), 282–290. https://doi.org/10.1080/02791072.2011.628913</w:t>
      </w:r>
    </w:p>
    <w:p w14:paraId="37575E4A" w14:textId="77777777" w:rsidR="00B32E9E" w:rsidRPr="0012501A" w:rsidRDefault="0012501A">
      <w:pPr>
        <w:spacing w:after="120" w:line="276" w:lineRule="auto"/>
        <w:ind w:left="720" w:hanging="720"/>
        <w:jc w:val="both"/>
        <w:rPr>
          <w:lang w:val="en-GB"/>
        </w:rPr>
      </w:pPr>
      <w:r w:rsidRPr="0012501A">
        <w:rPr>
          <w:sz w:val="22"/>
          <w:szCs w:val="22"/>
          <w:lang w:val="en-GB"/>
        </w:rPr>
        <w:t>Cargo, M., &amp; Mercer, S. L. (2008). The value and challenges of participatory research: Strengthening its practice. Annual Review of Public Health, 29, 325–350. https://doi.org/10.1146/annurev.publhealth.29.091307.083824</w:t>
      </w:r>
    </w:p>
    <w:p w14:paraId="2DC90DBB" w14:textId="77777777" w:rsidR="00B32E9E" w:rsidRPr="0012501A" w:rsidRDefault="0012501A">
      <w:pPr>
        <w:spacing w:after="120" w:line="276" w:lineRule="auto"/>
        <w:ind w:left="720" w:hanging="720"/>
        <w:jc w:val="both"/>
        <w:rPr>
          <w:lang w:val="en-GB"/>
        </w:rPr>
      </w:pPr>
      <w:r w:rsidRPr="0012501A">
        <w:rPr>
          <w:sz w:val="22"/>
          <w:szCs w:val="22"/>
          <w:lang w:val="en-GB"/>
        </w:rPr>
        <w:t>Coates, J., Gray, M., &amp; Hetherington, T. (2006). An '</w:t>
      </w:r>
      <w:proofErr w:type="spellStart"/>
      <w:r w:rsidRPr="0012501A">
        <w:rPr>
          <w:sz w:val="22"/>
          <w:szCs w:val="22"/>
          <w:lang w:val="en-GB"/>
        </w:rPr>
        <w:t>ecospiritual</w:t>
      </w:r>
      <w:proofErr w:type="spellEnd"/>
      <w:r w:rsidRPr="0012501A">
        <w:rPr>
          <w:sz w:val="22"/>
          <w:szCs w:val="22"/>
          <w:lang w:val="en-GB"/>
        </w:rPr>
        <w:t>' perspective: Finally, a place for Indigenous approaches. British Journal of Social Work, 36(3), 381–399. https://doi.org/10.1093/bjsw/bcl005</w:t>
      </w:r>
    </w:p>
    <w:p w14:paraId="15209867" w14:textId="77777777" w:rsidR="00B32E9E" w:rsidRPr="0012501A" w:rsidRDefault="0012501A">
      <w:pPr>
        <w:spacing w:after="120" w:line="276" w:lineRule="auto"/>
        <w:ind w:left="720" w:hanging="720"/>
        <w:jc w:val="both"/>
        <w:rPr>
          <w:lang w:val="en-GB"/>
        </w:rPr>
      </w:pPr>
      <w:r w:rsidRPr="0012501A">
        <w:rPr>
          <w:sz w:val="22"/>
          <w:szCs w:val="22"/>
          <w:lang w:val="en-GB"/>
        </w:rPr>
        <w:t>Curtis, E., Jones, R., Tipene-Leach, D., Walker, C., Loring, B., Paine, S. J., &amp; Reid, P. (2019). Why cultural safety rather than cultural competency is required to achieve health equity: A literature review and recommended definition. International Journal for Equity in Health, 18, 174. https://doi.org/10.1186/s12939-019-1082-3</w:t>
      </w:r>
    </w:p>
    <w:p w14:paraId="1E835640" w14:textId="77777777" w:rsidR="00B32E9E" w:rsidRPr="0012501A" w:rsidRDefault="0012501A">
      <w:pPr>
        <w:spacing w:after="120" w:line="276" w:lineRule="auto"/>
        <w:ind w:left="720" w:hanging="720"/>
        <w:jc w:val="both"/>
        <w:rPr>
          <w:lang w:val="en-GB"/>
        </w:rPr>
      </w:pPr>
      <w:proofErr w:type="spellStart"/>
      <w:r w:rsidRPr="0012501A">
        <w:rPr>
          <w:sz w:val="22"/>
          <w:szCs w:val="22"/>
          <w:lang w:val="en-GB"/>
        </w:rPr>
        <w:t>Dumbrill</w:t>
      </w:r>
      <w:proofErr w:type="spellEnd"/>
      <w:r w:rsidRPr="0012501A">
        <w:rPr>
          <w:sz w:val="22"/>
          <w:szCs w:val="22"/>
          <w:lang w:val="en-GB"/>
        </w:rPr>
        <w:t>, G. C., &amp; Green, J. (2008). Indigenous knowledge in the social work academy. Social Work Education, 27(5), 489–503. https://doi.org/10.1080/02615470701379891</w:t>
      </w:r>
    </w:p>
    <w:p w14:paraId="2F909CE2" w14:textId="77777777" w:rsidR="00B32E9E" w:rsidRPr="0012501A" w:rsidRDefault="0012501A">
      <w:pPr>
        <w:spacing w:after="120" w:line="276" w:lineRule="auto"/>
        <w:ind w:left="720" w:hanging="720"/>
        <w:jc w:val="both"/>
        <w:rPr>
          <w:lang w:val="en-GB"/>
        </w:rPr>
      </w:pPr>
      <w:r w:rsidRPr="0012501A">
        <w:rPr>
          <w:sz w:val="22"/>
          <w:szCs w:val="22"/>
          <w:lang w:val="en-GB"/>
        </w:rPr>
        <w:t xml:space="preserve">Duran, E., Firehammer, J., &amp; Gonzalez, J. (2008). Liberation psychology as the path toward healing cultural soul wounds. Journal of </w:t>
      </w:r>
      <w:proofErr w:type="spellStart"/>
      <w:r w:rsidRPr="0012501A">
        <w:rPr>
          <w:sz w:val="22"/>
          <w:szCs w:val="22"/>
          <w:lang w:val="en-GB"/>
        </w:rPr>
        <w:t>Counseling</w:t>
      </w:r>
      <w:proofErr w:type="spellEnd"/>
      <w:r w:rsidRPr="0012501A">
        <w:rPr>
          <w:sz w:val="22"/>
          <w:szCs w:val="22"/>
          <w:lang w:val="en-GB"/>
        </w:rPr>
        <w:t xml:space="preserve"> &amp; Development, 86(3), 288–295. https://doi.org/10.1002/j.1556-6678.2008.tb00511.x</w:t>
      </w:r>
    </w:p>
    <w:p w14:paraId="59DF5674" w14:textId="77777777" w:rsidR="00B32E9E" w:rsidRPr="0012501A" w:rsidRDefault="0012501A">
      <w:pPr>
        <w:spacing w:after="120" w:line="276" w:lineRule="auto"/>
        <w:ind w:left="720" w:hanging="720"/>
        <w:jc w:val="both"/>
        <w:rPr>
          <w:lang w:val="en-GB"/>
        </w:rPr>
      </w:pPr>
      <w:r w:rsidRPr="0012501A">
        <w:rPr>
          <w:sz w:val="22"/>
          <w:szCs w:val="22"/>
          <w:lang w:val="en-GB"/>
        </w:rPr>
        <w:t>Durie, M. (2003). Providing health services to Indigenous peoples. BMJ, 327(7412), 408–409. https://doi.org/10.1136/bmj.327.7412.408</w:t>
      </w:r>
    </w:p>
    <w:p w14:paraId="68047D80" w14:textId="77777777" w:rsidR="00B32E9E" w:rsidRPr="0012501A" w:rsidRDefault="0012501A">
      <w:pPr>
        <w:spacing w:after="120" w:line="276" w:lineRule="auto"/>
        <w:ind w:left="720" w:hanging="720"/>
        <w:jc w:val="both"/>
        <w:rPr>
          <w:lang w:val="en-GB"/>
        </w:rPr>
      </w:pPr>
      <w:r w:rsidRPr="0012501A">
        <w:rPr>
          <w:sz w:val="22"/>
          <w:szCs w:val="22"/>
          <w:lang w:val="en-GB"/>
        </w:rPr>
        <w:t>Gone, J. P. (2009). A community-based treatment for Native American historical trauma: Prospects for evidence-based practice. Journal of Consulting and Clinical Psychology, 77(4), 751–762. https://doi.org/10.1037/a0015390</w:t>
      </w:r>
    </w:p>
    <w:p w14:paraId="0F4F7DC8" w14:textId="77777777" w:rsidR="00B32E9E" w:rsidRPr="0012501A" w:rsidRDefault="0012501A">
      <w:pPr>
        <w:spacing w:after="120" w:line="276" w:lineRule="auto"/>
        <w:ind w:left="720" w:hanging="720"/>
        <w:jc w:val="both"/>
        <w:rPr>
          <w:lang w:val="en-GB"/>
        </w:rPr>
      </w:pPr>
      <w:r w:rsidRPr="0012501A">
        <w:rPr>
          <w:sz w:val="22"/>
          <w:szCs w:val="22"/>
          <w:lang w:val="en-GB"/>
        </w:rPr>
        <w:t>Gray, M., &amp; Coates, J. (2010). "Indigenization" and knowledge development: Extending the debate. International Social Work, 53(5), 613–627. https://doi.org/10.1177/0020872810372160</w:t>
      </w:r>
    </w:p>
    <w:p w14:paraId="779912CE" w14:textId="77777777" w:rsidR="00B32E9E" w:rsidRPr="0012501A" w:rsidRDefault="0012501A">
      <w:pPr>
        <w:spacing w:after="120" w:line="276" w:lineRule="auto"/>
        <w:ind w:left="720" w:hanging="720"/>
        <w:jc w:val="both"/>
        <w:rPr>
          <w:lang w:val="en-GB"/>
        </w:rPr>
      </w:pPr>
      <w:r w:rsidRPr="0012501A">
        <w:rPr>
          <w:sz w:val="22"/>
          <w:szCs w:val="22"/>
          <w:lang w:val="en-GB"/>
        </w:rPr>
        <w:t>International Federation of Social Workers. (2014). Global definition of social work. https://www.ifsw.org/what-is-social-work/global-definition-of-social-work/</w:t>
      </w:r>
    </w:p>
    <w:p w14:paraId="46736F08" w14:textId="77777777" w:rsidR="00B32E9E" w:rsidRPr="0012501A" w:rsidRDefault="0012501A">
      <w:pPr>
        <w:spacing w:after="120" w:line="276" w:lineRule="auto"/>
        <w:ind w:left="720" w:hanging="720"/>
        <w:jc w:val="both"/>
        <w:rPr>
          <w:lang w:val="en-GB"/>
        </w:rPr>
      </w:pPr>
      <w:proofErr w:type="spellStart"/>
      <w:r w:rsidRPr="0012501A">
        <w:rPr>
          <w:sz w:val="22"/>
          <w:szCs w:val="22"/>
          <w:lang w:val="en-GB"/>
        </w:rPr>
        <w:t>Kirmayer</w:t>
      </w:r>
      <w:proofErr w:type="spellEnd"/>
      <w:r w:rsidRPr="0012501A">
        <w:rPr>
          <w:sz w:val="22"/>
          <w:szCs w:val="22"/>
          <w:lang w:val="en-GB"/>
        </w:rPr>
        <w:t>, L. J., Dandeneau, S., Marshall, E., Phillips, M. K., &amp; Williamson, K. J. (2011). Rethinking resilience from Indigenous perspectives. Canadian Journal of Psychiatry, 56(2), 84–91. https://doi.org/10.1177/070674371105600203</w:t>
      </w:r>
    </w:p>
    <w:p w14:paraId="55776C08" w14:textId="77777777" w:rsidR="00B32E9E" w:rsidRPr="0012501A" w:rsidRDefault="0012501A">
      <w:pPr>
        <w:spacing w:after="120" w:line="276" w:lineRule="auto"/>
        <w:ind w:left="720" w:hanging="720"/>
        <w:jc w:val="both"/>
        <w:rPr>
          <w:lang w:val="en-GB"/>
        </w:rPr>
      </w:pPr>
      <w:r w:rsidRPr="0012501A">
        <w:rPr>
          <w:sz w:val="22"/>
          <w:szCs w:val="22"/>
          <w:lang w:val="en-GB"/>
        </w:rPr>
        <w:t>Morley, C., &amp; Macfarlane, S. (2012). The nexus between feminism and postmodernism: Still a central concern for critical social work. British Journal of Social Work, 42(4), 687–705. https://doi.org/10.1093/bjsw/bcr107</w:t>
      </w:r>
    </w:p>
    <w:p w14:paraId="61785ED9" w14:textId="77777777" w:rsidR="00B32E9E" w:rsidRPr="0012501A" w:rsidRDefault="0012501A">
      <w:pPr>
        <w:spacing w:after="120" w:line="276" w:lineRule="auto"/>
        <w:ind w:left="720" w:hanging="720"/>
        <w:jc w:val="both"/>
        <w:rPr>
          <w:lang w:val="en-GB"/>
        </w:rPr>
      </w:pPr>
      <w:r w:rsidRPr="0012501A">
        <w:rPr>
          <w:sz w:val="22"/>
          <w:szCs w:val="22"/>
          <w:lang w:val="en-GB"/>
        </w:rPr>
        <w:lastRenderedPageBreak/>
        <w:t>Paradies, Y. (2016). Colonisation, racism and Indigenous health. Journal of Population Research, 33(1), 83–96. https://doi.org/10.1007/s12546-016-9159-y</w:t>
      </w:r>
    </w:p>
    <w:p w14:paraId="61DB92E8" w14:textId="77777777" w:rsidR="00B32E9E" w:rsidRPr="0012501A" w:rsidRDefault="0012501A">
      <w:pPr>
        <w:spacing w:after="120" w:line="276" w:lineRule="auto"/>
        <w:ind w:left="720" w:hanging="720"/>
        <w:jc w:val="both"/>
        <w:rPr>
          <w:lang w:val="en-GB"/>
        </w:rPr>
      </w:pPr>
      <w:r w:rsidRPr="0012501A">
        <w:rPr>
          <w:sz w:val="22"/>
          <w:szCs w:val="22"/>
          <w:lang w:val="en-GB"/>
        </w:rPr>
        <w:t>Sherwood, J. (2013). Colonisation – it's bad for your health: The context of Aboriginal health. Contemporary Nurse, 46(1), 28–40. https://doi.org/10.5172/conu.2013.46.1.28</w:t>
      </w:r>
    </w:p>
    <w:p w14:paraId="3F9FB396" w14:textId="77777777" w:rsidR="00B32E9E" w:rsidRPr="0012501A" w:rsidRDefault="0012501A">
      <w:pPr>
        <w:spacing w:after="120" w:line="276" w:lineRule="auto"/>
        <w:ind w:left="720" w:hanging="720"/>
        <w:jc w:val="both"/>
        <w:rPr>
          <w:lang w:val="en-GB"/>
        </w:rPr>
      </w:pPr>
      <w:r w:rsidRPr="0012501A">
        <w:rPr>
          <w:sz w:val="22"/>
          <w:szCs w:val="22"/>
          <w:lang w:val="en-GB"/>
        </w:rPr>
        <w:t>Simonds, V. W., &amp; Christopher, S. (2013). Adapting Western research methods to Indigenous ways of knowing. American Journal of Public Health, 103(12), 2185–2192. https://doi.org/10.2105/AJPH.2012.301157</w:t>
      </w:r>
    </w:p>
    <w:p w14:paraId="6CB94B25" w14:textId="77777777" w:rsidR="00B32E9E" w:rsidRPr="0012501A" w:rsidRDefault="0012501A">
      <w:pPr>
        <w:spacing w:after="120" w:line="276" w:lineRule="auto"/>
        <w:ind w:left="720" w:hanging="720"/>
        <w:jc w:val="both"/>
        <w:rPr>
          <w:lang w:val="en-GB"/>
        </w:rPr>
      </w:pPr>
      <w:r w:rsidRPr="0012501A">
        <w:rPr>
          <w:sz w:val="22"/>
          <w:szCs w:val="22"/>
          <w:lang w:val="en-GB"/>
        </w:rPr>
        <w:t>Snyder, H. (2019). Literature review as a research methodology: An overview and guidelines. Journal of Business Research, 104, 333–339. https://doi.org/10.1016/j.jbusres.2019.07.039</w:t>
      </w:r>
    </w:p>
    <w:p w14:paraId="1B84B97D" w14:textId="77777777" w:rsidR="00B32E9E" w:rsidRPr="0012501A" w:rsidRDefault="0012501A">
      <w:pPr>
        <w:spacing w:after="120" w:line="276" w:lineRule="auto"/>
        <w:ind w:left="720" w:hanging="720"/>
        <w:jc w:val="both"/>
        <w:rPr>
          <w:lang w:val="en-GB"/>
        </w:rPr>
      </w:pPr>
      <w:r w:rsidRPr="0012501A">
        <w:rPr>
          <w:sz w:val="22"/>
          <w:szCs w:val="22"/>
          <w:lang w:val="en-GB"/>
        </w:rPr>
        <w:t>United Nations. (2007). United Nations Declaration on the Rights of Indigenous Peoples. https://www.un.org/development/desa/indigenouspeoples/declaration-on-the-rights-of-indigenous-peoples.html</w:t>
      </w:r>
    </w:p>
    <w:p w14:paraId="4DCCAB61" w14:textId="77777777" w:rsidR="00B32E9E" w:rsidRPr="0012501A" w:rsidRDefault="0012501A">
      <w:pPr>
        <w:spacing w:after="120" w:line="276" w:lineRule="auto"/>
        <w:ind w:left="720" w:hanging="720"/>
        <w:jc w:val="both"/>
        <w:rPr>
          <w:lang w:val="en-GB"/>
        </w:rPr>
      </w:pPr>
      <w:r w:rsidRPr="0012501A">
        <w:rPr>
          <w:sz w:val="22"/>
          <w:szCs w:val="22"/>
          <w:lang w:val="en-GB"/>
        </w:rPr>
        <w:t>United Nations Permanent Forum on Indigenous Issues. (2009). State of the world's Indigenous peoples (ST/ESA/328). https://www.un.org/esa/socdev/unpfii/documents/SOWIP/en/SOWIP_web.pdf</w:t>
      </w:r>
    </w:p>
    <w:p w14:paraId="3FD78034" w14:textId="77777777" w:rsidR="00B32E9E" w:rsidRPr="0012501A" w:rsidRDefault="0012501A">
      <w:pPr>
        <w:spacing w:after="120" w:line="276" w:lineRule="auto"/>
        <w:ind w:left="720" w:hanging="720"/>
        <w:jc w:val="both"/>
        <w:rPr>
          <w:lang w:val="en-GB"/>
        </w:rPr>
      </w:pPr>
      <w:r w:rsidRPr="0012501A">
        <w:rPr>
          <w:sz w:val="22"/>
          <w:szCs w:val="22"/>
          <w:lang w:val="en-GB"/>
        </w:rPr>
        <w:t>Weaver, H. N. (1999). Indigenous people and the social work profession: Defining culturally competent services. Social Work, 44(3), 217–225. https://doi.org/10.1093/sw/44.3.217</w:t>
      </w:r>
    </w:p>
    <w:p w14:paraId="495E2E2C" w14:textId="77777777" w:rsidR="00B32E9E" w:rsidRPr="0012501A" w:rsidRDefault="0012501A">
      <w:pPr>
        <w:spacing w:after="120" w:line="276" w:lineRule="auto"/>
        <w:ind w:left="720" w:hanging="720"/>
        <w:jc w:val="both"/>
        <w:rPr>
          <w:lang w:val="en-GB"/>
        </w:rPr>
      </w:pPr>
      <w:r w:rsidRPr="0012501A">
        <w:rPr>
          <w:sz w:val="22"/>
          <w:szCs w:val="22"/>
          <w:lang w:val="en-GB"/>
        </w:rPr>
        <w:t>Whyte, K. P. (2017). Indigenous climate change studies: Indigenizing futures, decolonizing the Anthropocene. English Language Notes, 55(1–2), 153–162. https://doi.org/10.1215/00138282-55.1-2.153</w:t>
      </w:r>
    </w:p>
    <w:p w14:paraId="3D1E1B50" w14:textId="77777777" w:rsidR="00B32E9E" w:rsidRPr="0012501A" w:rsidRDefault="0012501A">
      <w:pPr>
        <w:spacing w:after="120" w:line="276" w:lineRule="auto"/>
        <w:ind w:left="720" w:hanging="720"/>
        <w:jc w:val="both"/>
        <w:rPr>
          <w:lang w:val="en-GB"/>
        </w:rPr>
      </w:pPr>
      <w:r w:rsidRPr="0012501A">
        <w:rPr>
          <w:sz w:val="22"/>
          <w:szCs w:val="22"/>
          <w:lang w:val="en-GB"/>
        </w:rPr>
        <w:t>World Bank. (2019). Indigenous peoples. https://www.worldbank.org/en/topic/indigenouspeoples</w:t>
      </w:r>
    </w:p>
    <w:p w14:paraId="470A90EC" w14:textId="4B07CB3A" w:rsidR="00B32E9E" w:rsidRDefault="0012501A">
      <w:pPr>
        <w:spacing w:after="120" w:line="276" w:lineRule="auto"/>
        <w:ind w:left="720" w:hanging="720"/>
        <w:jc w:val="both"/>
        <w:rPr>
          <w:sz w:val="22"/>
          <w:szCs w:val="22"/>
          <w:lang w:val="en-GB"/>
        </w:rPr>
      </w:pPr>
      <w:r w:rsidRPr="0012501A">
        <w:rPr>
          <w:sz w:val="22"/>
          <w:szCs w:val="22"/>
          <w:lang w:val="en-GB"/>
        </w:rPr>
        <w:t xml:space="preserve">World Health Organization. (2022). World mental health report: Transforming mental health for all. </w:t>
      </w:r>
      <w:hyperlink r:id="rId7" w:history="1">
        <w:r w:rsidR="00EC40ED" w:rsidRPr="00AF023C">
          <w:rPr>
            <w:rStyle w:val="Hyperlink"/>
            <w:sz w:val="22"/>
            <w:szCs w:val="22"/>
            <w:lang w:val="en-GB"/>
          </w:rPr>
          <w:t>https://www.who.int/publications/i/item/9789240049338</w:t>
        </w:r>
      </w:hyperlink>
    </w:p>
    <w:p w14:paraId="07B08374" w14:textId="71798D7D" w:rsidR="00EC40ED" w:rsidRDefault="00EC40ED">
      <w:pPr>
        <w:spacing w:after="120" w:line="276" w:lineRule="auto"/>
        <w:ind w:left="720" w:hanging="720"/>
        <w:jc w:val="both"/>
        <w:rPr>
          <w:rFonts w:ascii="Arial" w:hAnsi="Arial" w:cs="Arial"/>
          <w:color w:val="222222"/>
          <w:sz w:val="20"/>
          <w:szCs w:val="20"/>
          <w:highlight w:val="yellow"/>
          <w:shd w:val="clear" w:color="auto" w:fill="FFFFFF"/>
        </w:rPr>
      </w:pPr>
      <w:r w:rsidRPr="00E95A3A">
        <w:rPr>
          <w:rFonts w:ascii="Arial" w:hAnsi="Arial" w:cs="Arial"/>
          <w:color w:val="222222"/>
          <w:sz w:val="20"/>
          <w:szCs w:val="20"/>
          <w:highlight w:val="yellow"/>
          <w:shd w:val="clear" w:color="auto" w:fill="FFFFFF"/>
        </w:rPr>
        <w:t xml:space="preserve">Shrestha, R. K., </w:t>
      </w:r>
      <w:proofErr w:type="spellStart"/>
      <w:r w:rsidRPr="00E95A3A">
        <w:rPr>
          <w:rFonts w:ascii="Arial" w:hAnsi="Arial" w:cs="Arial"/>
          <w:color w:val="222222"/>
          <w:sz w:val="20"/>
          <w:szCs w:val="20"/>
          <w:highlight w:val="yellow"/>
          <w:shd w:val="clear" w:color="auto" w:fill="FFFFFF"/>
        </w:rPr>
        <w:t>L’Espoir</w:t>
      </w:r>
      <w:proofErr w:type="spellEnd"/>
      <w:r w:rsidRPr="00E95A3A">
        <w:rPr>
          <w:rFonts w:ascii="Arial" w:hAnsi="Arial" w:cs="Arial"/>
          <w:color w:val="222222"/>
          <w:sz w:val="20"/>
          <w:szCs w:val="20"/>
          <w:highlight w:val="yellow"/>
          <w:shd w:val="clear" w:color="auto" w:fill="FFFFFF"/>
        </w:rPr>
        <w:t xml:space="preserve"> </w:t>
      </w:r>
      <w:proofErr w:type="spellStart"/>
      <w:r w:rsidRPr="00E95A3A">
        <w:rPr>
          <w:rFonts w:ascii="Arial" w:hAnsi="Arial" w:cs="Arial"/>
          <w:color w:val="222222"/>
          <w:sz w:val="20"/>
          <w:szCs w:val="20"/>
          <w:highlight w:val="yellow"/>
          <w:shd w:val="clear" w:color="auto" w:fill="FFFFFF"/>
        </w:rPr>
        <w:t>Decosta</w:t>
      </w:r>
      <w:proofErr w:type="spellEnd"/>
      <w:r w:rsidRPr="00E95A3A">
        <w:rPr>
          <w:rFonts w:ascii="Arial" w:hAnsi="Arial" w:cs="Arial"/>
          <w:color w:val="222222"/>
          <w:sz w:val="20"/>
          <w:szCs w:val="20"/>
          <w:highlight w:val="yellow"/>
          <w:shd w:val="clear" w:color="auto" w:fill="FFFFFF"/>
        </w:rPr>
        <w:t xml:space="preserve">, J. P., &amp; </w:t>
      </w:r>
      <w:proofErr w:type="spellStart"/>
      <w:r w:rsidRPr="00E95A3A">
        <w:rPr>
          <w:rFonts w:ascii="Arial" w:hAnsi="Arial" w:cs="Arial"/>
          <w:color w:val="222222"/>
          <w:sz w:val="20"/>
          <w:szCs w:val="20"/>
          <w:highlight w:val="yellow"/>
          <w:shd w:val="clear" w:color="auto" w:fill="FFFFFF"/>
        </w:rPr>
        <w:t>Whitford</w:t>
      </w:r>
      <w:proofErr w:type="spellEnd"/>
      <w:r w:rsidRPr="00E95A3A">
        <w:rPr>
          <w:rFonts w:ascii="Arial" w:hAnsi="Arial" w:cs="Arial"/>
          <w:color w:val="222222"/>
          <w:sz w:val="20"/>
          <w:szCs w:val="20"/>
          <w:highlight w:val="yellow"/>
          <w:shd w:val="clear" w:color="auto" w:fill="FFFFFF"/>
        </w:rPr>
        <w:t xml:space="preserve">, M. (2025). Indigenous knowledge systems and socio-cultural values for sustainable tourism development: Insights from Indigenous </w:t>
      </w:r>
      <w:proofErr w:type="spellStart"/>
      <w:r w:rsidRPr="00E95A3A">
        <w:rPr>
          <w:rFonts w:ascii="Arial" w:hAnsi="Arial" w:cs="Arial"/>
          <w:color w:val="222222"/>
          <w:sz w:val="20"/>
          <w:szCs w:val="20"/>
          <w:highlight w:val="yellow"/>
          <w:shd w:val="clear" w:color="auto" w:fill="FFFFFF"/>
        </w:rPr>
        <w:t>Newars</w:t>
      </w:r>
      <w:proofErr w:type="spellEnd"/>
      <w:r w:rsidRPr="00E95A3A">
        <w:rPr>
          <w:rFonts w:ascii="Arial" w:hAnsi="Arial" w:cs="Arial"/>
          <w:color w:val="222222"/>
          <w:sz w:val="20"/>
          <w:szCs w:val="20"/>
          <w:highlight w:val="yellow"/>
          <w:shd w:val="clear" w:color="auto" w:fill="FFFFFF"/>
        </w:rPr>
        <w:t xml:space="preserve"> of Nepal. </w:t>
      </w:r>
      <w:r w:rsidRPr="00E95A3A">
        <w:rPr>
          <w:rFonts w:ascii="Arial" w:hAnsi="Arial" w:cs="Arial"/>
          <w:i/>
          <w:iCs/>
          <w:color w:val="222222"/>
          <w:sz w:val="20"/>
          <w:szCs w:val="20"/>
          <w:highlight w:val="yellow"/>
          <w:shd w:val="clear" w:color="auto" w:fill="FFFFFF"/>
        </w:rPr>
        <w:t>Journal of Sustainable Tourism</w:t>
      </w:r>
      <w:r w:rsidRPr="00E95A3A">
        <w:rPr>
          <w:rFonts w:ascii="Arial" w:hAnsi="Arial" w:cs="Arial"/>
          <w:color w:val="222222"/>
          <w:sz w:val="20"/>
          <w:szCs w:val="20"/>
          <w:highlight w:val="yellow"/>
          <w:shd w:val="clear" w:color="auto" w:fill="FFFFFF"/>
        </w:rPr>
        <w:t>, </w:t>
      </w:r>
      <w:r w:rsidRPr="00E95A3A">
        <w:rPr>
          <w:rFonts w:ascii="Arial" w:hAnsi="Arial" w:cs="Arial"/>
          <w:i/>
          <w:iCs/>
          <w:color w:val="222222"/>
          <w:sz w:val="20"/>
          <w:szCs w:val="20"/>
          <w:highlight w:val="yellow"/>
          <w:shd w:val="clear" w:color="auto" w:fill="FFFFFF"/>
        </w:rPr>
        <w:t>33</w:t>
      </w:r>
      <w:r w:rsidRPr="00E95A3A">
        <w:rPr>
          <w:rFonts w:ascii="Arial" w:hAnsi="Arial" w:cs="Arial"/>
          <w:color w:val="222222"/>
          <w:sz w:val="20"/>
          <w:szCs w:val="20"/>
          <w:highlight w:val="yellow"/>
          <w:shd w:val="clear" w:color="auto" w:fill="FFFFFF"/>
        </w:rPr>
        <w:t>(1), 143-167.</w:t>
      </w:r>
    </w:p>
    <w:p w14:paraId="3E93F7E2" w14:textId="77777777" w:rsidR="009269CA" w:rsidRPr="00E95A3A" w:rsidRDefault="009269CA" w:rsidP="009269CA">
      <w:pPr>
        <w:pStyle w:val="NormalWeb"/>
        <w:shd w:val="clear" w:color="auto" w:fill="FFFFFF"/>
        <w:spacing w:before="0" w:beforeAutospacing="0" w:after="150" w:afterAutospacing="0"/>
        <w:rPr>
          <w:rFonts w:ascii="inherit" w:hAnsi="inherit" w:cs="Helvetica"/>
          <w:color w:val="222222"/>
          <w:sz w:val="22"/>
          <w:szCs w:val="18"/>
        </w:rPr>
      </w:pPr>
      <w:proofErr w:type="spellStart"/>
      <w:r w:rsidRPr="00E95A3A">
        <w:rPr>
          <w:rFonts w:ascii="inherit" w:hAnsi="inherit" w:cs="Helvetica"/>
          <w:color w:val="222222"/>
          <w:sz w:val="22"/>
          <w:szCs w:val="18"/>
          <w:highlight w:val="yellow"/>
        </w:rPr>
        <w:t>Higashida</w:t>
      </w:r>
      <w:proofErr w:type="spellEnd"/>
      <w:r w:rsidRPr="00E95A3A">
        <w:rPr>
          <w:rFonts w:ascii="inherit" w:hAnsi="inherit" w:cs="Helvetica"/>
          <w:color w:val="222222"/>
          <w:sz w:val="22"/>
          <w:szCs w:val="18"/>
          <w:highlight w:val="yellow"/>
        </w:rPr>
        <w:t xml:space="preserve">, M., </w:t>
      </w:r>
      <w:proofErr w:type="spellStart"/>
      <w:r w:rsidRPr="00E95A3A">
        <w:rPr>
          <w:rFonts w:ascii="inherit" w:hAnsi="inherit" w:cs="Helvetica"/>
          <w:color w:val="222222"/>
          <w:sz w:val="22"/>
          <w:szCs w:val="18"/>
          <w:highlight w:val="yellow"/>
        </w:rPr>
        <w:t>Ranaweera</w:t>
      </w:r>
      <w:proofErr w:type="spellEnd"/>
      <w:r w:rsidRPr="00E95A3A">
        <w:rPr>
          <w:rFonts w:ascii="inherit" w:hAnsi="inherit" w:cs="Helvetica"/>
          <w:color w:val="222222"/>
          <w:sz w:val="22"/>
          <w:szCs w:val="18"/>
          <w:highlight w:val="yellow"/>
        </w:rPr>
        <w:t xml:space="preserve">, A., &amp; </w:t>
      </w:r>
      <w:proofErr w:type="spellStart"/>
      <w:r w:rsidRPr="00E95A3A">
        <w:rPr>
          <w:rFonts w:ascii="inherit" w:hAnsi="inherit" w:cs="Helvetica"/>
          <w:color w:val="222222"/>
          <w:sz w:val="22"/>
          <w:szCs w:val="18"/>
          <w:highlight w:val="yellow"/>
        </w:rPr>
        <w:t>Herath</w:t>
      </w:r>
      <w:proofErr w:type="spellEnd"/>
      <w:r w:rsidRPr="00E95A3A">
        <w:rPr>
          <w:rFonts w:ascii="inherit" w:hAnsi="inherit" w:cs="Helvetica"/>
          <w:color w:val="222222"/>
          <w:sz w:val="22"/>
          <w:szCs w:val="18"/>
          <w:highlight w:val="yellow"/>
        </w:rPr>
        <w:t>, C. (2022). Exploring the Social Representations of Social Work in the Sri Lankan Cultural Context: A Qualitative Study. </w:t>
      </w:r>
      <w:r w:rsidRPr="00E95A3A">
        <w:rPr>
          <w:rStyle w:val="Emphasis"/>
          <w:rFonts w:ascii="inherit" w:hAnsi="inherit" w:cs="Helvetica"/>
          <w:color w:val="222222"/>
          <w:sz w:val="22"/>
          <w:szCs w:val="18"/>
          <w:highlight w:val="yellow"/>
        </w:rPr>
        <w:t>Sustainability</w:t>
      </w:r>
      <w:r w:rsidRPr="00E95A3A">
        <w:rPr>
          <w:rFonts w:ascii="inherit" w:hAnsi="inherit" w:cs="Helvetica"/>
          <w:color w:val="222222"/>
          <w:sz w:val="22"/>
          <w:szCs w:val="18"/>
          <w:highlight w:val="yellow"/>
        </w:rPr>
        <w:t>, </w:t>
      </w:r>
      <w:r w:rsidRPr="00E95A3A">
        <w:rPr>
          <w:rStyle w:val="Emphasis"/>
          <w:rFonts w:ascii="inherit" w:hAnsi="inherit" w:cs="Helvetica"/>
          <w:color w:val="222222"/>
          <w:sz w:val="22"/>
          <w:szCs w:val="18"/>
          <w:highlight w:val="yellow"/>
        </w:rPr>
        <w:t>14</w:t>
      </w:r>
      <w:r w:rsidRPr="00E95A3A">
        <w:rPr>
          <w:rFonts w:ascii="inherit" w:hAnsi="inherit" w:cs="Helvetica"/>
          <w:color w:val="222222"/>
          <w:sz w:val="22"/>
          <w:szCs w:val="18"/>
          <w:highlight w:val="yellow"/>
        </w:rPr>
        <w:t>(23), 16197. https://doi.org/10.3390/su142316197</w:t>
      </w:r>
    </w:p>
    <w:p w14:paraId="5F35E2DB" w14:textId="77777777" w:rsidR="00EC40ED" w:rsidRPr="0012501A" w:rsidRDefault="00EC40ED">
      <w:pPr>
        <w:spacing w:after="120" w:line="276" w:lineRule="auto"/>
        <w:ind w:left="720" w:hanging="720"/>
        <w:jc w:val="both"/>
        <w:rPr>
          <w:lang w:val="en-GB"/>
        </w:rPr>
      </w:pPr>
    </w:p>
    <w:sectPr w:rsidR="00EC40ED" w:rsidRPr="0012501A" w:rsidSect="00B32E9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647F9" w14:textId="77777777" w:rsidR="00214D7E" w:rsidRDefault="00214D7E" w:rsidP="00ED1F7D">
      <w:r>
        <w:separator/>
      </w:r>
    </w:p>
  </w:endnote>
  <w:endnote w:type="continuationSeparator" w:id="0">
    <w:p w14:paraId="25BFC440" w14:textId="77777777" w:rsidR="00214D7E" w:rsidRDefault="00214D7E" w:rsidP="00ED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9BEE6" w14:textId="77777777" w:rsidR="00ED1F7D" w:rsidRDefault="00ED1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6F2FC" w14:textId="77777777" w:rsidR="00ED1F7D" w:rsidRDefault="00ED1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C604C" w14:textId="77777777" w:rsidR="00ED1F7D" w:rsidRDefault="00ED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8DC1C" w14:textId="77777777" w:rsidR="00214D7E" w:rsidRDefault="00214D7E" w:rsidP="00ED1F7D">
      <w:r>
        <w:separator/>
      </w:r>
    </w:p>
  </w:footnote>
  <w:footnote w:type="continuationSeparator" w:id="0">
    <w:p w14:paraId="5EDD7385" w14:textId="77777777" w:rsidR="00214D7E" w:rsidRDefault="00214D7E" w:rsidP="00ED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0BC7D" w14:textId="22310892" w:rsidR="00ED1F7D" w:rsidRDefault="00214D7E">
    <w:pPr>
      <w:pStyle w:val="Header"/>
    </w:pPr>
    <w:r>
      <w:rPr>
        <w:noProof/>
      </w:rPr>
      <w:pict w14:anchorId="7AEE4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711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6509" w14:textId="0460A52B" w:rsidR="00ED1F7D" w:rsidRDefault="00214D7E">
    <w:pPr>
      <w:pStyle w:val="Header"/>
    </w:pPr>
    <w:r>
      <w:rPr>
        <w:noProof/>
      </w:rPr>
      <w:pict w14:anchorId="6F0A9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7118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12F12" w14:textId="1E0C237A" w:rsidR="00ED1F7D" w:rsidRDefault="00214D7E">
    <w:pPr>
      <w:pStyle w:val="Header"/>
    </w:pPr>
    <w:r>
      <w:rPr>
        <w:noProof/>
      </w:rPr>
      <w:pict w14:anchorId="44236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711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203D0A"/>
    <w:multiLevelType w:val="hybridMultilevel"/>
    <w:tmpl w:val="2D78B0FC"/>
    <w:lvl w:ilvl="0" w:tplc="1F2A0BC6">
      <w:start w:val="1"/>
      <w:numFmt w:val="bullet"/>
      <w:lvlText w:val="●"/>
      <w:lvlJc w:val="left"/>
      <w:pPr>
        <w:ind w:left="720" w:hanging="360"/>
      </w:pPr>
    </w:lvl>
    <w:lvl w:ilvl="1" w:tplc="15D85A22">
      <w:start w:val="1"/>
      <w:numFmt w:val="bullet"/>
      <w:lvlText w:val="○"/>
      <w:lvlJc w:val="left"/>
      <w:pPr>
        <w:ind w:left="1440" w:hanging="360"/>
      </w:pPr>
    </w:lvl>
    <w:lvl w:ilvl="2" w:tplc="2B90BE90">
      <w:start w:val="1"/>
      <w:numFmt w:val="bullet"/>
      <w:lvlText w:val="■"/>
      <w:lvlJc w:val="left"/>
      <w:pPr>
        <w:ind w:left="2160" w:hanging="360"/>
      </w:pPr>
    </w:lvl>
    <w:lvl w:ilvl="3" w:tplc="15DCE63C">
      <w:start w:val="1"/>
      <w:numFmt w:val="bullet"/>
      <w:lvlText w:val="●"/>
      <w:lvlJc w:val="left"/>
      <w:pPr>
        <w:ind w:left="2880" w:hanging="360"/>
      </w:pPr>
    </w:lvl>
    <w:lvl w:ilvl="4" w:tplc="45B8F40E">
      <w:start w:val="1"/>
      <w:numFmt w:val="bullet"/>
      <w:lvlText w:val="○"/>
      <w:lvlJc w:val="left"/>
      <w:pPr>
        <w:ind w:left="3600" w:hanging="360"/>
      </w:pPr>
    </w:lvl>
    <w:lvl w:ilvl="5" w:tplc="44420898">
      <w:start w:val="1"/>
      <w:numFmt w:val="bullet"/>
      <w:lvlText w:val="■"/>
      <w:lvlJc w:val="left"/>
      <w:pPr>
        <w:ind w:left="4320" w:hanging="360"/>
      </w:pPr>
    </w:lvl>
    <w:lvl w:ilvl="6" w:tplc="0D10A2B0">
      <w:start w:val="1"/>
      <w:numFmt w:val="bullet"/>
      <w:lvlText w:val="●"/>
      <w:lvlJc w:val="left"/>
      <w:pPr>
        <w:ind w:left="5040" w:hanging="360"/>
      </w:pPr>
    </w:lvl>
    <w:lvl w:ilvl="7" w:tplc="D79AEB46">
      <w:start w:val="1"/>
      <w:numFmt w:val="bullet"/>
      <w:lvlText w:val="●"/>
      <w:lvlJc w:val="left"/>
      <w:pPr>
        <w:ind w:left="5760" w:hanging="360"/>
      </w:pPr>
    </w:lvl>
    <w:lvl w:ilvl="8" w:tplc="6CA0A69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AwMDUwNjU3NrK0MDBU0lEKTi0uzszPAykwrAUAzwiiPiwAAAA="/>
  </w:docVars>
  <w:rsids>
    <w:rsidRoot w:val="00B32E9E"/>
    <w:rsid w:val="0012501A"/>
    <w:rsid w:val="00214D7E"/>
    <w:rsid w:val="003E6BB9"/>
    <w:rsid w:val="004A4ED2"/>
    <w:rsid w:val="0063072E"/>
    <w:rsid w:val="009269CA"/>
    <w:rsid w:val="00A120B8"/>
    <w:rsid w:val="00B32E9E"/>
    <w:rsid w:val="00B3631B"/>
    <w:rsid w:val="00E2288C"/>
    <w:rsid w:val="00E95A3A"/>
    <w:rsid w:val="00EC40ED"/>
    <w:rsid w:val="00ED1F7D"/>
    <w:rsid w:val="00F0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3D01D8"/>
  <w15:docId w15:val="{D7DC1472-C08E-4DF8-A383-78048B89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B32E9E"/>
    <w:pPr>
      <w:spacing w:before="320" w:after="160"/>
      <w:outlineLvl w:val="0"/>
    </w:pPr>
    <w:rPr>
      <w:b/>
      <w:bCs/>
      <w:color w:val="000000"/>
      <w:sz w:val="28"/>
      <w:szCs w:val="28"/>
    </w:rPr>
  </w:style>
  <w:style w:type="paragraph" w:styleId="Heading2">
    <w:name w:val="heading 2"/>
    <w:qFormat/>
    <w:rsid w:val="00B32E9E"/>
    <w:pPr>
      <w:spacing w:before="240" w:after="120"/>
      <w:outlineLvl w:val="1"/>
    </w:pPr>
    <w:rPr>
      <w:b/>
      <w:bCs/>
      <w:color w:val="000000"/>
      <w:sz w:val="26"/>
      <w:szCs w:val="26"/>
    </w:rPr>
  </w:style>
  <w:style w:type="paragraph" w:styleId="Heading3">
    <w:name w:val="heading 3"/>
    <w:qFormat/>
    <w:rsid w:val="00B32E9E"/>
    <w:pPr>
      <w:outlineLvl w:val="2"/>
    </w:pPr>
    <w:rPr>
      <w:color w:val="1F4D78"/>
    </w:rPr>
  </w:style>
  <w:style w:type="paragraph" w:styleId="Heading4">
    <w:name w:val="heading 4"/>
    <w:qFormat/>
    <w:rsid w:val="00B32E9E"/>
    <w:pPr>
      <w:outlineLvl w:val="3"/>
    </w:pPr>
    <w:rPr>
      <w:i/>
      <w:iCs/>
      <w:color w:val="2E74B5"/>
    </w:rPr>
  </w:style>
  <w:style w:type="paragraph" w:styleId="Heading5">
    <w:name w:val="heading 5"/>
    <w:qFormat/>
    <w:rsid w:val="00B32E9E"/>
    <w:pPr>
      <w:outlineLvl w:val="4"/>
    </w:pPr>
    <w:rPr>
      <w:color w:val="2E74B5"/>
    </w:rPr>
  </w:style>
  <w:style w:type="paragraph" w:styleId="Heading6">
    <w:name w:val="heading 6"/>
    <w:qFormat/>
    <w:rsid w:val="00B32E9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32E9E"/>
    <w:rPr>
      <w:sz w:val="56"/>
      <w:szCs w:val="56"/>
    </w:rPr>
  </w:style>
  <w:style w:type="paragraph" w:customStyle="1" w:styleId="Strong1">
    <w:name w:val="Strong1"/>
    <w:qFormat/>
    <w:rsid w:val="00B32E9E"/>
    <w:rPr>
      <w:b/>
      <w:bCs/>
    </w:rPr>
  </w:style>
  <w:style w:type="paragraph" w:styleId="ListParagraph">
    <w:name w:val="List Paragraph"/>
    <w:qFormat/>
    <w:rsid w:val="00B32E9E"/>
  </w:style>
  <w:style w:type="character" w:styleId="Hyperlink">
    <w:name w:val="Hyperlink"/>
    <w:uiPriority w:val="99"/>
    <w:unhideWhenUsed/>
    <w:rsid w:val="00B32E9E"/>
    <w:rPr>
      <w:color w:val="0563C1"/>
      <w:u w:val="single"/>
    </w:rPr>
  </w:style>
  <w:style w:type="character" w:styleId="FootnoteReference">
    <w:name w:val="footnote reference"/>
    <w:uiPriority w:val="99"/>
    <w:semiHidden/>
    <w:unhideWhenUsed/>
    <w:rsid w:val="00B32E9E"/>
    <w:rPr>
      <w:vertAlign w:val="superscript"/>
    </w:rPr>
  </w:style>
  <w:style w:type="paragraph" w:styleId="FootnoteText">
    <w:name w:val="footnote text"/>
    <w:link w:val="FootnoteTextChar"/>
    <w:uiPriority w:val="99"/>
    <w:semiHidden/>
    <w:unhideWhenUsed/>
    <w:rsid w:val="00B32E9E"/>
    <w:rPr>
      <w:sz w:val="20"/>
      <w:szCs w:val="20"/>
    </w:rPr>
  </w:style>
  <w:style w:type="character" w:customStyle="1" w:styleId="FootnoteTextChar">
    <w:name w:val="Footnote Text Char"/>
    <w:link w:val="FootnoteText"/>
    <w:uiPriority w:val="99"/>
    <w:semiHidden/>
    <w:unhideWhenUsed/>
    <w:rsid w:val="00B32E9E"/>
    <w:rPr>
      <w:sz w:val="20"/>
      <w:szCs w:val="20"/>
    </w:rPr>
  </w:style>
  <w:style w:type="character" w:styleId="EndnoteReference">
    <w:name w:val="endnote reference"/>
    <w:uiPriority w:val="99"/>
    <w:semiHidden/>
    <w:unhideWhenUsed/>
    <w:rsid w:val="00B32E9E"/>
    <w:rPr>
      <w:vertAlign w:val="superscript"/>
    </w:rPr>
  </w:style>
  <w:style w:type="paragraph" w:styleId="EndnoteText">
    <w:name w:val="endnote text"/>
    <w:link w:val="EndnoteTextChar"/>
    <w:uiPriority w:val="99"/>
    <w:semiHidden/>
    <w:unhideWhenUsed/>
    <w:rsid w:val="00B32E9E"/>
    <w:rPr>
      <w:sz w:val="20"/>
      <w:szCs w:val="20"/>
    </w:rPr>
  </w:style>
  <w:style w:type="character" w:customStyle="1" w:styleId="EndnoteTextChar">
    <w:name w:val="Endnote Text Char"/>
    <w:link w:val="EndnoteText"/>
    <w:uiPriority w:val="99"/>
    <w:semiHidden/>
    <w:unhideWhenUsed/>
    <w:rsid w:val="00B32E9E"/>
    <w:rPr>
      <w:sz w:val="20"/>
      <w:szCs w:val="20"/>
    </w:rPr>
  </w:style>
  <w:style w:type="paragraph" w:styleId="Header">
    <w:name w:val="header"/>
    <w:basedOn w:val="Normal"/>
    <w:link w:val="HeaderChar"/>
    <w:uiPriority w:val="99"/>
    <w:unhideWhenUsed/>
    <w:rsid w:val="00ED1F7D"/>
    <w:pPr>
      <w:tabs>
        <w:tab w:val="center" w:pos="4680"/>
        <w:tab w:val="right" w:pos="9360"/>
      </w:tabs>
    </w:pPr>
  </w:style>
  <w:style w:type="character" w:customStyle="1" w:styleId="HeaderChar">
    <w:name w:val="Header Char"/>
    <w:basedOn w:val="DefaultParagraphFont"/>
    <w:link w:val="Header"/>
    <w:uiPriority w:val="99"/>
    <w:rsid w:val="00ED1F7D"/>
  </w:style>
  <w:style w:type="paragraph" w:styleId="Footer">
    <w:name w:val="footer"/>
    <w:basedOn w:val="Normal"/>
    <w:link w:val="FooterChar"/>
    <w:uiPriority w:val="99"/>
    <w:unhideWhenUsed/>
    <w:rsid w:val="00ED1F7D"/>
    <w:pPr>
      <w:tabs>
        <w:tab w:val="center" w:pos="4680"/>
        <w:tab w:val="right" w:pos="9360"/>
      </w:tabs>
    </w:pPr>
  </w:style>
  <w:style w:type="character" w:customStyle="1" w:styleId="FooterChar">
    <w:name w:val="Footer Char"/>
    <w:basedOn w:val="DefaultParagraphFont"/>
    <w:link w:val="Footer"/>
    <w:uiPriority w:val="99"/>
    <w:rsid w:val="00ED1F7D"/>
  </w:style>
  <w:style w:type="paragraph" w:styleId="BalloonText">
    <w:name w:val="Balloon Text"/>
    <w:basedOn w:val="Normal"/>
    <w:link w:val="BalloonTextChar"/>
    <w:uiPriority w:val="99"/>
    <w:semiHidden/>
    <w:unhideWhenUsed/>
    <w:rsid w:val="00E228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88C"/>
    <w:rPr>
      <w:rFonts w:ascii="Segoe UI" w:hAnsi="Segoe UI" w:cs="Segoe UI"/>
      <w:sz w:val="18"/>
      <w:szCs w:val="18"/>
    </w:rPr>
  </w:style>
  <w:style w:type="character" w:styleId="UnresolvedMention">
    <w:name w:val="Unresolved Mention"/>
    <w:basedOn w:val="DefaultParagraphFont"/>
    <w:uiPriority w:val="99"/>
    <w:semiHidden/>
    <w:unhideWhenUsed/>
    <w:rsid w:val="00EC40ED"/>
    <w:rPr>
      <w:color w:val="605E5C"/>
      <w:shd w:val="clear" w:color="auto" w:fill="E1DFDD"/>
    </w:rPr>
  </w:style>
  <w:style w:type="paragraph" w:styleId="NormalWeb">
    <w:name w:val="Normal (Web)"/>
    <w:basedOn w:val="Normal"/>
    <w:uiPriority w:val="99"/>
    <w:semiHidden/>
    <w:unhideWhenUsed/>
    <w:rsid w:val="009269CA"/>
    <w:pPr>
      <w:spacing w:before="100" w:beforeAutospacing="1" w:after="100" w:afterAutospacing="1"/>
    </w:pPr>
  </w:style>
  <w:style w:type="character" w:styleId="Emphasis">
    <w:name w:val="Emphasis"/>
    <w:basedOn w:val="DefaultParagraphFont"/>
    <w:uiPriority w:val="20"/>
    <w:qFormat/>
    <w:rsid w:val="009269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832091">
      <w:bodyDiv w:val="1"/>
      <w:marLeft w:val="0"/>
      <w:marRight w:val="0"/>
      <w:marTop w:val="0"/>
      <w:marBottom w:val="0"/>
      <w:divBdr>
        <w:top w:val="none" w:sz="0" w:space="0" w:color="auto"/>
        <w:left w:val="none" w:sz="0" w:space="0" w:color="auto"/>
        <w:bottom w:val="none" w:sz="0" w:space="0" w:color="auto"/>
        <w:right w:val="none" w:sz="0" w:space="0" w:color="auto"/>
      </w:divBdr>
      <w:divsChild>
        <w:div w:id="230194112">
          <w:marLeft w:val="0"/>
          <w:marRight w:val="0"/>
          <w:marTop w:val="0"/>
          <w:marBottom w:val="0"/>
          <w:divBdr>
            <w:top w:val="none" w:sz="0" w:space="0" w:color="auto"/>
            <w:left w:val="none" w:sz="0" w:space="0" w:color="auto"/>
            <w:bottom w:val="none" w:sz="0" w:space="0" w:color="auto"/>
            <w:right w:val="none" w:sz="0" w:space="0" w:color="auto"/>
          </w:divBdr>
          <w:divsChild>
            <w:div w:id="12272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ho.int/publications/i/item/978924004933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30</Pages>
  <Words>11789</Words>
  <Characters>67201</Characters>
  <Application>Microsoft Office Word</Application>
  <DocSecurity>0</DocSecurity>
  <Lines>560</Lines>
  <Paragraphs>157</Paragraphs>
  <ScaleCrop>false</ScaleCrop>
  <Company>HP</Company>
  <LinksUpToDate>false</LinksUpToDate>
  <CharactersWithSpaces>78833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11</cp:revision>
  <dcterms:created xsi:type="dcterms:W3CDTF">2026-04-13T12:09:00Z</dcterms:created>
  <dcterms:modified xsi:type="dcterms:W3CDTF">2026-04-16T09:38:00Z</dcterms:modified>
</cp:coreProperties>
</file>