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2685A" w14:textId="77777777" w:rsidR="002E0E43" w:rsidRDefault="00E71494">
      <w:pPr>
        <w:autoSpaceDE w:val="0"/>
        <w:autoSpaceDN w:val="0"/>
        <w:adjustRightInd w:val="0"/>
        <w:spacing w:after="0" w:line="360" w:lineRule="auto"/>
        <w:jc w:val="center"/>
        <w:rPr>
          <w:rFonts w:ascii="Times New Roman" w:hAnsi="Times New Roman" w:cs="Times New Roman"/>
          <w:b/>
          <w:bCs/>
          <w:sz w:val="28"/>
          <w:szCs w:val="28"/>
          <w:lang w:val="en-GB"/>
        </w:rPr>
      </w:pPr>
      <w:r>
        <w:rPr>
          <w:rFonts w:ascii="Times New Roman" w:hAnsi="Times New Roman" w:cs="Times New Roman"/>
          <w:b/>
          <w:bCs/>
          <w:sz w:val="28"/>
          <w:szCs w:val="28"/>
        </w:rPr>
        <w:t>Energy Poverty and Unemployment in OPEC Countries</w:t>
      </w:r>
      <w:r>
        <w:rPr>
          <w:rFonts w:ascii="Times New Roman" w:hAnsi="Times New Roman" w:cs="Times New Roman"/>
          <w:b/>
          <w:bCs/>
          <w:sz w:val="28"/>
          <w:szCs w:val="28"/>
          <w:lang w:val="en-GB"/>
        </w:rPr>
        <w:t>: A Dynamic panel GMM Approach</w:t>
      </w:r>
    </w:p>
    <w:p w14:paraId="174A311F" w14:textId="77777777" w:rsidR="002E0E43" w:rsidRDefault="002E0E43">
      <w:pPr>
        <w:autoSpaceDE w:val="0"/>
        <w:autoSpaceDN w:val="0"/>
        <w:adjustRightInd w:val="0"/>
        <w:spacing w:after="0" w:line="360" w:lineRule="auto"/>
        <w:rPr>
          <w:rStyle w:val="Strong"/>
          <w:rFonts w:ascii="Times New Roman" w:hAnsi="Times New Roman" w:cs="Times New Roman"/>
          <w:sz w:val="24"/>
          <w:szCs w:val="24"/>
        </w:rPr>
      </w:pPr>
    </w:p>
    <w:p w14:paraId="144B1F5F" w14:textId="77777777" w:rsidR="002E0E43" w:rsidRDefault="00E71494">
      <w:pPr>
        <w:autoSpaceDE w:val="0"/>
        <w:autoSpaceDN w:val="0"/>
        <w:adjustRightInd w:val="0"/>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Abstract</w:t>
      </w:r>
      <w:r>
        <w:rPr>
          <w:rFonts w:ascii="Times New Roman" w:hAnsi="Times New Roman" w:cs="Times New Roman"/>
          <w:sz w:val="24"/>
          <w:szCs w:val="24"/>
        </w:rPr>
        <w:br/>
        <w:t xml:space="preserve">Unemployment and energy poverty are significant social challenges faced by many countries, including OPEC members. The ongoing global transition to renewable energy has exacerbated unemployment in OPEC countries due to reduced reliance on traditional energy sources, highlighting the need for a comprehensive study of unemployment and energy poverty in these regions. This study will cover the period from 2015 to 2023, utilizing secondary data from all 12 OPEC member countries. Both trend and econometric tests are employed. The study employs the </w:t>
      </w:r>
      <w:r>
        <w:rPr>
          <w:rStyle w:val="Strong"/>
          <w:rFonts w:ascii="Times New Roman" w:hAnsi="Times New Roman" w:cs="Times New Roman"/>
          <w:b w:val="0"/>
          <w:sz w:val="24"/>
          <w:szCs w:val="24"/>
        </w:rPr>
        <w:t>System Generalized Method of Moments (GMM)</w:t>
      </w:r>
      <w:r>
        <w:rPr>
          <w:rFonts w:ascii="Times New Roman" w:hAnsi="Times New Roman" w:cs="Times New Roman"/>
          <w:sz w:val="24"/>
          <w:szCs w:val="24"/>
        </w:rPr>
        <w:t xml:space="preserve"> for panel data estimation, recognized for its efficiency in addressing endogeneity, unobserved heterogeneity, and dynamic relationships. The study validates the reliability of the model with the </w:t>
      </w:r>
      <w:r>
        <w:rPr>
          <w:rStyle w:val="Strong"/>
          <w:rFonts w:ascii="Times New Roman" w:hAnsi="Times New Roman" w:cs="Times New Roman"/>
          <w:b w:val="0"/>
          <w:sz w:val="24"/>
          <w:szCs w:val="24"/>
        </w:rPr>
        <w:t>Arellano-Bond test for autocorrelation</w:t>
      </w:r>
      <w:r>
        <w:rPr>
          <w:rFonts w:ascii="Times New Roman" w:hAnsi="Times New Roman" w:cs="Times New Roman"/>
          <w:sz w:val="24"/>
          <w:szCs w:val="24"/>
        </w:rPr>
        <w:t xml:space="preserve"> to assess the independence of error terms. The findings reveal that access to electricity significantly increases unemployment, likely due to automation and limited job absorption. Conversely, access to cooking gas shows a potential to reduce unemployment, though the effect is not statistically strong. The study recommends aligning energy strategies with employment goals, investing in vocational training, empowering women through clean cooking initiatives, and adopting inclusive, gender-responsive policies to ensure equitable benefits from energy transitions.</w:t>
      </w:r>
    </w:p>
    <w:p w14:paraId="20FF4054" w14:textId="77777777" w:rsidR="002E0E43" w:rsidRDefault="00E714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Energy Poverty, Unemployment, Energy policy, Electricity, GMM, OPEC.</w:t>
      </w:r>
    </w:p>
    <w:p w14:paraId="7B538E8F" w14:textId="77777777" w:rsidR="002E0E43" w:rsidRDefault="00E7149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JEL Classification:</w:t>
      </w:r>
      <w:r>
        <w:rPr>
          <w:rFonts w:ascii="Times New Roman" w:hAnsi="Times New Roman" w:cs="Times New Roman"/>
          <w:sz w:val="24"/>
          <w:szCs w:val="24"/>
        </w:rPr>
        <w:t xml:space="preserve"> E24, I32, 013, P28, Q43.</w:t>
      </w:r>
    </w:p>
    <w:p w14:paraId="4F90FF0E" w14:textId="77777777" w:rsidR="002E0E43" w:rsidRDefault="002E0E43">
      <w:pPr>
        <w:autoSpaceDE w:val="0"/>
        <w:autoSpaceDN w:val="0"/>
        <w:adjustRightInd w:val="0"/>
        <w:spacing w:after="0" w:line="360" w:lineRule="auto"/>
        <w:jc w:val="both"/>
        <w:rPr>
          <w:rFonts w:ascii="Times New Roman" w:hAnsi="Times New Roman" w:cs="Times New Roman"/>
          <w:sz w:val="24"/>
          <w:szCs w:val="24"/>
        </w:rPr>
      </w:pPr>
    </w:p>
    <w:p w14:paraId="702959CC" w14:textId="30F18564" w:rsidR="002E0E43" w:rsidRDefault="00E71494">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D66E476" w14:textId="0DA3EFD9"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sz w:val="26"/>
          <w:szCs w:val="26"/>
          <w:shd w:val="clear" w:color="FFFFFF" w:fill="D9D9D9"/>
        </w:rPr>
        <w:t xml:space="preserve">Energy plays a significant role in the running of the economy of any nation. For instance, a nation with the highest per capita energy consumption generally represents a country with </w:t>
      </w:r>
      <w:r w:rsidR="004F5FAD">
        <w:rPr>
          <w:rFonts w:ascii="Times New Roman" w:hAnsi="Times New Roman" w:cs="Times New Roman"/>
          <w:b/>
          <w:sz w:val="26"/>
          <w:szCs w:val="26"/>
          <w:shd w:val="clear" w:color="FFFFFF" w:fill="D9D9D9"/>
        </w:rPr>
        <w:t xml:space="preserve">a </w:t>
      </w:r>
      <w:r>
        <w:rPr>
          <w:rFonts w:ascii="Times New Roman" w:hAnsi="Times New Roman" w:cs="Times New Roman"/>
          <w:b/>
          <w:sz w:val="26"/>
          <w:szCs w:val="26"/>
          <w:shd w:val="clear" w:color="FFFFFF" w:fill="D9D9D9"/>
        </w:rPr>
        <w:t>high standard of living</w:t>
      </w:r>
      <w:r>
        <w:rPr>
          <w:rFonts w:ascii="Times New Roman" w:hAnsi="Times New Roman" w:cs="Times New Roman"/>
          <w:b/>
          <w:sz w:val="26"/>
          <w:szCs w:val="26"/>
          <w:shd w:val="clear" w:color="FFFFFF" w:fill="D9D9D9"/>
          <w:lang w:val="en-GB"/>
        </w:rPr>
        <w:t xml:space="preserve">. </w:t>
      </w:r>
      <w:r>
        <w:rPr>
          <w:rFonts w:ascii="Times New Roman" w:hAnsi="Times New Roman" w:cs="Times New Roman"/>
          <w:bCs/>
          <w:sz w:val="24"/>
          <w:szCs w:val="24"/>
        </w:rPr>
        <w:t>International organizations, including OPEC, along with government agencies, are increasingly recognizing energy issues as critical to achieving essential development goals (</w:t>
      </w:r>
      <w:r>
        <w:rPr>
          <w:rFonts w:ascii="Times New Roman" w:hAnsi="Times New Roman" w:cs="Times New Roman"/>
          <w:sz w:val="24"/>
          <w:szCs w:val="24"/>
        </w:rPr>
        <w:t xml:space="preserve">He, Khan, Ozturk, and Murshed, 2022). </w:t>
      </w:r>
      <w:r>
        <w:rPr>
          <w:rFonts w:ascii="Times New Roman" w:hAnsi="Times New Roman" w:cs="Times New Roman"/>
          <w:bCs/>
          <w:sz w:val="24"/>
          <w:szCs w:val="24"/>
        </w:rPr>
        <w:t xml:space="preserve">In this regard, OPEC has designated “Affordable, reliable, sustainable, and modern energy for all” as a key objective under the 2030 Agenda. The European Pillar of Social Rights reinforces that access to </w:t>
      </w:r>
      <w:r>
        <w:rPr>
          <w:rFonts w:ascii="Times New Roman" w:hAnsi="Times New Roman" w:cs="Times New Roman"/>
          <w:bCs/>
          <w:sz w:val="24"/>
          <w:szCs w:val="24"/>
        </w:rPr>
        <w:lastRenderedPageBreak/>
        <w:t>energy is a fundamental right for every household (IEA, 2019; EESC, 2021). As a result, energy poverty has emerged as a pressing concern in civil society, serving as a focal point for various initiatives and policy frameworks developed by the European Commission and its stakeholders (</w:t>
      </w:r>
      <w:proofErr w:type="spellStart"/>
      <w:r>
        <w:rPr>
          <w:rFonts w:ascii="Times New Roman" w:hAnsi="Times New Roman" w:cs="Times New Roman"/>
          <w:bCs/>
          <w:sz w:val="24"/>
          <w:szCs w:val="24"/>
        </w:rPr>
        <w:t>Bouzarovski</w:t>
      </w:r>
      <w:proofErr w:type="spellEnd"/>
      <w:r>
        <w:rPr>
          <w:rFonts w:ascii="Times New Roman" w:hAnsi="Times New Roman" w:cs="Times New Roman"/>
          <w:bCs/>
          <w:sz w:val="24"/>
          <w:szCs w:val="24"/>
        </w:rPr>
        <w:t xml:space="preserve"> &amp; Tirado Herrero, 2017).</w:t>
      </w:r>
    </w:p>
    <w:p w14:paraId="6F577EB9"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0AA562CA"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Moreover, the energy sector is experiencing rapid transformation and facing significant challenges driven by global issues such as climate change, volatile energy prices, social welfare, and sustainable development goals (Gonzalez-Eguino, 2015). The spike in energy prices, particularly during the pandemic, has left many individuals struggling to afford their energy bills, leading to substantial reductions in energy consumption, especially among lower-income households (Clark et al., 2021).</w:t>
      </w:r>
    </w:p>
    <w:p w14:paraId="05CBA24C"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701DF8F3"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Additionally, the current energy crisis is not merely a fallout from the health crisis; it is further intensified by geopolitical tensions (Nguyen, 2021). Russia’s aggression against Ukraine and the subsequent sanctions from various nations have exacerbated the energy crisis across the OPEC member states. The escalating energy costs have disproportionately impacted households, affecting essential services like heating, cooling, and transportation, while simultaneously diminishing disposable incomes as energy expenses take up a larger portion of household budgets (Biernat-Jarka et al., 2021; Acheampong, 2022). Significant cross-country differences reveal that the impact of rising prices and energy-related challenges on individual welfare is shaped by specific national characteristics (Carfora et al., 2022). Therefore, it is imperative to address energy-related issues concerning disposable income and living standards at both regional and international levels.</w:t>
      </w:r>
    </w:p>
    <w:p w14:paraId="48E47D16"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009F83BF" w14:textId="653515F2"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Despite the academic community's considerable efforts to analyze the causes and effects of energy poverty, the dynamic </w:t>
      </w:r>
      <w:proofErr w:type="spellStart"/>
      <w:r>
        <w:rPr>
          <w:rFonts w:ascii="Times New Roman" w:hAnsi="Times New Roman" w:cs="Times New Roman"/>
          <w:bCs/>
          <w:sz w:val="24"/>
          <w:szCs w:val="24"/>
        </w:rPr>
        <w:t>behavio</w:t>
      </w:r>
      <w:r w:rsidR="004F5FAD">
        <w:rPr>
          <w:rFonts w:ascii="Times New Roman" w:hAnsi="Times New Roman" w:cs="Times New Roman"/>
          <w:bCs/>
          <w:sz w:val="24"/>
          <w:szCs w:val="24"/>
        </w:rPr>
        <w:t>u</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of energy poverty across different economies remains inadequately understood (</w:t>
      </w:r>
      <w:proofErr w:type="spellStart"/>
      <w:r>
        <w:rPr>
          <w:rFonts w:ascii="Times New Roman" w:hAnsi="Times New Roman" w:cs="Times New Roman"/>
          <w:bCs/>
          <w:sz w:val="24"/>
          <w:szCs w:val="24"/>
        </w:rPr>
        <w:t>Anastasiou</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Zaroutieri</w:t>
      </w:r>
      <w:proofErr w:type="spellEnd"/>
      <w:r>
        <w:rPr>
          <w:rFonts w:ascii="Times New Roman" w:hAnsi="Times New Roman" w:cs="Times New Roman"/>
          <w:bCs/>
          <w:sz w:val="24"/>
          <w:szCs w:val="24"/>
        </w:rPr>
        <w:t>, 2023). Gaining insights into these evolving patterns is crucial for effective policymaking and strategic decision-making. We argue that investigating energy poverty trends among OPEC member states is vital, as this understanding allows policymakers to formulate targeted, country-specific initiatives instead of broad policies that may not effectively address the distinct needs of each state.</w:t>
      </w:r>
    </w:p>
    <w:p w14:paraId="028DE632" w14:textId="77777777" w:rsidR="002E0E43" w:rsidRDefault="002E0E43">
      <w:pPr>
        <w:autoSpaceDE w:val="0"/>
        <w:autoSpaceDN w:val="0"/>
        <w:adjustRightInd w:val="0"/>
        <w:spacing w:after="0" w:line="360" w:lineRule="auto"/>
        <w:jc w:val="both"/>
        <w:rPr>
          <w:rFonts w:ascii="Times New Roman" w:hAnsi="Times New Roman" w:cs="Times New Roman"/>
          <w:b/>
          <w:bCs/>
          <w:sz w:val="24"/>
          <w:szCs w:val="24"/>
        </w:rPr>
      </w:pPr>
    </w:p>
    <w:p w14:paraId="18C4BB4C" w14:textId="77777777" w:rsidR="002E0E43" w:rsidRDefault="00E71494">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Issues</w:t>
      </w:r>
    </w:p>
    <w:p w14:paraId="4E521B40"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complex interplay between unemployment and energy poverty in oil-producing countries presents a multifaceted socio-economic dilemma. Despite possessing vast natural resources and a substantial share of the world’s oil reserves, many oil-rich nations continue to face high unemployment rates, especially among youth, and persistent energy poverty. These countries’ heavy reliance on oil revenues has stunted the development of diversified economies and non-oil sectors, leaving them vulnerable to economic downturns and fluctuations in global oil prices. The volatility of these prices, compounded by the growing global demand for cleaner energy sources, has heightened the urgency to transition to renewable energy, further impacting job markets. </w:t>
      </w:r>
    </w:p>
    <w:p w14:paraId="3EEC4020"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0864F3EE"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 xml:space="preserve">The 2015 Paris Agreement, which aims to limit global warming to below 2°C, ideally to 1.5°C above pre-industrial levels, has amplified the need for a shift from fossil fuels to renewable energy sources. This global commitment has intensified the focus on energy efficiency and decarbonization, with countries committing to improving energy usage in sectors like transportation and industry. While this transition is crucial for mitigating climate change and achieving Sustainable Development Goals (SDGs), particularly SDG 7 (Affordable and Clean Energy) and SDG 13 (Climate Action), it has introduced new challenges for oil-dependent economies. Many of these nations, particularly within the Organization of Petroleum Exporting Countries (OPEC), comprising of </w:t>
      </w:r>
      <w:r>
        <w:rPr>
          <w:rStyle w:val="Strong"/>
          <w:rFonts w:ascii="Times New Roman" w:hAnsi="Times New Roman" w:cs="Times New Roman"/>
          <w:b w:val="0"/>
          <w:sz w:val="24"/>
          <w:szCs w:val="24"/>
        </w:rPr>
        <w:t>Algeria,</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Angola,</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Congo (Republic of the Congo),</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Equatorial Guinea,</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Gabon, Iran,</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Iraq, Kuwait,</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Libya,</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Nigeria,</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Saudi Arabia</w:t>
      </w:r>
      <w:r>
        <w:rPr>
          <w:rFonts w:ascii="Times New Roman" w:hAnsi="Times New Roman" w:cs="Times New Roman"/>
          <w:b/>
          <w:sz w:val="24"/>
          <w:szCs w:val="24"/>
        </w:rPr>
        <w:t xml:space="preserve"> (</w:t>
      </w:r>
      <w:r>
        <w:rPr>
          <w:rFonts w:ascii="Times New Roman" w:hAnsi="Times New Roman" w:cs="Times New Roman"/>
          <w:sz w:val="24"/>
          <w:szCs w:val="24"/>
        </w:rPr>
        <w:t>de facto leader),</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United Arab Emirates (UAE), Venezuela,</w:t>
      </w:r>
      <w:r>
        <w:rPr>
          <w:rFonts w:ascii="Times New Roman" w:hAnsi="Times New Roman" w:cs="Times New Roman"/>
          <w:bCs/>
          <w:sz w:val="24"/>
          <w:szCs w:val="24"/>
        </w:rPr>
        <w:t xml:space="preserve"> now face potential exacerbation of energy poverty due to uneven access to energy resources. Marginalized populations, especially in rural and low-income urban areas, often lack access to affordable and reliable electricity, clean cooking fuels, and modern energy solutions, despite living in energy-rich nations</w:t>
      </w:r>
      <w:r>
        <w:rPr>
          <w:rFonts w:ascii="Times New Roman" w:hAnsi="Times New Roman" w:cs="Times New Roman"/>
          <w:bCs/>
          <w:sz w:val="24"/>
          <w:szCs w:val="24"/>
          <w:lang w:val="en-GB"/>
        </w:rPr>
        <w:t xml:space="preserve"> (UNFCC 2015).</w:t>
      </w:r>
    </w:p>
    <w:p w14:paraId="23EE9EF2"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14546735"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situation highlights the socio-economic inefficiencies prevalent in these countries. In many cases, the inability to access affordable energy contributes to higher unemployment rates, as economic growth is hampered by inadequate infrastructure and dependence on traditional biomass or costly energy imports. The transition toward renewable energy, while necessary, may </w:t>
      </w:r>
      <w:r>
        <w:rPr>
          <w:rFonts w:ascii="Times New Roman" w:hAnsi="Times New Roman" w:cs="Times New Roman"/>
          <w:bCs/>
          <w:sz w:val="24"/>
          <w:szCs w:val="24"/>
        </w:rPr>
        <w:lastRenderedPageBreak/>
        <w:t>inadvertently deepen existing disparities if policy interventions are not tailored to ensure inclusivity and access to clean energy for all sectors of society.</w:t>
      </w:r>
    </w:p>
    <w:p w14:paraId="05082610"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24A8E411"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literature on the relationship between unemployment and energy poverty is not entirely consistent. Studies like those by </w:t>
      </w:r>
      <w:proofErr w:type="spellStart"/>
      <w:r>
        <w:rPr>
          <w:rFonts w:ascii="Times New Roman" w:hAnsi="Times New Roman" w:cs="Times New Roman"/>
          <w:bCs/>
          <w:sz w:val="24"/>
          <w:szCs w:val="24"/>
        </w:rPr>
        <w:t>Khobai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Kolisi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Moyo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Anyikwa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Dingela</w:t>
      </w:r>
      <w:proofErr w:type="spellEnd"/>
      <w:r>
        <w:rPr>
          <w:rFonts w:ascii="Times New Roman" w:hAnsi="Times New Roman" w:cs="Times New Roman"/>
          <w:bCs/>
          <w:sz w:val="24"/>
          <w:szCs w:val="24"/>
        </w:rPr>
        <w:t xml:space="preserve"> (2020) and </w:t>
      </w:r>
      <w:proofErr w:type="spellStart"/>
      <w:r>
        <w:rPr>
          <w:rFonts w:ascii="Times New Roman" w:hAnsi="Times New Roman" w:cs="Times New Roman"/>
          <w:bCs/>
          <w:sz w:val="24"/>
          <w:szCs w:val="24"/>
        </w:rPr>
        <w:t>Bouzarovski</w:t>
      </w:r>
      <w:proofErr w:type="spellEnd"/>
      <w:r>
        <w:rPr>
          <w:rFonts w:ascii="Times New Roman" w:hAnsi="Times New Roman" w:cs="Times New Roman"/>
          <w:bCs/>
          <w:sz w:val="24"/>
          <w:szCs w:val="24"/>
        </w:rPr>
        <w:t xml:space="preserve"> and Herrero (2017) point to a negative long-run relationship between unemployment and energy poverty, suggesting that long-term investments in energy infrastructure can alleviate unemployment and reduce energy poverty. In contrast, research by Rodriguez-Alvarez, Llorca, and Jamas (2021) and </w:t>
      </w:r>
      <w:proofErr w:type="spellStart"/>
      <w:r>
        <w:rPr>
          <w:rFonts w:ascii="Times New Roman" w:hAnsi="Times New Roman" w:cs="Times New Roman"/>
          <w:bCs/>
          <w:sz w:val="24"/>
          <w:szCs w:val="24"/>
        </w:rPr>
        <w:t>Anastasiou</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Zaroutieri</w:t>
      </w:r>
      <w:proofErr w:type="spellEnd"/>
      <w:r>
        <w:rPr>
          <w:rFonts w:ascii="Times New Roman" w:hAnsi="Times New Roman" w:cs="Times New Roman"/>
          <w:bCs/>
          <w:sz w:val="24"/>
          <w:szCs w:val="24"/>
        </w:rPr>
        <w:t xml:space="preserve"> (2023) identifies a positive correlation between the two variables, indicating that without effective policies, unemployment and energy poverty may rise in tandem.</w:t>
      </w:r>
    </w:p>
    <w:p w14:paraId="7E42391D" w14:textId="77777777" w:rsidR="002E0E43" w:rsidRDefault="002E0E43">
      <w:pPr>
        <w:autoSpaceDE w:val="0"/>
        <w:autoSpaceDN w:val="0"/>
        <w:adjustRightInd w:val="0"/>
        <w:spacing w:after="0" w:line="360" w:lineRule="auto"/>
        <w:jc w:val="both"/>
        <w:rPr>
          <w:rFonts w:ascii="Times New Roman" w:hAnsi="Times New Roman" w:cs="Times New Roman"/>
          <w:bCs/>
          <w:sz w:val="24"/>
          <w:szCs w:val="24"/>
        </w:rPr>
      </w:pPr>
    </w:p>
    <w:p w14:paraId="4D95FEAD" w14:textId="1BD37D61"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Given the divergent views in the literature, it is clear that addressing the nexus of unemployment and energy poverty in OPEC countries requires targeted, context-specific strategies. These nations must </w:t>
      </w:r>
      <w:proofErr w:type="spellStart"/>
      <w:r>
        <w:rPr>
          <w:rFonts w:ascii="Times New Roman" w:hAnsi="Times New Roman" w:cs="Times New Roman"/>
          <w:bCs/>
          <w:sz w:val="24"/>
          <w:szCs w:val="24"/>
        </w:rPr>
        <w:t>prioriti</w:t>
      </w:r>
      <w:r w:rsidR="004F5FAD">
        <w:rPr>
          <w:rFonts w:ascii="Times New Roman" w:hAnsi="Times New Roman" w:cs="Times New Roman"/>
          <w:bCs/>
          <w:sz w:val="24"/>
          <w:szCs w:val="24"/>
        </w:rPr>
        <w:t>s</w:t>
      </w:r>
      <w:r>
        <w:rPr>
          <w:rFonts w:ascii="Times New Roman" w:hAnsi="Times New Roman" w:cs="Times New Roman"/>
          <w:bCs/>
          <w:sz w:val="24"/>
          <w:szCs w:val="24"/>
        </w:rPr>
        <w:t>e</w:t>
      </w:r>
      <w:proofErr w:type="spellEnd"/>
      <w:r>
        <w:rPr>
          <w:rFonts w:ascii="Times New Roman" w:hAnsi="Times New Roman" w:cs="Times New Roman"/>
          <w:bCs/>
          <w:sz w:val="24"/>
          <w:szCs w:val="24"/>
        </w:rPr>
        <w:t xml:space="preserve"> economic diversification, enhance energy infrastructure, and foster job creation, particularly within the renewable energy sector. Such measures will not only address the immediate challenges of unemployment but also promote long-term sustainability and energy equity, aligning with the broader goals of the Paris Agreement and the SDGs. This study thus becomes essential and timely, advocating for policy interventions that holistically tackle both unemployment and energy poverty in OPEC countries. The study will then vividly examine the effect of access to electricity and access to cooking gas on unemployment in OPEC countries.</w:t>
      </w:r>
    </w:p>
    <w:p w14:paraId="0E58177B" w14:textId="77777777" w:rsidR="002E0E43" w:rsidRDefault="002E0E43">
      <w:pPr>
        <w:autoSpaceDE w:val="0"/>
        <w:autoSpaceDN w:val="0"/>
        <w:adjustRightInd w:val="0"/>
        <w:spacing w:after="0" w:line="360" w:lineRule="auto"/>
        <w:jc w:val="both"/>
        <w:rPr>
          <w:rFonts w:ascii="Times New Roman" w:hAnsi="Times New Roman" w:cs="Times New Roman"/>
          <w:b/>
          <w:bCs/>
          <w:sz w:val="24"/>
          <w:szCs w:val="24"/>
        </w:rPr>
      </w:pPr>
    </w:p>
    <w:p w14:paraId="64897AFC" w14:textId="77777777" w:rsidR="002E0E43" w:rsidRDefault="00E71494">
      <w:pPr>
        <w:pStyle w:val="ListParagraph"/>
        <w:numPr>
          <w:ilvl w:val="0"/>
          <w:numId w:val="1"/>
        </w:num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Theoretical Review</w:t>
      </w:r>
    </w:p>
    <w:p w14:paraId="09400352"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study draws on two key theories: Modern Resilience Theory and the Search Theory of Unemployment. Resilience theory, as originally developed by Holling (1973), defines resilience as a system’s capacity to absorb disturbances without shifting into an unstable state. Particularly relevant is the concept of adaptive resilience, which focuses on a system’s ability to adjust, learn, and reorganize in response to external shocks rather than returning to a previous "normal" state. In the context of this study, adaptive resilience is crucial for understanding how OPEC countries can survive and transform amid the global energy transition, which is expected to be permanent.</w:t>
      </w:r>
    </w:p>
    <w:p w14:paraId="77CC183C"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The Search Theory of Unemployment, developed by Parker (2010), views unemployment as a process driven by mismatches between job seekers and job vacancies. It emphasizes heterogeneity among workers and jobs, and suggests that unemployment rises when skills and opportunities do not align. This becomes particularly relevant during structural shifts, such as the transition to renewable energy, which may lead to skill mismatches and increased unemployment.</w:t>
      </w:r>
    </w:p>
    <w:p w14:paraId="6BCA9F85" w14:textId="6B308DDB"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Together, </w:t>
      </w:r>
      <w:proofErr w:type="spellStart"/>
      <w:r>
        <w:rPr>
          <w:rFonts w:ascii="Times New Roman" w:hAnsi="Times New Roman" w:cs="Times New Roman"/>
          <w:bCs/>
          <w:sz w:val="24"/>
          <w:szCs w:val="24"/>
        </w:rPr>
        <w:t>th</w:t>
      </w:r>
      <w:proofErr w:type="spellEnd"/>
      <w:r>
        <w:rPr>
          <w:rFonts w:ascii="Times New Roman" w:hAnsi="Times New Roman" w:cs="Times New Roman"/>
          <w:bCs/>
          <w:sz w:val="24"/>
          <w:szCs w:val="24"/>
          <w:lang w:val="en-GB"/>
        </w:rPr>
        <w:t>is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theor</w:t>
      </w:r>
      <w:proofErr w:type="spellEnd"/>
      <w:r>
        <w:rPr>
          <w:rFonts w:ascii="Times New Roman" w:hAnsi="Times New Roman" w:cs="Times New Roman"/>
          <w:bCs/>
          <w:sz w:val="24"/>
          <w:szCs w:val="24"/>
          <w:lang w:val="en-GB"/>
        </w:rPr>
        <w:t>y</w:t>
      </w:r>
      <w:r>
        <w:rPr>
          <w:rFonts w:ascii="Times New Roman" w:hAnsi="Times New Roman" w:cs="Times New Roman"/>
          <w:bCs/>
          <w:sz w:val="24"/>
          <w:szCs w:val="24"/>
        </w:rPr>
        <w:t xml:space="preserve"> explain</w:t>
      </w:r>
      <w:r w:rsidR="004F5FAD">
        <w:rPr>
          <w:rFonts w:ascii="Times New Roman" w:hAnsi="Times New Roman" w:cs="Times New Roman"/>
          <w:bCs/>
          <w:sz w:val="24"/>
          <w:szCs w:val="24"/>
        </w:rPr>
        <w:t>s</w:t>
      </w:r>
      <w:r>
        <w:rPr>
          <w:rFonts w:ascii="Times New Roman" w:hAnsi="Times New Roman" w:cs="Times New Roman"/>
          <w:bCs/>
          <w:sz w:val="24"/>
          <w:szCs w:val="24"/>
        </w:rPr>
        <w:t xml:space="preserve"> that as the global economy shifts away from fossil fuels, OPEC countries must build adaptive resilience to remain viable. At the same time, energy transition will likely cause labor market mismatches, but proactive skill acquisition can help </w:t>
      </w:r>
      <w:proofErr w:type="spellStart"/>
      <w:r>
        <w:rPr>
          <w:rFonts w:ascii="Times New Roman" w:hAnsi="Times New Roman" w:cs="Times New Roman"/>
          <w:bCs/>
          <w:sz w:val="24"/>
          <w:szCs w:val="24"/>
        </w:rPr>
        <w:t>minimi</w:t>
      </w:r>
      <w:r w:rsidR="004F5FAD">
        <w:rPr>
          <w:rFonts w:ascii="Times New Roman" w:hAnsi="Times New Roman" w:cs="Times New Roman"/>
          <w:bCs/>
          <w:sz w:val="24"/>
          <w:szCs w:val="24"/>
        </w:rPr>
        <w:t>s</w:t>
      </w:r>
      <w:r>
        <w:rPr>
          <w:rFonts w:ascii="Times New Roman" w:hAnsi="Times New Roman" w:cs="Times New Roman"/>
          <w:bCs/>
          <w:sz w:val="24"/>
          <w:szCs w:val="24"/>
        </w:rPr>
        <w:t>e</w:t>
      </w:r>
      <w:proofErr w:type="spellEnd"/>
      <w:r>
        <w:rPr>
          <w:rFonts w:ascii="Times New Roman" w:hAnsi="Times New Roman" w:cs="Times New Roman"/>
          <w:bCs/>
          <w:sz w:val="24"/>
          <w:szCs w:val="24"/>
        </w:rPr>
        <w:t xml:space="preserve"> unemployment disruptions.</w:t>
      </w:r>
    </w:p>
    <w:p w14:paraId="5756968B" w14:textId="77777777" w:rsidR="002E0E43" w:rsidRDefault="00E714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Literature Review</w:t>
      </w:r>
    </w:p>
    <w:p w14:paraId="2FDA3B9F" w14:textId="40BEE8E5" w:rsidR="002E0E43" w:rsidRDefault="00E71494">
      <w:pPr>
        <w:autoSpaceDE w:val="0"/>
        <w:autoSpaceDN w:val="0"/>
        <w:adjustRightInd w:val="0"/>
        <w:spacing w:after="0"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Anastasiou</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Zaroutieri</w:t>
      </w:r>
      <w:proofErr w:type="spellEnd"/>
      <w:r>
        <w:rPr>
          <w:rFonts w:ascii="Times New Roman" w:hAnsi="Times New Roman" w:cs="Times New Roman"/>
          <w:bCs/>
          <w:sz w:val="24"/>
          <w:szCs w:val="24"/>
        </w:rPr>
        <w:t xml:space="preserve"> (2023) focus on energy poverty as a growing global issue, particularly highlighting the urgent need for energy-related policies to address social inclusion and rights. They analyze patterns of energy poverty in 27 EU member states from 2005 to 2020, using a log-t regression test to explore the convergence hypothesis and </w:t>
      </w:r>
      <w:r w:rsidR="004F5FAD">
        <w:rPr>
          <w:rFonts w:ascii="Times New Roman" w:hAnsi="Times New Roman" w:cs="Times New Roman"/>
          <w:bCs/>
          <w:sz w:val="24"/>
          <w:szCs w:val="24"/>
        </w:rPr>
        <w:t xml:space="preserve">an </w:t>
      </w:r>
      <w:r>
        <w:rPr>
          <w:rFonts w:ascii="Times New Roman" w:hAnsi="Times New Roman" w:cs="Times New Roman"/>
          <w:bCs/>
          <w:sz w:val="24"/>
          <w:szCs w:val="24"/>
        </w:rPr>
        <w:t>algorithm to identify convergence clubs. The study findings reveal that the convergence hypothesis is rejected, meaning that the countries do not uniformly converge in terms of energy poverty reduction. The affordability of heating services, they argue, is shaped by structural factors such as housing quality, energy costs, and climate conditions. Additionally, economic hardship has increased utility bill arrears and limited access to basic sanitation services across households in these regions. The study underscores the complexity of energy poverty and highlights the need for nuanced, multifaceted policy responses that consider the diverse structural conditions and socio-economic realities faced by different countries</w:t>
      </w:r>
      <w:r>
        <w:rPr>
          <w:rFonts w:ascii="Times New Roman" w:eastAsia="STIX-Regular2" w:hAnsi="Times New Roman" w:cs="Times New Roman"/>
          <w:sz w:val="24"/>
          <w:szCs w:val="24"/>
        </w:rPr>
        <w:t>.</w:t>
      </w:r>
    </w:p>
    <w:p w14:paraId="622E1688" w14:textId="2AD65A0F" w:rsidR="002E0E43" w:rsidRDefault="00E71494">
      <w:pPr>
        <w:pStyle w:val="NormalWeb"/>
        <w:spacing w:line="360" w:lineRule="auto"/>
        <w:jc w:val="both"/>
      </w:pPr>
      <w:proofErr w:type="spellStart"/>
      <w:r>
        <w:t>Popirlan</w:t>
      </w:r>
      <w:proofErr w:type="spellEnd"/>
      <w:r>
        <w:t xml:space="preserve">, Tudor, and </w:t>
      </w:r>
      <w:proofErr w:type="spellStart"/>
      <w:r>
        <w:t>Popirlan</w:t>
      </w:r>
      <w:proofErr w:type="spellEnd"/>
      <w:r>
        <w:t xml:space="preserve"> (2023) explore the strong correlation between energy poverty and unemployment in four European countries Bulgaria, Hungary, Romania, and Slovakia by using a hybrid ARIMA-ARNN model. The study reveals that the unemployment rate and energy poverty percentage exhibit similar trends, indicating a strong interconnectivity. The </w:t>
      </w:r>
      <w:r w:rsidR="004F5FAD">
        <w:t xml:space="preserve">fact </w:t>
      </w:r>
      <w:r>
        <w:t>that this correlation is likely to persist unless governmental policies are introduced to mitigate the factors influencing energy poverty, such as improving energy efficiency and addressing socio-economic disparities. The study underscore</w:t>
      </w:r>
      <w:r w:rsidR="004F5FAD">
        <w:t>s</w:t>
      </w:r>
      <w:r>
        <w:t xml:space="preserve"> that unemployment is a crucial economic indicator</w:t>
      </w:r>
      <w:r w:rsidR="004F5FAD">
        <w:t xml:space="preserve"> </w:t>
      </w:r>
      <w:bookmarkStart w:id="0" w:name="_GoBack"/>
      <w:bookmarkEnd w:id="0"/>
      <w:r w:rsidR="004F5FAD">
        <w:t>and</w:t>
      </w:r>
      <w:r>
        <w:t xml:space="preserve"> is a </w:t>
      </w:r>
      <w:r>
        <w:lastRenderedPageBreak/>
        <w:t>significant determinant of energy poverty. The study highlights the need for policy intervention, as the continuation of the observed trend could have long-term socio-economic consequences. By focusing on unemployment and economic conditions, governments could take proactive steps to reduce energy poverty, particularly in countries where vulnerable populations face the dual burden of joblessness and high energy costs. The study apt such that unemployment exacerbates energy poverty, as job loss reduces household income, making energy bills increasingly unaffordable. However, beyond unemployment, there are other factors that governments should consider. For example, energy prices, housing quality, and access to modern energy infrastructure also play critical roles in exacerbating or alleviating energy poverty. Hence, a holistic approach to energy poverty should not only target job creation but also ensure affordable and sustainable energy access, improved housing conditions, and greater energy efficiency.</w:t>
      </w:r>
    </w:p>
    <w:p w14:paraId="1D233C18" w14:textId="77777777" w:rsidR="002E0E43" w:rsidRDefault="00E714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Rodriguez-Alvarez, Llorca, and Jamas (2021) proposed a sophisticated model to analyze energy poverty, emphasizing a theoretical framework that estimates a country’s "energy poverty frontier." This frontier helps to assess the minimum energy poverty level achievable based on variables such as income, energy prices, and energy efficiency. Their analysis of 30 European countries over the period of 2005–2018 demonstrates that policy measures, including financial aid to vulnerable groups, reducing energy prices, and improving energy efficiency, have been effective in mitigating energy poverty. </w:t>
      </w:r>
    </w:p>
    <w:p w14:paraId="6BC532A4" w14:textId="77777777" w:rsidR="002E0E43" w:rsidRDefault="00E714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economic challenges brought on by the global financial crisis, the study found consistent energy poverty reduction in most of the analyzed countries. This study highlights the complex interplay between socio-economic factors and energy policies in reducing energy poverty, particularly in developed nations. By proposing an energy poverty frontier, the authors offer a novel perspective on how different factors can set realistic targets for energy poverty reduction. Additionally, understanding the role of renewable energy in reducing energy poverty could further enhance the effectiveness of these models, especially given the global shift towards sustainable energy solutions. This would add depth to existing literature by addressing the role of green energy initiatives in curbing energy poverty worldwide. This work adds significant value to the energy poverty discourse, providing both theoretical and practical insights into how energy poverty can be measured and reduced through targeted policy interventions. Expanding this </w:t>
      </w:r>
      <w:r>
        <w:rPr>
          <w:rFonts w:ascii="Times New Roman" w:hAnsi="Times New Roman" w:cs="Times New Roman"/>
          <w:sz w:val="24"/>
          <w:szCs w:val="24"/>
        </w:rPr>
        <w:lastRenderedPageBreak/>
        <w:t>model to encompass different global contexts would enrich its applicability and deepen our understanding of energy poverty solutions across diverse regions.</w:t>
      </w:r>
    </w:p>
    <w:p w14:paraId="0734BA30" w14:textId="77777777" w:rsidR="002E0E43" w:rsidRDefault="00E7149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Khobai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Kolisi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Moyo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Anyikwa</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Dingela</w:t>
      </w:r>
      <w:proofErr w:type="spellEnd"/>
      <w:r>
        <w:rPr>
          <w:rFonts w:ascii="Times New Roman" w:hAnsi="Times New Roman" w:cs="Times New Roman"/>
          <w:bCs/>
          <w:sz w:val="24"/>
          <w:szCs w:val="24"/>
        </w:rPr>
        <w:t xml:space="preserve"> (2020) highlight the increasing importance of renewable energy consumption in recent years, emphasizing its benefits for both environmental quality and economic growth. The study reveals a significant long-term negative effect of renewable energy consumption on unemployment. In contrast, the short-term impact appears statistically insignificant. The study advocates for increased renewable energy production and consumption as a strategy to reduce unemployment. This study contributes to a growing body of literature that links renewable energy to broader socio-economic benefits beyond environmental gains. The negative long-term impact of renewable energy on unemployment suggests that transitioning to greener energy sources can create jobs, particularly in industries such as solar, wind, and bioenergy. However, the insignificant short-term relationship points to the lag between renewable energy investments and tangible employment outcomes, possibly due to the time required for infrastructure development, training, and market adjustments. Study provides valuable insights into the long-term employment benefits of renewable energy, especially in a developing country context. However, to maximize these benefits, governments must adopt a holistic approach that includes policy support for both energy transitions and workforce development, ensuring that renewable energy’s potential as a job creator is fully realized.</w:t>
      </w:r>
    </w:p>
    <w:p w14:paraId="0CD7799D" w14:textId="77777777" w:rsidR="002E0E43" w:rsidRDefault="00E71494">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Munro, Samarakoon, and Horst (2020) present an insightful rethinking of "energy poverty" in Sub-Saharan Africa by critiquing its traditional interpretation as a static condition. The study underscores the complexity of energy poverty in today's context, where informal energy markets and consumer behavior drive significant change. This perspective challenges the conventional top-down approach to energy policy, suggesting that a more nuanced understanding of local markets and the socio-political landscape is essential for designing effective interventions. This research contributes to a broader discussion on energy poverty by emphasizing the importance of understanding regional specifics. While much of the literature has focused on state-led electrification projects as the solution, the reality in Sub-Saharan Africa, as illustrated by Munro et al., is far more complex. The decentralization of energy supply, the growth of local markets for affordable technologies, and informal energy networks challenge the conventional modernist frameworks. In adding my voice to this discussion, I argue that energy poverty solutions must be </w:t>
      </w:r>
      <w:r>
        <w:rPr>
          <w:rFonts w:ascii="Times New Roman" w:hAnsi="Times New Roman" w:cs="Times New Roman"/>
          <w:bCs/>
          <w:sz w:val="24"/>
          <w:szCs w:val="24"/>
        </w:rPr>
        <w:lastRenderedPageBreak/>
        <w:t>adaptive, not only in recognizing local innovations but also in engaging with the dynamic interplay between formal and informal energy systems. Additionally, there is a need for more research into the sustainability and environmental impact of these alternative solutions such as increased reliance on charcoal and how they fit into broader energy transition goals. This adaptive and localized approach may offer better insights into alleviating energy poverty in Sub-Saharan Africa. The study can explore how informal energy practices interact with broader policies and international energy initiatives, such as those promoting renewable energy sources. These informal solutions could provide valuable lessons in scaling up decentralized, low-cost energy solutions for other regions facing similar challenges.</w:t>
      </w:r>
    </w:p>
    <w:p w14:paraId="41613C06" w14:textId="77777777" w:rsidR="002E0E43" w:rsidRDefault="00E71494">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Bouzarovski</w:t>
      </w:r>
      <w:proofErr w:type="spellEnd"/>
      <w:r>
        <w:rPr>
          <w:rFonts w:ascii="Times New Roman" w:hAnsi="Times New Roman" w:cs="Times New Roman"/>
          <w:bCs/>
          <w:sz w:val="24"/>
          <w:szCs w:val="24"/>
        </w:rPr>
        <w:t xml:space="preserve"> and Herrero (2017) emphasized a significant "energy poverty divide" within the European Union (EU), particularly between wealthier core regions and more economically marginalized areas in Southern and Eastern Europe. This disparity is rooted in broader patterns of socio-economic inequality, which affect the affordability of energy services, leading to stark contrasts in energy poverty rates. The study's key contribution is its integration of energy poverty into broader discussions about uneven economic development and material deprivation. By establishing that the economic core-periphery divide observed in other aspects of development is also reflected in energy access. The study provides a foundation for rethinking how energy transitions are implemented, with attention to spatial justice and economic equity. The research emphasizes the need for localized approaches to energy policy that account for regional economic disparities. While much of the current literature on energy transitions focuses on the technological aspects, this calls for targeted policies that provide financial aid, improve energy efficiency in homes, and ensure equitable access to clean energy across all EU Member States. Furthermore, this may be argued that beyond Europe, this spatial divide in energy poverty is evident in developing regions as well, where socio-economic disparities and energy access remain closely linked. The integration of this nuanced understanding of energy poverty into global energy transition policies is essential to ensuring that the move toward sustainable energy systems does not leave marginalized communities behind.  </w:t>
      </w:r>
    </w:p>
    <w:p w14:paraId="4A4890AA" w14:textId="77777777" w:rsidR="002E0E43" w:rsidRDefault="00E71494">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Methods</w:t>
      </w:r>
    </w:p>
    <w:p w14:paraId="5CE2A578" w14:textId="77777777" w:rsidR="002E0E43" w:rsidRDefault="00E71494">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Nature and Source of Data</w:t>
      </w:r>
      <w:r>
        <w:rPr>
          <w:rFonts w:ascii="Times New Roman" w:hAnsi="Times New Roman" w:cs="Times New Roman"/>
          <w:bCs/>
          <w:sz w:val="24"/>
          <w:szCs w:val="24"/>
        </w:rPr>
        <w:t xml:space="preserve">: This study will utilize secondary data to assess the effectiveness of various factors, including unemployment rates, access to electricity, and access to cooking gas. </w:t>
      </w:r>
      <w:r>
        <w:rPr>
          <w:rFonts w:ascii="Times New Roman" w:hAnsi="Times New Roman" w:cs="Times New Roman"/>
          <w:bCs/>
          <w:sz w:val="24"/>
          <w:szCs w:val="24"/>
        </w:rPr>
        <w:lastRenderedPageBreak/>
        <w:t xml:space="preserve">The data for this study will span from 2015 to 2023. This is because 2015 marked the Paris Agreement on clean energy. It will also incorporate control variables such as the gross fixed capital formation, population growth rate, and Inflation Rate. Data will be sourced from reputable sites such as the World Bank and The Global Economy.  </w:t>
      </w:r>
    </w:p>
    <w:p w14:paraId="7DF2D304" w14:textId="77777777" w:rsidR="002E0E43" w:rsidRDefault="00E714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Data Analysis</w:t>
      </w:r>
    </w:p>
    <w:p w14:paraId="67964C44" w14:textId="77777777" w:rsidR="002E0E43" w:rsidRDefault="00E71494">
      <w:pPr>
        <w:spacing w:line="360" w:lineRule="auto"/>
        <w:ind w:right="-613"/>
        <w:jc w:val="both"/>
        <w:rPr>
          <w:rFonts w:ascii="Times New Roman" w:hAnsi="Times New Roman" w:cs="Times New Roman"/>
          <w:sz w:val="24"/>
          <w:szCs w:val="24"/>
        </w:rPr>
      </w:pPr>
      <w:r>
        <w:rPr>
          <w:rFonts w:ascii="Times New Roman" w:hAnsi="Times New Roman" w:cs="Times New Roman"/>
          <w:sz w:val="24"/>
          <w:szCs w:val="24"/>
        </w:rPr>
        <w:t>The study utilizes a combination of trend analysis and robust econometric techniques to analyze the data. Specifically, it employs the System Generalized Method of Moments (GMM) for panel data estimation, recognized for its efficiency in addressing endogeneity, unobserved heterogeneity, and dynamic relationships. To validate the reliability of the model, the Arellano-Bond test for autocorrelation will be applied to assess the independence of error terms. This ensures that the model's residuals do not exhibit serial correlation, thereby enhancing the credibility and robustness of the estimated results.</w:t>
      </w:r>
    </w:p>
    <w:p w14:paraId="0BF8CAD0" w14:textId="77777777" w:rsidR="002E0E43" w:rsidRDefault="00E71494">
      <w:pPr>
        <w:spacing w:line="360" w:lineRule="auto"/>
        <w:ind w:right="-613"/>
        <w:jc w:val="both"/>
        <w:rPr>
          <w:rFonts w:ascii="Times New Roman" w:hAnsi="Times New Roman" w:cs="Times New Roman"/>
          <w:sz w:val="24"/>
          <w:szCs w:val="24"/>
        </w:rPr>
      </w:pPr>
      <w:r>
        <w:rPr>
          <w:rFonts w:ascii="Times New Roman" w:eastAsia="Times New Roman" w:hAnsi="Times New Roman" w:cs="Times New Roman"/>
          <w:b/>
          <w:sz w:val="24"/>
          <w:szCs w:val="24"/>
        </w:rPr>
        <w:t>Model Specification</w:t>
      </w:r>
    </w:p>
    <w:p w14:paraId="62893593"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The model for this study is derived from the Search Theory of Unemployment proposed by</w:t>
      </w:r>
    </w:p>
    <w:p w14:paraId="44D92217"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Parker (2010). A structural shift in the economy creates a mismatch between job seekers and</w:t>
      </w:r>
    </w:p>
    <w:p w14:paraId="58FDB674"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job vacancies. Consequently, the structural shift could lead to a rise in unemployment. If we</w:t>
      </w:r>
    </w:p>
    <w:p w14:paraId="184D61C6"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refer to energy poverty from access to energy and access to cooking gas renewable energy, then it is likely that energy poverty will cause a rise in unemployment in OPEC countries. Thus, we express unemployment as a function of energy transition. The model for the study is</w:t>
      </w:r>
    </w:p>
    <w:p w14:paraId="6BACB667"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proofErr w:type="gramStart"/>
      <w:r>
        <w:rPr>
          <w:rFonts w:ascii="Times New Roman" w:eastAsia="TimesNewRoman" w:hAnsi="Times New Roman" w:cs="Times New Roman"/>
          <w:sz w:val="24"/>
          <w:szCs w:val="24"/>
        </w:rPr>
        <w:t>therefore</w:t>
      </w:r>
      <w:proofErr w:type="gramEnd"/>
      <w:r>
        <w:rPr>
          <w:rFonts w:ascii="Times New Roman" w:eastAsia="TimesNewRoman" w:hAnsi="Times New Roman" w:cs="Times New Roman"/>
          <w:sz w:val="24"/>
          <w:szCs w:val="24"/>
        </w:rPr>
        <w:t xml:space="preserve"> stated below;</w:t>
      </w:r>
    </w:p>
    <w:p w14:paraId="5BDE8693"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m:oMathPara>
        <m:oMath>
          <m:r>
            <w:rPr>
              <w:rFonts w:ascii="Cambria Math" w:eastAsia="TimesNewRoman" w:hAnsi="Cambria Math" w:cs="Times New Roman"/>
              <w:sz w:val="24"/>
              <w:szCs w:val="24"/>
            </w:rPr>
            <m:t>UNEMP= ʃ</m:t>
          </m:r>
          <m:d>
            <m:dPr>
              <m:ctrlPr>
                <w:rPr>
                  <w:rFonts w:ascii="Cambria Math" w:eastAsia="TimesNewRoman" w:hAnsi="Cambria Math" w:cs="Times New Roman"/>
                  <w:i/>
                  <w:sz w:val="24"/>
                  <w:szCs w:val="24"/>
                </w:rPr>
              </m:ctrlPr>
            </m:dPr>
            <m:e>
              <m:r>
                <w:rPr>
                  <w:rFonts w:ascii="Cambria Math" w:eastAsia="TimesNewRoman" w:hAnsi="Cambria Math" w:cs="Times New Roman"/>
                  <w:sz w:val="24"/>
                  <w:szCs w:val="24"/>
                </w:rPr>
                <m:t>ACCE, ACCCG, GCF,POPr, INF</m:t>
              </m:r>
            </m:e>
          </m:d>
          <m:r>
            <w:rPr>
              <w:rFonts w:ascii="Cambria Math" w:eastAsia="TimesNewRoman" w:hAnsi="Cambria Math" w:cs="Times New Roman"/>
              <w:sz w:val="24"/>
              <w:szCs w:val="24"/>
            </w:rPr>
            <m:t>……………………..1</m:t>
          </m:r>
        </m:oMath>
      </m:oMathPara>
    </w:p>
    <w:p w14:paraId="02DDAAAB" w14:textId="77777777" w:rsidR="002E0E43" w:rsidRDefault="00E71494">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14:paraId="0CE91FDE"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hAnsi="Times New Roman" w:cs="Times New Roman"/>
          <w:i/>
          <w:iCs/>
          <w:sz w:val="24"/>
          <w:szCs w:val="24"/>
        </w:rPr>
        <w:t xml:space="preserve">UNEMP </w:t>
      </w:r>
      <w:r>
        <w:rPr>
          <w:rFonts w:ascii="Times New Roman" w:eastAsia="TimesNewRoman" w:hAnsi="Times New Roman" w:cs="Times New Roman"/>
          <w:sz w:val="24"/>
          <w:szCs w:val="24"/>
        </w:rPr>
        <w:t xml:space="preserve">is the unemployment rate, ACCE is Access to electricity, ACCCG is Access to cooking gas, GCF is Gross Capital Formation, </w:t>
      </w:r>
      <w:proofErr w:type="spellStart"/>
      <w:r>
        <w:rPr>
          <w:rFonts w:ascii="Times New Roman" w:eastAsia="TimesNewRoman" w:hAnsi="Times New Roman" w:cs="Times New Roman"/>
          <w:sz w:val="24"/>
          <w:szCs w:val="24"/>
        </w:rPr>
        <w:t>POPr</w:t>
      </w:r>
      <w:proofErr w:type="spellEnd"/>
      <w:r>
        <w:rPr>
          <w:rFonts w:ascii="Times New Roman" w:eastAsia="TimesNewRoman" w:hAnsi="Times New Roman" w:cs="Times New Roman"/>
          <w:sz w:val="24"/>
          <w:szCs w:val="24"/>
        </w:rPr>
        <w:t xml:space="preserve"> is Population growth rate, and INF is Inflation Rate</w:t>
      </w:r>
    </w:p>
    <w:p w14:paraId="66782E89"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Following a typical dynamic panel data model (dynamic by including a lag of the dependent</w:t>
      </w:r>
    </w:p>
    <w:p w14:paraId="2B9E3905"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variable as a regressor in a model, a panel Generalized Method of Moments (panel GMM) is</w:t>
      </w:r>
    </w:p>
    <w:p w14:paraId="6FFE37A6"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specified as:</w:t>
      </w:r>
    </w:p>
    <w:p w14:paraId="06A9DC69" w14:textId="77777777" w:rsidR="002E0E43" w:rsidRDefault="004F5FAD">
      <w:pPr>
        <w:autoSpaceDE w:val="0"/>
        <w:autoSpaceDN w:val="0"/>
        <w:adjustRightInd w:val="0"/>
        <w:spacing w:after="0" w:line="480" w:lineRule="auto"/>
        <w:rPr>
          <w:rFonts w:ascii="Times New 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Y</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δY</m:t>
            </m:r>
          </m:e>
          <m:sub>
            <m:r>
              <w:rPr>
                <w:rFonts w:ascii="Cambria Math" w:eastAsia="TimesNewRoman" w:hAnsi="Cambria Math" w:cs="Times New Roman"/>
                <w:sz w:val="24"/>
                <w:szCs w:val="24"/>
              </w:rPr>
              <m:t>i</m:t>
            </m:r>
            <m:r>
              <w:rPr>
                <w:rFonts w:ascii="Cambria Math" w:eastAsia="TimesNewRoman" w:hAnsi="Cambria Math" w:cs="Times New Roman"/>
                <w:sz w:val="24"/>
                <w:szCs w:val="24"/>
              </w:rPr>
              <m:t>,</m:t>
            </m:r>
            <m:r>
              <w:rPr>
                <w:rFonts w:ascii="Cambria Math" w:eastAsia="TimesNewRoman" w:hAnsi="Cambria Math" w:cs="Times New Roman"/>
                <w:sz w:val="24"/>
                <w:szCs w:val="24"/>
              </w:rPr>
              <m:t>t</m:t>
            </m:r>
            <m:r>
              <w:rPr>
                <w:rFonts w:ascii="Cambria Math" w:eastAsia="TimesNewRoman" w:hAnsi="Cambria Math" w:cs="Times New Roman"/>
                <w:sz w:val="24"/>
                <w:szCs w:val="24"/>
              </w:rPr>
              <m:t>-</m:t>
            </m:r>
            <m:r>
              <w:rPr>
                <w:rFonts w:ascii="Cambria Math" w:eastAsia="TimesNewRoman" w:hAnsi="Cambria Math" w:cs="Times New Roman"/>
                <w:sz w:val="24"/>
                <w:szCs w:val="24"/>
              </w:rPr>
              <m:t>1</m:t>
            </m:r>
          </m:sub>
        </m:sSub>
        <m:r>
          <w:rPr>
            <w:rFonts w:ascii="Cambria Math" w:eastAsia="TimesNewRoman" w:hAnsi="Cambria Math" w:cs="Times New Roman"/>
            <w:sz w:val="24"/>
            <w:szCs w:val="24"/>
          </w:rPr>
          <m:t>+</m:t>
        </m:r>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X</m:t>
            </m:r>
          </m:e>
          <m:sub>
            <m:r>
              <w:rPr>
                <w:rFonts w:ascii="Cambria Math" w:eastAsia="TimesNewRoman" w:hAnsi="Cambria Math" w:cs="Times New Roman"/>
                <w:sz w:val="24"/>
                <w:szCs w:val="24"/>
              </w:rPr>
              <m:t>it</m:t>
            </m:r>
          </m:sub>
          <m:sup>
            <m:r>
              <w:rPr>
                <w:rFonts w:ascii="Cambria Math" w:eastAsia="TimesNewRoman" w:hAnsi="Cambria Math" w:cs="Times New Roman"/>
                <w:sz w:val="24"/>
                <w:szCs w:val="24"/>
              </w:rPr>
              <m:t>'</m:t>
            </m:r>
          </m:sup>
        </m:sSubSup>
        <m:r>
          <w:rPr>
            <w:rFonts w:ascii="Cambria Math" w:eastAsia="TimesNewRoman" w:hAnsi="Cambria Math" w:cs="Times New Roman"/>
            <w:sz w:val="24"/>
            <w:szCs w:val="24"/>
          </w:rPr>
          <m:t>B</m:t>
        </m:r>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m:t>
            </m:r>
          </m:e>
          <m:sub>
            <m:r>
              <w:rPr>
                <w:rFonts w:ascii="Cambria Math" w:eastAsia="TimesNewRoman" w:hAnsi="Cambria Math" w:cs="Times New Roman"/>
                <w:sz w:val="24"/>
                <w:szCs w:val="24"/>
              </w:rPr>
              <m:t>i</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η</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E71494">
        <w:rPr>
          <w:rFonts w:ascii="Times New Roman" w:eastAsia="TimesNewRoman" w:hAnsi="Times New Roman" w:cs="Times New Roman"/>
          <w:sz w:val="24"/>
          <w:szCs w:val="24"/>
        </w:rPr>
        <w:t>(2)</w:t>
      </w:r>
    </w:p>
    <w:p w14:paraId="3D795A6C"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And the generalized framework is:</w:t>
      </w:r>
    </w:p>
    <w:p w14:paraId="738EB680" w14:textId="77777777" w:rsidR="002E0E43" w:rsidRDefault="004F5FAD">
      <w:pPr>
        <w:autoSpaceDE w:val="0"/>
        <w:autoSpaceDN w:val="0"/>
        <w:adjustRightInd w:val="0"/>
        <w:spacing w:after="0" w:line="480" w:lineRule="auto"/>
        <w:rPr>
          <w:rFonts w:ascii="Times New 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Y</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δW</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X</m:t>
            </m:r>
          </m:e>
          <m:sub>
            <m:r>
              <w:rPr>
                <w:rFonts w:ascii="Cambria Math" w:eastAsia="TimesNewRoman" w:hAnsi="Cambria Math" w:cs="Times New Roman"/>
                <w:sz w:val="24"/>
                <w:szCs w:val="24"/>
              </w:rPr>
              <m:t>it</m:t>
            </m:r>
          </m:sub>
          <m:sup>
            <m:r>
              <w:rPr>
                <w:rFonts w:ascii="Cambria Math" w:eastAsia="TimesNewRoman" w:hAnsi="Cambria Math" w:cs="Times New Roman"/>
                <w:sz w:val="24"/>
                <w:szCs w:val="24"/>
              </w:rPr>
              <m:t>'</m:t>
            </m:r>
          </m:sup>
        </m:sSubSup>
        <m:r>
          <w:rPr>
            <w:rFonts w:ascii="Cambria Math" w:eastAsia="TimesNewRoman" w:hAnsi="Cambria Math" w:cs="Times New Roman"/>
            <w:sz w:val="24"/>
            <w:szCs w:val="24"/>
          </w:rPr>
          <m:t>B</m:t>
        </m:r>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E71494">
        <w:rPr>
          <w:rFonts w:ascii="Times New Roman" w:eastAsia="TimesNewRoman" w:hAnsi="Times New Roman" w:cs="Times New Roman"/>
          <w:sz w:val="24"/>
          <w:szCs w:val="24"/>
        </w:rPr>
        <w:t>(3)</w:t>
      </w:r>
    </w:p>
    <w:p w14:paraId="44FC4177" w14:textId="77777777" w:rsidR="002E0E43" w:rsidRDefault="00E71494">
      <w:pPr>
        <w:autoSpaceDE w:val="0"/>
        <w:autoSpaceDN w:val="0"/>
        <w:adjustRightInd w:val="0"/>
        <w:spacing w:after="0" w:line="48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i=1,…n;      t=1,…,T</m:t>
          </m:r>
        </m:oMath>
      </m:oMathPara>
    </w:p>
    <w:p w14:paraId="1C683A8A" w14:textId="77777777" w:rsidR="002E0E43" w:rsidRDefault="00E71494">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14:paraId="659A7E79" w14:textId="77777777" w:rsidR="002E0E43" w:rsidRDefault="004F5FAD">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W</m:t>
            </m:r>
          </m:e>
          <m:sub>
            <m:r>
              <w:rPr>
                <w:rFonts w:ascii="Cambria Math" w:eastAsia="TimesNewRoman" w:hAnsi="Cambria Math" w:cs="Times New Roman"/>
                <w:sz w:val="24"/>
                <w:szCs w:val="24"/>
              </w:rPr>
              <m:t>it</m:t>
            </m:r>
          </m:sub>
        </m:sSub>
      </m:oMath>
      <w:r w:rsidR="00E71494">
        <w:rPr>
          <w:rFonts w:ascii="Times New Roman" w:hAnsi="Times New Roman" w:cs="Times New Roman"/>
          <w:sz w:val="24"/>
          <w:szCs w:val="24"/>
        </w:rPr>
        <w:t xml:space="preserve"> </w:t>
      </w:r>
      <w:r w:rsidR="00E71494">
        <w:rPr>
          <w:rFonts w:ascii="Times New Roman" w:eastAsia="TimesNewRoman" w:hAnsi="Times New Roman" w:cs="Times New Roman"/>
          <w:sz w:val="24"/>
          <w:szCs w:val="24"/>
        </w:rPr>
        <w:t>is a vector of predetermined covariates (which may include the lag of Y) and endogenous</w:t>
      </w:r>
    </w:p>
    <w:p w14:paraId="72F2C697"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covariates, all of which were correlated with the </w:t>
      </w: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m:t>
            </m:r>
          </m:e>
          <m:sub>
            <m:r>
              <w:rPr>
                <w:rFonts w:ascii="Cambria Math" w:eastAsia="TimesNewRoman" w:hAnsi="Cambria Math" w:cs="Times New Roman"/>
                <w:sz w:val="24"/>
                <w:szCs w:val="24"/>
              </w:rPr>
              <m:t>i</m:t>
            </m:r>
          </m:sub>
        </m:sSub>
      </m:oMath>
      <w:r>
        <w:rPr>
          <w:rFonts w:ascii="Times New Roman" w:eastAsia="TimesNewRoman" w:hAnsi="Times New Roman" w:cs="Times New Roman"/>
          <w:sz w:val="24"/>
          <w:szCs w:val="24"/>
        </w:rPr>
        <w:t xml:space="preserve"> (error term that captures all other omitted</w:t>
      </w:r>
    </w:p>
    <w:p w14:paraId="66B97881"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factors) and </w:t>
      </w:r>
      <m:oMath>
        <m:r>
          <w:rPr>
            <w:rFonts w:ascii="Cambria Math" w:eastAsia="TimesNewRoman" w:hAnsi="Cambria Math" w:cs="Times New Roman"/>
            <w:sz w:val="24"/>
            <w:szCs w:val="24"/>
          </w:rPr>
          <m:t>δ</m:t>
        </m:r>
      </m:oMath>
      <w:r>
        <w:rPr>
          <w:rFonts w:ascii="Times New Roman" w:hAnsi="Times New Roman" w:cs="Times New Roman"/>
          <w:sz w:val="24"/>
          <w:szCs w:val="24"/>
        </w:rPr>
        <w:t xml:space="preserve"> </w:t>
      </w:r>
      <w:r>
        <w:rPr>
          <w:rFonts w:ascii="Times New Roman" w:eastAsia="TimesNewRoman" w:hAnsi="Times New Roman" w:cs="Times New Roman"/>
          <w:sz w:val="24"/>
          <w:szCs w:val="24"/>
        </w:rPr>
        <w:t>measures the causal effect of the lagged dependent variable on current levels of the dependent variable.  Equation 1 is therefore re-stated as:</w:t>
      </w:r>
    </w:p>
    <w:p w14:paraId="7450CB32" w14:textId="77777777" w:rsidR="002E0E43" w:rsidRDefault="004F5FAD">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UNEMP</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δUNEMP</m:t>
            </m:r>
          </m:e>
          <m:sub>
            <m:r>
              <w:rPr>
                <w:rFonts w:ascii="Cambria Math" w:eastAsia="TimesNewRoman" w:hAnsi="Cambria Math" w:cs="Times New Roman"/>
                <w:sz w:val="24"/>
                <w:szCs w:val="24"/>
              </w:rPr>
              <m:t>i</m:t>
            </m:r>
            <m:r>
              <w:rPr>
                <w:rFonts w:ascii="Cambria Math" w:eastAsia="TimesNewRoman" w:hAnsi="Cambria Math" w:cs="Times New Roman"/>
                <w:sz w:val="24"/>
                <w:szCs w:val="24"/>
              </w:rPr>
              <m:t>,</m:t>
            </m:r>
            <m:r>
              <w:rPr>
                <w:rFonts w:ascii="Cambria Math" w:eastAsia="TimesNewRoman" w:hAnsi="Cambria Math" w:cs="Times New Roman"/>
                <w:sz w:val="24"/>
                <w:szCs w:val="24"/>
              </w:rPr>
              <m:t>t</m:t>
            </m:r>
            <m:r>
              <w:rPr>
                <w:rFonts w:ascii="Cambria Math" w:eastAsia="TimesNewRoman" w:hAnsi="Cambria Math" w:cs="Times New Roman"/>
                <w:sz w:val="24"/>
                <w:szCs w:val="24"/>
              </w:rPr>
              <m:t>-</m:t>
            </m:r>
            <m:r>
              <w:rPr>
                <w:rFonts w:ascii="Cambria Math" w:eastAsia="TimesNewRoman" w:hAnsi="Cambria Math" w:cs="Times New Roman"/>
                <w:sz w:val="24"/>
                <w:szCs w:val="24"/>
              </w:rPr>
              <m:t>1</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1</m:t>
                </m:r>
              </m:sub>
            </m:sSub>
            <m:r>
              <w:rPr>
                <w:rFonts w:ascii="Cambria Math" w:eastAsia="TimesNewRoman" w:hAnsi="Cambria Math" w:cs="Times New Roman"/>
                <w:sz w:val="24"/>
                <w:szCs w:val="24"/>
              </w:rPr>
              <m:t>ACCE</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2</m:t>
                </m:r>
              </m:sub>
            </m:sSub>
            <m:r>
              <w:rPr>
                <w:rFonts w:ascii="Cambria Math" w:eastAsia="TimesNewRoman" w:hAnsi="Cambria Math" w:cs="Times New Roman"/>
                <w:sz w:val="24"/>
                <w:szCs w:val="24"/>
              </w:rPr>
              <m:t>ACCCG</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3</m:t>
                </m:r>
              </m:sub>
            </m:sSub>
            <m:r>
              <w:rPr>
                <w:rFonts w:ascii="Cambria Math" w:eastAsia="TimesNewRoman" w:hAnsi="Cambria Math" w:cs="Times New Roman"/>
                <w:sz w:val="24"/>
                <w:szCs w:val="24"/>
              </w:rPr>
              <m:t>GCF</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4</m:t>
                </m:r>
              </m:sub>
            </m:sSub>
            <m:r>
              <w:rPr>
                <w:rFonts w:ascii="Cambria Math" w:eastAsia="TimesNewRoman" w:hAnsi="Cambria Math" w:cs="Times New Roman"/>
                <w:sz w:val="24"/>
                <w:szCs w:val="24"/>
              </w:rPr>
              <m:t>POPr</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β</m:t>
                </m:r>
              </m:e>
              <m:sub>
                <m:r>
                  <w:rPr>
                    <w:rFonts w:ascii="Cambria Math" w:eastAsia="TimesNewRoman" w:hAnsi="Cambria Math" w:cs="Times New Roman"/>
                    <w:sz w:val="24"/>
                    <w:szCs w:val="24"/>
                  </w:rPr>
                  <m:t>5</m:t>
                </m:r>
              </m:sub>
            </m:sSub>
            <m:r>
              <w:rPr>
                <w:rFonts w:ascii="Cambria Math" w:eastAsia="TimesNewRoman" w:hAnsi="Cambria Math" w:cs="Times New Roman"/>
                <w:sz w:val="24"/>
                <w:szCs w:val="24"/>
              </w:rPr>
              <m:t>INF</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m:t>
        </m:r>
      </m:oMath>
      <w:r w:rsidR="00E71494">
        <w:rPr>
          <w:rFonts w:ascii="Times New Roman" w:eastAsia="TimesNewRoman" w:hAnsi="Times New Roman" w:cs="Times New Roman"/>
          <w:sz w:val="24"/>
          <w:szCs w:val="24"/>
        </w:rPr>
        <w:t>(4)</w:t>
      </w:r>
    </w:p>
    <w:p w14:paraId="5A90314D" w14:textId="77777777" w:rsidR="002E0E43" w:rsidRDefault="00E71494">
      <w:pPr>
        <w:autoSpaceDE w:val="0"/>
        <w:autoSpaceDN w:val="0"/>
        <w:adjustRightInd w:val="0"/>
        <w:spacing w:after="0" w:line="480" w:lineRule="auto"/>
        <w:rPr>
          <w:rFonts w:ascii="Times New Roman" w:eastAsia="TimesNewRoman" w:hAnsi="Times New Roman" w:cs="Times New Roman"/>
          <w:b/>
          <w:sz w:val="24"/>
          <w:szCs w:val="24"/>
        </w:rPr>
      </w:pPr>
      <w:r>
        <w:rPr>
          <w:rFonts w:ascii="Times New Roman" w:eastAsia="TimesNewRoman" w:hAnsi="Times New Roman" w:cs="Times New Roman"/>
          <w:b/>
          <w:sz w:val="24"/>
          <w:szCs w:val="24"/>
        </w:rPr>
        <w:t>Where,</w:t>
      </w:r>
    </w:p>
    <w:p w14:paraId="68C045CA" w14:textId="77777777" w:rsidR="002E0E43" w:rsidRDefault="004F5FAD">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oMath>
      <w:r w:rsidR="00E71494">
        <w:rPr>
          <w:rFonts w:ascii="Times New Roman" w:hAnsi="Times New Roman" w:cs="Times New Roman"/>
          <w:sz w:val="24"/>
          <w:szCs w:val="24"/>
        </w:rPr>
        <w:t xml:space="preserve"> </w:t>
      </w:r>
      <w:r w:rsidR="00E71494">
        <w:rPr>
          <w:rFonts w:ascii="Times New Roman" w:eastAsia="TimesNewRoman" w:hAnsi="Times New Roman" w:cs="Times New Roman"/>
          <w:sz w:val="24"/>
          <w:szCs w:val="24"/>
        </w:rPr>
        <w:t>= Parameter Coefficients to be estimated</w:t>
      </w:r>
    </w:p>
    <w:p w14:paraId="33424906" w14:textId="77777777" w:rsidR="002E0E43" w:rsidRDefault="004F5FAD">
      <w:pPr>
        <w:autoSpaceDE w:val="0"/>
        <w:autoSpaceDN w:val="0"/>
        <w:adjustRightInd w:val="0"/>
        <w:spacing w:after="0" w:line="480" w:lineRule="auto"/>
        <w:rPr>
          <w:rFonts w:ascii="Times New Roman" w:eastAsia="TimesNewRoman" w:hAnsi="Times New Roman" w:cs="Times New Roman"/>
          <w:sz w:val="24"/>
          <w:szCs w:val="24"/>
        </w:rPr>
      </w:pPr>
      <m:oMath>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ε</m:t>
            </m:r>
          </m:e>
          <m:sub>
            <m:r>
              <w:rPr>
                <w:rFonts w:ascii="Cambria Math" w:eastAsia="TimesNewRoman" w:hAnsi="Cambria Math" w:cs="Times New Roman"/>
                <w:sz w:val="24"/>
                <w:szCs w:val="24"/>
              </w:rPr>
              <m:t>it</m:t>
            </m:r>
          </m:sub>
        </m:sSub>
        <m:r>
          <w:rPr>
            <w:rFonts w:ascii="Cambria Math" w:eastAsia="TimesNewRoman" w:hAnsi="Cambria Math" w:cs="Times New Roman"/>
            <w:sz w:val="24"/>
            <w:szCs w:val="24"/>
          </w:rPr>
          <m:t xml:space="preserve"> </m:t>
        </m:r>
      </m:oMath>
      <w:r w:rsidR="00E71494">
        <w:rPr>
          <w:rFonts w:ascii="Times New Roman" w:eastAsia="TimesNewRoman" w:hAnsi="Times New Roman" w:cs="Times New Roman"/>
          <w:sz w:val="24"/>
          <w:szCs w:val="24"/>
        </w:rPr>
        <w:t>= Mutually independent idiosyncratic error</w:t>
      </w:r>
    </w:p>
    <w:p w14:paraId="10F84193"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GMM estimates are short-run estimates, and they require that long-run estimates be generated</w:t>
      </w:r>
    </w:p>
    <w:p w14:paraId="1EF86871" w14:textId="77777777" w:rsidR="002E0E43" w:rsidRDefault="00E71494">
      <w:pPr>
        <w:autoSpaceDE w:val="0"/>
        <w:autoSpaceDN w:val="0"/>
        <w:adjustRightInd w:val="0"/>
        <w:spacing w:after="0" w:line="480" w:lineRule="auto"/>
        <w:rPr>
          <w:rFonts w:ascii="Times New Roman" w:eastAsia="TimesNewRoman" w:hAnsi="Times New Roman" w:cs="Times New Roman"/>
          <w:sz w:val="24"/>
          <w:szCs w:val="24"/>
        </w:rPr>
      </w:pPr>
      <w:r>
        <w:rPr>
          <w:rFonts w:ascii="Times New Roman" w:eastAsia="TimesNewRoman" w:hAnsi="Times New Roman" w:cs="Times New Roman"/>
          <w:sz w:val="24"/>
          <w:szCs w:val="24"/>
        </w:rPr>
        <w:t>(when needed) for ONLY significant coefficients.</w:t>
      </w:r>
    </w:p>
    <w:p w14:paraId="3ACB67D4"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Justification</w:t>
      </w:r>
    </w:p>
    <w:p w14:paraId="285B135F" w14:textId="77777777" w:rsidR="002E0E43" w:rsidRDefault="00E71494">
      <w:pPr>
        <w:spacing w:line="360" w:lineRule="auto"/>
        <w:ind w:right="-6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employed a Dynamic Panel Generalized Methods of Moments (GMM) model to assess the impact of energy poverty on unemployment among members of the Organization of Oil-Exporting Countries (OPEC). This model was selected because the number of observations (N) exceeds the number of periods (T), and the relationship between energy poverty and unemployment is anticipated to be nonlinear. Given the limited sample size, the research utilized a system GMM approach, estimating it using a two-step system GMM to address issues of heteroscedasticity and autocorrelation. </w:t>
      </w:r>
      <w:r>
        <w:rPr>
          <w:rFonts w:ascii="Times New Roman" w:eastAsia="Times New Roman" w:hAnsi="Times New Roman" w:cs="Times New Roman"/>
          <w:sz w:val="24"/>
          <w:szCs w:val="24"/>
        </w:rPr>
        <w:lastRenderedPageBreak/>
        <w:t>Robustness checks, including orthogonality conditions and Hansen/</w:t>
      </w:r>
      <w:proofErr w:type="spellStart"/>
      <w:r>
        <w:rPr>
          <w:rFonts w:ascii="Times New Roman" w:eastAsia="Times New Roman" w:hAnsi="Times New Roman" w:cs="Times New Roman"/>
          <w:sz w:val="24"/>
          <w:szCs w:val="24"/>
        </w:rPr>
        <w:t>Sargan</w:t>
      </w:r>
      <w:proofErr w:type="spellEnd"/>
      <w:r>
        <w:rPr>
          <w:rFonts w:ascii="Times New Roman" w:eastAsia="Times New Roman" w:hAnsi="Times New Roman" w:cs="Times New Roman"/>
          <w:sz w:val="24"/>
          <w:szCs w:val="24"/>
        </w:rPr>
        <w:t xml:space="preserve"> tests, along with reporting of t-statistics, were also included in the analysis.</w:t>
      </w:r>
    </w:p>
    <w:p w14:paraId="4902F7CE"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Stylized Facts:</w:t>
      </w:r>
    </w:p>
    <w:p w14:paraId="11E980F1" w14:textId="77777777" w:rsidR="002E0E43" w:rsidRDefault="00E71494">
      <w:pPr>
        <w:spacing w:line="360" w:lineRule="auto"/>
        <w:ind w:right="-6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focused on the 12 active OPEC members: Iran, Iraq, Kuwait, Saudi Arabia, Venezuela, Libya, the United Arab Emirates (UAE), Algeria, Nigeria, Angola, Gabon, Equatorial Guinea, and Congo (OPEC, 2021). The analysis spanned from 2015 to 2023 and incorporated variables related to energy poverty (specifically access to electricity and cooking gas) and unemployment.</w:t>
      </w:r>
    </w:p>
    <w:p w14:paraId="46044EA1"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Trends</w:t>
      </w:r>
    </w:p>
    <w:p w14:paraId="2E494F5B" w14:textId="77777777" w:rsidR="002E0E43" w:rsidRDefault="00E71494">
      <w:pPr>
        <w:spacing w:line="360" w:lineRule="auto"/>
        <w:ind w:right="-613"/>
        <w:jc w:val="both"/>
        <w:rPr>
          <w:rFonts w:ascii="Times New Roman" w:eastAsia="Times New Roman" w:hAnsi="Times New Roman" w:cs="Times New Roman"/>
          <w:sz w:val="24"/>
          <w:szCs w:val="24"/>
        </w:rPr>
      </w:pPr>
      <w:r>
        <w:rPr>
          <w:noProof/>
          <w:lang w:val="en-GB" w:eastAsia="en-GB"/>
        </w:rPr>
        <w:drawing>
          <wp:inline distT="0" distB="0" distL="0" distR="0" wp14:anchorId="33939E4B" wp14:editId="412C65C8">
            <wp:extent cx="5172075" cy="3352800"/>
            <wp:effectExtent l="0" t="0" r="9525" b="0"/>
            <wp:docPr id="13" name="Chart 13"/>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3" name="Chart 13"/>
                    <pic:cNvPicPr>
                      <a:picLocks noGrp="1" noChangeAspect="1" noMove="1" noResize="1" noEditPoints="1" noAdjustHandles="1" noChangeArrowheads="1" noChangeShapeType="1"/>
                    </pic:cNvPicPr>
                  </pic:nvPicPr>
                  <pic:blipFill>
                    <a:blip r:embed="rId8"/>
                    <a:stretch>
                      <a:fillRect/>
                    </a:stretch>
                  </pic:blipFill>
                  <pic:spPr>
                    <a:xfrm>
                      <a:off x="0" y="0"/>
                      <a:ext cx="5172075" cy="3352800"/>
                    </a:xfrm>
                    <a:prstGeom prst="rect">
                      <a:avLst/>
                    </a:prstGeom>
                  </pic:spPr>
                </pic:pic>
              </a:graphicData>
            </a:graphic>
          </wp:inline>
        </w:drawing>
      </w:r>
    </w:p>
    <w:p w14:paraId="4D7619DE" w14:textId="77777777" w:rsidR="002E0E43" w:rsidRDefault="00E71494">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OPEC Countries Unemployment Metric</w:t>
      </w:r>
    </w:p>
    <w:p w14:paraId="46CB4240" w14:textId="77777777" w:rsidR="002E0E43" w:rsidRDefault="00E71494">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hAnsi="Times New Roman" w:cs="Times New Roman"/>
          <w:sz w:val="24"/>
          <w:szCs w:val="24"/>
        </w:rPr>
        <w:t>World Bank (2023).</w:t>
      </w:r>
    </w:p>
    <w:p w14:paraId="7EB95A9A" w14:textId="77777777" w:rsidR="002E0E43" w:rsidRDefault="00E71494">
      <w:pPr>
        <w:spacing w:line="360" w:lineRule="auto"/>
        <w:ind w:right="-6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illustrates the unemployment levels across OPEC member countries. The chart shows that the top five countries, Algeria, the United Arab Emirates, Iran, Indonesia, and Libya, collectively account for approximately 70–80% of the cumulative unemployment (UNEMP) index. Algeria, in particular, contributes a disproportionately high share. In contrast, countries like Nigeria and Kuwait, despite being major oil producers, exhibit the lowest unemployment figures in this metric. This apparent paradox may stem from the mismanagement of oil revenues in these nations. Specifically, weak institutional frameworks may hinder effective oversight and accountability, allowing revenue leakages </w:t>
      </w:r>
      <w:r>
        <w:rPr>
          <w:rFonts w:ascii="Times New Roman" w:eastAsia="Times New Roman" w:hAnsi="Times New Roman" w:cs="Times New Roman"/>
          <w:sz w:val="24"/>
          <w:szCs w:val="24"/>
        </w:rPr>
        <w:lastRenderedPageBreak/>
        <w:t>and reducing the potential for oil wealth to translate into broad-based employment opportunities. As a result, the economic benefits of oil production fail to significantly impact labor market outcomes in these countries.</w:t>
      </w:r>
    </w:p>
    <w:p w14:paraId="27D5BF7B" w14:textId="77777777" w:rsidR="002E0E43" w:rsidRDefault="002E0E43">
      <w:pPr>
        <w:spacing w:line="360" w:lineRule="auto"/>
        <w:ind w:right="-613"/>
        <w:jc w:val="both"/>
        <w:rPr>
          <w:rFonts w:ascii="Times New Roman" w:eastAsia="Times New Roman" w:hAnsi="Times New Roman" w:cs="Times New Roman"/>
          <w:sz w:val="24"/>
          <w:szCs w:val="24"/>
        </w:rPr>
      </w:pPr>
    </w:p>
    <w:p w14:paraId="4E1F9D23" w14:textId="77777777" w:rsidR="002E0E43" w:rsidRDefault="00E71494">
      <w:pPr>
        <w:spacing w:line="360" w:lineRule="auto"/>
        <w:ind w:right="-613"/>
        <w:jc w:val="both"/>
        <w:rPr>
          <w:rFonts w:ascii="Times New Roman" w:eastAsia="Times New Roman" w:hAnsi="Times New Roman" w:cs="Times New Roman"/>
          <w:sz w:val="24"/>
          <w:szCs w:val="24"/>
        </w:rPr>
      </w:pPr>
      <w:r>
        <w:rPr>
          <w:noProof/>
          <w:lang w:val="en-GB" w:eastAsia="en-GB"/>
        </w:rPr>
        <w:drawing>
          <wp:inline distT="0" distB="0" distL="0" distR="0" wp14:anchorId="5F498EE2" wp14:editId="23FB5D27">
            <wp:extent cx="4572000" cy="3690620"/>
            <wp:effectExtent l="0" t="0" r="0" b="5080"/>
            <wp:docPr id="14" name="Chart 14"/>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4" name="Chart 14"/>
                    <pic:cNvPicPr>
                      <a:picLocks noGrp="1" noChangeAspect="1" noMove="1" noResize="1" noEditPoints="1" noAdjustHandles="1" noChangeArrowheads="1" noChangeShapeType="1"/>
                    </pic:cNvPicPr>
                  </pic:nvPicPr>
                  <pic:blipFill>
                    <a:blip r:embed="rId9"/>
                    <a:stretch>
                      <a:fillRect/>
                    </a:stretch>
                  </pic:blipFill>
                  <pic:spPr>
                    <a:xfrm>
                      <a:off x="0" y="0"/>
                      <a:ext cx="4572000" cy="3690620"/>
                    </a:xfrm>
                    <a:prstGeom prst="rect">
                      <a:avLst/>
                    </a:prstGeom>
                  </pic:spPr>
                </pic:pic>
              </a:graphicData>
            </a:graphic>
          </wp:inline>
        </w:drawing>
      </w:r>
    </w:p>
    <w:p w14:paraId="2DDC1E2F" w14:textId="77777777" w:rsidR="002E0E43" w:rsidRDefault="00E71494">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 OPEC Countries' Access to Electricity Metric</w:t>
      </w:r>
    </w:p>
    <w:p w14:paraId="707EBC13" w14:textId="77777777" w:rsidR="002E0E43" w:rsidRDefault="00E71494">
      <w:pPr>
        <w:spacing w:after="0" w:line="240" w:lineRule="auto"/>
        <w:ind w:right="-619"/>
        <w:jc w:val="both"/>
        <w:rPr>
          <w:rFonts w:ascii="Times New Roman" w:eastAsia="Times New Roman" w:hAnsi="Times New Roman" w:cs="Times New Roman"/>
          <w:b/>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World Bank (2023).</w:t>
      </w:r>
    </w:p>
    <w:p w14:paraId="49021E49" w14:textId="77777777" w:rsidR="002E0E43" w:rsidRDefault="00E71494">
      <w:pPr>
        <w:pStyle w:val="NormalWeb"/>
        <w:jc w:val="both"/>
      </w:pPr>
      <w:r>
        <w:t>Figure 2 indicates that approximately seven OPEC countries account for around 80% of total electricity access across the group. Most oil-rich nations display high levels of access to electricity, likely reflecting substantial energy wealth and sustained investment in energy infrastructure. However, notable disparities remain. Libya, despite its significant oil reserves, shows markedly lower electricity access relative to its peers. Similarly, the United Arab Emirates and Nigeria, though major oil producers, fall behind in electricity coverage compared to the leading countries. These discrepancies suggest that countries like Libya and Nigeria require more targeted policy interventions and infrastructure development to improve electricity access and fully leverage their energy resources for national development.</w:t>
      </w:r>
    </w:p>
    <w:p w14:paraId="7150BA3F" w14:textId="77777777" w:rsidR="002E0E43" w:rsidRDefault="002E0E43">
      <w:pPr>
        <w:spacing w:line="360" w:lineRule="auto"/>
        <w:ind w:right="-613"/>
        <w:jc w:val="both"/>
        <w:rPr>
          <w:rFonts w:ascii="Times New Roman" w:eastAsia="Times New Roman" w:hAnsi="Times New Roman" w:cs="Times New Roman"/>
          <w:sz w:val="24"/>
          <w:szCs w:val="24"/>
        </w:rPr>
      </w:pPr>
    </w:p>
    <w:p w14:paraId="4105FA06" w14:textId="77777777" w:rsidR="002E0E43" w:rsidRDefault="00E71494">
      <w:pPr>
        <w:spacing w:line="360" w:lineRule="auto"/>
        <w:ind w:right="-613"/>
        <w:jc w:val="both"/>
        <w:rPr>
          <w:rFonts w:ascii="Times New Roman" w:eastAsia="Times New Roman" w:hAnsi="Times New Roman" w:cs="Times New Roman"/>
          <w:sz w:val="24"/>
          <w:szCs w:val="24"/>
        </w:rPr>
      </w:pPr>
      <w:r>
        <w:rPr>
          <w:noProof/>
          <w:lang w:val="en-GB" w:eastAsia="en-GB"/>
        </w:rPr>
        <w:lastRenderedPageBreak/>
        <w:drawing>
          <wp:inline distT="0" distB="0" distL="0" distR="0" wp14:anchorId="7D316DF7" wp14:editId="6C54A3E6">
            <wp:extent cx="4572000" cy="3357245"/>
            <wp:effectExtent l="0" t="0" r="0" b="14605"/>
            <wp:docPr id="15" name="Chart 15"/>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5" name="Chart 15"/>
                    <pic:cNvPicPr>
                      <a:picLocks noGrp="1" noChangeAspect="1" noMove="1" noResize="1" noEditPoints="1" noAdjustHandles="1" noChangeArrowheads="1" noChangeShapeType="1"/>
                    </pic:cNvPicPr>
                  </pic:nvPicPr>
                  <pic:blipFill>
                    <a:blip r:embed="rId10"/>
                    <a:stretch>
                      <a:fillRect/>
                    </a:stretch>
                  </pic:blipFill>
                  <pic:spPr>
                    <a:xfrm>
                      <a:off x="0" y="0"/>
                      <a:ext cx="4572000" cy="3357245"/>
                    </a:xfrm>
                    <a:prstGeom prst="rect">
                      <a:avLst/>
                    </a:prstGeom>
                  </pic:spPr>
                </pic:pic>
              </a:graphicData>
            </a:graphic>
          </wp:inline>
        </w:drawing>
      </w:r>
    </w:p>
    <w:p w14:paraId="1D558AD4" w14:textId="77777777" w:rsidR="002E0E43" w:rsidRDefault="00E71494">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 OPEC Countries' Access to Cooking Gas Metric</w:t>
      </w:r>
    </w:p>
    <w:p w14:paraId="75BBA7E7" w14:textId="77777777" w:rsidR="002E0E43" w:rsidRDefault="00E71494">
      <w:pPr>
        <w:spacing w:after="0" w:line="240" w:lineRule="auto"/>
        <w:ind w:right="-61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hAnsi="Times New Roman" w:cs="Times New Roman"/>
          <w:sz w:val="24"/>
          <w:szCs w:val="24"/>
        </w:rPr>
        <w:t>World Bank (2023).</w:t>
      </w:r>
    </w:p>
    <w:p w14:paraId="3B252E4C" w14:textId="77777777" w:rsidR="002E0E43" w:rsidRDefault="00E714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illustrates that OPEC countries such as Saudi Arabia, Kuwait, and Iraq lead in access to cooking gas, likely benefiting from well-developed infrastructure, stable domestic LPG supply chains, and sustained government subsidies. Other countries, including Algeria, Iran, Venezuela, Gabon, and Indonesia, also demonstrate relatively high levels of access, though slight declines suggest possible challenges linked to regional disparities or logistical constraints, particularly between urban and rural areas. In contrast, nations such as Ecuador, Nigeria, the United Arab Emirates, and Libya exhibit the lowest access levels. These shortfalls may stem from a combination of economic inequality, weak distribution networks, and policy implementation gaps. In particular, Nigeria and Libya, both facing internal conflict and infrastructural deficiencies, require urgent interventions. These should include increased investment in LPG infrastructure, targeted affordability programs, and nationwide public awareness initiatives to accelerate the shift from traditional biomass to cleaner, safer cooking alternatives.</w:t>
      </w:r>
    </w:p>
    <w:p w14:paraId="1C6DEA4F"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3FC2A43A" w14:textId="77777777" w:rsidR="002E0E43" w:rsidRDefault="00E71494">
      <w:pPr>
        <w:spacing w:line="360" w:lineRule="auto"/>
        <w:ind w:right="-6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employs a dynamic panel two-step system Generalized Method of Moments (GMM) estimation to assess the impact of energy poverty on unemployment across OPEC countries. The model's estimates, which account for potential endogeneity and unobserved heterogeneity, are comprehensively presented in Table 1.</w:t>
      </w:r>
    </w:p>
    <w:p w14:paraId="29232282" w14:textId="77777777" w:rsidR="002E0E43" w:rsidRDefault="002E0E43">
      <w:pPr>
        <w:spacing w:line="360" w:lineRule="auto"/>
        <w:ind w:right="-613"/>
        <w:jc w:val="both"/>
        <w:rPr>
          <w:rFonts w:ascii="Times New Roman" w:eastAsia="Times New Roman" w:hAnsi="Times New Roman" w:cs="Times New Roman"/>
          <w:sz w:val="24"/>
          <w:szCs w:val="24"/>
        </w:rPr>
      </w:pPr>
    </w:p>
    <w:p w14:paraId="43EF9C1C"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 Estimates of the Dynamic Panel Generalized Method Model</w:t>
      </w:r>
    </w:p>
    <w:tbl>
      <w:tblPr>
        <w:tblStyle w:val="PlainTable31"/>
        <w:tblW w:w="0" w:type="auto"/>
        <w:tblLayout w:type="fixed"/>
        <w:tblLook w:val="04A0" w:firstRow="1" w:lastRow="0" w:firstColumn="1" w:lastColumn="0" w:noHBand="0" w:noVBand="1"/>
      </w:tblPr>
      <w:tblGrid>
        <w:gridCol w:w="1980"/>
        <w:gridCol w:w="1980"/>
        <w:gridCol w:w="1890"/>
        <w:gridCol w:w="2005"/>
        <w:gridCol w:w="1415"/>
      </w:tblGrid>
      <w:tr w:rsidR="002E0E43" w14:paraId="68CC09E7" w14:textId="77777777" w:rsidTr="002E0E43">
        <w:trPr>
          <w:cnfStyle w:val="100000000000" w:firstRow="1" w:lastRow="0" w:firstColumn="0" w:lastColumn="0" w:oddVBand="0" w:evenVBand="0" w:oddHBand="0" w:evenHBand="0" w:firstRowFirstColumn="0" w:firstRowLastColumn="0" w:lastRowFirstColumn="0" w:lastRowLastColumn="0"/>
          <w:trHeight w:val="293"/>
        </w:trPr>
        <w:tc>
          <w:tcPr>
            <w:cnfStyle w:val="001000000100" w:firstRow="0" w:lastRow="0" w:firstColumn="1" w:lastColumn="0" w:oddVBand="0" w:evenVBand="0" w:oddHBand="0" w:evenHBand="0" w:firstRowFirstColumn="1" w:firstRowLastColumn="0" w:lastRowFirstColumn="0" w:lastRowLastColumn="0"/>
            <w:tcW w:w="1980" w:type="dxa"/>
            <w:tcBorders>
              <w:top w:val="single" w:sz="4" w:space="0" w:color="auto"/>
              <w:bottom w:val="single" w:sz="4" w:space="0" w:color="auto"/>
            </w:tcBorders>
          </w:tcPr>
          <w:p w14:paraId="5A44B191" w14:textId="77777777" w:rsidR="002E0E43" w:rsidRDefault="00E71494">
            <w:pPr>
              <w:autoSpaceDE w:val="0"/>
              <w:autoSpaceDN w:val="0"/>
              <w:adjustRightInd w:val="0"/>
              <w:jc w:val="center"/>
              <w:rPr>
                <w:rFonts w:ascii="Times New Roman" w:hAnsi="Times New Roman" w:cs="Times New Roman"/>
                <w:b w:val="0"/>
                <w:bCs w:val="0"/>
                <w:caps w:val="0"/>
                <w:sz w:val="24"/>
                <w:szCs w:val="24"/>
              </w:rPr>
            </w:pPr>
            <w:r>
              <w:rPr>
                <w:rFonts w:ascii="Times New Roman" w:hAnsi="Times New Roman" w:cs="Times New Roman"/>
                <w:sz w:val="24"/>
                <w:szCs w:val="24"/>
              </w:rPr>
              <w:t>Variable</w:t>
            </w:r>
          </w:p>
        </w:tc>
        <w:tc>
          <w:tcPr>
            <w:tcW w:w="1980" w:type="dxa"/>
            <w:tcBorders>
              <w:top w:val="single" w:sz="4" w:space="0" w:color="auto"/>
              <w:bottom w:val="single" w:sz="4" w:space="0" w:color="auto"/>
            </w:tcBorders>
          </w:tcPr>
          <w:p w14:paraId="185CE7E3"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Coefficient</w:t>
            </w:r>
          </w:p>
        </w:tc>
        <w:tc>
          <w:tcPr>
            <w:tcW w:w="1890" w:type="dxa"/>
            <w:tcBorders>
              <w:top w:val="single" w:sz="4" w:space="0" w:color="auto"/>
              <w:bottom w:val="single" w:sz="4" w:space="0" w:color="auto"/>
            </w:tcBorders>
          </w:tcPr>
          <w:p w14:paraId="3F38ABA2"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Std. Error</w:t>
            </w:r>
          </w:p>
        </w:tc>
        <w:tc>
          <w:tcPr>
            <w:tcW w:w="2005" w:type="dxa"/>
            <w:tcBorders>
              <w:top w:val="single" w:sz="4" w:space="0" w:color="auto"/>
              <w:bottom w:val="single" w:sz="4" w:space="0" w:color="auto"/>
            </w:tcBorders>
          </w:tcPr>
          <w:p w14:paraId="7C1D3A38"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t-Statistic</w:t>
            </w:r>
          </w:p>
        </w:tc>
        <w:tc>
          <w:tcPr>
            <w:tcW w:w="1415" w:type="dxa"/>
            <w:tcBorders>
              <w:top w:val="single" w:sz="4" w:space="0" w:color="auto"/>
              <w:bottom w:val="single" w:sz="4" w:space="0" w:color="auto"/>
            </w:tcBorders>
          </w:tcPr>
          <w:p w14:paraId="084F646B"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Prob.  </w:t>
            </w:r>
          </w:p>
        </w:tc>
      </w:tr>
      <w:tr w:rsidR="002E0E43" w14:paraId="4999B3DB"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76A4C31F" w14:textId="77777777" w:rsidR="002E0E43" w:rsidRDefault="00E71494">
            <w:pPr>
              <w:autoSpaceDE w:val="0"/>
              <w:autoSpaceDN w:val="0"/>
              <w:adjustRightInd w:val="0"/>
              <w:jc w:val="center"/>
              <w:rPr>
                <w:rFonts w:ascii="Times New Roman" w:hAnsi="Times New Roman" w:cs="Times New Roman"/>
                <w:sz w:val="24"/>
                <w:szCs w:val="24"/>
              </w:rPr>
            </w:pPr>
            <w:proofErr w:type="gramStart"/>
            <w:r>
              <w:rPr>
                <w:rFonts w:ascii="Times New Roman" w:hAnsi="Times New Roman" w:cs="Times New Roman"/>
                <w:sz w:val="24"/>
                <w:szCs w:val="24"/>
              </w:rPr>
              <w:t>UNEMP(</w:t>
            </w:r>
            <w:proofErr w:type="gramEnd"/>
            <w:r>
              <w:rPr>
                <w:rFonts w:ascii="Times New Roman" w:hAnsi="Times New Roman" w:cs="Times New Roman"/>
                <w:sz w:val="24"/>
                <w:szCs w:val="24"/>
              </w:rPr>
              <w:t>-1)</w:t>
            </w:r>
          </w:p>
        </w:tc>
        <w:tc>
          <w:tcPr>
            <w:tcW w:w="1980" w:type="dxa"/>
            <w:tcBorders>
              <w:top w:val="single" w:sz="4" w:space="0" w:color="auto"/>
            </w:tcBorders>
          </w:tcPr>
          <w:p w14:paraId="29DE8528"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-0.030132</w:t>
            </w:r>
          </w:p>
        </w:tc>
        <w:tc>
          <w:tcPr>
            <w:tcW w:w="1890" w:type="dxa"/>
            <w:tcBorders>
              <w:top w:val="single" w:sz="4" w:space="0" w:color="auto"/>
            </w:tcBorders>
          </w:tcPr>
          <w:p w14:paraId="58A723F9"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0.053824</w:t>
            </w:r>
          </w:p>
        </w:tc>
        <w:tc>
          <w:tcPr>
            <w:tcW w:w="2005" w:type="dxa"/>
            <w:tcBorders>
              <w:top w:val="single" w:sz="4" w:space="0" w:color="auto"/>
            </w:tcBorders>
          </w:tcPr>
          <w:p w14:paraId="1F1BFC7F"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-0.559828</w:t>
            </w:r>
          </w:p>
        </w:tc>
        <w:tc>
          <w:tcPr>
            <w:tcW w:w="1415" w:type="dxa"/>
            <w:tcBorders>
              <w:top w:val="single" w:sz="4" w:space="0" w:color="auto"/>
            </w:tcBorders>
          </w:tcPr>
          <w:p w14:paraId="0FB26357"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0.5772</w:t>
            </w:r>
          </w:p>
        </w:tc>
      </w:tr>
      <w:tr w:rsidR="002E0E43" w14:paraId="17D16DE9"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Pr>
          <w:p w14:paraId="2895BBB1" w14:textId="77777777" w:rsidR="002E0E43" w:rsidRDefault="00E714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ACCE</w:t>
            </w:r>
          </w:p>
        </w:tc>
        <w:tc>
          <w:tcPr>
            <w:tcW w:w="1980" w:type="dxa"/>
          </w:tcPr>
          <w:p w14:paraId="134E34B1"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0.961704</w:t>
            </w:r>
          </w:p>
        </w:tc>
        <w:tc>
          <w:tcPr>
            <w:tcW w:w="1890" w:type="dxa"/>
          </w:tcPr>
          <w:p w14:paraId="3A483767"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0.275115</w:t>
            </w:r>
          </w:p>
        </w:tc>
        <w:tc>
          <w:tcPr>
            <w:tcW w:w="2005" w:type="dxa"/>
          </w:tcPr>
          <w:p w14:paraId="7F8240BB"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3.495647</w:t>
            </w:r>
          </w:p>
        </w:tc>
        <w:tc>
          <w:tcPr>
            <w:tcW w:w="1415" w:type="dxa"/>
          </w:tcPr>
          <w:p w14:paraId="42FA4FBA"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0.0008</w:t>
            </w:r>
          </w:p>
        </w:tc>
      </w:tr>
      <w:tr w:rsidR="002E0E43" w14:paraId="438AD189"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Pr>
          <w:p w14:paraId="5872473B" w14:textId="77777777" w:rsidR="002E0E43" w:rsidRDefault="00E714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ACCG</w:t>
            </w:r>
          </w:p>
        </w:tc>
        <w:tc>
          <w:tcPr>
            <w:tcW w:w="1980" w:type="dxa"/>
          </w:tcPr>
          <w:p w14:paraId="33237621"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-0.629328</w:t>
            </w:r>
          </w:p>
        </w:tc>
        <w:tc>
          <w:tcPr>
            <w:tcW w:w="1890" w:type="dxa"/>
          </w:tcPr>
          <w:p w14:paraId="7277A5B4"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0.378622</w:t>
            </w:r>
          </w:p>
        </w:tc>
        <w:tc>
          <w:tcPr>
            <w:tcW w:w="2005" w:type="dxa"/>
          </w:tcPr>
          <w:p w14:paraId="731CE2CC"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-1.662152</w:t>
            </w:r>
          </w:p>
        </w:tc>
        <w:tc>
          <w:tcPr>
            <w:tcW w:w="1415" w:type="dxa"/>
          </w:tcPr>
          <w:p w14:paraId="3635A86B"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0.1005</w:t>
            </w:r>
          </w:p>
        </w:tc>
      </w:tr>
      <w:tr w:rsidR="002E0E43" w14:paraId="1069A020"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Pr>
          <w:p w14:paraId="3F95453E" w14:textId="77777777" w:rsidR="002E0E43" w:rsidRDefault="00E714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LOGGCF</w:t>
            </w:r>
          </w:p>
        </w:tc>
        <w:tc>
          <w:tcPr>
            <w:tcW w:w="1980" w:type="dxa"/>
          </w:tcPr>
          <w:p w14:paraId="5C8E3882"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-2.226280</w:t>
            </w:r>
          </w:p>
        </w:tc>
        <w:tc>
          <w:tcPr>
            <w:tcW w:w="1890" w:type="dxa"/>
          </w:tcPr>
          <w:p w14:paraId="571ABD06"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2.557372</w:t>
            </w:r>
          </w:p>
        </w:tc>
        <w:tc>
          <w:tcPr>
            <w:tcW w:w="2005" w:type="dxa"/>
          </w:tcPr>
          <w:p w14:paraId="37D27B4D"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-0.870534</w:t>
            </w:r>
          </w:p>
        </w:tc>
        <w:tc>
          <w:tcPr>
            <w:tcW w:w="1415" w:type="dxa"/>
          </w:tcPr>
          <w:p w14:paraId="20D116EF"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0.3867</w:t>
            </w:r>
          </w:p>
        </w:tc>
      </w:tr>
      <w:tr w:rsidR="002E0E43" w14:paraId="68430F3D"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Pr>
          <w:p w14:paraId="3F30A22C" w14:textId="77777777" w:rsidR="002E0E43" w:rsidRDefault="00E714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POPGR</w:t>
            </w:r>
          </w:p>
        </w:tc>
        <w:tc>
          <w:tcPr>
            <w:tcW w:w="1980" w:type="dxa"/>
          </w:tcPr>
          <w:p w14:paraId="47CA54D1"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0.245593</w:t>
            </w:r>
          </w:p>
        </w:tc>
        <w:tc>
          <w:tcPr>
            <w:tcW w:w="1890" w:type="dxa"/>
          </w:tcPr>
          <w:p w14:paraId="38249FCE"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0.233773</w:t>
            </w:r>
          </w:p>
        </w:tc>
        <w:tc>
          <w:tcPr>
            <w:tcW w:w="2005" w:type="dxa"/>
          </w:tcPr>
          <w:p w14:paraId="70137F6B"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1.050562</w:t>
            </w:r>
          </w:p>
        </w:tc>
        <w:tc>
          <w:tcPr>
            <w:tcW w:w="1415" w:type="dxa"/>
          </w:tcPr>
          <w:p w14:paraId="370C270E"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0.2967</w:t>
            </w:r>
          </w:p>
        </w:tc>
      </w:tr>
      <w:tr w:rsidR="002E0E43" w14:paraId="123BB653"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Pr>
          <w:p w14:paraId="6FAC781D" w14:textId="77777777" w:rsidR="002E0E43" w:rsidRDefault="00E7149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INF</w:t>
            </w:r>
          </w:p>
        </w:tc>
        <w:tc>
          <w:tcPr>
            <w:tcW w:w="1980" w:type="dxa"/>
          </w:tcPr>
          <w:p w14:paraId="4688F263"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-0.001091</w:t>
            </w:r>
          </w:p>
        </w:tc>
        <w:tc>
          <w:tcPr>
            <w:tcW w:w="1890" w:type="dxa"/>
          </w:tcPr>
          <w:p w14:paraId="0EC79191"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0.004059</w:t>
            </w:r>
          </w:p>
        </w:tc>
        <w:tc>
          <w:tcPr>
            <w:tcW w:w="2005" w:type="dxa"/>
          </w:tcPr>
          <w:p w14:paraId="192813BC"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-0.268704</w:t>
            </w:r>
          </w:p>
        </w:tc>
        <w:tc>
          <w:tcPr>
            <w:tcW w:w="1415" w:type="dxa"/>
          </w:tcPr>
          <w:p w14:paraId="3189E5A5"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0.7889</w:t>
            </w:r>
          </w:p>
        </w:tc>
      </w:tr>
      <w:tr w:rsidR="002E0E43" w14:paraId="54D4A1B5"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vAlign w:val="bottom"/>
          </w:tcPr>
          <w:p w14:paraId="17CE374A" w14:textId="77777777" w:rsidR="002E0E43" w:rsidRDefault="00E714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J-statistic</w:t>
            </w:r>
          </w:p>
        </w:tc>
        <w:tc>
          <w:tcPr>
            <w:tcW w:w="1980" w:type="dxa"/>
            <w:vAlign w:val="bottom"/>
          </w:tcPr>
          <w:p w14:paraId="5D2BE101"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6.847329</w:t>
            </w:r>
          </w:p>
        </w:tc>
        <w:tc>
          <w:tcPr>
            <w:tcW w:w="1890" w:type="dxa"/>
          </w:tcPr>
          <w:p w14:paraId="7763DC5F" w14:textId="77777777" w:rsidR="002E0E43" w:rsidRDefault="002E0E4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5" w:type="dxa"/>
          </w:tcPr>
          <w:p w14:paraId="4D0A0FC3" w14:textId="77777777" w:rsidR="002E0E43" w:rsidRDefault="002E0E4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5" w:type="dxa"/>
          </w:tcPr>
          <w:p w14:paraId="160B915F" w14:textId="77777777" w:rsidR="002E0E43" w:rsidRDefault="002E0E4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E0E43" w14:paraId="29B036AF" w14:textId="77777777" w:rsidTr="002E0E43">
        <w:trPr>
          <w:trHeight w:val="293"/>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vAlign w:val="bottom"/>
          </w:tcPr>
          <w:p w14:paraId="7C4C7F6E" w14:textId="77777777" w:rsidR="002E0E43" w:rsidRDefault="00E7149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Prob(J-statistic)</w:t>
            </w:r>
          </w:p>
        </w:tc>
        <w:tc>
          <w:tcPr>
            <w:tcW w:w="1980" w:type="dxa"/>
            <w:tcBorders>
              <w:bottom w:val="single" w:sz="4" w:space="0" w:color="auto"/>
            </w:tcBorders>
            <w:vAlign w:val="bottom"/>
          </w:tcPr>
          <w:p w14:paraId="1DC1A7A2"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0.335197</w:t>
            </w:r>
          </w:p>
        </w:tc>
        <w:tc>
          <w:tcPr>
            <w:tcW w:w="1890" w:type="dxa"/>
            <w:tcBorders>
              <w:bottom w:val="single" w:sz="4" w:space="0" w:color="auto"/>
            </w:tcBorders>
          </w:tcPr>
          <w:p w14:paraId="2948B151" w14:textId="77777777" w:rsidR="002E0E43" w:rsidRDefault="002E0E4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5" w:type="dxa"/>
            <w:tcBorders>
              <w:bottom w:val="single" w:sz="4" w:space="0" w:color="auto"/>
            </w:tcBorders>
          </w:tcPr>
          <w:p w14:paraId="64C7447E" w14:textId="77777777" w:rsidR="002E0E43" w:rsidRDefault="002E0E4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5" w:type="dxa"/>
            <w:tcBorders>
              <w:bottom w:val="single" w:sz="4" w:space="0" w:color="auto"/>
            </w:tcBorders>
          </w:tcPr>
          <w:p w14:paraId="4B9B8E55" w14:textId="77777777" w:rsidR="002E0E43" w:rsidRDefault="002E0E43">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82EAF50"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roofErr w:type="spellStart"/>
      <w:r>
        <w:rPr>
          <w:rFonts w:ascii="Times New Roman" w:eastAsia="Times New Roman" w:hAnsi="Times New Roman" w:cs="Times New Roman"/>
          <w:b/>
          <w:sz w:val="24"/>
          <w:szCs w:val="24"/>
        </w:rPr>
        <w:t>Eviews</w:t>
      </w:r>
      <w:proofErr w:type="spellEnd"/>
      <w:r>
        <w:rPr>
          <w:rFonts w:ascii="Times New Roman" w:eastAsia="Times New Roman" w:hAnsi="Times New Roman" w:cs="Times New Roman"/>
          <w:b/>
          <w:sz w:val="24"/>
          <w:szCs w:val="24"/>
        </w:rPr>
        <w:t xml:space="preserve"> 10 Output</w:t>
      </w:r>
    </w:p>
    <w:p w14:paraId="620884CD" w14:textId="77777777" w:rsidR="002E0E43" w:rsidRDefault="00E714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presents the estimated results of a dynamic panel model using the two-step System Generalized Method of Moments (GMM). The coefficient for Access to Electricity (ACCE) is 0.961, with a p-value of 0.0008, indicating that a unit increase in access to electricity is associated with a 0.96-unit rise in unemployment across OPEC countries. Although this result may appear counterintuitive, it likely reflects underlying structural issues such as the expansion of electricity infrastructure not translating into sufficient job creation, or the replacement of labor through automation and energy-efficient technologies. The relationship is statistically significant at the 5% level, as the p-value is well below the threshold.</w:t>
      </w:r>
    </w:p>
    <w:p w14:paraId="7BDB8629" w14:textId="77777777" w:rsidR="002E0E43" w:rsidRDefault="00E714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the coefficient for Access to Cooking Gas (ACCG) is -0.629, with a p-value of 0.1005, suggesting that improved access to clean cooking energy has a negative effect on unemployment, implying a potential job-creating or labor-supporting impact. However, this relationship is not statistically significant at the 5% level, indicating only a weak or suggestive inverse relationship.</w:t>
      </w:r>
    </w:p>
    <w:p w14:paraId="2FB6BCFF" w14:textId="77777777" w:rsidR="002E0E43" w:rsidRDefault="00E7149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Hansen J-statistic (also known as the J-test) is reported as 6.8473, with a p-value of 0.3352. This test evaluates the overall validity of the instruments used in the GMM estimation by testing the null hypothesis that the instruments are uncorrelated with the error term. Since the p-value exceeds 0.05, we fail to reject the null hypothesis, confirming that the instruments are valid and the model is correctly specified. This outcome enhances the credibility and reliability of the GMM estimates.</w:t>
      </w:r>
    </w:p>
    <w:p w14:paraId="107D3DE9" w14:textId="77777777" w:rsidR="002E0E43" w:rsidRDefault="00E71494">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Diagnostic Test</w:t>
      </w:r>
    </w:p>
    <w:p w14:paraId="2FBCBAC2" w14:textId="77777777" w:rsidR="002E0E43" w:rsidRDefault="00E71494">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Pr>
          <w:rFonts w:ascii="Times New Roman" w:hAnsi="Times New Roman" w:cs="Times New Roman"/>
          <w:b/>
          <w:sz w:val="24"/>
          <w:szCs w:val="24"/>
        </w:rPr>
        <w:t>Arellano-Bond Serial Correlation Test</w:t>
      </w:r>
    </w:p>
    <w:tbl>
      <w:tblPr>
        <w:tblStyle w:val="PlainTable31"/>
        <w:tblW w:w="9494" w:type="dxa"/>
        <w:tblLayout w:type="fixed"/>
        <w:tblLook w:val="04A0" w:firstRow="1" w:lastRow="0" w:firstColumn="1" w:lastColumn="0" w:noHBand="0" w:noVBand="1"/>
      </w:tblPr>
      <w:tblGrid>
        <w:gridCol w:w="2610"/>
        <w:gridCol w:w="1919"/>
        <w:gridCol w:w="1654"/>
        <w:gridCol w:w="1657"/>
        <w:gridCol w:w="1654"/>
      </w:tblGrid>
      <w:tr w:rsidR="002E0E43" w14:paraId="09C6D0CB" w14:textId="77777777" w:rsidTr="002E0E43">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2610" w:type="dxa"/>
            <w:tcBorders>
              <w:top w:val="single" w:sz="4" w:space="0" w:color="auto"/>
              <w:bottom w:val="single" w:sz="4" w:space="0" w:color="auto"/>
            </w:tcBorders>
          </w:tcPr>
          <w:p w14:paraId="76557745" w14:textId="77777777" w:rsidR="002E0E43" w:rsidRDefault="00E71494">
            <w:pPr>
              <w:autoSpaceDE w:val="0"/>
              <w:autoSpaceDN w:val="0"/>
              <w:adjustRightInd w:val="0"/>
              <w:jc w:val="center"/>
              <w:rPr>
                <w:rFonts w:ascii="Times New Roman" w:hAnsi="Times New Roman" w:cs="Times New Roman"/>
                <w:b w:val="0"/>
                <w:bCs w:val="0"/>
                <w:caps w:val="0"/>
                <w:sz w:val="24"/>
                <w:szCs w:val="24"/>
              </w:rPr>
            </w:pPr>
            <w:r>
              <w:rPr>
                <w:rFonts w:ascii="Times New Roman" w:hAnsi="Times New Roman" w:cs="Times New Roman"/>
                <w:sz w:val="24"/>
                <w:szCs w:val="24"/>
              </w:rPr>
              <w:lastRenderedPageBreak/>
              <w:t>Test order</w:t>
            </w:r>
          </w:p>
        </w:tc>
        <w:tc>
          <w:tcPr>
            <w:tcW w:w="1919" w:type="dxa"/>
            <w:tcBorders>
              <w:top w:val="single" w:sz="4" w:space="0" w:color="auto"/>
              <w:bottom w:val="single" w:sz="4" w:space="0" w:color="auto"/>
            </w:tcBorders>
          </w:tcPr>
          <w:p w14:paraId="47CD8741"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m-Statistic </w:t>
            </w:r>
          </w:p>
        </w:tc>
        <w:tc>
          <w:tcPr>
            <w:tcW w:w="1654" w:type="dxa"/>
            <w:tcBorders>
              <w:top w:val="single" w:sz="4" w:space="0" w:color="auto"/>
              <w:bottom w:val="single" w:sz="4" w:space="0" w:color="auto"/>
            </w:tcBorders>
          </w:tcPr>
          <w:p w14:paraId="32CAA5C0"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rho     </w:t>
            </w:r>
          </w:p>
        </w:tc>
        <w:tc>
          <w:tcPr>
            <w:tcW w:w="1657" w:type="dxa"/>
            <w:tcBorders>
              <w:top w:val="single" w:sz="4" w:space="0" w:color="auto"/>
              <w:bottom w:val="single" w:sz="4" w:space="0" w:color="auto"/>
            </w:tcBorders>
          </w:tcPr>
          <w:p w14:paraId="23458820"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SE(rho)</w:t>
            </w:r>
          </w:p>
        </w:tc>
        <w:tc>
          <w:tcPr>
            <w:tcW w:w="1654" w:type="dxa"/>
            <w:tcBorders>
              <w:top w:val="single" w:sz="4" w:space="0" w:color="auto"/>
              <w:bottom w:val="single" w:sz="4" w:space="0" w:color="auto"/>
            </w:tcBorders>
          </w:tcPr>
          <w:p w14:paraId="3D83F124" w14:textId="77777777" w:rsidR="002E0E43" w:rsidRDefault="00E71494">
            <w:pPr>
              <w:autoSpaceDE w:val="0"/>
              <w:autoSpaceDN w:val="0"/>
              <w:adjustRightInd w:val="0"/>
              <w:ind w:right="1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aps w:val="0"/>
                <w:sz w:val="24"/>
                <w:szCs w:val="24"/>
              </w:rPr>
            </w:pPr>
            <w:r>
              <w:rPr>
                <w:rFonts w:ascii="Times New Roman" w:hAnsi="Times New Roman" w:cs="Times New Roman"/>
                <w:sz w:val="24"/>
                <w:szCs w:val="24"/>
              </w:rPr>
              <w:t>Prob. </w:t>
            </w:r>
          </w:p>
        </w:tc>
      </w:tr>
      <w:tr w:rsidR="002E0E43" w14:paraId="1EBA2489" w14:textId="77777777" w:rsidTr="002E0E43">
        <w:trPr>
          <w:trHeight w:val="282"/>
        </w:trPr>
        <w:tc>
          <w:tcPr>
            <w:cnfStyle w:val="001000000000" w:firstRow="0" w:lastRow="0" w:firstColumn="1" w:lastColumn="0" w:oddVBand="0" w:evenVBand="0" w:oddHBand="0" w:evenHBand="0" w:firstRowFirstColumn="0" w:firstRowLastColumn="0" w:lastRowFirstColumn="0" w:lastRowLastColumn="0"/>
            <w:tcW w:w="2610" w:type="dxa"/>
            <w:tcBorders>
              <w:top w:val="single" w:sz="4" w:space="0" w:color="auto"/>
            </w:tcBorders>
          </w:tcPr>
          <w:p w14:paraId="2B449FA3" w14:textId="77777777" w:rsidR="002E0E43" w:rsidRDefault="00E71494">
            <w:pPr>
              <w:autoSpaceDE w:val="0"/>
              <w:autoSpaceDN w:val="0"/>
              <w:adjustRightInd w:val="0"/>
              <w:jc w:val="center"/>
              <w:rPr>
                <w:rFonts w:ascii="Times New Roman" w:hAnsi="Times New Roman" w:cs="Times New Roman"/>
                <w:sz w:val="24"/>
                <w:szCs w:val="24"/>
              </w:rPr>
            </w:pPr>
            <w:proofErr w:type="gramStart"/>
            <w:r>
              <w:rPr>
                <w:rFonts w:ascii="Times New Roman" w:hAnsi="Times New Roman" w:cs="Times New Roman"/>
                <w:sz w:val="24"/>
                <w:szCs w:val="24"/>
              </w:rPr>
              <w:t>AR(</w:t>
            </w:r>
            <w:proofErr w:type="gramEnd"/>
            <w:r>
              <w:rPr>
                <w:rFonts w:ascii="Times New Roman" w:hAnsi="Times New Roman" w:cs="Times New Roman"/>
                <w:sz w:val="24"/>
                <w:szCs w:val="24"/>
              </w:rPr>
              <w:t>1)</w:t>
            </w:r>
          </w:p>
        </w:tc>
        <w:tc>
          <w:tcPr>
            <w:tcW w:w="1919" w:type="dxa"/>
            <w:tcBorders>
              <w:top w:val="single" w:sz="4" w:space="0" w:color="auto"/>
            </w:tcBorders>
          </w:tcPr>
          <w:p w14:paraId="02AD0A48"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0.020866</w:t>
            </w:r>
          </w:p>
        </w:tc>
        <w:tc>
          <w:tcPr>
            <w:tcW w:w="1654" w:type="dxa"/>
            <w:tcBorders>
              <w:top w:val="single" w:sz="4" w:space="0" w:color="auto"/>
            </w:tcBorders>
          </w:tcPr>
          <w:p w14:paraId="43702C5F"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45.367378</w:t>
            </w:r>
          </w:p>
        </w:tc>
        <w:tc>
          <w:tcPr>
            <w:tcW w:w="1657" w:type="dxa"/>
            <w:tcBorders>
              <w:top w:val="single" w:sz="4" w:space="0" w:color="auto"/>
            </w:tcBorders>
          </w:tcPr>
          <w:p w14:paraId="4163058A"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2174.236150</w:t>
            </w:r>
          </w:p>
        </w:tc>
        <w:tc>
          <w:tcPr>
            <w:tcW w:w="1654" w:type="dxa"/>
            <w:tcBorders>
              <w:top w:val="single" w:sz="4" w:space="0" w:color="auto"/>
            </w:tcBorders>
          </w:tcPr>
          <w:p w14:paraId="0ED8657D"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0.0434</w:t>
            </w:r>
          </w:p>
        </w:tc>
      </w:tr>
      <w:tr w:rsidR="002E0E43" w14:paraId="29DE1EFE" w14:textId="77777777" w:rsidTr="002E0E43">
        <w:trPr>
          <w:trHeight w:val="282"/>
        </w:trPr>
        <w:tc>
          <w:tcPr>
            <w:cnfStyle w:val="001000000000" w:firstRow="0" w:lastRow="0" w:firstColumn="1" w:lastColumn="0" w:oddVBand="0" w:evenVBand="0" w:oddHBand="0" w:evenHBand="0" w:firstRowFirstColumn="0" w:firstRowLastColumn="0" w:lastRowFirstColumn="0" w:lastRowLastColumn="0"/>
            <w:tcW w:w="2610" w:type="dxa"/>
            <w:tcBorders>
              <w:bottom w:val="single" w:sz="4" w:space="0" w:color="auto"/>
            </w:tcBorders>
          </w:tcPr>
          <w:p w14:paraId="6618511E" w14:textId="77777777" w:rsidR="002E0E43" w:rsidRDefault="00E71494">
            <w:pPr>
              <w:autoSpaceDE w:val="0"/>
              <w:autoSpaceDN w:val="0"/>
              <w:adjustRightInd w:val="0"/>
              <w:jc w:val="center"/>
              <w:rPr>
                <w:rFonts w:ascii="Times New Roman" w:hAnsi="Times New Roman" w:cs="Times New Roman"/>
                <w:sz w:val="24"/>
                <w:szCs w:val="24"/>
              </w:rPr>
            </w:pPr>
            <w:proofErr w:type="gramStart"/>
            <w:r>
              <w:rPr>
                <w:rFonts w:ascii="Times New Roman" w:hAnsi="Times New Roman" w:cs="Times New Roman"/>
                <w:sz w:val="24"/>
                <w:szCs w:val="24"/>
              </w:rPr>
              <w:t>AR(</w:t>
            </w:r>
            <w:proofErr w:type="gramEnd"/>
            <w:r>
              <w:rPr>
                <w:rFonts w:ascii="Times New Roman" w:hAnsi="Times New Roman" w:cs="Times New Roman"/>
                <w:sz w:val="24"/>
                <w:szCs w:val="24"/>
              </w:rPr>
              <w:t>2)</w:t>
            </w:r>
          </w:p>
        </w:tc>
        <w:tc>
          <w:tcPr>
            <w:tcW w:w="1919" w:type="dxa"/>
            <w:tcBorders>
              <w:bottom w:val="single" w:sz="4" w:space="0" w:color="auto"/>
            </w:tcBorders>
          </w:tcPr>
          <w:p w14:paraId="4DECD253"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w:t>
            </w:r>
          </w:p>
        </w:tc>
        <w:tc>
          <w:tcPr>
            <w:tcW w:w="1654" w:type="dxa"/>
            <w:tcBorders>
              <w:bottom w:val="single" w:sz="4" w:space="0" w:color="auto"/>
            </w:tcBorders>
          </w:tcPr>
          <w:p w14:paraId="114D9F9C"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-15.904680</w:t>
            </w:r>
          </w:p>
        </w:tc>
        <w:tc>
          <w:tcPr>
            <w:tcW w:w="1657" w:type="dxa"/>
            <w:tcBorders>
              <w:bottom w:val="single" w:sz="4" w:space="0" w:color="auto"/>
            </w:tcBorders>
          </w:tcPr>
          <w:p w14:paraId="69F0D4E6"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w:t>
            </w:r>
          </w:p>
        </w:tc>
        <w:tc>
          <w:tcPr>
            <w:tcW w:w="1654" w:type="dxa"/>
            <w:tcBorders>
              <w:bottom w:val="single" w:sz="4" w:space="0" w:color="auto"/>
            </w:tcBorders>
          </w:tcPr>
          <w:p w14:paraId="5724625B" w14:textId="77777777" w:rsidR="002E0E43" w:rsidRDefault="00E71494">
            <w:pPr>
              <w:autoSpaceDE w:val="0"/>
              <w:autoSpaceDN w:val="0"/>
              <w:adjustRightInd w:val="0"/>
              <w:ind w:right="1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w:t>
            </w:r>
          </w:p>
        </w:tc>
      </w:tr>
    </w:tbl>
    <w:p w14:paraId="4957B942" w14:textId="77777777" w:rsidR="002E0E43" w:rsidRDefault="00E71494">
      <w:pPr>
        <w:spacing w:line="360" w:lineRule="auto"/>
        <w:ind w:right="-6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proofErr w:type="spellStart"/>
      <w:r>
        <w:rPr>
          <w:rFonts w:ascii="Times New Roman" w:eastAsia="Times New Roman" w:hAnsi="Times New Roman" w:cs="Times New Roman"/>
          <w:b/>
          <w:sz w:val="24"/>
          <w:szCs w:val="24"/>
        </w:rPr>
        <w:t>Eviews</w:t>
      </w:r>
      <w:proofErr w:type="spellEnd"/>
      <w:r>
        <w:rPr>
          <w:rFonts w:ascii="Times New Roman" w:eastAsia="Times New Roman" w:hAnsi="Times New Roman" w:cs="Times New Roman"/>
          <w:b/>
          <w:sz w:val="24"/>
          <w:szCs w:val="24"/>
        </w:rPr>
        <w:t xml:space="preserve"> 10 Output</w:t>
      </w:r>
    </w:p>
    <w:p w14:paraId="456B01A7" w14:textId="77777777" w:rsidR="002E0E43" w:rsidRDefault="00E71494">
      <w:pPr>
        <w:pStyle w:val="NormalWeb"/>
        <w:jc w:val="both"/>
      </w:pPr>
      <w:r>
        <w:t>The Arellano-Bond test for autocorrelation, commonly applied in dynamic panel data models estimated using the Generalized Method of Moments (GMM), evaluates whether the residuals from the differenced equation exhibit serial correlation. In this case, the p-value for the AR (1) test is 0.0434, which is below the 0.05 threshold. This leads to the rejection of the null hypothesis of no first-order autocorrelation. However, this result is neither unusual nor problematic, as first-order autocorrelation is a common feature in first-differenced panel data models and typically reflects the expected structure of the model. The detection of AR (1) does not invalidate the estimation.</w:t>
      </w:r>
    </w:p>
    <w:p w14:paraId="352B33FE" w14:textId="77777777" w:rsidR="002E0E43" w:rsidRDefault="00E71494">
      <w:pPr>
        <w:pStyle w:val="NormalWeb"/>
        <w:numPr>
          <w:ilvl w:val="0"/>
          <w:numId w:val="1"/>
        </w:numPr>
        <w:jc w:val="both"/>
        <w:rPr>
          <w:b/>
        </w:rPr>
      </w:pPr>
      <w:r>
        <w:rPr>
          <w:b/>
        </w:rPr>
        <w:t>Discussion of Findings</w:t>
      </w:r>
    </w:p>
    <w:p w14:paraId="55766652" w14:textId="77777777" w:rsidR="002E0E43" w:rsidRDefault="00E71494">
      <w:pPr>
        <w:pStyle w:val="NormalWeb"/>
        <w:jc w:val="both"/>
      </w:pPr>
      <w:r>
        <w:t>The findings of this study are carefully aligned with the stated research objectives, offering nuanced insights, some of which challenge conventional expectations of the relationship between energy access and unemployment in OPEC member countries, as revealed through the two-step System GMM estimation.</w:t>
      </w:r>
    </w:p>
    <w:p w14:paraId="3A4049D5" w14:textId="77777777" w:rsidR="002E0E43" w:rsidRDefault="00E71494">
      <w:pPr>
        <w:pStyle w:val="NormalWeb"/>
        <w:jc w:val="both"/>
      </w:pPr>
      <w:r>
        <w:t>Regarding the first objective, which investigates the impact of access to electricity on unemployment in OPEC countries, the results indicate a positive and statistically significant relationship. Specifically, the coefficient for Access to Electricity (ACCE) suggests that a 1-unit increase in electricity access corresponds to nearly a 1-unit increase in unemployment across the panel. At first glance, this appears counterintuitive, as enhanced electricity access is typically associated with increased productivity, business expansion, and job creation. However, the findings may reflect structural rigidities and institutional weaknesses common across many OPEC economies.</w:t>
      </w:r>
    </w:p>
    <w:p w14:paraId="4F5D3563" w14:textId="77777777" w:rsidR="002E0E43" w:rsidRDefault="00E71494">
      <w:pPr>
        <w:pStyle w:val="NormalWeb"/>
        <w:jc w:val="both"/>
      </w:pPr>
      <w:r>
        <w:t>This paradoxical result can be attributed to several possible factors. For instance, electricity expansion in these countries may occur without parallel investments in infrastructure and industry, leading to a scenario where energy access does not translate into employment growth. Moreover, increased access to electricity may facilitate automation and capital-intensive production, displacing manual labor, particularly in sectors like manufacturing and extractive industries. Additionally, the sectoral distribution of electricity access may be skewed toward non-labor-intensive or elite-captured sectors, limiting its broader economic benefits.</w:t>
      </w:r>
    </w:p>
    <w:p w14:paraId="45D5FBF8" w14:textId="77777777" w:rsidR="002E0E43" w:rsidRDefault="00E71494">
      <w:pPr>
        <w:pStyle w:val="NormalWeb"/>
        <w:jc w:val="both"/>
      </w:pPr>
      <w:r>
        <w:t>Thus, the statistically significant positive coefficient underscores a critical point: electricity access, while necessary, is not sufficient to reduce unemployment. The nature, quality, and strategic deployment of electricity alongside complementary policies in education, infrastructure, and industrial development are crucial in converting energy access into employment gains.</w:t>
      </w:r>
    </w:p>
    <w:p w14:paraId="3D302D3D" w14:textId="77777777" w:rsidR="002E0E43" w:rsidRDefault="00E71494">
      <w:pPr>
        <w:pStyle w:val="NormalWeb"/>
        <w:jc w:val="both"/>
      </w:pPr>
      <w:r>
        <w:lastRenderedPageBreak/>
        <w:t>The second objective focuses on the effect of access to cooking gas (ACCG) on unemployment. Here, the coefficient is negative, suggesting that improved access to clean cooking fuels may contribute to reducing unemployment, although the result is not statistically significant at conventional levels. This weak but potentially meaningful inverse relationship highlights the indirect economic benefits of clean energy access, particularly in relation to time savings, health improvements, and increased productivity in informal or household-based labor, especially for women.</w:t>
      </w:r>
    </w:p>
    <w:p w14:paraId="7C445652" w14:textId="77777777" w:rsidR="002E0E43" w:rsidRDefault="00E71494">
      <w:pPr>
        <w:pStyle w:val="NormalWeb"/>
        <w:jc w:val="both"/>
      </w:pPr>
      <w:r>
        <w:t>While the statistical insignificance tempers the strength of the conclusion, the result still raises important policy and research considerations. It points to the need for further exploration of how gender dynamics, time poverty, and informal labor interact with energy access, especially in resource-dependent economies undergoing energy transitions.</w:t>
      </w:r>
    </w:p>
    <w:p w14:paraId="64B08DD5" w14:textId="77777777" w:rsidR="002E0E43" w:rsidRDefault="00E71494">
      <w:pPr>
        <w:pStyle w:val="NormalWeb"/>
        <w:jc w:val="both"/>
      </w:pPr>
      <w:r>
        <w:t xml:space="preserve">In summary, these findings emphasize that energy access must be integrated with inclusive economic planning. Access alone does not guarantee employment growth; what matters is how, where, and for whom energy is delivered. The study invites policymakers to design energy strategies that are employment-responsive, inclusive, and </w:t>
      </w:r>
      <w:proofErr w:type="spellStart"/>
      <w:r>
        <w:t>sectorally</w:t>
      </w:r>
      <w:proofErr w:type="spellEnd"/>
      <w:r>
        <w:t xml:space="preserve"> targeted to ensure that the gains from energy access translate into meaningful labor market outcomes.</w:t>
      </w:r>
    </w:p>
    <w:p w14:paraId="643E22EE" w14:textId="77777777" w:rsidR="002E0E43" w:rsidRDefault="00E71494">
      <w:pPr>
        <w:pStyle w:val="NormalWeb"/>
        <w:numPr>
          <w:ilvl w:val="0"/>
          <w:numId w:val="1"/>
        </w:numPr>
        <w:rPr>
          <w:b/>
        </w:rPr>
      </w:pPr>
      <w:r>
        <w:rPr>
          <w:b/>
        </w:rPr>
        <w:t>Conclusion/Recommendations</w:t>
      </w:r>
    </w:p>
    <w:p w14:paraId="3ECEFCA5" w14:textId="77777777" w:rsidR="002E0E43" w:rsidRDefault="00E71494">
      <w:pPr>
        <w:pStyle w:val="NormalWeb"/>
        <w:jc w:val="both"/>
      </w:pPr>
      <w:r>
        <w:t xml:space="preserve">The study provides evidence that not all forms of energy access equally influence employment outcomes, and that the nature, utilization, and institutional context of energy interventions matter, while access to electricity is currently linked to rising unemployment in OPEC countries, possibly due to structural mismatches. Clean cooking energy shows promise as a socially beneficial and </w:t>
      </w:r>
      <w:proofErr w:type="spellStart"/>
      <w:r>
        <w:t>labour</w:t>
      </w:r>
      <w:proofErr w:type="spellEnd"/>
      <w:r>
        <w:t xml:space="preserve">-supporting intervention. These insights should inform targeted policy actions for energy planning and </w:t>
      </w:r>
      <w:proofErr w:type="spellStart"/>
      <w:r>
        <w:t>labour</w:t>
      </w:r>
      <w:proofErr w:type="spellEnd"/>
      <w:r>
        <w:t xml:space="preserve"> market integration in energy-transitioning economies.</w:t>
      </w:r>
    </w:p>
    <w:p w14:paraId="25BF2D45" w14:textId="77777777" w:rsidR="002E0E43" w:rsidRDefault="00E71494">
      <w:pPr>
        <w:pStyle w:val="NormalWeb"/>
        <w:jc w:val="both"/>
      </w:pPr>
      <w:r>
        <w:t>Based on the findings of this study, the following recommendations are proposed to guide policy actions in OPEC member countries:</w:t>
      </w:r>
    </w:p>
    <w:p w14:paraId="3238760D" w14:textId="77777777" w:rsidR="002E0E43" w:rsidRDefault="00E71494">
      <w:pPr>
        <w:pStyle w:val="NormalWeb"/>
        <w:numPr>
          <w:ilvl w:val="0"/>
          <w:numId w:val="2"/>
        </w:numPr>
        <w:jc w:val="both"/>
      </w:pPr>
      <w:r>
        <w:t>Integrate Employment Goals into Electrification Strategies. Governments across OPEC countries should deliberately incorporate employment objectives into national electrification plans. Given the study’s finding that increased access to electricity correlates with higher unemployment—likely due to automation and weak job creation electrification efforts should be aligned with the development of labor-intensive industries. Furthermore, governments should implement targeted vocational training and re-skilling initiatives, particularly for workers in fossil fuel-dependent sectors. These programs should equip the workforce with relevant skills for emerging opportunities in renewable energy, energy efficiency, and service industries. Such action will help address structural mismatches in the labor market and improve job absorption capacity alongside energy infrastructure expansion.</w:t>
      </w:r>
    </w:p>
    <w:p w14:paraId="3B159D3A" w14:textId="77777777" w:rsidR="002E0E43" w:rsidRDefault="00E71494">
      <w:pPr>
        <w:pStyle w:val="NormalWeb"/>
        <w:numPr>
          <w:ilvl w:val="0"/>
          <w:numId w:val="2"/>
        </w:numPr>
        <w:jc w:val="both"/>
      </w:pPr>
      <w:r>
        <w:t xml:space="preserve">Scale-Up Clean Cooking Initiatives with Gender Empowerment. The study finds a potential link between improved access to clean cooking fuels and reduced unemployment. As such, governments should intensify efforts to scale up clean cooking programs, particularly in rural and peri-urban areas where energy poverty is most </w:t>
      </w:r>
      <w:r>
        <w:lastRenderedPageBreak/>
        <w:t>pronounced. These initiatives should be integrated with women’s empowerment strategies to unlock the economic potential of the informal and domestic labor sectors. By reducing the time burden of traditional fuel collection and improving health outcomes, clean cooking access can free up time for income-generating activities, particularly among women.</w:t>
      </w:r>
    </w:p>
    <w:p w14:paraId="473D7F01" w14:textId="77777777" w:rsidR="002E0E43" w:rsidRDefault="00E71494">
      <w:pPr>
        <w:pStyle w:val="NormalWeb"/>
        <w:numPr>
          <w:ilvl w:val="0"/>
          <w:numId w:val="2"/>
        </w:numPr>
        <w:jc w:val="both"/>
      </w:pPr>
      <w:r>
        <w:t>Design Inclusive Energy Transition Frameworks. In anticipation of workforce displacement arising from the global energy transition, OPEC governments should develop comprehensive transition policies that include social protection mechanisms for affected workers. This includes unemployment benefits, retraining programs, and placement support. Additionally, policies should promote labor mobility and foster pathways to green employment within and beyond the energy sector. A just transition framework will ensure that the shift toward renewable energy does not exacerbate social inequality or unemployment.</w:t>
      </w:r>
    </w:p>
    <w:p w14:paraId="1D3E2767" w14:textId="77777777" w:rsidR="002E0E43" w:rsidRDefault="00E71494">
      <w:pPr>
        <w:pStyle w:val="NormalWeb"/>
        <w:numPr>
          <w:ilvl w:val="0"/>
          <w:numId w:val="2"/>
        </w:numPr>
      </w:pPr>
      <w:r>
        <w:t>Ensure Gender-Responsive and Socially Inclusive Energy Programs. Energy policies in OPEC countries must be explicitly gender-responsive and inclusive, ensuring that the benefits of improved energy access extend to marginalized populations. Too often, women and vulnerable groups are excluded from employment gains despite improvements in energy infrastructure. Programs should be designed to encourage broader labor participation, eliminate barriers to entry, and actively support the economic engagement of underserved communities.</w:t>
      </w:r>
    </w:p>
    <w:p w14:paraId="12CEBE95" w14:textId="77777777" w:rsidR="002E0E43" w:rsidRDefault="002E0E43"/>
    <w:p w14:paraId="2072170C" w14:textId="77777777" w:rsidR="002E0E43" w:rsidRDefault="002E0E43"/>
    <w:p w14:paraId="53EAF4AF" w14:textId="77777777" w:rsidR="002E0E43" w:rsidRDefault="00E71494">
      <w:pPr>
        <w:pStyle w:val="NoSpacing"/>
        <w:rPr>
          <w:rFonts w:ascii="Arial" w:hAnsi="Arial" w:cs="Arial"/>
          <w:highlight w:val="yellow"/>
        </w:rPr>
      </w:pPr>
      <w:bookmarkStart w:id="1" w:name="_Hlk198031404"/>
      <w:r>
        <w:rPr>
          <w:rFonts w:ascii="Arial" w:hAnsi="Arial" w:cs="Arial"/>
          <w:highlight w:val="yellow"/>
        </w:rPr>
        <w:t>Disclaimer (Artificial intelligence)</w:t>
      </w:r>
    </w:p>
    <w:p w14:paraId="77B9C8CB" w14:textId="77777777" w:rsidR="002E0E43" w:rsidRDefault="002E0E43">
      <w:pPr>
        <w:pStyle w:val="NoSpacing"/>
        <w:rPr>
          <w:rFonts w:ascii="Arial" w:hAnsi="Arial" w:cs="Arial"/>
          <w:highlight w:val="yellow"/>
        </w:rPr>
      </w:pPr>
    </w:p>
    <w:p w14:paraId="2D59112D" w14:textId="77777777" w:rsidR="002E0E43" w:rsidRDefault="00E71494">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CF4C7E2" w14:textId="77777777" w:rsidR="002E0E43" w:rsidRDefault="002E0E43">
      <w:pPr>
        <w:pStyle w:val="NoSpacing"/>
        <w:rPr>
          <w:rFonts w:ascii="Arial" w:hAnsi="Arial" w:cs="Arial"/>
        </w:rPr>
      </w:pPr>
    </w:p>
    <w:p w14:paraId="65A50F74" w14:textId="77777777" w:rsidR="002E0E43" w:rsidRDefault="002E0E43">
      <w:pPr>
        <w:pStyle w:val="NoSpacing"/>
        <w:rPr>
          <w:rFonts w:ascii="Arial" w:hAnsi="Arial" w:cs="Arial"/>
        </w:rPr>
      </w:pPr>
    </w:p>
    <w:p w14:paraId="084EB3A1" w14:textId="77777777" w:rsidR="002E0E43" w:rsidRDefault="002E0E43">
      <w:pPr>
        <w:pStyle w:val="NoSpacing"/>
        <w:rPr>
          <w:rFonts w:ascii="Arial" w:hAnsi="Arial" w:cs="Arial"/>
        </w:rPr>
      </w:pPr>
    </w:p>
    <w:p w14:paraId="4E4DDCD6" w14:textId="77777777" w:rsidR="002E0E43" w:rsidRDefault="002E0E43"/>
    <w:p w14:paraId="1C1DE42C" w14:textId="77777777" w:rsidR="002E0E43" w:rsidRDefault="00E71494">
      <w:pPr>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1C72B13" w14:textId="77777777" w:rsidR="002E0E43" w:rsidRDefault="00E71494">
      <w:pPr>
        <w:spacing w:after="0" w:line="240" w:lineRule="auto"/>
        <w:jc w:val="both"/>
        <w:rPr>
          <w:rStyle w:val="Hyperlink"/>
          <w:color w:val="auto"/>
        </w:rPr>
      </w:pPr>
      <w:r>
        <w:rPr>
          <w:rFonts w:ascii="Times New Roman" w:hAnsi="Times New Roman" w:cs="Times New Roman"/>
          <w:sz w:val="24"/>
          <w:szCs w:val="24"/>
        </w:rPr>
        <w:t xml:space="preserve">Acheampong, A.O., Shahbaz, M., </w:t>
      </w:r>
      <w:proofErr w:type="spellStart"/>
      <w:r>
        <w:rPr>
          <w:rFonts w:ascii="Times New Roman" w:hAnsi="Times New Roman" w:cs="Times New Roman"/>
          <w:sz w:val="24"/>
          <w:szCs w:val="24"/>
        </w:rPr>
        <w:t>Dzator</w:t>
      </w:r>
      <w:proofErr w:type="spellEnd"/>
      <w:r>
        <w:rPr>
          <w:rFonts w:ascii="Times New Roman" w:hAnsi="Times New Roman" w:cs="Times New Roman"/>
          <w:sz w:val="24"/>
          <w:szCs w:val="24"/>
        </w:rPr>
        <w:t xml:space="preserve">, J., &amp; Jiao, Z. (2022). Effects of Income Inequality and </w:t>
      </w:r>
      <w:r>
        <w:rPr>
          <w:rFonts w:ascii="Times New Roman" w:hAnsi="Times New Roman" w:cs="Times New Roman"/>
          <w:sz w:val="24"/>
          <w:szCs w:val="24"/>
        </w:rPr>
        <w:tab/>
        <w:t xml:space="preserve">Governance on Energy Poverty Alleviation: Implications for Sustainable Development </w:t>
      </w:r>
      <w:r>
        <w:rPr>
          <w:rFonts w:ascii="Times New Roman" w:hAnsi="Times New Roman" w:cs="Times New Roman"/>
          <w:sz w:val="24"/>
          <w:szCs w:val="24"/>
        </w:rPr>
        <w:tab/>
        <w:t xml:space="preserve">Policy. Util Pol. 78: 1-14 101403. </w:t>
      </w:r>
      <w:hyperlink r:id="rId11" w:history="1">
        <w:r>
          <w:rPr>
            <w:rStyle w:val="Hyperlink"/>
            <w:color w:val="auto"/>
          </w:rPr>
          <w:t>https://doi.org/10.1016/j.jup.2022.101403</w:t>
        </w:r>
      </w:hyperlink>
      <w:r>
        <w:rPr>
          <w:rStyle w:val="Hyperlink"/>
          <w:color w:val="auto"/>
        </w:rPr>
        <w:t>.</w:t>
      </w:r>
    </w:p>
    <w:p w14:paraId="10CC4F7F" w14:textId="77777777" w:rsidR="002E0E43" w:rsidRDefault="002E0E43">
      <w:pPr>
        <w:spacing w:after="0" w:line="240" w:lineRule="auto"/>
        <w:jc w:val="both"/>
        <w:rPr>
          <w:rFonts w:ascii="Times New Roman" w:hAnsi="Times New Roman" w:cs="Times New Roman"/>
          <w:sz w:val="24"/>
          <w:szCs w:val="24"/>
        </w:rPr>
      </w:pPr>
    </w:p>
    <w:p w14:paraId="09127B94" w14:textId="77777777" w:rsidR="002E0E43" w:rsidRDefault="00E71494">
      <w:pPr>
        <w:autoSpaceDE w:val="0"/>
        <w:autoSpaceDN w:val="0"/>
        <w:adjustRightInd w:val="0"/>
        <w:spacing w:after="0" w:line="240" w:lineRule="auto"/>
        <w:ind w:left="720" w:hanging="720"/>
        <w:rPr>
          <w:rFonts w:ascii="Times New Roman" w:eastAsia="STIX-Regular2" w:hAnsi="Times New Roman" w:cs="Times New Roman"/>
          <w:sz w:val="24"/>
          <w:szCs w:val="24"/>
        </w:rPr>
      </w:pPr>
      <w:r>
        <w:rPr>
          <w:rFonts w:ascii="Times New Roman" w:hAnsi="Times New Roman" w:cs="Times New Roman"/>
          <w:bCs/>
          <w:sz w:val="24"/>
          <w:szCs w:val="24"/>
        </w:rPr>
        <w:t xml:space="preserve">Anastasiou, A., </w:t>
      </w:r>
      <w:r>
        <w:rPr>
          <w:rFonts w:ascii="Times New Roman" w:hAnsi="Times New Roman" w:cs="Times New Roman"/>
          <w:sz w:val="24"/>
          <w:szCs w:val="24"/>
        </w:rPr>
        <w:t xml:space="preserve">&amp; </w:t>
      </w:r>
      <w:proofErr w:type="spellStart"/>
      <w:r>
        <w:rPr>
          <w:rFonts w:ascii="Times New Roman" w:hAnsi="Times New Roman" w:cs="Times New Roman"/>
          <w:bCs/>
          <w:sz w:val="24"/>
          <w:szCs w:val="24"/>
        </w:rPr>
        <w:t>Zaroutieri</w:t>
      </w:r>
      <w:proofErr w:type="spellEnd"/>
      <w:r>
        <w:rPr>
          <w:rFonts w:ascii="Times New Roman" w:hAnsi="Times New Roman" w:cs="Times New Roman"/>
          <w:bCs/>
          <w:sz w:val="24"/>
          <w:szCs w:val="24"/>
        </w:rPr>
        <w:t xml:space="preserve">, E. (2023). Energy poverty and the convergence hypothesis across EU member states. Springers </w:t>
      </w:r>
      <w:r>
        <w:rPr>
          <w:rFonts w:ascii="Times New Roman" w:hAnsi="Times New Roman" w:cs="Times New Roman"/>
          <w:sz w:val="24"/>
          <w:szCs w:val="24"/>
        </w:rPr>
        <w:t xml:space="preserve">Energy Efficiency (2023) 16:38. </w:t>
      </w:r>
      <w:hyperlink r:id="rId12" w:history="1">
        <w:r>
          <w:rPr>
            <w:rStyle w:val="Hyperlink"/>
            <w:rFonts w:ascii="Times New Roman" w:eastAsia="STIX-Regular2" w:hAnsi="Times New Roman" w:cs="Times New Roman"/>
            <w:color w:val="auto"/>
            <w:sz w:val="24"/>
            <w:szCs w:val="24"/>
          </w:rPr>
          <w:t>https://doi.org/10.1007/s12053-023-10113-9</w:t>
        </w:r>
      </w:hyperlink>
      <w:r>
        <w:rPr>
          <w:rFonts w:ascii="Times New Roman" w:eastAsia="STIX-Regular2" w:hAnsi="Times New Roman" w:cs="Times New Roman"/>
          <w:sz w:val="24"/>
          <w:szCs w:val="24"/>
        </w:rPr>
        <w:t xml:space="preserve">. </w:t>
      </w:r>
    </w:p>
    <w:p w14:paraId="251B9856" w14:textId="77777777" w:rsidR="002E0E43" w:rsidRDefault="002E0E43">
      <w:pPr>
        <w:autoSpaceDE w:val="0"/>
        <w:autoSpaceDN w:val="0"/>
        <w:adjustRightInd w:val="0"/>
        <w:spacing w:after="0" w:line="240" w:lineRule="auto"/>
        <w:ind w:left="720" w:hanging="720"/>
        <w:rPr>
          <w:rFonts w:ascii="Times New Roman" w:eastAsia="STIX-Regular2" w:hAnsi="Times New Roman" w:cs="Times New Roman"/>
          <w:sz w:val="24"/>
          <w:szCs w:val="24"/>
        </w:rPr>
      </w:pPr>
    </w:p>
    <w:p w14:paraId="2EAFDE3B" w14:textId="77777777" w:rsidR="002E0E43" w:rsidRDefault="00E71494">
      <w:pPr>
        <w:rPr>
          <w:rFonts w:ascii="Times New Roman" w:hAnsi="Times New Roman" w:cs="Times New Roman"/>
          <w:sz w:val="24"/>
          <w:szCs w:val="24"/>
        </w:rPr>
      </w:pPr>
      <w:r>
        <w:rPr>
          <w:rFonts w:ascii="Times New Roman" w:hAnsi="Times New Roman" w:cs="Times New Roman"/>
          <w:sz w:val="24"/>
          <w:szCs w:val="24"/>
        </w:rPr>
        <w:t xml:space="preserve">Arezki, R. S., Djankov, H., Nguyen, </w:t>
      </w:r>
      <w:proofErr w:type="gramStart"/>
      <w:r>
        <w:rPr>
          <w:rFonts w:ascii="Times New Roman" w:hAnsi="Times New Roman" w:cs="Times New Roman"/>
          <w:sz w:val="24"/>
          <w:szCs w:val="24"/>
        </w:rPr>
        <w:t>I.,&amp;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Yotzov</w:t>
      </w:r>
      <w:proofErr w:type="spellEnd"/>
      <w:r>
        <w:rPr>
          <w:rFonts w:ascii="Times New Roman" w:hAnsi="Times New Roman" w:cs="Times New Roman"/>
          <w:sz w:val="24"/>
          <w:szCs w:val="24"/>
        </w:rPr>
        <w:t xml:space="preserve">, I. (2020), Reversal of Fortune for Political </w:t>
      </w:r>
      <w:r>
        <w:rPr>
          <w:rFonts w:ascii="Times New Roman" w:hAnsi="Times New Roman" w:cs="Times New Roman"/>
          <w:sz w:val="24"/>
          <w:szCs w:val="24"/>
        </w:rPr>
        <w:tab/>
        <w:t xml:space="preserve">Incumbents: Evidence from Oil Shocks”, Policy Research Working Paper, No. 9287, </w:t>
      </w:r>
      <w:r>
        <w:rPr>
          <w:rFonts w:ascii="Times New Roman" w:hAnsi="Times New Roman" w:cs="Times New Roman"/>
          <w:sz w:val="24"/>
          <w:szCs w:val="24"/>
        </w:rPr>
        <w:tab/>
        <w:t>World Bank, Washington, DC.</w:t>
      </w:r>
    </w:p>
    <w:p w14:paraId="2BED3FBF" w14:textId="77777777" w:rsidR="002E0E43" w:rsidRDefault="00E71494">
      <w:pPr>
        <w:spacing w:line="240" w:lineRule="auto"/>
      </w:pPr>
      <w:r>
        <w:rPr>
          <w:rFonts w:ascii="Times New Roman" w:hAnsi="Times New Roman" w:cs="Times New Roman"/>
          <w:sz w:val="24"/>
          <w:szCs w:val="24"/>
        </w:rPr>
        <w:lastRenderedPageBreak/>
        <w:t xml:space="preserve">Biernat-Jarka, A., </w:t>
      </w:r>
      <w:proofErr w:type="spellStart"/>
      <w:r>
        <w:rPr>
          <w:rFonts w:ascii="Times New Roman" w:hAnsi="Times New Roman" w:cs="Times New Roman"/>
          <w:sz w:val="24"/>
          <w:szCs w:val="24"/>
        </w:rPr>
        <w:t>Trębska</w:t>
      </w:r>
      <w:proofErr w:type="spellEnd"/>
      <w:r>
        <w:rPr>
          <w:rFonts w:ascii="Times New Roman" w:hAnsi="Times New Roman" w:cs="Times New Roman"/>
          <w:sz w:val="24"/>
          <w:szCs w:val="24"/>
        </w:rPr>
        <w:t xml:space="preserve">, P., &amp; Jarka, S. (2021). The role of renewable energy sources in </w:t>
      </w:r>
      <w:r>
        <w:rPr>
          <w:rFonts w:ascii="Times New Roman" w:hAnsi="Times New Roman" w:cs="Times New Roman"/>
          <w:sz w:val="24"/>
          <w:szCs w:val="24"/>
        </w:rPr>
        <w:tab/>
        <w:t xml:space="preserve">alleviating energy poverty in households in Poland. Energies, 14(10), 2957. </w:t>
      </w:r>
      <w:r>
        <w:rPr>
          <w:rFonts w:ascii="Times New Roman" w:hAnsi="Times New Roman" w:cs="Times New Roman"/>
          <w:sz w:val="24"/>
          <w:szCs w:val="24"/>
        </w:rPr>
        <w:tab/>
        <w:t>https://doi.org/</w:t>
      </w:r>
      <w:hyperlink r:id="rId13" w:tgtFrame="_blank" w:history="1">
        <w:r>
          <w:rPr>
            <w:rStyle w:val="Hyperlink"/>
            <w:rFonts w:ascii="Times New Roman" w:hAnsi="Times New Roman" w:cs="Times New Roman"/>
            <w:sz w:val="24"/>
            <w:szCs w:val="24"/>
          </w:rPr>
          <w:t>10.3390/en14102957</w:t>
        </w:r>
      </w:hyperlink>
      <w:r>
        <w:rPr>
          <w:rFonts w:ascii="Times New Roman" w:hAnsi="Times New Roman" w:cs="Times New Roman"/>
          <w:sz w:val="24"/>
          <w:szCs w:val="24"/>
        </w:rPr>
        <w:t>.</w:t>
      </w:r>
    </w:p>
    <w:p w14:paraId="47B352B6" w14:textId="77777777" w:rsidR="002E0E43" w:rsidRDefault="00E71494">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Bouzarovski, S., </w:t>
      </w:r>
      <w:r>
        <w:rPr>
          <w:rFonts w:ascii="Times New Roman" w:hAnsi="Times New Roman" w:cs="Times New Roman"/>
          <w:sz w:val="24"/>
          <w:szCs w:val="24"/>
        </w:rPr>
        <w:t>&amp;</w:t>
      </w:r>
      <w:r>
        <w:rPr>
          <w:rFonts w:ascii="Times New Roman" w:hAnsi="Times New Roman" w:cs="Times New Roman"/>
          <w:bCs/>
          <w:sz w:val="24"/>
          <w:szCs w:val="24"/>
        </w:rPr>
        <w:t xml:space="preserve"> Herrero, S. T. (2017). The energy divide: Integrating energy transitions, regional inequalities and poverty trends in the European Union, </w:t>
      </w:r>
      <w:r>
        <w:rPr>
          <w:rFonts w:ascii="Times New Roman" w:hAnsi="Times New Roman" w:cs="Times New Roman"/>
          <w:i/>
          <w:sz w:val="24"/>
          <w:szCs w:val="24"/>
        </w:rPr>
        <w:t>European Urban and Regional Studies</w:t>
      </w:r>
      <w:r>
        <w:rPr>
          <w:rFonts w:ascii="Times New Roman" w:hAnsi="Times New Roman" w:cs="Times New Roman"/>
          <w:sz w:val="24"/>
          <w:szCs w:val="24"/>
        </w:rPr>
        <w:t xml:space="preserve">, 24(1);69–86. </w:t>
      </w:r>
      <w:r>
        <w:rPr>
          <w:rFonts w:ascii="Times New Roman" w:hAnsi="Times New Roman" w:cs="Times New Roman"/>
          <w:sz w:val="24"/>
          <w:szCs w:val="24"/>
          <w:u w:val="single"/>
        </w:rPr>
        <w:t>https://doi.org/10.1177/0969776415596449.</w:t>
      </w:r>
    </w:p>
    <w:p w14:paraId="4578DF2B" w14:textId="77777777" w:rsidR="002E0E43" w:rsidRDefault="002E0E43">
      <w:pPr>
        <w:autoSpaceDE w:val="0"/>
        <w:autoSpaceDN w:val="0"/>
        <w:adjustRightInd w:val="0"/>
        <w:spacing w:after="0" w:line="240" w:lineRule="auto"/>
        <w:rPr>
          <w:rFonts w:ascii="Times New Roman" w:hAnsi="Times New Roman" w:cs="Times New Roman"/>
          <w:sz w:val="24"/>
          <w:szCs w:val="24"/>
        </w:rPr>
      </w:pPr>
    </w:p>
    <w:p w14:paraId="4916404C" w14:textId="77777777" w:rsidR="002E0E43" w:rsidRDefault="00E71494">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Clark, I. K. H., Chun, S., O’Sullivan, K. C., &amp; Pierse, N. (2021). Energy poverty among tertiary students in Aotearoa New Zealand. Energies, 15(1), 76. </w:t>
      </w:r>
      <w:hyperlink r:id="rId14" w:history="1">
        <w:r>
          <w:rPr>
            <w:rStyle w:val="Hyperlink"/>
          </w:rPr>
          <w:t>https://doi.org/10.3390/en15010076</w:t>
        </w:r>
      </w:hyperlink>
    </w:p>
    <w:p w14:paraId="75AD8EFB" w14:textId="77777777" w:rsidR="002E0E43" w:rsidRDefault="00E71494">
      <w:pPr>
        <w:ind w:left="720" w:hanging="720"/>
        <w:rPr>
          <w:rFonts w:ascii="Times New Roman" w:hAnsi="Times New Roman" w:cs="Times New Roman"/>
          <w:sz w:val="24"/>
          <w:szCs w:val="24"/>
        </w:rPr>
      </w:pPr>
      <w:r>
        <w:rPr>
          <w:rFonts w:ascii="Times New Roman" w:hAnsi="Times New Roman" w:cs="Times New Roman"/>
          <w:sz w:val="24"/>
          <w:szCs w:val="24"/>
        </w:rPr>
        <w:t xml:space="preserve">European Economic and Social Committee (EESC) (2021). Conference on Energy poverty at the crossroads of the European Pillar of Social Rights and the European Green Deal. </w:t>
      </w:r>
      <w:hyperlink r:id="rId15" w:history="1">
        <w:r>
          <w:rPr>
            <w:rStyle w:val="Hyperlink"/>
            <w:rFonts w:ascii="Times New Roman" w:hAnsi="Times New Roman" w:cs="Times New Roman"/>
            <w:sz w:val="24"/>
            <w:szCs w:val="24"/>
          </w:rPr>
          <w:t>https://www.eesc.europa.eu/da/news-media/presentations/eesc-conference-energy-poverty-crossroads-european-pillar-social-rights-and-european-green-deal?utm</w:t>
        </w:r>
      </w:hyperlink>
      <w:r>
        <w:rPr>
          <w:rFonts w:ascii="Times New Roman" w:hAnsi="Times New Roman" w:cs="Times New Roman"/>
          <w:sz w:val="24"/>
          <w:szCs w:val="24"/>
        </w:rPr>
        <w:t>. https://doi.org/doi:10.2864/007537.</w:t>
      </w:r>
    </w:p>
    <w:p w14:paraId="1E531830" w14:textId="77777777" w:rsidR="002E0E43" w:rsidRDefault="00E71494">
      <w:pPr>
        <w:rPr>
          <w:rFonts w:ascii="Times New Roman" w:hAnsi="Times New Roman" w:cs="Times New Roman"/>
          <w:sz w:val="24"/>
          <w:szCs w:val="24"/>
        </w:rPr>
      </w:pPr>
      <w:r>
        <w:rPr>
          <w:rFonts w:ascii="Times New Roman" w:hAnsi="Times New Roman" w:cs="Times New Roman"/>
          <w:sz w:val="24"/>
          <w:szCs w:val="24"/>
        </w:rPr>
        <w:t>European Pillar of Social Rights (2021). A strong Social Europe for just transitions and recovery</w:t>
      </w:r>
    </w:p>
    <w:p w14:paraId="74D3BD94" w14:textId="77777777" w:rsidR="002E0E43" w:rsidRDefault="00E71494">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González-Eguino, M. (2015). Energy poverty: An overview. Renewable and Sustainable Energy Reviews, 47(2015);377–385.</w:t>
      </w:r>
    </w:p>
    <w:p w14:paraId="7A1CD64A" w14:textId="77777777" w:rsidR="002E0E43" w:rsidRDefault="002E0E43">
      <w:pPr>
        <w:autoSpaceDE w:val="0"/>
        <w:autoSpaceDN w:val="0"/>
        <w:adjustRightInd w:val="0"/>
        <w:spacing w:after="0" w:line="240" w:lineRule="auto"/>
        <w:ind w:left="720" w:hanging="720"/>
        <w:rPr>
          <w:rFonts w:ascii="Times New Roman" w:hAnsi="Times New Roman" w:cs="Times New Roman"/>
          <w:sz w:val="24"/>
          <w:szCs w:val="24"/>
        </w:rPr>
      </w:pPr>
    </w:p>
    <w:p w14:paraId="3F55DB14" w14:textId="77777777" w:rsidR="002E0E43" w:rsidRDefault="00E71494">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He, X., Khan, S., Ozturk, I., &amp; Murshed, M. (2022). The role of renewable energy investment in addressing climate change concerns: Environmental policies for achieving SDG 13. Sustainable Development.</w:t>
      </w:r>
    </w:p>
    <w:p w14:paraId="5BC27464" w14:textId="77777777" w:rsidR="002E0E43" w:rsidRDefault="00E71494">
      <w:pPr>
        <w:rPr>
          <w:rFonts w:ascii="Times New Roman" w:hAnsi="Times New Roman" w:cs="Times New Roman"/>
          <w:sz w:val="24"/>
          <w:szCs w:val="24"/>
        </w:rPr>
      </w:pPr>
      <w:r>
        <w:rPr>
          <w:rFonts w:ascii="Times New Roman" w:hAnsi="Times New Roman" w:cs="Times New Roman"/>
          <w:sz w:val="24"/>
          <w:szCs w:val="24"/>
        </w:rPr>
        <w:tab/>
      </w:r>
      <w:hyperlink r:id="rId16" w:history="1">
        <w:r>
          <w:rPr>
            <w:rStyle w:val="Hyperlink"/>
            <w:rFonts w:ascii="Times New Roman" w:hAnsi="Times New Roman" w:cs="Times New Roman"/>
            <w:color w:val="auto"/>
            <w:sz w:val="24"/>
            <w:szCs w:val="24"/>
          </w:rPr>
          <w:t>https://op.europa.eu/webpub/empl/european-pillar-of-social-rights/en/index.html?utm</w:t>
        </w:r>
      </w:hyperlink>
      <w:r>
        <w:rPr>
          <w:rFonts w:ascii="Times New Roman" w:hAnsi="Times New Roman" w:cs="Times New Roman"/>
          <w:sz w:val="24"/>
          <w:szCs w:val="24"/>
        </w:rPr>
        <w:t>.</w:t>
      </w:r>
    </w:p>
    <w:p w14:paraId="4DF81045" w14:textId="77777777" w:rsidR="002E0E43" w:rsidRDefault="00E71494">
      <w:pPr>
        <w:rPr>
          <w:rFonts w:ascii="Times New Roman" w:hAnsi="Times New Roman" w:cs="Times New Roman"/>
          <w:sz w:val="24"/>
          <w:szCs w:val="24"/>
        </w:rPr>
      </w:pPr>
      <w:r>
        <w:rPr>
          <w:rFonts w:ascii="Times New Roman" w:hAnsi="Times New Roman" w:cs="Times New Roman"/>
          <w:sz w:val="24"/>
          <w:szCs w:val="24"/>
        </w:rPr>
        <w:t xml:space="preserve">International Energy Agency (2019). World Energy Outlook. IEA Paris. </w:t>
      </w:r>
      <w:r>
        <w:rPr>
          <w:rFonts w:ascii="Times New Roman" w:hAnsi="Times New Roman" w:cs="Times New Roman"/>
          <w:sz w:val="24"/>
          <w:szCs w:val="24"/>
        </w:rPr>
        <w:tab/>
        <w:t>https://www.iea.org/reports/world-energy-outlook-2019.</w:t>
      </w:r>
    </w:p>
    <w:p w14:paraId="40950F24" w14:textId="77777777" w:rsidR="002E0E43" w:rsidRDefault="00E71494">
      <w:pPr>
        <w:pStyle w:val="Default"/>
        <w:ind w:left="720" w:hanging="720"/>
        <w:rPr>
          <w:bCs/>
          <w:color w:val="auto"/>
        </w:rPr>
      </w:pPr>
      <w:proofErr w:type="spellStart"/>
      <w:r>
        <w:rPr>
          <w:bCs/>
          <w:color w:val="auto"/>
        </w:rPr>
        <w:t>Khobai</w:t>
      </w:r>
      <w:proofErr w:type="spellEnd"/>
      <w:r>
        <w:rPr>
          <w:bCs/>
          <w:color w:val="auto"/>
        </w:rPr>
        <w:t xml:space="preserve">, H., </w:t>
      </w:r>
      <w:proofErr w:type="spellStart"/>
      <w:r>
        <w:rPr>
          <w:bCs/>
          <w:color w:val="auto"/>
        </w:rPr>
        <w:t>Kolisi</w:t>
      </w:r>
      <w:proofErr w:type="spellEnd"/>
      <w:r>
        <w:rPr>
          <w:bCs/>
          <w:color w:val="auto"/>
        </w:rPr>
        <w:t xml:space="preserve">, N., Moyo, C., </w:t>
      </w:r>
      <w:proofErr w:type="spellStart"/>
      <w:r>
        <w:rPr>
          <w:bCs/>
          <w:color w:val="auto"/>
        </w:rPr>
        <w:t>Anyikwa</w:t>
      </w:r>
      <w:proofErr w:type="spellEnd"/>
      <w:r>
        <w:rPr>
          <w:bCs/>
          <w:color w:val="auto"/>
        </w:rPr>
        <w:t xml:space="preserve">, I., </w:t>
      </w:r>
      <w:r>
        <w:rPr>
          <w:color w:val="auto"/>
        </w:rPr>
        <w:t xml:space="preserve">&amp; </w:t>
      </w:r>
      <w:proofErr w:type="spellStart"/>
      <w:r>
        <w:rPr>
          <w:bCs/>
          <w:color w:val="auto"/>
        </w:rPr>
        <w:t>Dingela</w:t>
      </w:r>
      <w:proofErr w:type="spellEnd"/>
      <w:r>
        <w:rPr>
          <w:bCs/>
          <w:color w:val="auto"/>
        </w:rPr>
        <w:t>, S. (2020). Renewable Energy Consumption and Unemployment in South Africa.</w:t>
      </w:r>
      <w:r>
        <w:rPr>
          <w:color w:val="auto"/>
        </w:rPr>
        <w:t xml:space="preserve"> </w:t>
      </w:r>
      <w:r>
        <w:rPr>
          <w:bCs/>
          <w:i/>
          <w:color w:val="auto"/>
        </w:rPr>
        <w:t>International Journal of Energy Economics and Policy</w:t>
      </w:r>
      <w:r>
        <w:rPr>
          <w:bCs/>
          <w:color w:val="auto"/>
        </w:rPr>
        <w:t xml:space="preserve">, 10(2);170-178. </w:t>
      </w:r>
      <w:r>
        <w:t>https://www.econjournals.com/index.php/ijeep/article/view/6374.</w:t>
      </w:r>
    </w:p>
    <w:p w14:paraId="3172BD62" w14:textId="77777777" w:rsidR="002E0E43" w:rsidRDefault="002E0E43">
      <w:pPr>
        <w:pStyle w:val="Default"/>
        <w:ind w:left="720" w:hanging="720"/>
        <w:rPr>
          <w:bCs/>
          <w:color w:val="auto"/>
        </w:rPr>
      </w:pPr>
    </w:p>
    <w:p w14:paraId="19D82242" w14:textId="77777777" w:rsidR="002E0E43" w:rsidRDefault="00E71494">
      <w:pPr>
        <w:ind w:left="720" w:hanging="720"/>
        <w:rPr>
          <w:rFonts w:ascii="Times New Roman" w:hAnsi="Times New Roman" w:cs="Times New Roman"/>
          <w:sz w:val="24"/>
          <w:szCs w:val="24"/>
        </w:rPr>
      </w:pPr>
      <w:r>
        <w:rPr>
          <w:rFonts w:ascii="Times New Roman" w:hAnsi="Times New Roman" w:cs="Times New Roman"/>
          <w:bCs/>
          <w:sz w:val="24"/>
          <w:szCs w:val="24"/>
        </w:rPr>
        <w:t xml:space="preserve">Munro, P. G., Samarakoon, S., </w:t>
      </w:r>
      <w:r>
        <w:rPr>
          <w:rFonts w:ascii="Times New Roman" w:hAnsi="Times New Roman" w:cs="Times New Roman"/>
          <w:sz w:val="24"/>
          <w:szCs w:val="24"/>
        </w:rPr>
        <w:t>&amp;</w:t>
      </w:r>
      <w:r>
        <w:rPr>
          <w:rFonts w:ascii="Times New Roman" w:hAnsi="Times New Roman" w:cs="Times New Roman"/>
          <w:bCs/>
          <w:sz w:val="24"/>
          <w:szCs w:val="24"/>
        </w:rPr>
        <w:t xml:space="preserve"> Horst, G. A. (2020).</w:t>
      </w:r>
      <w:r>
        <w:rPr>
          <w:rFonts w:ascii="Times New Roman" w:hAnsi="Times New Roman" w:cs="Times New Roman"/>
          <w:b/>
          <w:bCs/>
          <w:sz w:val="24"/>
          <w:szCs w:val="24"/>
        </w:rPr>
        <w:t xml:space="preserve"> </w:t>
      </w:r>
      <w:r>
        <w:rPr>
          <w:rFonts w:ascii="Times New Roman" w:hAnsi="Times New Roman" w:cs="Times New Roman"/>
          <w:sz w:val="24"/>
          <w:szCs w:val="24"/>
        </w:rPr>
        <w:t>African energy poverty: a moving target. Environmental Research Letters,</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15 </w:t>
      </w:r>
      <w:r>
        <w:rPr>
          <w:rFonts w:ascii="Times New Roman" w:hAnsi="Times New Roman" w:cs="Times New Roman"/>
          <w:sz w:val="24"/>
          <w:szCs w:val="24"/>
        </w:rPr>
        <w:t xml:space="preserve">(2020);104059 </w:t>
      </w:r>
      <w:hyperlink r:id="rId17" w:history="1">
        <w:r>
          <w:rPr>
            <w:rStyle w:val="Hyperlink"/>
            <w:rFonts w:ascii="Times New Roman" w:hAnsi="Times New Roman" w:cs="Times New Roman"/>
            <w:color w:val="auto"/>
            <w:sz w:val="24"/>
            <w:szCs w:val="24"/>
          </w:rPr>
          <w:t>https://doi.org/10.1088/1748-9326/abaf1a</w:t>
        </w:r>
      </w:hyperlink>
      <w:r>
        <w:rPr>
          <w:rFonts w:ascii="Times New Roman" w:hAnsi="Times New Roman" w:cs="Times New Roman"/>
          <w:sz w:val="24"/>
          <w:szCs w:val="24"/>
        </w:rPr>
        <w:t>.</w:t>
      </w:r>
    </w:p>
    <w:p w14:paraId="13A706A9" w14:textId="77777777" w:rsidR="002E0E43" w:rsidRDefault="00E71494">
      <w:pPr>
        <w:ind w:left="720" w:hanging="720"/>
        <w:rPr>
          <w:rFonts w:ascii="Times New Roman" w:hAnsi="Times New Roman" w:cs="Times New Roman"/>
          <w:sz w:val="24"/>
          <w:szCs w:val="24"/>
        </w:rPr>
      </w:pPr>
      <w:r>
        <w:rPr>
          <w:rFonts w:ascii="Times New Roman" w:hAnsi="Times New Roman" w:cs="Times New Roman"/>
          <w:sz w:val="24"/>
          <w:szCs w:val="24"/>
        </w:rPr>
        <w:t xml:space="preserve">Nguyen, C.P., &amp; Su, T. D. (2022). The Influences of Government Spending on Energy poverty: Evidence from developing countries. Elsevier, 238 </w:t>
      </w:r>
      <w:r>
        <w:rPr>
          <w:rFonts w:ascii="Times New Roman" w:hAnsi="Times New Roman" w:cs="Times New Roman"/>
          <w:sz w:val="24"/>
          <w:szCs w:val="24"/>
          <w:u w:val="single"/>
        </w:rPr>
        <w:t>https://doi.org/10.1016/j.energy.2021.121785.</w:t>
      </w:r>
    </w:p>
    <w:p w14:paraId="09B73C38" w14:textId="77777777" w:rsidR="002E0E43" w:rsidRDefault="00E71494">
      <w:pPr>
        <w:rPr>
          <w:rStyle w:val="citation-doi"/>
          <w:rFonts w:ascii="Times New Roman" w:hAnsi="Times New Roman" w:cs="Times New Roman"/>
          <w:sz w:val="24"/>
          <w:szCs w:val="24"/>
          <w:u w:val="single"/>
        </w:rPr>
      </w:pPr>
      <w:r>
        <w:rPr>
          <w:rFonts w:ascii="Times New Roman" w:hAnsi="Times New Roman" w:cs="Times New Roman"/>
          <w:sz w:val="24"/>
          <w:szCs w:val="24"/>
        </w:rPr>
        <w:t xml:space="preserve">Nguyen, C.P., Suu, T.D., Bui, T.D., Dang, V.T.B., &amp; Nguyen, B.Q. (2021). The Financial </w:t>
      </w:r>
      <w:r>
        <w:rPr>
          <w:rFonts w:ascii="Times New Roman" w:hAnsi="Times New Roman" w:cs="Times New Roman"/>
          <w:sz w:val="24"/>
          <w:szCs w:val="24"/>
        </w:rPr>
        <w:tab/>
        <w:t xml:space="preserve">development and energy poverty: Global Evidence. Environmental Science Pollution </w:t>
      </w:r>
      <w:r>
        <w:rPr>
          <w:rFonts w:ascii="Times New Roman" w:hAnsi="Times New Roman" w:cs="Times New Roman"/>
          <w:sz w:val="24"/>
          <w:szCs w:val="24"/>
        </w:rPr>
        <w:tab/>
        <w:t xml:space="preserve">Research. 28(26), 35188 -35225. </w:t>
      </w:r>
      <w:r>
        <w:rPr>
          <w:rFonts w:ascii="Times New Roman" w:hAnsi="Times New Roman" w:cs="Times New Roman"/>
          <w:sz w:val="24"/>
          <w:szCs w:val="24"/>
          <w:u w:val="single"/>
        </w:rPr>
        <w:t>https://doi.org/</w:t>
      </w:r>
      <w:r>
        <w:rPr>
          <w:rStyle w:val="citation-doi"/>
          <w:rFonts w:ascii="Times New Roman" w:hAnsi="Times New Roman" w:cs="Times New Roman"/>
          <w:sz w:val="24"/>
          <w:szCs w:val="24"/>
          <w:u w:val="single"/>
        </w:rPr>
        <w:t>doi: 10.1007/s11356-021-13038-x.</w:t>
      </w:r>
    </w:p>
    <w:p w14:paraId="558DD402" w14:textId="77777777" w:rsidR="002E0E43" w:rsidRDefault="00E71494">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Nteegah</w:t>
      </w:r>
      <w:proofErr w:type="spellEnd"/>
      <w:r>
        <w:rPr>
          <w:rFonts w:ascii="Times New Roman" w:hAnsi="Times New Roman" w:cs="Times New Roman"/>
          <w:sz w:val="24"/>
          <w:szCs w:val="24"/>
        </w:rPr>
        <w:t xml:space="preserve">, A. &amp; Ihejirika, P. (2024). Does Energy Access Reduce Unemployment? An </w:t>
      </w:r>
      <w:r>
        <w:rPr>
          <w:rFonts w:ascii="Times New Roman" w:hAnsi="Times New Roman" w:cs="Times New Roman"/>
          <w:sz w:val="24"/>
          <w:szCs w:val="24"/>
        </w:rPr>
        <w:tab/>
        <w:t xml:space="preserve">Empirical Evidence from Nigeria. International Journal of Research and Innovation in </w:t>
      </w:r>
      <w:r>
        <w:rPr>
          <w:rFonts w:ascii="Times New Roman" w:hAnsi="Times New Roman" w:cs="Times New Roman"/>
          <w:sz w:val="24"/>
          <w:szCs w:val="24"/>
        </w:rPr>
        <w:tab/>
        <w:t xml:space="preserve">Social Science (IJRISS), 8(12), 868-880. </w:t>
      </w:r>
      <w:r>
        <w:rPr>
          <w:rFonts w:ascii="Times New Roman" w:hAnsi="Times New Roman" w:cs="Times New Roman"/>
          <w:sz w:val="24"/>
          <w:szCs w:val="24"/>
        </w:rPr>
        <w:tab/>
        <w:t>https://doi.org/https://dx.doi.org/10.47772/IJRISS.2024.8120072.</w:t>
      </w:r>
    </w:p>
    <w:p w14:paraId="3D0B3C40" w14:textId="77777777" w:rsidR="002E0E43" w:rsidRDefault="00E71494">
      <w:pPr>
        <w:autoSpaceDE w:val="0"/>
        <w:autoSpaceDN w:val="0"/>
        <w:adjustRightInd w:val="0"/>
        <w:spacing w:after="0" w:line="240" w:lineRule="auto"/>
        <w:ind w:left="720" w:hanging="720"/>
        <w:rPr>
          <w:rFonts w:ascii="Times New Roman" w:hAnsi="Times New Roman" w:cs="Times New Roman"/>
          <w:bCs/>
          <w:sz w:val="24"/>
          <w:szCs w:val="24"/>
        </w:rPr>
      </w:pPr>
      <w:proofErr w:type="spellStart"/>
      <w:r>
        <w:rPr>
          <w:rFonts w:ascii="Times New Roman" w:hAnsi="Times New Roman" w:cs="Times New Roman"/>
          <w:sz w:val="24"/>
          <w:szCs w:val="24"/>
        </w:rPr>
        <w:t>Popirlan</w:t>
      </w:r>
      <w:proofErr w:type="spellEnd"/>
      <w:r>
        <w:rPr>
          <w:rFonts w:ascii="Times New Roman" w:hAnsi="Times New Roman" w:cs="Times New Roman"/>
          <w:sz w:val="24"/>
          <w:szCs w:val="24"/>
        </w:rPr>
        <w:t xml:space="preserve">, C. I., Tudor, I. V., &amp; </w:t>
      </w:r>
      <w:proofErr w:type="spellStart"/>
      <w:r>
        <w:rPr>
          <w:rFonts w:ascii="Times New Roman" w:hAnsi="Times New Roman" w:cs="Times New Roman"/>
          <w:sz w:val="24"/>
          <w:szCs w:val="24"/>
        </w:rPr>
        <w:t>Popirlan</w:t>
      </w:r>
      <w:proofErr w:type="spellEnd"/>
      <w:r>
        <w:rPr>
          <w:rFonts w:ascii="Times New Roman" w:hAnsi="Times New Roman" w:cs="Times New Roman"/>
          <w:sz w:val="24"/>
          <w:szCs w:val="24"/>
        </w:rPr>
        <w:t xml:space="preserve">, C. (2023). Predicting the unemployment rate and energy poverty levels in selected European Union countries using an ARIMA-ARNN model. </w:t>
      </w:r>
      <w:proofErr w:type="spellStart"/>
      <w:r>
        <w:rPr>
          <w:rFonts w:ascii="Times New Roman" w:hAnsi="Times New Roman" w:cs="Times New Roman"/>
          <w:bCs/>
          <w:i/>
          <w:iCs/>
          <w:sz w:val="24"/>
          <w:szCs w:val="24"/>
        </w:rPr>
        <w:t>PeerJ</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Comput</w:t>
      </w:r>
      <w:proofErr w:type="spellEnd"/>
      <w:r>
        <w:rPr>
          <w:rFonts w:ascii="Times New Roman" w:hAnsi="Times New Roman" w:cs="Times New Roman"/>
          <w:bCs/>
          <w:i/>
          <w:iCs/>
          <w:sz w:val="24"/>
          <w:szCs w:val="24"/>
        </w:rPr>
        <w:t>. Sci.</w:t>
      </w:r>
      <w:r>
        <w:rPr>
          <w:rFonts w:ascii="Times New Roman" w:hAnsi="Times New Roman" w:cs="Times New Roman"/>
          <w:bCs/>
          <w:sz w:val="24"/>
          <w:szCs w:val="24"/>
        </w:rPr>
        <w:t xml:space="preserve">,2(2023);1.18. </w:t>
      </w:r>
      <w:r>
        <w:rPr>
          <w:rFonts w:ascii="Times New Roman" w:hAnsi="Times New Roman" w:cs="Times New Roman"/>
          <w:sz w:val="24"/>
          <w:szCs w:val="24"/>
        </w:rPr>
        <w:t>https://doi.org/</w:t>
      </w:r>
      <w:r>
        <w:rPr>
          <w:rStyle w:val="citation-doi"/>
          <w:rFonts w:ascii="Times New Roman" w:hAnsi="Times New Roman" w:cs="Times New Roman"/>
          <w:sz w:val="24"/>
          <w:szCs w:val="24"/>
        </w:rPr>
        <w:t>doi:</w:t>
      </w:r>
      <w:r>
        <w:rPr>
          <w:rFonts w:ascii="Times New Roman" w:hAnsi="Times New Roman" w:cs="Times New Roman"/>
          <w:bCs/>
          <w:sz w:val="24"/>
          <w:szCs w:val="24"/>
        </w:rPr>
        <w:t xml:space="preserve"> 10.7717/peerj-cs.1464.</w:t>
      </w:r>
    </w:p>
    <w:p w14:paraId="73132FD3" w14:textId="77777777" w:rsidR="002E0E43" w:rsidRDefault="002E0E43">
      <w:pPr>
        <w:autoSpaceDE w:val="0"/>
        <w:autoSpaceDN w:val="0"/>
        <w:adjustRightInd w:val="0"/>
        <w:spacing w:after="0" w:line="240" w:lineRule="auto"/>
        <w:ind w:left="720" w:hanging="720"/>
        <w:rPr>
          <w:rFonts w:ascii="Times New Roman" w:hAnsi="Times New Roman" w:cs="Times New Roman"/>
          <w:bCs/>
          <w:sz w:val="24"/>
          <w:szCs w:val="24"/>
        </w:rPr>
      </w:pPr>
    </w:p>
    <w:p w14:paraId="421EA3EB" w14:textId="77777777" w:rsidR="002E0E43" w:rsidRDefault="00E71494">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Rodriguez-Alvarez, A., Llorca, M., &amp; Jamas, T. (2021). Alleviating energy poverty in Europe: Front-runners and laggards. </w:t>
      </w:r>
      <w:r>
        <w:rPr>
          <w:rFonts w:ascii="Times New Roman" w:hAnsi="Times New Roman" w:cs="Times New Roman"/>
          <w:i/>
          <w:sz w:val="24"/>
          <w:szCs w:val="24"/>
        </w:rPr>
        <w:t xml:space="preserve">Elsevier, journal homepage: </w:t>
      </w:r>
      <w:hyperlink r:id="rId18" w:history="1">
        <w:r>
          <w:rPr>
            <w:rStyle w:val="Hyperlink"/>
            <w:rFonts w:ascii="Times New Roman" w:hAnsi="Times New Roman" w:cs="Times New Roman"/>
            <w:i/>
            <w:color w:val="auto"/>
            <w:sz w:val="24"/>
            <w:szCs w:val="24"/>
          </w:rPr>
          <w:t>www.elsevier.com/locate/eneeco</w:t>
        </w:r>
      </w:hyperlink>
      <w:r>
        <w:rPr>
          <w:rFonts w:ascii="Times New Roman" w:hAnsi="Times New Roman" w:cs="Times New Roman"/>
          <w:sz w:val="24"/>
          <w:szCs w:val="24"/>
        </w:rPr>
        <w:t xml:space="preserve">,103 (2021);105575. </w:t>
      </w:r>
    </w:p>
    <w:p w14:paraId="2C83485D" w14:textId="77777777" w:rsidR="002E0E43" w:rsidRDefault="002E0E43">
      <w:pPr>
        <w:autoSpaceDE w:val="0"/>
        <w:autoSpaceDN w:val="0"/>
        <w:adjustRightInd w:val="0"/>
        <w:spacing w:after="0" w:line="240" w:lineRule="auto"/>
        <w:ind w:left="720" w:hanging="720"/>
        <w:rPr>
          <w:rFonts w:ascii="Times New Roman" w:hAnsi="Times New Roman" w:cs="Times New Roman"/>
          <w:sz w:val="24"/>
          <w:szCs w:val="24"/>
        </w:rPr>
      </w:pPr>
    </w:p>
    <w:p w14:paraId="437BD108" w14:textId="77777777" w:rsidR="002E0E43" w:rsidRDefault="00E71494">
      <w:pPr>
        <w:autoSpaceDE w:val="0"/>
        <w:autoSpaceDN w:val="0"/>
        <w:adjustRightInd w:val="0"/>
        <w:spacing w:after="0" w:line="240" w:lineRule="auto"/>
        <w:ind w:left="720" w:hanging="720"/>
        <w:rPr>
          <w:rFonts w:ascii="Times New Roman" w:hAnsi="Times New Roman" w:cs="Times New Roman"/>
          <w:i/>
          <w:sz w:val="24"/>
          <w:szCs w:val="24"/>
          <w:u w:val="single"/>
        </w:rPr>
      </w:pPr>
      <w:proofErr w:type="spellStart"/>
      <w:r>
        <w:rPr>
          <w:rFonts w:ascii="Times New Roman" w:hAnsi="Times New Roman" w:cs="Times New Roman"/>
          <w:sz w:val="24"/>
          <w:szCs w:val="24"/>
        </w:rPr>
        <w:t>Uzoechina</w:t>
      </w:r>
      <w:proofErr w:type="spellEnd"/>
      <w:r>
        <w:rPr>
          <w:rFonts w:ascii="Times New Roman" w:hAnsi="Times New Roman" w:cs="Times New Roman"/>
          <w:sz w:val="24"/>
          <w:szCs w:val="24"/>
        </w:rPr>
        <w:t xml:space="preserve">, B.I., </w:t>
      </w:r>
      <w:proofErr w:type="spellStart"/>
      <w:r>
        <w:rPr>
          <w:rFonts w:ascii="Times New Roman" w:hAnsi="Times New Roman" w:cs="Times New Roman"/>
          <w:sz w:val="24"/>
          <w:szCs w:val="24"/>
        </w:rPr>
        <w:t>Ezekwike</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Ekwoh</w:t>
      </w:r>
      <w:proofErr w:type="spellEnd"/>
      <w:r>
        <w:rPr>
          <w:rFonts w:ascii="Times New Roman" w:hAnsi="Times New Roman" w:cs="Times New Roman"/>
          <w:sz w:val="24"/>
          <w:szCs w:val="24"/>
        </w:rPr>
        <w:t xml:space="preserve">, G.A.,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E.A., </w:t>
      </w:r>
      <w:proofErr w:type="spellStart"/>
      <w:r>
        <w:rPr>
          <w:rFonts w:ascii="Times New Roman" w:hAnsi="Times New Roman" w:cs="Times New Roman"/>
          <w:sz w:val="24"/>
          <w:szCs w:val="24"/>
        </w:rPr>
        <w:t>Imoagwu</w:t>
      </w:r>
      <w:proofErr w:type="spellEnd"/>
      <w:r>
        <w:rPr>
          <w:rFonts w:ascii="Times New Roman" w:hAnsi="Times New Roman" w:cs="Times New Roman"/>
          <w:sz w:val="24"/>
          <w:szCs w:val="24"/>
        </w:rPr>
        <w:t>, P.C., &amp;</w:t>
      </w:r>
      <w:proofErr w:type="spellStart"/>
      <w:r>
        <w:rPr>
          <w:rFonts w:ascii="Times New Roman" w:hAnsi="Times New Roman" w:cs="Times New Roman"/>
          <w:sz w:val="24"/>
          <w:szCs w:val="24"/>
        </w:rPr>
        <w:t>Edeh</w:t>
      </w:r>
      <w:proofErr w:type="spellEnd"/>
      <w:r>
        <w:rPr>
          <w:rFonts w:ascii="Times New Roman" w:hAnsi="Times New Roman" w:cs="Times New Roman"/>
          <w:sz w:val="24"/>
          <w:szCs w:val="24"/>
        </w:rPr>
        <w:t xml:space="preserve">, J.N. (2024). Impact of Energy Consumption on Life expectancy in Lower-middle income West African countries. Global Health </w:t>
      </w:r>
      <w:proofErr w:type="spellStart"/>
      <w:r>
        <w:rPr>
          <w:rFonts w:ascii="Times New Roman" w:hAnsi="Times New Roman" w:cs="Times New Roman"/>
          <w:sz w:val="24"/>
          <w:szCs w:val="24"/>
        </w:rPr>
        <w:t>EconSustain</w:t>
      </w:r>
      <w:proofErr w:type="spellEnd"/>
      <w:r>
        <w:rPr>
          <w:rFonts w:ascii="Times New Roman" w:hAnsi="Times New Roman" w:cs="Times New Roman"/>
          <w:sz w:val="24"/>
          <w:szCs w:val="24"/>
        </w:rPr>
        <w:t xml:space="preserve">. </w:t>
      </w:r>
      <w:hyperlink r:id="rId19" w:history="1">
        <w:r>
          <w:rPr>
            <w:rStyle w:val="Hyperlink"/>
            <w:rFonts w:ascii="Times New Roman" w:hAnsi="Times New Roman" w:cs="Times New Roman"/>
            <w:i/>
            <w:sz w:val="24"/>
            <w:szCs w:val="24"/>
          </w:rPr>
          <w:t>https://doi.org/10.36922/ghes.3518</w:t>
        </w:r>
      </w:hyperlink>
      <w:r>
        <w:rPr>
          <w:rFonts w:ascii="Times New Roman" w:hAnsi="Times New Roman" w:cs="Times New Roman"/>
          <w:i/>
          <w:sz w:val="24"/>
          <w:szCs w:val="24"/>
          <w:u w:val="single"/>
        </w:rPr>
        <w:t>.</w:t>
      </w:r>
    </w:p>
    <w:p w14:paraId="000EF10F" w14:textId="77777777" w:rsidR="002E0E43" w:rsidRDefault="00E71494">
      <w:pPr>
        <w:rPr>
          <w:rFonts w:ascii="Times New Roman" w:hAnsi="Times New Roman" w:cs="Times New Roman"/>
          <w:sz w:val="24"/>
          <w:szCs w:val="24"/>
        </w:rPr>
      </w:pPr>
      <w:proofErr w:type="spellStart"/>
      <w:r>
        <w:rPr>
          <w:rFonts w:ascii="Times New Roman" w:hAnsi="Times New Roman" w:cs="Times New Roman"/>
          <w:sz w:val="24"/>
          <w:szCs w:val="24"/>
        </w:rPr>
        <w:t>Uzokwe</w:t>
      </w:r>
      <w:proofErr w:type="spellEnd"/>
      <w:r>
        <w:rPr>
          <w:rFonts w:ascii="Times New Roman" w:hAnsi="Times New Roman" w:cs="Times New Roman"/>
          <w:sz w:val="24"/>
          <w:szCs w:val="24"/>
        </w:rPr>
        <w:t xml:space="preserve">, A. E., </w:t>
      </w:r>
      <w:proofErr w:type="spellStart"/>
      <w:r>
        <w:rPr>
          <w:rFonts w:ascii="Times New Roman" w:hAnsi="Times New Roman" w:cs="Times New Roman"/>
          <w:sz w:val="24"/>
          <w:szCs w:val="24"/>
        </w:rPr>
        <w:t>Nteegah</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Orij</w:t>
      </w:r>
      <w:proofErr w:type="spellEnd"/>
      <w:r>
        <w:rPr>
          <w:rFonts w:ascii="Times New Roman" w:hAnsi="Times New Roman" w:cs="Times New Roman"/>
          <w:sz w:val="24"/>
          <w:szCs w:val="24"/>
        </w:rPr>
        <w:t xml:space="preserve">, B. (2025). Energy Consumption and Unemployment in </w:t>
      </w:r>
      <w:r>
        <w:rPr>
          <w:rFonts w:ascii="Times New Roman" w:hAnsi="Times New Roman" w:cs="Times New Roman"/>
          <w:sz w:val="24"/>
          <w:szCs w:val="24"/>
        </w:rPr>
        <w:tab/>
        <w:t xml:space="preserve">Nigeria: An Autoregressive Distributed Lag (ARDL) Investigation. International Journal </w:t>
      </w:r>
      <w:r>
        <w:rPr>
          <w:rFonts w:ascii="Times New Roman" w:hAnsi="Times New Roman" w:cs="Times New Roman"/>
          <w:sz w:val="24"/>
          <w:szCs w:val="24"/>
        </w:rPr>
        <w:tab/>
        <w:t xml:space="preserve">of Scientific Engineering and Science, 9(9), 76-83, 2025. </w:t>
      </w:r>
      <w:hyperlink r:id="rId20" w:history="1">
        <w:r>
          <w:rPr>
            <w:rStyle w:val="Hyperlink"/>
            <w:rFonts w:ascii="Times New Roman" w:hAnsi="Times New Roman" w:cs="Times New Roman"/>
            <w:sz w:val="24"/>
            <w:szCs w:val="24"/>
          </w:rPr>
          <w:t>https://ijses.com/wp-</w:t>
        </w:r>
      </w:hyperlink>
      <w:r>
        <w:rPr>
          <w:rFonts w:ascii="Times New Roman" w:hAnsi="Times New Roman" w:cs="Times New Roman"/>
          <w:sz w:val="24"/>
          <w:szCs w:val="24"/>
        </w:rPr>
        <w:tab/>
        <w:t>content/uploads/2025/10/70-IJSES-V9N9.</w:t>
      </w:r>
    </w:p>
    <w:p w14:paraId="5842750F" w14:textId="77777777" w:rsidR="002E0E43" w:rsidRDefault="002E0E43">
      <w:pPr>
        <w:autoSpaceDE w:val="0"/>
        <w:autoSpaceDN w:val="0"/>
        <w:adjustRightInd w:val="0"/>
        <w:spacing w:after="0" w:line="240" w:lineRule="auto"/>
        <w:ind w:left="720" w:hanging="720"/>
        <w:rPr>
          <w:rFonts w:ascii="Times New Roman" w:hAnsi="Times New Roman" w:cs="Times New Roman"/>
          <w:sz w:val="24"/>
          <w:szCs w:val="24"/>
        </w:rPr>
      </w:pPr>
    </w:p>
    <w:p w14:paraId="0891AB87" w14:textId="77777777" w:rsidR="002E0E43" w:rsidRDefault="00E71494">
      <w:pPr>
        <w:ind w:left="720" w:hanging="720"/>
        <w:rPr>
          <w:rFonts w:ascii="Times New Roman" w:hAnsi="Times New Roman" w:cs="Times New Roman"/>
          <w:sz w:val="24"/>
          <w:szCs w:val="24"/>
        </w:rPr>
      </w:pPr>
      <w:r>
        <w:rPr>
          <w:rFonts w:ascii="Times New Roman" w:hAnsi="Times New Roman" w:cs="Times New Roman"/>
          <w:sz w:val="24"/>
          <w:szCs w:val="24"/>
        </w:rPr>
        <w:t xml:space="preserve">World Bank (2023). Energy and Poverty: Myths, Links, and Policy Issues </w:t>
      </w:r>
      <w:r>
        <w:rPr>
          <w:rFonts w:ascii="Times New Roman" w:hAnsi="Times New Roman" w:cs="Times New Roman"/>
          <w:sz w:val="24"/>
          <w:szCs w:val="24"/>
        </w:rPr>
        <w:tab/>
        <w:t xml:space="preserve"> https://www.worldbank.org/en/topic/energy.pdf.  </w:t>
      </w:r>
    </w:p>
    <w:p w14:paraId="576E0A72" w14:textId="77777777" w:rsidR="002E0E43" w:rsidRDefault="002E0E43"/>
    <w:sectPr w:rsidR="002E0E4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F6944" w14:textId="77777777" w:rsidR="00AE14E0" w:rsidRDefault="00AE14E0">
      <w:pPr>
        <w:spacing w:line="240" w:lineRule="auto"/>
      </w:pPr>
      <w:r>
        <w:separator/>
      </w:r>
    </w:p>
  </w:endnote>
  <w:endnote w:type="continuationSeparator" w:id="0">
    <w:p w14:paraId="2A6CD01E" w14:textId="77777777" w:rsidR="00AE14E0" w:rsidRDefault="00AE1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IX-Regular2">
    <w:altName w:val="MS Gothic"/>
    <w:charset w:val="80"/>
    <w:family w:val="roman"/>
    <w:pitch w:val="default"/>
    <w:sig w:usb0="00000000" w:usb1="00000000" w:usb2="00000010" w:usb3="00000000" w:csb0="00020000" w:csb1="00000000"/>
  </w:font>
  <w:font w:name="TimesNewRoman">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B9A7" w14:textId="77777777" w:rsidR="002E0E43" w:rsidRDefault="002E0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4B2F" w14:textId="77777777" w:rsidR="002E0E43" w:rsidRDefault="002E0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D364" w14:textId="77777777" w:rsidR="002E0E43" w:rsidRDefault="002E0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B167A" w14:textId="77777777" w:rsidR="00AE14E0" w:rsidRDefault="00AE14E0">
      <w:pPr>
        <w:spacing w:after="0"/>
      </w:pPr>
      <w:r>
        <w:separator/>
      </w:r>
    </w:p>
  </w:footnote>
  <w:footnote w:type="continuationSeparator" w:id="0">
    <w:p w14:paraId="6CC93C54" w14:textId="77777777" w:rsidR="00AE14E0" w:rsidRDefault="00AE14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116F" w14:textId="77777777" w:rsidR="002E0E43" w:rsidRDefault="004F5FAD">
    <w:pPr>
      <w:pStyle w:val="Header"/>
    </w:pPr>
    <w:r>
      <w:pict w14:anchorId="7FDE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60" o:spid="_x0000_s1026"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DF59" w14:textId="77777777" w:rsidR="002E0E43" w:rsidRDefault="004F5FAD">
    <w:pPr>
      <w:pStyle w:val="Header"/>
    </w:pPr>
    <w:r>
      <w:pict w14:anchorId="229BC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61" o:spid="_x0000_s1027"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CB66" w14:textId="77777777" w:rsidR="002E0E43" w:rsidRDefault="004F5FAD">
    <w:pPr>
      <w:pStyle w:val="Header"/>
    </w:pPr>
    <w:r>
      <w:pict w14:anchorId="4DCCD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066859" o:spid="_x0000_s1025"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819E9"/>
    <w:multiLevelType w:val="multilevel"/>
    <w:tmpl w:val="3A9819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082507"/>
    <w:multiLevelType w:val="multilevel"/>
    <w:tmpl w:val="7808250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jU3MTY2tTQ0MLZQ0lEKTi0uzszPAykwqgUAry4rziwAAAA="/>
  </w:docVars>
  <w:rsids>
    <w:rsidRoot w:val="00725F61"/>
    <w:rsid w:val="000F5E60"/>
    <w:rsid w:val="001557F2"/>
    <w:rsid w:val="002273B5"/>
    <w:rsid w:val="002E0E43"/>
    <w:rsid w:val="00405734"/>
    <w:rsid w:val="004F5FAD"/>
    <w:rsid w:val="00684061"/>
    <w:rsid w:val="00725F61"/>
    <w:rsid w:val="00746A27"/>
    <w:rsid w:val="007C6F87"/>
    <w:rsid w:val="00871883"/>
    <w:rsid w:val="008B2F6E"/>
    <w:rsid w:val="009B7720"/>
    <w:rsid w:val="00AB4384"/>
    <w:rsid w:val="00AE14E0"/>
    <w:rsid w:val="00B530AC"/>
    <w:rsid w:val="00D72DC9"/>
    <w:rsid w:val="00DD36BA"/>
    <w:rsid w:val="00E71494"/>
    <w:rsid w:val="00E76489"/>
    <w:rsid w:val="00E816A3"/>
    <w:rsid w:val="00ED4679"/>
    <w:rsid w:val="1B5D283A"/>
    <w:rsid w:val="2A8B4156"/>
    <w:rsid w:val="421A5B81"/>
    <w:rsid w:val="44A83C31"/>
    <w:rsid w:val="46164278"/>
    <w:rsid w:val="55BF149D"/>
    <w:rsid w:val="67600C28"/>
    <w:rsid w:val="70C85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BDC"/>
  <w15:docId w15:val="{5AC2F14D-93B5-4BFF-AE3D-5F3DC68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itation-doi">
    <w:name w:val="citation-doi"/>
    <w:basedOn w:val="DefaultParagraphFon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en14102957?urlappend=%3Futm_source%3Dresearchgate.net%26medium%3Darticle" TargetMode="External"/><Relationship Id="rId18" Type="http://schemas.openxmlformats.org/officeDocument/2006/relationships/hyperlink" Target="http://www.elsevier.com/locate/eneeco"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7/s12053-023-10113-9" TargetMode="External"/><Relationship Id="rId17" Type="http://schemas.openxmlformats.org/officeDocument/2006/relationships/hyperlink" Target="https://doi.org/10.1088/1748-9326/abaf1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op.europa.eu/webpub/empl/european-pillar-of-social-rights/en/index.html?utm" TargetMode="External"/><Relationship Id="rId20" Type="http://schemas.openxmlformats.org/officeDocument/2006/relationships/hyperlink" Target="https://ijses.com/w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up.2022.10140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esc.europa.eu/da/news-media/presentations/eesc-conference-energy-poverty-crossroads-european-pillar-social-rights-and-european-green-deal?ut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36922/ghes.35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en1501007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6432</Words>
  <Characters>36668</Characters>
  <Application>Microsoft Office Word</Application>
  <DocSecurity>0</DocSecurity>
  <Lines>305</Lines>
  <Paragraphs>86</Paragraphs>
  <ScaleCrop>false</ScaleCrop>
  <Company/>
  <LinksUpToDate>false</LinksUpToDate>
  <CharactersWithSpaces>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14</cp:revision>
  <dcterms:created xsi:type="dcterms:W3CDTF">2025-11-21T19:09:00Z</dcterms:created>
  <dcterms:modified xsi:type="dcterms:W3CDTF">2026-04-18T06:37:00Z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FDA9525762584FDEB894F63B120FEB28_12</vt:lpwstr>
  </property>
</Properties>
</file>