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2799" w14:textId="642DA28D" w:rsidR="005D1768" w:rsidRDefault="005D1768" w:rsidP="005D1768">
      <w:pPr>
        <w:jc w:val="center"/>
        <w:rPr>
          <w:rFonts w:ascii="Times New Roman" w:hAnsi="Times New Roman" w:cs="Times New Roman"/>
          <w:b/>
          <w:sz w:val="28"/>
          <w:szCs w:val="24"/>
        </w:rPr>
      </w:pPr>
      <w:r w:rsidRPr="005D1768">
        <w:rPr>
          <w:rFonts w:ascii="Times New Roman" w:hAnsi="Times New Roman" w:cs="Times New Roman"/>
          <w:b/>
          <w:sz w:val="28"/>
          <w:szCs w:val="24"/>
        </w:rPr>
        <w:t>Employability Skills and Career Preparedness among College Students in Nagaland: An Empirical Study</w:t>
      </w:r>
    </w:p>
    <w:p w14:paraId="19A6943F" w14:textId="77777777" w:rsidR="001753FA" w:rsidRDefault="001753FA" w:rsidP="001753FA">
      <w:pPr>
        <w:shd w:val="clear" w:color="auto" w:fill="FFFFFF"/>
        <w:spacing w:after="0" w:line="235" w:lineRule="atLeast"/>
        <w:rPr>
          <w:rFonts w:ascii="Times New Roman" w:eastAsia="Times New Roman" w:hAnsi="Times New Roman" w:cs="Times New Roman"/>
          <w:b/>
          <w:bCs/>
          <w:color w:val="000000"/>
          <w:sz w:val="26"/>
          <w:szCs w:val="26"/>
        </w:rPr>
      </w:pPr>
    </w:p>
    <w:p w14:paraId="45C1EE8A" w14:textId="3BE8EC84" w:rsidR="005D1768" w:rsidRDefault="005D1768" w:rsidP="005D1768">
      <w:pPr>
        <w:jc w:val="center"/>
        <w:rPr>
          <w:rFonts w:ascii="Times New Roman" w:hAnsi="Times New Roman" w:cs="Times New Roman"/>
          <w:b/>
          <w:sz w:val="28"/>
          <w:szCs w:val="24"/>
        </w:rPr>
      </w:pPr>
    </w:p>
    <w:p w14:paraId="77A56734" w14:textId="6EF6A50C" w:rsidR="005D1768" w:rsidRPr="005D1768" w:rsidRDefault="005D1768" w:rsidP="005D1768">
      <w:pPr>
        <w:jc w:val="both"/>
        <w:rPr>
          <w:rFonts w:ascii="Times New Roman" w:hAnsi="Times New Roman" w:cs="Times New Roman"/>
          <w:b/>
          <w:sz w:val="24"/>
          <w:szCs w:val="24"/>
        </w:rPr>
      </w:pPr>
      <w:r w:rsidRPr="005D1768">
        <w:rPr>
          <w:rFonts w:ascii="Times New Roman" w:hAnsi="Times New Roman" w:cs="Times New Roman"/>
          <w:b/>
          <w:sz w:val="24"/>
          <w:szCs w:val="24"/>
        </w:rPr>
        <w:t>Abstract</w:t>
      </w:r>
    </w:p>
    <w:p w14:paraId="32DD6AD4" w14:textId="6EAE7A4E" w:rsidR="00450A15" w:rsidRPr="004B3B0A" w:rsidRDefault="004B3B0A" w:rsidP="00450A15">
      <w:pPr>
        <w:jc w:val="both"/>
        <w:rPr>
          <w:rFonts w:ascii="Times New Roman" w:hAnsi="Times New Roman" w:cs="Times New Roman"/>
          <w:sz w:val="24"/>
          <w:szCs w:val="24"/>
          <w:highlight w:val="yellow"/>
        </w:rPr>
      </w:pPr>
      <w:r w:rsidRPr="004B3B0A">
        <w:rPr>
          <w:rFonts w:ascii="Times New Roman" w:hAnsi="Times New Roman" w:cs="Times New Roman"/>
          <w:sz w:val="24"/>
          <w:szCs w:val="24"/>
          <w:highlight w:val="yellow"/>
        </w:rPr>
        <w:t xml:space="preserve">Concerns about students' employability skills and </w:t>
      </w:r>
      <w:r>
        <w:rPr>
          <w:rFonts w:ascii="Times New Roman" w:hAnsi="Times New Roman" w:cs="Times New Roman"/>
          <w:sz w:val="24"/>
          <w:szCs w:val="24"/>
          <w:highlight w:val="yellow"/>
        </w:rPr>
        <w:t xml:space="preserve">the </w:t>
      </w:r>
      <w:r w:rsidRPr="004B3B0A">
        <w:rPr>
          <w:rFonts w:ascii="Times New Roman" w:hAnsi="Times New Roman" w:cs="Times New Roman"/>
          <w:sz w:val="24"/>
          <w:szCs w:val="24"/>
          <w:highlight w:val="yellow"/>
        </w:rPr>
        <w:t xml:space="preserve">job readiness have been highlighted by the widening gap between the demands of the </w:t>
      </w:r>
      <w:proofErr w:type="spellStart"/>
      <w:r w:rsidRPr="004B3B0A">
        <w:rPr>
          <w:rFonts w:ascii="Times New Roman" w:hAnsi="Times New Roman" w:cs="Times New Roman"/>
          <w:sz w:val="24"/>
          <w:szCs w:val="24"/>
          <w:highlight w:val="yellow"/>
        </w:rPr>
        <w:t>labour</w:t>
      </w:r>
      <w:proofErr w:type="spellEnd"/>
      <w:r w:rsidRPr="004B3B0A">
        <w:rPr>
          <w:rFonts w:ascii="Times New Roman" w:hAnsi="Times New Roman" w:cs="Times New Roman"/>
          <w:sz w:val="24"/>
          <w:szCs w:val="24"/>
          <w:highlight w:val="yellow"/>
        </w:rPr>
        <w:t xml:space="preserve"> market and higher education, especially in developing nations. While earlier research has looked employability in general, little empirical study has looked at the connection between career readiness and employability abilities in situations that are particular to a certain region, like North-East India. The purpose of this study is to evaluate the employability skills and career readiness of Nagaland college students and investigate the correlation between these two factors</w:t>
      </w:r>
      <w:r w:rsidR="00450A15" w:rsidRPr="004B3B0A">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4B3B0A">
        <w:rPr>
          <w:rFonts w:ascii="Times New Roman" w:hAnsi="Times New Roman" w:cs="Times New Roman"/>
          <w:sz w:val="24"/>
          <w:szCs w:val="24"/>
          <w:highlight w:val="yellow"/>
        </w:rPr>
        <w:t xml:space="preserve">A structured questionnaire based on a 5-point Likert scale was used to gather </w:t>
      </w:r>
      <w:r>
        <w:rPr>
          <w:rFonts w:ascii="Times New Roman" w:hAnsi="Times New Roman" w:cs="Times New Roman"/>
          <w:sz w:val="24"/>
          <w:szCs w:val="24"/>
          <w:highlight w:val="yellow"/>
        </w:rPr>
        <w:t xml:space="preserve">the </w:t>
      </w:r>
      <w:r w:rsidRPr="004B3B0A">
        <w:rPr>
          <w:rFonts w:ascii="Times New Roman" w:hAnsi="Times New Roman" w:cs="Times New Roman"/>
          <w:sz w:val="24"/>
          <w:szCs w:val="24"/>
          <w:highlight w:val="yellow"/>
        </w:rPr>
        <w:t xml:space="preserve">primary data from 269 college students </w:t>
      </w:r>
      <w:proofErr w:type="spellStart"/>
      <w:r w:rsidRPr="004B3B0A">
        <w:rPr>
          <w:rFonts w:ascii="Times New Roman" w:hAnsi="Times New Roman" w:cs="Times New Roman"/>
          <w:sz w:val="24"/>
          <w:szCs w:val="24"/>
          <w:highlight w:val="yellow"/>
        </w:rPr>
        <w:t>utilising</w:t>
      </w:r>
      <w:proofErr w:type="spellEnd"/>
      <w:r w:rsidRPr="004B3B0A">
        <w:rPr>
          <w:rFonts w:ascii="Times New Roman" w:hAnsi="Times New Roman" w:cs="Times New Roman"/>
          <w:sz w:val="24"/>
          <w:szCs w:val="24"/>
          <w:highlight w:val="yellow"/>
        </w:rPr>
        <w:t xml:space="preserve"> a quantitative research approach. The data was </w:t>
      </w:r>
      <w:proofErr w:type="spellStart"/>
      <w:r w:rsidRPr="004B3B0A">
        <w:rPr>
          <w:rFonts w:ascii="Times New Roman" w:hAnsi="Times New Roman" w:cs="Times New Roman"/>
          <w:sz w:val="24"/>
          <w:szCs w:val="24"/>
          <w:highlight w:val="yellow"/>
        </w:rPr>
        <w:t>analysed</w:t>
      </w:r>
      <w:proofErr w:type="spellEnd"/>
      <w:r w:rsidRPr="004B3B0A">
        <w:rPr>
          <w:rFonts w:ascii="Times New Roman" w:hAnsi="Times New Roman" w:cs="Times New Roman"/>
          <w:sz w:val="24"/>
          <w:szCs w:val="24"/>
          <w:highlight w:val="yellow"/>
        </w:rPr>
        <w:t xml:space="preserve"> using Pearson's correlation analysis and descriptive statistics. The results show that students have a modest level of professional readiness (mean = 3.41) and employability abilities (mean = 3.47). Additionally, </w:t>
      </w:r>
      <w:r w:rsidR="002C45CF">
        <w:rPr>
          <w:rFonts w:ascii="Times New Roman" w:hAnsi="Times New Roman" w:cs="Times New Roman"/>
          <w:sz w:val="24"/>
          <w:szCs w:val="24"/>
          <w:highlight w:val="yellow"/>
        </w:rPr>
        <w:t xml:space="preserve">the </w:t>
      </w:r>
      <w:r w:rsidRPr="004B3B0A">
        <w:rPr>
          <w:rFonts w:ascii="Times New Roman" w:hAnsi="Times New Roman" w:cs="Times New Roman"/>
          <w:sz w:val="24"/>
          <w:szCs w:val="24"/>
          <w:highlight w:val="yellow"/>
        </w:rPr>
        <w:t>employability skills and career preparedness were shown to be positively and statistically significantly correlated (r = 0.64, p &lt; 0.01), indicating that stronger employability skills are linked to greater career readiness.</w:t>
      </w:r>
    </w:p>
    <w:p w14:paraId="71C64942" w14:textId="07CE98F4" w:rsidR="005D1768" w:rsidRPr="005D1768" w:rsidRDefault="00450A15" w:rsidP="00450A15">
      <w:pPr>
        <w:jc w:val="both"/>
        <w:rPr>
          <w:rFonts w:ascii="Times New Roman" w:hAnsi="Times New Roman" w:cs="Times New Roman"/>
          <w:sz w:val="24"/>
          <w:szCs w:val="24"/>
        </w:rPr>
      </w:pPr>
      <w:r w:rsidRPr="00450A15">
        <w:rPr>
          <w:rFonts w:ascii="Times New Roman" w:hAnsi="Times New Roman" w:cs="Times New Roman"/>
          <w:sz w:val="24"/>
          <w:szCs w:val="24"/>
          <w:highlight w:val="yellow"/>
        </w:rPr>
        <w:t>The study highlights importance of integrating skill-based learning, practical training, and career guidance initiatives within higher education to enhance students’ preparedness for</w:t>
      </w:r>
      <w:r w:rsidR="002C0A00">
        <w:rPr>
          <w:rFonts w:ascii="Times New Roman" w:hAnsi="Times New Roman" w:cs="Times New Roman"/>
          <w:sz w:val="24"/>
          <w:szCs w:val="24"/>
          <w:highlight w:val="yellow"/>
        </w:rPr>
        <w:t xml:space="preserve"> </w:t>
      </w:r>
      <w:proofErr w:type="spellStart"/>
      <w:r w:rsidRPr="00450A15">
        <w:rPr>
          <w:rFonts w:ascii="Times New Roman" w:hAnsi="Times New Roman" w:cs="Times New Roman"/>
          <w:sz w:val="24"/>
          <w:szCs w:val="24"/>
          <w:highlight w:val="yellow"/>
        </w:rPr>
        <w:t>labour</w:t>
      </w:r>
      <w:proofErr w:type="spellEnd"/>
      <w:r w:rsidRPr="00450A15">
        <w:rPr>
          <w:rFonts w:ascii="Times New Roman" w:hAnsi="Times New Roman" w:cs="Times New Roman"/>
          <w:sz w:val="24"/>
          <w:szCs w:val="24"/>
          <w:highlight w:val="yellow"/>
        </w:rPr>
        <w:t xml:space="preserve"> market. The findings provide useful </w:t>
      </w:r>
      <w:r w:rsidR="002C0A00">
        <w:rPr>
          <w:rFonts w:ascii="Times New Roman" w:hAnsi="Times New Roman" w:cs="Times New Roman"/>
          <w:sz w:val="24"/>
          <w:szCs w:val="24"/>
          <w:highlight w:val="yellow"/>
        </w:rPr>
        <w:t>learning</w:t>
      </w:r>
      <w:r w:rsidRPr="00450A15">
        <w:rPr>
          <w:rFonts w:ascii="Times New Roman" w:hAnsi="Times New Roman" w:cs="Times New Roman"/>
          <w:sz w:val="24"/>
          <w:szCs w:val="24"/>
          <w:highlight w:val="yellow"/>
        </w:rPr>
        <w:t xml:space="preserve"> for </w:t>
      </w:r>
      <w:r w:rsidR="002C0A00">
        <w:rPr>
          <w:rFonts w:ascii="Times New Roman" w:hAnsi="Times New Roman" w:cs="Times New Roman"/>
          <w:sz w:val="24"/>
          <w:szCs w:val="24"/>
          <w:highlight w:val="yellow"/>
        </w:rPr>
        <w:t xml:space="preserve">the </w:t>
      </w:r>
      <w:r w:rsidRPr="00450A15">
        <w:rPr>
          <w:rFonts w:ascii="Times New Roman" w:hAnsi="Times New Roman" w:cs="Times New Roman"/>
          <w:sz w:val="24"/>
          <w:szCs w:val="24"/>
          <w:highlight w:val="yellow"/>
        </w:rPr>
        <w:t>educators and policymakers in improving graduate employability in similar regional contexts.</w:t>
      </w:r>
    </w:p>
    <w:p w14:paraId="4EB54F5C" w14:textId="77777777" w:rsidR="005D1768" w:rsidRDefault="005D1768" w:rsidP="005D1768">
      <w:pPr>
        <w:jc w:val="both"/>
        <w:rPr>
          <w:rFonts w:ascii="Times New Roman" w:hAnsi="Times New Roman" w:cs="Times New Roman"/>
          <w:sz w:val="24"/>
          <w:szCs w:val="24"/>
        </w:rPr>
      </w:pPr>
    </w:p>
    <w:p w14:paraId="07EABA39" w14:textId="64189768" w:rsidR="005D1768" w:rsidRPr="005D1768" w:rsidRDefault="005D1768" w:rsidP="005D1768">
      <w:pPr>
        <w:jc w:val="both"/>
        <w:rPr>
          <w:rFonts w:ascii="Times New Roman" w:hAnsi="Times New Roman" w:cs="Times New Roman"/>
          <w:sz w:val="24"/>
          <w:szCs w:val="24"/>
        </w:rPr>
      </w:pPr>
      <w:r w:rsidRPr="00DF08B1">
        <w:rPr>
          <w:rFonts w:ascii="Times New Roman" w:hAnsi="Times New Roman" w:cs="Times New Roman"/>
          <w:b/>
          <w:sz w:val="24"/>
          <w:szCs w:val="24"/>
          <w:highlight w:val="yellow"/>
        </w:rPr>
        <w:t>Keywords:</w:t>
      </w:r>
      <w:r w:rsidRPr="00DF08B1">
        <w:rPr>
          <w:rFonts w:ascii="Times New Roman" w:hAnsi="Times New Roman" w:cs="Times New Roman"/>
          <w:sz w:val="24"/>
          <w:szCs w:val="24"/>
          <w:highlight w:val="yellow"/>
        </w:rPr>
        <w:t xml:space="preserve"> </w:t>
      </w:r>
      <w:r w:rsidR="00DF08B1" w:rsidRPr="00DF08B1">
        <w:rPr>
          <w:rFonts w:ascii="Times New Roman" w:hAnsi="Times New Roman" w:cs="Times New Roman"/>
          <w:sz w:val="24"/>
          <w:szCs w:val="24"/>
          <w:highlight w:val="yellow"/>
        </w:rPr>
        <w:t xml:space="preserve">Employability Skills, Career Preparedness, Higher Education, College Students, Skill Development, </w:t>
      </w:r>
      <w:proofErr w:type="spellStart"/>
      <w:r w:rsidR="00DF08B1" w:rsidRPr="00DF08B1">
        <w:rPr>
          <w:rFonts w:ascii="Times New Roman" w:hAnsi="Times New Roman" w:cs="Times New Roman"/>
          <w:sz w:val="24"/>
          <w:szCs w:val="24"/>
          <w:highlight w:val="yellow"/>
        </w:rPr>
        <w:t>Labour</w:t>
      </w:r>
      <w:proofErr w:type="spellEnd"/>
      <w:r w:rsidR="00DF08B1" w:rsidRPr="00DF08B1">
        <w:rPr>
          <w:rFonts w:ascii="Times New Roman" w:hAnsi="Times New Roman" w:cs="Times New Roman"/>
          <w:sz w:val="24"/>
          <w:szCs w:val="24"/>
          <w:highlight w:val="yellow"/>
        </w:rPr>
        <w:t xml:space="preserve"> Market Readiness, Pearson Correlation</w:t>
      </w:r>
    </w:p>
    <w:p w14:paraId="36A876C0" w14:textId="77777777" w:rsidR="005D1768" w:rsidRPr="005D1768" w:rsidRDefault="005D1768" w:rsidP="005D1768">
      <w:pPr>
        <w:jc w:val="both"/>
        <w:rPr>
          <w:rFonts w:ascii="Times New Roman" w:hAnsi="Times New Roman" w:cs="Times New Roman"/>
          <w:b/>
          <w:sz w:val="28"/>
          <w:szCs w:val="24"/>
        </w:rPr>
      </w:pPr>
    </w:p>
    <w:p w14:paraId="0059354C" w14:textId="7D75A9F5" w:rsidR="00AC4CE0" w:rsidRPr="00A71CA1"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 Introduction</w:t>
      </w:r>
    </w:p>
    <w:p w14:paraId="52CE1100" w14:textId="4A193CA5" w:rsidR="00726A46" w:rsidRDefault="00726A46" w:rsidP="00AC4CE0">
      <w:pPr>
        <w:jc w:val="both"/>
        <w:rPr>
          <w:rFonts w:ascii="Times New Roman" w:hAnsi="Times New Roman" w:cs="Times New Roman"/>
          <w:sz w:val="24"/>
          <w:szCs w:val="24"/>
        </w:rPr>
      </w:pPr>
      <w:r w:rsidRPr="002B74BA">
        <w:rPr>
          <w:rFonts w:ascii="Times New Roman" w:hAnsi="Times New Roman" w:cs="Times New Roman"/>
          <w:sz w:val="24"/>
          <w:szCs w:val="24"/>
          <w:highlight w:val="yellow"/>
        </w:rPr>
        <w:t xml:space="preserve">Globally, the transfer from higher education to the workforce has been a major concern, especially in developing nations where skill mismatch and graduate unemployment continue to be issues (Harvey, 2001; McQuaid &amp; Lindsay, 2005). Employers are placing more emphasis on transferable skills including communication, teamwork, problem-solving, flexibility, and decision-making, even if academic knowledge is still vital (Andrews &amp; Higson, 2008; Finch et al., 2013). These abilities, often known as employability skills, are essential for improving a person's capacity to find, fill, and keep a job in a cutthroat </w:t>
      </w:r>
      <w:proofErr w:type="spellStart"/>
      <w:r w:rsidRPr="002B74BA">
        <w:rPr>
          <w:rFonts w:ascii="Times New Roman" w:hAnsi="Times New Roman" w:cs="Times New Roman"/>
          <w:sz w:val="24"/>
          <w:szCs w:val="24"/>
          <w:highlight w:val="yellow"/>
        </w:rPr>
        <w:t>labour</w:t>
      </w:r>
      <w:proofErr w:type="spellEnd"/>
      <w:r w:rsidRPr="002B74BA">
        <w:rPr>
          <w:rFonts w:ascii="Times New Roman" w:hAnsi="Times New Roman" w:cs="Times New Roman"/>
          <w:sz w:val="24"/>
          <w:szCs w:val="24"/>
          <w:highlight w:val="yellow"/>
        </w:rPr>
        <w:t xml:space="preserve"> market (Fugate et al., 2004). Additionally, career preparation</w:t>
      </w:r>
      <w:r w:rsidR="002B74BA">
        <w:rPr>
          <w:rFonts w:ascii="Times New Roman" w:hAnsi="Times New Roman" w:cs="Times New Roman"/>
          <w:sz w:val="24"/>
          <w:szCs w:val="24"/>
          <w:highlight w:val="yellow"/>
        </w:rPr>
        <w:t xml:space="preserve">, </w:t>
      </w:r>
      <w:r w:rsidRPr="002B74BA">
        <w:rPr>
          <w:rFonts w:ascii="Times New Roman" w:hAnsi="Times New Roman" w:cs="Times New Roman"/>
          <w:sz w:val="24"/>
          <w:szCs w:val="24"/>
          <w:highlight w:val="yellow"/>
        </w:rPr>
        <w:t>which includes psychological preparedness, goal clarity, and flexibility in addition to understanding of professional opportunities</w:t>
      </w:r>
      <w:r w:rsidR="002B74BA">
        <w:rPr>
          <w:rFonts w:ascii="Times New Roman" w:hAnsi="Times New Roman" w:cs="Times New Roman"/>
          <w:sz w:val="24"/>
          <w:szCs w:val="24"/>
          <w:highlight w:val="yellow"/>
        </w:rPr>
        <w:t xml:space="preserve">, </w:t>
      </w:r>
      <w:r w:rsidRPr="002B74BA">
        <w:rPr>
          <w:rFonts w:ascii="Times New Roman" w:hAnsi="Times New Roman" w:cs="Times New Roman"/>
          <w:sz w:val="24"/>
          <w:szCs w:val="24"/>
          <w:highlight w:val="yellow"/>
        </w:rPr>
        <w:t>has become a crucial predictor of students' readiness to enter the industry (Tomlinson, 2012).</w:t>
      </w:r>
    </w:p>
    <w:p w14:paraId="00849322" w14:textId="77777777" w:rsidR="002B74BA" w:rsidRDefault="002B74BA" w:rsidP="00AC4CE0">
      <w:pPr>
        <w:jc w:val="both"/>
        <w:rPr>
          <w:rFonts w:ascii="Times New Roman" w:hAnsi="Times New Roman" w:cs="Times New Roman"/>
          <w:sz w:val="24"/>
          <w:szCs w:val="24"/>
        </w:rPr>
      </w:pPr>
      <w:r w:rsidRPr="002B74BA">
        <w:rPr>
          <w:rFonts w:ascii="Times New Roman" w:hAnsi="Times New Roman" w:cs="Times New Roman"/>
          <w:sz w:val="24"/>
          <w:szCs w:val="24"/>
          <w:highlight w:val="yellow"/>
        </w:rPr>
        <w:lastRenderedPageBreak/>
        <w:t xml:space="preserve">Even while employability is receiving more scholarly attention, few empirical </w:t>
      </w:r>
      <w:proofErr w:type="gramStart"/>
      <w:r w:rsidRPr="002B74BA">
        <w:rPr>
          <w:rFonts w:ascii="Times New Roman" w:hAnsi="Times New Roman" w:cs="Times New Roman"/>
          <w:sz w:val="24"/>
          <w:szCs w:val="24"/>
          <w:highlight w:val="yellow"/>
        </w:rPr>
        <w:t>research</w:t>
      </w:r>
      <w:proofErr w:type="gramEnd"/>
      <w:r w:rsidRPr="002B74BA">
        <w:rPr>
          <w:rFonts w:ascii="Times New Roman" w:hAnsi="Times New Roman" w:cs="Times New Roman"/>
          <w:sz w:val="24"/>
          <w:szCs w:val="24"/>
          <w:highlight w:val="yellow"/>
        </w:rPr>
        <w:t xml:space="preserve"> have looked at the connection between career readiness and employability skills in distinct regional settings, especially in North-East India. The majority of current research concentrates on larger populations or developed economies, frequently ignoring </w:t>
      </w:r>
      <w:proofErr w:type="spellStart"/>
      <w:r w:rsidRPr="002B74BA">
        <w:rPr>
          <w:rFonts w:ascii="Times New Roman" w:hAnsi="Times New Roman" w:cs="Times New Roman"/>
          <w:sz w:val="24"/>
          <w:szCs w:val="24"/>
          <w:highlight w:val="yellow"/>
        </w:rPr>
        <w:t>localised</w:t>
      </w:r>
      <w:proofErr w:type="spellEnd"/>
      <w:r w:rsidRPr="002B74BA">
        <w:rPr>
          <w:rFonts w:ascii="Times New Roman" w:hAnsi="Times New Roman" w:cs="Times New Roman"/>
          <w:sz w:val="24"/>
          <w:szCs w:val="24"/>
          <w:highlight w:val="yellow"/>
        </w:rPr>
        <w:t xml:space="preserve"> </w:t>
      </w:r>
      <w:proofErr w:type="spellStart"/>
      <w:r w:rsidRPr="002B74BA">
        <w:rPr>
          <w:rFonts w:ascii="Times New Roman" w:hAnsi="Times New Roman" w:cs="Times New Roman"/>
          <w:sz w:val="24"/>
          <w:szCs w:val="24"/>
          <w:highlight w:val="yellow"/>
        </w:rPr>
        <w:t>labour</w:t>
      </w:r>
      <w:proofErr w:type="spellEnd"/>
      <w:r w:rsidRPr="002B74BA">
        <w:rPr>
          <w:rFonts w:ascii="Times New Roman" w:hAnsi="Times New Roman" w:cs="Times New Roman"/>
          <w:sz w:val="24"/>
          <w:szCs w:val="24"/>
          <w:highlight w:val="yellow"/>
        </w:rPr>
        <w:t xml:space="preserve"> market and educational dynamics (Clarke, 2018; Jackson &amp; Tomlinson, 2020). There is a dearth of empirical data in Nagaland that evaluates job readiness and employability abilities at the same time, as well as how they relate to one another. In order to pinpoint flaws in the existing educational system and provide focused interventions that improve students' employability, it is imperative to close this gap.</w:t>
      </w:r>
    </w:p>
    <w:p w14:paraId="0331AC6B" w14:textId="36B60903" w:rsidR="00AC4CE0" w:rsidRPr="00AC4CE0"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1.1 Objectives of the Study</w:t>
      </w:r>
    </w:p>
    <w:p w14:paraId="392C8E7E" w14:textId="62EC21EF"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The study is guided by the following objectives:</w:t>
      </w:r>
    </w:p>
    <w:p w14:paraId="7D6342FF" w14:textId="17AE6A06" w:rsidR="00AC4CE0" w:rsidRPr="004E3C2E" w:rsidRDefault="00AC4CE0" w:rsidP="00AC4CE0">
      <w:pPr>
        <w:jc w:val="both"/>
        <w:rPr>
          <w:rFonts w:ascii="Times New Roman" w:hAnsi="Times New Roman" w:cs="Times New Roman"/>
          <w:sz w:val="24"/>
          <w:szCs w:val="24"/>
          <w:highlight w:val="yellow"/>
        </w:rPr>
      </w:pPr>
      <w:r w:rsidRPr="00AC4CE0">
        <w:rPr>
          <w:rFonts w:ascii="Times New Roman" w:hAnsi="Times New Roman" w:cs="Times New Roman"/>
          <w:sz w:val="24"/>
          <w:szCs w:val="24"/>
        </w:rPr>
        <w:t xml:space="preserve">1. </w:t>
      </w:r>
      <w:r w:rsidR="00E75725" w:rsidRPr="004E3C2E">
        <w:rPr>
          <w:rFonts w:ascii="Times New Roman" w:hAnsi="Times New Roman" w:cs="Times New Roman"/>
          <w:sz w:val="24"/>
          <w:szCs w:val="24"/>
          <w:highlight w:val="yellow"/>
        </w:rPr>
        <w:t>To examine the level of employability skills among college students in Nagaland.</w:t>
      </w:r>
    </w:p>
    <w:p w14:paraId="640E3EEC" w14:textId="27438F46" w:rsidR="00AC4CE0" w:rsidRPr="004E3C2E" w:rsidRDefault="00AC4CE0" w:rsidP="00AC4CE0">
      <w:pPr>
        <w:jc w:val="both"/>
        <w:rPr>
          <w:rFonts w:ascii="Times New Roman" w:hAnsi="Times New Roman" w:cs="Times New Roman"/>
          <w:sz w:val="24"/>
          <w:szCs w:val="24"/>
          <w:highlight w:val="yellow"/>
        </w:rPr>
      </w:pPr>
      <w:r w:rsidRPr="004E3C2E">
        <w:rPr>
          <w:rFonts w:ascii="Times New Roman" w:hAnsi="Times New Roman" w:cs="Times New Roman"/>
          <w:sz w:val="24"/>
          <w:szCs w:val="24"/>
          <w:highlight w:val="yellow"/>
        </w:rPr>
        <w:t xml:space="preserve">2. </w:t>
      </w:r>
      <w:r w:rsidR="004E3C2E" w:rsidRPr="004E3C2E">
        <w:rPr>
          <w:rFonts w:ascii="Times New Roman" w:hAnsi="Times New Roman" w:cs="Times New Roman"/>
          <w:sz w:val="24"/>
          <w:szCs w:val="24"/>
          <w:highlight w:val="yellow"/>
        </w:rPr>
        <w:t>To assess the level of career preparedness among college students in Nagaland</w:t>
      </w:r>
      <w:r w:rsidRPr="004E3C2E">
        <w:rPr>
          <w:rFonts w:ascii="Times New Roman" w:hAnsi="Times New Roman" w:cs="Times New Roman"/>
          <w:sz w:val="24"/>
          <w:szCs w:val="24"/>
          <w:highlight w:val="yellow"/>
        </w:rPr>
        <w:t xml:space="preserve">.  </w:t>
      </w:r>
    </w:p>
    <w:p w14:paraId="11AA139A" w14:textId="6EF0CAC2" w:rsidR="00AC4CE0" w:rsidRPr="00AC4CE0" w:rsidRDefault="00AC4CE0" w:rsidP="00AC4CE0">
      <w:pPr>
        <w:jc w:val="both"/>
        <w:rPr>
          <w:rFonts w:ascii="Times New Roman" w:hAnsi="Times New Roman" w:cs="Times New Roman"/>
          <w:sz w:val="24"/>
          <w:szCs w:val="24"/>
        </w:rPr>
      </w:pPr>
      <w:r w:rsidRPr="004E3C2E">
        <w:rPr>
          <w:rFonts w:ascii="Times New Roman" w:hAnsi="Times New Roman" w:cs="Times New Roman"/>
          <w:sz w:val="24"/>
          <w:szCs w:val="24"/>
          <w:highlight w:val="yellow"/>
        </w:rPr>
        <w:t xml:space="preserve">3. </w:t>
      </w:r>
      <w:r w:rsidR="004E3C2E" w:rsidRPr="004E3C2E">
        <w:rPr>
          <w:rFonts w:ascii="Times New Roman" w:hAnsi="Times New Roman" w:cs="Times New Roman"/>
          <w:sz w:val="24"/>
          <w:szCs w:val="24"/>
          <w:highlight w:val="yellow"/>
        </w:rPr>
        <w:t>To analyze the relationship between employability skills and career preparedness among college students</w:t>
      </w:r>
      <w:r w:rsidRPr="004E3C2E">
        <w:rPr>
          <w:rFonts w:ascii="Times New Roman" w:hAnsi="Times New Roman" w:cs="Times New Roman"/>
          <w:sz w:val="24"/>
          <w:szCs w:val="24"/>
          <w:highlight w:val="yellow"/>
        </w:rPr>
        <w:t>.</w:t>
      </w:r>
      <w:r w:rsidRPr="00AC4CE0">
        <w:rPr>
          <w:rFonts w:ascii="Times New Roman" w:hAnsi="Times New Roman" w:cs="Times New Roman"/>
          <w:sz w:val="24"/>
          <w:szCs w:val="24"/>
        </w:rPr>
        <w:t xml:space="preserve">  </w:t>
      </w:r>
    </w:p>
    <w:p w14:paraId="155B28E1" w14:textId="17DEBA06" w:rsidR="00AC4CE0" w:rsidRPr="00AC4CE0" w:rsidRDefault="00AC4CE0" w:rsidP="00AC4CE0">
      <w:pPr>
        <w:jc w:val="both"/>
        <w:rPr>
          <w:rFonts w:ascii="Times New Roman" w:hAnsi="Times New Roman" w:cs="Times New Roman"/>
          <w:b/>
          <w:sz w:val="24"/>
          <w:szCs w:val="24"/>
        </w:rPr>
      </w:pPr>
      <w:r w:rsidRPr="00AC4CE0">
        <w:rPr>
          <w:rFonts w:ascii="Times New Roman" w:hAnsi="Times New Roman" w:cs="Times New Roman"/>
          <w:b/>
          <w:sz w:val="24"/>
          <w:szCs w:val="24"/>
        </w:rPr>
        <w:t>1.2 Hypothesis of the Study</w:t>
      </w:r>
    </w:p>
    <w:p w14:paraId="46814714" w14:textId="471212A7" w:rsidR="00AC4CE0" w:rsidRPr="00AC4CE0" w:rsidRDefault="00AC4CE0" w:rsidP="00AC4CE0">
      <w:pPr>
        <w:jc w:val="both"/>
        <w:rPr>
          <w:rFonts w:ascii="Times New Roman" w:hAnsi="Times New Roman" w:cs="Times New Roman"/>
          <w:sz w:val="24"/>
          <w:szCs w:val="24"/>
        </w:rPr>
      </w:pPr>
      <w:r w:rsidRPr="00AC4CE0">
        <w:rPr>
          <w:rFonts w:ascii="Times New Roman" w:hAnsi="Times New Roman" w:cs="Times New Roman"/>
          <w:sz w:val="24"/>
          <w:szCs w:val="24"/>
        </w:rPr>
        <w:t>Based on the objectives of the study, the following hypothesis is formulated:</w:t>
      </w:r>
    </w:p>
    <w:p w14:paraId="0DD529ED" w14:textId="4DBFE47C" w:rsidR="00AC4CE0" w:rsidRPr="004E3C2E" w:rsidRDefault="00AC4CE0" w:rsidP="00AC4CE0">
      <w:pPr>
        <w:jc w:val="both"/>
        <w:rPr>
          <w:rFonts w:ascii="Times New Roman" w:hAnsi="Times New Roman" w:cs="Times New Roman"/>
          <w:sz w:val="24"/>
          <w:szCs w:val="24"/>
          <w:highlight w:val="yellow"/>
        </w:rPr>
      </w:pPr>
      <w:r w:rsidRPr="004E3C2E">
        <w:rPr>
          <w:rFonts w:ascii="Times New Roman" w:hAnsi="Times New Roman" w:cs="Times New Roman"/>
          <w:sz w:val="24"/>
          <w:szCs w:val="24"/>
          <w:highlight w:val="yellow"/>
        </w:rPr>
        <w:t>H</w:t>
      </w:r>
      <w:r w:rsidRPr="004E3C2E">
        <w:rPr>
          <w:rFonts w:ascii="Times New Roman" w:hAnsi="Times New Roman" w:cs="Times New Roman"/>
          <w:sz w:val="24"/>
          <w:szCs w:val="24"/>
          <w:highlight w:val="yellow"/>
          <w:vertAlign w:val="subscript"/>
        </w:rPr>
        <w:t>0</w:t>
      </w:r>
      <w:r w:rsidRPr="004E3C2E">
        <w:rPr>
          <w:rFonts w:ascii="Times New Roman" w:hAnsi="Times New Roman" w:cs="Times New Roman"/>
          <w:sz w:val="24"/>
          <w:szCs w:val="24"/>
          <w:highlight w:val="yellow"/>
        </w:rPr>
        <w:t xml:space="preserve">: </w:t>
      </w:r>
      <w:r w:rsidR="004E3C2E" w:rsidRPr="004E3C2E">
        <w:rPr>
          <w:rFonts w:ascii="Times New Roman" w:hAnsi="Times New Roman" w:cs="Times New Roman"/>
          <w:sz w:val="24"/>
          <w:szCs w:val="24"/>
          <w:highlight w:val="yellow"/>
        </w:rPr>
        <w:t>There is no statistically significant relationship between employability skills and career preparedness among college students in Nagaland</w:t>
      </w:r>
      <w:r w:rsidRPr="004E3C2E">
        <w:rPr>
          <w:rFonts w:ascii="Times New Roman" w:hAnsi="Times New Roman" w:cs="Times New Roman"/>
          <w:sz w:val="24"/>
          <w:szCs w:val="24"/>
          <w:highlight w:val="yellow"/>
        </w:rPr>
        <w:t xml:space="preserve">.  </w:t>
      </w:r>
    </w:p>
    <w:p w14:paraId="677B4743" w14:textId="7B74B790" w:rsidR="00817102" w:rsidRPr="00AC4CE0" w:rsidRDefault="00AC4CE0" w:rsidP="00AC4CE0">
      <w:pPr>
        <w:jc w:val="both"/>
        <w:rPr>
          <w:rFonts w:ascii="Times New Roman" w:hAnsi="Times New Roman" w:cs="Times New Roman"/>
          <w:sz w:val="24"/>
          <w:szCs w:val="24"/>
        </w:rPr>
      </w:pPr>
      <w:r w:rsidRPr="004E3C2E">
        <w:rPr>
          <w:rFonts w:ascii="Times New Roman" w:hAnsi="Times New Roman" w:cs="Times New Roman"/>
          <w:sz w:val="24"/>
          <w:szCs w:val="24"/>
          <w:highlight w:val="yellow"/>
        </w:rPr>
        <w:t>H</w:t>
      </w:r>
      <w:r w:rsidRPr="004E3C2E">
        <w:rPr>
          <w:rFonts w:ascii="Times New Roman" w:hAnsi="Times New Roman" w:cs="Times New Roman"/>
          <w:sz w:val="24"/>
          <w:szCs w:val="24"/>
          <w:highlight w:val="yellow"/>
          <w:vertAlign w:val="subscript"/>
        </w:rPr>
        <w:t>1</w:t>
      </w:r>
      <w:r w:rsidRPr="004E3C2E">
        <w:rPr>
          <w:rFonts w:ascii="Times New Roman" w:hAnsi="Times New Roman" w:cs="Times New Roman"/>
          <w:sz w:val="24"/>
          <w:szCs w:val="24"/>
          <w:highlight w:val="yellow"/>
        </w:rPr>
        <w:t xml:space="preserve">: </w:t>
      </w:r>
      <w:r w:rsidR="004E3C2E" w:rsidRPr="004E3C2E">
        <w:rPr>
          <w:rFonts w:ascii="Times New Roman" w:hAnsi="Times New Roman" w:cs="Times New Roman"/>
          <w:sz w:val="24"/>
          <w:szCs w:val="24"/>
          <w:highlight w:val="yellow"/>
        </w:rPr>
        <w:t>There is a statistically significant relationship between employability skills and career preparedness among college students in Nagaland</w:t>
      </w:r>
      <w:r w:rsidRPr="004E3C2E">
        <w:rPr>
          <w:rFonts w:ascii="Times New Roman" w:hAnsi="Times New Roman" w:cs="Times New Roman"/>
          <w:sz w:val="24"/>
          <w:szCs w:val="24"/>
          <w:highlight w:val="yellow"/>
        </w:rPr>
        <w:t>.</w:t>
      </w:r>
      <w:r w:rsidRPr="00AC4CE0">
        <w:rPr>
          <w:rFonts w:ascii="Times New Roman" w:hAnsi="Times New Roman" w:cs="Times New Roman"/>
          <w:sz w:val="24"/>
          <w:szCs w:val="24"/>
        </w:rPr>
        <w:t xml:space="preserve">  </w:t>
      </w:r>
    </w:p>
    <w:p w14:paraId="1601D769" w14:textId="77777777" w:rsidR="00817102" w:rsidRDefault="00817102" w:rsidP="006F5ABE">
      <w:pPr>
        <w:jc w:val="both"/>
        <w:rPr>
          <w:rFonts w:ascii="Times New Roman" w:hAnsi="Times New Roman" w:cs="Times New Roman"/>
          <w:b/>
          <w:sz w:val="24"/>
          <w:szCs w:val="24"/>
        </w:rPr>
      </w:pPr>
    </w:p>
    <w:p w14:paraId="430C6196" w14:textId="1B2D6BAD"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 Literature Review</w:t>
      </w:r>
    </w:p>
    <w:p w14:paraId="5CF5B8F6" w14:textId="38889893"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2.1 Concept of Employability Skills</w:t>
      </w:r>
    </w:p>
    <w:p w14:paraId="0FE7BE52" w14:textId="33978CD5" w:rsidR="00D3163E" w:rsidRPr="00D3163E" w:rsidRDefault="00E153CA" w:rsidP="00D3163E">
      <w:pPr>
        <w:jc w:val="both"/>
        <w:rPr>
          <w:rFonts w:ascii="Times New Roman" w:hAnsi="Times New Roman" w:cs="Times New Roman"/>
          <w:sz w:val="24"/>
          <w:szCs w:val="24"/>
        </w:rPr>
      </w:pPr>
      <w:r w:rsidRPr="00E153CA">
        <w:rPr>
          <w:rFonts w:ascii="Times New Roman" w:hAnsi="Times New Roman" w:cs="Times New Roman"/>
          <w:sz w:val="24"/>
          <w:szCs w:val="24"/>
        </w:rPr>
        <w:t>Employability has been noted by various studies to go beyond mere capability to get a job. It is viewed as a complex concept which consists of a set of skills, character traits, and the ability to adjust that one needs to survive in a constantly changing labor market. Fugate, Kinicki, and Ashforth (2004) see employability as a psychological and social issue that comprises career identity, personal adaptability, and social and human capital, that is to say, people</w:t>
      </w:r>
      <w:r w:rsidR="006205F9">
        <w:rPr>
          <w:rFonts w:ascii="Times New Roman" w:hAnsi="Times New Roman" w:cs="Times New Roman"/>
          <w:sz w:val="24"/>
          <w:szCs w:val="24"/>
        </w:rPr>
        <w:t>’</w:t>
      </w:r>
      <w:r w:rsidRPr="00E153CA">
        <w:rPr>
          <w:rFonts w:ascii="Times New Roman" w:hAnsi="Times New Roman" w:cs="Times New Roman"/>
          <w:sz w:val="24"/>
          <w:szCs w:val="24"/>
        </w:rPr>
        <w:t>s potential to deal with changes in employment situations. On a wider scale, Harvey (2001) and McQuaid and Lindsay (2005) maintain that employability is also dependent on factors outside the individual such as the state of the labor market and support from institutions, which shows that it is not only determined by personal skills</w:t>
      </w:r>
      <w:r w:rsidR="00D3163E" w:rsidRPr="00D3163E">
        <w:rPr>
          <w:rFonts w:ascii="Times New Roman" w:hAnsi="Times New Roman" w:cs="Times New Roman"/>
          <w:sz w:val="24"/>
          <w:szCs w:val="24"/>
        </w:rPr>
        <w:t>.</w:t>
      </w:r>
    </w:p>
    <w:p w14:paraId="7DC826D2" w14:textId="695B0729" w:rsidR="00D3163E" w:rsidRPr="00D3163E" w:rsidRDefault="00B30D43" w:rsidP="00D3163E">
      <w:pPr>
        <w:jc w:val="both"/>
        <w:rPr>
          <w:rFonts w:ascii="Times New Roman" w:hAnsi="Times New Roman" w:cs="Times New Roman"/>
          <w:sz w:val="24"/>
          <w:szCs w:val="24"/>
        </w:rPr>
      </w:pPr>
      <w:r w:rsidRPr="00B30D43">
        <w:rPr>
          <w:rFonts w:ascii="Times New Roman" w:hAnsi="Times New Roman" w:cs="Times New Roman"/>
          <w:sz w:val="24"/>
          <w:szCs w:val="24"/>
        </w:rPr>
        <w:t xml:space="preserve">Supporting this multidimensional view of employability, several researchers focus on competence-based approaches. For instance, Van der Heijde and Van der Heijden (2006) argue that employability comprises a set of transferable skills like communication teamwork problem-solving adaptability along with the capability to implement one's knowledge. Moreover, </w:t>
      </w:r>
      <w:r w:rsidRPr="00B30D43">
        <w:rPr>
          <w:rFonts w:ascii="Times New Roman" w:hAnsi="Times New Roman" w:cs="Times New Roman"/>
          <w:sz w:val="24"/>
          <w:szCs w:val="24"/>
        </w:rPr>
        <w:lastRenderedPageBreak/>
        <w:t>Tomlinson (2012) notes that graduate employability is strongly associated with individuals</w:t>
      </w:r>
      <w:r w:rsidR="006205F9">
        <w:rPr>
          <w:rFonts w:ascii="Times New Roman" w:hAnsi="Times New Roman" w:cs="Times New Roman"/>
          <w:sz w:val="24"/>
          <w:szCs w:val="24"/>
        </w:rPr>
        <w:t>’</w:t>
      </w:r>
      <w:r w:rsidRPr="00B30D43">
        <w:rPr>
          <w:rFonts w:ascii="Times New Roman" w:hAnsi="Times New Roman" w:cs="Times New Roman"/>
          <w:sz w:val="24"/>
          <w:szCs w:val="24"/>
        </w:rPr>
        <w:t xml:space="preserve"> self-assessment of their labor market readiness, which includes their level of confidence, career awareness, and skills for managing career changes. Hence, employability skills basically entail a mix of knowledge, skills, and personality traits contributing to the individuals</w:t>
      </w:r>
      <w:r w:rsidR="006205F9">
        <w:rPr>
          <w:rFonts w:ascii="Times New Roman" w:hAnsi="Times New Roman" w:cs="Times New Roman"/>
          <w:sz w:val="24"/>
          <w:szCs w:val="24"/>
        </w:rPr>
        <w:t>’</w:t>
      </w:r>
      <w:r w:rsidRPr="00B30D43">
        <w:rPr>
          <w:rFonts w:ascii="Times New Roman" w:hAnsi="Times New Roman" w:cs="Times New Roman"/>
          <w:sz w:val="24"/>
          <w:szCs w:val="24"/>
        </w:rPr>
        <w:t xml:space="preserve"> capacity to obtain and retain jobs</w:t>
      </w:r>
      <w:r w:rsidR="00D3163E" w:rsidRPr="00D3163E">
        <w:rPr>
          <w:rFonts w:ascii="Times New Roman" w:hAnsi="Times New Roman" w:cs="Times New Roman"/>
          <w:sz w:val="24"/>
          <w:szCs w:val="24"/>
        </w:rPr>
        <w:t>.</w:t>
      </w:r>
    </w:p>
    <w:p w14:paraId="7536D6EA" w14:textId="412F24B4"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2.2 Employability Skills in Higher Education</w:t>
      </w:r>
    </w:p>
    <w:p w14:paraId="48713DA8" w14:textId="6A791A68" w:rsidR="00D3163E" w:rsidRPr="00D3163E"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 xml:space="preserve">Universities and colleges have an important part to play in teaching students how to be employable. According to Pool and Sewell (2007), apart from just teaching academic knowledge, universities should also give students skills which can be transferred to various jobs. Their </w:t>
      </w:r>
      <w:r w:rsidRPr="00891EF1">
        <w:rPr>
          <w:rFonts w:ascii="Times New Roman" w:hAnsi="Times New Roman" w:cs="Times New Roman"/>
          <w:sz w:val="24"/>
          <w:szCs w:val="24"/>
        </w:rPr>
        <w:t>Career</w:t>
      </w:r>
      <w:r w:rsidR="006205F9" w:rsidRPr="00891EF1">
        <w:rPr>
          <w:rFonts w:ascii="Times New Roman" w:hAnsi="Times New Roman" w:cs="Times New Roman"/>
          <w:sz w:val="24"/>
          <w:szCs w:val="24"/>
        </w:rPr>
        <w:t xml:space="preserve"> </w:t>
      </w:r>
      <w:r w:rsidRPr="00891EF1">
        <w:rPr>
          <w:rFonts w:ascii="Times New Roman" w:hAnsi="Times New Roman" w:cs="Times New Roman"/>
          <w:sz w:val="24"/>
          <w:szCs w:val="24"/>
        </w:rPr>
        <w:t>EDGE model</w:t>
      </w:r>
      <w:r w:rsidRPr="002876AF">
        <w:rPr>
          <w:rFonts w:ascii="Times New Roman" w:hAnsi="Times New Roman" w:cs="Times New Roman"/>
          <w:sz w:val="24"/>
          <w:szCs w:val="24"/>
        </w:rPr>
        <w:t xml:space="preserve"> proposes that a successful skill formation comes from the combination of the individual</w:t>
      </w:r>
      <w:r w:rsidR="006205F9">
        <w:rPr>
          <w:rFonts w:ascii="Times New Roman" w:hAnsi="Times New Roman" w:cs="Times New Roman"/>
          <w:sz w:val="24"/>
          <w:szCs w:val="24"/>
        </w:rPr>
        <w:t>’</w:t>
      </w:r>
      <w:r w:rsidRPr="002876AF">
        <w:rPr>
          <w:rFonts w:ascii="Times New Roman" w:hAnsi="Times New Roman" w:cs="Times New Roman"/>
          <w:sz w:val="24"/>
          <w:szCs w:val="24"/>
        </w:rPr>
        <w:t>s knowledge of the subject, generic skills, emotional intelligence, and career development learning. In the same way, Yorke and Knight (2007) highlight that employability should be a part of the curriculum and not a separate or additional element</w:t>
      </w:r>
      <w:r w:rsidR="00D3163E" w:rsidRPr="00D3163E">
        <w:rPr>
          <w:rFonts w:ascii="Times New Roman" w:hAnsi="Times New Roman" w:cs="Times New Roman"/>
          <w:sz w:val="24"/>
          <w:szCs w:val="24"/>
        </w:rPr>
        <w:t>.</w:t>
      </w:r>
    </w:p>
    <w:p w14:paraId="3976038E" w14:textId="4F6CE842" w:rsidR="00817102"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 xml:space="preserve">Besides knowledge and technical expertise, soft skills, including communication teamwork self-management, and adaptability, are highly valued by employers. Andrews and Higson (2008) pointed out that these skills are regarded as being on par or even exceeding the importance of technical skills or knowledge specific to a single discipline. </w:t>
      </w:r>
      <w:proofErr w:type="spellStart"/>
      <w:r w:rsidRPr="002876AF">
        <w:rPr>
          <w:rFonts w:ascii="Times New Roman" w:hAnsi="Times New Roman" w:cs="Times New Roman"/>
          <w:sz w:val="24"/>
          <w:szCs w:val="24"/>
        </w:rPr>
        <w:t>Bridgstock</w:t>
      </w:r>
      <w:proofErr w:type="spellEnd"/>
      <w:r w:rsidRPr="002876AF">
        <w:rPr>
          <w:rFonts w:ascii="Times New Roman" w:hAnsi="Times New Roman" w:cs="Times New Roman"/>
          <w:sz w:val="24"/>
          <w:szCs w:val="24"/>
        </w:rPr>
        <w:t xml:space="preserve"> (2009) emphasizes that career management skills such as planning, setting goals, and self-reflecting are the core ingredients to achieving success in one</w:t>
      </w:r>
      <w:r w:rsidR="006205F9">
        <w:rPr>
          <w:rFonts w:ascii="Times New Roman" w:hAnsi="Times New Roman" w:cs="Times New Roman"/>
          <w:sz w:val="24"/>
          <w:szCs w:val="24"/>
        </w:rPr>
        <w:t>’</w:t>
      </w:r>
      <w:r w:rsidRPr="002876AF">
        <w:rPr>
          <w:rFonts w:ascii="Times New Roman" w:hAnsi="Times New Roman" w:cs="Times New Roman"/>
          <w:sz w:val="24"/>
          <w:szCs w:val="24"/>
        </w:rPr>
        <w:t>s career over time. Clarke (2018) goes on to say that employability is not only the reflection of one</w:t>
      </w:r>
      <w:r w:rsidR="006205F9">
        <w:rPr>
          <w:rFonts w:ascii="Times New Roman" w:hAnsi="Times New Roman" w:cs="Times New Roman"/>
          <w:sz w:val="24"/>
          <w:szCs w:val="24"/>
        </w:rPr>
        <w:t>’</w:t>
      </w:r>
      <w:r w:rsidRPr="002876AF">
        <w:rPr>
          <w:rFonts w:ascii="Times New Roman" w:hAnsi="Times New Roman" w:cs="Times New Roman"/>
          <w:sz w:val="24"/>
          <w:szCs w:val="24"/>
        </w:rPr>
        <w:t>s abilities but it is also influenced by wider social factors and hence a comprehensive view of skills development throughout higher education is necessary. Continually, the literature reflects that acquiring employability skills should be at the core of the mission of the educational institutions and it is also vital for ramping up the students' employment readiness.</w:t>
      </w:r>
    </w:p>
    <w:p w14:paraId="132F95AE" w14:textId="77777777" w:rsidR="003D273E" w:rsidRDefault="003D273E" w:rsidP="00D3163E">
      <w:pPr>
        <w:jc w:val="both"/>
        <w:rPr>
          <w:rFonts w:ascii="Times New Roman" w:hAnsi="Times New Roman" w:cs="Times New Roman"/>
          <w:sz w:val="24"/>
          <w:szCs w:val="24"/>
        </w:rPr>
      </w:pPr>
      <w:r w:rsidRPr="003D273E">
        <w:rPr>
          <w:rFonts w:ascii="Times New Roman" w:hAnsi="Times New Roman" w:cs="Times New Roman"/>
          <w:sz w:val="24"/>
          <w:szCs w:val="24"/>
          <w:highlight w:val="yellow"/>
        </w:rPr>
        <w:t xml:space="preserve">Recent research </w:t>
      </w:r>
      <w:proofErr w:type="spellStart"/>
      <w:r w:rsidRPr="003D273E">
        <w:rPr>
          <w:rFonts w:ascii="Times New Roman" w:hAnsi="Times New Roman" w:cs="Times New Roman"/>
          <w:sz w:val="24"/>
          <w:szCs w:val="24"/>
          <w:highlight w:val="yellow"/>
        </w:rPr>
        <w:t>emphasises</w:t>
      </w:r>
      <w:proofErr w:type="spellEnd"/>
      <w:r w:rsidRPr="003D273E">
        <w:rPr>
          <w:rFonts w:ascii="Times New Roman" w:hAnsi="Times New Roman" w:cs="Times New Roman"/>
          <w:sz w:val="24"/>
          <w:szCs w:val="24"/>
          <w:highlight w:val="yellow"/>
        </w:rPr>
        <w:t xml:space="preserve"> the need of employability-focused interventions in higher education. According to a systematic review by </w:t>
      </w:r>
      <w:proofErr w:type="spellStart"/>
      <w:r w:rsidRPr="003D273E">
        <w:rPr>
          <w:rFonts w:ascii="Times New Roman" w:hAnsi="Times New Roman" w:cs="Times New Roman"/>
          <w:sz w:val="24"/>
          <w:szCs w:val="24"/>
          <w:highlight w:val="yellow"/>
        </w:rPr>
        <w:t>Scandurra</w:t>
      </w:r>
      <w:proofErr w:type="spellEnd"/>
      <w:r w:rsidRPr="003D273E">
        <w:rPr>
          <w:rFonts w:ascii="Times New Roman" w:hAnsi="Times New Roman" w:cs="Times New Roman"/>
          <w:sz w:val="24"/>
          <w:szCs w:val="24"/>
          <w:highlight w:val="yellow"/>
        </w:rPr>
        <w:t xml:space="preserve"> et al. (2024), employability initiatives are largely appreciated for increasing students' abilities and enabling </w:t>
      </w:r>
      <w:proofErr w:type="spellStart"/>
      <w:r w:rsidRPr="003D273E">
        <w:rPr>
          <w:rFonts w:ascii="Times New Roman" w:hAnsi="Times New Roman" w:cs="Times New Roman"/>
          <w:sz w:val="24"/>
          <w:szCs w:val="24"/>
          <w:highlight w:val="yellow"/>
        </w:rPr>
        <w:t>labour</w:t>
      </w:r>
      <w:proofErr w:type="spellEnd"/>
      <w:r w:rsidRPr="003D273E">
        <w:rPr>
          <w:rFonts w:ascii="Times New Roman" w:hAnsi="Times New Roman" w:cs="Times New Roman"/>
          <w:sz w:val="24"/>
          <w:szCs w:val="24"/>
          <w:highlight w:val="yellow"/>
        </w:rPr>
        <w:t xml:space="preserve"> market transition, however the evidence base is variable across intervention types. Similarly, </w:t>
      </w:r>
      <w:proofErr w:type="spellStart"/>
      <w:r w:rsidRPr="003D273E">
        <w:rPr>
          <w:rFonts w:ascii="Times New Roman" w:hAnsi="Times New Roman" w:cs="Times New Roman"/>
          <w:sz w:val="24"/>
          <w:szCs w:val="24"/>
          <w:highlight w:val="yellow"/>
        </w:rPr>
        <w:t>Barachino</w:t>
      </w:r>
      <w:proofErr w:type="spellEnd"/>
      <w:r w:rsidRPr="003D273E">
        <w:rPr>
          <w:rFonts w:ascii="Times New Roman" w:hAnsi="Times New Roman" w:cs="Times New Roman"/>
          <w:sz w:val="24"/>
          <w:szCs w:val="24"/>
          <w:highlight w:val="yellow"/>
        </w:rPr>
        <w:t xml:space="preserve"> et al. (2025) discovered that interventions that provide practical experience had the most beneficial effects on graduate employability, while tighter coordination among higher education institutions, companies, and policymakers is critical for improved outcomes. Furthermore, Tushar and </w:t>
      </w:r>
      <w:proofErr w:type="spellStart"/>
      <w:r w:rsidRPr="003D273E">
        <w:rPr>
          <w:rFonts w:ascii="Times New Roman" w:hAnsi="Times New Roman" w:cs="Times New Roman"/>
          <w:sz w:val="24"/>
          <w:szCs w:val="24"/>
          <w:highlight w:val="yellow"/>
        </w:rPr>
        <w:t>Sooraksa</w:t>
      </w:r>
      <w:proofErr w:type="spellEnd"/>
      <w:r w:rsidRPr="003D273E">
        <w:rPr>
          <w:rFonts w:ascii="Times New Roman" w:hAnsi="Times New Roman" w:cs="Times New Roman"/>
          <w:sz w:val="24"/>
          <w:szCs w:val="24"/>
          <w:highlight w:val="yellow"/>
        </w:rPr>
        <w:t xml:space="preserve"> (2023) </w:t>
      </w:r>
      <w:proofErr w:type="spellStart"/>
      <w:r w:rsidRPr="003D273E">
        <w:rPr>
          <w:rFonts w:ascii="Times New Roman" w:hAnsi="Times New Roman" w:cs="Times New Roman"/>
          <w:sz w:val="24"/>
          <w:szCs w:val="24"/>
          <w:highlight w:val="yellow"/>
        </w:rPr>
        <w:t>emphasise</w:t>
      </w:r>
      <w:proofErr w:type="spellEnd"/>
      <w:r w:rsidRPr="003D273E">
        <w:rPr>
          <w:rFonts w:ascii="Times New Roman" w:hAnsi="Times New Roman" w:cs="Times New Roman"/>
          <w:sz w:val="24"/>
          <w:szCs w:val="24"/>
          <w:highlight w:val="yellow"/>
        </w:rPr>
        <w:t xml:space="preserve"> a continuing gap between employer expectations and graduates' actual talents, notably in communication, cooperation, flexibility, and problem-solving. These studies give a more solid empirical foundation for investigating employability skills and career preparation in the current study.</w:t>
      </w:r>
    </w:p>
    <w:p w14:paraId="5ED1EDBE" w14:textId="769D7F75" w:rsid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2.3 Employability Skills and Career Preparedness</w:t>
      </w:r>
    </w:p>
    <w:p w14:paraId="1242223B" w14:textId="736FB573" w:rsidR="002876AF"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Increasingly, studies are revealing a close link between employability skills and student readiness for entering the labor market. According to Rothwell, Herbert and Rothwell (2008), students</w:t>
      </w:r>
      <w:r w:rsidR="006205F9">
        <w:rPr>
          <w:rFonts w:ascii="Times New Roman" w:hAnsi="Times New Roman" w:cs="Times New Roman"/>
          <w:sz w:val="24"/>
          <w:szCs w:val="24"/>
        </w:rPr>
        <w:t>’</w:t>
      </w:r>
      <w:r w:rsidRPr="002876AF">
        <w:rPr>
          <w:rFonts w:ascii="Times New Roman" w:hAnsi="Times New Roman" w:cs="Times New Roman"/>
          <w:sz w:val="24"/>
          <w:szCs w:val="24"/>
        </w:rPr>
        <w:t xml:space="preserve"> self-assurance in their skills is a major factor that colors their perception of employability. Likewise, Finch et al. (2013) demonstrated that skills like communication, teamwork and problem-solving </w:t>
      </w:r>
      <w:r w:rsidRPr="002876AF">
        <w:rPr>
          <w:rFonts w:ascii="Times New Roman" w:hAnsi="Times New Roman" w:cs="Times New Roman"/>
          <w:sz w:val="24"/>
          <w:szCs w:val="24"/>
        </w:rPr>
        <w:lastRenderedPageBreak/>
        <w:t>significantly impact students</w:t>
      </w:r>
      <w:r w:rsidR="006205F9">
        <w:rPr>
          <w:rFonts w:ascii="Times New Roman" w:hAnsi="Times New Roman" w:cs="Times New Roman"/>
          <w:sz w:val="24"/>
          <w:szCs w:val="24"/>
        </w:rPr>
        <w:t>’</w:t>
      </w:r>
      <w:r w:rsidRPr="002876AF">
        <w:rPr>
          <w:rFonts w:ascii="Times New Roman" w:hAnsi="Times New Roman" w:cs="Times New Roman"/>
          <w:sz w:val="24"/>
          <w:szCs w:val="24"/>
        </w:rPr>
        <w:t xml:space="preserve"> employability results. Hence, employability is not simply a matter of having the skills but also the proficiency in using them in actual situations.</w:t>
      </w:r>
    </w:p>
    <w:p w14:paraId="3B852E77" w14:textId="23D493DC" w:rsidR="002876AF" w:rsidRDefault="002876AF" w:rsidP="00D3163E">
      <w:pPr>
        <w:jc w:val="both"/>
        <w:rPr>
          <w:rFonts w:ascii="Times New Roman" w:hAnsi="Times New Roman" w:cs="Times New Roman"/>
          <w:sz w:val="24"/>
          <w:szCs w:val="24"/>
        </w:rPr>
      </w:pPr>
      <w:r w:rsidRPr="002876AF">
        <w:rPr>
          <w:rFonts w:ascii="Times New Roman" w:hAnsi="Times New Roman" w:cs="Times New Roman"/>
          <w:sz w:val="24"/>
          <w:szCs w:val="24"/>
        </w:rPr>
        <w:t>Research tries to understand employability in different ways, thanks to the skill acquisition of individuals, their position in social and institutional structures, and the constant skills development process (Holmes, 2013). One aspect of career preparedness identified by Holmes (2013) is the interplay of one</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s internal capabilities and external opportunities. Furthermore, according to </w:t>
      </w:r>
      <w:proofErr w:type="spellStart"/>
      <w:r w:rsidRPr="002876AF">
        <w:rPr>
          <w:rFonts w:ascii="Times New Roman" w:hAnsi="Times New Roman" w:cs="Times New Roman"/>
          <w:sz w:val="24"/>
          <w:szCs w:val="24"/>
        </w:rPr>
        <w:t>DacrePool</w:t>
      </w:r>
      <w:proofErr w:type="spellEnd"/>
      <w:r w:rsidRPr="002876AF">
        <w:rPr>
          <w:rFonts w:ascii="Times New Roman" w:hAnsi="Times New Roman" w:cs="Times New Roman"/>
          <w:sz w:val="24"/>
          <w:szCs w:val="24"/>
        </w:rPr>
        <w:t xml:space="preserve">, </w:t>
      </w:r>
      <w:proofErr w:type="spellStart"/>
      <w:r w:rsidRPr="002876AF">
        <w:rPr>
          <w:rFonts w:ascii="Times New Roman" w:hAnsi="Times New Roman" w:cs="Times New Roman"/>
          <w:sz w:val="24"/>
          <w:szCs w:val="24"/>
        </w:rPr>
        <w:t>Qualter</w:t>
      </w:r>
      <w:proofErr w:type="spellEnd"/>
      <w:r w:rsidRPr="002876AF">
        <w:rPr>
          <w:rFonts w:ascii="Times New Roman" w:hAnsi="Times New Roman" w:cs="Times New Roman"/>
          <w:sz w:val="24"/>
          <w:szCs w:val="24"/>
        </w:rPr>
        <w:t>, and Sewell (2014), emotional intelligence and reflective learning are two very important factors raising employability. Jackson and Tomlinson (2020) also find that students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employability perceptions can be greatly enhanced through proactive career planning and involvement in career development activities, especially in situations of uncertain labor markets. Wilton (2011), on the other hand, points to the fact that employability skills are among the main factors that lead graduates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success in getting a job. Summing up the findings from various sources, employability skills are evidently associated with career preparedness since they improve students</w:t>
      </w:r>
      <w:r w:rsidR="00E43B5B">
        <w:rPr>
          <w:rFonts w:ascii="Times New Roman" w:hAnsi="Times New Roman" w:cs="Times New Roman"/>
          <w:sz w:val="24"/>
          <w:szCs w:val="24"/>
        </w:rPr>
        <w:t>’</w:t>
      </w:r>
      <w:r w:rsidRPr="002876AF">
        <w:rPr>
          <w:rFonts w:ascii="Times New Roman" w:hAnsi="Times New Roman" w:cs="Times New Roman"/>
          <w:sz w:val="24"/>
          <w:szCs w:val="24"/>
        </w:rPr>
        <w:t xml:space="preserve"> confidence, flexibility, and capability of meeting the labor market demands.</w:t>
      </w:r>
    </w:p>
    <w:p w14:paraId="7413A427" w14:textId="75904A74" w:rsidR="00D3163E" w:rsidRPr="00D3163E" w:rsidRDefault="00D3163E" w:rsidP="00D3163E">
      <w:pPr>
        <w:jc w:val="both"/>
        <w:rPr>
          <w:rFonts w:ascii="Times New Roman" w:hAnsi="Times New Roman" w:cs="Times New Roman"/>
          <w:b/>
          <w:sz w:val="24"/>
          <w:szCs w:val="24"/>
        </w:rPr>
      </w:pPr>
      <w:r w:rsidRPr="00D3163E">
        <w:rPr>
          <w:rFonts w:ascii="Times New Roman" w:hAnsi="Times New Roman" w:cs="Times New Roman"/>
          <w:b/>
          <w:sz w:val="24"/>
          <w:szCs w:val="24"/>
        </w:rPr>
        <w:t>2.4 Research Gap</w:t>
      </w:r>
    </w:p>
    <w:p w14:paraId="68F0F5A2" w14:textId="6692DC57" w:rsidR="006B4B02" w:rsidRPr="00F33F9C" w:rsidRDefault="00F33F9C" w:rsidP="006F5ABE">
      <w:pPr>
        <w:jc w:val="both"/>
        <w:rPr>
          <w:rFonts w:ascii="Times New Roman" w:hAnsi="Times New Roman" w:cs="Times New Roman"/>
          <w:sz w:val="24"/>
          <w:szCs w:val="24"/>
          <w:highlight w:val="yellow"/>
        </w:rPr>
      </w:pPr>
      <w:r w:rsidRPr="00F33F9C">
        <w:rPr>
          <w:rFonts w:ascii="Times New Roman" w:hAnsi="Times New Roman" w:cs="Times New Roman"/>
          <w:sz w:val="24"/>
          <w:szCs w:val="24"/>
          <w:highlight w:val="yellow"/>
        </w:rPr>
        <w:t xml:space="preserve">Although there is a large amount of study on employability skills and graduation outcomes, there are still considerable gaps. Most previous research has focused on wealthy nations or </w:t>
      </w:r>
      <w:proofErr w:type="spellStart"/>
      <w:r w:rsidRPr="00F33F9C">
        <w:rPr>
          <w:rFonts w:ascii="Times New Roman" w:hAnsi="Times New Roman" w:cs="Times New Roman"/>
          <w:sz w:val="24"/>
          <w:szCs w:val="24"/>
          <w:highlight w:val="yellow"/>
        </w:rPr>
        <w:t>generalised</w:t>
      </w:r>
      <w:proofErr w:type="spellEnd"/>
      <w:r w:rsidRPr="00F33F9C">
        <w:rPr>
          <w:rFonts w:ascii="Times New Roman" w:hAnsi="Times New Roman" w:cs="Times New Roman"/>
          <w:sz w:val="24"/>
          <w:szCs w:val="24"/>
          <w:highlight w:val="yellow"/>
        </w:rPr>
        <w:t xml:space="preserve"> graduate populations, with little emphasis paid to region-specific circumstances like North-East India (Tomlinson, 2012; Clarke, 2018). Furthermore, present research frequently assesses employability skills and career preparation separately, rather than evaluating the link between these dimensions. There are very few studies that use primary data to </w:t>
      </w:r>
      <w:proofErr w:type="spellStart"/>
      <w:r w:rsidRPr="00F33F9C">
        <w:rPr>
          <w:rFonts w:ascii="Times New Roman" w:hAnsi="Times New Roman" w:cs="Times New Roman"/>
          <w:sz w:val="24"/>
          <w:szCs w:val="24"/>
          <w:highlight w:val="yellow"/>
        </w:rPr>
        <w:t>analyse</w:t>
      </w:r>
      <w:proofErr w:type="spellEnd"/>
      <w:r w:rsidRPr="00F33F9C">
        <w:rPr>
          <w:rFonts w:ascii="Times New Roman" w:hAnsi="Times New Roman" w:cs="Times New Roman"/>
          <w:sz w:val="24"/>
          <w:szCs w:val="24"/>
          <w:highlight w:val="yellow"/>
        </w:rPr>
        <w:t xml:space="preserve"> how employability skills impact students' perceived </w:t>
      </w:r>
      <w:proofErr w:type="spellStart"/>
      <w:r w:rsidRPr="00F33F9C">
        <w:rPr>
          <w:rFonts w:ascii="Times New Roman" w:hAnsi="Times New Roman" w:cs="Times New Roman"/>
          <w:sz w:val="24"/>
          <w:szCs w:val="24"/>
          <w:highlight w:val="yellow"/>
        </w:rPr>
        <w:t>labour</w:t>
      </w:r>
      <w:proofErr w:type="spellEnd"/>
      <w:r w:rsidRPr="00F33F9C">
        <w:rPr>
          <w:rFonts w:ascii="Times New Roman" w:hAnsi="Times New Roman" w:cs="Times New Roman"/>
          <w:sz w:val="24"/>
          <w:szCs w:val="24"/>
          <w:highlight w:val="yellow"/>
        </w:rPr>
        <w:t xml:space="preserve"> market preparedness. This work addresses these gaps by presenting empirical evidence from Nagaland, therefore contributing to context-specific understanding and enriching the current literature</w:t>
      </w:r>
      <w:r w:rsidR="006B4B02" w:rsidRPr="00F33F9C">
        <w:rPr>
          <w:rFonts w:ascii="Times New Roman" w:hAnsi="Times New Roman" w:cs="Times New Roman"/>
          <w:sz w:val="24"/>
          <w:szCs w:val="24"/>
          <w:highlight w:val="yellow"/>
        </w:rPr>
        <w:t>.</w:t>
      </w:r>
    </w:p>
    <w:p w14:paraId="6BED3609" w14:textId="1E4D7E97" w:rsidR="008832FA" w:rsidRDefault="008832FA" w:rsidP="006F5ABE">
      <w:pPr>
        <w:jc w:val="both"/>
        <w:rPr>
          <w:rFonts w:ascii="Times New Roman" w:hAnsi="Times New Roman" w:cs="Times New Roman"/>
          <w:sz w:val="24"/>
          <w:szCs w:val="24"/>
        </w:rPr>
      </w:pPr>
      <w:r w:rsidRPr="008832FA">
        <w:rPr>
          <w:rFonts w:ascii="Times New Roman" w:hAnsi="Times New Roman" w:cs="Times New Roman"/>
          <w:sz w:val="24"/>
          <w:szCs w:val="24"/>
          <w:highlight w:val="yellow"/>
        </w:rPr>
        <w:t>Recent review studies also indicate that, despite the expansion of employability research, important contextual gaps remain and more region-specific evidence is needed to understand how employability skills are linked with career outcomes in different higher education settings (</w:t>
      </w:r>
      <w:proofErr w:type="spellStart"/>
      <w:r w:rsidRPr="008832FA">
        <w:rPr>
          <w:rFonts w:ascii="Times New Roman" w:hAnsi="Times New Roman" w:cs="Times New Roman"/>
          <w:sz w:val="24"/>
          <w:szCs w:val="24"/>
          <w:highlight w:val="yellow"/>
        </w:rPr>
        <w:t>Amarathunga</w:t>
      </w:r>
      <w:proofErr w:type="spellEnd"/>
      <w:r w:rsidRPr="008832FA">
        <w:rPr>
          <w:rFonts w:ascii="Times New Roman" w:hAnsi="Times New Roman" w:cs="Times New Roman"/>
          <w:sz w:val="24"/>
          <w:szCs w:val="24"/>
          <w:highlight w:val="yellow"/>
        </w:rPr>
        <w:t xml:space="preserve"> et al., 2024; </w:t>
      </w:r>
      <w:proofErr w:type="spellStart"/>
      <w:r w:rsidRPr="008832FA">
        <w:rPr>
          <w:rFonts w:ascii="Times New Roman" w:hAnsi="Times New Roman" w:cs="Times New Roman"/>
          <w:sz w:val="24"/>
          <w:szCs w:val="24"/>
          <w:highlight w:val="yellow"/>
        </w:rPr>
        <w:t>Scandurra</w:t>
      </w:r>
      <w:proofErr w:type="spellEnd"/>
      <w:r w:rsidRPr="008832FA">
        <w:rPr>
          <w:rFonts w:ascii="Times New Roman" w:hAnsi="Times New Roman" w:cs="Times New Roman"/>
          <w:sz w:val="24"/>
          <w:szCs w:val="24"/>
          <w:highlight w:val="yellow"/>
        </w:rPr>
        <w:t xml:space="preserve"> et al., 2024).</w:t>
      </w:r>
    </w:p>
    <w:p w14:paraId="14A9C3B6" w14:textId="19262F4A" w:rsidR="006F5ABE" w:rsidRPr="006F5ABE" w:rsidRDefault="006F5ABE" w:rsidP="006F5ABE">
      <w:pPr>
        <w:jc w:val="both"/>
        <w:rPr>
          <w:rFonts w:ascii="Times New Roman" w:hAnsi="Times New Roman" w:cs="Times New Roman"/>
          <w:b/>
          <w:sz w:val="24"/>
          <w:szCs w:val="24"/>
        </w:rPr>
      </w:pPr>
      <w:r w:rsidRPr="006F5ABE">
        <w:rPr>
          <w:rFonts w:ascii="Times New Roman" w:hAnsi="Times New Roman" w:cs="Times New Roman"/>
          <w:b/>
          <w:sz w:val="24"/>
          <w:szCs w:val="24"/>
        </w:rPr>
        <w:t>3. Research Methodology</w:t>
      </w:r>
    </w:p>
    <w:p w14:paraId="4FC5DE61" w14:textId="77777777" w:rsidR="006F5ABE" w:rsidRPr="006F5ABE" w:rsidRDefault="006F5ABE" w:rsidP="006F5ABE">
      <w:pPr>
        <w:jc w:val="both"/>
        <w:rPr>
          <w:rFonts w:ascii="Times New Roman" w:hAnsi="Times New Roman" w:cs="Times New Roman"/>
          <w:b/>
          <w:sz w:val="24"/>
          <w:szCs w:val="24"/>
        </w:rPr>
      </w:pPr>
      <w:r w:rsidRPr="006F5ABE">
        <w:rPr>
          <w:rFonts w:ascii="Times New Roman" w:hAnsi="Times New Roman" w:cs="Times New Roman"/>
          <w:b/>
          <w:sz w:val="24"/>
          <w:szCs w:val="24"/>
        </w:rPr>
        <w:t>3.1 Research Design</w:t>
      </w:r>
    </w:p>
    <w:p w14:paraId="688EAEC8" w14:textId="148D16DE" w:rsidR="00C2051D" w:rsidRDefault="00592D38" w:rsidP="006F5ABE">
      <w:pPr>
        <w:jc w:val="both"/>
        <w:rPr>
          <w:rFonts w:ascii="Times New Roman" w:hAnsi="Times New Roman" w:cs="Times New Roman"/>
          <w:sz w:val="24"/>
          <w:szCs w:val="24"/>
        </w:rPr>
      </w:pPr>
      <w:r w:rsidRPr="00111388">
        <w:rPr>
          <w:rFonts w:ascii="Times New Roman" w:hAnsi="Times New Roman" w:cs="Times New Roman"/>
          <w:sz w:val="24"/>
          <w:szCs w:val="24"/>
          <w:highlight w:val="yellow"/>
        </w:rPr>
        <w:t>This study adopts a quantitative research design combining descriptive and analytical approaches. The descriptive component is used to assess the level of employability skills and career preparedness among college students, while the analytical component examines the relationship between these variables. A structured questionnaire was employed to collect primary data, enabling the quantification of respondents’ perceptions and facilitating statistical analysis. This design is appropriate for examining associations between variables and testing the proposed hypothesis</w:t>
      </w:r>
      <w:r w:rsidR="0039131C" w:rsidRPr="00111388">
        <w:rPr>
          <w:rFonts w:ascii="Times New Roman" w:hAnsi="Times New Roman" w:cs="Times New Roman"/>
          <w:sz w:val="24"/>
          <w:szCs w:val="24"/>
          <w:highlight w:val="yellow"/>
        </w:rPr>
        <w:t>.</w:t>
      </w:r>
    </w:p>
    <w:p w14:paraId="4E13F527" w14:textId="4BC8E38E" w:rsidR="006359A9" w:rsidRDefault="006359A9" w:rsidP="006359A9">
      <w:pPr>
        <w:jc w:val="both"/>
        <w:rPr>
          <w:rFonts w:ascii="Times New Roman" w:hAnsi="Times New Roman" w:cs="Times New Roman"/>
          <w:b/>
          <w:sz w:val="24"/>
          <w:szCs w:val="24"/>
        </w:rPr>
      </w:pPr>
      <w:r w:rsidRPr="006359A9">
        <w:rPr>
          <w:rFonts w:ascii="Times New Roman" w:hAnsi="Times New Roman" w:cs="Times New Roman"/>
          <w:b/>
          <w:sz w:val="24"/>
          <w:szCs w:val="24"/>
        </w:rPr>
        <w:t>3.2 Data Source and Sample</w:t>
      </w:r>
    </w:p>
    <w:p w14:paraId="777E9596" w14:textId="445635D9" w:rsidR="00033994" w:rsidRDefault="00033994" w:rsidP="00386259">
      <w:pPr>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33994">
        <w:rPr>
          <w:rFonts w:ascii="Times New Roman" w:hAnsi="Times New Roman" w:cs="Times New Roman"/>
          <w:sz w:val="24"/>
          <w:szCs w:val="24"/>
        </w:rPr>
        <w:t xml:space="preserve"> research relies on primary data collected from college students in Nagaland via an online survey. The data collection tool was a structured questionnaire prepared in Google Forms and disseminated among students through multiple digital platforms such as student groups and social media channels. Finally, 269 valid responses were collected and used for analysis. </w:t>
      </w:r>
      <w:r w:rsidR="00111388" w:rsidRPr="00111388">
        <w:rPr>
          <w:rFonts w:ascii="Times New Roman" w:hAnsi="Times New Roman" w:cs="Times New Roman"/>
          <w:sz w:val="24"/>
          <w:szCs w:val="24"/>
          <w:highlight w:val="yellow"/>
        </w:rPr>
        <w:t>A non-probability convenience sampling technique was employed, wherein respondents were selected based on accessibility and willingness to participate</w:t>
      </w:r>
      <w:r w:rsidRPr="00111388">
        <w:rPr>
          <w:rFonts w:ascii="Times New Roman" w:hAnsi="Times New Roman" w:cs="Times New Roman"/>
          <w:sz w:val="24"/>
          <w:szCs w:val="24"/>
          <w:highlight w:val="yellow"/>
        </w:rPr>
        <w:t>.</w:t>
      </w:r>
      <w:r w:rsidRPr="00033994">
        <w:rPr>
          <w:rFonts w:ascii="Times New Roman" w:hAnsi="Times New Roman" w:cs="Times New Roman"/>
          <w:sz w:val="24"/>
          <w:szCs w:val="24"/>
        </w:rPr>
        <w:t xml:space="preserve"> </w:t>
      </w:r>
      <w:r w:rsidR="00865BFA" w:rsidRPr="00865BFA">
        <w:rPr>
          <w:rFonts w:ascii="Times New Roman" w:hAnsi="Times New Roman" w:cs="Times New Roman"/>
          <w:sz w:val="24"/>
          <w:szCs w:val="24"/>
          <w:highlight w:val="yellow"/>
        </w:rPr>
        <w:t>Although convenience sampling limits generalizability, it is considered appropriate for exploratory and perception-based studies of this nature.</w:t>
      </w:r>
      <w:r w:rsidR="00865BFA">
        <w:rPr>
          <w:rFonts w:ascii="Times New Roman" w:hAnsi="Times New Roman" w:cs="Times New Roman"/>
          <w:sz w:val="24"/>
          <w:szCs w:val="24"/>
        </w:rPr>
        <w:t xml:space="preserve"> </w:t>
      </w:r>
      <w:r w:rsidRPr="00033994">
        <w:rPr>
          <w:rFonts w:ascii="Times New Roman" w:hAnsi="Times New Roman" w:cs="Times New Roman"/>
          <w:sz w:val="24"/>
          <w:szCs w:val="24"/>
        </w:rPr>
        <w:t>The sample consists of students from various demographic groups - differences in gender age course level (undergraduate and postgraduate), field of study, and year of study were considered. The sample size is deemed sufficient for the study as it enables meaningful statistical analysis and a general understanding of employability skills and career preparedness among college students in the region.</w:t>
      </w:r>
    </w:p>
    <w:p w14:paraId="2C16E95D" w14:textId="323006B8" w:rsidR="00386259" w:rsidRPr="00386259" w:rsidRDefault="00386259" w:rsidP="00386259">
      <w:pPr>
        <w:jc w:val="both"/>
        <w:rPr>
          <w:rFonts w:ascii="Times New Roman" w:hAnsi="Times New Roman" w:cs="Times New Roman"/>
          <w:b/>
          <w:sz w:val="24"/>
          <w:szCs w:val="24"/>
        </w:rPr>
      </w:pPr>
      <w:r w:rsidRPr="00386259">
        <w:rPr>
          <w:rFonts w:ascii="Times New Roman" w:hAnsi="Times New Roman" w:cs="Times New Roman"/>
          <w:b/>
          <w:sz w:val="24"/>
          <w:szCs w:val="24"/>
        </w:rPr>
        <w:t>3.3 Instrument Design and Measurement Scale</w:t>
      </w:r>
    </w:p>
    <w:p w14:paraId="0B00D08C" w14:textId="77777777" w:rsidR="00494462" w:rsidRDefault="00494462" w:rsidP="00EB73A9">
      <w:pPr>
        <w:jc w:val="both"/>
        <w:rPr>
          <w:rFonts w:ascii="Times New Roman" w:hAnsi="Times New Roman" w:cs="Times New Roman"/>
          <w:sz w:val="24"/>
          <w:szCs w:val="24"/>
        </w:rPr>
      </w:pPr>
      <w:r w:rsidRPr="00494462">
        <w:rPr>
          <w:rFonts w:ascii="Times New Roman" w:hAnsi="Times New Roman" w:cs="Times New Roman"/>
          <w:sz w:val="24"/>
          <w:szCs w:val="24"/>
        </w:rPr>
        <w:t>To conduct the study, we gathered data through a structured questionnaire that had 3 parts: basic information, employability skills, and career preparedness. The purpose of the questionnaire was to understand how students perceive their skills and career readiness. In Section A, there were questions about demographic details like gender, age group, course level, field of study, and year of study. Sections B and C were about employability skills and career preparedness, respectively. These parts contained different statements and the respondents had to choose whether they agree or not.</w:t>
      </w:r>
    </w:p>
    <w:p w14:paraId="7E2386F7" w14:textId="081F683D" w:rsid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A 5-point Likert scale was used to measure responses, where 1 = Strongly Disagree, 2 = Disagree, 3 = Neutral, 4 = Agree, and 5 = Strongly Agree. Employability skills were measured using eight statements covering aspects such as communication, teamwork, problem-solving ability, adaptability, decision-making, digital skills, time management, and interpersonal skills. Career preparedness was measured using seven statements related to career awareness, goal clarity, confidence in employment, understanding of required skills, and readiness to face job-related challenges. The use of a Likert scale allows for the quantification of subjective perceptions and facilitates the application of statistical techniques for analysis.</w:t>
      </w:r>
    </w:p>
    <w:p w14:paraId="37EE9C1D" w14:textId="70EC4BBA" w:rsidR="00F1519C" w:rsidRDefault="00F1519C" w:rsidP="00EB73A9">
      <w:pPr>
        <w:jc w:val="both"/>
        <w:rPr>
          <w:rFonts w:ascii="Times New Roman" w:hAnsi="Times New Roman" w:cs="Times New Roman"/>
          <w:sz w:val="24"/>
          <w:szCs w:val="24"/>
        </w:rPr>
      </w:pPr>
      <w:r w:rsidRPr="00F1519C">
        <w:rPr>
          <w:rFonts w:ascii="Times New Roman" w:hAnsi="Times New Roman" w:cs="Times New Roman"/>
          <w:sz w:val="24"/>
          <w:szCs w:val="24"/>
          <w:highlight w:val="yellow"/>
        </w:rPr>
        <w:t>To enhance clarity, employability skills in this study are operationalized through specific dimensions, namely communication skills, teamwork, problem-solving ability, adaptability, decision-making, digital skills, time management, and interpersonal skills. Similarly, career preparedness is measured through dimensions including career awareness, goal clarity, confidence in securing employment, understanding of required skills, and readiness to face job-related challenges. Each dimension is represented through individual statements in the questionnaire, thereby ensuring a structured and measurable assessment of both constructs.</w:t>
      </w:r>
    </w:p>
    <w:p w14:paraId="61BF3B49" w14:textId="39136124" w:rsidR="00386259" w:rsidRPr="00386259" w:rsidRDefault="00386259" w:rsidP="00386259">
      <w:pPr>
        <w:jc w:val="both"/>
        <w:rPr>
          <w:rFonts w:ascii="Times New Roman" w:hAnsi="Times New Roman" w:cs="Times New Roman"/>
          <w:b/>
          <w:sz w:val="24"/>
          <w:szCs w:val="24"/>
        </w:rPr>
      </w:pPr>
      <w:r w:rsidRPr="00386259">
        <w:rPr>
          <w:rFonts w:ascii="Times New Roman" w:hAnsi="Times New Roman" w:cs="Times New Roman"/>
          <w:b/>
          <w:sz w:val="24"/>
          <w:szCs w:val="24"/>
        </w:rPr>
        <w:t>3.4 Variables of the Study</w:t>
      </w:r>
    </w:p>
    <w:p w14:paraId="66F3D3F6" w14:textId="2326E1B0" w:rsidR="00EB73A9" w:rsidRP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 xml:space="preserve">The study is based on two key variables, namely employability skills and career preparedness, which are analyzed to understand their level and relationship among college students. Employability skills are treated as the independent variable in the study and represent the set of skills that enhance an individual’s ability to obtain and perform effectively in a job. This variable </w:t>
      </w:r>
      <w:r w:rsidRPr="00EB73A9">
        <w:rPr>
          <w:rFonts w:ascii="Times New Roman" w:hAnsi="Times New Roman" w:cs="Times New Roman"/>
          <w:sz w:val="24"/>
          <w:szCs w:val="24"/>
        </w:rPr>
        <w:lastRenderedPageBreak/>
        <w:t>is measured using eight statements related to communication skills, teamwork, problem-solving ability, adaptability, decision-making, digital or technical skills, time management, and interpersonal skills.</w:t>
      </w:r>
    </w:p>
    <w:p w14:paraId="24E123AB" w14:textId="33176267" w:rsidR="00EB73A9" w:rsidRDefault="00EB73A9" w:rsidP="00EB73A9">
      <w:pPr>
        <w:jc w:val="both"/>
        <w:rPr>
          <w:rFonts w:ascii="Times New Roman" w:hAnsi="Times New Roman" w:cs="Times New Roman"/>
          <w:sz w:val="24"/>
          <w:szCs w:val="24"/>
        </w:rPr>
      </w:pPr>
      <w:r w:rsidRPr="00EB73A9">
        <w:rPr>
          <w:rFonts w:ascii="Times New Roman" w:hAnsi="Times New Roman" w:cs="Times New Roman"/>
          <w:sz w:val="24"/>
          <w:szCs w:val="24"/>
        </w:rPr>
        <w:t>Career preparedness is considered the dependent variable in the study and reflects the extent to which students feel ready to enter the job market and manage their future careers. This variable is measured using seven statements covering aspects such as clarity of career goals, awareness of job opportunities, confidence in securing employment, understanding of required skills, and readiness to face job-related challenges. Composite scores for both variables are calculated by taking the average of responses to the respective statements, which are then used for further analysis.</w:t>
      </w:r>
    </w:p>
    <w:p w14:paraId="6584FB44" w14:textId="3E2E4FBD" w:rsidR="00425F10" w:rsidRPr="00425F10" w:rsidRDefault="00425F10" w:rsidP="00425F10">
      <w:pPr>
        <w:jc w:val="both"/>
        <w:rPr>
          <w:rFonts w:ascii="Times New Roman" w:hAnsi="Times New Roman" w:cs="Times New Roman"/>
          <w:b/>
          <w:sz w:val="24"/>
          <w:szCs w:val="24"/>
        </w:rPr>
      </w:pPr>
      <w:r w:rsidRPr="00425F10">
        <w:rPr>
          <w:rFonts w:ascii="Times New Roman" w:hAnsi="Times New Roman" w:cs="Times New Roman"/>
          <w:b/>
          <w:sz w:val="24"/>
          <w:szCs w:val="24"/>
        </w:rPr>
        <w:t>3.5 Analytical Tools and Techniques</w:t>
      </w:r>
    </w:p>
    <w:p w14:paraId="7CC779A0" w14:textId="62291234" w:rsidR="00862311" w:rsidRDefault="00494462" w:rsidP="003842A9">
      <w:pPr>
        <w:jc w:val="both"/>
        <w:rPr>
          <w:rFonts w:ascii="Times New Roman" w:hAnsi="Times New Roman" w:cs="Times New Roman"/>
          <w:sz w:val="24"/>
          <w:szCs w:val="24"/>
          <w:highlight w:val="yellow"/>
        </w:rPr>
      </w:pPr>
      <w:r w:rsidRPr="00494462">
        <w:rPr>
          <w:rFonts w:ascii="Times New Roman" w:hAnsi="Times New Roman" w:cs="Times New Roman"/>
          <w:sz w:val="24"/>
          <w:szCs w:val="24"/>
        </w:rPr>
        <w:t xml:space="preserve">The data that was collected through the survey has been analyzed with the help of simple statistical methods for ensuring the clarity and easy interpretation of the results. The work of analyzing the data was done in Microsoft Excel, where the responses were first coded and then run through statistical evaluations. There were two main techniques of analysis that were used in the study. </w:t>
      </w:r>
      <w:r w:rsidR="00862311" w:rsidRPr="00862311">
        <w:rPr>
          <w:rFonts w:ascii="Times New Roman" w:hAnsi="Times New Roman" w:cs="Times New Roman"/>
          <w:sz w:val="24"/>
          <w:szCs w:val="24"/>
          <w:highlight w:val="yellow"/>
        </w:rPr>
        <w:t>Descriptive statistics (mean and standard deviation) were used to assess the levels of employability skills and career preparedness. Pearson’s correlation analysis was applied to examine the relationship between the two variables. The correlation coefficient (r) indicates the strength and direction of the relationship, while the p-value determines its statistical significance. These techniques are widely used in social science research and are appropriate for addressing the objectives of the study.</w:t>
      </w:r>
    </w:p>
    <w:p w14:paraId="5DF8FBB4" w14:textId="77777777" w:rsidR="00CF396C" w:rsidRPr="00CF396C" w:rsidRDefault="00CF396C" w:rsidP="00CF396C">
      <w:pPr>
        <w:jc w:val="both"/>
        <w:rPr>
          <w:rFonts w:ascii="Times New Roman" w:hAnsi="Times New Roman" w:cs="Times New Roman"/>
          <w:b/>
          <w:sz w:val="24"/>
          <w:szCs w:val="24"/>
          <w:highlight w:val="yellow"/>
        </w:rPr>
      </w:pPr>
      <w:r w:rsidRPr="00CF396C">
        <w:rPr>
          <w:rFonts w:ascii="Times New Roman" w:hAnsi="Times New Roman" w:cs="Times New Roman"/>
          <w:b/>
          <w:sz w:val="24"/>
          <w:szCs w:val="24"/>
          <w:highlight w:val="yellow"/>
        </w:rPr>
        <w:t>3.6 Ethical Considerations</w:t>
      </w:r>
    </w:p>
    <w:p w14:paraId="5CAC45E2" w14:textId="33DD0707" w:rsidR="00CF396C" w:rsidRDefault="00CF396C" w:rsidP="00CF396C">
      <w:pPr>
        <w:jc w:val="both"/>
        <w:rPr>
          <w:rFonts w:ascii="Times New Roman" w:hAnsi="Times New Roman" w:cs="Times New Roman"/>
          <w:sz w:val="24"/>
          <w:szCs w:val="24"/>
        </w:rPr>
      </w:pPr>
      <w:r w:rsidRPr="00CF396C">
        <w:rPr>
          <w:rFonts w:ascii="Times New Roman" w:hAnsi="Times New Roman" w:cs="Times New Roman"/>
          <w:sz w:val="24"/>
          <w:szCs w:val="24"/>
          <w:highlight w:val="yellow"/>
        </w:rPr>
        <w:t>The study was conducted in accordance with standard ethical research practices. Participation in the survey was voluntary, and informed consent was obtained from all respondents prior to data collection. Respondents were assured of anonymity and confidentiality, and no personally identifiable information was collected. The data were used solely for academic purposes.</w:t>
      </w:r>
    </w:p>
    <w:p w14:paraId="72B7FC5F" w14:textId="3C4D4E74" w:rsidR="003842A9" w:rsidRP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4. Data Analysis and Results</w:t>
      </w:r>
    </w:p>
    <w:p w14:paraId="66B011AE" w14:textId="0CAF44F0" w:rsidR="003842A9" w:rsidRP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4.1 Profile of Respondents</w:t>
      </w:r>
    </w:p>
    <w:p w14:paraId="27FD1964" w14:textId="5DF0EF5F" w:rsidR="003842A9" w:rsidRDefault="003842A9" w:rsidP="003842A9">
      <w:pPr>
        <w:jc w:val="both"/>
        <w:rPr>
          <w:rFonts w:ascii="Times New Roman" w:hAnsi="Times New Roman" w:cs="Times New Roman"/>
          <w:sz w:val="24"/>
          <w:szCs w:val="24"/>
        </w:rPr>
      </w:pPr>
      <w:r w:rsidRPr="003842A9">
        <w:rPr>
          <w:rFonts w:ascii="Times New Roman" w:hAnsi="Times New Roman" w:cs="Times New Roman"/>
          <w:sz w:val="24"/>
          <w:szCs w:val="24"/>
        </w:rPr>
        <w:t>The demographic profile of the respondents provides an overview of the characteristics of the sample used in the study. A total of 269 college students from</w:t>
      </w:r>
      <w:r w:rsidR="00E43B5B">
        <w:rPr>
          <w:rFonts w:ascii="Times New Roman" w:hAnsi="Times New Roman" w:cs="Times New Roman"/>
          <w:sz w:val="24"/>
          <w:szCs w:val="24"/>
        </w:rPr>
        <w:t xml:space="preserve"> different colleges in</w:t>
      </w:r>
      <w:r w:rsidRPr="003842A9">
        <w:rPr>
          <w:rFonts w:ascii="Times New Roman" w:hAnsi="Times New Roman" w:cs="Times New Roman"/>
          <w:sz w:val="24"/>
          <w:szCs w:val="24"/>
        </w:rPr>
        <w:t xml:space="preserve"> Nagaland participated in the survey. The distribution of respondents across </w:t>
      </w:r>
      <w:r w:rsidR="00763BBF">
        <w:rPr>
          <w:rFonts w:ascii="Times New Roman" w:hAnsi="Times New Roman" w:cs="Times New Roman"/>
          <w:sz w:val="24"/>
          <w:szCs w:val="24"/>
        </w:rPr>
        <w:t xml:space="preserve">the </w:t>
      </w:r>
      <w:r w:rsidRPr="003842A9">
        <w:rPr>
          <w:rFonts w:ascii="Times New Roman" w:hAnsi="Times New Roman" w:cs="Times New Roman"/>
          <w:sz w:val="24"/>
          <w:szCs w:val="24"/>
        </w:rPr>
        <w:t>different demographic categories such as gender, age group, course level, field of study, and year of study is presented in Table 1.</w:t>
      </w:r>
    </w:p>
    <w:p w14:paraId="4EAC313A" w14:textId="2A72261C" w:rsidR="003842A9" w:rsidRDefault="003842A9" w:rsidP="003842A9">
      <w:pPr>
        <w:jc w:val="both"/>
        <w:rPr>
          <w:rFonts w:ascii="Times New Roman" w:hAnsi="Times New Roman" w:cs="Times New Roman"/>
          <w:b/>
          <w:sz w:val="24"/>
          <w:szCs w:val="24"/>
        </w:rPr>
      </w:pPr>
      <w:r w:rsidRPr="003842A9">
        <w:rPr>
          <w:rFonts w:ascii="Times New Roman" w:hAnsi="Times New Roman" w:cs="Times New Roman"/>
          <w:b/>
          <w:sz w:val="24"/>
          <w:szCs w:val="24"/>
        </w:rPr>
        <w:t>Table 1</w:t>
      </w:r>
      <w:r w:rsidR="00A432AD">
        <w:rPr>
          <w:rFonts w:ascii="Times New Roman" w:hAnsi="Times New Roman" w:cs="Times New Roman"/>
          <w:b/>
          <w:sz w:val="24"/>
          <w:szCs w:val="24"/>
        </w:rPr>
        <w:t>.</w:t>
      </w:r>
      <w:r w:rsidRPr="003842A9">
        <w:rPr>
          <w:rFonts w:ascii="Times New Roman" w:hAnsi="Times New Roman" w:cs="Times New Roman"/>
          <w:b/>
          <w:sz w:val="24"/>
          <w:szCs w:val="24"/>
        </w:rPr>
        <w:t xml:space="preserve"> Profile of Respondents</w:t>
      </w:r>
    </w:p>
    <w:tbl>
      <w:tblPr>
        <w:tblStyle w:val="TableGrid"/>
        <w:tblW w:w="9264" w:type="dxa"/>
        <w:tblLook w:val="04A0" w:firstRow="1" w:lastRow="0" w:firstColumn="1" w:lastColumn="0" w:noHBand="0" w:noVBand="1"/>
      </w:tblPr>
      <w:tblGrid>
        <w:gridCol w:w="2081"/>
        <w:gridCol w:w="3267"/>
        <w:gridCol w:w="1645"/>
        <w:gridCol w:w="2271"/>
      </w:tblGrid>
      <w:tr w:rsidR="003842A9" w:rsidRPr="003842A9" w14:paraId="5185C373" w14:textId="77777777" w:rsidTr="003842A9">
        <w:trPr>
          <w:trHeight w:val="249"/>
        </w:trPr>
        <w:tc>
          <w:tcPr>
            <w:tcW w:w="0" w:type="auto"/>
            <w:hideMark/>
          </w:tcPr>
          <w:p w14:paraId="4AF22E85"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Variable</w:t>
            </w:r>
          </w:p>
        </w:tc>
        <w:tc>
          <w:tcPr>
            <w:tcW w:w="0" w:type="auto"/>
            <w:hideMark/>
          </w:tcPr>
          <w:p w14:paraId="47EF904A"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Category</w:t>
            </w:r>
          </w:p>
        </w:tc>
        <w:tc>
          <w:tcPr>
            <w:tcW w:w="0" w:type="auto"/>
            <w:hideMark/>
          </w:tcPr>
          <w:p w14:paraId="4C7F36E8"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Frequency</w:t>
            </w:r>
          </w:p>
        </w:tc>
        <w:tc>
          <w:tcPr>
            <w:tcW w:w="0" w:type="auto"/>
            <w:hideMark/>
          </w:tcPr>
          <w:p w14:paraId="476A3BD2" w14:textId="77777777" w:rsidR="003842A9" w:rsidRPr="003842A9" w:rsidRDefault="003842A9" w:rsidP="003842A9">
            <w:pPr>
              <w:rPr>
                <w:rFonts w:ascii="Times New Roman" w:eastAsia="Times New Roman" w:hAnsi="Times New Roman" w:cs="Times New Roman"/>
                <w:b/>
                <w:bCs/>
                <w:sz w:val="24"/>
                <w:szCs w:val="24"/>
              </w:rPr>
            </w:pPr>
            <w:r w:rsidRPr="003842A9">
              <w:rPr>
                <w:rFonts w:ascii="Times New Roman" w:eastAsia="Times New Roman" w:hAnsi="Times New Roman" w:cs="Times New Roman"/>
                <w:b/>
                <w:bCs/>
                <w:sz w:val="24"/>
                <w:szCs w:val="24"/>
              </w:rPr>
              <w:t>Percentage (%)</w:t>
            </w:r>
          </w:p>
        </w:tc>
      </w:tr>
      <w:tr w:rsidR="003842A9" w:rsidRPr="003842A9" w14:paraId="79D416A7" w14:textId="77777777" w:rsidTr="003842A9">
        <w:trPr>
          <w:trHeight w:val="249"/>
        </w:trPr>
        <w:tc>
          <w:tcPr>
            <w:tcW w:w="0" w:type="auto"/>
            <w:hideMark/>
          </w:tcPr>
          <w:p w14:paraId="13A7FCA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Gender</w:t>
            </w:r>
          </w:p>
        </w:tc>
        <w:tc>
          <w:tcPr>
            <w:tcW w:w="0" w:type="auto"/>
            <w:hideMark/>
          </w:tcPr>
          <w:p w14:paraId="2E945F6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Male</w:t>
            </w:r>
          </w:p>
        </w:tc>
        <w:tc>
          <w:tcPr>
            <w:tcW w:w="0" w:type="auto"/>
            <w:hideMark/>
          </w:tcPr>
          <w:p w14:paraId="0D1C7F8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134</w:t>
            </w:r>
          </w:p>
        </w:tc>
        <w:tc>
          <w:tcPr>
            <w:tcW w:w="0" w:type="auto"/>
            <w:hideMark/>
          </w:tcPr>
          <w:p w14:paraId="1955561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49.8</w:t>
            </w:r>
          </w:p>
        </w:tc>
      </w:tr>
      <w:tr w:rsidR="003842A9" w:rsidRPr="003842A9" w14:paraId="44A19B90" w14:textId="77777777" w:rsidTr="003842A9">
        <w:trPr>
          <w:trHeight w:val="249"/>
        </w:trPr>
        <w:tc>
          <w:tcPr>
            <w:tcW w:w="0" w:type="auto"/>
            <w:hideMark/>
          </w:tcPr>
          <w:p w14:paraId="5875F941"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40E824B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Female</w:t>
            </w:r>
          </w:p>
        </w:tc>
        <w:tc>
          <w:tcPr>
            <w:tcW w:w="0" w:type="auto"/>
            <w:hideMark/>
          </w:tcPr>
          <w:p w14:paraId="24D5E5E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134</w:t>
            </w:r>
          </w:p>
        </w:tc>
        <w:tc>
          <w:tcPr>
            <w:tcW w:w="0" w:type="auto"/>
            <w:hideMark/>
          </w:tcPr>
          <w:p w14:paraId="3CE1FC8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49.8</w:t>
            </w:r>
          </w:p>
        </w:tc>
      </w:tr>
      <w:tr w:rsidR="003842A9" w:rsidRPr="003842A9" w14:paraId="40634FE0" w14:textId="77777777" w:rsidTr="003842A9">
        <w:trPr>
          <w:trHeight w:val="249"/>
        </w:trPr>
        <w:tc>
          <w:tcPr>
            <w:tcW w:w="0" w:type="auto"/>
            <w:hideMark/>
          </w:tcPr>
          <w:p w14:paraId="06D9B8F6"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69995A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Prefer not to say</w:t>
            </w:r>
          </w:p>
        </w:tc>
        <w:tc>
          <w:tcPr>
            <w:tcW w:w="0" w:type="auto"/>
            <w:hideMark/>
          </w:tcPr>
          <w:p w14:paraId="3B21B19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w:t>
            </w:r>
          </w:p>
        </w:tc>
        <w:tc>
          <w:tcPr>
            <w:tcW w:w="0" w:type="auto"/>
            <w:hideMark/>
          </w:tcPr>
          <w:p w14:paraId="16A7DA0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0.4</w:t>
            </w:r>
          </w:p>
        </w:tc>
      </w:tr>
      <w:tr w:rsidR="003842A9" w:rsidRPr="003842A9" w14:paraId="23971E1A" w14:textId="77777777" w:rsidTr="003842A9">
        <w:trPr>
          <w:trHeight w:val="249"/>
        </w:trPr>
        <w:tc>
          <w:tcPr>
            <w:tcW w:w="0" w:type="auto"/>
            <w:hideMark/>
          </w:tcPr>
          <w:p w14:paraId="3CFC135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Age Group</w:t>
            </w:r>
          </w:p>
        </w:tc>
        <w:tc>
          <w:tcPr>
            <w:tcW w:w="0" w:type="auto"/>
            <w:hideMark/>
          </w:tcPr>
          <w:p w14:paraId="2D7F2868"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Below 18</w:t>
            </w:r>
          </w:p>
        </w:tc>
        <w:tc>
          <w:tcPr>
            <w:tcW w:w="0" w:type="auto"/>
            <w:hideMark/>
          </w:tcPr>
          <w:p w14:paraId="023DE6E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w:t>
            </w:r>
          </w:p>
        </w:tc>
        <w:tc>
          <w:tcPr>
            <w:tcW w:w="0" w:type="auto"/>
            <w:hideMark/>
          </w:tcPr>
          <w:p w14:paraId="1BD05D4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1.1</w:t>
            </w:r>
          </w:p>
        </w:tc>
      </w:tr>
      <w:tr w:rsidR="003842A9" w:rsidRPr="003842A9" w14:paraId="6D709CC4" w14:textId="77777777" w:rsidTr="003842A9">
        <w:trPr>
          <w:trHeight w:val="249"/>
        </w:trPr>
        <w:tc>
          <w:tcPr>
            <w:tcW w:w="0" w:type="auto"/>
            <w:hideMark/>
          </w:tcPr>
          <w:p w14:paraId="776A837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4C434D84" w14:textId="5B082DF1"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Pr="003842A9">
              <w:rPr>
                <w:rFonts w:ascii="Times New Roman" w:eastAsia="Times New Roman" w:hAnsi="Times New Roman" w:cs="Times New Roman"/>
                <w:sz w:val="24"/>
                <w:szCs w:val="24"/>
              </w:rPr>
              <w:t>20</w:t>
            </w:r>
          </w:p>
        </w:tc>
        <w:tc>
          <w:tcPr>
            <w:tcW w:w="0" w:type="auto"/>
            <w:hideMark/>
          </w:tcPr>
          <w:p w14:paraId="4D01AB9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85</w:t>
            </w:r>
          </w:p>
        </w:tc>
        <w:tc>
          <w:tcPr>
            <w:tcW w:w="0" w:type="auto"/>
            <w:hideMark/>
          </w:tcPr>
          <w:p w14:paraId="5420127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31.6</w:t>
            </w:r>
          </w:p>
        </w:tc>
      </w:tr>
      <w:tr w:rsidR="003842A9" w:rsidRPr="003842A9" w14:paraId="400DD3E9" w14:textId="77777777" w:rsidTr="003842A9">
        <w:trPr>
          <w:trHeight w:val="249"/>
        </w:trPr>
        <w:tc>
          <w:tcPr>
            <w:tcW w:w="0" w:type="auto"/>
            <w:hideMark/>
          </w:tcPr>
          <w:p w14:paraId="143B06F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3787CE16" w14:textId="5875A401"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r w:rsidRPr="003842A9">
              <w:rPr>
                <w:rFonts w:ascii="Times New Roman" w:eastAsia="Times New Roman" w:hAnsi="Times New Roman" w:cs="Times New Roman"/>
                <w:sz w:val="24"/>
                <w:szCs w:val="24"/>
              </w:rPr>
              <w:t>23</w:t>
            </w:r>
          </w:p>
        </w:tc>
        <w:tc>
          <w:tcPr>
            <w:tcW w:w="0" w:type="auto"/>
            <w:hideMark/>
          </w:tcPr>
          <w:p w14:paraId="6FF9E1F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153</w:t>
            </w:r>
          </w:p>
        </w:tc>
        <w:tc>
          <w:tcPr>
            <w:tcW w:w="0" w:type="auto"/>
            <w:hideMark/>
          </w:tcPr>
          <w:p w14:paraId="605F38A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56.9</w:t>
            </w:r>
          </w:p>
        </w:tc>
      </w:tr>
      <w:tr w:rsidR="003842A9" w:rsidRPr="003842A9" w14:paraId="44381313" w14:textId="77777777" w:rsidTr="003842A9">
        <w:trPr>
          <w:trHeight w:val="262"/>
        </w:trPr>
        <w:tc>
          <w:tcPr>
            <w:tcW w:w="0" w:type="auto"/>
            <w:hideMark/>
          </w:tcPr>
          <w:p w14:paraId="6D8758AD"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7C61C62D"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Above 23</w:t>
            </w:r>
          </w:p>
        </w:tc>
        <w:tc>
          <w:tcPr>
            <w:tcW w:w="0" w:type="auto"/>
            <w:hideMark/>
          </w:tcPr>
          <w:p w14:paraId="4DFCAAC0"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28</w:t>
            </w:r>
          </w:p>
        </w:tc>
        <w:tc>
          <w:tcPr>
            <w:tcW w:w="0" w:type="auto"/>
            <w:hideMark/>
          </w:tcPr>
          <w:p w14:paraId="712F721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10.4</w:t>
            </w:r>
          </w:p>
        </w:tc>
      </w:tr>
      <w:tr w:rsidR="003842A9" w:rsidRPr="003842A9" w14:paraId="134810B7" w14:textId="77777777" w:rsidTr="003842A9">
        <w:trPr>
          <w:trHeight w:val="249"/>
        </w:trPr>
        <w:tc>
          <w:tcPr>
            <w:tcW w:w="0" w:type="auto"/>
            <w:hideMark/>
          </w:tcPr>
          <w:p w14:paraId="3640A78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Course Level</w:t>
            </w:r>
          </w:p>
        </w:tc>
        <w:tc>
          <w:tcPr>
            <w:tcW w:w="0" w:type="auto"/>
            <w:hideMark/>
          </w:tcPr>
          <w:p w14:paraId="6967C7E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Undergraduate (UG)</w:t>
            </w:r>
          </w:p>
        </w:tc>
        <w:tc>
          <w:tcPr>
            <w:tcW w:w="0" w:type="auto"/>
            <w:hideMark/>
          </w:tcPr>
          <w:p w14:paraId="4D6CA4E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215</w:t>
            </w:r>
          </w:p>
        </w:tc>
        <w:tc>
          <w:tcPr>
            <w:tcW w:w="0" w:type="auto"/>
            <w:hideMark/>
          </w:tcPr>
          <w:p w14:paraId="5C00519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79.9</w:t>
            </w:r>
          </w:p>
        </w:tc>
      </w:tr>
      <w:tr w:rsidR="003842A9" w:rsidRPr="003842A9" w14:paraId="04972E01" w14:textId="77777777" w:rsidTr="003842A9">
        <w:trPr>
          <w:trHeight w:val="249"/>
        </w:trPr>
        <w:tc>
          <w:tcPr>
            <w:tcW w:w="0" w:type="auto"/>
            <w:hideMark/>
          </w:tcPr>
          <w:p w14:paraId="4EB5E8B0"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33AC883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Postgraduate (PG)</w:t>
            </w:r>
          </w:p>
        </w:tc>
        <w:tc>
          <w:tcPr>
            <w:tcW w:w="0" w:type="auto"/>
            <w:hideMark/>
          </w:tcPr>
          <w:p w14:paraId="7CF2B5D7"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54</w:t>
            </w:r>
          </w:p>
        </w:tc>
        <w:tc>
          <w:tcPr>
            <w:tcW w:w="0" w:type="auto"/>
            <w:hideMark/>
          </w:tcPr>
          <w:p w14:paraId="0636EFB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20.1</w:t>
            </w:r>
          </w:p>
        </w:tc>
      </w:tr>
      <w:tr w:rsidR="003842A9" w:rsidRPr="003842A9" w14:paraId="29D2C019" w14:textId="77777777" w:rsidTr="003842A9">
        <w:trPr>
          <w:trHeight w:val="249"/>
        </w:trPr>
        <w:tc>
          <w:tcPr>
            <w:tcW w:w="0" w:type="auto"/>
            <w:hideMark/>
          </w:tcPr>
          <w:p w14:paraId="36CC8CC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Field of Study</w:t>
            </w:r>
          </w:p>
        </w:tc>
        <w:tc>
          <w:tcPr>
            <w:tcW w:w="0" w:type="auto"/>
            <w:hideMark/>
          </w:tcPr>
          <w:p w14:paraId="604122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Arts/Humanities</w:t>
            </w:r>
          </w:p>
        </w:tc>
        <w:tc>
          <w:tcPr>
            <w:tcW w:w="0" w:type="auto"/>
            <w:hideMark/>
          </w:tcPr>
          <w:p w14:paraId="3DC5422A"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160</w:t>
            </w:r>
          </w:p>
        </w:tc>
        <w:tc>
          <w:tcPr>
            <w:tcW w:w="0" w:type="auto"/>
            <w:hideMark/>
          </w:tcPr>
          <w:p w14:paraId="53882A7C"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59.5</w:t>
            </w:r>
          </w:p>
        </w:tc>
      </w:tr>
      <w:tr w:rsidR="003842A9" w:rsidRPr="003842A9" w14:paraId="15B1792B" w14:textId="77777777" w:rsidTr="003842A9">
        <w:trPr>
          <w:trHeight w:val="249"/>
        </w:trPr>
        <w:tc>
          <w:tcPr>
            <w:tcW w:w="0" w:type="auto"/>
            <w:hideMark/>
          </w:tcPr>
          <w:p w14:paraId="15204BE3"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30BFDE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Commerce/Management</w:t>
            </w:r>
          </w:p>
        </w:tc>
        <w:tc>
          <w:tcPr>
            <w:tcW w:w="0" w:type="auto"/>
            <w:hideMark/>
          </w:tcPr>
          <w:p w14:paraId="4E18A13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34</w:t>
            </w:r>
          </w:p>
        </w:tc>
        <w:tc>
          <w:tcPr>
            <w:tcW w:w="0" w:type="auto"/>
            <w:hideMark/>
          </w:tcPr>
          <w:p w14:paraId="21ECD4E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12.6</w:t>
            </w:r>
          </w:p>
        </w:tc>
      </w:tr>
      <w:tr w:rsidR="003842A9" w:rsidRPr="003842A9" w14:paraId="6374E530" w14:textId="77777777" w:rsidTr="003842A9">
        <w:trPr>
          <w:trHeight w:val="249"/>
        </w:trPr>
        <w:tc>
          <w:tcPr>
            <w:tcW w:w="0" w:type="auto"/>
            <w:hideMark/>
          </w:tcPr>
          <w:p w14:paraId="54821DC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EBCDC6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Science</w:t>
            </w:r>
          </w:p>
        </w:tc>
        <w:tc>
          <w:tcPr>
            <w:tcW w:w="0" w:type="auto"/>
            <w:hideMark/>
          </w:tcPr>
          <w:p w14:paraId="4E60C42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42</w:t>
            </w:r>
          </w:p>
        </w:tc>
        <w:tc>
          <w:tcPr>
            <w:tcW w:w="0" w:type="auto"/>
            <w:hideMark/>
          </w:tcPr>
          <w:p w14:paraId="7151A00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15.6</w:t>
            </w:r>
          </w:p>
        </w:tc>
      </w:tr>
      <w:tr w:rsidR="003842A9" w:rsidRPr="003842A9" w14:paraId="51090E2D" w14:textId="77777777" w:rsidTr="003842A9">
        <w:trPr>
          <w:trHeight w:val="249"/>
        </w:trPr>
        <w:tc>
          <w:tcPr>
            <w:tcW w:w="0" w:type="auto"/>
            <w:hideMark/>
          </w:tcPr>
          <w:p w14:paraId="16894891"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2BB1AC42"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Engineering/Technology</w:t>
            </w:r>
          </w:p>
        </w:tc>
        <w:tc>
          <w:tcPr>
            <w:tcW w:w="0" w:type="auto"/>
            <w:hideMark/>
          </w:tcPr>
          <w:p w14:paraId="5A2A21B0"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6</w:t>
            </w:r>
          </w:p>
        </w:tc>
        <w:tc>
          <w:tcPr>
            <w:tcW w:w="0" w:type="auto"/>
            <w:hideMark/>
          </w:tcPr>
          <w:p w14:paraId="1D5B423E"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2.2</w:t>
            </w:r>
          </w:p>
        </w:tc>
      </w:tr>
      <w:tr w:rsidR="003842A9" w:rsidRPr="003842A9" w14:paraId="3F06E950" w14:textId="77777777" w:rsidTr="003842A9">
        <w:trPr>
          <w:trHeight w:val="249"/>
        </w:trPr>
        <w:tc>
          <w:tcPr>
            <w:tcW w:w="0" w:type="auto"/>
            <w:hideMark/>
          </w:tcPr>
          <w:p w14:paraId="6371C36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E61B48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Others</w:t>
            </w:r>
          </w:p>
        </w:tc>
        <w:tc>
          <w:tcPr>
            <w:tcW w:w="0" w:type="auto"/>
            <w:hideMark/>
          </w:tcPr>
          <w:p w14:paraId="2556CF9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27</w:t>
            </w:r>
          </w:p>
        </w:tc>
        <w:tc>
          <w:tcPr>
            <w:tcW w:w="0" w:type="auto"/>
            <w:hideMark/>
          </w:tcPr>
          <w:p w14:paraId="0E67CBED"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10.0</w:t>
            </w:r>
          </w:p>
        </w:tc>
      </w:tr>
      <w:tr w:rsidR="003842A9" w:rsidRPr="003842A9" w14:paraId="3017ECA8" w14:textId="77777777" w:rsidTr="003842A9">
        <w:trPr>
          <w:trHeight w:val="249"/>
        </w:trPr>
        <w:tc>
          <w:tcPr>
            <w:tcW w:w="0" w:type="auto"/>
            <w:hideMark/>
          </w:tcPr>
          <w:p w14:paraId="07316DF8"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b/>
                <w:bCs/>
                <w:sz w:val="24"/>
                <w:szCs w:val="24"/>
              </w:rPr>
              <w:t>Year of Study</w:t>
            </w:r>
          </w:p>
        </w:tc>
        <w:tc>
          <w:tcPr>
            <w:tcW w:w="0" w:type="auto"/>
            <w:hideMark/>
          </w:tcPr>
          <w:p w14:paraId="0E5476A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1st Year</w:t>
            </w:r>
          </w:p>
        </w:tc>
        <w:tc>
          <w:tcPr>
            <w:tcW w:w="0" w:type="auto"/>
            <w:hideMark/>
          </w:tcPr>
          <w:p w14:paraId="59587095"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39</w:t>
            </w:r>
          </w:p>
        </w:tc>
        <w:tc>
          <w:tcPr>
            <w:tcW w:w="0" w:type="auto"/>
            <w:hideMark/>
          </w:tcPr>
          <w:p w14:paraId="30E3D966"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14.5</w:t>
            </w:r>
          </w:p>
        </w:tc>
      </w:tr>
      <w:tr w:rsidR="003842A9" w:rsidRPr="003842A9" w14:paraId="34536C0B" w14:textId="77777777" w:rsidTr="003842A9">
        <w:trPr>
          <w:trHeight w:val="249"/>
        </w:trPr>
        <w:tc>
          <w:tcPr>
            <w:tcW w:w="0" w:type="auto"/>
            <w:hideMark/>
          </w:tcPr>
          <w:p w14:paraId="20DEB144"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1A4335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2nd Year</w:t>
            </w:r>
          </w:p>
        </w:tc>
        <w:tc>
          <w:tcPr>
            <w:tcW w:w="0" w:type="auto"/>
            <w:hideMark/>
          </w:tcPr>
          <w:p w14:paraId="1F57FCA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49</w:t>
            </w:r>
          </w:p>
        </w:tc>
        <w:tc>
          <w:tcPr>
            <w:tcW w:w="0" w:type="auto"/>
            <w:hideMark/>
          </w:tcPr>
          <w:p w14:paraId="0D84A24F"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18.2</w:t>
            </w:r>
          </w:p>
        </w:tc>
      </w:tr>
      <w:tr w:rsidR="003842A9" w:rsidRPr="003842A9" w14:paraId="1E3503A0" w14:textId="77777777" w:rsidTr="003842A9">
        <w:trPr>
          <w:trHeight w:val="249"/>
        </w:trPr>
        <w:tc>
          <w:tcPr>
            <w:tcW w:w="0" w:type="auto"/>
            <w:hideMark/>
          </w:tcPr>
          <w:p w14:paraId="7F64B670"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55B7DBB9"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3rd Year</w:t>
            </w:r>
          </w:p>
        </w:tc>
        <w:tc>
          <w:tcPr>
            <w:tcW w:w="0" w:type="auto"/>
            <w:hideMark/>
          </w:tcPr>
          <w:p w14:paraId="09753DEC"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122</w:t>
            </w:r>
          </w:p>
        </w:tc>
        <w:tc>
          <w:tcPr>
            <w:tcW w:w="0" w:type="auto"/>
            <w:hideMark/>
          </w:tcPr>
          <w:p w14:paraId="71D547EB"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45.4</w:t>
            </w:r>
          </w:p>
        </w:tc>
      </w:tr>
      <w:tr w:rsidR="003842A9" w:rsidRPr="003842A9" w14:paraId="5175E23B" w14:textId="77777777" w:rsidTr="003842A9">
        <w:trPr>
          <w:trHeight w:val="249"/>
        </w:trPr>
        <w:tc>
          <w:tcPr>
            <w:tcW w:w="0" w:type="auto"/>
            <w:hideMark/>
          </w:tcPr>
          <w:p w14:paraId="72D8D156" w14:textId="77777777" w:rsidR="003842A9" w:rsidRPr="003842A9" w:rsidRDefault="003842A9" w:rsidP="003842A9">
            <w:pPr>
              <w:rPr>
                <w:rFonts w:ascii="Times New Roman" w:eastAsia="Times New Roman" w:hAnsi="Times New Roman" w:cs="Times New Roman"/>
                <w:sz w:val="24"/>
                <w:szCs w:val="24"/>
              </w:rPr>
            </w:pPr>
          </w:p>
        </w:tc>
        <w:tc>
          <w:tcPr>
            <w:tcW w:w="0" w:type="auto"/>
            <w:hideMark/>
          </w:tcPr>
          <w:p w14:paraId="02E3C3A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Final Year</w:t>
            </w:r>
          </w:p>
        </w:tc>
        <w:tc>
          <w:tcPr>
            <w:tcW w:w="0" w:type="auto"/>
            <w:hideMark/>
          </w:tcPr>
          <w:p w14:paraId="76D4ED33"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59</w:t>
            </w:r>
          </w:p>
        </w:tc>
        <w:tc>
          <w:tcPr>
            <w:tcW w:w="0" w:type="auto"/>
            <w:hideMark/>
          </w:tcPr>
          <w:p w14:paraId="619CA514" w14:textId="77777777" w:rsidR="003842A9" w:rsidRPr="003842A9" w:rsidRDefault="003842A9" w:rsidP="003842A9">
            <w:pPr>
              <w:rPr>
                <w:rFonts w:ascii="Times New Roman" w:eastAsia="Times New Roman" w:hAnsi="Times New Roman" w:cs="Times New Roman"/>
                <w:sz w:val="24"/>
                <w:szCs w:val="24"/>
              </w:rPr>
            </w:pPr>
            <w:r w:rsidRPr="003842A9">
              <w:rPr>
                <w:rFonts w:ascii="Times New Roman" w:eastAsia="Times New Roman" w:hAnsi="Times New Roman" w:cs="Times New Roman"/>
                <w:sz w:val="24"/>
                <w:szCs w:val="24"/>
              </w:rPr>
              <w:t>21.9</w:t>
            </w:r>
          </w:p>
        </w:tc>
      </w:tr>
    </w:tbl>
    <w:p w14:paraId="6C22F4F9" w14:textId="6C9FC401" w:rsidR="003842A9" w:rsidRDefault="00A432AD" w:rsidP="003842A9">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2DF55E0E" w14:textId="21A8D2B5" w:rsidR="003E4AFC" w:rsidRP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The table shows that the sample is almost equally distributed by gender, with male and female respondents each accounting for 49.8 percent of the total sample. In terms of age, the majority of respondents (56.9 percent) fall within the 21</w:t>
      </w:r>
      <w:r w:rsidR="00A432AD">
        <w:rPr>
          <w:rFonts w:ascii="Times New Roman" w:hAnsi="Times New Roman" w:cs="Times New Roman"/>
          <w:sz w:val="24"/>
          <w:szCs w:val="24"/>
        </w:rPr>
        <w:t>-</w:t>
      </w:r>
      <w:r w:rsidRPr="003E4AFC">
        <w:rPr>
          <w:rFonts w:ascii="Times New Roman" w:hAnsi="Times New Roman" w:cs="Times New Roman"/>
          <w:sz w:val="24"/>
          <w:szCs w:val="24"/>
        </w:rPr>
        <w:t>23 age group, followed by 31.6 percent in the 18</w:t>
      </w:r>
      <w:r w:rsidR="00A432AD">
        <w:rPr>
          <w:rFonts w:ascii="Times New Roman" w:hAnsi="Times New Roman" w:cs="Times New Roman"/>
          <w:sz w:val="24"/>
          <w:szCs w:val="24"/>
        </w:rPr>
        <w:t>-</w:t>
      </w:r>
      <w:r w:rsidRPr="003E4AFC">
        <w:rPr>
          <w:rFonts w:ascii="Times New Roman" w:hAnsi="Times New Roman" w:cs="Times New Roman"/>
          <w:sz w:val="24"/>
          <w:szCs w:val="24"/>
        </w:rPr>
        <w:t>20 category.</w:t>
      </w:r>
      <w:r>
        <w:rPr>
          <w:rFonts w:ascii="Times New Roman" w:hAnsi="Times New Roman" w:cs="Times New Roman"/>
          <w:sz w:val="24"/>
          <w:szCs w:val="24"/>
        </w:rPr>
        <w:t xml:space="preserve"> </w:t>
      </w:r>
      <w:r w:rsidRPr="003E4AFC">
        <w:rPr>
          <w:rFonts w:ascii="Times New Roman" w:hAnsi="Times New Roman" w:cs="Times New Roman"/>
          <w:sz w:val="24"/>
          <w:szCs w:val="24"/>
        </w:rPr>
        <w:t xml:space="preserve">With regard to course level, a large proportion of the respondents (79.9 percent) are undergraduate students, while 20.1 percent are postgraduate students. In terms of academic discipline, most respondents belong to the Arts and Humanities stream (59.5 percent), followed by </w:t>
      </w:r>
      <w:r w:rsidR="002C5591">
        <w:rPr>
          <w:rFonts w:ascii="Times New Roman" w:hAnsi="Times New Roman" w:cs="Times New Roman"/>
          <w:sz w:val="24"/>
          <w:szCs w:val="24"/>
        </w:rPr>
        <w:t xml:space="preserve">the </w:t>
      </w:r>
      <w:r w:rsidRPr="003E4AFC">
        <w:rPr>
          <w:rFonts w:ascii="Times New Roman" w:hAnsi="Times New Roman" w:cs="Times New Roman"/>
          <w:sz w:val="24"/>
          <w:szCs w:val="24"/>
        </w:rPr>
        <w:t xml:space="preserve">Science (15.6 percent) and Commerce/Management (12.6 percent). A smaller proportion of </w:t>
      </w:r>
      <w:r w:rsidR="002C5591">
        <w:rPr>
          <w:rFonts w:ascii="Times New Roman" w:hAnsi="Times New Roman" w:cs="Times New Roman"/>
          <w:sz w:val="24"/>
          <w:szCs w:val="24"/>
        </w:rPr>
        <w:t xml:space="preserve">the </w:t>
      </w:r>
      <w:r w:rsidRPr="003E4AFC">
        <w:rPr>
          <w:rFonts w:ascii="Times New Roman" w:hAnsi="Times New Roman" w:cs="Times New Roman"/>
          <w:sz w:val="24"/>
          <w:szCs w:val="24"/>
        </w:rPr>
        <w:t>students are from Engineering/Technology and other fields.</w:t>
      </w:r>
    </w:p>
    <w:p w14:paraId="05D64AEE" w14:textId="274AC4B1" w:rsidR="003E4AFC" w:rsidRP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The distribution across year of study indicates that the largest group of respondents (45.4 percent) are in their third year, followed by final-year students (21.9 percent), second-year students (18.2 percent), and first-year students (14.5 percent).</w:t>
      </w:r>
    </w:p>
    <w:p w14:paraId="21B76728" w14:textId="2B789319" w:rsidR="003E4AFC" w:rsidRDefault="003E4AFC" w:rsidP="003E4AFC">
      <w:pPr>
        <w:jc w:val="both"/>
        <w:rPr>
          <w:rFonts w:ascii="Times New Roman" w:hAnsi="Times New Roman" w:cs="Times New Roman"/>
          <w:sz w:val="24"/>
          <w:szCs w:val="24"/>
        </w:rPr>
      </w:pPr>
      <w:r w:rsidRPr="003E4AFC">
        <w:rPr>
          <w:rFonts w:ascii="Times New Roman" w:hAnsi="Times New Roman" w:cs="Times New Roman"/>
          <w:sz w:val="24"/>
          <w:szCs w:val="24"/>
        </w:rPr>
        <w:t>Overall, the sample represents a diverse group of college students, providing a suitable basis for analyzing employability skills and career preparedness.</w:t>
      </w:r>
    </w:p>
    <w:p w14:paraId="31E49369" w14:textId="77777777" w:rsidR="000E721A" w:rsidRPr="000E721A" w:rsidRDefault="000E721A" w:rsidP="000E721A">
      <w:pPr>
        <w:jc w:val="both"/>
        <w:rPr>
          <w:rFonts w:ascii="Times New Roman" w:hAnsi="Times New Roman" w:cs="Times New Roman"/>
          <w:b/>
          <w:sz w:val="24"/>
          <w:szCs w:val="24"/>
        </w:rPr>
      </w:pPr>
      <w:r w:rsidRPr="000E721A">
        <w:rPr>
          <w:rFonts w:ascii="Times New Roman" w:hAnsi="Times New Roman" w:cs="Times New Roman"/>
          <w:b/>
          <w:sz w:val="24"/>
          <w:szCs w:val="24"/>
        </w:rPr>
        <w:t>4.2 Descriptive Analysis of Employability Skills and Career Preparedness</w:t>
      </w:r>
    </w:p>
    <w:p w14:paraId="033B7B2C" w14:textId="77777777" w:rsidR="00862311" w:rsidRDefault="00862311" w:rsidP="000E721A">
      <w:pPr>
        <w:jc w:val="both"/>
        <w:rPr>
          <w:rFonts w:ascii="Times New Roman" w:hAnsi="Times New Roman" w:cs="Times New Roman"/>
          <w:sz w:val="24"/>
          <w:szCs w:val="24"/>
        </w:rPr>
      </w:pPr>
      <w:r w:rsidRPr="00862311">
        <w:rPr>
          <w:rFonts w:ascii="Times New Roman" w:hAnsi="Times New Roman" w:cs="Times New Roman"/>
          <w:sz w:val="24"/>
          <w:szCs w:val="24"/>
          <w:highlight w:val="yellow"/>
        </w:rPr>
        <w:t>The mean scores indicate that students possess a moderate level of employability skills (mean = 3.47) and career preparedness (mean = 3.41) on a 5-point scale. Since both values are only slightly above the neutral midpoint (3.0), the findings suggest that students demonstrate an average level of skills and preparedness rather than a high level. This indicates that while students have developed basic competencies, there remains considerable scope for improvement in strengthening both employability skills and career readiness.</w:t>
      </w:r>
    </w:p>
    <w:p w14:paraId="4AD40608" w14:textId="7E14E8FF" w:rsidR="000E721A" w:rsidRDefault="000E721A" w:rsidP="000E721A">
      <w:pPr>
        <w:jc w:val="both"/>
        <w:rPr>
          <w:rFonts w:ascii="Times New Roman" w:hAnsi="Times New Roman" w:cs="Times New Roman"/>
          <w:b/>
          <w:sz w:val="24"/>
          <w:szCs w:val="24"/>
        </w:rPr>
      </w:pPr>
      <w:r w:rsidRPr="000E721A">
        <w:rPr>
          <w:rFonts w:ascii="Times New Roman" w:hAnsi="Times New Roman" w:cs="Times New Roman"/>
          <w:b/>
          <w:sz w:val="24"/>
          <w:szCs w:val="24"/>
        </w:rPr>
        <w:t>Table 2</w:t>
      </w:r>
      <w:r w:rsidR="00E678FF">
        <w:rPr>
          <w:rFonts w:ascii="Times New Roman" w:hAnsi="Times New Roman" w:cs="Times New Roman"/>
          <w:b/>
          <w:sz w:val="24"/>
          <w:szCs w:val="24"/>
        </w:rPr>
        <w:t>.</w:t>
      </w:r>
      <w:r w:rsidRPr="000E721A">
        <w:rPr>
          <w:rFonts w:ascii="Times New Roman" w:hAnsi="Times New Roman" w:cs="Times New Roman"/>
          <w:b/>
          <w:sz w:val="24"/>
          <w:szCs w:val="24"/>
        </w:rPr>
        <w:t xml:space="preserve"> Descriptive Statistics of Key Variables</w:t>
      </w:r>
    </w:p>
    <w:tbl>
      <w:tblPr>
        <w:tblStyle w:val="TableGrid"/>
        <w:tblW w:w="9359" w:type="dxa"/>
        <w:tblLook w:val="04A0" w:firstRow="1" w:lastRow="0" w:firstColumn="1" w:lastColumn="0" w:noHBand="0" w:noVBand="1"/>
      </w:tblPr>
      <w:tblGrid>
        <w:gridCol w:w="3937"/>
        <w:gridCol w:w="1439"/>
        <w:gridCol w:w="3983"/>
      </w:tblGrid>
      <w:tr w:rsidR="000E721A" w:rsidRPr="000E721A" w14:paraId="206A18EF" w14:textId="77777777" w:rsidTr="000E721A">
        <w:trPr>
          <w:trHeight w:val="335"/>
        </w:trPr>
        <w:tc>
          <w:tcPr>
            <w:tcW w:w="0" w:type="auto"/>
            <w:hideMark/>
          </w:tcPr>
          <w:p w14:paraId="0775A9C2"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Variable</w:t>
            </w:r>
          </w:p>
        </w:tc>
        <w:tc>
          <w:tcPr>
            <w:tcW w:w="0" w:type="auto"/>
            <w:hideMark/>
          </w:tcPr>
          <w:p w14:paraId="47FE3F2F"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Mean</w:t>
            </w:r>
          </w:p>
        </w:tc>
        <w:tc>
          <w:tcPr>
            <w:tcW w:w="0" w:type="auto"/>
            <w:hideMark/>
          </w:tcPr>
          <w:p w14:paraId="7FCAC164" w14:textId="77777777" w:rsidR="000E721A" w:rsidRPr="000E721A" w:rsidRDefault="000E721A" w:rsidP="000E721A">
            <w:pPr>
              <w:rPr>
                <w:rFonts w:ascii="Times New Roman" w:eastAsia="Times New Roman" w:hAnsi="Times New Roman" w:cs="Times New Roman"/>
                <w:b/>
                <w:bCs/>
                <w:sz w:val="24"/>
                <w:szCs w:val="24"/>
              </w:rPr>
            </w:pPr>
            <w:r w:rsidRPr="000E721A">
              <w:rPr>
                <w:rFonts w:ascii="Times New Roman" w:eastAsia="Times New Roman" w:hAnsi="Times New Roman" w:cs="Times New Roman"/>
                <w:b/>
                <w:bCs/>
                <w:sz w:val="24"/>
                <w:szCs w:val="24"/>
              </w:rPr>
              <w:t>Standard Deviation</w:t>
            </w:r>
          </w:p>
        </w:tc>
      </w:tr>
      <w:tr w:rsidR="000E721A" w:rsidRPr="000E721A" w14:paraId="4A7E73FB" w14:textId="77777777" w:rsidTr="000E721A">
        <w:trPr>
          <w:trHeight w:val="359"/>
        </w:trPr>
        <w:tc>
          <w:tcPr>
            <w:tcW w:w="0" w:type="auto"/>
            <w:hideMark/>
          </w:tcPr>
          <w:p w14:paraId="214B4931"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Employability Skills</w:t>
            </w:r>
          </w:p>
        </w:tc>
        <w:tc>
          <w:tcPr>
            <w:tcW w:w="0" w:type="auto"/>
            <w:hideMark/>
          </w:tcPr>
          <w:p w14:paraId="60439166"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3.47</w:t>
            </w:r>
          </w:p>
        </w:tc>
        <w:tc>
          <w:tcPr>
            <w:tcW w:w="0" w:type="auto"/>
            <w:hideMark/>
          </w:tcPr>
          <w:p w14:paraId="1B2DE387"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0.66</w:t>
            </w:r>
          </w:p>
        </w:tc>
      </w:tr>
      <w:tr w:rsidR="000E721A" w:rsidRPr="000E721A" w14:paraId="36C5D13D" w14:textId="77777777" w:rsidTr="000E721A">
        <w:trPr>
          <w:trHeight w:val="311"/>
        </w:trPr>
        <w:tc>
          <w:tcPr>
            <w:tcW w:w="0" w:type="auto"/>
            <w:hideMark/>
          </w:tcPr>
          <w:p w14:paraId="70343807"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Career Preparedness</w:t>
            </w:r>
          </w:p>
        </w:tc>
        <w:tc>
          <w:tcPr>
            <w:tcW w:w="0" w:type="auto"/>
            <w:hideMark/>
          </w:tcPr>
          <w:p w14:paraId="1E564833"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3.41</w:t>
            </w:r>
          </w:p>
        </w:tc>
        <w:tc>
          <w:tcPr>
            <w:tcW w:w="0" w:type="auto"/>
            <w:hideMark/>
          </w:tcPr>
          <w:p w14:paraId="6F1C967B" w14:textId="77777777" w:rsidR="000E721A" w:rsidRPr="000E721A" w:rsidRDefault="000E721A" w:rsidP="000E721A">
            <w:pPr>
              <w:rPr>
                <w:rFonts w:ascii="Times New Roman" w:eastAsia="Times New Roman" w:hAnsi="Times New Roman" w:cs="Times New Roman"/>
                <w:sz w:val="24"/>
                <w:szCs w:val="24"/>
              </w:rPr>
            </w:pPr>
            <w:r w:rsidRPr="000E721A">
              <w:rPr>
                <w:rFonts w:ascii="Times New Roman" w:eastAsia="Times New Roman" w:hAnsi="Times New Roman" w:cs="Times New Roman"/>
                <w:sz w:val="24"/>
                <w:szCs w:val="24"/>
              </w:rPr>
              <w:t>0.69</w:t>
            </w:r>
          </w:p>
        </w:tc>
      </w:tr>
    </w:tbl>
    <w:p w14:paraId="0D3935CE" w14:textId="7FDA2FAD" w:rsidR="000E721A" w:rsidRPr="00A432AD" w:rsidRDefault="00A432AD" w:rsidP="000E721A">
      <w:pPr>
        <w:jc w:val="both"/>
        <w:rPr>
          <w:rFonts w:ascii="Times New Roman" w:hAnsi="Times New Roman" w:cs="Times New Roman"/>
          <w:b/>
          <w:sz w:val="24"/>
          <w:szCs w:val="24"/>
        </w:rPr>
      </w:pPr>
      <w:r w:rsidRPr="00A432AD">
        <w:rPr>
          <w:rFonts w:ascii="Times New Roman" w:hAnsi="Times New Roman" w:cs="Times New Roman"/>
          <w:b/>
          <w:sz w:val="24"/>
          <w:szCs w:val="24"/>
        </w:rPr>
        <w:lastRenderedPageBreak/>
        <w:t xml:space="preserve">Source: </w:t>
      </w:r>
      <w:r w:rsidRPr="00A432AD">
        <w:rPr>
          <w:rFonts w:ascii="Times New Roman" w:hAnsi="Times New Roman" w:cs="Times New Roman"/>
          <w:sz w:val="24"/>
          <w:szCs w:val="24"/>
        </w:rPr>
        <w:t>Author’s calculation based on primary data</w:t>
      </w:r>
    </w:p>
    <w:p w14:paraId="6AA269AA" w14:textId="6C5D74BC" w:rsidR="00A50C61" w:rsidRDefault="00A50C61" w:rsidP="000E721A">
      <w:pPr>
        <w:jc w:val="both"/>
        <w:rPr>
          <w:rFonts w:ascii="Times New Roman" w:hAnsi="Times New Roman" w:cs="Times New Roman"/>
          <w:sz w:val="24"/>
          <w:szCs w:val="24"/>
        </w:rPr>
      </w:pPr>
      <w:r w:rsidRPr="00A50C61">
        <w:rPr>
          <w:rFonts w:ascii="Times New Roman" w:hAnsi="Times New Roman" w:cs="Times New Roman"/>
          <w:sz w:val="24"/>
          <w:szCs w:val="24"/>
        </w:rPr>
        <w:t>The relatively close values of the mean scores suggest that students’ level of career preparedness is broadly aligned with their level of employability skills. However, since both mean values are only slightly above the neutral point (3), there remains scope for improvement, particularly in strengthening specific skill areas and enhancing career readiness initiatives among students.</w:t>
      </w:r>
    </w:p>
    <w:p w14:paraId="59CE5675" w14:textId="0078172F" w:rsidR="00ED57B4" w:rsidRDefault="00ED57B4" w:rsidP="00ED57B4">
      <w:pPr>
        <w:jc w:val="both"/>
        <w:rPr>
          <w:rFonts w:ascii="Times New Roman" w:hAnsi="Times New Roman" w:cs="Times New Roman"/>
          <w:b/>
          <w:sz w:val="24"/>
          <w:szCs w:val="24"/>
        </w:rPr>
      </w:pPr>
      <w:r w:rsidRPr="00ED57B4">
        <w:rPr>
          <w:rFonts w:ascii="Times New Roman" w:hAnsi="Times New Roman" w:cs="Times New Roman"/>
          <w:b/>
          <w:sz w:val="24"/>
          <w:szCs w:val="24"/>
        </w:rPr>
        <w:t>Figure 1</w:t>
      </w:r>
      <w:r w:rsidR="00E678FF">
        <w:rPr>
          <w:rFonts w:ascii="Times New Roman" w:hAnsi="Times New Roman" w:cs="Times New Roman"/>
          <w:b/>
          <w:sz w:val="24"/>
          <w:szCs w:val="24"/>
        </w:rPr>
        <w:t>.</w:t>
      </w:r>
      <w:r w:rsidRPr="00ED57B4">
        <w:rPr>
          <w:rFonts w:ascii="Times New Roman" w:hAnsi="Times New Roman" w:cs="Times New Roman"/>
          <w:b/>
          <w:sz w:val="24"/>
          <w:szCs w:val="24"/>
        </w:rPr>
        <w:t xml:space="preserve"> Mean Scores of Employability Skills and Career Preparedness</w:t>
      </w:r>
    </w:p>
    <w:p w14:paraId="6E6D3E84" w14:textId="6C62F273" w:rsidR="00ED57B4" w:rsidRPr="00ED57B4" w:rsidRDefault="00ED57B4" w:rsidP="00ED57B4">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AFC2562" wp14:editId="1515DD97">
            <wp:extent cx="4678878" cy="2398816"/>
            <wp:effectExtent l="0" t="0" r="762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7AEC89" w14:textId="488DB705" w:rsidR="00ED57B4" w:rsidRPr="00A432AD" w:rsidRDefault="00A432AD" w:rsidP="00ED57B4">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1B0E5921" w14:textId="2A5E5EB3" w:rsidR="001E4970" w:rsidRDefault="00862311" w:rsidP="00ED57B4">
      <w:pPr>
        <w:jc w:val="both"/>
        <w:rPr>
          <w:rFonts w:ascii="Times New Roman" w:hAnsi="Times New Roman" w:cs="Times New Roman"/>
          <w:sz w:val="24"/>
          <w:szCs w:val="24"/>
        </w:rPr>
      </w:pPr>
      <w:r w:rsidRPr="00862311">
        <w:rPr>
          <w:rFonts w:ascii="Times New Roman" w:hAnsi="Times New Roman" w:cs="Times New Roman"/>
          <w:sz w:val="24"/>
          <w:szCs w:val="24"/>
          <w:highlight w:val="yellow"/>
        </w:rPr>
        <w:t>Figure 1 illustrates that the mean score of employability skills (3.47) is marginally higher than that of career preparedness (3.41). This suggests that although students perceive themselves to possess certain employability skills, their confidence in applying these skills in real-world career contexts is relatively lower. The slight gap highlights the need for better alignment between skill acquisition and practical career readiness</w:t>
      </w:r>
      <w:r w:rsidR="001007E7" w:rsidRPr="00862311">
        <w:rPr>
          <w:rFonts w:ascii="Times New Roman" w:hAnsi="Times New Roman" w:cs="Times New Roman"/>
          <w:sz w:val="24"/>
          <w:szCs w:val="24"/>
          <w:highlight w:val="yellow"/>
        </w:rPr>
        <w:t>.</w:t>
      </w:r>
    </w:p>
    <w:p w14:paraId="3ECBB947" w14:textId="77777777" w:rsidR="001007E7" w:rsidRPr="001007E7" w:rsidRDefault="001007E7" w:rsidP="001007E7">
      <w:pPr>
        <w:jc w:val="both"/>
        <w:rPr>
          <w:rFonts w:ascii="Times New Roman" w:hAnsi="Times New Roman" w:cs="Times New Roman"/>
          <w:b/>
          <w:sz w:val="24"/>
          <w:szCs w:val="24"/>
        </w:rPr>
      </w:pPr>
      <w:r w:rsidRPr="001007E7">
        <w:rPr>
          <w:rFonts w:ascii="Times New Roman" w:hAnsi="Times New Roman" w:cs="Times New Roman"/>
          <w:b/>
          <w:sz w:val="24"/>
          <w:szCs w:val="24"/>
        </w:rPr>
        <w:t>4.3 Correlation Analysis between Employability Skills and Career Preparedness</w:t>
      </w:r>
    </w:p>
    <w:p w14:paraId="2F0E06CA" w14:textId="42F994BA" w:rsidR="00A50C61" w:rsidRPr="00A50C61" w:rsidRDefault="00AA0AAE" w:rsidP="00A50C61">
      <w:pPr>
        <w:jc w:val="both"/>
        <w:rPr>
          <w:rFonts w:ascii="Times New Roman" w:hAnsi="Times New Roman" w:cs="Times New Roman"/>
          <w:sz w:val="24"/>
          <w:szCs w:val="24"/>
        </w:rPr>
      </w:pPr>
      <w:r w:rsidRPr="00E13671">
        <w:rPr>
          <w:rFonts w:ascii="Times New Roman" w:hAnsi="Times New Roman" w:cs="Times New Roman"/>
          <w:sz w:val="24"/>
          <w:szCs w:val="24"/>
          <w:highlight w:val="yellow"/>
        </w:rPr>
        <w:t>The Pearson’s correlation analysis reveals a positive and statistically significant relationship between employability skills and career preparedness (r = 0.64, p &lt; 0.01). The magnitude of the correlation coefficient indicates a moderately strong relationship, suggesting that improvements in employability skills are associated with higher levels of career preparedness among students. The statistical significance confirms that this relationship is unlikely to have occurred by chance. Therefore, the null hypothesis is rejected, and it can be inferred that employability skills play a significant role in influencing students’ readiness for future careers.</w:t>
      </w:r>
    </w:p>
    <w:p w14:paraId="57686B67" w14:textId="640CCA57" w:rsidR="000722F6" w:rsidRPr="000722F6" w:rsidRDefault="000722F6" w:rsidP="001007E7">
      <w:pPr>
        <w:jc w:val="both"/>
        <w:rPr>
          <w:rFonts w:ascii="Times New Roman" w:hAnsi="Times New Roman" w:cs="Times New Roman"/>
          <w:b/>
          <w:sz w:val="24"/>
          <w:szCs w:val="24"/>
        </w:rPr>
      </w:pPr>
      <w:r w:rsidRPr="000722F6">
        <w:rPr>
          <w:rFonts w:ascii="Times New Roman" w:hAnsi="Times New Roman" w:cs="Times New Roman"/>
          <w:b/>
          <w:sz w:val="24"/>
          <w:szCs w:val="24"/>
        </w:rPr>
        <w:t>Table 3</w:t>
      </w:r>
      <w:r w:rsidR="00E678FF">
        <w:rPr>
          <w:rFonts w:ascii="Times New Roman" w:hAnsi="Times New Roman" w:cs="Times New Roman"/>
          <w:b/>
          <w:sz w:val="24"/>
          <w:szCs w:val="24"/>
        </w:rPr>
        <w:t>.</w:t>
      </w:r>
      <w:r w:rsidRPr="000722F6">
        <w:rPr>
          <w:rFonts w:ascii="Times New Roman" w:hAnsi="Times New Roman" w:cs="Times New Roman"/>
          <w:b/>
          <w:sz w:val="24"/>
          <w:szCs w:val="24"/>
        </w:rPr>
        <w:t xml:space="preserve"> Correlation between Employability Skills and Career Preparedness</w:t>
      </w:r>
    </w:p>
    <w:tbl>
      <w:tblPr>
        <w:tblStyle w:val="TableGrid"/>
        <w:tblW w:w="9351" w:type="dxa"/>
        <w:tblLook w:val="04A0" w:firstRow="1" w:lastRow="0" w:firstColumn="1" w:lastColumn="0" w:noHBand="0" w:noVBand="1"/>
      </w:tblPr>
      <w:tblGrid>
        <w:gridCol w:w="2991"/>
        <w:gridCol w:w="3117"/>
        <w:gridCol w:w="3243"/>
      </w:tblGrid>
      <w:tr w:rsidR="001007E7" w:rsidRPr="001007E7" w14:paraId="26FD0A1C" w14:textId="77777777" w:rsidTr="001007E7">
        <w:trPr>
          <w:trHeight w:val="302"/>
        </w:trPr>
        <w:tc>
          <w:tcPr>
            <w:tcW w:w="0" w:type="auto"/>
            <w:hideMark/>
          </w:tcPr>
          <w:p w14:paraId="7B615B39"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Variables</w:t>
            </w:r>
          </w:p>
        </w:tc>
        <w:tc>
          <w:tcPr>
            <w:tcW w:w="0" w:type="auto"/>
            <w:hideMark/>
          </w:tcPr>
          <w:p w14:paraId="60F5A320"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Employability Skills</w:t>
            </w:r>
          </w:p>
        </w:tc>
        <w:tc>
          <w:tcPr>
            <w:tcW w:w="0" w:type="auto"/>
            <w:hideMark/>
          </w:tcPr>
          <w:p w14:paraId="4A7FE18F" w14:textId="77777777" w:rsidR="001007E7" w:rsidRPr="001007E7" w:rsidRDefault="001007E7" w:rsidP="001007E7">
            <w:pPr>
              <w:rPr>
                <w:rFonts w:ascii="Times New Roman" w:eastAsia="Times New Roman" w:hAnsi="Times New Roman" w:cs="Times New Roman"/>
                <w:b/>
                <w:bCs/>
                <w:sz w:val="24"/>
                <w:szCs w:val="24"/>
              </w:rPr>
            </w:pPr>
            <w:r w:rsidRPr="001007E7">
              <w:rPr>
                <w:rFonts w:ascii="Times New Roman" w:eastAsia="Times New Roman" w:hAnsi="Times New Roman" w:cs="Times New Roman"/>
                <w:b/>
                <w:bCs/>
                <w:sz w:val="24"/>
                <w:szCs w:val="24"/>
              </w:rPr>
              <w:t>Career Preparedness</w:t>
            </w:r>
          </w:p>
        </w:tc>
      </w:tr>
      <w:tr w:rsidR="001007E7" w:rsidRPr="001007E7" w14:paraId="06AE38D0" w14:textId="77777777" w:rsidTr="001007E7">
        <w:trPr>
          <w:trHeight w:val="324"/>
        </w:trPr>
        <w:tc>
          <w:tcPr>
            <w:tcW w:w="0" w:type="auto"/>
            <w:hideMark/>
          </w:tcPr>
          <w:p w14:paraId="5479A1DF"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Employability Skills</w:t>
            </w:r>
          </w:p>
        </w:tc>
        <w:tc>
          <w:tcPr>
            <w:tcW w:w="0" w:type="auto"/>
            <w:hideMark/>
          </w:tcPr>
          <w:p w14:paraId="5943CFB6"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1</w:t>
            </w:r>
          </w:p>
        </w:tc>
        <w:tc>
          <w:tcPr>
            <w:tcW w:w="0" w:type="auto"/>
            <w:hideMark/>
          </w:tcPr>
          <w:p w14:paraId="198461F2"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0.64**</w:t>
            </w:r>
          </w:p>
        </w:tc>
      </w:tr>
      <w:tr w:rsidR="001007E7" w:rsidRPr="001007E7" w14:paraId="5132F31C" w14:textId="77777777" w:rsidTr="001007E7">
        <w:trPr>
          <w:trHeight w:val="280"/>
        </w:trPr>
        <w:tc>
          <w:tcPr>
            <w:tcW w:w="0" w:type="auto"/>
            <w:hideMark/>
          </w:tcPr>
          <w:p w14:paraId="64C64A5E"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Career Preparedness</w:t>
            </w:r>
          </w:p>
        </w:tc>
        <w:tc>
          <w:tcPr>
            <w:tcW w:w="0" w:type="auto"/>
            <w:hideMark/>
          </w:tcPr>
          <w:p w14:paraId="261FEAF1"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0.64**</w:t>
            </w:r>
          </w:p>
        </w:tc>
        <w:tc>
          <w:tcPr>
            <w:tcW w:w="0" w:type="auto"/>
            <w:hideMark/>
          </w:tcPr>
          <w:p w14:paraId="3184DD85" w14:textId="77777777" w:rsidR="001007E7" w:rsidRPr="001007E7" w:rsidRDefault="001007E7" w:rsidP="001007E7">
            <w:pPr>
              <w:rPr>
                <w:rFonts w:ascii="Times New Roman" w:eastAsia="Times New Roman" w:hAnsi="Times New Roman" w:cs="Times New Roman"/>
                <w:sz w:val="24"/>
                <w:szCs w:val="24"/>
              </w:rPr>
            </w:pPr>
            <w:r w:rsidRPr="001007E7">
              <w:rPr>
                <w:rFonts w:ascii="Times New Roman" w:eastAsia="Times New Roman" w:hAnsi="Times New Roman" w:cs="Times New Roman"/>
                <w:sz w:val="24"/>
                <w:szCs w:val="24"/>
              </w:rPr>
              <w:t>1</w:t>
            </w:r>
          </w:p>
        </w:tc>
      </w:tr>
    </w:tbl>
    <w:p w14:paraId="67D38CBE" w14:textId="16B93232" w:rsidR="001007E7" w:rsidRPr="00A432AD" w:rsidRDefault="00A432AD" w:rsidP="001007E7">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r>
        <w:rPr>
          <w:rFonts w:ascii="Times New Roman" w:hAnsi="Times New Roman" w:cs="Times New Roman"/>
          <w:sz w:val="24"/>
          <w:szCs w:val="24"/>
        </w:rPr>
        <w:t xml:space="preserve">          </w:t>
      </w:r>
      <w:r w:rsidR="001007E7" w:rsidRPr="00E678FF">
        <w:rPr>
          <w:rFonts w:ascii="Times New Roman" w:hAnsi="Times New Roman" w:cs="Times New Roman"/>
          <w:b/>
          <w:sz w:val="24"/>
          <w:szCs w:val="24"/>
        </w:rPr>
        <w:t>Note:</w:t>
      </w:r>
      <w:r w:rsidR="001007E7" w:rsidRPr="001007E7">
        <w:rPr>
          <w:rFonts w:ascii="Times New Roman" w:hAnsi="Times New Roman" w:cs="Times New Roman"/>
          <w:sz w:val="24"/>
          <w:szCs w:val="24"/>
        </w:rPr>
        <w:t xml:space="preserve"> p &lt; 0.01 (significant at 1% level)</w:t>
      </w:r>
    </w:p>
    <w:p w14:paraId="69731F95" w14:textId="18BC080A" w:rsidR="001007E7" w:rsidRPr="001007E7" w:rsidRDefault="001007E7" w:rsidP="001007E7">
      <w:pPr>
        <w:jc w:val="both"/>
        <w:rPr>
          <w:rFonts w:ascii="Times New Roman" w:hAnsi="Times New Roman" w:cs="Times New Roman"/>
          <w:b/>
          <w:sz w:val="24"/>
          <w:szCs w:val="24"/>
        </w:rPr>
      </w:pPr>
      <w:r w:rsidRPr="001007E7">
        <w:rPr>
          <w:rFonts w:ascii="Times New Roman" w:hAnsi="Times New Roman" w:cs="Times New Roman"/>
          <w:b/>
          <w:sz w:val="24"/>
          <w:szCs w:val="24"/>
        </w:rPr>
        <w:lastRenderedPageBreak/>
        <w:t>Figure 2</w:t>
      </w:r>
      <w:r w:rsidR="00E678FF">
        <w:rPr>
          <w:rFonts w:ascii="Times New Roman" w:hAnsi="Times New Roman" w:cs="Times New Roman"/>
          <w:b/>
          <w:sz w:val="24"/>
          <w:szCs w:val="24"/>
        </w:rPr>
        <w:t>.</w:t>
      </w:r>
      <w:r w:rsidRPr="001007E7">
        <w:rPr>
          <w:rFonts w:ascii="Times New Roman" w:hAnsi="Times New Roman" w:cs="Times New Roman"/>
          <w:b/>
          <w:sz w:val="24"/>
          <w:szCs w:val="24"/>
        </w:rPr>
        <w:t xml:space="preserve"> Relationship between Employability Skills and Career Preparedness</w:t>
      </w:r>
    </w:p>
    <w:p w14:paraId="492B29F3" w14:textId="441CA2D0" w:rsidR="001007E7" w:rsidRDefault="008D7CA9" w:rsidP="001007E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9EF0CA" wp14:editId="2932A202">
            <wp:extent cx="4168239" cy="276797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png"/>
                    <pic:cNvPicPr/>
                  </pic:nvPicPr>
                  <pic:blipFill>
                    <a:blip r:embed="rId8">
                      <a:extLst>
                        <a:ext uri="{28A0092B-C50C-407E-A947-70E740481C1C}">
                          <a14:useLocalDpi xmlns:a14="http://schemas.microsoft.com/office/drawing/2010/main" val="0"/>
                        </a:ext>
                      </a:extLst>
                    </a:blip>
                    <a:stretch>
                      <a:fillRect/>
                    </a:stretch>
                  </pic:blipFill>
                  <pic:spPr>
                    <a:xfrm>
                      <a:off x="0" y="0"/>
                      <a:ext cx="4186591" cy="2780158"/>
                    </a:xfrm>
                    <a:prstGeom prst="rect">
                      <a:avLst/>
                    </a:prstGeom>
                  </pic:spPr>
                </pic:pic>
              </a:graphicData>
            </a:graphic>
          </wp:inline>
        </w:drawing>
      </w:r>
    </w:p>
    <w:p w14:paraId="351FDF96" w14:textId="436AEAD8" w:rsidR="001007E7" w:rsidRPr="00E678FF" w:rsidRDefault="00E678FF" w:rsidP="001007E7">
      <w:pPr>
        <w:jc w:val="both"/>
        <w:rPr>
          <w:rFonts w:ascii="Times New Roman" w:hAnsi="Times New Roman" w:cs="Times New Roman"/>
          <w:b/>
          <w:sz w:val="24"/>
          <w:szCs w:val="24"/>
        </w:rPr>
      </w:pPr>
      <w:r w:rsidRPr="00A432AD">
        <w:rPr>
          <w:rFonts w:ascii="Times New Roman" w:hAnsi="Times New Roman" w:cs="Times New Roman"/>
          <w:b/>
          <w:sz w:val="24"/>
          <w:szCs w:val="24"/>
        </w:rPr>
        <w:t xml:space="preserve">Source: </w:t>
      </w:r>
      <w:r w:rsidRPr="00A432AD">
        <w:rPr>
          <w:rFonts w:ascii="Times New Roman" w:hAnsi="Times New Roman" w:cs="Times New Roman"/>
          <w:sz w:val="24"/>
          <w:szCs w:val="24"/>
        </w:rPr>
        <w:t>Author’s calculation based on primary data</w:t>
      </w:r>
    </w:p>
    <w:p w14:paraId="008F7518" w14:textId="1AF8B1C1" w:rsidR="001007E7" w:rsidRPr="001007E7" w:rsidRDefault="003F0769" w:rsidP="001007E7">
      <w:pPr>
        <w:jc w:val="both"/>
        <w:rPr>
          <w:rFonts w:ascii="Times New Roman" w:hAnsi="Times New Roman" w:cs="Times New Roman"/>
          <w:sz w:val="24"/>
          <w:szCs w:val="24"/>
        </w:rPr>
      </w:pPr>
      <w:r w:rsidRPr="003F0769">
        <w:rPr>
          <w:rFonts w:ascii="Times New Roman" w:hAnsi="Times New Roman" w:cs="Times New Roman"/>
          <w:sz w:val="24"/>
          <w:szCs w:val="24"/>
          <w:highlight w:val="yellow"/>
        </w:rPr>
        <w:t>The scatter plot further supports the correlation findings by illustrating a clear upward trend, indicating a positive linear relationship between employability skills and career preparedness. The distribution of data points suggests consistency in this relationship across respondents, reinforcing the conclusion that higher employability skills are associated with greater career readiness</w:t>
      </w:r>
      <w:r w:rsidR="001007E7" w:rsidRPr="003F0769">
        <w:rPr>
          <w:rFonts w:ascii="Times New Roman" w:hAnsi="Times New Roman" w:cs="Times New Roman"/>
          <w:sz w:val="24"/>
          <w:szCs w:val="24"/>
          <w:highlight w:val="yellow"/>
        </w:rPr>
        <w:t>.</w:t>
      </w:r>
    </w:p>
    <w:p w14:paraId="1A4EB0E4" w14:textId="77777777" w:rsidR="00532EE4" w:rsidRDefault="00532EE4" w:rsidP="00B10C19">
      <w:pPr>
        <w:jc w:val="both"/>
        <w:rPr>
          <w:rFonts w:ascii="Times New Roman" w:hAnsi="Times New Roman" w:cs="Times New Roman"/>
          <w:b/>
          <w:sz w:val="24"/>
          <w:szCs w:val="24"/>
        </w:rPr>
      </w:pPr>
    </w:p>
    <w:p w14:paraId="23D6599A" w14:textId="6151CDBD" w:rsidR="00B10C19" w:rsidRPr="00600C1E" w:rsidRDefault="00B10C19" w:rsidP="00B10C19">
      <w:pPr>
        <w:jc w:val="both"/>
        <w:rPr>
          <w:rFonts w:ascii="Times New Roman" w:hAnsi="Times New Roman" w:cs="Times New Roman"/>
          <w:b/>
          <w:sz w:val="24"/>
          <w:szCs w:val="24"/>
        </w:rPr>
      </w:pPr>
      <w:r w:rsidRPr="00B10C19">
        <w:rPr>
          <w:rFonts w:ascii="Times New Roman" w:hAnsi="Times New Roman" w:cs="Times New Roman"/>
          <w:b/>
          <w:sz w:val="24"/>
          <w:szCs w:val="24"/>
        </w:rPr>
        <w:t>5. Discussion</w:t>
      </w:r>
    </w:p>
    <w:p w14:paraId="22B60CD7" w14:textId="4474CA85" w:rsidR="00C76106" w:rsidRDefault="00C76106" w:rsidP="00B10C19">
      <w:pPr>
        <w:jc w:val="both"/>
        <w:rPr>
          <w:rFonts w:ascii="Times New Roman" w:hAnsi="Times New Roman" w:cs="Times New Roman"/>
          <w:sz w:val="24"/>
          <w:szCs w:val="24"/>
        </w:rPr>
      </w:pPr>
      <w:r w:rsidRPr="00C76106">
        <w:rPr>
          <w:rFonts w:ascii="Times New Roman" w:hAnsi="Times New Roman" w:cs="Times New Roman"/>
          <w:sz w:val="24"/>
          <w:szCs w:val="24"/>
          <w:highlight w:val="yellow"/>
        </w:rPr>
        <w:t xml:space="preserve">The findings of this study show that college students in Nagaland have a modest level of employability skills and career preparation. This is consistent with previous research indicating that higher education institutions are increasingly </w:t>
      </w:r>
      <w:proofErr w:type="spellStart"/>
      <w:r w:rsidRPr="00C76106">
        <w:rPr>
          <w:rFonts w:ascii="Times New Roman" w:hAnsi="Times New Roman" w:cs="Times New Roman"/>
          <w:sz w:val="24"/>
          <w:szCs w:val="24"/>
          <w:highlight w:val="yellow"/>
        </w:rPr>
        <w:t>recognising</w:t>
      </w:r>
      <w:proofErr w:type="spellEnd"/>
      <w:r w:rsidRPr="00C76106">
        <w:rPr>
          <w:rFonts w:ascii="Times New Roman" w:hAnsi="Times New Roman" w:cs="Times New Roman"/>
          <w:sz w:val="24"/>
          <w:szCs w:val="24"/>
          <w:highlight w:val="yellow"/>
        </w:rPr>
        <w:t xml:space="preserve"> the importance of employability development, despite significant gaps between academic learning and </w:t>
      </w:r>
      <w:proofErr w:type="spellStart"/>
      <w:r w:rsidRPr="00C76106">
        <w:rPr>
          <w:rFonts w:ascii="Times New Roman" w:hAnsi="Times New Roman" w:cs="Times New Roman"/>
          <w:sz w:val="24"/>
          <w:szCs w:val="24"/>
          <w:highlight w:val="yellow"/>
        </w:rPr>
        <w:t>labour</w:t>
      </w:r>
      <w:proofErr w:type="spellEnd"/>
      <w:r w:rsidRPr="00C76106">
        <w:rPr>
          <w:rFonts w:ascii="Times New Roman" w:hAnsi="Times New Roman" w:cs="Times New Roman"/>
          <w:sz w:val="24"/>
          <w:szCs w:val="24"/>
          <w:highlight w:val="yellow"/>
        </w:rPr>
        <w:t xml:space="preserve"> market demands. Communication, teamwork, adaptability, and problem-solving are among the most consistently demanded employability skills, according to Tushar and </w:t>
      </w:r>
      <w:proofErr w:type="spellStart"/>
      <w:r w:rsidRPr="00C76106">
        <w:rPr>
          <w:rFonts w:ascii="Times New Roman" w:hAnsi="Times New Roman" w:cs="Times New Roman"/>
          <w:sz w:val="24"/>
          <w:szCs w:val="24"/>
          <w:highlight w:val="yellow"/>
        </w:rPr>
        <w:t>Sooraksa</w:t>
      </w:r>
      <w:proofErr w:type="spellEnd"/>
      <w:r w:rsidRPr="00C76106">
        <w:rPr>
          <w:rFonts w:ascii="Times New Roman" w:hAnsi="Times New Roman" w:cs="Times New Roman"/>
          <w:sz w:val="24"/>
          <w:szCs w:val="24"/>
          <w:highlight w:val="yellow"/>
        </w:rPr>
        <w:t xml:space="preserve"> (2023), while </w:t>
      </w:r>
      <w:proofErr w:type="spellStart"/>
      <w:r w:rsidRPr="00C76106">
        <w:rPr>
          <w:rFonts w:ascii="Times New Roman" w:hAnsi="Times New Roman" w:cs="Times New Roman"/>
          <w:sz w:val="24"/>
          <w:szCs w:val="24"/>
          <w:highlight w:val="yellow"/>
        </w:rPr>
        <w:t>Scandurra</w:t>
      </w:r>
      <w:proofErr w:type="spellEnd"/>
      <w:r w:rsidRPr="00C76106">
        <w:rPr>
          <w:rFonts w:ascii="Times New Roman" w:hAnsi="Times New Roman" w:cs="Times New Roman"/>
          <w:sz w:val="24"/>
          <w:szCs w:val="24"/>
          <w:highlight w:val="yellow"/>
        </w:rPr>
        <w:t xml:space="preserve"> et al. (2024) observe that higher education employability </w:t>
      </w:r>
      <w:proofErr w:type="spellStart"/>
      <w:r w:rsidRPr="00C76106">
        <w:rPr>
          <w:rFonts w:ascii="Times New Roman" w:hAnsi="Times New Roman" w:cs="Times New Roman"/>
          <w:sz w:val="24"/>
          <w:szCs w:val="24"/>
          <w:highlight w:val="yellow"/>
        </w:rPr>
        <w:t>programmes</w:t>
      </w:r>
      <w:proofErr w:type="spellEnd"/>
      <w:r w:rsidRPr="00C76106">
        <w:rPr>
          <w:rFonts w:ascii="Times New Roman" w:hAnsi="Times New Roman" w:cs="Times New Roman"/>
          <w:sz w:val="24"/>
          <w:szCs w:val="24"/>
          <w:highlight w:val="yellow"/>
        </w:rPr>
        <w:t xml:space="preserve"> are frequently valued but not always supported by robust outcome evidence. The intermediate ratings discovered in this study indicate that students have fundamental employability traits, but additional strengthening through practical exposure, career development assistance, and institution-industry connection is required</w:t>
      </w:r>
      <w:r>
        <w:rPr>
          <w:rFonts w:ascii="Times New Roman" w:hAnsi="Times New Roman" w:cs="Times New Roman"/>
          <w:sz w:val="24"/>
          <w:szCs w:val="24"/>
          <w:highlight w:val="yellow"/>
        </w:rPr>
        <w:t>.</w:t>
      </w:r>
    </w:p>
    <w:p w14:paraId="01BA9627" w14:textId="066D1B1E" w:rsidR="009864CA" w:rsidRDefault="009864CA" w:rsidP="00B10C19">
      <w:pPr>
        <w:jc w:val="both"/>
        <w:rPr>
          <w:rFonts w:ascii="Times New Roman" w:hAnsi="Times New Roman" w:cs="Times New Roman"/>
          <w:sz w:val="24"/>
          <w:szCs w:val="24"/>
        </w:rPr>
      </w:pPr>
      <w:r w:rsidRPr="009864CA">
        <w:rPr>
          <w:rFonts w:ascii="Times New Roman" w:hAnsi="Times New Roman" w:cs="Times New Roman"/>
          <w:sz w:val="24"/>
          <w:szCs w:val="24"/>
        </w:rPr>
        <w:t>The correlation analysis showed a positive and highly significant connection between employability skills and career preparedness. In other words, students who are good at employability skills generally feel more oriented to their careers in the future. Employability skills from the standpoint of human capital can be considered as an expression of individual capital that strengthens one</w:t>
      </w:r>
      <w:r w:rsidR="003805FC">
        <w:rPr>
          <w:rFonts w:ascii="Times New Roman" w:hAnsi="Times New Roman" w:cs="Times New Roman"/>
          <w:sz w:val="24"/>
          <w:szCs w:val="24"/>
        </w:rPr>
        <w:t>’</w:t>
      </w:r>
      <w:r w:rsidRPr="009864CA">
        <w:rPr>
          <w:rFonts w:ascii="Times New Roman" w:hAnsi="Times New Roman" w:cs="Times New Roman"/>
          <w:sz w:val="24"/>
          <w:szCs w:val="24"/>
        </w:rPr>
        <w:t xml:space="preserve">s capacity to fulfill job demands and successfully relocate in the labor market. The results are in line with the literature, which highlights that apart from getting to know the study </w:t>
      </w:r>
      <w:r w:rsidRPr="009864CA">
        <w:rPr>
          <w:rFonts w:ascii="Times New Roman" w:hAnsi="Times New Roman" w:cs="Times New Roman"/>
          <w:sz w:val="24"/>
          <w:szCs w:val="24"/>
        </w:rPr>
        <w:lastRenderedPageBreak/>
        <w:t>content, the skills of interacting, cooperating, and being able to change are very significant for being ready for a career.</w:t>
      </w:r>
    </w:p>
    <w:p w14:paraId="4E2BDB13" w14:textId="52BFD1BB" w:rsidR="0000442E" w:rsidRDefault="00662C2D" w:rsidP="00B10C19">
      <w:pPr>
        <w:jc w:val="both"/>
        <w:rPr>
          <w:rFonts w:ascii="Times New Roman" w:hAnsi="Times New Roman" w:cs="Times New Roman"/>
          <w:sz w:val="24"/>
          <w:szCs w:val="24"/>
        </w:rPr>
      </w:pPr>
      <w:r w:rsidRPr="00662C2D">
        <w:rPr>
          <w:rFonts w:ascii="Times New Roman" w:hAnsi="Times New Roman" w:cs="Times New Roman"/>
          <w:sz w:val="24"/>
          <w:szCs w:val="24"/>
          <w:highlight w:val="yellow"/>
        </w:rPr>
        <w:t xml:space="preserve">Overall, the findings emphasize the need for higher education institutions to adopt a more skill-oriented approach to learning. Initiatives such as internships, industry collaborations, workshops, and structured career guidance </w:t>
      </w:r>
      <w:proofErr w:type="spellStart"/>
      <w:r w:rsidRPr="00662C2D">
        <w:rPr>
          <w:rFonts w:ascii="Times New Roman" w:hAnsi="Times New Roman" w:cs="Times New Roman"/>
          <w:sz w:val="24"/>
          <w:szCs w:val="24"/>
          <w:highlight w:val="yellow"/>
        </w:rPr>
        <w:t>programmes</w:t>
      </w:r>
      <w:proofErr w:type="spellEnd"/>
      <w:r w:rsidRPr="00662C2D">
        <w:rPr>
          <w:rFonts w:ascii="Times New Roman" w:hAnsi="Times New Roman" w:cs="Times New Roman"/>
          <w:sz w:val="24"/>
          <w:szCs w:val="24"/>
          <w:highlight w:val="yellow"/>
        </w:rPr>
        <w:t xml:space="preserve"> can play a crucial role in bridging the gap between academic knowledge and </w:t>
      </w:r>
      <w:proofErr w:type="spellStart"/>
      <w:r w:rsidRPr="00662C2D">
        <w:rPr>
          <w:rFonts w:ascii="Times New Roman" w:hAnsi="Times New Roman" w:cs="Times New Roman"/>
          <w:sz w:val="24"/>
          <w:szCs w:val="24"/>
          <w:highlight w:val="yellow"/>
        </w:rPr>
        <w:t>labour</w:t>
      </w:r>
      <w:proofErr w:type="spellEnd"/>
      <w:r w:rsidRPr="00662C2D">
        <w:rPr>
          <w:rFonts w:ascii="Times New Roman" w:hAnsi="Times New Roman" w:cs="Times New Roman"/>
          <w:sz w:val="24"/>
          <w:szCs w:val="24"/>
          <w:highlight w:val="yellow"/>
        </w:rPr>
        <w:t xml:space="preserve"> market requirements. Strengthening these areas would enhance students’ ability to translate their skills into practical career outcomes, thereby improving overall employability and career preparedness</w:t>
      </w:r>
      <w:r w:rsidR="0000442E" w:rsidRPr="00662C2D">
        <w:rPr>
          <w:rFonts w:ascii="Times New Roman" w:hAnsi="Times New Roman" w:cs="Times New Roman"/>
          <w:sz w:val="24"/>
          <w:szCs w:val="24"/>
          <w:highlight w:val="yellow"/>
        </w:rPr>
        <w:t>.</w:t>
      </w:r>
    </w:p>
    <w:p w14:paraId="58EABC17" w14:textId="37DEBC52" w:rsidR="00583CDE" w:rsidRDefault="00583CDE" w:rsidP="00B10C19">
      <w:pPr>
        <w:jc w:val="both"/>
        <w:rPr>
          <w:rFonts w:ascii="Times New Roman" w:hAnsi="Times New Roman" w:cs="Times New Roman"/>
          <w:sz w:val="24"/>
          <w:szCs w:val="24"/>
        </w:rPr>
      </w:pPr>
      <w:r w:rsidRPr="00583CDE">
        <w:rPr>
          <w:rFonts w:ascii="Times New Roman" w:hAnsi="Times New Roman" w:cs="Times New Roman"/>
          <w:sz w:val="24"/>
          <w:szCs w:val="24"/>
          <w:highlight w:val="yellow"/>
        </w:rPr>
        <w:t xml:space="preserve">This interpretation is further supported by recent review evidence showing that practical employability interventions and better alignment between institutions and </w:t>
      </w:r>
      <w:proofErr w:type="spellStart"/>
      <w:r w:rsidRPr="00583CDE">
        <w:rPr>
          <w:rFonts w:ascii="Times New Roman" w:hAnsi="Times New Roman" w:cs="Times New Roman"/>
          <w:sz w:val="24"/>
          <w:szCs w:val="24"/>
          <w:highlight w:val="yellow"/>
        </w:rPr>
        <w:t>labour</w:t>
      </w:r>
      <w:proofErr w:type="spellEnd"/>
      <w:r w:rsidRPr="00583CDE">
        <w:rPr>
          <w:rFonts w:ascii="Times New Roman" w:hAnsi="Times New Roman" w:cs="Times New Roman"/>
          <w:sz w:val="24"/>
          <w:szCs w:val="24"/>
          <w:highlight w:val="yellow"/>
        </w:rPr>
        <w:t xml:space="preserve"> market needs are associated with stronger graduate readiness outcomes (</w:t>
      </w:r>
      <w:proofErr w:type="spellStart"/>
      <w:r w:rsidRPr="00583CDE">
        <w:rPr>
          <w:rFonts w:ascii="Times New Roman" w:hAnsi="Times New Roman" w:cs="Times New Roman"/>
          <w:sz w:val="24"/>
          <w:szCs w:val="24"/>
          <w:highlight w:val="yellow"/>
        </w:rPr>
        <w:t>Barachino</w:t>
      </w:r>
      <w:proofErr w:type="spellEnd"/>
      <w:r w:rsidRPr="00583CDE">
        <w:rPr>
          <w:rFonts w:ascii="Times New Roman" w:hAnsi="Times New Roman" w:cs="Times New Roman"/>
          <w:sz w:val="24"/>
          <w:szCs w:val="24"/>
          <w:highlight w:val="yellow"/>
        </w:rPr>
        <w:t xml:space="preserve"> et al., 2025; </w:t>
      </w:r>
      <w:proofErr w:type="spellStart"/>
      <w:r w:rsidRPr="00583CDE">
        <w:rPr>
          <w:rFonts w:ascii="Times New Roman" w:hAnsi="Times New Roman" w:cs="Times New Roman"/>
          <w:sz w:val="24"/>
          <w:szCs w:val="24"/>
          <w:highlight w:val="yellow"/>
        </w:rPr>
        <w:t>Amarathunga</w:t>
      </w:r>
      <w:proofErr w:type="spellEnd"/>
      <w:r w:rsidRPr="00583CDE">
        <w:rPr>
          <w:rFonts w:ascii="Times New Roman" w:hAnsi="Times New Roman" w:cs="Times New Roman"/>
          <w:sz w:val="24"/>
          <w:szCs w:val="24"/>
          <w:highlight w:val="yellow"/>
        </w:rPr>
        <w:t xml:space="preserve"> et al., 2024).</w:t>
      </w:r>
    </w:p>
    <w:p w14:paraId="5735E9A6" w14:textId="77777777" w:rsidR="00D11E9F" w:rsidRDefault="00D11E9F" w:rsidP="00B10C19">
      <w:pPr>
        <w:jc w:val="both"/>
        <w:rPr>
          <w:rFonts w:ascii="Times New Roman" w:hAnsi="Times New Roman" w:cs="Times New Roman"/>
          <w:sz w:val="24"/>
          <w:szCs w:val="24"/>
        </w:rPr>
      </w:pPr>
    </w:p>
    <w:p w14:paraId="1CCFFAD4" w14:textId="047F17F6" w:rsidR="002D186B" w:rsidRPr="002D186B" w:rsidRDefault="002D186B" w:rsidP="002D186B">
      <w:pPr>
        <w:jc w:val="both"/>
        <w:rPr>
          <w:rFonts w:ascii="Times New Roman" w:hAnsi="Times New Roman" w:cs="Times New Roman"/>
          <w:b/>
          <w:sz w:val="24"/>
          <w:szCs w:val="24"/>
        </w:rPr>
      </w:pPr>
      <w:r w:rsidRPr="002D186B">
        <w:rPr>
          <w:rFonts w:ascii="Times New Roman" w:hAnsi="Times New Roman" w:cs="Times New Roman"/>
          <w:b/>
          <w:sz w:val="24"/>
          <w:szCs w:val="24"/>
        </w:rPr>
        <w:t>6. Conclusion and Recommendations</w:t>
      </w:r>
    </w:p>
    <w:p w14:paraId="181793B8" w14:textId="5B02EFEA" w:rsidR="009864CA" w:rsidRDefault="009864CA" w:rsidP="00D11E9F">
      <w:pPr>
        <w:jc w:val="both"/>
        <w:rPr>
          <w:rFonts w:ascii="Times New Roman" w:hAnsi="Times New Roman" w:cs="Times New Roman"/>
          <w:sz w:val="24"/>
          <w:szCs w:val="24"/>
        </w:rPr>
      </w:pPr>
      <w:r w:rsidRPr="009864CA">
        <w:rPr>
          <w:rFonts w:ascii="Times New Roman" w:hAnsi="Times New Roman" w:cs="Times New Roman"/>
          <w:sz w:val="24"/>
          <w:szCs w:val="24"/>
        </w:rPr>
        <w:t>The present study focused on assessing the level of employability skills and career preparedness of the college students of Nagaland. It also examined the link between these two variables. The results show that the students have an average level of employability skills and career preparedness, which means that though the students have been given some fundamental abilities, there are still many opportunities for them to be better. Besides, the study reveals a positive and statistically significant correlation between employability skills and career preparedness. This means that the acquisition of skills such as communication teamwork adaptability, and decision-making contributes significantly to the enhancement of one's readiness for a career after studies. In this context, the study underscores the role of skill development as a part of higher education in raising the employability of students</w:t>
      </w:r>
      <w:r>
        <w:rPr>
          <w:rFonts w:ascii="Times New Roman" w:hAnsi="Times New Roman" w:cs="Times New Roman"/>
          <w:sz w:val="24"/>
          <w:szCs w:val="24"/>
        </w:rPr>
        <w:t xml:space="preserve">. </w:t>
      </w:r>
    </w:p>
    <w:p w14:paraId="32ACD2B9" w14:textId="5EF02671" w:rsidR="00D11E9F" w:rsidRDefault="0008261E" w:rsidP="00D11E9F">
      <w:pPr>
        <w:jc w:val="both"/>
        <w:rPr>
          <w:rFonts w:ascii="Times New Roman" w:hAnsi="Times New Roman" w:cs="Times New Roman"/>
          <w:sz w:val="24"/>
          <w:szCs w:val="24"/>
        </w:rPr>
      </w:pPr>
      <w:r w:rsidRPr="0008261E">
        <w:rPr>
          <w:rFonts w:ascii="Times New Roman" w:hAnsi="Times New Roman" w:cs="Times New Roman"/>
          <w:sz w:val="24"/>
          <w:szCs w:val="24"/>
        </w:rPr>
        <w:t xml:space="preserve">The study suggests that </w:t>
      </w:r>
      <w:r>
        <w:rPr>
          <w:rFonts w:ascii="Times New Roman" w:hAnsi="Times New Roman" w:cs="Times New Roman"/>
          <w:sz w:val="24"/>
          <w:szCs w:val="24"/>
        </w:rPr>
        <w:t>colleges</w:t>
      </w:r>
      <w:r w:rsidRPr="0008261E">
        <w:rPr>
          <w:rFonts w:ascii="Times New Roman" w:hAnsi="Times New Roman" w:cs="Times New Roman"/>
          <w:sz w:val="24"/>
          <w:szCs w:val="24"/>
        </w:rPr>
        <w:t xml:space="preserve"> can switch to a skill-oriented model by adding hands-on training, internships, and bringing students closer to the real-time industry environment through the curriculum. Besides, enhancing career guidance, and counseling services can make a student more aware of the opportunities in the career field as well as the skills that are required. Lawmakers and teachers should be in contact to create a program that would develop all the skills of a student and at the same time prepare the student for the job market</w:t>
      </w:r>
      <w:r w:rsidR="00D11E9F" w:rsidRPr="00D11E9F">
        <w:rPr>
          <w:rFonts w:ascii="Times New Roman" w:hAnsi="Times New Roman" w:cs="Times New Roman"/>
          <w:sz w:val="24"/>
          <w:szCs w:val="24"/>
        </w:rPr>
        <w:t>.</w:t>
      </w:r>
    </w:p>
    <w:p w14:paraId="40EBF26B" w14:textId="77777777" w:rsidR="00D11E9F" w:rsidRDefault="00D11E9F" w:rsidP="002D186B">
      <w:pPr>
        <w:jc w:val="both"/>
        <w:rPr>
          <w:rFonts w:ascii="Times New Roman" w:hAnsi="Times New Roman" w:cs="Times New Roman"/>
          <w:sz w:val="24"/>
          <w:szCs w:val="24"/>
        </w:rPr>
      </w:pPr>
    </w:p>
    <w:p w14:paraId="28DA59DF" w14:textId="15AC91B1" w:rsidR="002D186B" w:rsidRPr="002D186B" w:rsidRDefault="002D186B" w:rsidP="002D186B">
      <w:pPr>
        <w:jc w:val="both"/>
        <w:rPr>
          <w:rFonts w:ascii="Times New Roman" w:hAnsi="Times New Roman" w:cs="Times New Roman"/>
          <w:b/>
          <w:sz w:val="24"/>
          <w:szCs w:val="24"/>
        </w:rPr>
      </w:pPr>
      <w:r w:rsidRPr="002D186B">
        <w:rPr>
          <w:rFonts w:ascii="Times New Roman" w:hAnsi="Times New Roman" w:cs="Times New Roman"/>
          <w:b/>
          <w:sz w:val="24"/>
          <w:szCs w:val="24"/>
        </w:rPr>
        <w:t>6.1 Limitations of the Study</w:t>
      </w:r>
    </w:p>
    <w:p w14:paraId="1855EBEE" w14:textId="43AA2B58" w:rsidR="0086640C" w:rsidRPr="0086640C" w:rsidRDefault="0086640C" w:rsidP="0086640C">
      <w:pPr>
        <w:jc w:val="both"/>
        <w:rPr>
          <w:rFonts w:ascii="Times New Roman" w:hAnsi="Times New Roman" w:cs="Times New Roman"/>
          <w:sz w:val="24"/>
          <w:szCs w:val="24"/>
          <w:highlight w:val="yellow"/>
        </w:rPr>
      </w:pPr>
      <w:r w:rsidRPr="0086640C">
        <w:rPr>
          <w:rFonts w:ascii="Times New Roman" w:hAnsi="Times New Roman" w:cs="Times New Roman"/>
          <w:sz w:val="24"/>
          <w:szCs w:val="24"/>
          <w:highlight w:val="yellow"/>
        </w:rPr>
        <w:t xml:space="preserve">Despite its merits, the study has certain shortcomings that need to be noted. First, the use of a non-probability convenience sampling approach reduces the findings' </w:t>
      </w:r>
      <w:proofErr w:type="spellStart"/>
      <w:r w:rsidRPr="0086640C">
        <w:rPr>
          <w:rFonts w:ascii="Times New Roman" w:hAnsi="Times New Roman" w:cs="Times New Roman"/>
          <w:sz w:val="24"/>
          <w:szCs w:val="24"/>
          <w:highlight w:val="yellow"/>
        </w:rPr>
        <w:t>generalisability</w:t>
      </w:r>
      <w:proofErr w:type="spellEnd"/>
      <w:r w:rsidRPr="0086640C">
        <w:rPr>
          <w:rFonts w:ascii="Times New Roman" w:hAnsi="Times New Roman" w:cs="Times New Roman"/>
          <w:sz w:val="24"/>
          <w:szCs w:val="24"/>
          <w:highlight w:val="yellow"/>
        </w:rPr>
        <w:t xml:space="preserve"> outside the sample population. Future research may use probability-based sampling strategies to increase representativeness.</w:t>
      </w:r>
      <w:r>
        <w:rPr>
          <w:rFonts w:ascii="Times New Roman" w:hAnsi="Times New Roman" w:cs="Times New Roman"/>
          <w:sz w:val="24"/>
          <w:szCs w:val="24"/>
          <w:highlight w:val="yellow"/>
        </w:rPr>
        <w:t xml:space="preserve"> </w:t>
      </w:r>
      <w:r w:rsidRPr="0086640C">
        <w:rPr>
          <w:rFonts w:ascii="Times New Roman" w:hAnsi="Times New Roman" w:cs="Times New Roman"/>
          <w:sz w:val="24"/>
          <w:szCs w:val="24"/>
          <w:highlight w:val="yellow"/>
        </w:rPr>
        <w:t>Second, the study is based on self-reported data, which may be susceptible to response bias, such as social desirability and individual perception bias. As a result, claimed levels of employability and job preparation may not accurately represent real competences.</w:t>
      </w:r>
    </w:p>
    <w:p w14:paraId="50CCAEE1" w14:textId="77777777" w:rsidR="0086640C" w:rsidRDefault="0086640C" w:rsidP="0086640C">
      <w:pPr>
        <w:jc w:val="both"/>
        <w:rPr>
          <w:rFonts w:ascii="Times New Roman" w:hAnsi="Times New Roman" w:cs="Times New Roman"/>
          <w:sz w:val="24"/>
          <w:szCs w:val="24"/>
        </w:rPr>
      </w:pPr>
      <w:r w:rsidRPr="0086640C">
        <w:rPr>
          <w:rFonts w:ascii="Times New Roman" w:hAnsi="Times New Roman" w:cs="Times New Roman"/>
          <w:sz w:val="24"/>
          <w:szCs w:val="24"/>
          <w:highlight w:val="yellow"/>
        </w:rPr>
        <w:lastRenderedPageBreak/>
        <w:t>Third, the study only included college students from Nagaland, which may limit the findings' application to other geographical or institutional contexts. Comparative research of various areas or states may give more comprehensive insights on employability and career readiness.</w:t>
      </w:r>
    </w:p>
    <w:p w14:paraId="01FA88DC" w14:textId="0A0083CB" w:rsidR="007F664A" w:rsidRDefault="00662C2D" w:rsidP="0086640C">
      <w:pPr>
        <w:jc w:val="both"/>
        <w:rPr>
          <w:rFonts w:ascii="Times New Roman" w:hAnsi="Times New Roman" w:cs="Times New Roman"/>
          <w:sz w:val="24"/>
          <w:szCs w:val="24"/>
        </w:rPr>
      </w:pPr>
      <w:r w:rsidRPr="00F60856">
        <w:rPr>
          <w:rFonts w:ascii="Times New Roman" w:hAnsi="Times New Roman" w:cs="Times New Roman"/>
          <w:sz w:val="24"/>
          <w:szCs w:val="24"/>
          <w:highlight w:val="yellow"/>
        </w:rPr>
        <w:t>Finally, the study focuses on a limited set of variables and does not consider other potentially influential factors such as institutional support, socio-economic background, or internship experience. Future research may incorporate additional variables and adopt mixed-method approaches to gain a more comprehensive understanding of the factors influencing career preparedness.</w:t>
      </w:r>
    </w:p>
    <w:p w14:paraId="1DAED7CF" w14:textId="77777777" w:rsidR="00E34AEF" w:rsidRDefault="00E34AEF" w:rsidP="002D186B">
      <w:pPr>
        <w:jc w:val="both"/>
        <w:rPr>
          <w:rFonts w:ascii="Times New Roman" w:hAnsi="Times New Roman" w:cs="Times New Roman"/>
          <w:sz w:val="24"/>
          <w:szCs w:val="24"/>
        </w:rPr>
      </w:pPr>
    </w:p>
    <w:p w14:paraId="17D0175B" w14:textId="77777777" w:rsidR="00E34AEF" w:rsidRPr="00E34AEF" w:rsidRDefault="00E34AEF" w:rsidP="00E34AEF">
      <w:pPr>
        <w:spacing w:after="200" w:line="276" w:lineRule="auto"/>
        <w:rPr>
          <w:rFonts w:ascii="Arial" w:eastAsia="Times New Roman" w:hAnsi="Arial" w:cs="Arial"/>
          <w:b/>
          <w:bCs/>
          <w:lang w:val="en-GB" w:eastAsia="en-GB"/>
        </w:rPr>
      </w:pPr>
      <w:r w:rsidRPr="00E34AEF">
        <w:rPr>
          <w:rFonts w:ascii="Arial" w:eastAsia="Times New Roman" w:hAnsi="Arial" w:cs="Arial"/>
          <w:b/>
          <w:bCs/>
          <w:lang w:val="en-GB" w:eastAsia="en-GB"/>
        </w:rPr>
        <w:t>COMPETING INTERESTS DISCLAIMER:</w:t>
      </w:r>
    </w:p>
    <w:p w14:paraId="251CB4C2" w14:textId="77777777" w:rsidR="00E34AEF" w:rsidRPr="00E34AEF" w:rsidRDefault="00E34AEF" w:rsidP="00E34AEF">
      <w:pPr>
        <w:spacing w:after="200" w:line="276" w:lineRule="auto"/>
        <w:rPr>
          <w:rFonts w:ascii="Calibri" w:eastAsia="Times New Roman" w:hAnsi="Calibri" w:cs="Times New Roman"/>
          <w:lang w:val="en-GB" w:eastAsia="en-GB"/>
        </w:rPr>
      </w:pPr>
      <w:r w:rsidRPr="00E34AE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ED683CB" w14:textId="77777777" w:rsidR="00FA6E22" w:rsidRPr="00005ED1" w:rsidRDefault="00FA6E22" w:rsidP="00FA6E22">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D58BFB4" w14:textId="06988098" w:rsidR="00C80BD3" w:rsidRDefault="00C80BD3" w:rsidP="00FA6E22">
      <w:pPr>
        <w:pStyle w:val="NoSpacing"/>
        <w:rPr>
          <w:rFonts w:ascii="Arial" w:hAnsi="Arial" w:cs="Arial"/>
          <w:highlight w:val="yellow"/>
        </w:rPr>
      </w:pPr>
    </w:p>
    <w:p w14:paraId="2389ECD6" w14:textId="78B3779C" w:rsidR="00C80BD3" w:rsidRPr="004505FF" w:rsidRDefault="00C80BD3" w:rsidP="00C80BD3">
      <w:pPr>
        <w:pStyle w:val="NoSpacing"/>
        <w:jc w:val="both"/>
        <w:rPr>
          <w:rFonts w:ascii="Arial" w:hAnsi="Arial" w:cs="Arial"/>
          <w:highlight w:val="yellow"/>
        </w:rPr>
      </w:pPr>
      <w:r w:rsidRPr="004505FF">
        <w:rPr>
          <w:rFonts w:ascii="Arial" w:hAnsi="Arial" w:cs="Arial"/>
          <w:highlight w:val="yellow"/>
        </w:rPr>
        <w:t>The author(s) declare that generative artificial intelligence tools were used only for language editing and improving clarity of the manuscript. AI     was     not     used     for     data     collection, analysis, interpretation, or generation of scholarly content.</w:t>
      </w:r>
    </w:p>
    <w:p w14:paraId="6B0C9071" w14:textId="77777777" w:rsidR="00FA6E22" w:rsidRDefault="00FA6E22" w:rsidP="00FA6E22">
      <w:pPr>
        <w:pStyle w:val="NoSpacing"/>
        <w:rPr>
          <w:rFonts w:ascii="Arial" w:hAnsi="Arial" w:cs="Arial"/>
        </w:rPr>
      </w:pPr>
      <w:bookmarkStart w:id="1" w:name="_GoBack"/>
      <w:bookmarkEnd w:id="0"/>
      <w:bookmarkEnd w:id="1"/>
    </w:p>
    <w:p w14:paraId="3FE51A4B" w14:textId="77777777" w:rsidR="00E34AEF" w:rsidRDefault="00E34AEF" w:rsidP="002D186B">
      <w:pPr>
        <w:jc w:val="both"/>
        <w:rPr>
          <w:rFonts w:ascii="Times New Roman" w:hAnsi="Times New Roman" w:cs="Times New Roman"/>
          <w:sz w:val="24"/>
          <w:szCs w:val="24"/>
        </w:rPr>
      </w:pPr>
    </w:p>
    <w:p w14:paraId="0CAF7961" w14:textId="1ABAD65A" w:rsidR="00411861" w:rsidRPr="009864CA" w:rsidRDefault="00411861" w:rsidP="00411861">
      <w:pPr>
        <w:jc w:val="both"/>
        <w:rPr>
          <w:rFonts w:ascii="Times New Roman" w:hAnsi="Times New Roman" w:cs="Times New Roman"/>
          <w:b/>
          <w:sz w:val="24"/>
          <w:szCs w:val="24"/>
        </w:rPr>
      </w:pPr>
      <w:r w:rsidRPr="008B311C">
        <w:rPr>
          <w:rFonts w:ascii="Times New Roman" w:hAnsi="Times New Roman" w:cs="Times New Roman"/>
          <w:b/>
          <w:sz w:val="24"/>
          <w:szCs w:val="24"/>
        </w:rPr>
        <w:t>References</w:t>
      </w:r>
    </w:p>
    <w:p w14:paraId="53CFA459" w14:textId="4999C68A" w:rsidR="00B02EC5" w:rsidRDefault="00B02EC5" w:rsidP="00411861">
      <w:pPr>
        <w:pStyle w:val="ListParagraph"/>
        <w:numPr>
          <w:ilvl w:val="0"/>
          <w:numId w:val="1"/>
        </w:numPr>
        <w:spacing w:after="0"/>
        <w:ind w:left="360"/>
        <w:jc w:val="both"/>
        <w:rPr>
          <w:rFonts w:ascii="Times New Roman" w:hAnsi="Times New Roman" w:cs="Times New Roman"/>
          <w:sz w:val="24"/>
          <w:szCs w:val="24"/>
        </w:rPr>
      </w:pPr>
      <w:proofErr w:type="spellStart"/>
      <w:r w:rsidRPr="00E7649F">
        <w:rPr>
          <w:rFonts w:ascii="Times New Roman" w:hAnsi="Times New Roman" w:cs="Times New Roman"/>
          <w:sz w:val="24"/>
          <w:szCs w:val="24"/>
          <w:highlight w:val="yellow"/>
        </w:rPr>
        <w:t>Amarathunga</w:t>
      </w:r>
      <w:proofErr w:type="spellEnd"/>
      <w:r w:rsidRPr="00E7649F">
        <w:rPr>
          <w:rFonts w:ascii="Times New Roman" w:hAnsi="Times New Roman" w:cs="Times New Roman"/>
          <w:sz w:val="24"/>
          <w:szCs w:val="24"/>
          <w:highlight w:val="yellow"/>
        </w:rPr>
        <w:t xml:space="preserve">, B., </w:t>
      </w:r>
      <w:proofErr w:type="spellStart"/>
      <w:r w:rsidRPr="00E7649F">
        <w:rPr>
          <w:rFonts w:ascii="Times New Roman" w:hAnsi="Times New Roman" w:cs="Times New Roman"/>
          <w:sz w:val="24"/>
          <w:szCs w:val="24"/>
          <w:highlight w:val="yellow"/>
        </w:rPr>
        <w:t>Khatibi</w:t>
      </w:r>
      <w:proofErr w:type="spellEnd"/>
      <w:r w:rsidRPr="00E7649F">
        <w:rPr>
          <w:rFonts w:ascii="Times New Roman" w:hAnsi="Times New Roman" w:cs="Times New Roman"/>
          <w:sz w:val="24"/>
          <w:szCs w:val="24"/>
          <w:highlight w:val="yellow"/>
        </w:rPr>
        <w:t xml:space="preserve">, A., Talib, Z. M., Azam, S. M. F., &amp; </w:t>
      </w:r>
      <w:proofErr w:type="spellStart"/>
      <w:r w:rsidRPr="00E7649F">
        <w:rPr>
          <w:rFonts w:ascii="Times New Roman" w:hAnsi="Times New Roman" w:cs="Times New Roman"/>
          <w:sz w:val="24"/>
          <w:szCs w:val="24"/>
          <w:highlight w:val="yellow"/>
        </w:rPr>
        <w:t>Tham</w:t>
      </w:r>
      <w:proofErr w:type="spellEnd"/>
      <w:r w:rsidRPr="00E7649F">
        <w:rPr>
          <w:rFonts w:ascii="Times New Roman" w:hAnsi="Times New Roman" w:cs="Times New Roman"/>
          <w:sz w:val="24"/>
          <w:szCs w:val="24"/>
          <w:highlight w:val="yellow"/>
        </w:rPr>
        <w:t xml:space="preserve">, J. (2024). Graduate employability skills, trending avenues and research gaps: a systematic literature review and bibliometric analysis. </w:t>
      </w:r>
      <w:r w:rsidRPr="006344C8">
        <w:rPr>
          <w:rFonts w:ascii="Times New Roman" w:hAnsi="Times New Roman" w:cs="Times New Roman"/>
          <w:i/>
          <w:sz w:val="24"/>
          <w:szCs w:val="24"/>
          <w:highlight w:val="yellow"/>
        </w:rPr>
        <w:t>Asian Education and Development Studies, 13(4),</w:t>
      </w:r>
      <w:r w:rsidRPr="00E7649F">
        <w:rPr>
          <w:rFonts w:ascii="Times New Roman" w:hAnsi="Times New Roman" w:cs="Times New Roman"/>
          <w:sz w:val="24"/>
          <w:szCs w:val="24"/>
          <w:highlight w:val="yellow"/>
        </w:rPr>
        <w:t xml:space="preserve"> 320-339. </w:t>
      </w:r>
      <w:hyperlink r:id="rId9" w:history="1">
        <w:r w:rsidRPr="00E7649F">
          <w:rPr>
            <w:rStyle w:val="Hyperlink"/>
            <w:rFonts w:ascii="Times New Roman" w:hAnsi="Times New Roman" w:cs="Times New Roman"/>
            <w:sz w:val="24"/>
            <w:szCs w:val="24"/>
            <w:highlight w:val="yellow"/>
          </w:rPr>
          <w:t>https://doi.org/10.1108/AEDS-04-2024-0085</w:t>
        </w:r>
      </w:hyperlink>
      <w:r>
        <w:rPr>
          <w:rFonts w:ascii="Times New Roman" w:hAnsi="Times New Roman" w:cs="Times New Roman"/>
          <w:sz w:val="24"/>
          <w:szCs w:val="24"/>
        </w:rPr>
        <w:t xml:space="preserve"> </w:t>
      </w:r>
    </w:p>
    <w:p w14:paraId="2B628B7A" w14:textId="77777777" w:rsidR="00B02EC5" w:rsidRDefault="00B02EC5" w:rsidP="00B02EC5">
      <w:pPr>
        <w:pStyle w:val="ListParagraph"/>
        <w:spacing w:after="0"/>
        <w:ind w:left="360"/>
        <w:jc w:val="both"/>
        <w:rPr>
          <w:rFonts w:ascii="Times New Roman" w:hAnsi="Times New Roman" w:cs="Times New Roman"/>
          <w:sz w:val="24"/>
          <w:szCs w:val="24"/>
        </w:rPr>
      </w:pPr>
    </w:p>
    <w:p w14:paraId="42D02DD1" w14:textId="515B127B" w:rsid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Andrews, J., &amp; Higson, H. (2008). Graduate employability, ‘soft skills’ versus ‘hard’ business knowledge: A European study. </w:t>
      </w:r>
      <w:r w:rsidRPr="006344C8">
        <w:rPr>
          <w:rFonts w:ascii="Times New Roman" w:hAnsi="Times New Roman" w:cs="Times New Roman"/>
          <w:i/>
          <w:sz w:val="24"/>
          <w:szCs w:val="24"/>
        </w:rPr>
        <w:t>Higher Education in Europe, 33(4),</w:t>
      </w:r>
      <w:r w:rsidRPr="00411861">
        <w:rPr>
          <w:rFonts w:ascii="Times New Roman" w:hAnsi="Times New Roman" w:cs="Times New Roman"/>
          <w:sz w:val="24"/>
          <w:szCs w:val="24"/>
        </w:rPr>
        <w:t xml:space="preserve"> 411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422. </w:t>
      </w:r>
      <w:hyperlink r:id="rId10" w:history="1">
        <w:r w:rsidR="008B311C" w:rsidRPr="00EB1503">
          <w:rPr>
            <w:rStyle w:val="Hyperlink"/>
            <w:rFonts w:ascii="Times New Roman" w:hAnsi="Times New Roman" w:cs="Times New Roman"/>
            <w:sz w:val="24"/>
            <w:szCs w:val="24"/>
          </w:rPr>
          <w:t>https://doi.org/10.1080/03797720802522627</w:t>
        </w:r>
      </w:hyperlink>
      <w:r w:rsidR="008B311C">
        <w:rPr>
          <w:rFonts w:ascii="Times New Roman" w:hAnsi="Times New Roman" w:cs="Times New Roman"/>
          <w:sz w:val="24"/>
          <w:szCs w:val="24"/>
        </w:rPr>
        <w:t xml:space="preserve"> </w:t>
      </w:r>
    </w:p>
    <w:p w14:paraId="2DE0D66C" w14:textId="77777777" w:rsidR="00FE3189" w:rsidRDefault="00FE3189" w:rsidP="00FE3189">
      <w:pPr>
        <w:pStyle w:val="ListParagraph"/>
        <w:spacing w:after="0"/>
        <w:ind w:left="360"/>
        <w:jc w:val="both"/>
        <w:rPr>
          <w:rFonts w:ascii="Times New Roman" w:hAnsi="Times New Roman" w:cs="Times New Roman"/>
          <w:sz w:val="24"/>
          <w:szCs w:val="24"/>
        </w:rPr>
      </w:pPr>
    </w:p>
    <w:p w14:paraId="6825FABD" w14:textId="5C8300EB" w:rsidR="00FE3189" w:rsidRPr="00FE3189" w:rsidRDefault="00FE3189" w:rsidP="00411861">
      <w:pPr>
        <w:pStyle w:val="ListParagraph"/>
        <w:numPr>
          <w:ilvl w:val="0"/>
          <w:numId w:val="1"/>
        </w:numPr>
        <w:spacing w:after="0"/>
        <w:ind w:left="360"/>
        <w:jc w:val="both"/>
        <w:rPr>
          <w:rFonts w:ascii="Times New Roman" w:hAnsi="Times New Roman" w:cs="Times New Roman"/>
          <w:sz w:val="24"/>
          <w:szCs w:val="24"/>
          <w:highlight w:val="yellow"/>
        </w:rPr>
      </w:pPr>
      <w:proofErr w:type="spellStart"/>
      <w:r w:rsidRPr="00FE3189">
        <w:rPr>
          <w:rFonts w:ascii="Times New Roman" w:hAnsi="Times New Roman" w:cs="Times New Roman"/>
          <w:sz w:val="24"/>
          <w:szCs w:val="24"/>
          <w:highlight w:val="yellow"/>
        </w:rPr>
        <w:t>Barachino</w:t>
      </w:r>
      <w:proofErr w:type="spellEnd"/>
      <w:r w:rsidRPr="00FE3189">
        <w:rPr>
          <w:rFonts w:ascii="Times New Roman" w:hAnsi="Times New Roman" w:cs="Times New Roman"/>
          <w:sz w:val="24"/>
          <w:szCs w:val="24"/>
          <w:highlight w:val="yellow"/>
        </w:rPr>
        <w:t xml:space="preserve">, H., Timmermans, A., </w:t>
      </w:r>
      <w:proofErr w:type="spellStart"/>
      <w:r w:rsidRPr="00FE3189">
        <w:rPr>
          <w:rFonts w:ascii="Times New Roman" w:hAnsi="Times New Roman" w:cs="Times New Roman"/>
          <w:sz w:val="24"/>
          <w:szCs w:val="24"/>
          <w:highlight w:val="yellow"/>
        </w:rPr>
        <w:t>Venhorst</w:t>
      </w:r>
      <w:proofErr w:type="spellEnd"/>
      <w:r w:rsidRPr="00FE3189">
        <w:rPr>
          <w:rFonts w:ascii="Times New Roman" w:hAnsi="Times New Roman" w:cs="Times New Roman"/>
          <w:sz w:val="24"/>
          <w:szCs w:val="24"/>
          <w:highlight w:val="yellow"/>
        </w:rPr>
        <w:t xml:space="preserve">, V. A., &amp; van Dijk, J. (2025). Operationalization of graduate employability interventions in higher education </w:t>
      </w:r>
      <w:r w:rsidR="006344C8">
        <w:rPr>
          <w:rFonts w:ascii="Times New Roman" w:hAnsi="Times New Roman" w:cs="Times New Roman"/>
          <w:sz w:val="24"/>
          <w:szCs w:val="24"/>
          <w:highlight w:val="yellow"/>
        </w:rPr>
        <w:t>-</w:t>
      </w:r>
      <w:r w:rsidRPr="00FE3189">
        <w:rPr>
          <w:rFonts w:ascii="Times New Roman" w:hAnsi="Times New Roman" w:cs="Times New Roman"/>
          <w:sz w:val="24"/>
          <w:szCs w:val="24"/>
          <w:highlight w:val="yellow"/>
        </w:rPr>
        <w:t xml:space="preserve"> a systematic review. </w:t>
      </w:r>
      <w:r w:rsidRPr="006344C8">
        <w:rPr>
          <w:rFonts w:ascii="Times New Roman" w:hAnsi="Times New Roman" w:cs="Times New Roman"/>
          <w:i/>
          <w:sz w:val="24"/>
          <w:szCs w:val="24"/>
          <w:highlight w:val="yellow"/>
        </w:rPr>
        <w:t>Education + Training</w:t>
      </w:r>
      <w:r w:rsidRPr="00FE3189">
        <w:rPr>
          <w:rFonts w:ascii="Times New Roman" w:hAnsi="Times New Roman" w:cs="Times New Roman"/>
          <w:sz w:val="24"/>
          <w:szCs w:val="24"/>
          <w:highlight w:val="yellow"/>
        </w:rPr>
        <w:t xml:space="preserve">. </w:t>
      </w:r>
      <w:hyperlink r:id="rId11" w:history="1">
        <w:r w:rsidRPr="00FE3189">
          <w:rPr>
            <w:rStyle w:val="Hyperlink"/>
            <w:rFonts w:ascii="Times New Roman" w:hAnsi="Times New Roman" w:cs="Times New Roman"/>
            <w:sz w:val="24"/>
            <w:szCs w:val="24"/>
            <w:highlight w:val="yellow"/>
          </w:rPr>
          <w:t>https://doi.org/10.1108/ET-10-2024-0463</w:t>
        </w:r>
      </w:hyperlink>
      <w:r w:rsidRPr="00FE3189">
        <w:rPr>
          <w:rFonts w:ascii="Times New Roman" w:hAnsi="Times New Roman" w:cs="Times New Roman"/>
          <w:sz w:val="24"/>
          <w:szCs w:val="24"/>
          <w:highlight w:val="yellow"/>
        </w:rPr>
        <w:t xml:space="preserve"> </w:t>
      </w:r>
    </w:p>
    <w:p w14:paraId="477A91E1" w14:textId="77777777" w:rsidR="00411861" w:rsidRPr="00411861" w:rsidRDefault="00411861" w:rsidP="00411861">
      <w:pPr>
        <w:spacing w:after="0"/>
        <w:jc w:val="both"/>
        <w:rPr>
          <w:rFonts w:ascii="Times New Roman" w:hAnsi="Times New Roman" w:cs="Times New Roman"/>
          <w:sz w:val="24"/>
          <w:szCs w:val="24"/>
        </w:rPr>
      </w:pPr>
    </w:p>
    <w:p w14:paraId="443B2E3E" w14:textId="5B2CC7B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proofErr w:type="spellStart"/>
      <w:r w:rsidRPr="00411861">
        <w:rPr>
          <w:rFonts w:ascii="Times New Roman" w:hAnsi="Times New Roman" w:cs="Times New Roman"/>
          <w:sz w:val="24"/>
          <w:szCs w:val="24"/>
        </w:rPr>
        <w:t>Bridgstock</w:t>
      </w:r>
      <w:proofErr w:type="spellEnd"/>
      <w:r w:rsidRPr="00411861">
        <w:rPr>
          <w:rFonts w:ascii="Times New Roman" w:hAnsi="Times New Roman" w:cs="Times New Roman"/>
          <w:sz w:val="24"/>
          <w:szCs w:val="24"/>
        </w:rPr>
        <w:t xml:space="preserve">, R. (2009). The graduate attributes we’ve overlooked: Enhancing graduate employability through career management skills. </w:t>
      </w:r>
      <w:r w:rsidRPr="006344C8">
        <w:rPr>
          <w:rFonts w:ascii="Times New Roman" w:hAnsi="Times New Roman" w:cs="Times New Roman"/>
          <w:i/>
          <w:sz w:val="24"/>
          <w:szCs w:val="24"/>
        </w:rPr>
        <w:t>Higher Education Research &amp; Development, 28(1),</w:t>
      </w:r>
      <w:r w:rsidRPr="00411861">
        <w:rPr>
          <w:rFonts w:ascii="Times New Roman" w:hAnsi="Times New Roman" w:cs="Times New Roman"/>
          <w:sz w:val="24"/>
          <w:szCs w:val="24"/>
        </w:rPr>
        <w:t xml:space="preserve"> 31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44. </w:t>
      </w:r>
      <w:hyperlink r:id="rId12" w:history="1">
        <w:r w:rsidR="008B311C" w:rsidRPr="00EB1503">
          <w:rPr>
            <w:rStyle w:val="Hyperlink"/>
            <w:rFonts w:ascii="Times New Roman" w:hAnsi="Times New Roman" w:cs="Times New Roman"/>
            <w:sz w:val="24"/>
            <w:szCs w:val="24"/>
          </w:rPr>
          <w:t>https://doi.org/10.1080/07294360802444347</w:t>
        </w:r>
      </w:hyperlink>
      <w:r w:rsidR="008B311C">
        <w:rPr>
          <w:rFonts w:ascii="Times New Roman" w:hAnsi="Times New Roman" w:cs="Times New Roman"/>
          <w:sz w:val="24"/>
          <w:szCs w:val="24"/>
        </w:rPr>
        <w:t xml:space="preserve"> </w:t>
      </w:r>
    </w:p>
    <w:p w14:paraId="2D69E1A2" w14:textId="77777777" w:rsidR="00411861" w:rsidRPr="00411861" w:rsidRDefault="00411861" w:rsidP="00411861">
      <w:pPr>
        <w:spacing w:after="0"/>
        <w:jc w:val="both"/>
        <w:rPr>
          <w:rFonts w:ascii="Times New Roman" w:hAnsi="Times New Roman" w:cs="Times New Roman"/>
          <w:sz w:val="24"/>
          <w:szCs w:val="24"/>
        </w:rPr>
      </w:pPr>
    </w:p>
    <w:p w14:paraId="5201C6E9" w14:textId="19054E53"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lastRenderedPageBreak/>
        <w:t xml:space="preserve">Clarke, M. (2018). Rethinking graduate employability: The role of capital, individual attributes and context. </w:t>
      </w:r>
      <w:r w:rsidRPr="006344C8">
        <w:rPr>
          <w:rFonts w:ascii="Times New Roman" w:hAnsi="Times New Roman" w:cs="Times New Roman"/>
          <w:i/>
          <w:sz w:val="24"/>
          <w:szCs w:val="24"/>
        </w:rPr>
        <w:t>Studies in Higher Education, 43(11),</w:t>
      </w:r>
      <w:r w:rsidRPr="00411861">
        <w:rPr>
          <w:rFonts w:ascii="Times New Roman" w:hAnsi="Times New Roman" w:cs="Times New Roman"/>
          <w:sz w:val="24"/>
          <w:szCs w:val="24"/>
        </w:rPr>
        <w:t xml:space="preserve"> 1923</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1937. </w:t>
      </w:r>
      <w:hyperlink r:id="rId13" w:history="1">
        <w:r w:rsidR="008B311C" w:rsidRPr="00EB1503">
          <w:rPr>
            <w:rStyle w:val="Hyperlink"/>
            <w:rFonts w:ascii="Times New Roman" w:hAnsi="Times New Roman" w:cs="Times New Roman"/>
            <w:sz w:val="24"/>
            <w:szCs w:val="24"/>
          </w:rPr>
          <w:t>https://doi.org/10.1080/03075079.2017.1294152</w:t>
        </w:r>
      </w:hyperlink>
      <w:r w:rsidR="008B311C">
        <w:rPr>
          <w:rFonts w:ascii="Times New Roman" w:hAnsi="Times New Roman" w:cs="Times New Roman"/>
          <w:sz w:val="24"/>
          <w:szCs w:val="24"/>
        </w:rPr>
        <w:t xml:space="preserve"> </w:t>
      </w:r>
    </w:p>
    <w:p w14:paraId="2938C84A" w14:textId="77777777" w:rsidR="00411861" w:rsidRPr="00411861" w:rsidRDefault="00411861" w:rsidP="00411861">
      <w:pPr>
        <w:spacing w:after="0"/>
        <w:jc w:val="both"/>
        <w:rPr>
          <w:rFonts w:ascii="Times New Roman" w:hAnsi="Times New Roman" w:cs="Times New Roman"/>
          <w:sz w:val="24"/>
          <w:szCs w:val="24"/>
        </w:rPr>
      </w:pPr>
    </w:p>
    <w:p w14:paraId="02688B17" w14:textId="70E27F87"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Dacre Pool, L., Qualter, P., &amp; Sewell, P. (2014). Exploring the factor structure of the </w:t>
      </w:r>
      <w:proofErr w:type="spellStart"/>
      <w:r w:rsidRPr="00411861">
        <w:rPr>
          <w:rFonts w:ascii="Times New Roman" w:hAnsi="Times New Roman" w:cs="Times New Roman"/>
          <w:sz w:val="24"/>
          <w:szCs w:val="24"/>
        </w:rPr>
        <w:t>CareerEDGE</w:t>
      </w:r>
      <w:proofErr w:type="spellEnd"/>
      <w:r w:rsidRPr="00411861">
        <w:rPr>
          <w:rFonts w:ascii="Times New Roman" w:hAnsi="Times New Roman" w:cs="Times New Roman"/>
          <w:sz w:val="24"/>
          <w:szCs w:val="24"/>
        </w:rPr>
        <w:t xml:space="preserve"> employability development profile. </w:t>
      </w:r>
      <w:r w:rsidRPr="006344C8">
        <w:rPr>
          <w:rFonts w:ascii="Times New Roman" w:hAnsi="Times New Roman" w:cs="Times New Roman"/>
          <w:i/>
          <w:sz w:val="24"/>
          <w:szCs w:val="24"/>
        </w:rPr>
        <w:t>Education + Training, 56(4),</w:t>
      </w:r>
      <w:r w:rsidRPr="00411861">
        <w:rPr>
          <w:rFonts w:ascii="Times New Roman" w:hAnsi="Times New Roman" w:cs="Times New Roman"/>
          <w:sz w:val="24"/>
          <w:szCs w:val="24"/>
        </w:rPr>
        <w:t xml:space="preserve"> 303</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313. </w:t>
      </w:r>
      <w:hyperlink r:id="rId14" w:history="1">
        <w:r w:rsidR="008B311C" w:rsidRPr="00EB1503">
          <w:rPr>
            <w:rStyle w:val="Hyperlink"/>
            <w:rFonts w:ascii="Times New Roman" w:hAnsi="Times New Roman" w:cs="Times New Roman"/>
            <w:sz w:val="24"/>
            <w:szCs w:val="24"/>
          </w:rPr>
          <w:t>https://doi.org/10.1108/ET-01-2013-0009</w:t>
        </w:r>
      </w:hyperlink>
      <w:r w:rsidR="008B311C">
        <w:rPr>
          <w:rFonts w:ascii="Times New Roman" w:hAnsi="Times New Roman" w:cs="Times New Roman"/>
          <w:sz w:val="24"/>
          <w:szCs w:val="24"/>
        </w:rPr>
        <w:t xml:space="preserve"> </w:t>
      </w:r>
    </w:p>
    <w:p w14:paraId="7FAC9A6A" w14:textId="77777777" w:rsidR="00411861" w:rsidRPr="00411861" w:rsidRDefault="00411861" w:rsidP="00411861">
      <w:pPr>
        <w:spacing w:after="0"/>
        <w:jc w:val="both"/>
        <w:rPr>
          <w:rFonts w:ascii="Times New Roman" w:hAnsi="Times New Roman" w:cs="Times New Roman"/>
          <w:sz w:val="24"/>
          <w:szCs w:val="24"/>
        </w:rPr>
      </w:pPr>
    </w:p>
    <w:p w14:paraId="1BACC308" w14:textId="0BD4B70A"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Finch, D. J., Hamilton, L. K., Baldwin, R., &amp; Zehner, M. (2013). An exploratory study of factors affecting undergraduate employability. </w:t>
      </w:r>
      <w:r w:rsidRPr="006344C8">
        <w:rPr>
          <w:rFonts w:ascii="Times New Roman" w:hAnsi="Times New Roman" w:cs="Times New Roman"/>
          <w:i/>
          <w:sz w:val="24"/>
          <w:szCs w:val="24"/>
        </w:rPr>
        <w:t>Education + Training, 55(7),</w:t>
      </w:r>
      <w:r w:rsidRPr="00411861">
        <w:rPr>
          <w:rFonts w:ascii="Times New Roman" w:hAnsi="Times New Roman" w:cs="Times New Roman"/>
          <w:sz w:val="24"/>
          <w:szCs w:val="24"/>
        </w:rPr>
        <w:t xml:space="preserve"> 681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704. </w:t>
      </w:r>
      <w:hyperlink r:id="rId15" w:history="1">
        <w:r w:rsidR="008B311C" w:rsidRPr="00EB1503">
          <w:rPr>
            <w:rStyle w:val="Hyperlink"/>
            <w:rFonts w:ascii="Times New Roman" w:hAnsi="Times New Roman" w:cs="Times New Roman"/>
            <w:sz w:val="24"/>
            <w:szCs w:val="24"/>
          </w:rPr>
          <w:t>https://doi.org/10.1108/ET-07-2012-0077</w:t>
        </w:r>
      </w:hyperlink>
      <w:r w:rsidR="008B311C">
        <w:rPr>
          <w:rFonts w:ascii="Times New Roman" w:hAnsi="Times New Roman" w:cs="Times New Roman"/>
          <w:sz w:val="24"/>
          <w:szCs w:val="24"/>
        </w:rPr>
        <w:t xml:space="preserve"> </w:t>
      </w:r>
    </w:p>
    <w:p w14:paraId="4DC2D150" w14:textId="77777777" w:rsidR="00411861" w:rsidRPr="00411861" w:rsidRDefault="00411861" w:rsidP="00411861">
      <w:pPr>
        <w:spacing w:after="0"/>
        <w:jc w:val="both"/>
        <w:rPr>
          <w:rFonts w:ascii="Times New Roman" w:hAnsi="Times New Roman" w:cs="Times New Roman"/>
          <w:sz w:val="24"/>
          <w:szCs w:val="24"/>
        </w:rPr>
      </w:pPr>
    </w:p>
    <w:p w14:paraId="45E4C7DF" w14:textId="679CC8D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Fugate, M., Kinicki, A. J., &amp; Ashforth, B. E. (2004). Employability: A psycho-social construct, its dimensions, and applications. </w:t>
      </w:r>
      <w:r w:rsidRPr="006344C8">
        <w:rPr>
          <w:rFonts w:ascii="Times New Roman" w:hAnsi="Times New Roman" w:cs="Times New Roman"/>
          <w:i/>
          <w:sz w:val="24"/>
          <w:szCs w:val="24"/>
        </w:rPr>
        <w:t>Journal of Vocational Behavior, 65(1),</w:t>
      </w:r>
      <w:r w:rsidRPr="00411861">
        <w:rPr>
          <w:rFonts w:ascii="Times New Roman" w:hAnsi="Times New Roman" w:cs="Times New Roman"/>
          <w:sz w:val="24"/>
          <w:szCs w:val="24"/>
        </w:rPr>
        <w:t xml:space="preserve"> 14</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38. </w:t>
      </w:r>
      <w:hyperlink r:id="rId16" w:history="1">
        <w:r w:rsidR="008B311C" w:rsidRPr="00EB1503">
          <w:rPr>
            <w:rStyle w:val="Hyperlink"/>
            <w:rFonts w:ascii="Times New Roman" w:hAnsi="Times New Roman" w:cs="Times New Roman"/>
            <w:sz w:val="24"/>
            <w:szCs w:val="24"/>
          </w:rPr>
          <w:t>https://doi.org/10.1016/j.jvb.2003.10.005</w:t>
        </w:r>
      </w:hyperlink>
      <w:r w:rsidR="008B311C">
        <w:rPr>
          <w:rFonts w:ascii="Times New Roman" w:hAnsi="Times New Roman" w:cs="Times New Roman"/>
          <w:sz w:val="24"/>
          <w:szCs w:val="24"/>
        </w:rPr>
        <w:t xml:space="preserve"> </w:t>
      </w:r>
    </w:p>
    <w:p w14:paraId="74D49FBC" w14:textId="77777777" w:rsidR="00411861" w:rsidRPr="00411861" w:rsidRDefault="00411861" w:rsidP="00411861">
      <w:pPr>
        <w:spacing w:after="0"/>
        <w:jc w:val="both"/>
        <w:rPr>
          <w:rFonts w:ascii="Times New Roman" w:hAnsi="Times New Roman" w:cs="Times New Roman"/>
          <w:sz w:val="24"/>
          <w:szCs w:val="24"/>
        </w:rPr>
      </w:pPr>
    </w:p>
    <w:p w14:paraId="1C00D474" w14:textId="0531EA5F"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Guilbert, L., Bernaud, J. L., </w:t>
      </w:r>
      <w:proofErr w:type="spellStart"/>
      <w:r w:rsidRPr="00411861">
        <w:rPr>
          <w:rFonts w:ascii="Times New Roman" w:hAnsi="Times New Roman" w:cs="Times New Roman"/>
          <w:sz w:val="24"/>
          <w:szCs w:val="24"/>
        </w:rPr>
        <w:t>Gouvernet</w:t>
      </w:r>
      <w:proofErr w:type="spellEnd"/>
      <w:r w:rsidRPr="00411861">
        <w:rPr>
          <w:rFonts w:ascii="Times New Roman" w:hAnsi="Times New Roman" w:cs="Times New Roman"/>
          <w:sz w:val="24"/>
          <w:szCs w:val="24"/>
        </w:rPr>
        <w:t xml:space="preserve">, B., &amp; Rossier, J. (2016). Employability: Review and research prospects. </w:t>
      </w:r>
      <w:r w:rsidRPr="006344C8">
        <w:rPr>
          <w:rFonts w:ascii="Times New Roman" w:hAnsi="Times New Roman" w:cs="Times New Roman"/>
          <w:i/>
          <w:sz w:val="24"/>
          <w:szCs w:val="24"/>
        </w:rPr>
        <w:t>International Journal for Educational and Vocational Guidance, 16(1),</w:t>
      </w:r>
      <w:r w:rsidRPr="00411861">
        <w:rPr>
          <w:rFonts w:ascii="Times New Roman" w:hAnsi="Times New Roman" w:cs="Times New Roman"/>
          <w:sz w:val="24"/>
          <w:szCs w:val="24"/>
        </w:rPr>
        <w:t xml:space="preserve"> 69</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89. </w:t>
      </w:r>
      <w:hyperlink r:id="rId17" w:history="1">
        <w:r w:rsidR="008B311C" w:rsidRPr="00EB1503">
          <w:rPr>
            <w:rStyle w:val="Hyperlink"/>
            <w:rFonts w:ascii="Times New Roman" w:hAnsi="Times New Roman" w:cs="Times New Roman"/>
            <w:sz w:val="24"/>
            <w:szCs w:val="24"/>
          </w:rPr>
          <w:t>https://doi.org/10.1007/s10775-015-9288-4</w:t>
        </w:r>
      </w:hyperlink>
      <w:r w:rsidR="008B311C">
        <w:rPr>
          <w:rFonts w:ascii="Times New Roman" w:hAnsi="Times New Roman" w:cs="Times New Roman"/>
          <w:sz w:val="24"/>
          <w:szCs w:val="24"/>
        </w:rPr>
        <w:t xml:space="preserve"> </w:t>
      </w:r>
    </w:p>
    <w:p w14:paraId="66E32202" w14:textId="77777777" w:rsidR="00411861" w:rsidRPr="00411861" w:rsidRDefault="00411861" w:rsidP="00411861">
      <w:pPr>
        <w:spacing w:after="0"/>
        <w:jc w:val="both"/>
        <w:rPr>
          <w:rFonts w:ascii="Times New Roman" w:hAnsi="Times New Roman" w:cs="Times New Roman"/>
          <w:sz w:val="24"/>
          <w:szCs w:val="24"/>
        </w:rPr>
      </w:pPr>
    </w:p>
    <w:p w14:paraId="329C8596" w14:textId="77CA042F"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Harvey, L. (2001). Defining and measuring employability. </w:t>
      </w:r>
      <w:r w:rsidRPr="006344C8">
        <w:rPr>
          <w:rFonts w:ascii="Times New Roman" w:hAnsi="Times New Roman" w:cs="Times New Roman"/>
          <w:i/>
          <w:sz w:val="24"/>
          <w:szCs w:val="24"/>
        </w:rPr>
        <w:t>Quality in Higher Education, 7(2),</w:t>
      </w:r>
      <w:r w:rsidRPr="00411861">
        <w:rPr>
          <w:rFonts w:ascii="Times New Roman" w:hAnsi="Times New Roman" w:cs="Times New Roman"/>
          <w:sz w:val="24"/>
          <w:szCs w:val="24"/>
        </w:rPr>
        <w:t xml:space="preserve"> 97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109. </w:t>
      </w:r>
      <w:hyperlink r:id="rId18" w:history="1">
        <w:r w:rsidR="008B311C" w:rsidRPr="00EB1503">
          <w:rPr>
            <w:rStyle w:val="Hyperlink"/>
            <w:rFonts w:ascii="Times New Roman" w:hAnsi="Times New Roman" w:cs="Times New Roman"/>
            <w:sz w:val="24"/>
            <w:szCs w:val="24"/>
          </w:rPr>
          <w:t>https://doi.org/10.1080/13538320120059990</w:t>
        </w:r>
      </w:hyperlink>
      <w:r w:rsidR="008B311C">
        <w:rPr>
          <w:rFonts w:ascii="Times New Roman" w:hAnsi="Times New Roman" w:cs="Times New Roman"/>
          <w:sz w:val="24"/>
          <w:szCs w:val="24"/>
        </w:rPr>
        <w:t xml:space="preserve"> </w:t>
      </w:r>
    </w:p>
    <w:p w14:paraId="39BDA3AF" w14:textId="77777777" w:rsidR="00411861" w:rsidRPr="00411861" w:rsidRDefault="00411861" w:rsidP="00411861">
      <w:pPr>
        <w:spacing w:after="0"/>
        <w:jc w:val="both"/>
        <w:rPr>
          <w:rFonts w:ascii="Times New Roman" w:hAnsi="Times New Roman" w:cs="Times New Roman"/>
          <w:sz w:val="24"/>
          <w:szCs w:val="24"/>
        </w:rPr>
      </w:pPr>
    </w:p>
    <w:p w14:paraId="3B3D4266" w14:textId="15C14483"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Holmes, L. (2013). Competing perspectives on graduate employability: Possession, position or process? </w:t>
      </w:r>
      <w:r w:rsidRPr="006344C8">
        <w:rPr>
          <w:rFonts w:ascii="Times New Roman" w:hAnsi="Times New Roman" w:cs="Times New Roman"/>
          <w:i/>
          <w:sz w:val="24"/>
          <w:szCs w:val="24"/>
        </w:rPr>
        <w:t>Studies in Higher Education, 38(4),</w:t>
      </w:r>
      <w:r w:rsidRPr="00411861">
        <w:rPr>
          <w:rFonts w:ascii="Times New Roman" w:hAnsi="Times New Roman" w:cs="Times New Roman"/>
          <w:sz w:val="24"/>
          <w:szCs w:val="24"/>
        </w:rPr>
        <w:t xml:space="preserve"> 538</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554. </w:t>
      </w:r>
      <w:hyperlink r:id="rId19" w:history="1">
        <w:r w:rsidR="008B311C" w:rsidRPr="00EB1503">
          <w:rPr>
            <w:rStyle w:val="Hyperlink"/>
            <w:rFonts w:ascii="Times New Roman" w:hAnsi="Times New Roman" w:cs="Times New Roman"/>
            <w:sz w:val="24"/>
            <w:szCs w:val="24"/>
          </w:rPr>
          <w:t>https://doi.org/10.1080/03075079.2011.587140</w:t>
        </w:r>
      </w:hyperlink>
      <w:r w:rsidR="008B311C">
        <w:rPr>
          <w:rFonts w:ascii="Times New Roman" w:hAnsi="Times New Roman" w:cs="Times New Roman"/>
          <w:sz w:val="24"/>
          <w:szCs w:val="24"/>
        </w:rPr>
        <w:t xml:space="preserve"> </w:t>
      </w:r>
    </w:p>
    <w:p w14:paraId="38290405" w14:textId="77777777" w:rsidR="00411861" w:rsidRPr="00411861" w:rsidRDefault="00411861" w:rsidP="00411861">
      <w:pPr>
        <w:spacing w:after="0"/>
        <w:jc w:val="both"/>
        <w:rPr>
          <w:rFonts w:ascii="Times New Roman" w:hAnsi="Times New Roman" w:cs="Times New Roman"/>
          <w:sz w:val="24"/>
          <w:szCs w:val="24"/>
        </w:rPr>
      </w:pPr>
    </w:p>
    <w:p w14:paraId="188BF9CD" w14:textId="465B14F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Jackson, D., &amp; Tomlinson, M. (2020). Investigating the relationship between career planning, proactivity and employability perceptions among higher education students in uncertain labour market conditions. </w:t>
      </w:r>
      <w:r w:rsidRPr="006344C8">
        <w:rPr>
          <w:rFonts w:ascii="Times New Roman" w:hAnsi="Times New Roman" w:cs="Times New Roman"/>
          <w:i/>
          <w:sz w:val="24"/>
          <w:szCs w:val="24"/>
        </w:rPr>
        <w:t>Higher Education, 80</w:t>
      </w:r>
      <w:r w:rsidRPr="00411861">
        <w:rPr>
          <w:rFonts w:ascii="Times New Roman" w:hAnsi="Times New Roman" w:cs="Times New Roman"/>
          <w:sz w:val="24"/>
          <w:szCs w:val="24"/>
        </w:rPr>
        <w:t>, 435</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455. </w:t>
      </w:r>
      <w:hyperlink r:id="rId20" w:history="1">
        <w:r w:rsidR="008B311C" w:rsidRPr="00EB1503">
          <w:rPr>
            <w:rStyle w:val="Hyperlink"/>
            <w:rFonts w:ascii="Times New Roman" w:hAnsi="Times New Roman" w:cs="Times New Roman"/>
            <w:sz w:val="24"/>
            <w:szCs w:val="24"/>
          </w:rPr>
          <w:t>https://doi.org/10.1007/s10734-019-00490-5</w:t>
        </w:r>
      </w:hyperlink>
      <w:r w:rsidR="008B311C">
        <w:rPr>
          <w:rFonts w:ascii="Times New Roman" w:hAnsi="Times New Roman" w:cs="Times New Roman"/>
          <w:sz w:val="24"/>
          <w:szCs w:val="24"/>
        </w:rPr>
        <w:t xml:space="preserve"> </w:t>
      </w:r>
    </w:p>
    <w:p w14:paraId="4CFAF9F9" w14:textId="651C2CF3" w:rsidR="00411861" w:rsidRPr="00411861" w:rsidRDefault="008B311C" w:rsidP="0041186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354B0C1" w14:textId="213EE8EB"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McQuaid, R. W., &amp; Lindsay, C. (2005). The concept of employability. </w:t>
      </w:r>
      <w:r w:rsidRPr="006344C8">
        <w:rPr>
          <w:rFonts w:ascii="Times New Roman" w:hAnsi="Times New Roman" w:cs="Times New Roman"/>
          <w:i/>
          <w:sz w:val="24"/>
          <w:szCs w:val="24"/>
        </w:rPr>
        <w:t>Urban Studies, 42(2),</w:t>
      </w:r>
      <w:r w:rsidRPr="00411861">
        <w:rPr>
          <w:rFonts w:ascii="Times New Roman" w:hAnsi="Times New Roman" w:cs="Times New Roman"/>
          <w:sz w:val="24"/>
          <w:szCs w:val="24"/>
        </w:rPr>
        <w:t xml:space="preserve"> 197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219. </w:t>
      </w:r>
      <w:hyperlink r:id="rId21" w:history="1">
        <w:r w:rsidR="008B311C" w:rsidRPr="00EB1503">
          <w:rPr>
            <w:rStyle w:val="Hyperlink"/>
            <w:rFonts w:ascii="Times New Roman" w:hAnsi="Times New Roman" w:cs="Times New Roman"/>
            <w:sz w:val="24"/>
            <w:szCs w:val="24"/>
          </w:rPr>
          <w:t>https://doi.org/10.1080/0042098042000316100</w:t>
        </w:r>
      </w:hyperlink>
      <w:r w:rsidR="008B311C">
        <w:rPr>
          <w:rFonts w:ascii="Times New Roman" w:hAnsi="Times New Roman" w:cs="Times New Roman"/>
          <w:sz w:val="24"/>
          <w:szCs w:val="24"/>
        </w:rPr>
        <w:t xml:space="preserve"> </w:t>
      </w:r>
    </w:p>
    <w:p w14:paraId="730DBA25" w14:textId="77777777" w:rsidR="00411861" w:rsidRPr="00411861" w:rsidRDefault="00411861" w:rsidP="00411861">
      <w:pPr>
        <w:spacing w:after="0"/>
        <w:jc w:val="both"/>
        <w:rPr>
          <w:rFonts w:ascii="Times New Roman" w:hAnsi="Times New Roman" w:cs="Times New Roman"/>
          <w:sz w:val="24"/>
          <w:szCs w:val="24"/>
        </w:rPr>
      </w:pPr>
    </w:p>
    <w:p w14:paraId="70AB1C11" w14:textId="3C3F9D88"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Pool, L. D., &amp; Sewell, P. (2007). The key to employability: Developing a practical model of graduate employability. </w:t>
      </w:r>
      <w:r w:rsidRPr="006344C8">
        <w:rPr>
          <w:rFonts w:ascii="Times New Roman" w:hAnsi="Times New Roman" w:cs="Times New Roman"/>
          <w:i/>
          <w:sz w:val="24"/>
          <w:szCs w:val="24"/>
        </w:rPr>
        <w:t>Education + Training, 49(4),</w:t>
      </w:r>
      <w:r w:rsidRPr="00411861">
        <w:rPr>
          <w:rFonts w:ascii="Times New Roman" w:hAnsi="Times New Roman" w:cs="Times New Roman"/>
          <w:sz w:val="24"/>
          <w:szCs w:val="24"/>
        </w:rPr>
        <w:t xml:space="preserve"> 277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289. </w:t>
      </w:r>
      <w:hyperlink r:id="rId22" w:history="1">
        <w:r w:rsidR="008B311C" w:rsidRPr="00EB1503">
          <w:rPr>
            <w:rStyle w:val="Hyperlink"/>
            <w:rFonts w:ascii="Times New Roman" w:hAnsi="Times New Roman" w:cs="Times New Roman"/>
            <w:sz w:val="24"/>
            <w:szCs w:val="24"/>
          </w:rPr>
          <w:t>https://doi.org/10.1108/00400910710754435</w:t>
        </w:r>
      </w:hyperlink>
      <w:r w:rsidR="008B311C">
        <w:rPr>
          <w:rFonts w:ascii="Times New Roman" w:hAnsi="Times New Roman" w:cs="Times New Roman"/>
          <w:sz w:val="24"/>
          <w:szCs w:val="24"/>
        </w:rPr>
        <w:t xml:space="preserve"> </w:t>
      </w:r>
    </w:p>
    <w:p w14:paraId="6F60B77A" w14:textId="77777777" w:rsidR="00411861" w:rsidRPr="00411861" w:rsidRDefault="00411861" w:rsidP="00411861">
      <w:pPr>
        <w:spacing w:after="0"/>
        <w:jc w:val="both"/>
        <w:rPr>
          <w:rFonts w:ascii="Times New Roman" w:hAnsi="Times New Roman" w:cs="Times New Roman"/>
          <w:sz w:val="24"/>
          <w:szCs w:val="24"/>
        </w:rPr>
      </w:pPr>
    </w:p>
    <w:p w14:paraId="6C6BB489" w14:textId="49FFF680"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Rothwell, A., Herbert, I., &amp; Rothwell, F. (2008). Self-perceived employability: Construction and initial validation of a scale for university students. </w:t>
      </w:r>
      <w:r w:rsidRPr="006344C8">
        <w:rPr>
          <w:rFonts w:ascii="Times New Roman" w:hAnsi="Times New Roman" w:cs="Times New Roman"/>
          <w:i/>
          <w:sz w:val="24"/>
          <w:szCs w:val="24"/>
        </w:rPr>
        <w:t>Journal of Vocational Behavior, 73(1),</w:t>
      </w:r>
      <w:r w:rsidRPr="00411861">
        <w:rPr>
          <w:rFonts w:ascii="Times New Roman" w:hAnsi="Times New Roman" w:cs="Times New Roman"/>
          <w:sz w:val="24"/>
          <w:szCs w:val="24"/>
        </w:rPr>
        <w:t xml:space="preserve"> 1</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12. </w:t>
      </w:r>
      <w:hyperlink r:id="rId23" w:history="1">
        <w:r w:rsidR="008B311C" w:rsidRPr="00EB1503">
          <w:rPr>
            <w:rStyle w:val="Hyperlink"/>
            <w:rFonts w:ascii="Times New Roman" w:hAnsi="Times New Roman" w:cs="Times New Roman"/>
            <w:sz w:val="24"/>
            <w:szCs w:val="24"/>
          </w:rPr>
          <w:t>https://doi.org/10.1016/j.jvb.2007.12.001</w:t>
        </w:r>
      </w:hyperlink>
      <w:r w:rsidR="008B311C">
        <w:rPr>
          <w:rFonts w:ascii="Times New Roman" w:hAnsi="Times New Roman" w:cs="Times New Roman"/>
          <w:sz w:val="24"/>
          <w:szCs w:val="24"/>
        </w:rPr>
        <w:t xml:space="preserve"> </w:t>
      </w:r>
    </w:p>
    <w:p w14:paraId="7AF9D74A" w14:textId="77777777" w:rsidR="00411861" w:rsidRPr="00411861" w:rsidRDefault="00411861" w:rsidP="00411861">
      <w:pPr>
        <w:spacing w:after="0"/>
        <w:jc w:val="both"/>
        <w:rPr>
          <w:rFonts w:ascii="Times New Roman" w:hAnsi="Times New Roman" w:cs="Times New Roman"/>
          <w:sz w:val="24"/>
          <w:szCs w:val="24"/>
        </w:rPr>
      </w:pPr>
    </w:p>
    <w:p w14:paraId="5DC524E5" w14:textId="661455EA" w:rsid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lastRenderedPageBreak/>
        <w:t xml:space="preserve">Savickas, M. L. (1997). Career adaptability: An integrative construct for life-span, life-space theory. </w:t>
      </w:r>
      <w:r w:rsidRPr="006344C8">
        <w:rPr>
          <w:rFonts w:ascii="Times New Roman" w:hAnsi="Times New Roman" w:cs="Times New Roman"/>
          <w:i/>
          <w:sz w:val="24"/>
          <w:szCs w:val="24"/>
        </w:rPr>
        <w:t>The Career Development Quarterly, 45(3),</w:t>
      </w:r>
      <w:r w:rsidRPr="00411861">
        <w:rPr>
          <w:rFonts w:ascii="Times New Roman" w:hAnsi="Times New Roman" w:cs="Times New Roman"/>
          <w:sz w:val="24"/>
          <w:szCs w:val="24"/>
        </w:rPr>
        <w:t xml:space="preserve"> 247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259. </w:t>
      </w:r>
      <w:hyperlink r:id="rId24" w:history="1">
        <w:r w:rsidR="008B311C" w:rsidRPr="00EB1503">
          <w:rPr>
            <w:rStyle w:val="Hyperlink"/>
            <w:rFonts w:ascii="Times New Roman" w:hAnsi="Times New Roman" w:cs="Times New Roman"/>
            <w:sz w:val="24"/>
            <w:szCs w:val="24"/>
          </w:rPr>
          <w:t>https://doi.org/10.1002/j.2161-0045.1997.tb00469.x</w:t>
        </w:r>
      </w:hyperlink>
      <w:r w:rsidR="008B311C">
        <w:rPr>
          <w:rFonts w:ascii="Times New Roman" w:hAnsi="Times New Roman" w:cs="Times New Roman"/>
          <w:sz w:val="24"/>
          <w:szCs w:val="24"/>
        </w:rPr>
        <w:t xml:space="preserve"> </w:t>
      </w:r>
    </w:p>
    <w:p w14:paraId="3530E7DF" w14:textId="77777777" w:rsidR="00E7649F" w:rsidRDefault="00E7649F" w:rsidP="00E7649F">
      <w:pPr>
        <w:pStyle w:val="ListParagraph"/>
        <w:spacing w:after="0"/>
        <w:ind w:left="360"/>
        <w:jc w:val="both"/>
        <w:rPr>
          <w:rFonts w:ascii="Times New Roman" w:hAnsi="Times New Roman" w:cs="Times New Roman"/>
          <w:sz w:val="24"/>
          <w:szCs w:val="24"/>
        </w:rPr>
      </w:pPr>
    </w:p>
    <w:p w14:paraId="7E2253A3" w14:textId="521AB811" w:rsidR="00E7649F" w:rsidRPr="00411861" w:rsidRDefault="00E7649F" w:rsidP="00411861">
      <w:pPr>
        <w:pStyle w:val="ListParagraph"/>
        <w:numPr>
          <w:ilvl w:val="0"/>
          <w:numId w:val="1"/>
        </w:numPr>
        <w:spacing w:after="0"/>
        <w:ind w:left="360"/>
        <w:jc w:val="both"/>
        <w:rPr>
          <w:rFonts w:ascii="Times New Roman" w:hAnsi="Times New Roman" w:cs="Times New Roman"/>
          <w:sz w:val="24"/>
          <w:szCs w:val="24"/>
        </w:rPr>
      </w:pPr>
      <w:proofErr w:type="spellStart"/>
      <w:r w:rsidRPr="00FE3189">
        <w:rPr>
          <w:rFonts w:ascii="Times New Roman" w:hAnsi="Times New Roman" w:cs="Times New Roman"/>
          <w:sz w:val="24"/>
          <w:szCs w:val="24"/>
          <w:highlight w:val="yellow"/>
        </w:rPr>
        <w:t>Scandurra</w:t>
      </w:r>
      <w:proofErr w:type="spellEnd"/>
      <w:r w:rsidRPr="00FE3189">
        <w:rPr>
          <w:rFonts w:ascii="Times New Roman" w:hAnsi="Times New Roman" w:cs="Times New Roman"/>
          <w:sz w:val="24"/>
          <w:szCs w:val="24"/>
          <w:highlight w:val="yellow"/>
        </w:rPr>
        <w:t xml:space="preserve">, R., Kelly, D., </w:t>
      </w:r>
      <w:proofErr w:type="spellStart"/>
      <w:r w:rsidRPr="00FE3189">
        <w:rPr>
          <w:rFonts w:ascii="Times New Roman" w:hAnsi="Times New Roman" w:cs="Times New Roman"/>
          <w:sz w:val="24"/>
          <w:szCs w:val="24"/>
          <w:highlight w:val="yellow"/>
        </w:rPr>
        <w:t>Fusaro</w:t>
      </w:r>
      <w:proofErr w:type="spellEnd"/>
      <w:r w:rsidRPr="00FE3189">
        <w:rPr>
          <w:rFonts w:ascii="Times New Roman" w:hAnsi="Times New Roman" w:cs="Times New Roman"/>
          <w:sz w:val="24"/>
          <w:szCs w:val="24"/>
          <w:highlight w:val="yellow"/>
        </w:rPr>
        <w:t xml:space="preserve">, S., </w:t>
      </w:r>
      <w:proofErr w:type="spellStart"/>
      <w:r w:rsidRPr="00FE3189">
        <w:rPr>
          <w:rFonts w:ascii="Times New Roman" w:hAnsi="Times New Roman" w:cs="Times New Roman"/>
          <w:sz w:val="24"/>
          <w:szCs w:val="24"/>
          <w:highlight w:val="yellow"/>
        </w:rPr>
        <w:t>Cefalo</w:t>
      </w:r>
      <w:proofErr w:type="spellEnd"/>
      <w:r w:rsidRPr="00FE3189">
        <w:rPr>
          <w:rFonts w:ascii="Times New Roman" w:hAnsi="Times New Roman" w:cs="Times New Roman"/>
          <w:sz w:val="24"/>
          <w:szCs w:val="24"/>
          <w:highlight w:val="yellow"/>
        </w:rPr>
        <w:t xml:space="preserve">, R., &amp; </w:t>
      </w:r>
      <w:proofErr w:type="spellStart"/>
      <w:r w:rsidRPr="00FE3189">
        <w:rPr>
          <w:rFonts w:ascii="Times New Roman" w:hAnsi="Times New Roman" w:cs="Times New Roman"/>
          <w:sz w:val="24"/>
          <w:szCs w:val="24"/>
          <w:highlight w:val="yellow"/>
        </w:rPr>
        <w:t>Hermannsson</w:t>
      </w:r>
      <w:proofErr w:type="spellEnd"/>
      <w:r w:rsidRPr="00FE3189">
        <w:rPr>
          <w:rFonts w:ascii="Times New Roman" w:hAnsi="Times New Roman" w:cs="Times New Roman"/>
          <w:sz w:val="24"/>
          <w:szCs w:val="24"/>
          <w:highlight w:val="yellow"/>
        </w:rPr>
        <w:t xml:space="preserve">, K. (2024). Do employability </w:t>
      </w:r>
      <w:proofErr w:type="spellStart"/>
      <w:r w:rsidRPr="00FE3189">
        <w:rPr>
          <w:rFonts w:ascii="Times New Roman" w:hAnsi="Times New Roman" w:cs="Times New Roman"/>
          <w:sz w:val="24"/>
          <w:szCs w:val="24"/>
          <w:highlight w:val="yellow"/>
        </w:rPr>
        <w:t>programmes</w:t>
      </w:r>
      <w:proofErr w:type="spellEnd"/>
      <w:r w:rsidRPr="00FE3189">
        <w:rPr>
          <w:rFonts w:ascii="Times New Roman" w:hAnsi="Times New Roman" w:cs="Times New Roman"/>
          <w:sz w:val="24"/>
          <w:szCs w:val="24"/>
          <w:highlight w:val="yellow"/>
        </w:rPr>
        <w:t xml:space="preserve"> in higher education improve skills and </w:t>
      </w:r>
      <w:proofErr w:type="spellStart"/>
      <w:r w:rsidRPr="00FE3189">
        <w:rPr>
          <w:rFonts w:ascii="Times New Roman" w:hAnsi="Times New Roman" w:cs="Times New Roman"/>
          <w:sz w:val="24"/>
          <w:szCs w:val="24"/>
          <w:highlight w:val="yellow"/>
        </w:rPr>
        <w:t>labour</w:t>
      </w:r>
      <w:proofErr w:type="spellEnd"/>
      <w:r w:rsidRPr="00FE3189">
        <w:rPr>
          <w:rFonts w:ascii="Times New Roman" w:hAnsi="Times New Roman" w:cs="Times New Roman"/>
          <w:sz w:val="24"/>
          <w:szCs w:val="24"/>
          <w:highlight w:val="yellow"/>
        </w:rPr>
        <w:t xml:space="preserve"> market outcomes? A systematic review of academic literature. </w:t>
      </w:r>
      <w:r w:rsidRPr="00F36B0B">
        <w:rPr>
          <w:rFonts w:ascii="Times New Roman" w:hAnsi="Times New Roman" w:cs="Times New Roman"/>
          <w:i/>
          <w:sz w:val="24"/>
          <w:szCs w:val="24"/>
          <w:highlight w:val="yellow"/>
        </w:rPr>
        <w:t>Studies in Higher Education, 49(8),</w:t>
      </w:r>
      <w:r w:rsidRPr="00FE3189">
        <w:rPr>
          <w:rFonts w:ascii="Times New Roman" w:hAnsi="Times New Roman" w:cs="Times New Roman"/>
          <w:sz w:val="24"/>
          <w:szCs w:val="24"/>
          <w:highlight w:val="yellow"/>
        </w:rPr>
        <w:t xml:space="preserve"> 1381-1396. </w:t>
      </w:r>
      <w:hyperlink r:id="rId25" w:history="1">
        <w:r w:rsidRPr="00FE3189">
          <w:rPr>
            <w:rStyle w:val="Hyperlink"/>
            <w:rFonts w:ascii="Times New Roman" w:hAnsi="Times New Roman" w:cs="Times New Roman"/>
            <w:sz w:val="24"/>
            <w:szCs w:val="24"/>
            <w:highlight w:val="yellow"/>
          </w:rPr>
          <w:t>https://doi.org/10.1080/03075079.2023.2265425</w:t>
        </w:r>
      </w:hyperlink>
      <w:r>
        <w:rPr>
          <w:rFonts w:ascii="Times New Roman" w:hAnsi="Times New Roman" w:cs="Times New Roman"/>
          <w:sz w:val="24"/>
          <w:szCs w:val="24"/>
        </w:rPr>
        <w:t xml:space="preserve"> </w:t>
      </w:r>
    </w:p>
    <w:p w14:paraId="6F255E7F" w14:textId="77777777" w:rsidR="00411861" w:rsidRPr="00411861" w:rsidRDefault="00411861" w:rsidP="00411861">
      <w:pPr>
        <w:spacing w:after="0"/>
        <w:jc w:val="both"/>
        <w:rPr>
          <w:rFonts w:ascii="Times New Roman" w:hAnsi="Times New Roman" w:cs="Times New Roman"/>
          <w:sz w:val="24"/>
          <w:szCs w:val="24"/>
        </w:rPr>
      </w:pPr>
    </w:p>
    <w:p w14:paraId="07A73144" w14:textId="71E1E961"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Sin, C., &amp; Neave, G. (2016). Employability deconstructed: Perceptions of Bologna stakeholders. </w:t>
      </w:r>
      <w:r w:rsidRPr="00BD38E6">
        <w:rPr>
          <w:rFonts w:ascii="Times New Roman" w:hAnsi="Times New Roman" w:cs="Times New Roman"/>
          <w:i/>
          <w:sz w:val="24"/>
          <w:szCs w:val="24"/>
        </w:rPr>
        <w:t>Studies in Higher Education, 41(8),</w:t>
      </w:r>
      <w:r w:rsidRPr="00411861">
        <w:rPr>
          <w:rFonts w:ascii="Times New Roman" w:hAnsi="Times New Roman" w:cs="Times New Roman"/>
          <w:sz w:val="24"/>
          <w:szCs w:val="24"/>
        </w:rPr>
        <w:t xml:space="preserve"> 1447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1462. </w:t>
      </w:r>
      <w:hyperlink r:id="rId26" w:history="1">
        <w:r w:rsidR="008B311C" w:rsidRPr="00EB1503">
          <w:rPr>
            <w:rStyle w:val="Hyperlink"/>
            <w:rFonts w:ascii="Times New Roman" w:hAnsi="Times New Roman" w:cs="Times New Roman"/>
            <w:sz w:val="24"/>
            <w:szCs w:val="24"/>
          </w:rPr>
          <w:t>https://doi.org/10.1080/03075079.2014.977859</w:t>
        </w:r>
      </w:hyperlink>
      <w:r w:rsidR="008B311C">
        <w:rPr>
          <w:rFonts w:ascii="Times New Roman" w:hAnsi="Times New Roman" w:cs="Times New Roman"/>
          <w:sz w:val="24"/>
          <w:szCs w:val="24"/>
        </w:rPr>
        <w:t xml:space="preserve"> </w:t>
      </w:r>
    </w:p>
    <w:p w14:paraId="3419AC62" w14:textId="77777777" w:rsidR="00411861" w:rsidRPr="00411861" w:rsidRDefault="00411861" w:rsidP="00411861">
      <w:pPr>
        <w:spacing w:after="0"/>
        <w:jc w:val="both"/>
        <w:rPr>
          <w:rFonts w:ascii="Times New Roman" w:hAnsi="Times New Roman" w:cs="Times New Roman"/>
          <w:sz w:val="24"/>
          <w:szCs w:val="24"/>
        </w:rPr>
      </w:pPr>
    </w:p>
    <w:p w14:paraId="57F70BA9" w14:textId="50DCF68C" w:rsid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Tomlinson, M. (2012). Graduate employability: A review of conceptual and empirical themes. </w:t>
      </w:r>
      <w:r w:rsidRPr="00BD38E6">
        <w:rPr>
          <w:rFonts w:ascii="Times New Roman" w:hAnsi="Times New Roman" w:cs="Times New Roman"/>
          <w:i/>
          <w:sz w:val="24"/>
          <w:szCs w:val="24"/>
        </w:rPr>
        <w:t>Higher Education Policy, 25(4),</w:t>
      </w:r>
      <w:r w:rsidRPr="00411861">
        <w:rPr>
          <w:rFonts w:ascii="Times New Roman" w:hAnsi="Times New Roman" w:cs="Times New Roman"/>
          <w:sz w:val="24"/>
          <w:szCs w:val="24"/>
        </w:rPr>
        <w:t xml:space="preserve"> 407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431. </w:t>
      </w:r>
      <w:hyperlink r:id="rId27" w:history="1">
        <w:r w:rsidR="008B311C" w:rsidRPr="00EB1503">
          <w:rPr>
            <w:rStyle w:val="Hyperlink"/>
            <w:rFonts w:ascii="Times New Roman" w:hAnsi="Times New Roman" w:cs="Times New Roman"/>
            <w:sz w:val="24"/>
            <w:szCs w:val="24"/>
          </w:rPr>
          <w:t>https://doi.org/10.1057/hep.2011.26</w:t>
        </w:r>
      </w:hyperlink>
      <w:r w:rsidR="008B311C">
        <w:rPr>
          <w:rFonts w:ascii="Times New Roman" w:hAnsi="Times New Roman" w:cs="Times New Roman"/>
          <w:sz w:val="24"/>
          <w:szCs w:val="24"/>
        </w:rPr>
        <w:t xml:space="preserve"> </w:t>
      </w:r>
    </w:p>
    <w:p w14:paraId="47EB3D0A" w14:textId="77777777" w:rsidR="00CA6557" w:rsidRDefault="00CA6557" w:rsidP="00CA6557">
      <w:pPr>
        <w:pStyle w:val="ListParagraph"/>
        <w:spacing w:after="0"/>
        <w:ind w:left="360"/>
        <w:jc w:val="both"/>
        <w:rPr>
          <w:rFonts w:ascii="Times New Roman" w:hAnsi="Times New Roman" w:cs="Times New Roman"/>
          <w:sz w:val="24"/>
          <w:szCs w:val="24"/>
        </w:rPr>
      </w:pPr>
    </w:p>
    <w:p w14:paraId="0D68FF01" w14:textId="008030CE" w:rsidR="00CA6557" w:rsidRPr="002531C7" w:rsidRDefault="00CA6557" w:rsidP="00411861">
      <w:pPr>
        <w:pStyle w:val="ListParagraph"/>
        <w:numPr>
          <w:ilvl w:val="0"/>
          <w:numId w:val="1"/>
        </w:numPr>
        <w:spacing w:after="0"/>
        <w:ind w:left="360"/>
        <w:jc w:val="both"/>
        <w:rPr>
          <w:rFonts w:ascii="Times New Roman" w:hAnsi="Times New Roman" w:cs="Times New Roman"/>
          <w:sz w:val="24"/>
          <w:szCs w:val="24"/>
          <w:highlight w:val="yellow"/>
        </w:rPr>
      </w:pPr>
      <w:r w:rsidRPr="002531C7">
        <w:rPr>
          <w:rFonts w:ascii="Times New Roman" w:hAnsi="Times New Roman" w:cs="Times New Roman"/>
          <w:sz w:val="24"/>
          <w:szCs w:val="24"/>
          <w:highlight w:val="yellow"/>
        </w:rPr>
        <w:t xml:space="preserve">Tushar, H., &amp; </w:t>
      </w:r>
      <w:proofErr w:type="spellStart"/>
      <w:r w:rsidRPr="002531C7">
        <w:rPr>
          <w:rFonts w:ascii="Times New Roman" w:hAnsi="Times New Roman" w:cs="Times New Roman"/>
          <w:sz w:val="24"/>
          <w:szCs w:val="24"/>
          <w:highlight w:val="yellow"/>
        </w:rPr>
        <w:t>Sooraksa</w:t>
      </w:r>
      <w:proofErr w:type="spellEnd"/>
      <w:r w:rsidRPr="002531C7">
        <w:rPr>
          <w:rFonts w:ascii="Times New Roman" w:hAnsi="Times New Roman" w:cs="Times New Roman"/>
          <w:sz w:val="24"/>
          <w:szCs w:val="24"/>
          <w:highlight w:val="yellow"/>
        </w:rPr>
        <w:t xml:space="preserve">, N. (2023). Global employability skills in the 21st century workplace: </w:t>
      </w:r>
      <w:r w:rsidRPr="00BD38E6">
        <w:rPr>
          <w:rFonts w:ascii="Times New Roman" w:hAnsi="Times New Roman" w:cs="Times New Roman"/>
          <w:i/>
          <w:sz w:val="24"/>
          <w:szCs w:val="24"/>
          <w:highlight w:val="yellow"/>
        </w:rPr>
        <w:t xml:space="preserve">A semi-systematic literature review. </w:t>
      </w:r>
      <w:proofErr w:type="spellStart"/>
      <w:r w:rsidRPr="00BD38E6">
        <w:rPr>
          <w:rFonts w:ascii="Times New Roman" w:hAnsi="Times New Roman" w:cs="Times New Roman"/>
          <w:i/>
          <w:sz w:val="24"/>
          <w:szCs w:val="24"/>
          <w:highlight w:val="yellow"/>
        </w:rPr>
        <w:t>Heliyon</w:t>
      </w:r>
      <w:proofErr w:type="spellEnd"/>
      <w:r w:rsidRPr="00BD38E6">
        <w:rPr>
          <w:rFonts w:ascii="Times New Roman" w:hAnsi="Times New Roman" w:cs="Times New Roman"/>
          <w:i/>
          <w:sz w:val="24"/>
          <w:szCs w:val="24"/>
          <w:highlight w:val="yellow"/>
        </w:rPr>
        <w:t>, 9(11),</w:t>
      </w:r>
      <w:r w:rsidRPr="002531C7">
        <w:rPr>
          <w:rFonts w:ascii="Times New Roman" w:hAnsi="Times New Roman" w:cs="Times New Roman"/>
          <w:sz w:val="24"/>
          <w:szCs w:val="24"/>
          <w:highlight w:val="yellow"/>
        </w:rPr>
        <w:t xml:space="preserve"> e21023. </w:t>
      </w:r>
      <w:hyperlink r:id="rId28" w:history="1">
        <w:r w:rsidRPr="002531C7">
          <w:rPr>
            <w:rStyle w:val="Hyperlink"/>
            <w:rFonts w:ascii="Times New Roman" w:hAnsi="Times New Roman" w:cs="Times New Roman"/>
            <w:sz w:val="24"/>
            <w:szCs w:val="24"/>
            <w:highlight w:val="yellow"/>
          </w:rPr>
          <w:t>https://doi.org/10.1016/j.heliyon.2023.e21023</w:t>
        </w:r>
      </w:hyperlink>
      <w:r w:rsidRPr="002531C7">
        <w:rPr>
          <w:rFonts w:ascii="Times New Roman" w:hAnsi="Times New Roman" w:cs="Times New Roman"/>
          <w:sz w:val="24"/>
          <w:szCs w:val="24"/>
          <w:highlight w:val="yellow"/>
        </w:rPr>
        <w:t xml:space="preserve"> </w:t>
      </w:r>
    </w:p>
    <w:p w14:paraId="3B8726FD" w14:textId="77777777" w:rsidR="00411861" w:rsidRPr="00411861" w:rsidRDefault="00411861" w:rsidP="00411861">
      <w:pPr>
        <w:spacing w:after="0"/>
        <w:jc w:val="both"/>
        <w:rPr>
          <w:rFonts w:ascii="Times New Roman" w:hAnsi="Times New Roman" w:cs="Times New Roman"/>
          <w:sz w:val="24"/>
          <w:szCs w:val="24"/>
        </w:rPr>
      </w:pPr>
    </w:p>
    <w:p w14:paraId="4AEF9485" w14:textId="2BA979A4"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Van der Heijde, C. M., &amp; Van der Heijden, B. I. J. M. (2006). A competence-based and multidimensional operationalization and measurement of employability. </w:t>
      </w:r>
      <w:r w:rsidRPr="00BD38E6">
        <w:rPr>
          <w:rFonts w:ascii="Times New Roman" w:hAnsi="Times New Roman" w:cs="Times New Roman"/>
          <w:i/>
          <w:sz w:val="24"/>
          <w:szCs w:val="24"/>
        </w:rPr>
        <w:t>Human Resource Management, 45(3),</w:t>
      </w:r>
      <w:r w:rsidRPr="00411861">
        <w:rPr>
          <w:rFonts w:ascii="Times New Roman" w:hAnsi="Times New Roman" w:cs="Times New Roman"/>
          <w:sz w:val="24"/>
          <w:szCs w:val="24"/>
        </w:rPr>
        <w:t xml:space="preserve"> 449</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476. </w:t>
      </w:r>
      <w:hyperlink r:id="rId29" w:history="1">
        <w:r w:rsidR="008B311C" w:rsidRPr="00EB1503">
          <w:rPr>
            <w:rStyle w:val="Hyperlink"/>
            <w:rFonts w:ascii="Times New Roman" w:hAnsi="Times New Roman" w:cs="Times New Roman"/>
            <w:sz w:val="24"/>
            <w:szCs w:val="24"/>
          </w:rPr>
          <w:t>https://doi.org/10.1002/hrm.20119</w:t>
        </w:r>
      </w:hyperlink>
      <w:r w:rsidR="008B311C">
        <w:rPr>
          <w:rFonts w:ascii="Times New Roman" w:hAnsi="Times New Roman" w:cs="Times New Roman"/>
          <w:sz w:val="24"/>
          <w:szCs w:val="24"/>
        </w:rPr>
        <w:t xml:space="preserve"> </w:t>
      </w:r>
    </w:p>
    <w:p w14:paraId="64219FA3" w14:textId="77777777" w:rsidR="00411861" w:rsidRPr="00411861" w:rsidRDefault="00411861" w:rsidP="00411861">
      <w:pPr>
        <w:spacing w:after="0"/>
        <w:jc w:val="both"/>
        <w:rPr>
          <w:rFonts w:ascii="Times New Roman" w:hAnsi="Times New Roman" w:cs="Times New Roman"/>
          <w:sz w:val="24"/>
          <w:szCs w:val="24"/>
        </w:rPr>
      </w:pPr>
    </w:p>
    <w:p w14:paraId="78F60A93" w14:textId="3381F1F5" w:rsidR="00411861"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Wilton, N. (2011). Do employability skills really matter in the UK graduate labour market? </w:t>
      </w:r>
      <w:r w:rsidRPr="00BD38E6">
        <w:rPr>
          <w:rFonts w:ascii="Times New Roman" w:hAnsi="Times New Roman" w:cs="Times New Roman"/>
          <w:i/>
          <w:sz w:val="24"/>
          <w:szCs w:val="24"/>
        </w:rPr>
        <w:t>Work, Employment and Society, 25(1),</w:t>
      </w:r>
      <w:r w:rsidRPr="00411861">
        <w:rPr>
          <w:rFonts w:ascii="Times New Roman" w:hAnsi="Times New Roman" w:cs="Times New Roman"/>
          <w:sz w:val="24"/>
          <w:szCs w:val="24"/>
        </w:rPr>
        <w:t xml:space="preserve"> 85</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100. </w:t>
      </w:r>
      <w:hyperlink r:id="rId30" w:history="1">
        <w:r w:rsidR="008B311C" w:rsidRPr="00EB1503">
          <w:rPr>
            <w:rStyle w:val="Hyperlink"/>
            <w:rFonts w:ascii="Times New Roman" w:hAnsi="Times New Roman" w:cs="Times New Roman"/>
            <w:sz w:val="24"/>
            <w:szCs w:val="24"/>
          </w:rPr>
          <w:t>https://doi.org/10.1177/0950017010389244</w:t>
        </w:r>
      </w:hyperlink>
      <w:r w:rsidR="008B311C">
        <w:rPr>
          <w:rFonts w:ascii="Times New Roman" w:hAnsi="Times New Roman" w:cs="Times New Roman"/>
          <w:sz w:val="24"/>
          <w:szCs w:val="24"/>
        </w:rPr>
        <w:t xml:space="preserve"> </w:t>
      </w:r>
    </w:p>
    <w:p w14:paraId="1200ABDB" w14:textId="77777777" w:rsidR="00411861" w:rsidRPr="00411861" w:rsidRDefault="00411861" w:rsidP="00411861">
      <w:pPr>
        <w:spacing w:after="0"/>
        <w:jc w:val="both"/>
        <w:rPr>
          <w:rFonts w:ascii="Times New Roman" w:hAnsi="Times New Roman" w:cs="Times New Roman"/>
          <w:sz w:val="24"/>
          <w:szCs w:val="24"/>
        </w:rPr>
      </w:pPr>
    </w:p>
    <w:p w14:paraId="3CEA5079" w14:textId="059603C0" w:rsidR="007F664A" w:rsidRPr="00411861" w:rsidRDefault="00411861" w:rsidP="00411861">
      <w:pPr>
        <w:pStyle w:val="ListParagraph"/>
        <w:numPr>
          <w:ilvl w:val="0"/>
          <w:numId w:val="1"/>
        </w:numPr>
        <w:spacing w:after="0"/>
        <w:ind w:left="360"/>
        <w:jc w:val="both"/>
        <w:rPr>
          <w:rFonts w:ascii="Times New Roman" w:hAnsi="Times New Roman" w:cs="Times New Roman"/>
          <w:sz w:val="24"/>
          <w:szCs w:val="24"/>
        </w:rPr>
      </w:pPr>
      <w:r w:rsidRPr="00411861">
        <w:rPr>
          <w:rFonts w:ascii="Times New Roman" w:hAnsi="Times New Roman" w:cs="Times New Roman"/>
          <w:sz w:val="24"/>
          <w:szCs w:val="24"/>
        </w:rPr>
        <w:t xml:space="preserve">Yorke, M., &amp; Knight, P. T. (2007). Evidence-informed pedagogy and the enhancement of student employability. </w:t>
      </w:r>
      <w:r w:rsidRPr="00BD38E6">
        <w:rPr>
          <w:rFonts w:ascii="Times New Roman" w:hAnsi="Times New Roman" w:cs="Times New Roman"/>
          <w:i/>
          <w:sz w:val="24"/>
          <w:szCs w:val="24"/>
        </w:rPr>
        <w:t>Teaching in Higher Education, 12(2),</w:t>
      </w:r>
      <w:r w:rsidRPr="00411861">
        <w:rPr>
          <w:rFonts w:ascii="Times New Roman" w:hAnsi="Times New Roman" w:cs="Times New Roman"/>
          <w:sz w:val="24"/>
          <w:szCs w:val="24"/>
        </w:rPr>
        <w:t xml:space="preserve"> 157</w:t>
      </w:r>
      <w:r w:rsidR="004F74BD">
        <w:rPr>
          <w:rFonts w:ascii="Times New Roman" w:hAnsi="Times New Roman" w:cs="Times New Roman"/>
          <w:sz w:val="24"/>
          <w:szCs w:val="24"/>
        </w:rPr>
        <w:t>-</w:t>
      </w:r>
      <w:r w:rsidRPr="00411861">
        <w:rPr>
          <w:rFonts w:ascii="Times New Roman" w:hAnsi="Times New Roman" w:cs="Times New Roman"/>
          <w:sz w:val="24"/>
          <w:szCs w:val="24"/>
        </w:rPr>
        <w:t xml:space="preserve">170. </w:t>
      </w:r>
      <w:hyperlink r:id="rId31" w:history="1">
        <w:r w:rsidR="008B311C" w:rsidRPr="00EB1503">
          <w:rPr>
            <w:rStyle w:val="Hyperlink"/>
            <w:rFonts w:ascii="Times New Roman" w:hAnsi="Times New Roman" w:cs="Times New Roman"/>
            <w:sz w:val="24"/>
            <w:szCs w:val="24"/>
          </w:rPr>
          <w:t>https://doi.org/10.1080/13562510701191877</w:t>
        </w:r>
      </w:hyperlink>
      <w:r w:rsidR="008B311C">
        <w:rPr>
          <w:rFonts w:ascii="Times New Roman" w:hAnsi="Times New Roman" w:cs="Times New Roman"/>
          <w:sz w:val="24"/>
          <w:szCs w:val="24"/>
        </w:rPr>
        <w:t xml:space="preserve"> </w:t>
      </w:r>
    </w:p>
    <w:sectPr w:rsidR="007F664A" w:rsidRPr="00411861">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C0D1" w14:textId="77777777" w:rsidR="00CF6D83" w:rsidRDefault="00CF6D83" w:rsidP="00B13620">
      <w:pPr>
        <w:spacing w:after="0" w:line="240" w:lineRule="auto"/>
      </w:pPr>
      <w:r>
        <w:separator/>
      </w:r>
    </w:p>
  </w:endnote>
  <w:endnote w:type="continuationSeparator" w:id="0">
    <w:p w14:paraId="6AA1CD37" w14:textId="77777777" w:rsidR="00CF6D83" w:rsidRDefault="00CF6D83" w:rsidP="00B1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3C84" w14:textId="77777777" w:rsidR="00B13620" w:rsidRDefault="00B1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6683" w14:textId="77777777" w:rsidR="00B13620" w:rsidRDefault="00B1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D36E" w14:textId="77777777" w:rsidR="00B13620" w:rsidRDefault="00B1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6068" w14:textId="77777777" w:rsidR="00CF6D83" w:rsidRDefault="00CF6D83" w:rsidP="00B13620">
      <w:pPr>
        <w:spacing w:after="0" w:line="240" w:lineRule="auto"/>
      </w:pPr>
      <w:r>
        <w:separator/>
      </w:r>
    </w:p>
  </w:footnote>
  <w:footnote w:type="continuationSeparator" w:id="0">
    <w:p w14:paraId="4A9881D1" w14:textId="77777777" w:rsidR="00CF6D83" w:rsidRDefault="00CF6D83" w:rsidP="00B1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6314" w14:textId="3E56841C" w:rsidR="00B13620" w:rsidRDefault="00CF6D83">
    <w:pPr>
      <w:pStyle w:val="Header"/>
    </w:pPr>
    <w:r>
      <w:rPr>
        <w:noProof/>
      </w:rPr>
      <w:pict w14:anchorId="54D9B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F10B" w14:textId="5F00BB45" w:rsidR="00B13620" w:rsidRDefault="00CF6D83">
    <w:pPr>
      <w:pStyle w:val="Header"/>
    </w:pPr>
    <w:r>
      <w:rPr>
        <w:noProof/>
      </w:rPr>
      <w:pict w14:anchorId="03794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8182" w14:textId="467302F7" w:rsidR="00B13620" w:rsidRDefault="00CF6D83">
    <w:pPr>
      <w:pStyle w:val="Header"/>
    </w:pPr>
    <w:r>
      <w:rPr>
        <w:noProof/>
      </w:rPr>
      <w:pict w14:anchorId="5F7C8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32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6E50"/>
    <w:multiLevelType w:val="hybridMultilevel"/>
    <w:tmpl w:val="77A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D5"/>
    <w:rsid w:val="0000442E"/>
    <w:rsid w:val="00033994"/>
    <w:rsid w:val="0007136F"/>
    <w:rsid w:val="000722F6"/>
    <w:rsid w:val="0008261E"/>
    <w:rsid w:val="000E721A"/>
    <w:rsid w:val="001007E7"/>
    <w:rsid w:val="00111388"/>
    <w:rsid w:val="00112E02"/>
    <w:rsid w:val="001753FA"/>
    <w:rsid w:val="001E4970"/>
    <w:rsid w:val="002531C7"/>
    <w:rsid w:val="002876AF"/>
    <w:rsid w:val="002B74BA"/>
    <w:rsid w:val="002C0A00"/>
    <w:rsid w:val="002C45CF"/>
    <w:rsid w:val="002C5591"/>
    <w:rsid w:val="002D186B"/>
    <w:rsid w:val="002F1C10"/>
    <w:rsid w:val="003805FC"/>
    <w:rsid w:val="003842A9"/>
    <w:rsid w:val="00386259"/>
    <w:rsid w:val="0039131C"/>
    <w:rsid w:val="003C0890"/>
    <w:rsid w:val="003D273E"/>
    <w:rsid w:val="003E4AFC"/>
    <w:rsid w:val="003F0769"/>
    <w:rsid w:val="00411861"/>
    <w:rsid w:val="00425F10"/>
    <w:rsid w:val="004505FF"/>
    <w:rsid w:val="00450A15"/>
    <w:rsid w:val="004554E0"/>
    <w:rsid w:val="00494462"/>
    <w:rsid w:val="004B3B0A"/>
    <w:rsid w:val="004E3C2E"/>
    <w:rsid w:val="004F74BD"/>
    <w:rsid w:val="0051559E"/>
    <w:rsid w:val="005158FA"/>
    <w:rsid w:val="00532EE4"/>
    <w:rsid w:val="00563DA1"/>
    <w:rsid w:val="00582F64"/>
    <w:rsid w:val="00583CDE"/>
    <w:rsid w:val="00592D38"/>
    <w:rsid w:val="005D1768"/>
    <w:rsid w:val="00600C1E"/>
    <w:rsid w:val="006205F9"/>
    <w:rsid w:val="006344C8"/>
    <w:rsid w:val="006359A9"/>
    <w:rsid w:val="00662C2D"/>
    <w:rsid w:val="006679A9"/>
    <w:rsid w:val="00681938"/>
    <w:rsid w:val="006B4B02"/>
    <w:rsid w:val="006F5ABE"/>
    <w:rsid w:val="00726A46"/>
    <w:rsid w:val="007559EF"/>
    <w:rsid w:val="00763BBF"/>
    <w:rsid w:val="007A5CD7"/>
    <w:rsid w:val="007E60AE"/>
    <w:rsid w:val="007F664A"/>
    <w:rsid w:val="00817102"/>
    <w:rsid w:val="00862311"/>
    <w:rsid w:val="00865BFA"/>
    <w:rsid w:val="0086640C"/>
    <w:rsid w:val="008832FA"/>
    <w:rsid w:val="00891EF1"/>
    <w:rsid w:val="008B311C"/>
    <w:rsid w:val="008D7CA9"/>
    <w:rsid w:val="00905A58"/>
    <w:rsid w:val="009125AD"/>
    <w:rsid w:val="00926051"/>
    <w:rsid w:val="0097764F"/>
    <w:rsid w:val="009864CA"/>
    <w:rsid w:val="00A060CA"/>
    <w:rsid w:val="00A432AD"/>
    <w:rsid w:val="00A50C61"/>
    <w:rsid w:val="00A71CA1"/>
    <w:rsid w:val="00AA0AAE"/>
    <w:rsid w:val="00AC4CE0"/>
    <w:rsid w:val="00B001E5"/>
    <w:rsid w:val="00B02EC5"/>
    <w:rsid w:val="00B10C19"/>
    <w:rsid w:val="00B13620"/>
    <w:rsid w:val="00B30D43"/>
    <w:rsid w:val="00BB2B7D"/>
    <w:rsid w:val="00BD38E6"/>
    <w:rsid w:val="00BF6FB4"/>
    <w:rsid w:val="00C2051D"/>
    <w:rsid w:val="00C55A64"/>
    <w:rsid w:val="00C62EB1"/>
    <w:rsid w:val="00C76106"/>
    <w:rsid w:val="00C80BD3"/>
    <w:rsid w:val="00CA1FD5"/>
    <w:rsid w:val="00CA6557"/>
    <w:rsid w:val="00CF396C"/>
    <w:rsid w:val="00CF6D83"/>
    <w:rsid w:val="00D11E9F"/>
    <w:rsid w:val="00D13489"/>
    <w:rsid w:val="00D26978"/>
    <w:rsid w:val="00D315D5"/>
    <w:rsid w:val="00D3163E"/>
    <w:rsid w:val="00D4273E"/>
    <w:rsid w:val="00D95FCE"/>
    <w:rsid w:val="00DF08B1"/>
    <w:rsid w:val="00E13671"/>
    <w:rsid w:val="00E153CA"/>
    <w:rsid w:val="00E34AEF"/>
    <w:rsid w:val="00E43B5B"/>
    <w:rsid w:val="00E678FF"/>
    <w:rsid w:val="00E72246"/>
    <w:rsid w:val="00E75725"/>
    <w:rsid w:val="00E7649F"/>
    <w:rsid w:val="00EB73A9"/>
    <w:rsid w:val="00ED57B4"/>
    <w:rsid w:val="00EE417C"/>
    <w:rsid w:val="00F1519C"/>
    <w:rsid w:val="00F15876"/>
    <w:rsid w:val="00F33F9C"/>
    <w:rsid w:val="00F36B0B"/>
    <w:rsid w:val="00F60856"/>
    <w:rsid w:val="00FA6E22"/>
    <w:rsid w:val="00FD39CA"/>
    <w:rsid w:val="00FE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02645"/>
  <w15:chartTrackingRefBased/>
  <w15:docId w15:val="{0BCA5CE5-9793-49EB-956F-87B1BB3E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861"/>
    <w:pPr>
      <w:ind w:left="720"/>
      <w:contextualSpacing/>
    </w:pPr>
  </w:style>
  <w:style w:type="character" w:styleId="Hyperlink">
    <w:name w:val="Hyperlink"/>
    <w:basedOn w:val="DefaultParagraphFont"/>
    <w:uiPriority w:val="99"/>
    <w:unhideWhenUsed/>
    <w:rsid w:val="008B311C"/>
    <w:rPr>
      <w:color w:val="0563C1" w:themeColor="hyperlink"/>
      <w:u w:val="single"/>
    </w:rPr>
  </w:style>
  <w:style w:type="character" w:styleId="UnresolvedMention">
    <w:name w:val="Unresolved Mention"/>
    <w:basedOn w:val="DefaultParagraphFont"/>
    <w:uiPriority w:val="99"/>
    <w:semiHidden/>
    <w:unhideWhenUsed/>
    <w:rsid w:val="008B311C"/>
    <w:rPr>
      <w:color w:val="605E5C"/>
      <w:shd w:val="clear" w:color="auto" w:fill="E1DFDD"/>
    </w:rPr>
  </w:style>
  <w:style w:type="paragraph" w:styleId="Header">
    <w:name w:val="header"/>
    <w:basedOn w:val="Normal"/>
    <w:link w:val="HeaderChar"/>
    <w:uiPriority w:val="99"/>
    <w:unhideWhenUsed/>
    <w:rsid w:val="00B1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20"/>
  </w:style>
  <w:style w:type="paragraph" w:styleId="Footer">
    <w:name w:val="footer"/>
    <w:basedOn w:val="Normal"/>
    <w:link w:val="FooterChar"/>
    <w:uiPriority w:val="99"/>
    <w:unhideWhenUsed/>
    <w:rsid w:val="00B1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620"/>
  </w:style>
  <w:style w:type="paragraph" w:styleId="NoSpacing">
    <w:name w:val="No Spacing"/>
    <w:uiPriority w:val="1"/>
    <w:qFormat/>
    <w:rsid w:val="00FA6E22"/>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C80BD3"/>
    <w:rPr>
      <w:sz w:val="16"/>
      <w:szCs w:val="16"/>
    </w:rPr>
  </w:style>
  <w:style w:type="paragraph" w:styleId="CommentText">
    <w:name w:val="annotation text"/>
    <w:basedOn w:val="Normal"/>
    <w:link w:val="CommentTextChar"/>
    <w:uiPriority w:val="99"/>
    <w:semiHidden/>
    <w:unhideWhenUsed/>
    <w:rsid w:val="00C80BD3"/>
    <w:pPr>
      <w:spacing w:line="240" w:lineRule="auto"/>
    </w:pPr>
    <w:rPr>
      <w:sz w:val="20"/>
      <w:szCs w:val="20"/>
    </w:rPr>
  </w:style>
  <w:style w:type="character" w:customStyle="1" w:styleId="CommentTextChar">
    <w:name w:val="Comment Text Char"/>
    <w:basedOn w:val="DefaultParagraphFont"/>
    <w:link w:val="CommentText"/>
    <w:uiPriority w:val="99"/>
    <w:semiHidden/>
    <w:rsid w:val="00C80BD3"/>
    <w:rPr>
      <w:sz w:val="20"/>
      <w:szCs w:val="20"/>
    </w:rPr>
  </w:style>
  <w:style w:type="paragraph" w:styleId="CommentSubject">
    <w:name w:val="annotation subject"/>
    <w:basedOn w:val="CommentText"/>
    <w:next w:val="CommentText"/>
    <w:link w:val="CommentSubjectChar"/>
    <w:uiPriority w:val="99"/>
    <w:semiHidden/>
    <w:unhideWhenUsed/>
    <w:rsid w:val="00C80BD3"/>
    <w:rPr>
      <w:b/>
      <w:bCs/>
    </w:rPr>
  </w:style>
  <w:style w:type="character" w:customStyle="1" w:styleId="CommentSubjectChar">
    <w:name w:val="Comment Subject Char"/>
    <w:basedOn w:val="CommentTextChar"/>
    <w:link w:val="CommentSubject"/>
    <w:uiPriority w:val="99"/>
    <w:semiHidden/>
    <w:rsid w:val="00C80BD3"/>
    <w:rPr>
      <w:b/>
      <w:bCs/>
      <w:sz w:val="20"/>
      <w:szCs w:val="20"/>
    </w:rPr>
  </w:style>
  <w:style w:type="paragraph" w:styleId="BalloonText">
    <w:name w:val="Balloon Text"/>
    <w:basedOn w:val="Normal"/>
    <w:link w:val="BalloonTextChar"/>
    <w:uiPriority w:val="99"/>
    <w:semiHidden/>
    <w:unhideWhenUsed/>
    <w:rsid w:val="00C80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34714">
      <w:bodyDiv w:val="1"/>
      <w:marLeft w:val="0"/>
      <w:marRight w:val="0"/>
      <w:marTop w:val="0"/>
      <w:marBottom w:val="0"/>
      <w:divBdr>
        <w:top w:val="none" w:sz="0" w:space="0" w:color="auto"/>
        <w:left w:val="none" w:sz="0" w:space="0" w:color="auto"/>
        <w:bottom w:val="none" w:sz="0" w:space="0" w:color="auto"/>
        <w:right w:val="none" w:sz="0" w:space="0" w:color="auto"/>
      </w:divBdr>
    </w:div>
    <w:div w:id="567032693">
      <w:bodyDiv w:val="1"/>
      <w:marLeft w:val="0"/>
      <w:marRight w:val="0"/>
      <w:marTop w:val="0"/>
      <w:marBottom w:val="0"/>
      <w:divBdr>
        <w:top w:val="none" w:sz="0" w:space="0" w:color="auto"/>
        <w:left w:val="none" w:sz="0" w:space="0" w:color="auto"/>
        <w:bottom w:val="none" w:sz="0" w:space="0" w:color="auto"/>
        <w:right w:val="none" w:sz="0" w:space="0" w:color="auto"/>
      </w:divBdr>
    </w:div>
    <w:div w:id="1556118010">
      <w:bodyDiv w:val="1"/>
      <w:marLeft w:val="0"/>
      <w:marRight w:val="0"/>
      <w:marTop w:val="0"/>
      <w:marBottom w:val="0"/>
      <w:divBdr>
        <w:top w:val="none" w:sz="0" w:space="0" w:color="auto"/>
        <w:left w:val="none" w:sz="0" w:space="0" w:color="auto"/>
        <w:bottom w:val="none" w:sz="0" w:space="0" w:color="auto"/>
        <w:right w:val="none" w:sz="0" w:space="0" w:color="auto"/>
      </w:divBdr>
    </w:div>
    <w:div w:id="21452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075079.2017.1294152" TargetMode="External"/><Relationship Id="rId18" Type="http://schemas.openxmlformats.org/officeDocument/2006/relationships/hyperlink" Target="https://doi.org/10.1080/13538320120059990" TargetMode="External"/><Relationship Id="rId26" Type="http://schemas.openxmlformats.org/officeDocument/2006/relationships/hyperlink" Target="https://doi.org/10.1080/03075079.2014.977859" TargetMode="External"/><Relationship Id="rId39" Type="http://schemas.openxmlformats.org/officeDocument/2006/relationships/theme" Target="theme/theme1.xml"/><Relationship Id="rId21" Type="http://schemas.openxmlformats.org/officeDocument/2006/relationships/hyperlink" Target="https://doi.org/10.1080/0042098042000316100" TargetMode="Externa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80/07294360802444347" TargetMode="External"/><Relationship Id="rId17" Type="http://schemas.openxmlformats.org/officeDocument/2006/relationships/hyperlink" Target="https://doi.org/10.1007/s10775-015-9288-4" TargetMode="External"/><Relationship Id="rId25" Type="http://schemas.openxmlformats.org/officeDocument/2006/relationships/hyperlink" Target="https://doi.org/10.1080/03075079.2023.226542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vb.2003.10.005" TargetMode="External"/><Relationship Id="rId20" Type="http://schemas.openxmlformats.org/officeDocument/2006/relationships/hyperlink" Target="https://doi.org/10.1007/s10734-019-00490-5" TargetMode="External"/><Relationship Id="rId29" Type="http://schemas.openxmlformats.org/officeDocument/2006/relationships/hyperlink" Target="https://doi.org/10.1002/hrm.20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ET-10-2024-0463" TargetMode="External"/><Relationship Id="rId24" Type="http://schemas.openxmlformats.org/officeDocument/2006/relationships/hyperlink" Target="https://doi.org/10.1002/j.2161-0045.1997.tb00469.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8/ET-07-2012-0077" TargetMode="External"/><Relationship Id="rId23" Type="http://schemas.openxmlformats.org/officeDocument/2006/relationships/hyperlink" Target="https://doi.org/10.1016/j.jvb.2007.12.001" TargetMode="External"/><Relationship Id="rId28" Type="http://schemas.openxmlformats.org/officeDocument/2006/relationships/hyperlink" Target="https://doi.org/10.1016/j.heliyon.2023.e21023" TargetMode="External"/><Relationship Id="rId36" Type="http://schemas.openxmlformats.org/officeDocument/2006/relationships/header" Target="header3.xml"/><Relationship Id="rId10" Type="http://schemas.openxmlformats.org/officeDocument/2006/relationships/hyperlink" Target="https://doi.org/10.1080/03797720802522627" TargetMode="External"/><Relationship Id="rId19" Type="http://schemas.openxmlformats.org/officeDocument/2006/relationships/hyperlink" Target="https://doi.org/10.1080/03075079.2011.587140" TargetMode="External"/><Relationship Id="rId31" Type="http://schemas.openxmlformats.org/officeDocument/2006/relationships/hyperlink" Target="https://doi.org/10.1080/13562510701191877" TargetMode="External"/><Relationship Id="rId4" Type="http://schemas.openxmlformats.org/officeDocument/2006/relationships/webSettings" Target="webSettings.xml"/><Relationship Id="rId9" Type="http://schemas.openxmlformats.org/officeDocument/2006/relationships/hyperlink" Target="https://doi.org/10.1108/AEDS-04-2024-0085" TargetMode="External"/><Relationship Id="rId14" Type="http://schemas.openxmlformats.org/officeDocument/2006/relationships/hyperlink" Target="https://doi.org/10.1108/ET-01-2013-0009" TargetMode="External"/><Relationship Id="rId22" Type="http://schemas.openxmlformats.org/officeDocument/2006/relationships/hyperlink" Target="https://doi.org/10.1108/00400910710754435" TargetMode="External"/><Relationship Id="rId27" Type="http://schemas.openxmlformats.org/officeDocument/2006/relationships/hyperlink" Target="https://doi.org/10.1057/hep.2011.26" TargetMode="External"/><Relationship Id="rId30" Type="http://schemas.openxmlformats.org/officeDocument/2006/relationships/hyperlink" Target="https://doi.org/10.1177/0950017010389244"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Employability Skills</c:v>
                </c:pt>
                <c:pt idx="1">
                  <c:v>Career Preparedness</c:v>
                </c:pt>
              </c:strCache>
            </c:strRef>
          </c:cat>
          <c:val>
            <c:numRef>
              <c:f>Sheet1!$B$2:$B$3</c:f>
              <c:numCache>
                <c:formatCode>General</c:formatCode>
                <c:ptCount val="2"/>
                <c:pt idx="0">
                  <c:v>3.47</c:v>
                </c:pt>
                <c:pt idx="1">
                  <c:v>3.41</c:v>
                </c:pt>
              </c:numCache>
            </c:numRef>
          </c:val>
          <c:extLst>
            <c:ext xmlns:c16="http://schemas.microsoft.com/office/drawing/2014/chart" uri="{C3380CC4-5D6E-409C-BE32-E72D297353CC}">
              <c16:uniqueId val="{00000000-7F6D-48CE-943B-8DC90AD9A37E}"/>
            </c:ext>
          </c:extLst>
        </c:ser>
        <c:dLbls>
          <c:dLblPos val="outEnd"/>
          <c:showLegendKey val="0"/>
          <c:showVal val="1"/>
          <c:showCatName val="0"/>
          <c:showSerName val="0"/>
          <c:showPercent val="0"/>
          <c:showBubbleSize val="0"/>
        </c:dLbls>
        <c:gapWidth val="219"/>
        <c:overlap val="-27"/>
        <c:axId val="2050482975"/>
        <c:axId val="2111818735"/>
      </c:barChart>
      <c:catAx>
        <c:axId val="2050482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Variables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818735"/>
        <c:crosses val="autoZero"/>
        <c:auto val="1"/>
        <c:lblAlgn val="ctr"/>
        <c:lblOffset val="100"/>
        <c:noMultiLvlLbl val="0"/>
      </c:catAx>
      <c:valAx>
        <c:axId val="21118187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Mean Score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482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13</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MOHD FAISHAL</cp:lastModifiedBy>
  <cp:revision>139</cp:revision>
  <dcterms:created xsi:type="dcterms:W3CDTF">2026-04-03T15:01:00Z</dcterms:created>
  <dcterms:modified xsi:type="dcterms:W3CDTF">2026-04-09T15:43:00Z</dcterms:modified>
</cp:coreProperties>
</file>