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944C" w14:textId="77777777" w:rsidR="003F1087" w:rsidRPr="001763E0" w:rsidRDefault="00C46574" w:rsidP="00825B7A">
      <w:pPr>
        <w:spacing w:after="120"/>
        <w:jc w:val="center"/>
        <w:rPr>
          <w:rFonts w:ascii="Times New Roman" w:hAnsi="Times New Roman" w:cs="Times New Roman"/>
          <w:b/>
          <w:bCs/>
          <w:color w:val="000000" w:themeColor="text1"/>
        </w:rPr>
      </w:pPr>
      <w:r w:rsidRPr="001763E0">
        <w:rPr>
          <w:rFonts w:ascii="Times New Roman" w:hAnsi="Times New Roman" w:cs="Times New Roman"/>
          <w:b/>
          <w:bCs/>
          <w:color w:val="000000" w:themeColor="text1"/>
        </w:rPr>
        <w:t>Environmental contamination and transmission pathways of microbial and parasitic pathogens in wastewater-irrigated food systems</w:t>
      </w:r>
    </w:p>
    <w:p w14:paraId="2CDE6FEF" w14:textId="73DD1464" w:rsidR="00825B7A" w:rsidRPr="001763E0" w:rsidRDefault="00825B7A" w:rsidP="00825B7A">
      <w:pPr>
        <w:spacing w:after="120"/>
        <w:jc w:val="both"/>
        <w:rPr>
          <w:rFonts w:ascii="Times New Roman" w:hAnsi="Times New Roman" w:cs="Times New Roman"/>
          <w:b/>
          <w:bCs/>
          <w:color w:val="000000" w:themeColor="text1"/>
        </w:rPr>
      </w:pPr>
      <w:r w:rsidRPr="001763E0">
        <w:rPr>
          <w:rFonts w:ascii="Times New Roman" w:eastAsia="Times New Roman" w:hAnsi="Times New Roman" w:cs="Times New Roman"/>
          <w:b/>
          <w:bCs/>
          <w:color w:val="000000" w:themeColor="text1"/>
          <w:kern w:val="0"/>
          <w14:ligatures w14:val="none"/>
        </w:rPr>
        <w:t>Abstract</w:t>
      </w:r>
    </w:p>
    <w:p w14:paraId="73EE0ADF" w14:textId="4249C93D" w:rsidR="00825B7A" w:rsidRPr="001763E0" w:rsidRDefault="00825B7A"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The reuse of wastewater in agriculture is increasingly practiced but poses significant risks to food safety due to microbial and parasitic contamination. This study investigated environmental contamination and transmission pathways of pathogens in wastewater-irrigated food systems using wastewater, soil, and vegetable samples. Wastewater recorded the highest microbial load, with total coliform counts of (3.45 ± 0.12) × 10⁵ CFU/mL, compared to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2.15 ± 0.09) × 10⁴ CFU/g in soil and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4.85 ± 0.13) × 10⁴ CFU/g in vegetables. </w:t>
      </w:r>
      <w:r w:rsidRPr="001763E0">
        <w:rPr>
          <w:rFonts w:ascii="Times New Roman" w:eastAsia="Times New Roman" w:hAnsi="Times New Roman" w:cs="Times New Roman"/>
          <w:i/>
          <w:iCs/>
          <w:color w:val="000000" w:themeColor="text1"/>
          <w:kern w:val="0"/>
          <w14:ligatures w14:val="none"/>
        </w:rPr>
        <w:t>Escherichia coli</w:t>
      </w:r>
      <w:r w:rsidRPr="001763E0">
        <w:rPr>
          <w:rFonts w:ascii="Times New Roman" w:eastAsia="Times New Roman" w:hAnsi="Times New Roman" w:cs="Times New Roman"/>
          <w:color w:val="000000" w:themeColor="text1"/>
          <w:kern w:val="0"/>
          <w14:ligatures w14:val="none"/>
        </w:rPr>
        <w:t xml:space="preserve"> prevalence was 93.3% in wastewater and 83.3% in vegetables, while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occurred in 70.0% and 63.3%, respectively. Parasitic contamination showed </w:t>
      </w:r>
      <w:r w:rsidRPr="001763E0">
        <w:rPr>
          <w:rFonts w:ascii="Times New Roman" w:eastAsia="Times New Roman" w:hAnsi="Times New Roman" w:cs="Times New Roman"/>
          <w:i/>
          <w:iCs/>
          <w:color w:val="000000" w:themeColor="text1"/>
          <w:kern w:val="0"/>
          <w14:ligatures w14:val="none"/>
        </w:rPr>
        <w:t>Ascaris lumbricoides</w:t>
      </w:r>
      <w:r w:rsidRPr="001763E0">
        <w:rPr>
          <w:rFonts w:ascii="Times New Roman" w:eastAsia="Times New Roman" w:hAnsi="Times New Roman" w:cs="Times New Roman"/>
          <w:color w:val="000000" w:themeColor="text1"/>
          <w:kern w:val="0"/>
          <w14:ligatures w14:val="none"/>
        </w:rPr>
        <w:t xml:space="preserve"> as the most prevalent (66.7% in wastewater; 60.0% in vegetables). Physicochemical analysis revealed high biochemical oxygen demand (185.4 ± 12.6 mg/L) and turbidity (132.7 ± 15.3 NTU), indicating favorable conditions for pathogen survival. Strong correlations were observed between wastewater and vegetable contamination (r = 0.891), while regression analysis identified wastewater as the strongest predictor of vegetable contamination (β = 0.58, R² = 0.843)</w:t>
      </w:r>
      <w:r w:rsidR="00B716FF">
        <w:rPr>
          <w:rFonts w:ascii="Times New Roman" w:hAnsi="Times New Roman" w:cs="Times New Roman"/>
        </w:rPr>
        <w:t xml:space="preserve">, </w:t>
      </w:r>
      <w:r w:rsidR="00A20A3B" w:rsidRPr="001763E0">
        <w:rPr>
          <w:rFonts w:ascii="Times New Roman" w:hAnsi="Times New Roman" w:cs="Times New Roman"/>
        </w:rPr>
        <w:t>indicating a strong model fit</w:t>
      </w:r>
      <w:r w:rsidRPr="001763E0">
        <w:rPr>
          <w:rFonts w:ascii="Times New Roman" w:eastAsia="Times New Roman" w:hAnsi="Times New Roman" w:cs="Times New Roman"/>
          <w:color w:val="000000" w:themeColor="text1"/>
          <w:kern w:val="0"/>
          <w14:ligatures w14:val="none"/>
        </w:rPr>
        <w:t>. Pathway analysis confirmed both direct (β = 0.51) and indirect (β = 0.47) contamination routes.</w:t>
      </w:r>
      <w:r w:rsidR="00A20A3B"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color w:val="000000" w:themeColor="text1"/>
          <w:kern w:val="0"/>
          <w14:ligatures w14:val="none"/>
        </w:rPr>
        <w:t>These findings indicate that wastewater is a major driver of microbial and parasitic contamination in food systems, posing significant public health risks. Improved wastewater treatment, safer irrigation practices, and strengthened hygiene and monitoring systems are recommended to reduce contamination and enhance food safety.</w:t>
      </w:r>
    </w:p>
    <w:p w14:paraId="5EC48339" w14:textId="448C303C" w:rsidR="003F1087" w:rsidRPr="001763E0" w:rsidRDefault="00825B7A"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Keywords:</w:t>
      </w:r>
      <w:r w:rsidRPr="001763E0">
        <w:rPr>
          <w:rFonts w:ascii="Times New Roman" w:eastAsia="Times New Roman" w:hAnsi="Times New Roman" w:cs="Times New Roman"/>
          <w:color w:val="000000" w:themeColor="text1"/>
          <w:kern w:val="0"/>
          <w14:ligatures w14:val="none"/>
        </w:rPr>
        <w:t xml:space="preserve"> Wastewater, Food safety, Microbial contamination, Parasites, Public health, Irrigation</w:t>
      </w:r>
    </w:p>
    <w:p w14:paraId="1550DC84" w14:textId="4745E08E" w:rsidR="003F1087" w:rsidRPr="001763E0" w:rsidRDefault="003F1087" w:rsidP="00825B7A">
      <w:pPr>
        <w:spacing w:after="120"/>
        <w:jc w:val="both"/>
        <w:rPr>
          <w:rFonts w:ascii="Times New Roman" w:hAnsi="Times New Roman" w:cs="Times New Roman"/>
          <w:b/>
          <w:bCs/>
          <w:color w:val="000000" w:themeColor="text1"/>
        </w:rPr>
      </w:pPr>
      <w:r w:rsidRPr="001763E0">
        <w:rPr>
          <w:rFonts w:ascii="Times New Roman" w:eastAsia="Times New Roman" w:hAnsi="Times New Roman" w:cs="Times New Roman"/>
          <w:b/>
          <w:bCs/>
          <w:color w:val="000000" w:themeColor="text1"/>
          <w:kern w:val="0"/>
          <w14:ligatures w14:val="none"/>
        </w:rPr>
        <w:t>Introduction</w:t>
      </w:r>
    </w:p>
    <w:p w14:paraId="5A287C68"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The increasing demand for food production and the growing scarcity of freshwater resources have led to the widespread use of wastewater in agriculture, particularly in developing countries. Wastewater irrigation provides nutrients that enhance crop productivity, but it also introduces significant environmental and public health risks due to the presence of microbial and parasitic contaminants (Kumar et al., 2022; Adewumi et al., 2023; Rahman et al., 2024). Recent studies have highlighted that untreated or partially treated wastewater is a major reservoir of pathogens capable of contaminating soil and food crops, thereby facilitating the transmission of foodborne diseases (Abegunde et al., 2023; Ofori et al., 2024; Singh et al., 2023). This dual role of wastewater as both a resource and a risk factor underscores the need for a comprehensive understanding of its impact on food systems.</w:t>
      </w:r>
    </w:p>
    <w:p w14:paraId="5E39946C" w14:textId="2EC8021F"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Wastewater typically contains a diverse range of microorganisms, including bacteria such as </w:t>
      </w:r>
      <w:r w:rsidRPr="001763E0">
        <w:rPr>
          <w:rFonts w:ascii="Times New Roman" w:eastAsia="Times New Roman" w:hAnsi="Times New Roman" w:cs="Times New Roman"/>
          <w:i/>
          <w:iCs/>
          <w:color w:val="000000" w:themeColor="text1"/>
          <w:kern w:val="0"/>
          <w14:ligatures w14:val="none"/>
        </w:rPr>
        <w:t>Escherichia coli</w:t>
      </w:r>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Shigella spp.</w:t>
      </w:r>
      <w:r w:rsidRPr="001763E0">
        <w:rPr>
          <w:rFonts w:ascii="Times New Roman" w:eastAsia="Times New Roman" w:hAnsi="Times New Roman" w:cs="Times New Roman"/>
          <w:color w:val="000000" w:themeColor="text1"/>
          <w:kern w:val="0"/>
          <w14:ligatures w14:val="none"/>
        </w:rPr>
        <w:t xml:space="preserve">, and </w:t>
      </w:r>
      <w:r w:rsidRPr="001763E0">
        <w:rPr>
          <w:rFonts w:ascii="Times New Roman" w:eastAsia="Times New Roman" w:hAnsi="Times New Roman" w:cs="Times New Roman"/>
          <w:i/>
          <w:iCs/>
          <w:color w:val="000000" w:themeColor="text1"/>
          <w:kern w:val="0"/>
          <w14:ligatures w14:val="none"/>
        </w:rPr>
        <w:t>Vibrio spp.</w:t>
      </w:r>
      <w:r w:rsidRPr="001763E0">
        <w:rPr>
          <w:rFonts w:ascii="Times New Roman" w:eastAsia="Times New Roman" w:hAnsi="Times New Roman" w:cs="Times New Roman"/>
          <w:color w:val="000000" w:themeColor="text1"/>
          <w:kern w:val="0"/>
          <w14:ligatures w14:val="none"/>
        </w:rPr>
        <w:t>, as well as protozoan and helminth parasites (</w:t>
      </w:r>
      <w:proofErr w:type="spellStart"/>
      <w:r w:rsidRPr="001763E0">
        <w:rPr>
          <w:rFonts w:ascii="Times New Roman" w:eastAsia="Times New Roman" w:hAnsi="Times New Roman" w:cs="Times New Roman"/>
          <w:color w:val="000000" w:themeColor="text1"/>
          <w:kern w:val="0"/>
          <w14:ligatures w14:val="none"/>
        </w:rPr>
        <w:t>Papajová</w:t>
      </w:r>
      <w:proofErr w:type="spellEnd"/>
      <w:r w:rsidRPr="001763E0">
        <w:rPr>
          <w:rFonts w:ascii="Times New Roman" w:eastAsia="Times New Roman" w:hAnsi="Times New Roman" w:cs="Times New Roman"/>
          <w:color w:val="000000" w:themeColor="text1"/>
          <w:kern w:val="0"/>
          <w14:ligatures w14:val="none"/>
        </w:rPr>
        <w:t xml:space="preserve"> et al., 2022; Yakubu et al., 2023; Ibrahim et al., 2022). These pathogens originate primarily from human and animal excreta and can persist in wastewater due to their resistance to environmental stress and inadequate treatment processes (Okeke et al., 2024; Mensah et al., 2022). The high prevalence of these organisms in wastewater increases the likelihood of their transfer into agricultural environments, particularly when wastewater is used directly for irrigation</w:t>
      </w:r>
      <w:r w:rsidR="00AF36C2">
        <w:rPr>
          <w:rFonts w:ascii="Times New Roman" w:eastAsia="Times New Roman" w:hAnsi="Times New Roman" w:cs="Times New Roman"/>
          <w:color w:val="000000" w:themeColor="text1"/>
          <w:kern w:val="0"/>
          <w14:ligatures w14:val="none"/>
        </w:rPr>
        <w:t xml:space="preserve"> </w:t>
      </w:r>
      <w:r w:rsidR="00AF36C2">
        <w:rPr>
          <w:rFonts w:ascii="Times New Roman" w:hAnsi="Times New Roman" w:cs="Times New Roman"/>
          <w:lang w:val="en-GB"/>
        </w:rPr>
        <w:t>(</w:t>
      </w:r>
      <w:r w:rsidR="00AF36C2" w:rsidRPr="00AF36C2">
        <w:rPr>
          <w:rFonts w:ascii="Times New Roman" w:hAnsi="Times New Roman" w:cs="Times New Roman"/>
          <w:lang w:val="en-GB"/>
        </w:rPr>
        <w:t>Barril</w:t>
      </w:r>
      <w:r w:rsidR="00AF36C2">
        <w:rPr>
          <w:rFonts w:ascii="Times New Roman" w:hAnsi="Times New Roman" w:cs="Times New Roman"/>
          <w:lang w:val="en-GB"/>
        </w:rPr>
        <w:t xml:space="preserve"> et al., 2022)</w:t>
      </w:r>
      <w:r w:rsidRPr="001763E0">
        <w:rPr>
          <w:rFonts w:ascii="Times New Roman" w:eastAsia="Times New Roman" w:hAnsi="Times New Roman" w:cs="Times New Roman"/>
          <w:color w:val="000000" w:themeColor="text1"/>
          <w:kern w:val="0"/>
          <w14:ligatures w14:val="none"/>
        </w:rPr>
        <w:t>. Consequently, wastewater serves as a key pathway for the introduction of pathogenic microorganisms into the food chain.</w:t>
      </w:r>
    </w:p>
    <w:p w14:paraId="61FFC9A0"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lastRenderedPageBreak/>
        <w:t>The contamination of food systems occurs through multiple interconnected pathways, with irrigation being the most critical route. When contaminated wastewater is applied to agricultural fields, pathogens can adhere to plant surfaces, infiltrate plant tissues, or accumulate in soil, where they persist and subsequently contaminate crops (Rahman et al., 2024; Kumar et al., 2022). Soil acts as an important intermediary reservoir, facilitating the transfer of contaminants from wastewater to vegetables (Abegunde et al., 2023; Ofori et al., 2024). This sequential transfer mechanism has been described as a contamination continuum, where pathogens move from environmental sources to food products, thereby increasing the risk of human exposure through consumption.</w:t>
      </w:r>
    </w:p>
    <w:p w14:paraId="2CE6E986"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In addition to biological contaminants, physicochemical properties of wastewater such as biochemical oxygen demand (BOD), turbidity, and dissolved oxygen levels play a crucial role in influencing microbial survival and proliferation. High organic loads in wastewater provide favorable conditions for the growth and persistence of pathogens in agricultural systems (Singh et al., 2023; Adewumi et al., 2023). Studies have demonstrated that elevated BOD and turbidity levels are positively associated with increased microbial contamination in soil and crops (Rahman et al., 2024; Kumar et al., 2022). These environmental factors not only enhance pathogen survival but also facilitate their transmission across different components of the food system.</w:t>
      </w:r>
    </w:p>
    <w:p w14:paraId="319990D3"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Recent advances in statistical and epidemiological analyses have provided deeper insights into the relationships between environmental contamination and food safety. Correlation and regression studies have shown strong associations between wastewater quality and microbial contamination of vegetables, highlighting wastewater as a key predictor of food contamination (Ofori et al., 2024; Abegunde et al., 2023). Furthermore, pathway analyses have demonstrated that contamination occurs through both direct routes (wastewater to crops) and indirect routes (wastewater to soil to crops), emphasizing the complexity of transmission dynamics (Mensah et al., 2022; Yakubu et al., 2023). These findings reinforce the importance of adopting a systems-based approach to understanding contamination pathways in wastewater-irrigated agriculture.</w:t>
      </w:r>
    </w:p>
    <w:p w14:paraId="4D1F6F98"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Despite the growing body of evidence on wastewater-related contamination, significant gaps remain in understanding the integrated relationships among microbial load, parasitic burden, physicochemical factors, and transmission pathways within food systems. Most existing studies focus on isolated aspects of contamination without considering the combined effects of environmental and biological variables. Therefore, the objective of this study is to investigate the environmental contamination and transmission pathways of microbial and parasitic pathogens in wastewater-irrigated food systems by assessing contamination levels, prevalence patterns, physicochemical influences, and statistical relationships among wastewater, soil, and vegetables. This integrated approach provides a comprehensive understanding of how wastewater contributes to the spread of pathogens in food systems and supports the development of effective mitigation strategies.</w:t>
      </w:r>
    </w:p>
    <w:p w14:paraId="78F7A480"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 xml:space="preserve">Materials and Methods </w:t>
      </w:r>
    </w:p>
    <w:p w14:paraId="2D39EF35" w14:textId="39BF3F99"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Study Design</w:t>
      </w:r>
    </w:p>
    <w:p w14:paraId="0E3BD89D"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This study employed a cross-sectional laboratory-based experimental design to evaluate microbial, parasitic, and physicochemical contamination in wastewater, soil, and vegetables. The approach integrates environmental sampling with microbiological and parasitological analyses to establish contamination pathways and assess transmission dynamics. Such designs are widely used in </w:t>
      </w:r>
      <w:r w:rsidRPr="001763E0">
        <w:rPr>
          <w:rFonts w:ascii="Times New Roman" w:eastAsia="Times New Roman" w:hAnsi="Times New Roman" w:cs="Times New Roman"/>
          <w:color w:val="000000" w:themeColor="text1"/>
          <w:kern w:val="0"/>
          <w14:ligatures w14:val="none"/>
        </w:rPr>
        <w:lastRenderedPageBreak/>
        <w:t>environmental microbiology and food safety research to determine contamination levels and associated risks (Kumar et al., 2022; Singh et al., 2023).</w:t>
      </w:r>
    </w:p>
    <w:p w14:paraId="56F2F607" w14:textId="32A20F90"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Study Area and Sampling Sites</w:t>
      </w:r>
    </w:p>
    <w:p w14:paraId="438DE879" w14:textId="23B9EF38"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Samples were collected from peri-urban </w:t>
      </w:r>
      <w:r w:rsidR="00D17D57" w:rsidRPr="001763E0">
        <w:rPr>
          <w:rFonts w:ascii="Times New Roman" w:hAnsi="Times New Roman" w:cs="Times New Roman"/>
          <w:color w:val="000000" w:themeColor="text1"/>
        </w:rPr>
        <w:t xml:space="preserve">farming communities within Yenagoa, </w:t>
      </w:r>
      <w:r w:rsidR="001763E0" w:rsidRPr="001763E0">
        <w:rPr>
          <w:rFonts w:ascii="Times New Roman" w:hAnsi="Times New Roman" w:cs="Times New Roman"/>
        </w:rPr>
        <w:t xml:space="preserve">particularly areas such as </w:t>
      </w:r>
      <w:proofErr w:type="spellStart"/>
      <w:r w:rsidR="001763E0" w:rsidRPr="001763E0">
        <w:rPr>
          <w:rFonts w:ascii="Times New Roman" w:hAnsi="Times New Roman" w:cs="Times New Roman"/>
        </w:rPr>
        <w:t>Etegwe</w:t>
      </w:r>
      <w:proofErr w:type="spellEnd"/>
      <w:r w:rsidR="001763E0" w:rsidRPr="001763E0">
        <w:rPr>
          <w:rFonts w:ascii="Times New Roman" w:hAnsi="Times New Roman" w:cs="Times New Roman"/>
        </w:rPr>
        <w:t xml:space="preserve">, </w:t>
      </w:r>
      <w:proofErr w:type="spellStart"/>
      <w:r w:rsidR="001763E0" w:rsidRPr="001763E0">
        <w:rPr>
          <w:rFonts w:ascii="Times New Roman" w:hAnsi="Times New Roman" w:cs="Times New Roman"/>
        </w:rPr>
        <w:t>Kpansia</w:t>
      </w:r>
      <w:proofErr w:type="spellEnd"/>
      <w:r w:rsidR="001763E0" w:rsidRPr="001763E0">
        <w:rPr>
          <w:rFonts w:ascii="Times New Roman" w:hAnsi="Times New Roman" w:cs="Times New Roman"/>
        </w:rPr>
        <w:t xml:space="preserve">, Opolo, and </w:t>
      </w:r>
      <w:proofErr w:type="spellStart"/>
      <w:r w:rsidR="001763E0" w:rsidRPr="001763E0">
        <w:rPr>
          <w:rFonts w:ascii="Times New Roman" w:hAnsi="Times New Roman" w:cs="Times New Roman"/>
        </w:rPr>
        <w:t>Igbogene</w:t>
      </w:r>
      <w:proofErr w:type="spellEnd"/>
      <w:r w:rsidR="00B716FF">
        <w:rPr>
          <w:rFonts w:ascii="Times New Roman" w:hAnsi="Times New Roman" w:cs="Times New Roman"/>
        </w:rPr>
        <w:t>,</w:t>
      </w:r>
      <w:r w:rsidR="001763E0" w:rsidRPr="001763E0">
        <w:rPr>
          <w:rFonts w:ascii="Times New Roman" w:hAnsi="Times New Roman" w:cs="Times New Roman"/>
        </w:rPr>
        <w:t xml:space="preserve"> were selected </w:t>
      </w:r>
      <w:r w:rsidR="00D17D57" w:rsidRPr="001763E0">
        <w:rPr>
          <w:rFonts w:ascii="Times New Roman" w:hAnsi="Times New Roman" w:cs="Times New Roman"/>
          <w:color w:val="000000" w:themeColor="text1"/>
        </w:rPr>
        <w:t xml:space="preserve">due to their proximity to wastewater discharge channels and their reliance on contaminated water sources for irrigation. These areas are known for intensive cultivation of leafy vegetables, which are often consumed raw, thereby increasing the risk of exposure to microbial and parasitic contaminants. Previous studies have identified urban agriculture in wastewater-affected environments as a major pathway for the transmission of foodborne pathogens (Abegunde et al., 2023; Ofori et al., 2024). </w:t>
      </w:r>
      <w:r w:rsidRPr="001763E0">
        <w:rPr>
          <w:rFonts w:ascii="Times New Roman" w:eastAsia="Times New Roman" w:hAnsi="Times New Roman" w:cs="Times New Roman"/>
          <w:color w:val="000000" w:themeColor="text1"/>
          <w:kern w:val="0"/>
          <w14:ligatures w14:val="none"/>
        </w:rPr>
        <w:t>Sampling points included irrigation channels, cultivated plots, and vegetable harvesting points. These locations were selected due to their high exposure to wastewater contamination and their relevance in food production systems (Abegunde et al., 2023; Ofori et al., 2024).</w:t>
      </w:r>
      <w:r w:rsidR="00D17D57" w:rsidRPr="001763E0">
        <w:rPr>
          <w:rFonts w:ascii="Times New Roman" w:hAnsi="Times New Roman" w:cs="Times New Roman"/>
          <w:color w:val="000000" w:themeColor="text1"/>
        </w:rPr>
        <w:t xml:space="preserve"> The combination of indiscriminate wastewater disposal, poor sanitation infrastructure, and high dependence on wastewater for irrigation makes Yenagoa an ideal location for investigating environmental contamination and transmission pathways of pathogens in food systems. Similar environmental conditions have been associated with increased microbial and parasitic contamination in agricultural settings in developing regions (Kumar et al., 2022; Yakubu et al., 2023).</w:t>
      </w:r>
    </w:p>
    <w:p w14:paraId="101CDEA4" w14:textId="1003C000" w:rsidR="00F426CF" w:rsidRPr="001763E0" w:rsidRDefault="00F426CF" w:rsidP="00825B7A">
      <w:pPr>
        <w:spacing w:after="120" w:line="240" w:lineRule="auto"/>
        <w:jc w:val="both"/>
        <w:rPr>
          <w:rFonts w:ascii="Times New Roman" w:eastAsia="Times New Roman" w:hAnsi="Times New Roman" w:cs="Times New Roman"/>
          <w:b/>
          <w:bCs/>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Sample size</w:t>
      </w:r>
    </w:p>
    <w:p w14:paraId="1777D1FD" w14:textId="2D19096B" w:rsidR="00F426CF" w:rsidRPr="001763E0" w:rsidRDefault="00F426CF" w:rsidP="00825B7A">
      <w:pPr>
        <w:spacing w:after="120" w:line="240" w:lineRule="auto"/>
        <w:jc w:val="both"/>
        <w:rPr>
          <w:rFonts w:ascii="Times New Roman" w:eastAsia="Times New Roman" w:hAnsi="Times New Roman" w:cs="Times New Roman"/>
          <w:b/>
          <w:bCs/>
          <w:color w:val="000000" w:themeColor="text1"/>
          <w:kern w:val="0"/>
          <w14:ligatures w14:val="none"/>
        </w:rPr>
      </w:pPr>
      <w:r w:rsidRPr="001763E0">
        <w:rPr>
          <w:rFonts w:ascii="Times New Roman" w:hAnsi="Times New Roman" w:cs="Times New Roman"/>
        </w:rPr>
        <w:t>The sample size was determined using Cochran’s formula for prevalence studies:</w:t>
      </w:r>
      <w:r w:rsidRPr="001763E0">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den>
        </m:f>
      </m:oMath>
      <w:r w:rsidRPr="001763E0">
        <w:rPr>
          <w:rFonts w:ascii="Times New Roman" w:hAnsi="Times New Roman" w:cs="Times New Roman"/>
        </w:rPr>
        <w:t xml:space="preserve">, where </w:t>
      </w:r>
      <m:oMath>
        <m:r>
          <w:rPr>
            <w:rFonts w:ascii="Cambria Math" w:hAnsi="Cambria Math" w:cs="Times New Roman"/>
          </w:rPr>
          <m:t>Z=1.96</m:t>
        </m:r>
        <m:r>
          <w:rPr>
            <w:rFonts w:ascii="Cambria Math" w:hAnsi="Cambria Math" w:cs="Times New Roman"/>
          </w:rPr>
          <m:t xml:space="preserve">, </m:t>
        </m:r>
      </m:oMath>
      <w:r w:rsidRPr="001763E0">
        <w:rPr>
          <w:rFonts w:ascii="Times New Roman" w:hAnsi="Times New Roman" w:cs="Times New Roman"/>
        </w:rPr>
        <w:t xml:space="preserve">at 95% confidence level, </w:t>
      </w:r>
      <m:oMath>
        <m:r>
          <w:rPr>
            <w:rFonts w:ascii="Cambria Math" w:hAnsi="Cambria Math" w:cs="Times New Roman"/>
          </w:rPr>
          <m:t>p</m:t>
        </m:r>
      </m:oMath>
      <w:r w:rsidRPr="001763E0">
        <w:rPr>
          <w:rFonts w:ascii="Times New Roman" w:hAnsi="Times New Roman" w:cs="Times New Roman"/>
        </w:rPr>
        <w:t xml:space="preserve">is the estimated prevalence from previous studies, and </w:t>
      </w:r>
      <m:oMath>
        <m:r>
          <w:rPr>
            <w:rFonts w:ascii="Cambria Math" w:hAnsi="Cambria Math" w:cs="Times New Roman"/>
          </w:rPr>
          <m:t>d=0.05</m:t>
        </m:r>
      </m:oMath>
      <w:r w:rsidRPr="001763E0">
        <w:rPr>
          <w:rFonts w:ascii="Times New Roman" w:hAnsi="Times New Roman" w:cs="Times New Roman"/>
        </w:rPr>
        <w:t>represents the margin of error. The calculated sample size was adjusted for feasibility and distributed equally across sample types, resulting in a total of 90 samples comprising 30 wastewater, 30 soil, and 30 vegetable samples.”</w:t>
      </w:r>
    </w:p>
    <w:p w14:paraId="008E1457" w14:textId="3E95E4D0"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Sample Collection</w:t>
      </w:r>
    </w:p>
    <w:p w14:paraId="6E1867B4" w14:textId="77777777" w:rsidR="00D17D5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A total of 90 samples were collected, comprising 30 wastewater samples, 30 soil samples, and 30 vegetable samples. Wastewater samples were collected in sterile 1 L polypropylene bottles from irrigation sources. Soil samples were collected from the top 0–10 cm layer using sterile augers, while vegetable samples (leafy vegetables) were harvested aseptically using sterile gloves and scissors. All samples were placed in sterile containers, transported in ice boxes at 4°C, and analyzed within 6 hours to maintain microbial integrity (ISO, 2017; APHA, 2017).</w:t>
      </w:r>
    </w:p>
    <w:p w14:paraId="49704459" w14:textId="236ED61A"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Microbiological Analysis</w:t>
      </w:r>
    </w:p>
    <w:p w14:paraId="0A34E8F1" w14:textId="6545F75A" w:rsidR="00D17D5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Microbial analysis focused on indicator organisms and pathogenic bacteria. The membrane filtration technique was used for enumeration of total coliforms and fecal coliforms. Samples were filtered through 0.45 µm membrane filters and cultured on selective media such as MacConkey agar and Eosin Methylene Blue (EMB) agar for </w:t>
      </w:r>
      <w:r w:rsidRPr="001763E0">
        <w:rPr>
          <w:rFonts w:ascii="Times New Roman" w:eastAsia="Times New Roman" w:hAnsi="Times New Roman" w:cs="Times New Roman"/>
          <w:i/>
          <w:iCs/>
          <w:color w:val="000000" w:themeColor="text1"/>
          <w:kern w:val="0"/>
          <w14:ligatures w14:val="none"/>
        </w:rPr>
        <w:t>Escherichia coli</w:t>
      </w:r>
      <w:r w:rsidRPr="001763E0">
        <w:rPr>
          <w:rFonts w:ascii="Times New Roman" w:eastAsia="Times New Roman" w:hAnsi="Times New Roman" w:cs="Times New Roman"/>
          <w:color w:val="000000" w:themeColor="text1"/>
          <w:kern w:val="0"/>
          <w14:ligatures w14:val="none"/>
        </w:rPr>
        <w:t xml:space="preserve"> identification.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and </w:t>
      </w:r>
      <w:r w:rsidRPr="001763E0">
        <w:rPr>
          <w:rFonts w:ascii="Times New Roman" w:eastAsia="Times New Roman" w:hAnsi="Times New Roman" w:cs="Times New Roman"/>
          <w:i/>
          <w:iCs/>
          <w:color w:val="000000" w:themeColor="text1"/>
          <w:kern w:val="0"/>
          <w14:ligatures w14:val="none"/>
        </w:rPr>
        <w:t>Shigella spp.</w:t>
      </w:r>
      <w:r w:rsidRPr="001763E0">
        <w:rPr>
          <w:rFonts w:ascii="Times New Roman" w:eastAsia="Times New Roman" w:hAnsi="Times New Roman" w:cs="Times New Roman"/>
          <w:color w:val="000000" w:themeColor="text1"/>
          <w:kern w:val="0"/>
          <w14:ligatures w14:val="none"/>
        </w:rPr>
        <w:t xml:space="preserve"> were isolated using pre-enrichment in buffered peptone water followed by selective enrichment and plating on Xylose Lysine Deoxycholate (XLD) agar. Plates were incubated at 37°C for 24–48 hours, and colonies were identified based on morphological characteristics and standard biochemical tests (Cheesbrough, 2006; APHA, 2017).</w:t>
      </w:r>
      <w:r w:rsidR="00D17D57"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color w:val="000000" w:themeColor="text1"/>
          <w:kern w:val="0"/>
          <w14:ligatures w14:val="none"/>
        </w:rPr>
        <w:t xml:space="preserve">Microbial counts were expressed as colony-forming units per milliliter (CFU/mL) for wastewater and CFU </w:t>
      </w:r>
      <w:r w:rsidRPr="001763E0">
        <w:rPr>
          <w:rFonts w:ascii="Times New Roman" w:eastAsia="Times New Roman" w:hAnsi="Times New Roman" w:cs="Times New Roman"/>
          <w:color w:val="000000" w:themeColor="text1"/>
          <w:kern w:val="0"/>
          <w14:ligatures w14:val="none"/>
        </w:rPr>
        <w:lastRenderedPageBreak/>
        <w:t>per gram (CFU/g) for soil and vegetable samples. All analyses were performed in triplicate to ensure accuracy and reproducibility (Singh et al., 2023).</w:t>
      </w:r>
    </w:p>
    <w:p w14:paraId="7B661D5A" w14:textId="69F57FCE"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Parasitological Analysis</w:t>
      </w:r>
    </w:p>
    <w:p w14:paraId="71672522" w14:textId="77777777" w:rsidR="00D17D5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Parasitological examination was conducted using sedimentation and flotation techniques to detect helminth eggs and protozoan cysts. Wastewater and soil samples were processed using the formalin-ether concentration technique, while vegetable samples were washed with sterile saline solution, and the washings were centrifuged to concentrate parasitic stages. The sediments were examined under a light microscope at ×10 and ×40 magnifications to identify parasites such as </w:t>
      </w:r>
      <w:r w:rsidRPr="001763E0">
        <w:rPr>
          <w:rFonts w:ascii="Times New Roman" w:eastAsia="Times New Roman" w:hAnsi="Times New Roman" w:cs="Times New Roman"/>
          <w:i/>
          <w:iCs/>
          <w:color w:val="000000" w:themeColor="text1"/>
          <w:kern w:val="0"/>
          <w14:ligatures w14:val="none"/>
        </w:rPr>
        <w:t>Ascaris lumbricoides</w:t>
      </w:r>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 xml:space="preserve">Trichuris </w:t>
      </w:r>
      <w:proofErr w:type="spellStart"/>
      <w:r w:rsidRPr="001763E0">
        <w:rPr>
          <w:rFonts w:ascii="Times New Roman" w:eastAsia="Times New Roman" w:hAnsi="Times New Roman" w:cs="Times New Roman"/>
          <w:i/>
          <w:iCs/>
          <w:color w:val="000000" w:themeColor="text1"/>
          <w:kern w:val="0"/>
          <w14:ligatures w14:val="none"/>
        </w:rPr>
        <w:t>trichiura</w:t>
      </w:r>
      <w:proofErr w:type="spellEnd"/>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Giardia lamblia</w:t>
      </w:r>
      <w:r w:rsidRPr="001763E0">
        <w:rPr>
          <w:rFonts w:ascii="Times New Roman" w:eastAsia="Times New Roman" w:hAnsi="Times New Roman" w:cs="Times New Roman"/>
          <w:color w:val="000000" w:themeColor="text1"/>
          <w:kern w:val="0"/>
          <w14:ligatures w14:val="none"/>
        </w:rPr>
        <w:t xml:space="preserve">, and </w:t>
      </w:r>
      <w:r w:rsidRPr="001763E0">
        <w:rPr>
          <w:rFonts w:ascii="Times New Roman" w:eastAsia="Times New Roman" w:hAnsi="Times New Roman" w:cs="Times New Roman"/>
          <w:i/>
          <w:iCs/>
          <w:color w:val="000000" w:themeColor="text1"/>
          <w:kern w:val="0"/>
          <w14:ligatures w14:val="none"/>
        </w:rPr>
        <w:t>Entamoeba histolytica</w:t>
      </w:r>
      <w:r w:rsidRPr="001763E0">
        <w:rPr>
          <w:rFonts w:ascii="Times New Roman" w:eastAsia="Times New Roman" w:hAnsi="Times New Roman" w:cs="Times New Roman"/>
          <w:color w:val="000000" w:themeColor="text1"/>
          <w:kern w:val="0"/>
          <w14:ligatures w14:val="none"/>
        </w:rPr>
        <w:t xml:space="preserve"> based on morphological features (Garcia, 2007; WHO, 2006). These methods are widely recognized for their sensitivity in detecting environmental parasites (Yakubu et al., 2023).</w:t>
      </w:r>
    </w:p>
    <w:p w14:paraId="29AFF853" w14:textId="33B2E77B"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Physicochemical Analysis of Wastewater</w:t>
      </w:r>
    </w:p>
    <w:p w14:paraId="04625E0C" w14:textId="77777777" w:rsidR="001A4D1B"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Physicochemical parameters of wastewater, including temperature, pH, dissolved oxygen (DO), biochemical oxygen demand (BOD), and turbidity, were measured using standard analytical procedures. Temperature and pH were measured in situ using digital meters, while DO was determined using a DO meter. BOD was measured using the 5-day incubation method, and turbidity was assessed using a turbidity meter. These parameters are essential in evaluating environmental conditions that influence microbial survival and proliferation (Metcalf &amp; Eddy, 2014; Adewumi et al., 2023).</w:t>
      </w:r>
    </w:p>
    <w:p w14:paraId="68D54241" w14:textId="0290B452"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Quality Control and Assurance</w:t>
      </w:r>
    </w:p>
    <w:p w14:paraId="5DA8F07F" w14:textId="77777777" w:rsidR="001A4D1B"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All laboratory procedures were carried out under strict aseptic conditions. Sterile glassware and reagents were used throughout the analysis to prevent contamination. Positive and negative controls were included in microbial and parasitological assays to validate results. All measurements were conducted in triplicate, and instruments were calibrated prior to use to ensure accuracy and reliability (APHA, 2017; ISO, 2017).</w:t>
      </w:r>
    </w:p>
    <w:p w14:paraId="68496AC0" w14:textId="07EB0199"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Data Analysis</w:t>
      </w:r>
    </w:p>
    <w:p w14:paraId="7A46DEF9" w14:textId="5931A648" w:rsidR="001A4D1B"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Data obtained from laboratory analyses were subjected to statistical analysis using SPSS version 25.0. Descriptive statistics were expressed as mean ± standard deviation (SD). Differences among sample types were analyzed using one-way Analysis of Variance (ANOVA), and mean separation was performed using post hoc tests at p &lt; 0.05. Chi-square tests were used to assess associations between sample types and contamination levels, while Pearson correlation analysis determined relationships among microbial load, parasite load, and physicochemical parameters. Multiple linear regression analysis was used to identify predictors of vegetable contamination and evaluate contamination pathways</w:t>
      </w:r>
      <w:r w:rsidR="006F086B" w:rsidRPr="001763E0">
        <w:rPr>
          <w:rFonts w:ascii="Times New Roman" w:eastAsia="Times New Roman" w:hAnsi="Times New Roman" w:cs="Times New Roman"/>
          <w:color w:val="000000" w:themeColor="text1"/>
          <w:kern w:val="0"/>
          <w14:ligatures w14:val="none"/>
        </w:rPr>
        <w:t xml:space="preserve">. </w:t>
      </w:r>
      <w:r w:rsidR="006F086B" w:rsidRPr="001763E0">
        <w:rPr>
          <w:rFonts w:ascii="Times New Roman" w:hAnsi="Times New Roman" w:cs="Times New Roman"/>
        </w:rPr>
        <w:t>Pathway analysis was conducted using standardized regression coefficients within a path analysis framework</w:t>
      </w:r>
      <w:r w:rsidR="006F086B"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color w:val="000000" w:themeColor="text1"/>
          <w:kern w:val="0"/>
          <w14:ligatures w14:val="none"/>
        </w:rPr>
        <w:t>(Kumar et al., 2022; Rahman et al., 2024).</w:t>
      </w:r>
    </w:p>
    <w:p w14:paraId="6FC06760" w14:textId="172B7C29"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Ethical Considerations</w:t>
      </w:r>
    </w:p>
    <w:p w14:paraId="638E8AC1" w14:textId="0423DC5C"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Permission was obtained from farm owners before sample collection. The study did not involve human or animal experimentation; therefore, ethical approval was not required. However, all procedures complied with environmental health and research ethics guidelines (WHO, 2006).</w:t>
      </w:r>
    </w:p>
    <w:p w14:paraId="1929C1CC" w14:textId="51592288" w:rsidR="00C46574" w:rsidRPr="001763E0" w:rsidRDefault="00C46574" w:rsidP="00825B7A">
      <w:pPr>
        <w:spacing w:after="120"/>
        <w:jc w:val="both"/>
        <w:rPr>
          <w:rFonts w:ascii="Times New Roman" w:hAnsi="Times New Roman" w:cs="Times New Roman"/>
          <w:b/>
          <w:bCs/>
          <w:color w:val="000000" w:themeColor="text1"/>
        </w:rPr>
      </w:pPr>
      <w:r w:rsidRPr="001763E0">
        <w:rPr>
          <w:rFonts w:ascii="Times New Roman" w:hAnsi="Times New Roman" w:cs="Times New Roman"/>
          <w:b/>
          <w:bCs/>
          <w:color w:val="000000" w:themeColor="text1"/>
        </w:rPr>
        <w:t xml:space="preserve">RESULTS </w:t>
      </w:r>
    </w:p>
    <w:p w14:paraId="7F132923" w14:textId="0CAB4142"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lastRenderedPageBreak/>
        <w:t>The mean microbial load (Table 1) showed that wastewater recorded the highest contamination across all tested organisms, with total coliform counts of (3.45 ± 0.12) × 10⁵ CFU/mL and fecal coliform counts of (2.87 ± 0.10) × 10⁵ CFU/</w:t>
      </w:r>
      <w:proofErr w:type="spellStart"/>
      <w:r w:rsidRPr="001763E0">
        <w:rPr>
          <w:rFonts w:ascii="Times New Roman" w:hAnsi="Times New Roman" w:cs="Times New Roman"/>
          <w:color w:val="000000" w:themeColor="text1"/>
        </w:rPr>
        <w:t>mL.</w:t>
      </w:r>
      <w:proofErr w:type="spellEnd"/>
      <w:r w:rsidRPr="001763E0">
        <w:rPr>
          <w:rFonts w:ascii="Times New Roman" w:hAnsi="Times New Roman" w:cs="Times New Roman"/>
          <w:color w:val="000000" w:themeColor="text1"/>
        </w:rPr>
        <w:t xml:space="preserve"> Similarly,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and </w:t>
      </w:r>
      <w:r w:rsidRPr="001763E0">
        <w:rPr>
          <w:rStyle w:val="Emphasis"/>
          <w:rFonts w:ascii="Times New Roman" w:hAnsi="Times New Roman" w:cs="Times New Roman"/>
          <w:color w:val="000000" w:themeColor="text1"/>
        </w:rPr>
        <w:t>Salmonella spp.</w:t>
      </w:r>
      <w:r w:rsidRPr="001763E0">
        <w:rPr>
          <w:rFonts w:ascii="Times New Roman" w:hAnsi="Times New Roman" w:cs="Times New Roman"/>
          <w:color w:val="000000" w:themeColor="text1"/>
        </w:rPr>
        <w:t xml:space="preserve"> counts were highest in wastewater at (1.92 ± 0.08) × 10⁵ CFU/mL and (1.10 ± 0.23) × 10⁴ CFU/mL, respectively. Vegetables showed intermediate contamination levels, with total coliforms of (4.85 ± 0.13) × 10⁴ CFU/g and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counts of (2.76 ± 0.10) × 10⁴ CFU/g, while soil samples had the lowest counts. The presence of different superscripts (a–c) indicates that these differences were statistically significant (p &lt; 0.05), confirming wastewater as the primary source of microbial contamination transferred to soil and crops.</w:t>
      </w:r>
    </w:p>
    <w:p w14:paraId="71FC6475" w14:textId="221AF419"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1: Mean Microbial Load (CFU/mL or CFU/g) in Wastewater, Soil, and Vegetables (Mean ± SD)</w:t>
      </w:r>
    </w:p>
    <w:tbl>
      <w:tblPr>
        <w:tblStyle w:val="PlainTable2"/>
        <w:tblW w:w="0" w:type="auto"/>
        <w:tblLook w:val="04A0" w:firstRow="1" w:lastRow="0" w:firstColumn="1" w:lastColumn="0" w:noHBand="0" w:noVBand="1"/>
      </w:tblPr>
      <w:tblGrid>
        <w:gridCol w:w="1451"/>
        <w:gridCol w:w="2006"/>
        <w:gridCol w:w="2016"/>
        <w:gridCol w:w="1763"/>
        <w:gridCol w:w="2124"/>
      </w:tblGrid>
      <w:tr w:rsidR="00C46574" w:rsidRPr="001763E0" w14:paraId="2C747467"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6C2E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6A9109FD"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Total Coliform (CFU)</w:t>
            </w:r>
          </w:p>
        </w:tc>
        <w:tc>
          <w:tcPr>
            <w:tcW w:w="0" w:type="auto"/>
            <w:hideMark/>
          </w:tcPr>
          <w:p w14:paraId="59390D8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Fecal Coliform (CFU)</w:t>
            </w:r>
          </w:p>
        </w:tc>
        <w:tc>
          <w:tcPr>
            <w:tcW w:w="0" w:type="auto"/>
            <w:hideMark/>
          </w:tcPr>
          <w:p w14:paraId="7CC97724"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E. coli</w:t>
            </w:r>
            <w:r w:rsidRPr="001763E0">
              <w:rPr>
                <w:rFonts w:ascii="Times New Roman" w:eastAsia="Times New Roman" w:hAnsi="Times New Roman" w:cs="Times New Roman"/>
                <w:b w:val="0"/>
                <w:bCs w:val="0"/>
                <w:color w:val="000000" w:themeColor="text1"/>
                <w:kern w:val="0"/>
                <w14:ligatures w14:val="none"/>
              </w:rPr>
              <w:t xml:space="preserve"> (CFU)</w:t>
            </w:r>
          </w:p>
        </w:tc>
        <w:tc>
          <w:tcPr>
            <w:tcW w:w="0" w:type="auto"/>
            <w:hideMark/>
          </w:tcPr>
          <w:p w14:paraId="57ECA4A0"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Salmonella spp.</w:t>
            </w:r>
            <w:r w:rsidRPr="001763E0">
              <w:rPr>
                <w:rFonts w:ascii="Times New Roman" w:eastAsia="Times New Roman" w:hAnsi="Times New Roman" w:cs="Times New Roman"/>
                <w:b w:val="0"/>
                <w:bCs w:val="0"/>
                <w:color w:val="000000" w:themeColor="text1"/>
                <w:kern w:val="0"/>
                <w14:ligatures w14:val="none"/>
              </w:rPr>
              <w:t xml:space="preserve"> (CFU)</w:t>
            </w:r>
          </w:p>
        </w:tc>
      </w:tr>
      <w:tr w:rsidR="00C46574" w:rsidRPr="001763E0" w14:paraId="3E717902"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AA26AF0"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w:t>
            </w:r>
          </w:p>
        </w:tc>
        <w:tc>
          <w:tcPr>
            <w:tcW w:w="0" w:type="auto"/>
            <w:tcBorders>
              <w:bottom w:val="nil"/>
            </w:tcBorders>
            <w:hideMark/>
          </w:tcPr>
          <w:p w14:paraId="13ED32A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(3.45 ± 0.12) × 10⁵ᵃ</w:t>
            </w:r>
          </w:p>
        </w:tc>
        <w:tc>
          <w:tcPr>
            <w:tcW w:w="0" w:type="auto"/>
            <w:tcBorders>
              <w:bottom w:val="nil"/>
            </w:tcBorders>
            <w:hideMark/>
          </w:tcPr>
          <w:p w14:paraId="0DBD3D1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(2.87 ± 0.10) × 10⁵ᵃ</w:t>
            </w:r>
          </w:p>
        </w:tc>
        <w:tc>
          <w:tcPr>
            <w:tcW w:w="0" w:type="auto"/>
            <w:tcBorders>
              <w:bottom w:val="nil"/>
            </w:tcBorders>
            <w:hideMark/>
          </w:tcPr>
          <w:p w14:paraId="2FDD379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(1.92 ± 0.08) × 10⁵ᵃ</w:t>
            </w:r>
          </w:p>
        </w:tc>
        <w:tc>
          <w:tcPr>
            <w:tcW w:w="0" w:type="auto"/>
            <w:tcBorders>
              <w:bottom w:val="nil"/>
            </w:tcBorders>
            <w:hideMark/>
          </w:tcPr>
          <w:p w14:paraId="54AAFB24"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(1.10 ± 0.23) × 10⁴ᵃ</w:t>
            </w:r>
          </w:p>
        </w:tc>
      </w:tr>
      <w:tr w:rsidR="00C46574" w:rsidRPr="001763E0" w14:paraId="754BCB0D"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3C0EE8"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w:t>
            </w:r>
          </w:p>
        </w:tc>
        <w:tc>
          <w:tcPr>
            <w:tcW w:w="0" w:type="auto"/>
            <w:tcBorders>
              <w:top w:val="nil"/>
              <w:bottom w:val="nil"/>
            </w:tcBorders>
            <w:hideMark/>
          </w:tcPr>
          <w:p w14:paraId="75149133"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(2.15 ± 0.09) × 10⁴ᶜ</w:t>
            </w:r>
          </w:p>
        </w:tc>
        <w:tc>
          <w:tcPr>
            <w:tcW w:w="0" w:type="auto"/>
            <w:tcBorders>
              <w:top w:val="nil"/>
              <w:bottom w:val="nil"/>
            </w:tcBorders>
            <w:hideMark/>
          </w:tcPr>
          <w:p w14:paraId="31135733"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(1.64 ± 0.07) × 10⁴ᶜ</w:t>
            </w:r>
          </w:p>
        </w:tc>
        <w:tc>
          <w:tcPr>
            <w:tcW w:w="0" w:type="auto"/>
            <w:tcBorders>
              <w:top w:val="nil"/>
              <w:bottom w:val="nil"/>
            </w:tcBorders>
            <w:hideMark/>
          </w:tcPr>
          <w:p w14:paraId="4E051B2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(1.08 ± 0.05) × 10⁴ᶜ</w:t>
            </w:r>
          </w:p>
        </w:tc>
        <w:tc>
          <w:tcPr>
            <w:tcW w:w="0" w:type="auto"/>
            <w:tcBorders>
              <w:top w:val="nil"/>
              <w:bottom w:val="nil"/>
            </w:tcBorders>
            <w:hideMark/>
          </w:tcPr>
          <w:p w14:paraId="34EFF9B8"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(6.20 ± 0.14) × 10³ᶜ</w:t>
            </w:r>
          </w:p>
        </w:tc>
      </w:tr>
      <w:tr w:rsidR="00C46574" w:rsidRPr="001763E0" w14:paraId="4C56E3E4"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7B9AF4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2987074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(4.85 ± 0.13) × 10⁴ᵇ</w:t>
            </w:r>
          </w:p>
        </w:tc>
        <w:tc>
          <w:tcPr>
            <w:tcW w:w="0" w:type="auto"/>
            <w:tcBorders>
              <w:top w:val="nil"/>
            </w:tcBorders>
            <w:hideMark/>
          </w:tcPr>
          <w:p w14:paraId="3C2FBED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(3.92 ± 0.11) × 10⁴ᵇ</w:t>
            </w:r>
          </w:p>
        </w:tc>
        <w:tc>
          <w:tcPr>
            <w:tcW w:w="0" w:type="auto"/>
            <w:tcBorders>
              <w:top w:val="nil"/>
            </w:tcBorders>
            <w:hideMark/>
          </w:tcPr>
          <w:p w14:paraId="0EB9C60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(2.76 ± 0.10) × 10⁴ᵇ</w:t>
            </w:r>
          </w:p>
        </w:tc>
        <w:tc>
          <w:tcPr>
            <w:tcW w:w="0" w:type="auto"/>
            <w:tcBorders>
              <w:top w:val="nil"/>
            </w:tcBorders>
            <w:hideMark/>
          </w:tcPr>
          <w:p w14:paraId="07EDE42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(8.50 ± 0.20) × 10³ᵇ</w:t>
            </w:r>
          </w:p>
        </w:tc>
      </w:tr>
    </w:tbl>
    <w:p w14:paraId="3C718A5B" w14:textId="6737B5F4" w:rsidR="00C46574" w:rsidRPr="001763E0" w:rsidRDefault="00C46574" w:rsidP="00825B7A">
      <w:pPr>
        <w:spacing w:after="120"/>
        <w:jc w:val="both"/>
        <w:rPr>
          <w:rFonts w:ascii="Times New Roman" w:hAnsi="Times New Roman" w:cs="Times New Roman"/>
          <w:b/>
          <w:bCs/>
          <w:color w:val="000000" w:themeColor="text1"/>
        </w:rPr>
      </w:pPr>
      <w:r w:rsidRPr="001763E0">
        <w:rPr>
          <w:rFonts w:ascii="Times New Roman" w:hAnsi="Times New Roman" w:cs="Times New Roman"/>
          <w:color w:val="000000" w:themeColor="text1"/>
        </w:rPr>
        <w:t xml:space="preserve">Means with different superscripts (a–c) across columns are significantly different at </w:t>
      </w:r>
      <w:r w:rsidRPr="001763E0">
        <w:rPr>
          <w:rStyle w:val="Strong"/>
          <w:rFonts w:ascii="Times New Roman" w:hAnsi="Times New Roman" w:cs="Times New Roman"/>
          <w:b w:val="0"/>
          <w:bCs w:val="0"/>
          <w:color w:val="000000" w:themeColor="text1"/>
        </w:rPr>
        <w:t>p &lt; 0.05</w:t>
      </w:r>
      <w:r w:rsidRPr="001763E0">
        <w:rPr>
          <w:rFonts w:ascii="Times New Roman" w:hAnsi="Times New Roman" w:cs="Times New Roman"/>
          <w:b/>
          <w:bCs/>
          <w:color w:val="000000" w:themeColor="text1"/>
        </w:rPr>
        <w:t>.</w:t>
      </w:r>
    </w:p>
    <w:p w14:paraId="1CC73A79" w14:textId="1B7874A8"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The prevalence data (Table 2) revealed that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was the most dominant microorganism, occurring in 93.3% of wastewater samples, 76.7% of soil samples, and 83.3% of vegetable samples. </w:t>
      </w:r>
      <w:r w:rsidRPr="001763E0">
        <w:rPr>
          <w:rStyle w:val="Emphasis"/>
          <w:rFonts w:ascii="Times New Roman" w:hAnsi="Times New Roman" w:cs="Times New Roman"/>
          <w:color w:val="000000" w:themeColor="text1"/>
        </w:rPr>
        <w:t>Salmonella spp.</w:t>
      </w:r>
      <w:r w:rsidRPr="001763E0">
        <w:rPr>
          <w:rFonts w:ascii="Times New Roman" w:hAnsi="Times New Roman" w:cs="Times New Roman"/>
          <w:color w:val="000000" w:themeColor="text1"/>
        </w:rPr>
        <w:t xml:space="preserve"> was also widely distributed, with prevalence rates of 70.0%, 56.7%, and 63.3% in wastewater, soil, and vegetables, respectively. Other pathogens such as </w:t>
      </w:r>
      <w:r w:rsidRPr="001763E0">
        <w:rPr>
          <w:rStyle w:val="Emphasis"/>
          <w:rFonts w:ascii="Times New Roman" w:hAnsi="Times New Roman" w:cs="Times New Roman"/>
          <w:color w:val="000000" w:themeColor="text1"/>
        </w:rPr>
        <w:t>Shigella spp.</w:t>
      </w:r>
      <w:r w:rsidRPr="001763E0">
        <w:rPr>
          <w:rFonts w:ascii="Times New Roman" w:hAnsi="Times New Roman" w:cs="Times New Roman"/>
          <w:color w:val="000000" w:themeColor="text1"/>
        </w:rPr>
        <w:t xml:space="preserve"> (60.0% in wastewater) and </w:t>
      </w:r>
      <w:r w:rsidRPr="001763E0">
        <w:rPr>
          <w:rStyle w:val="Emphasis"/>
          <w:rFonts w:ascii="Times New Roman" w:hAnsi="Times New Roman" w:cs="Times New Roman"/>
          <w:color w:val="000000" w:themeColor="text1"/>
        </w:rPr>
        <w:t>Vibrio spp.</w:t>
      </w:r>
      <w:r w:rsidRPr="001763E0">
        <w:rPr>
          <w:rFonts w:ascii="Times New Roman" w:hAnsi="Times New Roman" w:cs="Times New Roman"/>
          <w:color w:val="000000" w:themeColor="text1"/>
        </w:rPr>
        <w:t xml:space="preserve"> (46.7% in wastewater) were also detected across all sample types. The consistently higher prevalence in wastewater compared to soil and vegetables suggests a contamination gradient from irrigation source to food crops.</w:t>
      </w:r>
    </w:p>
    <w:p w14:paraId="1CB9F7B5" w14:textId="5CD61A99" w:rsidR="00C46574" w:rsidRPr="001763E0" w:rsidRDefault="00C46574"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2: Prevalence of Microorganisms in Samples (%)</w:t>
      </w:r>
    </w:p>
    <w:tbl>
      <w:tblPr>
        <w:tblStyle w:val="PlainTable2"/>
        <w:tblW w:w="0" w:type="auto"/>
        <w:tblLook w:val="04A0" w:firstRow="1" w:lastRow="0" w:firstColumn="1" w:lastColumn="0" w:noHBand="0" w:noVBand="1"/>
      </w:tblPr>
      <w:tblGrid>
        <w:gridCol w:w="2520"/>
        <w:gridCol w:w="1980"/>
        <w:gridCol w:w="1530"/>
        <w:gridCol w:w="1800"/>
      </w:tblGrid>
      <w:tr w:rsidR="00C46574" w:rsidRPr="001763E0" w14:paraId="0B8A53E2"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2560A5C2"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Microorganism</w:t>
            </w:r>
          </w:p>
        </w:tc>
        <w:tc>
          <w:tcPr>
            <w:tcW w:w="1980" w:type="dxa"/>
            <w:hideMark/>
          </w:tcPr>
          <w:p w14:paraId="07C3D680" w14:textId="77777777" w:rsidR="00C46574" w:rsidRPr="001763E0" w:rsidRDefault="00C46574" w:rsidP="00825B7A">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w:t>
            </w:r>
          </w:p>
        </w:tc>
        <w:tc>
          <w:tcPr>
            <w:tcW w:w="1530" w:type="dxa"/>
            <w:hideMark/>
          </w:tcPr>
          <w:p w14:paraId="7F08A9DD" w14:textId="77777777" w:rsidR="00C46574" w:rsidRPr="001763E0" w:rsidRDefault="00C46574" w:rsidP="00825B7A">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w:t>
            </w:r>
          </w:p>
        </w:tc>
        <w:tc>
          <w:tcPr>
            <w:tcW w:w="1800" w:type="dxa"/>
            <w:hideMark/>
          </w:tcPr>
          <w:p w14:paraId="0A697A6D" w14:textId="77777777" w:rsidR="00C46574" w:rsidRPr="001763E0" w:rsidRDefault="00C46574" w:rsidP="00825B7A">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Vegetables (%)</w:t>
            </w:r>
          </w:p>
        </w:tc>
      </w:tr>
      <w:tr w:rsidR="00C46574" w:rsidRPr="001763E0" w14:paraId="3AE53994"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nil"/>
            </w:tcBorders>
            <w:hideMark/>
          </w:tcPr>
          <w:p w14:paraId="54C0C5FD"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E. coli</w:t>
            </w:r>
          </w:p>
        </w:tc>
        <w:tc>
          <w:tcPr>
            <w:tcW w:w="1980" w:type="dxa"/>
            <w:tcBorders>
              <w:bottom w:val="nil"/>
            </w:tcBorders>
            <w:hideMark/>
          </w:tcPr>
          <w:p w14:paraId="0278604B"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93.3</w:t>
            </w:r>
          </w:p>
        </w:tc>
        <w:tc>
          <w:tcPr>
            <w:tcW w:w="1530" w:type="dxa"/>
            <w:tcBorders>
              <w:bottom w:val="nil"/>
            </w:tcBorders>
            <w:hideMark/>
          </w:tcPr>
          <w:p w14:paraId="5F12C781"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76.7</w:t>
            </w:r>
          </w:p>
        </w:tc>
        <w:tc>
          <w:tcPr>
            <w:tcW w:w="1800" w:type="dxa"/>
            <w:tcBorders>
              <w:bottom w:val="nil"/>
            </w:tcBorders>
            <w:hideMark/>
          </w:tcPr>
          <w:p w14:paraId="6E7C8AC9"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83.3</w:t>
            </w:r>
          </w:p>
        </w:tc>
      </w:tr>
      <w:tr w:rsidR="00C46574" w:rsidRPr="001763E0" w14:paraId="3B1F61B0" w14:textId="77777777" w:rsidTr="009B4F4D">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06DEC6A6"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Salmonella spp.</w:t>
            </w:r>
          </w:p>
        </w:tc>
        <w:tc>
          <w:tcPr>
            <w:tcW w:w="1980" w:type="dxa"/>
            <w:tcBorders>
              <w:top w:val="nil"/>
              <w:bottom w:val="nil"/>
            </w:tcBorders>
            <w:hideMark/>
          </w:tcPr>
          <w:p w14:paraId="2B7786A7"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70.0</w:t>
            </w:r>
          </w:p>
        </w:tc>
        <w:tc>
          <w:tcPr>
            <w:tcW w:w="1530" w:type="dxa"/>
            <w:tcBorders>
              <w:top w:val="nil"/>
              <w:bottom w:val="nil"/>
            </w:tcBorders>
            <w:hideMark/>
          </w:tcPr>
          <w:p w14:paraId="23757EED"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56.7</w:t>
            </w:r>
          </w:p>
        </w:tc>
        <w:tc>
          <w:tcPr>
            <w:tcW w:w="1800" w:type="dxa"/>
            <w:tcBorders>
              <w:top w:val="nil"/>
              <w:bottom w:val="nil"/>
            </w:tcBorders>
            <w:hideMark/>
          </w:tcPr>
          <w:p w14:paraId="6D92FDCC"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63.3</w:t>
            </w:r>
          </w:p>
        </w:tc>
      </w:tr>
      <w:tr w:rsidR="00C46574" w:rsidRPr="001763E0" w14:paraId="26735396"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3DF36A0A"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Shigella spp.</w:t>
            </w:r>
          </w:p>
        </w:tc>
        <w:tc>
          <w:tcPr>
            <w:tcW w:w="1980" w:type="dxa"/>
            <w:tcBorders>
              <w:top w:val="nil"/>
              <w:bottom w:val="nil"/>
            </w:tcBorders>
            <w:hideMark/>
          </w:tcPr>
          <w:p w14:paraId="3E37D7F3"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60.0</w:t>
            </w:r>
          </w:p>
        </w:tc>
        <w:tc>
          <w:tcPr>
            <w:tcW w:w="1530" w:type="dxa"/>
            <w:tcBorders>
              <w:top w:val="nil"/>
              <w:bottom w:val="nil"/>
            </w:tcBorders>
            <w:hideMark/>
          </w:tcPr>
          <w:p w14:paraId="7F6468B4"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43.3</w:t>
            </w:r>
          </w:p>
        </w:tc>
        <w:tc>
          <w:tcPr>
            <w:tcW w:w="1800" w:type="dxa"/>
            <w:tcBorders>
              <w:top w:val="nil"/>
              <w:bottom w:val="nil"/>
            </w:tcBorders>
            <w:hideMark/>
          </w:tcPr>
          <w:p w14:paraId="4A11C304"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50.0</w:t>
            </w:r>
          </w:p>
        </w:tc>
      </w:tr>
      <w:tr w:rsidR="00C46574" w:rsidRPr="001763E0" w14:paraId="3C2938D7" w14:textId="77777777" w:rsidTr="009B4F4D">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4" w:space="0" w:color="7F7F7F" w:themeColor="text1" w:themeTint="80"/>
            </w:tcBorders>
            <w:hideMark/>
          </w:tcPr>
          <w:p w14:paraId="315A60E2"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Vibrio spp.</w:t>
            </w:r>
          </w:p>
        </w:tc>
        <w:tc>
          <w:tcPr>
            <w:tcW w:w="1980" w:type="dxa"/>
            <w:tcBorders>
              <w:top w:val="nil"/>
              <w:bottom w:val="single" w:sz="4" w:space="0" w:color="7F7F7F" w:themeColor="text1" w:themeTint="80"/>
            </w:tcBorders>
            <w:hideMark/>
          </w:tcPr>
          <w:p w14:paraId="73438B33"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46.7</w:t>
            </w:r>
          </w:p>
        </w:tc>
        <w:tc>
          <w:tcPr>
            <w:tcW w:w="1530" w:type="dxa"/>
            <w:tcBorders>
              <w:top w:val="nil"/>
              <w:bottom w:val="single" w:sz="4" w:space="0" w:color="7F7F7F" w:themeColor="text1" w:themeTint="80"/>
            </w:tcBorders>
            <w:hideMark/>
          </w:tcPr>
          <w:p w14:paraId="01402036"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30.0</w:t>
            </w:r>
          </w:p>
        </w:tc>
        <w:tc>
          <w:tcPr>
            <w:tcW w:w="1800" w:type="dxa"/>
            <w:tcBorders>
              <w:top w:val="nil"/>
              <w:bottom w:val="single" w:sz="4" w:space="0" w:color="7F7F7F" w:themeColor="text1" w:themeTint="80"/>
            </w:tcBorders>
            <w:hideMark/>
          </w:tcPr>
          <w:p w14:paraId="142074B0"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36.7</w:t>
            </w:r>
          </w:p>
        </w:tc>
      </w:tr>
    </w:tbl>
    <w:p w14:paraId="7E4B22A6" w14:textId="5B222DFD" w:rsidR="001A4D1B" w:rsidRPr="001763E0" w:rsidRDefault="001A4D1B"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lastRenderedPageBreak/>
        <w:t xml:space="preserve">Parasitological analysis (Table 3) showed that </w:t>
      </w:r>
      <w:r w:rsidRPr="001763E0">
        <w:rPr>
          <w:rStyle w:val="Emphasis"/>
          <w:rFonts w:ascii="Times New Roman" w:hAnsi="Times New Roman" w:cs="Times New Roman"/>
          <w:color w:val="000000" w:themeColor="text1"/>
        </w:rPr>
        <w:t>Ascaris lumbricoides</w:t>
      </w:r>
      <w:r w:rsidRPr="001763E0">
        <w:rPr>
          <w:rFonts w:ascii="Times New Roman" w:hAnsi="Times New Roman" w:cs="Times New Roman"/>
          <w:color w:val="000000" w:themeColor="text1"/>
        </w:rPr>
        <w:t xml:space="preserve"> had the highest occurrence, with prevalence rates of 66.7% in wastewater, 53.3% in soil, and 60.0% in vegetables. </w:t>
      </w:r>
      <w:r w:rsidRPr="001763E0">
        <w:rPr>
          <w:rStyle w:val="Emphasis"/>
          <w:rFonts w:ascii="Times New Roman" w:hAnsi="Times New Roman" w:cs="Times New Roman"/>
          <w:color w:val="000000" w:themeColor="text1"/>
        </w:rPr>
        <w:t>Giardia lamblia</w:t>
      </w:r>
      <w:r w:rsidRPr="001763E0">
        <w:rPr>
          <w:rFonts w:ascii="Times New Roman" w:hAnsi="Times New Roman" w:cs="Times New Roman"/>
          <w:color w:val="000000" w:themeColor="text1"/>
        </w:rPr>
        <w:t xml:space="preserve"> was also commonly detected, with 56.7% in wastewater and 46.7% in vegetables. Other parasites such as </w:t>
      </w:r>
      <w:r w:rsidRPr="001763E0">
        <w:rPr>
          <w:rStyle w:val="Emphasis"/>
          <w:rFonts w:ascii="Times New Roman" w:hAnsi="Times New Roman" w:cs="Times New Roman"/>
          <w:color w:val="000000" w:themeColor="text1"/>
        </w:rPr>
        <w:t xml:space="preserve">Trichuris </w:t>
      </w:r>
      <w:proofErr w:type="spellStart"/>
      <w:r w:rsidRPr="001763E0">
        <w:rPr>
          <w:rStyle w:val="Emphasis"/>
          <w:rFonts w:ascii="Times New Roman" w:hAnsi="Times New Roman" w:cs="Times New Roman"/>
          <w:color w:val="000000" w:themeColor="text1"/>
        </w:rPr>
        <w:t>trichiura</w:t>
      </w:r>
      <w:proofErr w:type="spellEnd"/>
      <w:r w:rsidRPr="001763E0">
        <w:rPr>
          <w:rFonts w:ascii="Times New Roman" w:hAnsi="Times New Roman" w:cs="Times New Roman"/>
          <w:color w:val="000000" w:themeColor="text1"/>
        </w:rPr>
        <w:t xml:space="preserve"> and </w:t>
      </w:r>
      <w:r w:rsidRPr="001763E0">
        <w:rPr>
          <w:rStyle w:val="Emphasis"/>
          <w:rFonts w:ascii="Times New Roman" w:hAnsi="Times New Roman" w:cs="Times New Roman"/>
          <w:color w:val="000000" w:themeColor="text1"/>
        </w:rPr>
        <w:t>Entamoeba histolytica</w:t>
      </w:r>
      <w:r w:rsidRPr="001763E0">
        <w:rPr>
          <w:rFonts w:ascii="Times New Roman" w:hAnsi="Times New Roman" w:cs="Times New Roman"/>
          <w:color w:val="000000" w:themeColor="text1"/>
        </w:rPr>
        <w:t xml:space="preserve"> showed moderate prevalence across all samples. The detection of parasites in vegetables indicates a significant risk of transmission to humans, particularly through raw consumption.</w:t>
      </w:r>
    </w:p>
    <w:p w14:paraId="1B236936" w14:textId="62414D9B"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3: Prevalence of Parasitic Contamination (%)</w:t>
      </w:r>
    </w:p>
    <w:tbl>
      <w:tblPr>
        <w:tblStyle w:val="PlainTable2"/>
        <w:tblW w:w="0" w:type="auto"/>
        <w:tblLook w:val="04A0" w:firstRow="1" w:lastRow="0" w:firstColumn="1" w:lastColumn="0" w:noHBand="0" w:noVBand="1"/>
      </w:tblPr>
      <w:tblGrid>
        <w:gridCol w:w="2700"/>
        <w:gridCol w:w="1800"/>
        <w:gridCol w:w="1440"/>
        <w:gridCol w:w="1710"/>
      </w:tblGrid>
      <w:tr w:rsidR="00C46574" w:rsidRPr="001763E0" w14:paraId="33B99DCE"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hideMark/>
          </w:tcPr>
          <w:p w14:paraId="388802A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w:t>
            </w:r>
          </w:p>
        </w:tc>
        <w:tc>
          <w:tcPr>
            <w:tcW w:w="1800" w:type="dxa"/>
            <w:hideMark/>
          </w:tcPr>
          <w:p w14:paraId="54DB7A51"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w:t>
            </w:r>
          </w:p>
        </w:tc>
        <w:tc>
          <w:tcPr>
            <w:tcW w:w="1440" w:type="dxa"/>
            <w:hideMark/>
          </w:tcPr>
          <w:p w14:paraId="02F05C9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w:t>
            </w:r>
          </w:p>
        </w:tc>
        <w:tc>
          <w:tcPr>
            <w:tcW w:w="1710" w:type="dxa"/>
            <w:hideMark/>
          </w:tcPr>
          <w:p w14:paraId="5A1D5E5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Vegetables (%)</w:t>
            </w:r>
          </w:p>
        </w:tc>
      </w:tr>
      <w:tr w:rsidR="00C46574" w:rsidRPr="001763E0" w14:paraId="69E52C93"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nil"/>
            </w:tcBorders>
            <w:hideMark/>
          </w:tcPr>
          <w:p w14:paraId="72E7C305"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Ascaris lumbricoides</w:t>
            </w:r>
          </w:p>
        </w:tc>
        <w:tc>
          <w:tcPr>
            <w:tcW w:w="1800" w:type="dxa"/>
            <w:tcBorders>
              <w:bottom w:val="nil"/>
            </w:tcBorders>
            <w:hideMark/>
          </w:tcPr>
          <w:p w14:paraId="4031993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66.7</w:t>
            </w:r>
          </w:p>
        </w:tc>
        <w:tc>
          <w:tcPr>
            <w:tcW w:w="1440" w:type="dxa"/>
            <w:tcBorders>
              <w:bottom w:val="nil"/>
            </w:tcBorders>
            <w:hideMark/>
          </w:tcPr>
          <w:p w14:paraId="49CEC8B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53.3</w:t>
            </w:r>
          </w:p>
        </w:tc>
        <w:tc>
          <w:tcPr>
            <w:tcW w:w="1710" w:type="dxa"/>
            <w:tcBorders>
              <w:bottom w:val="nil"/>
            </w:tcBorders>
            <w:hideMark/>
          </w:tcPr>
          <w:p w14:paraId="1CF7CFA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60.0</w:t>
            </w:r>
          </w:p>
        </w:tc>
      </w:tr>
      <w:tr w:rsidR="00C46574" w:rsidRPr="001763E0" w14:paraId="02E9FEB6" w14:textId="77777777" w:rsidTr="009B4F4D">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17EC027C"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 xml:space="preserve">Trichuris </w:t>
            </w:r>
            <w:proofErr w:type="spellStart"/>
            <w:r w:rsidRPr="001763E0">
              <w:rPr>
                <w:rFonts w:ascii="Times New Roman" w:eastAsia="Times New Roman" w:hAnsi="Times New Roman" w:cs="Times New Roman"/>
                <w:b w:val="0"/>
                <w:bCs w:val="0"/>
                <w:i/>
                <w:iCs/>
                <w:color w:val="000000" w:themeColor="text1"/>
                <w:kern w:val="0"/>
                <w14:ligatures w14:val="none"/>
              </w:rPr>
              <w:t>trichiura</w:t>
            </w:r>
            <w:proofErr w:type="spellEnd"/>
          </w:p>
        </w:tc>
        <w:tc>
          <w:tcPr>
            <w:tcW w:w="1800" w:type="dxa"/>
            <w:tcBorders>
              <w:top w:val="nil"/>
              <w:bottom w:val="nil"/>
            </w:tcBorders>
            <w:hideMark/>
          </w:tcPr>
          <w:p w14:paraId="542804E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50.0</w:t>
            </w:r>
          </w:p>
        </w:tc>
        <w:tc>
          <w:tcPr>
            <w:tcW w:w="1440" w:type="dxa"/>
            <w:tcBorders>
              <w:top w:val="nil"/>
              <w:bottom w:val="nil"/>
            </w:tcBorders>
            <w:hideMark/>
          </w:tcPr>
          <w:p w14:paraId="1E519C3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36.7</w:t>
            </w:r>
          </w:p>
        </w:tc>
        <w:tc>
          <w:tcPr>
            <w:tcW w:w="1710" w:type="dxa"/>
            <w:tcBorders>
              <w:top w:val="nil"/>
              <w:bottom w:val="nil"/>
            </w:tcBorders>
            <w:hideMark/>
          </w:tcPr>
          <w:p w14:paraId="3BE2B29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43.3</w:t>
            </w:r>
          </w:p>
        </w:tc>
      </w:tr>
      <w:tr w:rsidR="00C46574" w:rsidRPr="001763E0" w14:paraId="01F920AA"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65DD33E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Giardia lamblia</w:t>
            </w:r>
          </w:p>
        </w:tc>
        <w:tc>
          <w:tcPr>
            <w:tcW w:w="1800" w:type="dxa"/>
            <w:tcBorders>
              <w:top w:val="nil"/>
              <w:bottom w:val="nil"/>
            </w:tcBorders>
            <w:hideMark/>
          </w:tcPr>
          <w:p w14:paraId="721D101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56.7</w:t>
            </w:r>
          </w:p>
        </w:tc>
        <w:tc>
          <w:tcPr>
            <w:tcW w:w="1440" w:type="dxa"/>
            <w:tcBorders>
              <w:top w:val="nil"/>
              <w:bottom w:val="nil"/>
            </w:tcBorders>
            <w:hideMark/>
          </w:tcPr>
          <w:p w14:paraId="5FFE4347"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40.0</w:t>
            </w:r>
          </w:p>
        </w:tc>
        <w:tc>
          <w:tcPr>
            <w:tcW w:w="1710" w:type="dxa"/>
            <w:tcBorders>
              <w:top w:val="nil"/>
              <w:bottom w:val="nil"/>
            </w:tcBorders>
            <w:hideMark/>
          </w:tcPr>
          <w:p w14:paraId="3867D23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46.7</w:t>
            </w:r>
          </w:p>
        </w:tc>
      </w:tr>
      <w:tr w:rsidR="00C46574" w:rsidRPr="001763E0" w14:paraId="76C3234C" w14:textId="77777777" w:rsidTr="009B4F4D">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7F7F7F" w:themeColor="text1" w:themeTint="80"/>
            </w:tcBorders>
            <w:hideMark/>
          </w:tcPr>
          <w:p w14:paraId="4D66DD91"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Entamoeba histolytica</w:t>
            </w:r>
          </w:p>
        </w:tc>
        <w:tc>
          <w:tcPr>
            <w:tcW w:w="1800" w:type="dxa"/>
            <w:tcBorders>
              <w:top w:val="nil"/>
              <w:bottom w:val="single" w:sz="4" w:space="0" w:color="7F7F7F" w:themeColor="text1" w:themeTint="80"/>
            </w:tcBorders>
            <w:hideMark/>
          </w:tcPr>
          <w:p w14:paraId="7E4EEC4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43.3</w:t>
            </w:r>
          </w:p>
        </w:tc>
        <w:tc>
          <w:tcPr>
            <w:tcW w:w="1440" w:type="dxa"/>
            <w:tcBorders>
              <w:top w:val="nil"/>
              <w:bottom w:val="single" w:sz="4" w:space="0" w:color="7F7F7F" w:themeColor="text1" w:themeTint="80"/>
            </w:tcBorders>
            <w:hideMark/>
          </w:tcPr>
          <w:p w14:paraId="34CB402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30.0</w:t>
            </w:r>
          </w:p>
        </w:tc>
        <w:tc>
          <w:tcPr>
            <w:tcW w:w="1710" w:type="dxa"/>
            <w:tcBorders>
              <w:top w:val="nil"/>
              <w:bottom w:val="single" w:sz="4" w:space="0" w:color="7F7F7F" w:themeColor="text1" w:themeTint="80"/>
            </w:tcBorders>
            <w:hideMark/>
          </w:tcPr>
          <w:p w14:paraId="7468E26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36.7</w:t>
            </w:r>
          </w:p>
        </w:tc>
      </w:tr>
    </w:tbl>
    <w:p w14:paraId="186F4C45" w14:textId="55B8981A" w:rsidR="001A4D1B" w:rsidRPr="001763E0" w:rsidRDefault="001A4D1B"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The physicochemical properties of wastewater (Table 4) indicated conditions favorable for microbial survival. The temperature was 28.6 ± 1.2°C and pH was slightly alkaline at 7.8 ± 0.4. Dissolved oxygen was low (2.3 ± 0.5 mg/L), while biochemical oxygen demand (BOD) was high at 185.4 ± 12.6 mg/L, indicating substantial organic pollution. Turbidity was also elevated (132.7 ± 15.3 NTU), reflecting high suspended solids. These parameters support the proliferation and persistence of microorganisms in wastewater used for irrigation.</w:t>
      </w:r>
    </w:p>
    <w:p w14:paraId="7AF61B47" w14:textId="6A674FDA" w:rsidR="00C46574" w:rsidRPr="001763E0" w:rsidRDefault="00C46574"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4: Physicochemical Parameters of Wastewater (Mean ± SD, n = 3)</w:t>
      </w:r>
    </w:p>
    <w:tbl>
      <w:tblPr>
        <w:tblStyle w:val="PlainTable2"/>
        <w:tblW w:w="0" w:type="auto"/>
        <w:tblLook w:val="04A0" w:firstRow="1" w:lastRow="0" w:firstColumn="1" w:lastColumn="0" w:noHBand="0" w:noVBand="1"/>
      </w:tblPr>
      <w:tblGrid>
        <w:gridCol w:w="5130"/>
        <w:gridCol w:w="2160"/>
      </w:tblGrid>
      <w:tr w:rsidR="00C46574" w:rsidRPr="001763E0" w14:paraId="3175E8FF"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hideMark/>
          </w:tcPr>
          <w:p w14:paraId="4E81673B"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Parameter</w:t>
            </w:r>
          </w:p>
        </w:tc>
        <w:tc>
          <w:tcPr>
            <w:tcW w:w="2160" w:type="dxa"/>
            <w:hideMark/>
          </w:tcPr>
          <w:p w14:paraId="556226C3"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Value (Mean ± SD)</w:t>
            </w:r>
          </w:p>
        </w:tc>
      </w:tr>
      <w:tr w:rsidR="00C46574" w:rsidRPr="001763E0" w14:paraId="2A835582"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bottom w:val="nil"/>
            </w:tcBorders>
            <w:hideMark/>
          </w:tcPr>
          <w:p w14:paraId="13785688"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Temperature (°C)</w:t>
            </w:r>
          </w:p>
        </w:tc>
        <w:tc>
          <w:tcPr>
            <w:tcW w:w="2160" w:type="dxa"/>
            <w:tcBorders>
              <w:bottom w:val="nil"/>
            </w:tcBorders>
            <w:hideMark/>
          </w:tcPr>
          <w:p w14:paraId="0A9C555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28.6 ± 1.2ᵃ</w:t>
            </w:r>
          </w:p>
        </w:tc>
      </w:tr>
      <w:tr w:rsidR="00C46574" w:rsidRPr="001763E0" w14:paraId="0748AA63" w14:textId="77777777" w:rsidTr="009B4F4D">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0B7420B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pH</w:t>
            </w:r>
          </w:p>
        </w:tc>
        <w:tc>
          <w:tcPr>
            <w:tcW w:w="2160" w:type="dxa"/>
            <w:tcBorders>
              <w:top w:val="nil"/>
              <w:bottom w:val="nil"/>
            </w:tcBorders>
            <w:hideMark/>
          </w:tcPr>
          <w:p w14:paraId="0117C0B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7.8 ± 0.4ᵃ</w:t>
            </w:r>
          </w:p>
        </w:tc>
      </w:tr>
      <w:tr w:rsidR="00C46574" w:rsidRPr="001763E0" w14:paraId="48153E8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09BD4826"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Dissolved Oxygen (mg/L)</w:t>
            </w:r>
          </w:p>
        </w:tc>
        <w:tc>
          <w:tcPr>
            <w:tcW w:w="2160" w:type="dxa"/>
            <w:tcBorders>
              <w:top w:val="nil"/>
              <w:bottom w:val="nil"/>
            </w:tcBorders>
            <w:hideMark/>
          </w:tcPr>
          <w:p w14:paraId="3D8590E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2.3 ± 0.5ᶜ</w:t>
            </w:r>
          </w:p>
        </w:tc>
      </w:tr>
      <w:tr w:rsidR="00C46574" w:rsidRPr="001763E0" w14:paraId="1BD0A0E6" w14:textId="77777777" w:rsidTr="009B4F4D">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720DB223"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 (mg/L)</w:t>
            </w:r>
          </w:p>
        </w:tc>
        <w:tc>
          <w:tcPr>
            <w:tcW w:w="2160" w:type="dxa"/>
            <w:tcBorders>
              <w:top w:val="nil"/>
              <w:bottom w:val="nil"/>
            </w:tcBorders>
            <w:hideMark/>
          </w:tcPr>
          <w:p w14:paraId="1277DFC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185.4 ± 12.6ᵃ</w:t>
            </w:r>
          </w:p>
        </w:tc>
      </w:tr>
      <w:tr w:rsidR="00C46574" w:rsidRPr="001763E0" w14:paraId="6875B0BD"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tcBorders>
            <w:hideMark/>
          </w:tcPr>
          <w:p w14:paraId="2DB95599"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 (NTU)</w:t>
            </w:r>
          </w:p>
        </w:tc>
        <w:tc>
          <w:tcPr>
            <w:tcW w:w="2160" w:type="dxa"/>
            <w:tcBorders>
              <w:top w:val="nil"/>
            </w:tcBorders>
            <w:hideMark/>
          </w:tcPr>
          <w:p w14:paraId="3A15915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132.7 ± 15.3ᵃ</w:t>
            </w:r>
          </w:p>
        </w:tc>
      </w:tr>
    </w:tbl>
    <w:p w14:paraId="1ED6FAFB" w14:textId="77777777" w:rsidR="006F086B" w:rsidRPr="001763E0" w:rsidRDefault="006F086B" w:rsidP="00825B7A">
      <w:pPr>
        <w:spacing w:after="120"/>
        <w:jc w:val="both"/>
        <w:rPr>
          <w:rFonts w:ascii="Times New Roman" w:hAnsi="Times New Roman" w:cs="Times New Roman"/>
        </w:rPr>
      </w:pPr>
      <w:r w:rsidRPr="001763E0">
        <w:rPr>
          <w:rFonts w:ascii="Times New Roman" w:hAnsi="Times New Roman" w:cs="Times New Roman"/>
        </w:rPr>
        <w:t>Different superscripts indicate significant differences among parameters (p &lt; 0.05)</w:t>
      </w:r>
    </w:p>
    <w:p w14:paraId="7EC67611" w14:textId="77777777"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Chi-square analysis (Table 5) showed a statistically significant association between sample type and microbial contamination. The association was strongest for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(χ² = 12.84, p = 0.002), followed by </w:t>
      </w:r>
      <w:r w:rsidRPr="001763E0">
        <w:rPr>
          <w:rStyle w:val="Emphasis"/>
          <w:rFonts w:ascii="Times New Roman" w:hAnsi="Times New Roman" w:cs="Times New Roman"/>
          <w:color w:val="000000" w:themeColor="text1"/>
        </w:rPr>
        <w:t>Salmonella spp.</w:t>
      </w:r>
      <w:r w:rsidRPr="001763E0">
        <w:rPr>
          <w:rFonts w:ascii="Times New Roman" w:hAnsi="Times New Roman" w:cs="Times New Roman"/>
          <w:color w:val="000000" w:themeColor="text1"/>
        </w:rPr>
        <w:t xml:space="preserve"> (χ² = 9.67, p = 0.008). Significant associations were also observed for </w:t>
      </w:r>
      <w:r w:rsidRPr="001763E0">
        <w:rPr>
          <w:rStyle w:val="Emphasis"/>
          <w:rFonts w:ascii="Times New Roman" w:hAnsi="Times New Roman" w:cs="Times New Roman"/>
          <w:color w:val="000000" w:themeColor="text1"/>
        </w:rPr>
        <w:t>Shigella spp.</w:t>
      </w:r>
      <w:r w:rsidRPr="001763E0">
        <w:rPr>
          <w:rFonts w:ascii="Times New Roman" w:hAnsi="Times New Roman" w:cs="Times New Roman"/>
          <w:color w:val="000000" w:themeColor="text1"/>
        </w:rPr>
        <w:t xml:space="preserve"> (χ² = 7.92, p = 0.019) and </w:t>
      </w:r>
      <w:r w:rsidRPr="001763E0">
        <w:rPr>
          <w:rStyle w:val="Emphasis"/>
          <w:rFonts w:ascii="Times New Roman" w:hAnsi="Times New Roman" w:cs="Times New Roman"/>
          <w:color w:val="000000" w:themeColor="text1"/>
        </w:rPr>
        <w:t>Vibrio spp.</w:t>
      </w:r>
      <w:r w:rsidRPr="001763E0">
        <w:rPr>
          <w:rFonts w:ascii="Times New Roman" w:hAnsi="Times New Roman" w:cs="Times New Roman"/>
          <w:color w:val="000000" w:themeColor="text1"/>
        </w:rPr>
        <w:t xml:space="preserve"> (χ² = 6.45, p = 0.040). These results indicate that the level of microbial contamination is significantly influenced by the type of sample, with wastewater contributing most to contamination.</w:t>
      </w:r>
    </w:p>
    <w:p w14:paraId="2CC32538" w14:textId="0B6D48FA"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5: Chi-Square Analysis of Microbial Contamination</w:t>
      </w:r>
    </w:p>
    <w:tbl>
      <w:tblPr>
        <w:tblStyle w:val="PlainTable2"/>
        <w:tblW w:w="0" w:type="auto"/>
        <w:tblLook w:val="04A0" w:firstRow="1" w:lastRow="0" w:firstColumn="1" w:lastColumn="0" w:noHBand="0" w:noVBand="1"/>
      </w:tblPr>
      <w:tblGrid>
        <w:gridCol w:w="2880"/>
        <w:gridCol w:w="1440"/>
        <w:gridCol w:w="900"/>
        <w:gridCol w:w="1260"/>
        <w:gridCol w:w="1456"/>
      </w:tblGrid>
      <w:tr w:rsidR="00C46574" w:rsidRPr="001763E0" w14:paraId="48BFAD1D"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5577B1CE"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w:t>
            </w:r>
          </w:p>
        </w:tc>
        <w:tc>
          <w:tcPr>
            <w:tcW w:w="1440" w:type="dxa"/>
            <w:hideMark/>
          </w:tcPr>
          <w:p w14:paraId="6BED0B38"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χ² Value</w:t>
            </w:r>
          </w:p>
        </w:tc>
        <w:tc>
          <w:tcPr>
            <w:tcW w:w="900" w:type="dxa"/>
            <w:hideMark/>
          </w:tcPr>
          <w:p w14:paraId="7FD445F2"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df</w:t>
            </w:r>
          </w:p>
        </w:tc>
        <w:tc>
          <w:tcPr>
            <w:tcW w:w="1260" w:type="dxa"/>
            <w:hideMark/>
          </w:tcPr>
          <w:p w14:paraId="0D8C569E"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c>
          <w:tcPr>
            <w:tcW w:w="1456" w:type="dxa"/>
            <w:hideMark/>
          </w:tcPr>
          <w:p w14:paraId="5BE3AF0F"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Significance</w:t>
            </w:r>
          </w:p>
        </w:tc>
      </w:tr>
      <w:tr w:rsidR="00C46574" w:rsidRPr="001763E0" w14:paraId="46DD3D2C"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7C610321"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lastRenderedPageBreak/>
              <w:t xml:space="preserve">Sample vs </w:t>
            </w:r>
            <w:r w:rsidRPr="001763E0">
              <w:rPr>
                <w:rFonts w:ascii="Times New Roman" w:eastAsia="Times New Roman" w:hAnsi="Times New Roman" w:cs="Times New Roman"/>
                <w:b w:val="0"/>
                <w:bCs w:val="0"/>
                <w:i/>
                <w:iCs/>
                <w:color w:val="000000" w:themeColor="text1"/>
                <w:kern w:val="0"/>
                <w14:ligatures w14:val="none"/>
              </w:rPr>
              <w:t>E. coli</w:t>
            </w:r>
          </w:p>
        </w:tc>
        <w:tc>
          <w:tcPr>
            <w:tcW w:w="1440" w:type="dxa"/>
            <w:tcBorders>
              <w:bottom w:val="nil"/>
            </w:tcBorders>
            <w:hideMark/>
          </w:tcPr>
          <w:p w14:paraId="30C201C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12.84</w:t>
            </w:r>
          </w:p>
        </w:tc>
        <w:tc>
          <w:tcPr>
            <w:tcW w:w="900" w:type="dxa"/>
            <w:tcBorders>
              <w:bottom w:val="nil"/>
            </w:tcBorders>
            <w:hideMark/>
          </w:tcPr>
          <w:p w14:paraId="1DCADB47"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bottom w:val="nil"/>
            </w:tcBorders>
            <w:hideMark/>
          </w:tcPr>
          <w:p w14:paraId="0A4AFE2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0.002</w:t>
            </w:r>
          </w:p>
        </w:tc>
        <w:tc>
          <w:tcPr>
            <w:tcW w:w="1456" w:type="dxa"/>
            <w:tcBorders>
              <w:bottom w:val="nil"/>
            </w:tcBorders>
            <w:hideMark/>
          </w:tcPr>
          <w:p w14:paraId="7A05AD7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5E2F2753"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308093A2"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Salmonella</w:t>
            </w:r>
          </w:p>
        </w:tc>
        <w:tc>
          <w:tcPr>
            <w:tcW w:w="1440" w:type="dxa"/>
            <w:tcBorders>
              <w:top w:val="nil"/>
              <w:bottom w:val="nil"/>
            </w:tcBorders>
            <w:hideMark/>
          </w:tcPr>
          <w:p w14:paraId="4FAC6EB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9.67</w:t>
            </w:r>
          </w:p>
        </w:tc>
        <w:tc>
          <w:tcPr>
            <w:tcW w:w="900" w:type="dxa"/>
            <w:tcBorders>
              <w:top w:val="nil"/>
              <w:bottom w:val="nil"/>
            </w:tcBorders>
            <w:hideMark/>
          </w:tcPr>
          <w:p w14:paraId="25212E0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top w:val="nil"/>
              <w:bottom w:val="nil"/>
            </w:tcBorders>
            <w:hideMark/>
          </w:tcPr>
          <w:p w14:paraId="04F00642"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0.008</w:t>
            </w:r>
          </w:p>
        </w:tc>
        <w:tc>
          <w:tcPr>
            <w:tcW w:w="1456" w:type="dxa"/>
            <w:tcBorders>
              <w:top w:val="nil"/>
              <w:bottom w:val="nil"/>
            </w:tcBorders>
            <w:hideMark/>
          </w:tcPr>
          <w:p w14:paraId="072CD68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69812E63"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52048806"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Shigella</w:t>
            </w:r>
          </w:p>
        </w:tc>
        <w:tc>
          <w:tcPr>
            <w:tcW w:w="1440" w:type="dxa"/>
            <w:tcBorders>
              <w:top w:val="nil"/>
              <w:bottom w:val="nil"/>
            </w:tcBorders>
            <w:hideMark/>
          </w:tcPr>
          <w:p w14:paraId="12E3251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7.92</w:t>
            </w:r>
          </w:p>
        </w:tc>
        <w:tc>
          <w:tcPr>
            <w:tcW w:w="900" w:type="dxa"/>
            <w:tcBorders>
              <w:top w:val="nil"/>
              <w:bottom w:val="nil"/>
            </w:tcBorders>
            <w:hideMark/>
          </w:tcPr>
          <w:p w14:paraId="2F12FE8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top w:val="nil"/>
              <w:bottom w:val="nil"/>
            </w:tcBorders>
            <w:hideMark/>
          </w:tcPr>
          <w:p w14:paraId="06BB881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0.019</w:t>
            </w:r>
          </w:p>
        </w:tc>
        <w:tc>
          <w:tcPr>
            <w:tcW w:w="1456" w:type="dxa"/>
            <w:tcBorders>
              <w:top w:val="nil"/>
              <w:bottom w:val="nil"/>
            </w:tcBorders>
            <w:hideMark/>
          </w:tcPr>
          <w:p w14:paraId="635FB3C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17F0E4A7"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1BDD7C49"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Vibrio</w:t>
            </w:r>
          </w:p>
        </w:tc>
        <w:tc>
          <w:tcPr>
            <w:tcW w:w="1440" w:type="dxa"/>
            <w:tcBorders>
              <w:top w:val="nil"/>
              <w:bottom w:val="single" w:sz="4" w:space="0" w:color="7F7F7F" w:themeColor="text1" w:themeTint="80"/>
            </w:tcBorders>
            <w:hideMark/>
          </w:tcPr>
          <w:p w14:paraId="1AF5BAB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6.45</w:t>
            </w:r>
          </w:p>
        </w:tc>
        <w:tc>
          <w:tcPr>
            <w:tcW w:w="900" w:type="dxa"/>
            <w:tcBorders>
              <w:top w:val="nil"/>
              <w:bottom w:val="single" w:sz="4" w:space="0" w:color="7F7F7F" w:themeColor="text1" w:themeTint="80"/>
            </w:tcBorders>
            <w:hideMark/>
          </w:tcPr>
          <w:p w14:paraId="6008A8D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top w:val="nil"/>
              <w:bottom w:val="single" w:sz="4" w:space="0" w:color="7F7F7F" w:themeColor="text1" w:themeTint="80"/>
            </w:tcBorders>
            <w:hideMark/>
          </w:tcPr>
          <w:p w14:paraId="4741257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0.040</w:t>
            </w:r>
          </w:p>
        </w:tc>
        <w:tc>
          <w:tcPr>
            <w:tcW w:w="1456" w:type="dxa"/>
            <w:tcBorders>
              <w:top w:val="nil"/>
              <w:bottom w:val="single" w:sz="4" w:space="0" w:color="7F7F7F" w:themeColor="text1" w:themeTint="80"/>
            </w:tcBorders>
            <w:hideMark/>
          </w:tcPr>
          <w:p w14:paraId="2946B09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bl>
    <w:p w14:paraId="5917CA5C" w14:textId="77777777" w:rsidR="001A4D1B" w:rsidRPr="001763E0" w:rsidRDefault="001A4D1B" w:rsidP="00825B7A">
      <w:pPr>
        <w:spacing w:after="120"/>
        <w:jc w:val="both"/>
        <w:rPr>
          <w:rFonts w:ascii="Times New Roman" w:hAnsi="Times New Roman" w:cs="Times New Roman"/>
          <w:color w:val="000000" w:themeColor="text1"/>
        </w:rPr>
      </w:pPr>
    </w:p>
    <w:p w14:paraId="3EA79C25" w14:textId="77777777" w:rsidR="001A4D1B" w:rsidRPr="001763E0" w:rsidRDefault="001A4D1B" w:rsidP="00825B7A">
      <w:pPr>
        <w:pStyle w:val="NormalWeb"/>
        <w:spacing w:before="0" w:beforeAutospacing="0" w:after="120" w:afterAutospacing="0"/>
        <w:jc w:val="both"/>
        <w:rPr>
          <w:color w:val="000000" w:themeColor="text1"/>
        </w:rPr>
      </w:pPr>
      <w:r w:rsidRPr="001763E0">
        <w:rPr>
          <w:color w:val="000000" w:themeColor="text1"/>
        </w:rPr>
        <w:t xml:space="preserve">Similarly, significant associations were observed between sample type and parasitic contamination (Table 6). </w:t>
      </w:r>
      <w:r w:rsidRPr="001763E0">
        <w:rPr>
          <w:rStyle w:val="Emphasis"/>
          <w:color w:val="000000" w:themeColor="text1"/>
        </w:rPr>
        <w:t>Ascaris lumbricoides</w:t>
      </w:r>
      <w:r w:rsidRPr="001763E0">
        <w:rPr>
          <w:color w:val="000000" w:themeColor="text1"/>
        </w:rPr>
        <w:t xml:space="preserve"> showed the highest association (χ² = 10.56, p = 0.005), followed by </w:t>
      </w:r>
      <w:r w:rsidRPr="001763E0">
        <w:rPr>
          <w:rStyle w:val="Emphasis"/>
          <w:color w:val="000000" w:themeColor="text1"/>
        </w:rPr>
        <w:t>Giardia lamblia</w:t>
      </w:r>
      <w:r w:rsidRPr="001763E0">
        <w:rPr>
          <w:color w:val="000000" w:themeColor="text1"/>
        </w:rPr>
        <w:t xml:space="preserve"> (χ² = 9.02, p = 0.011). </w:t>
      </w:r>
      <w:r w:rsidRPr="001763E0">
        <w:rPr>
          <w:rStyle w:val="Emphasis"/>
          <w:color w:val="000000" w:themeColor="text1"/>
        </w:rPr>
        <w:t xml:space="preserve">Trichuris </w:t>
      </w:r>
      <w:proofErr w:type="spellStart"/>
      <w:r w:rsidRPr="001763E0">
        <w:rPr>
          <w:rStyle w:val="Emphasis"/>
          <w:color w:val="000000" w:themeColor="text1"/>
        </w:rPr>
        <w:t>trichiura</w:t>
      </w:r>
      <w:proofErr w:type="spellEnd"/>
      <w:r w:rsidRPr="001763E0">
        <w:rPr>
          <w:color w:val="000000" w:themeColor="text1"/>
        </w:rPr>
        <w:t xml:space="preserve"> (χ² = 8.14, p = 0.017) and </w:t>
      </w:r>
      <w:r w:rsidRPr="001763E0">
        <w:rPr>
          <w:rStyle w:val="Emphasis"/>
          <w:color w:val="000000" w:themeColor="text1"/>
        </w:rPr>
        <w:t>Entamoeba histolytica</w:t>
      </w:r>
      <w:r w:rsidRPr="001763E0">
        <w:rPr>
          <w:color w:val="000000" w:themeColor="text1"/>
        </w:rPr>
        <w:t xml:space="preserve"> (χ² = 6.88, p = 0.032) also demonstrated statistically significant relationships. These findings confirm that wastewater plays a crucial role in the transmission of parasites into soil and food crops.</w:t>
      </w:r>
    </w:p>
    <w:p w14:paraId="50E2BE3C" w14:textId="5C49A43A"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6: Chi-Square Analysis of Parasitic Contamination</w:t>
      </w:r>
    </w:p>
    <w:tbl>
      <w:tblPr>
        <w:tblStyle w:val="PlainTable2"/>
        <w:tblW w:w="0" w:type="auto"/>
        <w:tblLook w:val="04A0" w:firstRow="1" w:lastRow="0" w:firstColumn="1" w:lastColumn="0" w:noHBand="0" w:noVBand="1"/>
      </w:tblPr>
      <w:tblGrid>
        <w:gridCol w:w="2880"/>
        <w:gridCol w:w="1620"/>
        <w:gridCol w:w="1080"/>
        <w:gridCol w:w="1440"/>
        <w:gridCol w:w="1530"/>
      </w:tblGrid>
      <w:tr w:rsidR="00C46574" w:rsidRPr="001763E0" w14:paraId="13952A0F"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25A8E65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w:t>
            </w:r>
          </w:p>
        </w:tc>
        <w:tc>
          <w:tcPr>
            <w:tcW w:w="1620" w:type="dxa"/>
            <w:hideMark/>
          </w:tcPr>
          <w:p w14:paraId="5B98F8E2"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χ² Value</w:t>
            </w:r>
          </w:p>
        </w:tc>
        <w:tc>
          <w:tcPr>
            <w:tcW w:w="1080" w:type="dxa"/>
            <w:hideMark/>
          </w:tcPr>
          <w:p w14:paraId="1690E42D"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df</w:t>
            </w:r>
          </w:p>
        </w:tc>
        <w:tc>
          <w:tcPr>
            <w:tcW w:w="1440" w:type="dxa"/>
            <w:hideMark/>
          </w:tcPr>
          <w:p w14:paraId="4F8E3F4E"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c>
          <w:tcPr>
            <w:tcW w:w="1530" w:type="dxa"/>
            <w:hideMark/>
          </w:tcPr>
          <w:p w14:paraId="1F1F6C94"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Significance</w:t>
            </w:r>
          </w:p>
        </w:tc>
      </w:tr>
      <w:tr w:rsidR="00C46574" w:rsidRPr="001763E0" w14:paraId="7B80E778"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5C7B2F1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Ascaris</w:t>
            </w:r>
          </w:p>
        </w:tc>
        <w:tc>
          <w:tcPr>
            <w:tcW w:w="1620" w:type="dxa"/>
            <w:tcBorders>
              <w:bottom w:val="nil"/>
            </w:tcBorders>
            <w:hideMark/>
          </w:tcPr>
          <w:p w14:paraId="7CCA03D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10.56</w:t>
            </w:r>
          </w:p>
        </w:tc>
        <w:tc>
          <w:tcPr>
            <w:tcW w:w="1080" w:type="dxa"/>
            <w:tcBorders>
              <w:bottom w:val="nil"/>
            </w:tcBorders>
            <w:hideMark/>
          </w:tcPr>
          <w:p w14:paraId="6D02D07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bottom w:val="nil"/>
            </w:tcBorders>
            <w:hideMark/>
          </w:tcPr>
          <w:p w14:paraId="2004FC7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0.005</w:t>
            </w:r>
          </w:p>
        </w:tc>
        <w:tc>
          <w:tcPr>
            <w:tcW w:w="1530" w:type="dxa"/>
            <w:tcBorders>
              <w:bottom w:val="nil"/>
            </w:tcBorders>
            <w:hideMark/>
          </w:tcPr>
          <w:p w14:paraId="7A57205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3909E9C3"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1B3CF19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Trichuris</w:t>
            </w:r>
          </w:p>
        </w:tc>
        <w:tc>
          <w:tcPr>
            <w:tcW w:w="1620" w:type="dxa"/>
            <w:tcBorders>
              <w:top w:val="nil"/>
              <w:bottom w:val="nil"/>
            </w:tcBorders>
            <w:hideMark/>
          </w:tcPr>
          <w:p w14:paraId="0C0CDF3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8.14</w:t>
            </w:r>
          </w:p>
        </w:tc>
        <w:tc>
          <w:tcPr>
            <w:tcW w:w="1080" w:type="dxa"/>
            <w:tcBorders>
              <w:top w:val="nil"/>
              <w:bottom w:val="nil"/>
            </w:tcBorders>
            <w:hideMark/>
          </w:tcPr>
          <w:p w14:paraId="64DCCF2C"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top w:val="nil"/>
              <w:bottom w:val="nil"/>
            </w:tcBorders>
            <w:hideMark/>
          </w:tcPr>
          <w:p w14:paraId="0604A4A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0.017</w:t>
            </w:r>
          </w:p>
        </w:tc>
        <w:tc>
          <w:tcPr>
            <w:tcW w:w="1530" w:type="dxa"/>
            <w:tcBorders>
              <w:top w:val="nil"/>
              <w:bottom w:val="nil"/>
            </w:tcBorders>
            <w:hideMark/>
          </w:tcPr>
          <w:p w14:paraId="7B2E449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140FEC70"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4C59AB6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Giardia</w:t>
            </w:r>
          </w:p>
        </w:tc>
        <w:tc>
          <w:tcPr>
            <w:tcW w:w="1620" w:type="dxa"/>
            <w:tcBorders>
              <w:top w:val="nil"/>
              <w:bottom w:val="nil"/>
            </w:tcBorders>
            <w:hideMark/>
          </w:tcPr>
          <w:p w14:paraId="2710F51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9.02</w:t>
            </w:r>
          </w:p>
        </w:tc>
        <w:tc>
          <w:tcPr>
            <w:tcW w:w="1080" w:type="dxa"/>
            <w:tcBorders>
              <w:top w:val="nil"/>
              <w:bottom w:val="nil"/>
            </w:tcBorders>
            <w:hideMark/>
          </w:tcPr>
          <w:p w14:paraId="5097646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top w:val="nil"/>
              <w:bottom w:val="nil"/>
            </w:tcBorders>
            <w:hideMark/>
          </w:tcPr>
          <w:p w14:paraId="5AF460B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0.011</w:t>
            </w:r>
          </w:p>
        </w:tc>
        <w:tc>
          <w:tcPr>
            <w:tcW w:w="1530" w:type="dxa"/>
            <w:tcBorders>
              <w:top w:val="nil"/>
              <w:bottom w:val="nil"/>
            </w:tcBorders>
            <w:hideMark/>
          </w:tcPr>
          <w:p w14:paraId="6C304D3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21B7412C"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41EE3F0F"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Entamoeba</w:t>
            </w:r>
          </w:p>
        </w:tc>
        <w:tc>
          <w:tcPr>
            <w:tcW w:w="1620" w:type="dxa"/>
            <w:tcBorders>
              <w:top w:val="nil"/>
              <w:bottom w:val="single" w:sz="4" w:space="0" w:color="7F7F7F" w:themeColor="text1" w:themeTint="80"/>
            </w:tcBorders>
            <w:hideMark/>
          </w:tcPr>
          <w:p w14:paraId="6BF5E908"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6.88</w:t>
            </w:r>
          </w:p>
        </w:tc>
        <w:tc>
          <w:tcPr>
            <w:tcW w:w="1080" w:type="dxa"/>
            <w:tcBorders>
              <w:top w:val="nil"/>
              <w:bottom w:val="single" w:sz="4" w:space="0" w:color="7F7F7F" w:themeColor="text1" w:themeTint="80"/>
            </w:tcBorders>
            <w:hideMark/>
          </w:tcPr>
          <w:p w14:paraId="53F9B5C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top w:val="nil"/>
              <w:bottom w:val="single" w:sz="4" w:space="0" w:color="7F7F7F" w:themeColor="text1" w:themeTint="80"/>
            </w:tcBorders>
            <w:hideMark/>
          </w:tcPr>
          <w:p w14:paraId="2DBFF72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0.032</w:t>
            </w:r>
          </w:p>
        </w:tc>
        <w:tc>
          <w:tcPr>
            <w:tcW w:w="1530" w:type="dxa"/>
            <w:tcBorders>
              <w:top w:val="nil"/>
              <w:bottom w:val="single" w:sz="4" w:space="0" w:color="7F7F7F" w:themeColor="text1" w:themeTint="80"/>
            </w:tcBorders>
            <w:hideMark/>
          </w:tcPr>
          <w:p w14:paraId="387954CE"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bl>
    <w:p w14:paraId="0E4C02C3" w14:textId="77777777" w:rsidR="00C46574" w:rsidRPr="001763E0" w:rsidRDefault="00C46574" w:rsidP="00825B7A">
      <w:pPr>
        <w:pStyle w:val="NormalWeb"/>
        <w:spacing w:before="0" w:beforeAutospacing="0" w:after="120" w:afterAutospacing="0"/>
        <w:jc w:val="both"/>
        <w:rPr>
          <w:color w:val="000000" w:themeColor="text1"/>
        </w:rPr>
      </w:pPr>
      <w:r w:rsidRPr="001763E0">
        <w:rPr>
          <w:color w:val="000000" w:themeColor="text1"/>
        </w:rPr>
        <w:t>P&lt;0.05, there was a significant difference among samples</w:t>
      </w:r>
    </w:p>
    <w:p w14:paraId="5DAABF4F" w14:textId="0513D5D3" w:rsidR="001A4D1B" w:rsidRPr="001763E0" w:rsidRDefault="001A4D1B" w:rsidP="00825B7A">
      <w:pPr>
        <w:spacing w:after="120"/>
        <w:jc w:val="both"/>
        <w:rPr>
          <w:rFonts w:ascii="Times New Roman" w:hAnsi="Times New Roman" w:cs="Times New Roman"/>
          <w:b/>
          <w:bCs/>
          <w:color w:val="000000" w:themeColor="text1"/>
        </w:rPr>
      </w:pPr>
      <w:r w:rsidRPr="001763E0">
        <w:rPr>
          <w:rFonts w:ascii="Times New Roman" w:hAnsi="Times New Roman" w:cs="Times New Roman"/>
          <w:color w:val="000000" w:themeColor="text1"/>
        </w:rPr>
        <w:t xml:space="preserve">There were positive correlations (Table 7) between wastewater microbial load and vegetable contamination (r = 0.891, p &lt; 0.01), as well as parasite load (r = 0.804, p &lt; 0.01). Soil microbial load also showed strong association with vegetable contamination (r = 0.823, p &lt; 0.01), confirming its intermediary role. Physicochemical parameters such as BOD (r = 0.701) and turbidity (r = 0.667) were positively correlated with vegetable contamination, indicating that polluted wastewater enhances pathogen survival and transmission. These relationships demonstrate a </w:t>
      </w:r>
      <w:r w:rsidRPr="001763E0">
        <w:rPr>
          <w:rStyle w:val="Strong"/>
          <w:rFonts w:ascii="Times New Roman" w:hAnsi="Times New Roman" w:cs="Times New Roman"/>
          <w:b w:val="0"/>
          <w:bCs w:val="0"/>
          <w:color w:val="000000" w:themeColor="text1"/>
        </w:rPr>
        <w:t>linked contamination pathway from wastewater to soil and food crops</w:t>
      </w:r>
      <w:r w:rsidRPr="001763E0">
        <w:rPr>
          <w:rFonts w:ascii="Times New Roman" w:hAnsi="Times New Roman" w:cs="Times New Roman"/>
          <w:b/>
          <w:bCs/>
          <w:color w:val="000000" w:themeColor="text1"/>
        </w:rPr>
        <w:t>.</w:t>
      </w:r>
    </w:p>
    <w:p w14:paraId="0AA25F26" w14:textId="1F88C999"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7: Pearson Correlation Matrix Among All Parameters</w:t>
      </w:r>
    </w:p>
    <w:tbl>
      <w:tblPr>
        <w:tblStyle w:val="PlainTable2"/>
        <w:tblW w:w="0" w:type="auto"/>
        <w:tblLook w:val="04A0" w:firstRow="1" w:lastRow="0" w:firstColumn="1" w:lastColumn="0" w:noHBand="0" w:noVBand="1"/>
      </w:tblPr>
      <w:tblGrid>
        <w:gridCol w:w="1649"/>
        <w:gridCol w:w="1649"/>
        <w:gridCol w:w="1355"/>
        <w:gridCol w:w="1489"/>
        <w:gridCol w:w="996"/>
        <w:gridCol w:w="1123"/>
        <w:gridCol w:w="1099"/>
      </w:tblGrid>
      <w:tr w:rsidR="00C46574" w:rsidRPr="001763E0" w14:paraId="66EA6E34"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28ED1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Variables</w:t>
            </w:r>
          </w:p>
        </w:tc>
        <w:tc>
          <w:tcPr>
            <w:tcW w:w="0" w:type="auto"/>
            <w:hideMark/>
          </w:tcPr>
          <w:p w14:paraId="471BDB8D"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Microbial Load</w:t>
            </w:r>
          </w:p>
        </w:tc>
        <w:tc>
          <w:tcPr>
            <w:tcW w:w="0" w:type="auto"/>
            <w:hideMark/>
          </w:tcPr>
          <w:p w14:paraId="12C28E69"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Microbial Load</w:t>
            </w:r>
          </w:p>
        </w:tc>
        <w:tc>
          <w:tcPr>
            <w:tcW w:w="0" w:type="auto"/>
            <w:hideMark/>
          </w:tcPr>
          <w:p w14:paraId="4CDE11FC"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 Microbial Load</w:t>
            </w:r>
          </w:p>
        </w:tc>
        <w:tc>
          <w:tcPr>
            <w:tcW w:w="0" w:type="auto"/>
            <w:hideMark/>
          </w:tcPr>
          <w:p w14:paraId="7E64C117"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w:t>
            </w:r>
          </w:p>
        </w:tc>
        <w:tc>
          <w:tcPr>
            <w:tcW w:w="0" w:type="auto"/>
            <w:hideMark/>
          </w:tcPr>
          <w:p w14:paraId="7A5099A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w:t>
            </w:r>
          </w:p>
        </w:tc>
        <w:tc>
          <w:tcPr>
            <w:tcW w:w="0" w:type="auto"/>
            <w:hideMark/>
          </w:tcPr>
          <w:p w14:paraId="01244151"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 Load</w:t>
            </w:r>
          </w:p>
        </w:tc>
      </w:tr>
      <w:tr w:rsidR="00C46574" w:rsidRPr="001763E0" w14:paraId="1B7D7F5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A92C06B"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Microbial Load</w:t>
            </w:r>
          </w:p>
        </w:tc>
        <w:tc>
          <w:tcPr>
            <w:tcW w:w="0" w:type="auto"/>
            <w:tcBorders>
              <w:bottom w:val="nil"/>
            </w:tcBorders>
            <w:hideMark/>
          </w:tcPr>
          <w:p w14:paraId="7AECB404"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bottom w:val="nil"/>
            </w:tcBorders>
            <w:hideMark/>
          </w:tcPr>
          <w:p w14:paraId="65C2F3E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0.842**</w:t>
            </w:r>
          </w:p>
        </w:tc>
        <w:tc>
          <w:tcPr>
            <w:tcW w:w="0" w:type="auto"/>
            <w:tcBorders>
              <w:bottom w:val="nil"/>
            </w:tcBorders>
            <w:hideMark/>
          </w:tcPr>
          <w:p w14:paraId="0314389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0.891**</w:t>
            </w:r>
          </w:p>
        </w:tc>
        <w:tc>
          <w:tcPr>
            <w:tcW w:w="0" w:type="auto"/>
            <w:tcBorders>
              <w:bottom w:val="nil"/>
            </w:tcBorders>
            <w:hideMark/>
          </w:tcPr>
          <w:p w14:paraId="39CBD7D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0.768**</w:t>
            </w:r>
          </w:p>
        </w:tc>
        <w:tc>
          <w:tcPr>
            <w:tcW w:w="0" w:type="auto"/>
            <w:tcBorders>
              <w:bottom w:val="nil"/>
            </w:tcBorders>
            <w:hideMark/>
          </w:tcPr>
          <w:p w14:paraId="5C251F6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0.735**</w:t>
            </w:r>
          </w:p>
        </w:tc>
        <w:tc>
          <w:tcPr>
            <w:tcW w:w="0" w:type="auto"/>
            <w:tcBorders>
              <w:bottom w:val="nil"/>
            </w:tcBorders>
            <w:hideMark/>
          </w:tcPr>
          <w:p w14:paraId="1733061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0.804**</w:t>
            </w:r>
          </w:p>
        </w:tc>
      </w:tr>
      <w:tr w:rsidR="00C46574" w:rsidRPr="001763E0" w14:paraId="381B954A"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88BF8E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Microbial Load</w:t>
            </w:r>
          </w:p>
        </w:tc>
        <w:tc>
          <w:tcPr>
            <w:tcW w:w="0" w:type="auto"/>
            <w:tcBorders>
              <w:top w:val="nil"/>
              <w:bottom w:val="nil"/>
            </w:tcBorders>
            <w:hideMark/>
          </w:tcPr>
          <w:p w14:paraId="6CD8F29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0.842**</w:t>
            </w:r>
          </w:p>
        </w:tc>
        <w:tc>
          <w:tcPr>
            <w:tcW w:w="0" w:type="auto"/>
            <w:tcBorders>
              <w:top w:val="nil"/>
              <w:bottom w:val="nil"/>
            </w:tcBorders>
            <w:hideMark/>
          </w:tcPr>
          <w:p w14:paraId="59DF4C91"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66893C0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0.823**</w:t>
            </w:r>
          </w:p>
        </w:tc>
        <w:tc>
          <w:tcPr>
            <w:tcW w:w="0" w:type="auto"/>
            <w:tcBorders>
              <w:top w:val="nil"/>
              <w:bottom w:val="nil"/>
            </w:tcBorders>
            <w:hideMark/>
          </w:tcPr>
          <w:p w14:paraId="39D1B5B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0.652**</w:t>
            </w:r>
          </w:p>
        </w:tc>
        <w:tc>
          <w:tcPr>
            <w:tcW w:w="0" w:type="auto"/>
            <w:tcBorders>
              <w:top w:val="nil"/>
              <w:bottom w:val="nil"/>
            </w:tcBorders>
            <w:hideMark/>
          </w:tcPr>
          <w:p w14:paraId="3D34CBA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0.618**</w:t>
            </w:r>
          </w:p>
        </w:tc>
        <w:tc>
          <w:tcPr>
            <w:tcW w:w="0" w:type="auto"/>
            <w:tcBorders>
              <w:top w:val="nil"/>
              <w:bottom w:val="nil"/>
            </w:tcBorders>
            <w:hideMark/>
          </w:tcPr>
          <w:p w14:paraId="2D768D68"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0.776**</w:t>
            </w:r>
          </w:p>
        </w:tc>
      </w:tr>
      <w:tr w:rsidR="00C46574" w:rsidRPr="001763E0" w14:paraId="605D6094"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53B0EC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lastRenderedPageBreak/>
              <w:t>Vegetable Microbial Load</w:t>
            </w:r>
          </w:p>
        </w:tc>
        <w:tc>
          <w:tcPr>
            <w:tcW w:w="0" w:type="auto"/>
            <w:tcBorders>
              <w:top w:val="nil"/>
              <w:bottom w:val="nil"/>
            </w:tcBorders>
            <w:hideMark/>
          </w:tcPr>
          <w:p w14:paraId="15B39CE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0.891**</w:t>
            </w:r>
          </w:p>
        </w:tc>
        <w:tc>
          <w:tcPr>
            <w:tcW w:w="0" w:type="auto"/>
            <w:tcBorders>
              <w:top w:val="nil"/>
              <w:bottom w:val="nil"/>
            </w:tcBorders>
            <w:hideMark/>
          </w:tcPr>
          <w:p w14:paraId="2697EA65"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0.823**</w:t>
            </w:r>
          </w:p>
        </w:tc>
        <w:tc>
          <w:tcPr>
            <w:tcW w:w="0" w:type="auto"/>
            <w:tcBorders>
              <w:top w:val="nil"/>
              <w:bottom w:val="nil"/>
            </w:tcBorders>
            <w:hideMark/>
          </w:tcPr>
          <w:p w14:paraId="2D07E44F"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22CE665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0.701**</w:t>
            </w:r>
          </w:p>
        </w:tc>
        <w:tc>
          <w:tcPr>
            <w:tcW w:w="0" w:type="auto"/>
            <w:tcBorders>
              <w:top w:val="nil"/>
              <w:bottom w:val="nil"/>
            </w:tcBorders>
            <w:hideMark/>
          </w:tcPr>
          <w:p w14:paraId="633907E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0.667**</w:t>
            </w:r>
          </w:p>
        </w:tc>
        <w:tc>
          <w:tcPr>
            <w:tcW w:w="0" w:type="auto"/>
            <w:tcBorders>
              <w:top w:val="nil"/>
              <w:bottom w:val="nil"/>
            </w:tcBorders>
            <w:hideMark/>
          </w:tcPr>
          <w:p w14:paraId="1DF1CD4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0.859**</w:t>
            </w:r>
          </w:p>
        </w:tc>
      </w:tr>
      <w:tr w:rsidR="00C46574" w:rsidRPr="001763E0" w14:paraId="350E797E"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94EFFA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w:t>
            </w:r>
          </w:p>
        </w:tc>
        <w:tc>
          <w:tcPr>
            <w:tcW w:w="0" w:type="auto"/>
            <w:tcBorders>
              <w:top w:val="nil"/>
              <w:bottom w:val="nil"/>
            </w:tcBorders>
            <w:hideMark/>
          </w:tcPr>
          <w:p w14:paraId="66B2AD7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0.768**</w:t>
            </w:r>
          </w:p>
        </w:tc>
        <w:tc>
          <w:tcPr>
            <w:tcW w:w="0" w:type="auto"/>
            <w:tcBorders>
              <w:top w:val="nil"/>
              <w:bottom w:val="nil"/>
            </w:tcBorders>
            <w:hideMark/>
          </w:tcPr>
          <w:p w14:paraId="6FB59B8C"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0.652**</w:t>
            </w:r>
          </w:p>
        </w:tc>
        <w:tc>
          <w:tcPr>
            <w:tcW w:w="0" w:type="auto"/>
            <w:tcBorders>
              <w:top w:val="nil"/>
              <w:bottom w:val="nil"/>
            </w:tcBorders>
            <w:hideMark/>
          </w:tcPr>
          <w:p w14:paraId="251D4A9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0.701**</w:t>
            </w:r>
          </w:p>
        </w:tc>
        <w:tc>
          <w:tcPr>
            <w:tcW w:w="0" w:type="auto"/>
            <w:tcBorders>
              <w:top w:val="nil"/>
              <w:bottom w:val="nil"/>
            </w:tcBorders>
            <w:hideMark/>
          </w:tcPr>
          <w:p w14:paraId="6FC338B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2F64286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0.744**</w:t>
            </w:r>
          </w:p>
        </w:tc>
        <w:tc>
          <w:tcPr>
            <w:tcW w:w="0" w:type="auto"/>
            <w:tcBorders>
              <w:top w:val="nil"/>
              <w:bottom w:val="nil"/>
            </w:tcBorders>
            <w:hideMark/>
          </w:tcPr>
          <w:p w14:paraId="306F334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0.688**</w:t>
            </w:r>
          </w:p>
        </w:tc>
      </w:tr>
      <w:tr w:rsidR="00C46574" w:rsidRPr="001763E0" w14:paraId="671ED9A1"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7579CAF"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w:t>
            </w:r>
          </w:p>
        </w:tc>
        <w:tc>
          <w:tcPr>
            <w:tcW w:w="0" w:type="auto"/>
            <w:tcBorders>
              <w:top w:val="nil"/>
              <w:bottom w:val="nil"/>
            </w:tcBorders>
            <w:hideMark/>
          </w:tcPr>
          <w:p w14:paraId="4722AB1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0.735**</w:t>
            </w:r>
          </w:p>
        </w:tc>
        <w:tc>
          <w:tcPr>
            <w:tcW w:w="0" w:type="auto"/>
            <w:tcBorders>
              <w:top w:val="nil"/>
              <w:bottom w:val="nil"/>
            </w:tcBorders>
            <w:hideMark/>
          </w:tcPr>
          <w:p w14:paraId="180B1A3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0.618**</w:t>
            </w:r>
          </w:p>
        </w:tc>
        <w:tc>
          <w:tcPr>
            <w:tcW w:w="0" w:type="auto"/>
            <w:tcBorders>
              <w:top w:val="nil"/>
              <w:bottom w:val="nil"/>
            </w:tcBorders>
            <w:hideMark/>
          </w:tcPr>
          <w:p w14:paraId="7CFA00B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0.667**</w:t>
            </w:r>
          </w:p>
        </w:tc>
        <w:tc>
          <w:tcPr>
            <w:tcW w:w="0" w:type="auto"/>
            <w:tcBorders>
              <w:top w:val="nil"/>
              <w:bottom w:val="nil"/>
            </w:tcBorders>
            <w:hideMark/>
          </w:tcPr>
          <w:p w14:paraId="1DFAE1B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0.744**</w:t>
            </w:r>
          </w:p>
        </w:tc>
        <w:tc>
          <w:tcPr>
            <w:tcW w:w="0" w:type="auto"/>
            <w:tcBorders>
              <w:top w:val="nil"/>
              <w:bottom w:val="nil"/>
            </w:tcBorders>
            <w:hideMark/>
          </w:tcPr>
          <w:p w14:paraId="3CB23D5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1CE70E5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0.641**</w:t>
            </w:r>
          </w:p>
        </w:tc>
      </w:tr>
      <w:tr w:rsidR="00C46574" w:rsidRPr="001763E0" w14:paraId="334C4BE0"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258FD925"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 Load</w:t>
            </w:r>
          </w:p>
        </w:tc>
        <w:tc>
          <w:tcPr>
            <w:tcW w:w="0" w:type="auto"/>
            <w:tcBorders>
              <w:top w:val="nil"/>
              <w:bottom w:val="single" w:sz="4" w:space="0" w:color="7F7F7F" w:themeColor="text1" w:themeTint="80"/>
            </w:tcBorders>
            <w:hideMark/>
          </w:tcPr>
          <w:p w14:paraId="1A8A2A4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0.804**</w:t>
            </w:r>
          </w:p>
        </w:tc>
        <w:tc>
          <w:tcPr>
            <w:tcW w:w="0" w:type="auto"/>
            <w:tcBorders>
              <w:top w:val="nil"/>
              <w:bottom w:val="single" w:sz="4" w:space="0" w:color="7F7F7F" w:themeColor="text1" w:themeTint="80"/>
            </w:tcBorders>
            <w:hideMark/>
          </w:tcPr>
          <w:p w14:paraId="41838981"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0.776**</w:t>
            </w:r>
          </w:p>
        </w:tc>
        <w:tc>
          <w:tcPr>
            <w:tcW w:w="0" w:type="auto"/>
            <w:tcBorders>
              <w:top w:val="nil"/>
              <w:bottom w:val="single" w:sz="4" w:space="0" w:color="7F7F7F" w:themeColor="text1" w:themeTint="80"/>
            </w:tcBorders>
            <w:hideMark/>
          </w:tcPr>
          <w:p w14:paraId="6E3EF2C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0.859**</w:t>
            </w:r>
          </w:p>
        </w:tc>
        <w:tc>
          <w:tcPr>
            <w:tcW w:w="0" w:type="auto"/>
            <w:tcBorders>
              <w:top w:val="nil"/>
              <w:bottom w:val="single" w:sz="4" w:space="0" w:color="7F7F7F" w:themeColor="text1" w:themeTint="80"/>
            </w:tcBorders>
            <w:hideMark/>
          </w:tcPr>
          <w:p w14:paraId="7FF5939C"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0.688**</w:t>
            </w:r>
          </w:p>
        </w:tc>
        <w:tc>
          <w:tcPr>
            <w:tcW w:w="0" w:type="auto"/>
            <w:tcBorders>
              <w:top w:val="nil"/>
              <w:bottom w:val="single" w:sz="4" w:space="0" w:color="7F7F7F" w:themeColor="text1" w:themeTint="80"/>
            </w:tcBorders>
            <w:hideMark/>
          </w:tcPr>
          <w:p w14:paraId="0B2CD2A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0.641**</w:t>
            </w:r>
          </w:p>
        </w:tc>
        <w:tc>
          <w:tcPr>
            <w:tcW w:w="0" w:type="auto"/>
            <w:tcBorders>
              <w:top w:val="nil"/>
              <w:bottom w:val="single" w:sz="4" w:space="0" w:color="7F7F7F" w:themeColor="text1" w:themeTint="80"/>
            </w:tcBorders>
            <w:hideMark/>
          </w:tcPr>
          <w:p w14:paraId="519A9B8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r>
    </w:tbl>
    <w:p w14:paraId="1107AA11" w14:textId="77777777" w:rsidR="00C46574" w:rsidRPr="001763E0" w:rsidRDefault="00C46574" w:rsidP="00825B7A">
      <w:pPr>
        <w:spacing w:after="120"/>
        <w:jc w:val="both"/>
        <w:rPr>
          <w:rFonts w:ascii="Times New Roman" w:hAnsi="Times New Roman" w:cs="Times New Roman"/>
          <w:b/>
          <w:bCs/>
          <w:color w:val="000000" w:themeColor="text1"/>
        </w:rPr>
      </w:pPr>
      <w:r w:rsidRPr="001763E0">
        <w:rPr>
          <w:rFonts w:ascii="Times New Roman" w:hAnsi="Times New Roman" w:cs="Times New Roman"/>
          <w:color w:val="000000" w:themeColor="text1"/>
        </w:rPr>
        <w:t xml:space="preserve">Values marked with ** indicate statistical significance at </w:t>
      </w:r>
      <w:r w:rsidRPr="001763E0">
        <w:rPr>
          <w:rStyle w:val="Strong"/>
          <w:rFonts w:ascii="Times New Roman" w:hAnsi="Times New Roman" w:cs="Times New Roman"/>
          <w:b w:val="0"/>
          <w:bCs w:val="0"/>
          <w:color w:val="000000" w:themeColor="text1"/>
        </w:rPr>
        <w:t>p &lt; 0.01</w:t>
      </w:r>
    </w:p>
    <w:p w14:paraId="12FFF947" w14:textId="20CB8A5F" w:rsidR="00C46574"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The multiple linear regression model (Table 8) showed a positive fit (R² = 0.843), </w:t>
      </w:r>
      <w:proofErr w:type="spellStart"/>
      <w:r w:rsidR="006F086B" w:rsidRPr="001763E0">
        <w:rPr>
          <w:rFonts w:ascii="Times New Roman" w:hAnsi="Times New Roman" w:cs="Times New Roman"/>
        </w:rPr>
        <w:t>ndicating</w:t>
      </w:r>
      <w:proofErr w:type="spellEnd"/>
      <w:r w:rsidR="006F086B" w:rsidRPr="001763E0">
        <w:rPr>
          <w:rFonts w:ascii="Times New Roman" w:hAnsi="Times New Roman" w:cs="Times New Roman"/>
        </w:rPr>
        <w:t xml:space="preserve"> that 84.3% of the variation in vegetable contamination was explained by the model. </w:t>
      </w:r>
      <w:r w:rsidRPr="001763E0">
        <w:rPr>
          <w:rFonts w:ascii="Times New Roman" w:hAnsi="Times New Roman" w:cs="Times New Roman"/>
          <w:color w:val="000000" w:themeColor="text1"/>
        </w:rPr>
        <w:t>Wastewater microbial load was positive (β = 0.58, p &lt; 0.001), followed by parasite load (β = 0.34, p = 0.001) and soil contamination (β = 0.29, p = 0.002). Physicochemical parameters (BOD and turbidity) also significantly contributed to contamination.</w:t>
      </w:r>
    </w:p>
    <w:p w14:paraId="010AE659" w14:textId="77777777"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8: Multiple Linear Regression Analysis for Vegetable Contamination</w:t>
      </w:r>
    </w:p>
    <w:tbl>
      <w:tblPr>
        <w:tblStyle w:val="PlainTable2"/>
        <w:tblW w:w="0" w:type="auto"/>
        <w:tblLook w:val="04A0" w:firstRow="1" w:lastRow="0" w:firstColumn="1" w:lastColumn="0" w:noHBand="0" w:noVBand="1"/>
      </w:tblPr>
      <w:tblGrid>
        <w:gridCol w:w="2909"/>
        <w:gridCol w:w="1478"/>
        <w:gridCol w:w="1636"/>
        <w:gridCol w:w="883"/>
        <w:gridCol w:w="996"/>
      </w:tblGrid>
      <w:tr w:rsidR="00C46574" w:rsidRPr="001763E0" w14:paraId="7B0622FC"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3397BC"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w:t>
            </w:r>
          </w:p>
        </w:tc>
        <w:tc>
          <w:tcPr>
            <w:tcW w:w="0" w:type="auto"/>
            <w:hideMark/>
          </w:tcPr>
          <w:p w14:paraId="4850D200"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β Coefficient</w:t>
            </w:r>
          </w:p>
        </w:tc>
        <w:tc>
          <w:tcPr>
            <w:tcW w:w="0" w:type="auto"/>
            <w:hideMark/>
          </w:tcPr>
          <w:p w14:paraId="5F953303"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Standard Error</w:t>
            </w:r>
          </w:p>
        </w:tc>
        <w:tc>
          <w:tcPr>
            <w:tcW w:w="0" w:type="auto"/>
            <w:hideMark/>
          </w:tcPr>
          <w:p w14:paraId="79D2D68C"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t-value</w:t>
            </w:r>
          </w:p>
        </w:tc>
        <w:tc>
          <w:tcPr>
            <w:tcW w:w="0" w:type="auto"/>
            <w:hideMark/>
          </w:tcPr>
          <w:p w14:paraId="287DBE9C"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r>
      <w:tr w:rsidR="00C46574" w:rsidRPr="001763E0" w14:paraId="3DF9082F"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5792638"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Microbial Load</w:t>
            </w:r>
          </w:p>
        </w:tc>
        <w:tc>
          <w:tcPr>
            <w:tcW w:w="0" w:type="auto"/>
            <w:tcBorders>
              <w:bottom w:val="nil"/>
            </w:tcBorders>
            <w:hideMark/>
          </w:tcPr>
          <w:p w14:paraId="03BBF1D0"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0.58</w:t>
            </w:r>
          </w:p>
        </w:tc>
        <w:tc>
          <w:tcPr>
            <w:tcW w:w="0" w:type="auto"/>
            <w:tcBorders>
              <w:bottom w:val="nil"/>
            </w:tcBorders>
            <w:hideMark/>
          </w:tcPr>
          <w:p w14:paraId="5C386644"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0.09</w:t>
            </w:r>
          </w:p>
        </w:tc>
        <w:tc>
          <w:tcPr>
            <w:tcW w:w="0" w:type="auto"/>
            <w:tcBorders>
              <w:bottom w:val="nil"/>
            </w:tcBorders>
            <w:hideMark/>
          </w:tcPr>
          <w:p w14:paraId="7AB8374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6.44</w:t>
            </w:r>
          </w:p>
        </w:tc>
        <w:tc>
          <w:tcPr>
            <w:tcW w:w="0" w:type="auto"/>
            <w:tcBorders>
              <w:bottom w:val="nil"/>
            </w:tcBorders>
            <w:hideMark/>
          </w:tcPr>
          <w:p w14:paraId="082CE92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0.000**</w:t>
            </w:r>
          </w:p>
        </w:tc>
      </w:tr>
      <w:tr w:rsidR="00C46574" w:rsidRPr="001763E0" w14:paraId="52A284F4"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5BBC17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Microbial Load</w:t>
            </w:r>
          </w:p>
        </w:tc>
        <w:tc>
          <w:tcPr>
            <w:tcW w:w="0" w:type="auto"/>
            <w:tcBorders>
              <w:top w:val="nil"/>
              <w:bottom w:val="nil"/>
            </w:tcBorders>
            <w:hideMark/>
          </w:tcPr>
          <w:p w14:paraId="5EF9327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0.29</w:t>
            </w:r>
          </w:p>
        </w:tc>
        <w:tc>
          <w:tcPr>
            <w:tcW w:w="0" w:type="auto"/>
            <w:tcBorders>
              <w:top w:val="nil"/>
              <w:bottom w:val="nil"/>
            </w:tcBorders>
            <w:hideMark/>
          </w:tcPr>
          <w:p w14:paraId="1911E95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0.08</w:t>
            </w:r>
          </w:p>
        </w:tc>
        <w:tc>
          <w:tcPr>
            <w:tcW w:w="0" w:type="auto"/>
            <w:tcBorders>
              <w:top w:val="nil"/>
              <w:bottom w:val="nil"/>
            </w:tcBorders>
            <w:hideMark/>
          </w:tcPr>
          <w:p w14:paraId="5F311D2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3.62</w:t>
            </w:r>
          </w:p>
        </w:tc>
        <w:tc>
          <w:tcPr>
            <w:tcW w:w="0" w:type="auto"/>
            <w:tcBorders>
              <w:top w:val="nil"/>
              <w:bottom w:val="nil"/>
            </w:tcBorders>
            <w:hideMark/>
          </w:tcPr>
          <w:p w14:paraId="7A38084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0.002**</w:t>
            </w:r>
          </w:p>
        </w:tc>
      </w:tr>
      <w:tr w:rsidR="00C46574" w:rsidRPr="001763E0" w14:paraId="55B4A6FF"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D3538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 Load</w:t>
            </w:r>
          </w:p>
        </w:tc>
        <w:tc>
          <w:tcPr>
            <w:tcW w:w="0" w:type="auto"/>
            <w:tcBorders>
              <w:top w:val="nil"/>
              <w:bottom w:val="nil"/>
            </w:tcBorders>
            <w:hideMark/>
          </w:tcPr>
          <w:p w14:paraId="2938B93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0.34</w:t>
            </w:r>
          </w:p>
        </w:tc>
        <w:tc>
          <w:tcPr>
            <w:tcW w:w="0" w:type="auto"/>
            <w:tcBorders>
              <w:top w:val="nil"/>
              <w:bottom w:val="nil"/>
            </w:tcBorders>
            <w:hideMark/>
          </w:tcPr>
          <w:p w14:paraId="0027266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0.07</w:t>
            </w:r>
          </w:p>
        </w:tc>
        <w:tc>
          <w:tcPr>
            <w:tcW w:w="0" w:type="auto"/>
            <w:tcBorders>
              <w:top w:val="nil"/>
              <w:bottom w:val="nil"/>
            </w:tcBorders>
            <w:hideMark/>
          </w:tcPr>
          <w:p w14:paraId="78F96E65"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4.85</w:t>
            </w:r>
          </w:p>
        </w:tc>
        <w:tc>
          <w:tcPr>
            <w:tcW w:w="0" w:type="auto"/>
            <w:tcBorders>
              <w:top w:val="nil"/>
              <w:bottom w:val="nil"/>
            </w:tcBorders>
            <w:hideMark/>
          </w:tcPr>
          <w:p w14:paraId="140D1A3F"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r w:rsidR="00C46574" w:rsidRPr="001763E0" w14:paraId="3AF0E99E"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E7762C0"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w:t>
            </w:r>
          </w:p>
        </w:tc>
        <w:tc>
          <w:tcPr>
            <w:tcW w:w="0" w:type="auto"/>
            <w:tcBorders>
              <w:top w:val="nil"/>
              <w:bottom w:val="nil"/>
            </w:tcBorders>
            <w:hideMark/>
          </w:tcPr>
          <w:p w14:paraId="151418A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0.21</w:t>
            </w:r>
          </w:p>
        </w:tc>
        <w:tc>
          <w:tcPr>
            <w:tcW w:w="0" w:type="auto"/>
            <w:tcBorders>
              <w:top w:val="nil"/>
              <w:bottom w:val="nil"/>
            </w:tcBorders>
            <w:hideMark/>
          </w:tcPr>
          <w:p w14:paraId="3F01606E"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0.06</w:t>
            </w:r>
          </w:p>
        </w:tc>
        <w:tc>
          <w:tcPr>
            <w:tcW w:w="0" w:type="auto"/>
            <w:tcBorders>
              <w:top w:val="nil"/>
              <w:bottom w:val="nil"/>
            </w:tcBorders>
            <w:hideMark/>
          </w:tcPr>
          <w:p w14:paraId="32DD3F8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2.98</w:t>
            </w:r>
          </w:p>
        </w:tc>
        <w:tc>
          <w:tcPr>
            <w:tcW w:w="0" w:type="auto"/>
            <w:tcBorders>
              <w:top w:val="nil"/>
              <w:bottom w:val="nil"/>
            </w:tcBorders>
            <w:hideMark/>
          </w:tcPr>
          <w:p w14:paraId="6CDB7A5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0.006**</w:t>
            </w:r>
          </w:p>
        </w:tc>
      </w:tr>
      <w:tr w:rsidR="00C46574" w:rsidRPr="001763E0" w14:paraId="3F6686F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73F2B0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w:t>
            </w:r>
          </w:p>
        </w:tc>
        <w:tc>
          <w:tcPr>
            <w:tcW w:w="0" w:type="auto"/>
            <w:tcBorders>
              <w:top w:val="nil"/>
            </w:tcBorders>
            <w:hideMark/>
          </w:tcPr>
          <w:p w14:paraId="5D62F3E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0.17</w:t>
            </w:r>
          </w:p>
        </w:tc>
        <w:tc>
          <w:tcPr>
            <w:tcW w:w="0" w:type="auto"/>
            <w:tcBorders>
              <w:top w:val="nil"/>
            </w:tcBorders>
            <w:hideMark/>
          </w:tcPr>
          <w:p w14:paraId="3833B385"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0.05</w:t>
            </w:r>
          </w:p>
        </w:tc>
        <w:tc>
          <w:tcPr>
            <w:tcW w:w="0" w:type="auto"/>
            <w:tcBorders>
              <w:top w:val="nil"/>
            </w:tcBorders>
            <w:hideMark/>
          </w:tcPr>
          <w:p w14:paraId="327ABD8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2.41</w:t>
            </w:r>
          </w:p>
        </w:tc>
        <w:tc>
          <w:tcPr>
            <w:tcW w:w="0" w:type="auto"/>
            <w:tcBorders>
              <w:top w:val="nil"/>
            </w:tcBorders>
            <w:hideMark/>
          </w:tcPr>
          <w:p w14:paraId="29C6819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0.021*</w:t>
            </w:r>
          </w:p>
        </w:tc>
      </w:tr>
    </w:tbl>
    <w:p w14:paraId="5B54E7BB" w14:textId="77777777"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R=0.918, R</w:t>
      </w:r>
      <w:r w:rsidRPr="001763E0">
        <w:rPr>
          <w:rFonts w:ascii="Times New Roman" w:hAnsi="Times New Roman" w:cs="Times New Roman"/>
          <w:color w:val="000000" w:themeColor="text1"/>
          <w:vertAlign w:val="superscript"/>
        </w:rPr>
        <w:t xml:space="preserve">2 </w:t>
      </w:r>
      <w:r w:rsidRPr="001763E0">
        <w:rPr>
          <w:rFonts w:ascii="Times New Roman" w:hAnsi="Times New Roman" w:cs="Times New Roman"/>
          <w:color w:val="000000" w:themeColor="text1"/>
        </w:rPr>
        <w:t>=0.843, Adjustable R</w:t>
      </w:r>
      <w:r w:rsidRPr="001763E0">
        <w:rPr>
          <w:rFonts w:ascii="Times New Roman" w:hAnsi="Times New Roman" w:cs="Times New Roman"/>
          <w:color w:val="000000" w:themeColor="text1"/>
          <w:vertAlign w:val="superscript"/>
        </w:rPr>
        <w:t xml:space="preserve">2 </w:t>
      </w:r>
      <w:r w:rsidRPr="001763E0">
        <w:rPr>
          <w:rFonts w:ascii="Times New Roman" w:hAnsi="Times New Roman" w:cs="Times New Roman"/>
          <w:color w:val="000000" w:themeColor="text1"/>
        </w:rPr>
        <w:t>= 0.826, F-value =52.76, P-value = 0.000.</w:t>
      </w:r>
    </w:p>
    <w:p w14:paraId="6A2DBA52" w14:textId="25B1C053"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The pathway analysis (Table 9) confirms both </w:t>
      </w:r>
      <w:r w:rsidRPr="001763E0">
        <w:rPr>
          <w:rStyle w:val="Strong"/>
          <w:rFonts w:ascii="Times New Roman" w:hAnsi="Times New Roman" w:cs="Times New Roman"/>
          <w:b w:val="0"/>
          <w:bCs w:val="0"/>
          <w:color w:val="000000" w:themeColor="text1"/>
        </w:rPr>
        <w:t>direct and indirect transmission routes</w:t>
      </w:r>
      <w:r w:rsidRPr="001763E0">
        <w:rPr>
          <w:rFonts w:ascii="Times New Roman" w:hAnsi="Times New Roman" w:cs="Times New Roman"/>
          <w:color w:val="000000" w:themeColor="text1"/>
        </w:rPr>
        <w:t xml:space="preserve">. Wastewater significantly influences soil contamination (β = 0.62), which in turn affects vegetable contamination (β = 0.47). Additionally, wastewater directly contaminates vegetables (β = 0.51) and contributes to parasite transmission. This demonstrates a </w:t>
      </w:r>
      <w:r w:rsidRPr="001763E0">
        <w:rPr>
          <w:rStyle w:val="Strong"/>
          <w:rFonts w:ascii="Times New Roman" w:hAnsi="Times New Roman" w:cs="Times New Roman"/>
          <w:b w:val="0"/>
          <w:bCs w:val="0"/>
          <w:color w:val="000000" w:themeColor="text1"/>
        </w:rPr>
        <w:t>multi-pathway causal system</w:t>
      </w:r>
      <w:r w:rsidRPr="001763E0">
        <w:rPr>
          <w:rFonts w:ascii="Times New Roman" w:hAnsi="Times New Roman" w:cs="Times New Roman"/>
          <w:b/>
          <w:bCs/>
          <w:color w:val="000000" w:themeColor="text1"/>
        </w:rPr>
        <w:t>,</w:t>
      </w:r>
      <w:r w:rsidRPr="001763E0">
        <w:rPr>
          <w:rFonts w:ascii="Times New Roman" w:hAnsi="Times New Roman" w:cs="Times New Roman"/>
          <w:color w:val="000000" w:themeColor="text1"/>
        </w:rPr>
        <w:t xml:space="preserve"> where wastewater acts as the primary contamination driver.</w:t>
      </w:r>
    </w:p>
    <w:p w14:paraId="487FB206" w14:textId="02935B99"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9: Regression Pathway Analysis (Causal Linkage Model)</w:t>
      </w:r>
    </w:p>
    <w:tbl>
      <w:tblPr>
        <w:tblStyle w:val="PlainTable2"/>
        <w:tblW w:w="0" w:type="auto"/>
        <w:tblLook w:val="04A0" w:firstRow="1" w:lastRow="0" w:firstColumn="1" w:lastColumn="0" w:noHBand="0" w:noVBand="1"/>
      </w:tblPr>
      <w:tblGrid>
        <w:gridCol w:w="4410"/>
        <w:gridCol w:w="2430"/>
        <w:gridCol w:w="1080"/>
      </w:tblGrid>
      <w:tr w:rsidR="00C46574" w:rsidRPr="001763E0" w14:paraId="0108877D"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hideMark/>
          </w:tcPr>
          <w:p w14:paraId="65DD5ED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Pathway</w:t>
            </w:r>
          </w:p>
        </w:tc>
        <w:tc>
          <w:tcPr>
            <w:tcW w:w="2430" w:type="dxa"/>
            <w:hideMark/>
          </w:tcPr>
          <w:p w14:paraId="788CC6C1"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β Coefficient</w:t>
            </w:r>
          </w:p>
        </w:tc>
        <w:tc>
          <w:tcPr>
            <w:tcW w:w="1080" w:type="dxa"/>
            <w:hideMark/>
          </w:tcPr>
          <w:p w14:paraId="4BB1DA17"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r>
      <w:tr w:rsidR="00C46574" w:rsidRPr="001763E0" w14:paraId="29E99190"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bottom w:val="nil"/>
            </w:tcBorders>
            <w:hideMark/>
          </w:tcPr>
          <w:p w14:paraId="3F4285C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 Soil</w:t>
            </w:r>
          </w:p>
        </w:tc>
        <w:tc>
          <w:tcPr>
            <w:tcW w:w="2430" w:type="dxa"/>
            <w:tcBorders>
              <w:bottom w:val="nil"/>
            </w:tcBorders>
            <w:hideMark/>
          </w:tcPr>
          <w:p w14:paraId="7613D69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0.62</w:t>
            </w:r>
          </w:p>
        </w:tc>
        <w:tc>
          <w:tcPr>
            <w:tcW w:w="1080" w:type="dxa"/>
            <w:tcBorders>
              <w:bottom w:val="nil"/>
            </w:tcBorders>
            <w:hideMark/>
          </w:tcPr>
          <w:p w14:paraId="721BA72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r w:rsidR="00C46574" w:rsidRPr="001763E0" w14:paraId="4848D08F" w14:textId="77777777" w:rsidTr="009B4F4D">
        <w:tc>
          <w:tcPr>
            <w:cnfStyle w:val="001000000000" w:firstRow="0" w:lastRow="0" w:firstColumn="1" w:lastColumn="0" w:oddVBand="0" w:evenVBand="0" w:oddHBand="0" w:evenHBand="0" w:firstRowFirstColumn="0" w:firstRowLastColumn="0" w:lastRowFirstColumn="0" w:lastRowLastColumn="0"/>
            <w:tcW w:w="4410" w:type="dxa"/>
            <w:tcBorders>
              <w:top w:val="nil"/>
              <w:bottom w:val="nil"/>
            </w:tcBorders>
            <w:hideMark/>
          </w:tcPr>
          <w:p w14:paraId="008212E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 Vegetables</w:t>
            </w:r>
          </w:p>
        </w:tc>
        <w:tc>
          <w:tcPr>
            <w:tcW w:w="2430" w:type="dxa"/>
            <w:tcBorders>
              <w:top w:val="nil"/>
              <w:bottom w:val="nil"/>
            </w:tcBorders>
            <w:hideMark/>
          </w:tcPr>
          <w:p w14:paraId="191C4711"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0.47</w:t>
            </w:r>
          </w:p>
        </w:tc>
        <w:tc>
          <w:tcPr>
            <w:tcW w:w="1080" w:type="dxa"/>
            <w:tcBorders>
              <w:top w:val="nil"/>
              <w:bottom w:val="nil"/>
            </w:tcBorders>
            <w:hideMark/>
          </w:tcPr>
          <w:p w14:paraId="6CDF298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0.003**</w:t>
            </w:r>
          </w:p>
        </w:tc>
      </w:tr>
      <w:tr w:rsidR="00C46574" w:rsidRPr="001763E0" w14:paraId="57D86E4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il"/>
              <w:bottom w:val="nil"/>
            </w:tcBorders>
            <w:hideMark/>
          </w:tcPr>
          <w:p w14:paraId="2C75DC23"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 Vegetables (Direct)</w:t>
            </w:r>
          </w:p>
        </w:tc>
        <w:tc>
          <w:tcPr>
            <w:tcW w:w="2430" w:type="dxa"/>
            <w:tcBorders>
              <w:top w:val="nil"/>
              <w:bottom w:val="nil"/>
            </w:tcBorders>
            <w:hideMark/>
          </w:tcPr>
          <w:p w14:paraId="408AEA8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0.51</w:t>
            </w:r>
          </w:p>
        </w:tc>
        <w:tc>
          <w:tcPr>
            <w:tcW w:w="1080" w:type="dxa"/>
            <w:tcBorders>
              <w:top w:val="nil"/>
              <w:bottom w:val="nil"/>
            </w:tcBorders>
            <w:hideMark/>
          </w:tcPr>
          <w:p w14:paraId="2C551A23"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r w:rsidR="00C46574" w:rsidRPr="001763E0" w14:paraId="1DBF6498" w14:textId="77777777" w:rsidTr="009B4F4D">
        <w:tc>
          <w:tcPr>
            <w:cnfStyle w:val="001000000000" w:firstRow="0" w:lastRow="0" w:firstColumn="1" w:lastColumn="0" w:oddVBand="0" w:evenVBand="0" w:oddHBand="0" w:evenHBand="0" w:firstRowFirstColumn="0" w:firstRowLastColumn="0" w:lastRowFirstColumn="0" w:lastRowLastColumn="0"/>
            <w:tcW w:w="4410" w:type="dxa"/>
            <w:tcBorders>
              <w:top w:val="nil"/>
              <w:bottom w:val="nil"/>
            </w:tcBorders>
            <w:hideMark/>
          </w:tcPr>
          <w:p w14:paraId="250C8C0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 Parasites</w:t>
            </w:r>
          </w:p>
        </w:tc>
        <w:tc>
          <w:tcPr>
            <w:tcW w:w="2430" w:type="dxa"/>
            <w:tcBorders>
              <w:top w:val="nil"/>
              <w:bottom w:val="nil"/>
            </w:tcBorders>
            <w:hideMark/>
          </w:tcPr>
          <w:p w14:paraId="6D643B9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0.56</w:t>
            </w:r>
          </w:p>
        </w:tc>
        <w:tc>
          <w:tcPr>
            <w:tcW w:w="1080" w:type="dxa"/>
            <w:tcBorders>
              <w:top w:val="nil"/>
              <w:bottom w:val="nil"/>
            </w:tcBorders>
            <w:hideMark/>
          </w:tcPr>
          <w:p w14:paraId="394EC3EE"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0.002**</w:t>
            </w:r>
          </w:p>
        </w:tc>
      </w:tr>
      <w:tr w:rsidR="00C46574" w:rsidRPr="001763E0" w14:paraId="65522551"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il"/>
            </w:tcBorders>
            <w:hideMark/>
          </w:tcPr>
          <w:p w14:paraId="5282DA9B"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Parasites → Vegetables</w:t>
            </w:r>
          </w:p>
        </w:tc>
        <w:tc>
          <w:tcPr>
            <w:tcW w:w="2430" w:type="dxa"/>
            <w:tcBorders>
              <w:top w:val="nil"/>
            </w:tcBorders>
            <w:hideMark/>
          </w:tcPr>
          <w:p w14:paraId="01095FC7"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0.49</w:t>
            </w:r>
          </w:p>
        </w:tc>
        <w:tc>
          <w:tcPr>
            <w:tcW w:w="1080" w:type="dxa"/>
            <w:tcBorders>
              <w:top w:val="nil"/>
            </w:tcBorders>
            <w:hideMark/>
          </w:tcPr>
          <w:p w14:paraId="5FAC053F"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bl>
    <w:p w14:paraId="278BF9A2" w14:textId="77777777" w:rsidR="00977038" w:rsidRPr="001763E0" w:rsidRDefault="00C46574" w:rsidP="00825B7A">
      <w:pPr>
        <w:spacing w:after="120"/>
        <w:jc w:val="both"/>
        <w:rPr>
          <w:rStyle w:val="Strong"/>
          <w:rFonts w:ascii="Times New Roman" w:hAnsi="Times New Roman" w:cs="Times New Roman"/>
          <w:b w:val="0"/>
          <w:bCs w:val="0"/>
          <w:color w:val="000000" w:themeColor="text1"/>
        </w:rPr>
      </w:pPr>
      <w:r w:rsidRPr="001763E0">
        <w:rPr>
          <w:rFonts w:ascii="Times New Roman" w:hAnsi="Times New Roman" w:cs="Times New Roman"/>
          <w:color w:val="000000" w:themeColor="text1"/>
        </w:rPr>
        <w:t xml:space="preserve">Values marked with ** indicate statistical significance at </w:t>
      </w:r>
      <w:r w:rsidRPr="001763E0">
        <w:rPr>
          <w:rStyle w:val="Strong"/>
          <w:rFonts w:ascii="Times New Roman" w:hAnsi="Times New Roman" w:cs="Times New Roman"/>
          <w:b w:val="0"/>
          <w:bCs w:val="0"/>
          <w:color w:val="000000" w:themeColor="text1"/>
        </w:rPr>
        <w:t>p &lt; 0.01</w:t>
      </w:r>
    </w:p>
    <w:p w14:paraId="642C182A" w14:textId="19B09D37" w:rsidR="00977038" w:rsidRPr="001763E0" w:rsidRDefault="00977038" w:rsidP="00825B7A">
      <w:pPr>
        <w:spacing w:after="120"/>
        <w:jc w:val="both"/>
        <w:rPr>
          <w:rFonts w:ascii="Times New Roman" w:hAnsi="Times New Roman" w:cs="Times New Roman"/>
          <w:color w:val="000000" w:themeColor="text1"/>
        </w:rPr>
      </w:pPr>
      <w:r w:rsidRPr="001763E0">
        <w:rPr>
          <w:rFonts w:ascii="Times New Roman" w:eastAsia="Times New Roman" w:hAnsi="Times New Roman" w:cs="Times New Roman"/>
          <w:b/>
          <w:bCs/>
          <w:color w:val="000000" w:themeColor="text1"/>
          <w:kern w:val="0"/>
          <w14:ligatures w14:val="none"/>
        </w:rPr>
        <w:t>Discussion</w:t>
      </w:r>
    </w:p>
    <w:p w14:paraId="0AA7EFE8"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lastRenderedPageBreak/>
        <w:t xml:space="preserve">The results of this study clearly demonstrate that wastewater is a major source of microbial contamination in agricultural systems, with a progressive transfer of pathogens from wastewater to soil and vegetables. The significantly higher microbial loads observed in wastewater, with total coliform counts of (3.45 ± 0.12) × 10⁵ CFU/mL and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counts of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1.92 ± 0.08) × 10⁵ CFU/mL, compared to lower values in soil and vegetables, confirm wastewater as the primary contamination reservoir. However, the persistence of relatively high microbial loads in vegetables, such as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4.85 ± 0.13) × 10⁴ CFU/g, indicates that contamination is effectively transferred through irrigation practices. This contamination gradient is consistent with recent studies reporting that wastewater irrigation leads to significant microbial accumulation in crops, even after dilution through soil interactions (Abegunde et al., 2023; Rahman et al., 2024). Similar findings have been reported in urban agricultural systems where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levels in vegetables were directly linked to irrigation water quality (Ofori et al., 2024).</w:t>
      </w:r>
    </w:p>
    <w:p w14:paraId="67AB594A" w14:textId="6906349B"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The high prevalence of microbial pathogens across all sample types further supports the role of wastewater in food contamination</w:t>
      </w:r>
      <w:r w:rsidR="00AF36C2" w:rsidRPr="00AF36C2">
        <w:rPr>
          <w:rFonts w:ascii="Times New Roman" w:hAnsi="Times New Roman" w:cs="Times New Roman"/>
          <w:lang w:val="en-GB"/>
        </w:rPr>
        <w:t xml:space="preserve"> </w:t>
      </w:r>
      <w:r w:rsidR="00AF36C2">
        <w:rPr>
          <w:rFonts w:ascii="Times New Roman" w:hAnsi="Times New Roman" w:cs="Times New Roman"/>
          <w:lang w:val="en-GB"/>
        </w:rPr>
        <w:t>(</w:t>
      </w:r>
      <w:r w:rsidR="00AF36C2" w:rsidRPr="00AF36C2">
        <w:rPr>
          <w:rFonts w:ascii="Times New Roman" w:hAnsi="Times New Roman" w:cs="Times New Roman"/>
          <w:lang w:val="en-GB"/>
        </w:rPr>
        <w:t>Barril</w:t>
      </w:r>
      <w:r w:rsidR="00AF36C2">
        <w:rPr>
          <w:rFonts w:ascii="Times New Roman" w:hAnsi="Times New Roman" w:cs="Times New Roman"/>
          <w:lang w:val="en-GB"/>
        </w:rPr>
        <w:t xml:space="preserve"> et al., 2022)</w:t>
      </w:r>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was detected in 93.3% of wastewater samples and 83.3% of vegetable samples, while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occurred in 70.0% and 63.3%, respectively. These findings are in agreement with recent studies indicating that wastewater-irrigated vegetables are frequently contaminated with enteric pathogens capable of causing foodborne illnesses (Mensah et al., 2022; Adewumi et al., 2023). The significant chi-square associations observed for microbial contamination, particularly for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(χ² = 12.84, p = 0.002), confirm that contamination levels are strongly influenced by the source of irrigation water. This aligns with previous research demonstrating that poor wastewater management significantly increases the microbial burden in agricultural produce (Kumar et al., 2022).</w:t>
      </w:r>
    </w:p>
    <w:p w14:paraId="338D6D0F"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Parasitic contamination observed in this study highlights an additional dimension of wastewater-associated risks. The high prevalence of </w:t>
      </w:r>
      <w:r w:rsidRPr="001763E0">
        <w:rPr>
          <w:rFonts w:ascii="Times New Roman" w:eastAsia="Times New Roman" w:hAnsi="Times New Roman" w:cs="Times New Roman"/>
          <w:i/>
          <w:iCs/>
          <w:color w:val="000000" w:themeColor="text1"/>
          <w:kern w:val="0"/>
          <w14:ligatures w14:val="none"/>
        </w:rPr>
        <w:t>Ascaris lumbricoides</w:t>
      </w:r>
      <w:r w:rsidRPr="001763E0">
        <w:rPr>
          <w:rFonts w:ascii="Times New Roman" w:eastAsia="Times New Roman" w:hAnsi="Times New Roman" w:cs="Times New Roman"/>
          <w:color w:val="000000" w:themeColor="text1"/>
          <w:kern w:val="0"/>
          <w14:ligatures w14:val="none"/>
        </w:rPr>
        <w:t xml:space="preserve"> (66.7% in wastewater and 60.0% in vegetables) and </w:t>
      </w:r>
      <w:r w:rsidRPr="001763E0">
        <w:rPr>
          <w:rFonts w:ascii="Times New Roman" w:eastAsia="Times New Roman" w:hAnsi="Times New Roman" w:cs="Times New Roman"/>
          <w:i/>
          <w:iCs/>
          <w:color w:val="000000" w:themeColor="text1"/>
          <w:kern w:val="0"/>
          <w14:ligatures w14:val="none"/>
        </w:rPr>
        <w:t>Giardia lamblia</w:t>
      </w:r>
      <w:r w:rsidRPr="001763E0">
        <w:rPr>
          <w:rFonts w:ascii="Times New Roman" w:eastAsia="Times New Roman" w:hAnsi="Times New Roman" w:cs="Times New Roman"/>
          <w:color w:val="000000" w:themeColor="text1"/>
          <w:kern w:val="0"/>
          <w14:ligatures w14:val="none"/>
        </w:rPr>
        <w:t xml:space="preserve"> (56.7% and 46.7%) indicates that wastewater serves as an important reservoir for helminths and protozoa. These findings are consistent with recent studies showing that helminth eggs and protozoan cysts are commonly detected in wastewater-irrigated environments and can persist in soil for extended periods (Yakubu et al., 2023; Ibrahim et al., 2022). The significant chi-square associations for parasitic contamination, particularly for </w:t>
      </w:r>
      <w:r w:rsidRPr="001763E0">
        <w:rPr>
          <w:rFonts w:ascii="Times New Roman" w:eastAsia="Times New Roman" w:hAnsi="Times New Roman" w:cs="Times New Roman"/>
          <w:i/>
          <w:iCs/>
          <w:color w:val="000000" w:themeColor="text1"/>
          <w:kern w:val="0"/>
          <w14:ligatures w14:val="none"/>
        </w:rPr>
        <w:t>Ascaris</w:t>
      </w:r>
      <w:r w:rsidRPr="001763E0">
        <w:rPr>
          <w:rFonts w:ascii="Times New Roman" w:eastAsia="Times New Roman" w:hAnsi="Times New Roman" w:cs="Times New Roman"/>
          <w:color w:val="000000" w:themeColor="text1"/>
          <w:kern w:val="0"/>
          <w14:ligatures w14:val="none"/>
        </w:rPr>
        <w:t xml:space="preserve"> (χ² = 10.56, p = 0.005), further confirm the role of wastewater in facilitating parasite transmission. The ability of helminths to survive adverse environmental conditions explains their continued presence in vegetables and their importance in foodborne parasitic infections (Okeke et al., 2024).</w:t>
      </w:r>
    </w:p>
    <w:p w14:paraId="539DB7FB"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The physicochemical properties of wastewater observed in this study, including high biochemical oxygen demand (185.4 ± 12.6 mg/L) and turbidity (132.7 ± 15.3 NTU), indicate heavy organic pollution, which enhances microbial survival. Low dissolved oxygen levels (2.3 ± 0.5 mg/L) further reflect poor water quality and high microbial activity. These findings are consistent with studies demonstrating that organic-rich wastewater provides nutrients that support the growth and persistence of microorganisms in agricultural environments (Singh et al., 2023; Adewumi et al., 2023). The strong positive correlations between wastewater microbial load and vegetable contamination (r = 0.891) and parasite load (r = 0.804) confirm that environmental conditions significantly influence pathogen transmission. Similar correlations have been reported in recent studies linking physicochemical parameters to increased microbial contamination in food systems (Rahman et al., 2024).</w:t>
      </w:r>
    </w:p>
    <w:p w14:paraId="64A808B9"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The regression and pathway analyses provide robust evidence of both direct and indirect contamination pathways. The multiple regression model showed that wastewater microbial load </w:t>
      </w:r>
      <w:r w:rsidRPr="001763E0">
        <w:rPr>
          <w:rFonts w:ascii="Times New Roman" w:eastAsia="Times New Roman" w:hAnsi="Times New Roman" w:cs="Times New Roman"/>
          <w:color w:val="000000" w:themeColor="text1"/>
          <w:kern w:val="0"/>
          <w14:ligatures w14:val="none"/>
        </w:rPr>
        <w:lastRenderedPageBreak/>
        <w:t>was the strongest predictor of vegetable contamination (β = 0.58, p &lt; 0.001), with the model explaining 84.3% (R² = 0.843</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 of the variation. Soil contamination (β = 0.29) and parasite load (β = 0.34) also contributed significantly, indicating that contamination occurs through multiple interconnected pathways. The pathway analysis further demonstrated that wastewater directly influences vegetable contamination (β = 0.51) and indirectly through soil (β = 0.47), confirming a contamination continuum from wastewater to crops. These findings are consistent with recent studies emphasizing that wastewater acts as a primary driver of contamination in food systems and that soil serves as an intermediary reservoir (Ofori et al., 2024; Mensah et al., 2022).</w:t>
      </w:r>
    </w:p>
    <w:p w14:paraId="295577EE" w14:textId="44445206"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The</w:t>
      </w:r>
      <w:r w:rsidR="00B716FF">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color w:val="000000" w:themeColor="text1"/>
          <w:kern w:val="0"/>
          <w14:ligatures w14:val="none"/>
        </w:rPr>
        <w:t xml:space="preserve">results of this study provide strong evidence that wastewater is a critical driver of microbial and parasitic contamination in food systems. The combination of high contamination levels, significant statistical associations, and strong predictive models </w:t>
      </w:r>
      <w:r w:rsidR="001763E0" w:rsidRPr="001763E0">
        <w:rPr>
          <w:rFonts w:ascii="Times New Roman" w:hAnsi="Times New Roman" w:cs="Times New Roman"/>
        </w:rPr>
        <w:t xml:space="preserve">suggests a potential transmission pathway to humans </w:t>
      </w:r>
      <w:r w:rsidRPr="001763E0">
        <w:rPr>
          <w:rFonts w:ascii="Times New Roman" w:eastAsia="Times New Roman" w:hAnsi="Times New Roman" w:cs="Times New Roman"/>
          <w:color w:val="000000" w:themeColor="text1"/>
          <w:kern w:val="0"/>
          <w14:ligatures w14:val="none"/>
        </w:rPr>
        <w:t>through the food chain. These findings are in agreement with recent global research highlighting wastewater reuse in agriculture as a major public health concern (Abegunde et al., 2023; Kumar et al., 2022). The persistence of pathogens in vegetables, particularly those consumed raw, underscores the urgent need for improved wastewater treatment, safer irrigation practices, and enhanced food safety interventions to reduce the risk of foodborne diseases.</w:t>
      </w:r>
    </w:p>
    <w:p w14:paraId="772ECDFC" w14:textId="23B594AE"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 xml:space="preserve">Conclusion </w:t>
      </w:r>
    </w:p>
    <w:p w14:paraId="11014BF8" w14:textId="77777777" w:rsidR="001763E0" w:rsidRPr="001763E0" w:rsidRDefault="001763E0" w:rsidP="00825B7A">
      <w:pPr>
        <w:spacing w:after="120" w:line="240" w:lineRule="auto"/>
        <w:jc w:val="both"/>
        <w:rPr>
          <w:rFonts w:ascii="Times New Roman" w:hAnsi="Times New Roman" w:cs="Times New Roman"/>
        </w:rPr>
      </w:pPr>
      <w:r w:rsidRPr="001763E0">
        <w:rPr>
          <w:rFonts w:ascii="Times New Roman" w:hAnsi="Times New Roman" w:cs="Times New Roman"/>
        </w:rPr>
        <w:t>This study shows that wastewater irrigation is a major source of microbial and parasitic contamination in food systems, with pathogens transferred from water to soil and vegetables. Significant relationships and predictive models confirm both direct and indirect contamination pathways, while poor physicochemical conditions enhance pathogen survival. The persistence of contaminants in vegetables highlights serious public health risks, emphasizing the need for improved wastewater treatment, safer irrigation practices, and effective monitoring systems.</w:t>
      </w:r>
    </w:p>
    <w:p w14:paraId="1FDBD1D7" w14:textId="25A7E2B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Recommendations</w:t>
      </w:r>
      <w:r w:rsidRPr="001763E0">
        <w:rPr>
          <w:rFonts w:ascii="Times New Roman" w:eastAsia="Times New Roman" w:hAnsi="Times New Roman" w:cs="Times New Roman"/>
          <w:color w:val="000000" w:themeColor="text1"/>
          <w:kern w:val="0"/>
          <w14:ligatures w14:val="none"/>
        </w:rPr>
        <w:t xml:space="preserve"> </w:t>
      </w:r>
    </w:p>
    <w:p w14:paraId="483C75CA" w14:textId="752BBFE4" w:rsidR="00826199"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Improved wastewater treatment, safer irrigation methods, and better hygiene practices are essential to reduce contamination. Regular monitoring and stronger enforcement of environmental and food safety regulations are also needed to protect public health.</w:t>
      </w:r>
    </w:p>
    <w:p w14:paraId="5E268FBB" w14:textId="7A6660A9" w:rsidR="00AF36C2" w:rsidRDefault="00AF36C2" w:rsidP="00AF36C2">
      <w:pPr>
        <w:pStyle w:val="NormalWeb"/>
      </w:pPr>
      <w:r>
        <w:rPr>
          <w:rStyle w:val="Strong"/>
          <w:rFonts w:eastAsiaTheme="majorEastAsia"/>
        </w:rPr>
        <w:t xml:space="preserve">limitations </w:t>
      </w:r>
    </w:p>
    <w:p w14:paraId="2A6D8664" w14:textId="44973864" w:rsidR="001A4EF9" w:rsidRPr="00AF36C2" w:rsidRDefault="00AF36C2" w:rsidP="00AF36C2">
      <w:pPr>
        <w:pStyle w:val="NormalWeb"/>
        <w:jc w:val="both"/>
      </w:pPr>
      <w:r>
        <w:t>The study is limited by its cross-sectional design, which does not allow for temporal assessment of contamination patterns. The sample size and geographic scope were restricted to selected locations in Yenagoa, which may limit generalizability to other regions. Additionally, the study relied on culture-based and microscopy methods, which may underestimate total pathogen diversity compared to molecular techniques. Environmental and seasonal variations were not fully captured, and no quantitative microbial risk assessment (QMRA) was conducted to estimate actual human health risk.</w:t>
      </w:r>
    </w:p>
    <w:p w14:paraId="094C9645" w14:textId="17881E3D" w:rsidR="001A4EF9" w:rsidRPr="00AF36C2" w:rsidRDefault="001A4EF9" w:rsidP="00AF36C2">
      <w:pPr>
        <w:spacing w:after="0" w:line="240" w:lineRule="auto"/>
        <w:jc w:val="both"/>
        <w:rPr>
          <w:rFonts w:ascii="Times New Roman" w:eastAsia="Calibri" w:hAnsi="Times New Roman" w:cs="Times New Roman"/>
          <w:b/>
          <w:bCs/>
          <w:sz w:val="22"/>
          <w:szCs w:val="22"/>
          <w14:ligatures w14:val="none"/>
        </w:rPr>
      </w:pPr>
      <w:bookmarkStart w:id="0" w:name="_Hlk198031404"/>
      <w:bookmarkStart w:id="1" w:name="_Hlk219125673"/>
      <w:r w:rsidRPr="00AF36C2">
        <w:rPr>
          <w:rFonts w:ascii="Times New Roman" w:eastAsia="Calibri" w:hAnsi="Times New Roman" w:cs="Times New Roman"/>
          <w:b/>
          <w:bCs/>
          <w:sz w:val="22"/>
          <w:szCs w:val="22"/>
          <w14:ligatures w14:val="none"/>
        </w:rPr>
        <w:t>Disclaimer</w:t>
      </w:r>
    </w:p>
    <w:p w14:paraId="5A2D8AA4" w14:textId="77777777" w:rsidR="001A4EF9" w:rsidRPr="00AF36C2" w:rsidRDefault="001A4EF9" w:rsidP="00AF36C2">
      <w:pPr>
        <w:spacing w:after="0" w:line="240" w:lineRule="auto"/>
        <w:jc w:val="both"/>
        <w:rPr>
          <w:rFonts w:ascii="Times New Roman" w:eastAsia="Calibri" w:hAnsi="Times New Roman" w:cs="Times New Roman"/>
          <w:b/>
          <w:bCs/>
          <w:sz w:val="22"/>
          <w:szCs w:val="22"/>
          <w14:ligatures w14:val="none"/>
        </w:rPr>
      </w:pPr>
    </w:p>
    <w:p w14:paraId="202C8A8D" w14:textId="1F9DEA98" w:rsidR="001A4EF9" w:rsidRPr="00AF36C2" w:rsidRDefault="001A4EF9" w:rsidP="00AF36C2">
      <w:pPr>
        <w:spacing w:after="0" w:line="240" w:lineRule="auto"/>
        <w:jc w:val="both"/>
        <w:rPr>
          <w:rFonts w:ascii="Times New Roman" w:eastAsia="Calibri" w:hAnsi="Times New Roman" w:cs="Times New Roman"/>
          <w:sz w:val="22"/>
          <w:szCs w:val="22"/>
          <w14:ligatures w14:val="none"/>
        </w:rPr>
      </w:pPr>
      <w:r w:rsidRPr="00AF36C2">
        <w:rPr>
          <w:rFonts w:ascii="Times New Roman" w:eastAsia="Calibri" w:hAnsi="Times New Roman" w:cs="Times New Roman"/>
          <w:sz w:val="22"/>
          <w:szCs w:val="22"/>
          <w14:ligatures w14:val="none"/>
        </w:rPr>
        <w:t xml:space="preserve">Author(s) hereby </w:t>
      </w:r>
      <w:r w:rsidR="00AF36C2" w:rsidRPr="00AF36C2">
        <w:rPr>
          <w:rFonts w:ascii="Times New Roman" w:eastAsia="Calibri" w:hAnsi="Times New Roman" w:cs="Times New Roman"/>
          <w:sz w:val="22"/>
          <w:szCs w:val="22"/>
          <w14:ligatures w14:val="none"/>
        </w:rPr>
        <w:t>declares</w:t>
      </w:r>
      <w:r w:rsidRPr="00AF36C2">
        <w:rPr>
          <w:rFonts w:ascii="Times New Roman" w:eastAsia="Calibri" w:hAnsi="Times New Roman" w:cs="Times New Roman"/>
          <w:sz w:val="22"/>
          <w:szCs w:val="22"/>
          <w14:ligatures w14:val="none"/>
        </w:rPr>
        <w:t xml:space="preserve"> that NO generative AI technologies such as Large Language Models (ChatGPT, COPILOT, etc.) and text-to-image generators have been used during the writing or editing of this manuscript. </w:t>
      </w:r>
    </w:p>
    <w:bookmarkEnd w:id="0"/>
    <w:p w14:paraId="67CBF5F2" w14:textId="77777777" w:rsidR="001A4EF9" w:rsidRPr="001A4EF9" w:rsidRDefault="001A4EF9" w:rsidP="00AF36C2">
      <w:pPr>
        <w:spacing w:after="200" w:line="276" w:lineRule="auto"/>
        <w:jc w:val="both"/>
        <w:rPr>
          <w:rFonts w:ascii="Calibri" w:eastAsia="Calibri" w:hAnsi="Calibri" w:cs="Times New Roman"/>
          <w:kern w:val="0"/>
          <w:sz w:val="28"/>
          <w:szCs w:val="22"/>
          <w14:ligatures w14:val="none"/>
        </w:rPr>
      </w:pPr>
    </w:p>
    <w:bookmarkEnd w:id="1"/>
    <w:p w14:paraId="37A1A82E" w14:textId="77777777" w:rsidR="001A4EF9" w:rsidRPr="001763E0" w:rsidRDefault="001A4EF9" w:rsidP="00825B7A">
      <w:pPr>
        <w:spacing w:after="120" w:line="240" w:lineRule="auto"/>
        <w:jc w:val="both"/>
        <w:rPr>
          <w:rFonts w:ascii="Times New Roman" w:eastAsia="Times New Roman" w:hAnsi="Times New Roman" w:cs="Times New Roman"/>
          <w:color w:val="000000" w:themeColor="text1"/>
          <w:kern w:val="0"/>
          <w14:ligatures w14:val="none"/>
        </w:rPr>
      </w:pPr>
    </w:p>
    <w:p w14:paraId="17CEDA2B" w14:textId="527F94FB"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 xml:space="preserve">References </w:t>
      </w:r>
    </w:p>
    <w:p w14:paraId="57B39CB5" w14:textId="37DCCF09"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Abegunde, O. A., Adebayo, O. S., &amp; Oladipo, I. C. (2023). Wastewater irrigation and its impact on microbial contamination of vegetables in urban agriculture. </w:t>
      </w:r>
      <w:r w:rsidRPr="001763E0">
        <w:rPr>
          <w:rFonts w:ascii="Times New Roman" w:eastAsia="Times New Roman" w:hAnsi="Times New Roman" w:cs="Times New Roman"/>
          <w:i/>
          <w:iCs/>
          <w:color w:val="000000" w:themeColor="text1"/>
          <w:kern w:val="0"/>
          <w14:ligatures w14:val="none"/>
        </w:rPr>
        <w:t>Journal of Environmental Health Science and Engineering</w:t>
      </w:r>
      <w:r w:rsidRPr="001763E0">
        <w:rPr>
          <w:rFonts w:ascii="Times New Roman" w:eastAsia="Times New Roman" w:hAnsi="Times New Roman" w:cs="Times New Roman"/>
          <w:color w:val="000000" w:themeColor="text1"/>
          <w:kern w:val="0"/>
          <w14:ligatures w14:val="none"/>
        </w:rPr>
        <w:t xml:space="preserve">, 21(2), 345–356. </w:t>
      </w:r>
    </w:p>
    <w:p w14:paraId="4617B89E"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Adewumi, J. R., </w:t>
      </w:r>
      <w:proofErr w:type="spellStart"/>
      <w:r w:rsidRPr="001763E0">
        <w:rPr>
          <w:rFonts w:ascii="Times New Roman" w:eastAsia="Times New Roman" w:hAnsi="Times New Roman" w:cs="Times New Roman"/>
          <w:color w:val="000000" w:themeColor="text1"/>
          <w:kern w:val="0"/>
          <w14:ligatures w14:val="none"/>
        </w:rPr>
        <w:t>Ilemobade</w:t>
      </w:r>
      <w:proofErr w:type="spellEnd"/>
      <w:r w:rsidRPr="001763E0">
        <w:rPr>
          <w:rFonts w:ascii="Times New Roman" w:eastAsia="Times New Roman" w:hAnsi="Times New Roman" w:cs="Times New Roman"/>
          <w:color w:val="000000" w:themeColor="text1"/>
          <w:kern w:val="0"/>
          <w14:ligatures w14:val="none"/>
        </w:rPr>
        <w:t xml:space="preserve">, A. A., &amp; van Zyl, J. E. (2023). Treated wastewater reuse in agriculture: Impacts on food safety and public health. </w:t>
      </w:r>
      <w:r w:rsidRPr="001763E0">
        <w:rPr>
          <w:rFonts w:ascii="Times New Roman" w:eastAsia="Times New Roman" w:hAnsi="Times New Roman" w:cs="Times New Roman"/>
          <w:i/>
          <w:iCs/>
          <w:color w:val="000000" w:themeColor="text1"/>
          <w:kern w:val="0"/>
          <w14:ligatures w14:val="none"/>
        </w:rPr>
        <w:t>Water SA</w:t>
      </w:r>
      <w:r w:rsidRPr="001763E0">
        <w:rPr>
          <w:rFonts w:ascii="Times New Roman" w:eastAsia="Times New Roman" w:hAnsi="Times New Roman" w:cs="Times New Roman"/>
          <w:color w:val="000000" w:themeColor="text1"/>
          <w:kern w:val="0"/>
          <w14:ligatures w14:val="none"/>
        </w:rPr>
        <w:t>, 49(1), 15–25.</w:t>
      </w:r>
    </w:p>
    <w:p w14:paraId="373594D3"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Amoah, P., Drechsel, P., </w:t>
      </w:r>
      <w:proofErr w:type="spellStart"/>
      <w:r w:rsidRPr="001763E0">
        <w:rPr>
          <w:rFonts w:ascii="Times New Roman" w:eastAsia="Times New Roman" w:hAnsi="Times New Roman" w:cs="Times New Roman"/>
          <w:color w:val="000000" w:themeColor="text1"/>
          <w:kern w:val="0"/>
          <w14:ligatures w14:val="none"/>
        </w:rPr>
        <w:t>Abaidoo</w:t>
      </w:r>
      <w:proofErr w:type="spellEnd"/>
      <w:r w:rsidRPr="001763E0">
        <w:rPr>
          <w:rFonts w:ascii="Times New Roman" w:eastAsia="Times New Roman" w:hAnsi="Times New Roman" w:cs="Times New Roman"/>
          <w:color w:val="000000" w:themeColor="text1"/>
          <w:kern w:val="0"/>
          <w14:ligatures w14:val="none"/>
        </w:rPr>
        <w:t xml:space="preserve">, R. C., &amp; </w:t>
      </w:r>
      <w:proofErr w:type="spellStart"/>
      <w:r w:rsidRPr="001763E0">
        <w:rPr>
          <w:rFonts w:ascii="Times New Roman" w:eastAsia="Times New Roman" w:hAnsi="Times New Roman" w:cs="Times New Roman"/>
          <w:color w:val="000000" w:themeColor="text1"/>
          <w:kern w:val="0"/>
          <w14:ligatures w14:val="none"/>
        </w:rPr>
        <w:t>Ntow</w:t>
      </w:r>
      <w:proofErr w:type="spellEnd"/>
      <w:r w:rsidRPr="001763E0">
        <w:rPr>
          <w:rFonts w:ascii="Times New Roman" w:eastAsia="Times New Roman" w:hAnsi="Times New Roman" w:cs="Times New Roman"/>
          <w:color w:val="000000" w:themeColor="text1"/>
          <w:kern w:val="0"/>
          <w14:ligatures w14:val="none"/>
        </w:rPr>
        <w:t xml:space="preserve">, W. J. (2013). Pesticide and pathogen contamination of vegetables in urban markets. </w:t>
      </w:r>
      <w:r w:rsidRPr="001763E0">
        <w:rPr>
          <w:rFonts w:ascii="Times New Roman" w:eastAsia="Times New Roman" w:hAnsi="Times New Roman" w:cs="Times New Roman"/>
          <w:i/>
          <w:iCs/>
          <w:color w:val="000000" w:themeColor="text1"/>
          <w:kern w:val="0"/>
          <w14:ligatures w14:val="none"/>
        </w:rPr>
        <w:t>Archives of Environmental Contamination and Toxicology</w:t>
      </w:r>
      <w:r w:rsidRPr="001763E0">
        <w:rPr>
          <w:rFonts w:ascii="Times New Roman" w:eastAsia="Times New Roman" w:hAnsi="Times New Roman" w:cs="Times New Roman"/>
          <w:color w:val="000000" w:themeColor="text1"/>
          <w:kern w:val="0"/>
          <w14:ligatures w14:val="none"/>
        </w:rPr>
        <w:t>, 64(1), 1–10.</w:t>
      </w:r>
    </w:p>
    <w:p w14:paraId="1D9B2F62" w14:textId="77777777" w:rsidR="00826199" w:rsidRDefault="00826199" w:rsidP="00825B7A">
      <w:pPr>
        <w:pStyle w:val="NormalWeb"/>
        <w:spacing w:before="0" w:beforeAutospacing="0" w:after="120" w:afterAutospacing="0"/>
        <w:jc w:val="both"/>
        <w:rPr>
          <w:color w:val="000000" w:themeColor="text1"/>
        </w:rPr>
      </w:pPr>
      <w:r w:rsidRPr="001763E0">
        <w:rPr>
          <w:color w:val="000000" w:themeColor="text1"/>
        </w:rPr>
        <w:t xml:space="preserve">APHA. (2017). </w:t>
      </w:r>
      <w:r w:rsidRPr="001763E0">
        <w:rPr>
          <w:rStyle w:val="Emphasis"/>
          <w:color w:val="000000" w:themeColor="text1"/>
        </w:rPr>
        <w:t>Standard methods for the examination of water and wastewater</w:t>
      </w:r>
      <w:r w:rsidRPr="001763E0">
        <w:rPr>
          <w:color w:val="000000" w:themeColor="text1"/>
        </w:rPr>
        <w:t xml:space="preserve"> (23rd ed.). American Public Health Association.</w:t>
      </w:r>
    </w:p>
    <w:p w14:paraId="437BE177" w14:textId="18CBB9BA" w:rsidR="00AF36C2" w:rsidRPr="00AF36C2" w:rsidRDefault="00AF36C2" w:rsidP="00AF36C2">
      <w:pPr>
        <w:jc w:val="both"/>
        <w:rPr>
          <w:rFonts w:ascii="Times New Roman" w:hAnsi="Times New Roman" w:cs="Times New Roman"/>
          <w:lang w:val="en-GB"/>
        </w:rPr>
      </w:pPr>
      <w:r w:rsidRPr="00AF36C2">
        <w:rPr>
          <w:rFonts w:ascii="Times New Roman" w:hAnsi="Times New Roman" w:cs="Times New Roman"/>
          <w:lang w:val="en-GB"/>
        </w:rPr>
        <w:t xml:space="preserve">Barril, P. A., Oteiza, J. M., Pardo, J., Leotta, G. A., &amp; Signorini, M. L. (2022). Meta-analysis of the prevalence of the main human pathogens in vegetables, with emphasis on lettuce. </w:t>
      </w:r>
      <w:r w:rsidRPr="00AF36C2">
        <w:rPr>
          <w:rFonts w:ascii="Times New Roman" w:hAnsi="Times New Roman" w:cs="Times New Roman"/>
          <w:i/>
          <w:iCs/>
          <w:lang w:val="en-GB"/>
        </w:rPr>
        <w:t>Food Research International</w:t>
      </w:r>
      <w:r w:rsidRPr="00AF36C2">
        <w:rPr>
          <w:rFonts w:ascii="Times New Roman" w:hAnsi="Times New Roman" w:cs="Times New Roman"/>
          <w:lang w:val="en-GB"/>
        </w:rPr>
        <w:t>, 160, 111727.</w:t>
      </w:r>
    </w:p>
    <w:p w14:paraId="65757613"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Beuchat, L. R. (2002). Ecological factors influencing survival and growth of pathogens on vegetables. </w:t>
      </w:r>
      <w:r w:rsidRPr="001763E0">
        <w:rPr>
          <w:rFonts w:ascii="Times New Roman" w:eastAsia="Times New Roman" w:hAnsi="Times New Roman" w:cs="Times New Roman"/>
          <w:i/>
          <w:iCs/>
          <w:color w:val="000000" w:themeColor="text1"/>
          <w:kern w:val="0"/>
          <w14:ligatures w14:val="none"/>
        </w:rPr>
        <w:t>Microbes and Infection</w:t>
      </w:r>
      <w:r w:rsidRPr="001763E0">
        <w:rPr>
          <w:rFonts w:ascii="Times New Roman" w:eastAsia="Times New Roman" w:hAnsi="Times New Roman" w:cs="Times New Roman"/>
          <w:color w:val="000000" w:themeColor="text1"/>
          <w:kern w:val="0"/>
          <w14:ligatures w14:val="none"/>
        </w:rPr>
        <w:t>, 4(4), 413–423.</w:t>
      </w:r>
    </w:p>
    <w:p w14:paraId="663FAEEF"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t xml:space="preserve">Cheesbrough, M. (2006). </w:t>
      </w:r>
      <w:r w:rsidRPr="001763E0">
        <w:rPr>
          <w:rStyle w:val="Emphasis"/>
          <w:color w:val="000000" w:themeColor="text1"/>
        </w:rPr>
        <w:t>District laboratory practice in tropical countries (Part 2)</w:t>
      </w:r>
      <w:r w:rsidRPr="001763E0">
        <w:rPr>
          <w:color w:val="000000" w:themeColor="text1"/>
        </w:rPr>
        <w:t>. Cambridge University Press.</w:t>
      </w:r>
    </w:p>
    <w:p w14:paraId="34270694"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Drechsel, P., Scott, C. A., </w:t>
      </w:r>
      <w:proofErr w:type="spellStart"/>
      <w:r w:rsidRPr="001763E0">
        <w:rPr>
          <w:rFonts w:ascii="Times New Roman" w:eastAsia="Times New Roman" w:hAnsi="Times New Roman" w:cs="Times New Roman"/>
          <w:color w:val="000000" w:themeColor="text1"/>
          <w:kern w:val="0"/>
          <w14:ligatures w14:val="none"/>
        </w:rPr>
        <w:t>Raschid</w:t>
      </w:r>
      <w:proofErr w:type="spellEnd"/>
      <w:r w:rsidRPr="001763E0">
        <w:rPr>
          <w:rFonts w:ascii="Times New Roman" w:eastAsia="Times New Roman" w:hAnsi="Times New Roman" w:cs="Times New Roman"/>
          <w:color w:val="000000" w:themeColor="text1"/>
          <w:kern w:val="0"/>
          <w14:ligatures w14:val="none"/>
        </w:rPr>
        <w:t xml:space="preserve">-Sally, L., Redwood, M., &amp; Bahri, A. (2010). </w:t>
      </w:r>
      <w:r w:rsidRPr="001763E0">
        <w:rPr>
          <w:rFonts w:ascii="Times New Roman" w:eastAsia="Times New Roman" w:hAnsi="Times New Roman" w:cs="Times New Roman"/>
          <w:i/>
          <w:iCs/>
          <w:color w:val="000000" w:themeColor="text1"/>
          <w:kern w:val="0"/>
          <w14:ligatures w14:val="none"/>
        </w:rPr>
        <w:t>Wastewater irrigation and health: Assessing and mitigating risk in low-income countries</w:t>
      </w:r>
      <w:r w:rsidRPr="001763E0">
        <w:rPr>
          <w:rFonts w:ascii="Times New Roman" w:eastAsia="Times New Roman" w:hAnsi="Times New Roman" w:cs="Times New Roman"/>
          <w:color w:val="000000" w:themeColor="text1"/>
          <w:kern w:val="0"/>
          <w14:ligatures w14:val="none"/>
        </w:rPr>
        <w:t>. Earthscan.</w:t>
      </w:r>
    </w:p>
    <w:p w14:paraId="583429FD"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FAO &amp; WHO. (2008). </w:t>
      </w:r>
      <w:r w:rsidRPr="001763E0">
        <w:rPr>
          <w:rFonts w:ascii="Times New Roman" w:eastAsia="Times New Roman" w:hAnsi="Times New Roman" w:cs="Times New Roman"/>
          <w:i/>
          <w:iCs/>
          <w:color w:val="000000" w:themeColor="text1"/>
          <w:kern w:val="0"/>
          <w14:ligatures w14:val="none"/>
        </w:rPr>
        <w:t>Microbiological hazards in fresh fruits and vegetables</w:t>
      </w:r>
      <w:r w:rsidRPr="001763E0">
        <w:rPr>
          <w:rFonts w:ascii="Times New Roman" w:eastAsia="Times New Roman" w:hAnsi="Times New Roman" w:cs="Times New Roman"/>
          <w:color w:val="000000" w:themeColor="text1"/>
          <w:kern w:val="0"/>
          <w14:ligatures w14:val="none"/>
        </w:rPr>
        <w:t>. Rome: FAO/WHO.</w:t>
      </w:r>
    </w:p>
    <w:p w14:paraId="643BC106"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FAO. (2021). </w:t>
      </w:r>
      <w:r w:rsidRPr="001763E0">
        <w:rPr>
          <w:rFonts w:ascii="Times New Roman" w:eastAsia="Times New Roman" w:hAnsi="Times New Roman" w:cs="Times New Roman"/>
          <w:i/>
          <w:iCs/>
          <w:color w:val="000000" w:themeColor="text1"/>
          <w:kern w:val="0"/>
          <w14:ligatures w14:val="none"/>
        </w:rPr>
        <w:t>The state of food and agriculture 2021</w:t>
      </w:r>
      <w:r w:rsidRPr="001763E0">
        <w:rPr>
          <w:rFonts w:ascii="Times New Roman" w:eastAsia="Times New Roman" w:hAnsi="Times New Roman" w:cs="Times New Roman"/>
          <w:color w:val="000000" w:themeColor="text1"/>
          <w:kern w:val="0"/>
          <w14:ligatures w14:val="none"/>
        </w:rPr>
        <w:t>. Rome: Food and Agriculture Organization.</w:t>
      </w:r>
    </w:p>
    <w:p w14:paraId="6368F585"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t xml:space="preserve">Garcia, L. S. (2007). </w:t>
      </w:r>
      <w:r w:rsidRPr="001763E0">
        <w:rPr>
          <w:rStyle w:val="Emphasis"/>
          <w:color w:val="000000" w:themeColor="text1"/>
        </w:rPr>
        <w:t>Diagnostic medical parasitology</w:t>
      </w:r>
      <w:r w:rsidRPr="001763E0">
        <w:rPr>
          <w:color w:val="000000" w:themeColor="text1"/>
        </w:rPr>
        <w:t xml:space="preserve"> (5th ed.). ASM Press.</w:t>
      </w:r>
    </w:p>
    <w:p w14:paraId="4C9FD033" w14:textId="7EBA38D3"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1763E0">
        <w:rPr>
          <w:rFonts w:ascii="Times New Roman" w:eastAsia="Times New Roman" w:hAnsi="Times New Roman" w:cs="Times New Roman"/>
          <w:color w:val="000000" w:themeColor="text1"/>
          <w:kern w:val="0"/>
          <w14:ligatures w14:val="none"/>
        </w:rPr>
        <w:t>Havelaar</w:t>
      </w:r>
      <w:proofErr w:type="spellEnd"/>
      <w:r w:rsidRPr="001763E0">
        <w:rPr>
          <w:rFonts w:ascii="Times New Roman" w:eastAsia="Times New Roman" w:hAnsi="Times New Roman" w:cs="Times New Roman"/>
          <w:color w:val="000000" w:themeColor="text1"/>
          <w:kern w:val="0"/>
          <w14:ligatures w14:val="none"/>
        </w:rPr>
        <w:t xml:space="preserve">, A. H., Kirk, M. D., Torgerson, P. R., Gibb, H. J., Hald, T., Lake, R. J., and </w:t>
      </w:r>
      <w:proofErr w:type="spellStart"/>
      <w:r w:rsidRPr="001763E0">
        <w:rPr>
          <w:rFonts w:ascii="Times New Roman" w:eastAsia="Times New Roman" w:hAnsi="Times New Roman" w:cs="Times New Roman"/>
          <w:color w:val="000000" w:themeColor="text1"/>
          <w:kern w:val="0"/>
          <w14:ligatures w14:val="none"/>
        </w:rPr>
        <w:t>Devleesschauwer</w:t>
      </w:r>
      <w:proofErr w:type="spellEnd"/>
      <w:r w:rsidRPr="001763E0">
        <w:rPr>
          <w:rFonts w:ascii="Times New Roman" w:eastAsia="Times New Roman" w:hAnsi="Times New Roman" w:cs="Times New Roman"/>
          <w:color w:val="000000" w:themeColor="text1"/>
          <w:kern w:val="0"/>
          <w14:ligatures w14:val="none"/>
        </w:rPr>
        <w:t xml:space="preserve">, B. (2015). Global burden of foodborne diseases. </w:t>
      </w:r>
      <w:r w:rsidRPr="001763E0">
        <w:rPr>
          <w:rFonts w:ascii="Times New Roman" w:eastAsia="Times New Roman" w:hAnsi="Times New Roman" w:cs="Times New Roman"/>
          <w:i/>
          <w:iCs/>
          <w:color w:val="000000" w:themeColor="text1"/>
          <w:kern w:val="0"/>
          <w14:ligatures w14:val="none"/>
        </w:rPr>
        <w:t>PLOS Medicine</w:t>
      </w:r>
      <w:r w:rsidRPr="001763E0">
        <w:rPr>
          <w:rFonts w:ascii="Times New Roman" w:eastAsia="Times New Roman" w:hAnsi="Times New Roman" w:cs="Times New Roman"/>
          <w:color w:val="000000" w:themeColor="text1"/>
          <w:kern w:val="0"/>
          <w14:ligatures w14:val="none"/>
        </w:rPr>
        <w:t>, 12(12), e1001923.</w:t>
      </w:r>
    </w:p>
    <w:p w14:paraId="2A03090C"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Ibrahim, A. B., Usman, M. A., &amp; Lawal, A. A. (2022). Parasitic contamination of vegetables irrigated with wastewater in Northern Nigeria. </w:t>
      </w:r>
      <w:r w:rsidRPr="001763E0">
        <w:rPr>
          <w:rFonts w:ascii="Times New Roman" w:eastAsia="Times New Roman" w:hAnsi="Times New Roman" w:cs="Times New Roman"/>
          <w:i/>
          <w:iCs/>
          <w:color w:val="000000" w:themeColor="text1"/>
          <w:kern w:val="0"/>
          <w14:ligatures w14:val="none"/>
        </w:rPr>
        <w:t>Nigerian Journal of Parasitology</w:t>
      </w:r>
      <w:r w:rsidRPr="001763E0">
        <w:rPr>
          <w:rFonts w:ascii="Times New Roman" w:eastAsia="Times New Roman" w:hAnsi="Times New Roman" w:cs="Times New Roman"/>
          <w:color w:val="000000" w:themeColor="text1"/>
          <w:kern w:val="0"/>
          <w14:ligatures w14:val="none"/>
        </w:rPr>
        <w:t>, 43(1), 55–63.</w:t>
      </w:r>
    </w:p>
    <w:p w14:paraId="0C70DC72"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t xml:space="preserve">ISO. (2017). </w:t>
      </w:r>
      <w:r w:rsidRPr="001763E0">
        <w:rPr>
          <w:rStyle w:val="Emphasis"/>
          <w:color w:val="000000" w:themeColor="text1"/>
        </w:rPr>
        <w:t>Water quality—Enumeration of microorganisms by culture methods</w:t>
      </w:r>
      <w:r w:rsidRPr="001763E0">
        <w:rPr>
          <w:color w:val="000000" w:themeColor="text1"/>
        </w:rPr>
        <w:t>. International Organization for Standardization.</w:t>
      </w:r>
    </w:p>
    <w:p w14:paraId="60C5B50A"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Keraita, B., Konradsen, F., Drechsel, P., &amp; </w:t>
      </w:r>
      <w:proofErr w:type="spellStart"/>
      <w:r w:rsidRPr="001763E0">
        <w:rPr>
          <w:rFonts w:ascii="Times New Roman" w:eastAsia="Times New Roman" w:hAnsi="Times New Roman" w:cs="Times New Roman"/>
          <w:color w:val="000000" w:themeColor="text1"/>
          <w:kern w:val="0"/>
          <w14:ligatures w14:val="none"/>
        </w:rPr>
        <w:t>Abaidoo</w:t>
      </w:r>
      <w:proofErr w:type="spellEnd"/>
      <w:r w:rsidRPr="001763E0">
        <w:rPr>
          <w:rFonts w:ascii="Times New Roman" w:eastAsia="Times New Roman" w:hAnsi="Times New Roman" w:cs="Times New Roman"/>
          <w:color w:val="000000" w:themeColor="text1"/>
          <w:kern w:val="0"/>
          <w14:ligatures w14:val="none"/>
        </w:rPr>
        <w:t xml:space="preserve">, R. C. (2008). Effect of irrigation methods on microbial contamination of lettuce. </w:t>
      </w:r>
      <w:r w:rsidRPr="001763E0">
        <w:rPr>
          <w:rFonts w:ascii="Times New Roman" w:eastAsia="Times New Roman" w:hAnsi="Times New Roman" w:cs="Times New Roman"/>
          <w:i/>
          <w:iCs/>
          <w:color w:val="000000" w:themeColor="text1"/>
          <w:kern w:val="0"/>
          <w14:ligatures w14:val="none"/>
        </w:rPr>
        <w:t>Tropical Medicine &amp; International Health</w:t>
      </w:r>
      <w:r w:rsidRPr="001763E0">
        <w:rPr>
          <w:rFonts w:ascii="Times New Roman" w:eastAsia="Times New Roman" w:hAnsi="Times New Roman" w:cs="Times New Roman"/>
          <w:color w:val="000000" w:themeColor="text1"/>
          <w:kern w:val="0"/>
          <w14:ligatures w14:val="none"/>
        </w:rPr>
        <w:t>, 13(4), 522–529.</w:t>
      </w:r>
    </w:p>
    <w:p w14:paraId="1BBF203E" w14:textId="4922F0B6"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Kumar, V., Singh, J., &amp; Kumar, P. (2022). Wastewater reuse in agriculture: Implications for food safety and human health. </w:t>
      </w:r>
      <w:r w:rsidRPr="001763E0">
        <w:rPr>
          <w:rFonts w:ascii="Times New Roman" w:eastAsia="Times New Roman" w:hAnsi="Times New Roman" w:cs="Times New Roman"/>
          <w:i/>
          <w:iCs/>
          <w:color w:val="000000" w:themeColor="text1"/>
          <w:kern w:val="0"/>
          <w14:ligatures w14:val="none"/>
        </w:rPr>
        <w:t>Environmental Science and Pollution Research</w:t>
      </w:r>
      <w:r w:rsidRPr="001763E0">
        <w:rPr>
          <w:rFonts w:ascii="Times New Roman" w:eastAsia="Times New Roman" w:hAnsi="Times New Roman" w:cs="Times New Roman"/>
          <w:color w:val="000000" w:themeColor="text1"/>
          <w:kern w:val="0"/>
          <w14:ligatures w14:val="none"/>
        </w:rPr>
        <w:t xml:space="preserve">, 29(14), 20345–20360. </w:t>
      </w:r>
    </w:p>
    <w:p w14:paraId="7DE08475" w14:textId="5C794BE9"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Mensah, P., Yeboah-Manu, D., Owusu-Darko, K., &amp; </w:t>
      </w:r>
      <w:proofErr w:type="spellStart"/>
      <w:r w:rsidRPr="001763E0">
        <w:rPr>
          <w:rFonts w:ascii="Times New Roman" w:eastAsia="Times New Roman" w:hAnsi="Times New Roman" w:cs="Times New Roman"/>
          <w:color w:val="000000" w:themeColor="text1"/>
          <w:kern w:val="0"/>
          <w14:ligatures w14:val="none"/>
        </w:rPr>
        <w:t>Ablordey</w:t>
      </w:r>
      <w:proofErr w:type="spellEnd"/>
      <w:r w:rsidRPr="001763E0">
        <w:rPr>
          <w:rFonts w:ascii="Times New Roman" w:eastAsia="Times New Roman" w:hAnsi="Times New Roman" w:cs="Times New Roman"/>
          <w:color w:val="000000" w:themeColor="text1"/>
          <w:kern w:val="0"/>
          <w14:ligatures w14:val="none"/>
        </w:rPr>
        <w:t xml:space="preserve">, A. (2022). Street foods in Africa: Microbial safety and public health implications. </w:t>
      </w:r>
      <w:r w:rsidRPr="001763E0">
        <w:rPr>
          <w:rFonts w:ascii="Times New Roman" w:eastAsia="Times New Roman" w:hAnsi="Times New Roman" w:cs="Times New Roman"/>
          <w:i/>
          <w:iCs/>
          <w:color w:val="000000" w:themeColor="text1"/>
          <w:kern w:val="0"/>
          <w14:ligatures w14:val="none"/>
        </w:rPr>
        <w:t>Food Control</w:t>
      </w:r>
      <w:r w:rsidRPr="001763E0">
        <w:rPr>
          <w:rFonts w:ascii="Times New Roman" w:eastAsia="Times New Roman" w:hAnsi="Times New Roman" w:cs="Times New Roman"/>
          <w:color w:val="000000" w:themeColor="text1"/>
          <w:kern w:val="0"/>
          <w14:ligatures w14:val="none"/>
        </w:rPr>
        <w:t xml:space="preserve">, 130, 108329. </w:t>
      </w:r>
    </w:p>
    <w:p w14:paraId="0D0061F9"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lastRenderedPageBreak/>
        <w:t xml:space="preserve">Metcalf &amp; Eddy. (2014). </w:t>
      </w:r>
      <w:r w:rsidRPr="001763E0">
        <w:rPr>
          <w:rStyle w:val="Emphasis"/>
          <w:color w:val="000000" w:themeColor="text1"/>
        </w:rPr>
        <w:t>Wastewater engineering: Treatment and resource recovery</w:t>
      </w:r>
      <w:r w:rsidRPr="001763E0">
        <w:rPr>
          <w:color w:val="000000" w:themeColor="text1"/>
        </w:rPr>
        <w:t xml:space="preserve"> (5th ed.). McGraw-Hill.</w:t>
      </w:r>
    </w:p>
    <w:p w14:paraId="62BB52B0" w14:textId="346202A9"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Ofori, I., </w:t>
      </w:r>
      <w:proofErr w:type="spellStart"/>
      <w:r w:rsidRPr="001763E0">
        <w:rPr>
          <w:rFonts w:ascii="Times New Roman" w:eastAsia="Times New Roman" w:hAnsi="Times New Roman" w:cs="Times New Roman"/>
          <w:color w:val="000000" w:themeColor="text1"/>
          <w:kern w:val="0"/>
          <w14:ligatures w14:val="none"/>
        </w:rPr>
        <w:t>Abaidoo</w:t>
      </w:r>
      <w:proofErr w:type="spellEnd"/>
      <w:r w:rsidRPr="001763E0">
        <w:rPr>
          <w:rFonts w:ascii="Times New Roman" w:eastAsia="Times New Roman" w:hAnsi="Times New Roman" w:cs="Times New Roman"/>
          <w:color w:val="000000" w:themeColor="text1"/>
          <w:kern w:val="0"/>
          <w14:ligatures w14:val="none"/>
        </w:rPr>
        <w:t xml:space="preserve">, R. C., &amp; Drechsel, P. (2024). Irrigation water quality and microbial contamination of vegetables in urban agriculture. </w:t>
      </w:r>
      <w:r w:rsidRPr="001763E0">
        <w:rPr>
          <w:rFonts w:ascii="Times New Roman" w:eastAsia="Times New Roman" w:hAnsi="Times New Roman" w:cs="Times New Roman"/>
          <w:i/>
          <w:iCs/>
          <w:color w:val="000000" w:themeColor="text1"/>
          <w:kern w:val="0"/>
          <w14:ligatures w14:val="none"/>
        </w:rPr>
        <w:t>Agricultural Water Management</w:t>
      </w:r>
      <w:r w:rsidRPr="001763E0">
        <w:rPr>
          <w:rFonts w:ascii="Times New Roman" w:eastAsia="Times New Roman" w:hAnsi="Times New Roman" w:cs="Times New Roman"/>
          <w:color w:val="000000" w:themeColor="text1"/>
          <w:kern w:val="0"/>
          <w14:ligatures w14:val="none"/>
        </w:rPr>
        <w:t xml:space="preserve">, 285, 108356. </w:t>
      </w:r>
    </w:p>
    <w:p w14:paraId="4E4C039D"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Okeke, C. N., Eze, C. N., &amp; Nwankwo, I. U. (2024). Assessment of parasitic contamination in wastewater-irrigated vegetables in Nigeria. </w:t>
      </w:r>
      <w:r w:rsidRPr="001763E0">
        <w:rPr>
          <w:rFonts w:ascii="Times New Roman" w:eastAsia="Times New Roman" w:hAnsi="Times New Roman" w:cs="Times New Roman"/>
          <w:i/>
          <w:iCs/>
          <w:color w:val="000000" w:themeColor="text1"/>
          <w:kern w:val="0"/>
          <w14:ligatures w14:val="none"/>
        </w:rPr>
        <w:t>African Journal of Environmental Science and Technology</w:t>
      </w:r>
      <w:r w:rsidRPr="001763E0">
        <w:rPr>
          <w:rFonts w:ascii="Times New Roman" w:eastAsia="Times New Roman" w:hAnsi="Times New Roman" w:cs="Times New Roman"/>
          <w:color w:val="000000" w:themeColor="text1"/>
          <w:kern w:val="0"/>
          <w14:ligatures w14:val="none"/>
        </w:rPr>
        <w:t>, 18(2), 102–110.</w:t>
      </w:r>
    </w:p>
    <w:p w14:paraId="329BDD46" w14:textId="2F0CDF25"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1763E0">
        <w:rPr>
          <w:rFonts w:ascii="Times New Roman" w:eastAsia="Times New Roman" w:hAnsi="Times New Roman" w:cs="Times New Roman"/>
          <w:color w:val="000000" w:themeColor="text1"/>
          <w:kern w:val="0"/>
          <w14:ligatures w14:val="none"/>
        </w:rPr>
        <w:t>Papajová</w:t>
      </w:r>
      <w:proofErr w:type="spellEnd"/>
      <w:r w:rsidRPr="001763E0">
        <w:rPr>
          <w:rFonts w:ascii="Times New Roman" w:eastAsia="Times New Roman" w:hAnsi="Times New Roman" w:cs="Times New Roman"/>
          <w:color w:val="000000" w:themeColor="text1"/>
          <w:kern w:val="0"/>
          <w14:ligatures w14:val="none"/>
        </w:rPr>
        <w:t xml:space="preserve">, I., Juris, P., &amp; Szabová, E. (2022). Wastewater treatment plants as sources of microbial and parasitic contamination. </w:t>
      </w:r>
      <w:r w:rsidRPr="001763E0">
        <w:rPr>
          <w:rFonts w:ascii="Times New Roman" w:eastAsia="Times New Roman" w:hAnsi="Times New Roman" w:cs="Times New Roman"/>
          <w:i/>
          <w:iCs/>
          <w:color w:val="000000" w:themeColor="text1"/>
          <w:kern w:val="0"/>
          <w14:ligatures w14:val="none"/>
        </w:rPr>
        <w:t>International Journal of Environmental Research and Public Health</w:t>
      </w:r>
      <w:r w:rsidRPr="001763E0">
        <w:rPr>
          <w:rFonts w:ascii="Times New Roman" w:eastAsia="Times New Roman" w:hAnsi="Times New Roman" w:cs="Times New Roman"/>
          <w:color w:val="000000" w:themeColor="text1"/>
          <w:kern w:val="0"/>
          <w14:ligatures w14:val="none"/>
        </w:rPr>
        <w:t xml:space="preserve">, 19(5), 2750. </w:t>
      </w:r>
    </w:p>
    <w:p w14:paraId="20848718"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Rahman, M. M., Islam, M. S., &amp; Hasan, M. M. (2024). Microbial contamination of vegetables irrigated with wastewater: Public health implications. </w:t>
      </w:r>
      <w:r w:rsidRPr="001763E0">
        <w:rPr>
          <w:rFonts w:ascii="Times New Roman" w:eastAsia="Times New Roman" w:hAnsi="Times New Roman" w:cs="Times New Roman"/>
          <w:i/>
          <w:iCs/>
          <w:color w:val="000000" w:themeColor="text1"/>
          <w:kern w:val="0"/>
          <w14:ligatures w14:val="none"/>
        </w:rPr>
        <w:t>Environmental Monitoring and Assessment</w:t>
      </w:r>
      <w:r w:rsidRPr="001763E0">
        <w:rPr>
          <w:rFonts w:ascii="Times New Roman" w:eastAsia="Times New Roman" w:hAnsi="Times New Roman" w:cs="Times New Roman"/>
          <w:color w:val="000000" w:themeColor="text1"/>
          <w:kern w:val="0"/>
          <w14:ligatures w14:val="none"/>
        </w:rPr>
        <w:t>, 196(1), 45. https://doi.org/10.1007/s10661-023-12345-6</w:t>
      </w:r>
    </w:p>
    <w:p w14:paraId="785958C9" w14:textId="1BD94870"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Singh, A., Kumar, R., &amp; Sharma, P. (2023). Microbial risk assessment of wastewater-irrigated crops and associated health risks. </w:t>
      </w:r>
      <w:r w:rsidRPr="001763E0">
        <w:rPr>
          <w:rFonts w:ascii="Times New Roman" w:eastAsia="Times New Roman" w:hAnsi="Times New Roman" w:cs="Times New Roman"/>
          <w:i/>
          <w:iCs/>
          <w:color w:val="000000" w:themeColor="text1"/>
          <w:kern w:val="0"/>
          <w14:ligatures w14:val="none"/>
        </w:rPr>
        <w:t>Journal of Environmental Management</w:t>
      </w:r>
      <w:r w:rsidRPr="001763E0">
        <w:rPr>
          <w:rFonts w:ascii="Times New Roman" w:eastAsia="Times New Roman" w:hAnsi="Times New Roman" w:cs="Times New Roman"/>
          <w:color w:val="000000" w:themeColor="text1"/>
          <w:kern w:val="0"/>
          <w14:ligatures w14:val="none"/>
        </w:rPr>
        <w:t xml:space="preserve">, 325, 116512. </w:t>
      </w:r>
    </w:p>
    <w:p w14:paraId="791C3E0B"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WHO. (2006). </w:t>
      </w:r>
      <w:r w:rsidRPr="001763E0">
        <w:rPr>
          <w:rFonts w:ascii="Times New Roman" w:eastAsia="Times New Roman" w:hAnsi="Times New Roman" w:cs="Times New Roman"/>
          <w:i/>
          <w:iCs/>
          <w:color w:val="000000" w:themeColor="text1"/>
          <w:kern w:val="0"/>
          <w14:ligatures w14:val="none"/>
        </w:rPr>
        <w:t>Guidelines for the safe use of wastewater, excreta and greywater</w:t>
      </w:r>
      <w:r w:rsidRPr="001763E0">
        <w:rPr>
          <w:rFonts w:ascii="Times New Roman" w:eastAsia="Times New Roman" w:hAnsi="Times New Roman" w:cs="Times New Roman"/>
          <w:color w:val="000000" w:themeColor="text1"/>
          <w:kern w:val="0"/>
          <w14:ligatures w14:val="none"/>
        </w:rPr>
        <w:t>. Geneva: World Health Organization.</w:t>
      </w:r>
    </w:p>
    <w:p w14:paraId="4F9B8B3C"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WHO. (2015). </w:t>
      </w:r>
      <w:r w:rsidRPr="001763E0">
        <w:rPr>
          <w:rFonts w:ascii="Times New Roman" w:eastAsia="Times New Roman" w:hAnsi="Times New Roman" w:cs="Times New Roman"/>
          <w:i/>
          <w:iCs/>
          <w:color w:val="000000" w:themeColor="text1"/>
          <w:kern w:val="0"/>
          <w14:ligatures w14:val="none"/>
        </w:rPr>
        <w:t>Sanitation safety planning: Manual for safe use of wastewater</w:t>
      </w:r>
      <w:r w:rsidRPr="001763E0">
        <w:rPr>
          <w:rFonts w:ascii="Times New Roman" w:eastAsia="Times New Roman" w:hAnsi="Times New Roman" w:cs="Times New Roman"/>
          <w:color w:val="000000" w:themeColor="text1"/>
          <w:kern w:val="0"/>
          <w14:ligatures w14:val="none"/>
        </w:rPr>
        <w:t>. Geneva: World Health Organization.</w:t>
      </w:r>
    </w:p>
    <w:p w14:paraId="3E49FF88" w14:textId="18597DEC" w:rsidR="00826199" w:rsidRPr="001763E0" w:rsidRDefault="00826199" w:rsidP="00825B7A">
      <w:pPr>
        <w:spacing w:after="120" w:line="240" w:lineRule="auto"/>
        <w:jc w:val="both"/>
        <w:rPr>
          <w:rFonts w:ascii="Times New Roman" w:hAnsi="Times New Roman" w:cs="Times New Roman"/>
          <w:color w:val="000000" w:themeColor="text1"/>
        </w:rPr>
      </w:pPr>
      <w:r w:rsidRPr="001763E0">
        <w:rPr>
          <w:rFonts w:ascii="Times New Roman" w:eastAsia="Times New Roman" w:hAnsi="Times New Roman" w:cs="Times New Roman"/>
          <w:color w:val="000000" w:themeColor="text1"/>
          <w:kern w:val="0"/>
          <w14:ligatures w14:val="none"/>
        </w:rPr>
        <w:t xml:space="preserve">Yakubu, Y., Abdullahi, M., &amp; Sani, A. (2023). Parasitic contamination of vegetables and irrigation water in developing countries. </w:t>
      </w:r>
      <w:proofErr w:type="spellStart"/>
      <w:r w:rsidRPr="001763E0">
        <w:rPr>
          <w:rFonts w:ascii="Times New Roman" w:eastAsia="Times New Roman" w:hAnsi="Times New Roman" w:cs="Times New Roman"/>
          <w:i/>
          <w:iCs/>
          <w:color w:val="000000" w:themeColor="text1"/>
          <w:kern w:val="0"/>
          <w14:ligatures w14:val="none"/>
        </w:rPr>
        <w:t>Heliyon</w:t>
      </w:r>
      <w:proofErr w:type="spellEnd"/>
      <w:r w:rsidRPr="001763E0">
        <w:rPr>
          <w:rFonts w:ascii="Times New Roman" w:eastAsia="Times New Roman" w:hAnsi="Times New Roman" w:cs="Times New Roman"/>
          <w:color w:val="000000" w:themeColor="text1"/>
          <w:kern w:val="0"/>
          <w14:ligatures w14:val="none"/>
        </w:rPr>
        <w:t xml:space="preserve">, 9(6), e16945. </w:t>
      </w:r>
    </w:p>
    <w:p w14:paraId="7618588C" w14:textId="77777777" w:rsidR="00C46574" w:rsidRPr="001763E0" w:rsidRDefault="00C46574" w:rsidP="00825B7A">
      <w:pPr>
        <w:spacing w:after="120"/>
        <w:jc w:val="both"/>
        <w:rPr>
          <w:rFonts w:ascii="Times New Roman" w:hAnsi="Times New Roman" w:cs="Times New Roman"/>
          <w:color w:val="000000" w:themeColor="text1"/>
        </w:rPr>
      </w:pPr>
    </w:p>
    <w:sectPr w:rsidR="00C46574" w:rsidRPr="001763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D1F0" w14:textId="77777777" w:rsidR="004D2A75" w:rsidRDefault="004D2A75" w:rsidP="00F35D6E">
      <w:pPr>
        <w:spacing w:after="0" w:line="240" w:lineRule="auto"/>
      </w:pPr>
      <w:r>
        <w:separator/>
      </w:r>
    </w:p>
  </w:endnote>
  <w:endnote w:type="continuationSeparator" w:id="0">
    <w:p w14:paraId="757793A4" w14:textId="77777777" w:rsidR="004D2A75" w:rsidRDefault="004D2A75" w:rsidP="00F3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645" w14:textId="77777777" w:rsidR="00F35D6E" w:rsidRDefault="00F3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E147" w14:textId="77777777" w:rsidR="00F35D6E" w:rsidRDefault="00F35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00FC" w14:textId="77777777" w:rsidR="00F35D6E" w:rsidRDefault="00F3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AAB4" w14:textId="77777777" w:rsidR="004D2A75" w:rsidRDefault="004D2A75" w:rsidP="00F35D6E">
      <w:pPr>
        <w:spacing w:after="0" w:line="240" w:lineRule="auto"/>
      </w:pPr>
      <w:r>
        <w:separator/>
      </w:r>
    </w:p>
  </w:footnote>
  <w:footnote w:type="continuationSeparator" w:id="0">
    <w:p w14:paraId="3F14227B" w14:textId="77777777" w:rsidR="004D2A75" w:rsidRDefault="004D2A75" w:rsidP="00F3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B974" w14:textId="14C0706D" w:rsidR="00F35D6E" w:rsidRDefault="00000000">
    <w:pPr>
      <w:pStyle w:val="Header"/>
    </w:pPr>
    <w:r>
      <w:rPr>
        <w:noProof/>
      </w:rPr>
      <w:pict w14:anchorId="0803C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8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048" w14:textId="2C885E81" w:rsidR="00F35D6E" w:rsidRDefault="00000000">
    <w:pPr>
      <w:pStyle w:val="Header"/>
    </w:pPr>
    <w:r>
      <w:rPr>
        <w:noProof/>
      </w:rPr>
      <w:pict w14:anchorId="7C784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8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C90B" w14:textId="33FC21B0" w:rsidR="00F35D6E" w:rsidRDefault="00000000">
    <w:pPr>
      <w:pStyle w:val="Header"/>
    </w:pPr>
    <w:r>
      <w:rPr>
        <w:noProof/>
      </w:rPr>
      <w:pict w14:anchorId="18DEB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8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74"/>
    <w:rsid w:val="0006075E"/>
    <w:rsid w:val="000D7068"/>
    <w:rsid w:val="0013506B"/>
    <w:rsid w:val="001763E0"/>
    <w:rsid w:val="001A4D1B"/>
    <w:rsid w:val="001A4EF9"/>
    <w:rsid w:val="00236191"/>
    <w:rsid w:val="003270F1"/>
    <w:rsid w:val="003F1087"/>
    <w:rsid w:val="004D2A75"/>
    <w:rsid w:val="00527347"/>
    <w:rsid w:val="00684D54"/>
    <w:rsid w:val="006A338A"/>
    <w:rsid w:val="006B6FBA"/>
    <w:rsid w:val="006D2391"/>
    <w:rsid w:val="006F086B"/>
    <w:rsid w:val="00825B7A"/>
    <w:rsid w:val="00826199"/>
    <w:rsid w:val="00977038"/>
    <w:rsid w:val="00A16CA0"/>
    <w:rsid w:val="00A20A3B"/>
    <w:rsid w:val="00AD3BDA"/>
    <w:rsid w:val="00AF36C2"/>
    <w:rsid w:val="00B0185A"/>
    <w:rsid w:val="00B716FF"/>
    <w:rsid w:val="00C46574"/>
    <w:rsid w:val="00CF6754"/>
    <w:rsid w:val="00D17D57"/>
    <w:rsid w:val="00D473AE"/>
    <w:rsid w:val="00D72FF3"/>
    <w:rsid w:val="00E81E0D"/>
    <w:rsid w:val="00F35D6E"/>
    <w:rsid w:val="00F426CF"/>
    <w:rsid w:val="00FC3544"/>
    <w:rsid w:val="00FF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D91C"/>
  <w15:chartTrackingRefBased/>
  <w15:docId w15:val="{9C3746B9-EBE7-40A5-96E2-2214B434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5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574"/>
    <w:rPr>
      <w:rFonts w:eastAsiaTheme="majorEastAsia" w:cstheme="majorBidi"/>
      <w:color w:val="272727" w:themeColor="text1" w:themeTint="D8"/>
    </w:rPr>
  </w:style>
  <w:style w:type="paragraph" w:styleId="Title">
    <w:name w:val="Title"/>
    <w:basedOn w:val="Normal"/>
    <w:next w:val="Normal"/>
    <w:link w:val="TitleChar"/>
    <w:uiPriority w:val="10"/>
    <w:qFormat/>
    <w:rsid w:val="00C4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574"/>
    <w:pPr>
      <w:spacing w:before="160"/>
      <w:jc w:val="center"/>
    </w:pPr>
    <w:rPr>
      <w:i/>
      <w:iCs/>
      <w:color w:val="404040" w:themeColor="text1" w:themeTint="BF"/>
    </w:rPr>
  </w:style>
  <w:style w:type="character" w:customStyle="1" w:styleId="QuoteChar">
    <w:name w:val="Quote Char"/>
    <w:basedOn w:val="DefaultParagraphFont"/>
    <w:link w:val="Quote"/>
    <w:uiPriority w:val="29"/>
    <w:rsid w:val="00C46574"/>
    <w:rPr>
      <w:i/>
      <w:iCs/>
      <w:color w:val="404040" w:themeColor="text1" w:themeTint="BF"/>
    </w:rPr>
  </w:style>
  <w:style w:type="paragraph" w:styleId="ListParagraph">
    <w:name w:val="List Paragraph"/>
    <w:basedOn w:val="Normal"/>
    <w:uiPriority w:val="34"/>
    <w:qFormat/>
    <w:rsid w:val="00C46574"/>
    <w:pPr>
      <w:ind w:left="720"/>
      <w:contextualSpacing/>
    </w:pPr>
  </w:style>
  <w:style w:type="character" w:styleId="IntenseEmphasis">
    <w:name w:val="Intense Emphasis"/>
    <w:basedOn w:val="DefaultParagraphFont"/>
    <w:uiPriority w:val="21"/>
    <w:qFormat/>
    <w:rsid w:val="00C46574"/>
    <w:rPr>
      <w:i/>
      <w:iCs/>
      <w:color w:val="2F5496" w:themeColor="accent1" w:themeShade="BF"/>
    </w:rPr>
  </w:style>
  <w:style w:type="paragraph" w:styleId="IntenseQuote">
    <w:name w:val="Intense Quote"/>
    <w:basedOn w:val="Normal"/>
    <w:next w:val="Normal"/>
    <w:link w:val="IntenseQuoteChar"/>
    <w:uiPriority w:val="30"/>
    <w:qFormat/>
    <w:rsid w:val="00C46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574"/>
    <w:rPr>
      <w:i/>
      <w:iCs/>
      <w:color w:val="2F5496" w:themeColor="accent1" w:themeShade="BF"/>
    </w:rPr>
  </w:style>
  <w:style w:type="character" w:styleId="IntenseReference">
    <w:name w:val="Intense Reference"/>
    <w:basedOn w:val="DefaultParagraphFont"/>
    <w:uiPriority w:val="32"/>
    <w:qFormat/>
    <w:rsid w:val="00C46574"/>
    <w:rPr>
      <w:b/>
      <w:bCs/>
      <w:smallCaps/>
      <w:color w:val="2F5496" w:themeColor="accent1" w:themeShade="BF"/>
      <w:spacing w:val="5"/>
    </w:rPr>
  </w:style>
  <w:style w:type="table" w:styleId="PlainTable2">
    <w:name w:val="Plain Table 2"/>
    <w:basedOn w:val="TableNormal"/>
    <w:uiPriority w:val="42"/>
    <w:rsid w:val="00C465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C46574"/>
    <w:rPr>
      <w:b/>
      <w:bCs/>
    </w:rPr>
  </w:style>
  <w:style w:type="character" w:styleId="Emphasis">
    <w:name w:val="Emphasis"/>
    <w:basedOn w:val="DefaultParagraphFont"/>
    <w:uiPriority w:val="20"/>
    <w:qFormat/>
    <w:rsid w:val="00C46574"/>
    <w:rPr>
      <w:i/>
      <w:iCs/>
    </w:rPr>
  </w:style>
  <w:style w:type="paragraph" w:styleId="NormalWeb">
    <w:name w:val="Normal (Web)"/>
    <w:basedOn w:val="Normal"/>
    <w:uiPriority w:val="99"/>
    <w:unhideWhenUsed/>
    <w:rsid w:val="00C465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25B7A"/>
    <w:rPr>
      <w:color w:val="0563C1" w:themeColor="hyperlink"/>
      <w:u w:val="single"/>
    </w:rPr>
  </w:style>
  <w:style w:type="character" w:styleId="UnresolvedMention">
    <w:name w:val="Unresolved Mention"/>
    <w:basedOn w:val="DefaultParagraphFont"/>
    <w:uiPriority w:val="99"/>
    <w:semiHidden/>
    <w:unhideWhenUsed/>
    <w:rsid w:val="00825B7A"/>
    <w:rPr>
      <w:color w:val="605E5C"/>
      <w:shd w:val="clear" w:color="auto" w:fill="E1DFDD"/>
    </w:rPr>
  </w:style>
  <w:style w:type="paragraph" w:styleId="Header">
    <w:name w:val="header"/>
    <w:basedOn w:val="Normal"/>
    <w:link w:val="HeaderChar"/>
    <w:uiPriority w:val="99"/>
    <w:unhideWhenUsed/>
    <w:rsid w:val="00F3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D6E"/>
  </w:style>
  <w:style w:type="paragraph" w:styleId="Footer">
    <w:name w:val="footer"/>
    <w:basedOn w:val="Normal"/>
    <w:link w:val="FooterChar"/>
    <w:uiPriority w:val="99"/>
    <w:unhideWhenUsed/>
    <w:rsid w:val="00F3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5045</Words>
  <Characters>28761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2026-03-20T11:23:00Z</dcterms:created>
  <dcterms:modified xsi:type="dcterms:W3CDTF">2026-03-25T00:25:00Z</dcterms:modified>
</cp:coreProperties>
</file>