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CDE0E" w14:textId="77777777" w:rsidR="00E7146C" w:rsidRPr="00B85382" w:rsidRDefault="00E7146C" w:rsidP="00296DE6">
      <w:pPr>
        <w:spacing w:line="276" w:lineRule="auto"/>
        <w:jc w:val="both"/>
        <w:rPr>
          <w:rFonts w:ascii="Century Gothic" w:hAnsi="Century Gothic" w:cs="Times New Roman"/>
          <w:sz w:val="24"/>
          <w:szCs w:val="24"/>
          <w:lang w:val="fr-FR"/>
        </w:rPr>
      </w:pPr>
    </w:p>
    <w:p w14:paraId="59C82EDA" w14:textId="77777777" w:rsidR="00EF5CFB" w:rsidRPr="00B85382" w:rsidRDefault="00EF5CFB" w:rsidP="00296DE6">
      <w:pPr>
        <w:spacing w:line="276" w:lineRule="auto"/>
        <w:jc w:val="both"/>
        <w:rPr>
          <w:rFonts w:ascii="Century Gothic" w:hAnsi="Century Gothic" w:cs="Times New Roman"/>
          <w:sz w:val="24"/>
          <w:szCs w:val="24"/>
          <w:lang w:val="fr-FR"/>
        </w:rPr>
      </w:pPr>
    </w:p>
    <w:p w14:paraId="0F16CB4B" w14:textId="2A48EBBB" w:rsidR="00EF5CFB" w:rsidRPr="00B85382" w:rsidRDefault="00EF5CFB" w:rsidP="00296DE6">
      <w:pPr>
        <w:spacing w:line="276" w:lineRule="auto"/>
        <w:jc w:val="both"/>
        <w:rPr>
          <w:rFonts w:ascii="Century Gothic" w:hAnsi="Century Gothic" w:cs="Times New Roman"/>
          <w:b/>
          <w:bCs/>
          <w:sz w:val="28"/>
          <w:szCs w:val="28"/>
        </w:rPr>
      </w:pPr>
      <w:r w:rsidRPr="00B85382">
        <w:rPr>
          <w:rFonts w:ascii="Century Gothic" w:hAnsi="Century Gothic" w:cs="Times New Roman"/>
          <w:b/>
          <w:bCs/>
          <w:sz w:val="28"/>
          <w:szCs w:val="28"/>
        </w:rPr>
        <w:t>Technical &amp; Commercial Losses in the West</w:t>
      </w:r>
      <w:r w:rsidRPr="00B85382">
        <w:rPr>
          <w:rFonts w:ascii="Cambria Math" w:hAnsi="Cambria Math" w:cs="Cambria Math"/>
          <w:b/>
          <w:bCs/>
          <w:sz w:val="28"/>
          <w:szCs w:val="28"/>
        </w:rPr>
        <w:t>‑</w:t>
      </w:r>
      <w:r w:rsidRPr="00B85382">
        <w:rPr>
          <w:rFonts w:ascii="Century Gothic" w:hAnsi="Century Gothic" w:cs="Times New Roman"/>
          <w:b/>
          <w:bCs/>
          <w:sz w:val="28"/>
          <w:szCs w:val="28"/>
        </w:rPr>
        <w:t xml:space="preserve">African Interconnected Electricity </w:t>
      </w:r>
      <w:r w:rsidR="00B85382" w:rsidRPr="00B85382">
        <w:rPr>
          <w:rFonts w:ascii="Century Gothic" w:hAnsi="Century Gothic" w:cs="Times New Roman"/>
          <w:b/>
          <w:bCs/>
          <w:sz w:val="28"/>
          <w:szCs w:val="28"/>
        </w:rPr>
        <w:t>Network:</w:t>
      </w:r>
      <w:r w:rsidRPr="00B85382">
        <w:rPr>
          <w:rFonts w:ascii="Century Gothic" w:hAnsi="Century Gothic" w:cs="Times New Roman"/>
          <w:b/>
          <w:bCs/>
          <w:sz w:val="28"/>
          <w:szCs w:val="28"/>
        </w:rPr>
        <w:t xml:space="preserve"> Challenges and Prospects</w:t>
      </w:r>
    </w:p>
    <w:p w14:paraId="721ACD4B" w14:textId="77777777" w:rsidR="00287501" w:rsidRPr="00B85382" w:rsidRDefault="00287501" w:rsidP="00296DE6">
      <w:pPr>
        <w:spacing w:after="0" w:line="276" w:lineRule="auto"/>
        <w:jc w:val="both"/>
        <w:rPr>
          <w:rFonts w:ascii="Century Gothic" w:hAnsi="Century Gothic"/>
          <w:sz w:val="24"/>
          <w:szCs w:val="24"/>
        </w:rPr>
      </w:pPr>
    </w:p>
    <w:p w14:paraId="28E733FB" w14:textId="77777777" w:rsidR="003442AA" w:rsidRPr="003442AA" w:rsidRDefault="003442AA" w:rsidP="00296DE6">
      <w:pPr>
        <w:spacing w:line="276" w:lineRule="auto"/>
        <w:jc w:val="both"/>
        <w:rPr>
          <w:rFonts w:ascii="Century Gothic" w:hAnsi="Century Gothic" w:cs="Times New Roman"/>
          <w:b/>
          <w:bCs/>
          <w:sz w:val="24"/>
          <w:szCs w:val="24"/>
        </w:rPr>
      </w:pPr>
      <w:r w:rsidRPr="003442AA">
        <w:rPr>
          <w:rFonts w:ascii="Century Gothic" w:hAnsi="Century Gothic" w:cs="Times New Roman"/>
          <w:b/>
          <w:bCs/>
          <w:sz w:val="24"/>
          <w:szCs w:val="24"/>
        </w:rPr>
        <w:t>Abstract</w:t>
      </w:r>
    </w:p>
    <w:p w14:paraId="510ACE17" w14:textId="4A4457DC" w:rsidR="003442AA" w:rsidRPr="003442AA" w:rsidRDefault="003442AA" w:rsidP="00296DE6">
      <w:pPr>
        <w:spacing w:line="276" w:lineRule="auto"/>
        <w:jc w:val="both"/>
        <w:rPr>
          <w:rFonts w:ascii="Century Gothic" w:hAnsi="Century Gothic" w:cs="Times New Roman"/>
          <w:sz w:val="24"/>
          <w:szCs w:val="24"/>
        </w:rPr>
      </w:pPr>
      <w:r w:rsidRPr="003442AA">
        <w:rPr>
          <w:rFonts w:ascii="Century Gothic" w:hAnsi="Century Gothic" w:cs="Times New Roman"/>
          <w:sz w:val="24"/>
          <w:szCs w:val="24"/>
        </w:rPr>
        <w:t>In the West African region, power system integration through the West Africa Power Pool (WAPP) is a strategic initiative aimed at enhancing energy security and facilitating cross-border electricity trade. Despite significant progress in regional interconnections, the efficiency and financial performance of electricity networks remain severely constrained by high levels of technical and commercial losses. Recent assessments indicate that average technical losses reach approximately 9.1%, while non-technical (commercial) losses account for nearly 21%, revealing persistent structural deficiencies in network operation and management.Technical losses are primarily driven by aging infrastructure, overloaded transmission and distribution lines, inadequate maintenance practices, and the limited deployment of advanced monitoring and control systems such as SCADA and smart grid technologies. Commercial losses, on the other hand, result from inaccurate metering and billing systems, illegal connections, electricity theft, and low revenue collection rates, often compounded by weak governance and insufficient regulatory enforcement.</w:t>
      </w:r>
    </w:p>
    <w:p w14:paraId="2691245F" w14:textId="77777777" w:rsidR="003442AA" w:rsidRPr="003442AA" w:rsidRDefault="003442AA" w:rsidP="00296DE6">
      <w:pPr>
        <w:spacing w:line="276" w:lineRule="auto"/>
        <w:jc w:val="both"/>
        <w:rPr>
          <w:rFonts w:ascii="Century Gothic" w:hAnsi="Century Gothic" w:cs="Times New Roman"/>
          <w:sz w:val="24"/>
          <w:szCs w:val="24"/>
        </w:rPr>
      </w:pPr>
      <w:r w:rsidRPr="003442AA">
        <w:rPr>
          <w:rFonts w:ascii="Century Gothic" w:hAnsi="Century Gothic" w:cs="Times New Roman"/>
          <w:sz w:val="24"/>
          <w:szCs w:val="24"/>
        </w:rPr>
        <w:t>Addressing these challenges requires a comprehensive and coordinated approach, including network modernization through digitalization and smart metering, capacity building for utility operators, harmonization of regulatory frameworks across WAPP member states, and increased consumer awareness regarding responsible electricity consumption. Implementing such measures would significantly reduce system losses, improve the financial sustainability of power utilities, enhance supply reliability, and strengthen subregional energy cooperation in West Africa.</w:t>
      </w:r>
    </w:p>
    <w:p w14:paraId="28984CF3" w14:textId="4A881C9B" w:rsidR="002B58CB" w:rsidRPr="00B85382" w:rsidRDefault="00AB1E78" w:rsidP="00296DE6">
      <w:pPr>
        <w:spacing w:line="276" w:lineRule="auto"/>
        <w:jc w:val="both"/>
        <w:rPr>
          <w:rFonts w:ascii="Century Gothic" w:hAnsi="Century Gothic" w:cs="Times New Roman"/>
          <w:sz w:val="24"/>
          <w:szCs w:val="24"/>
        </w:rPr>
      </w:pPr>
      <w:r w:rsidRPr="00B85382">
        <w:rPr>
          <w:rFonts w:ascii="Century Gothic" w:hAnsi="Century Gothic" w:cs="Times New Roman"/>
          <w:b/>
          <w:bCs/>
          <w:sz w:val="24"/>
          <w:szCs w:val="24"/>
        </w:rPr>
        <w:t>Keywords:</w:t>
      </w:r>
      <w:r w:rsidRPr="00B85382">
        <w:rPr>
          <w:rFonts w:ascii="Century Gothic" w:hAnsi="Century Gothic" w:cs="Times New Roman"/>
          <w:sz w:val="24"/>
          <w:szCs w:val="24"/>
        </w:rPr>
        <w:t xml:space="preserve"> technical losses, commercial losses, power interconnection, West Africa, WAPP</w:t>
      </w:r>
    </w:p>
    <w:p w14:paraId="3B35A618" w14:textId="37736631" w:rsidR="00287501" w:rsidRPr="00287501" w:rsidRDefault="00EF5CFB" w:rsidP="00296DE6">
      <w:pPr>
        <w:spacing w:line="276" w:lineRule="auto"/>
        <w:jc w:val="both"/>
        <w:rPr>
          <w:rFonts w:ascii="Century Gothic" w:hAnsi="Century Gothic"/>
          <w:sz w:val="24"/>
          <w:szCs w:val="24"/>
        </w:rPr>
      </w:pPr>
      <w:r w:rsidRPr="00B85382">
        <w:rPr>
          <w:rFonts w:ascii="Century Gothic" w:hAnsi="Century Gothic" w:cs="Times New Roman"/>
          <w:b/>
          <w:bCs/>
          <w:sz w:val="24"/>
          <w:szCs w:val="24"/>
        </w:rPr>
        <w:t xml:space="preserve"> </w:t>
      </w:r>
      <w:r w:rsidR="00287501" w:rsidRPr="00B85382">
        <w:rPr>
          <w:rFonts w:ascii="Century Gothic" w:hAnsi="Century Gothic"/>
          <w:b/>
          <w:bCs/>
          <w:sz w:val="24"/>
          <w:szCs w:val="24"/>
        </w:rPr>
        <w:t>Introduction</w:t>
      </w:r>
      <w:r w:rsidR="00287501" w:rsidRPr="00B85382">
        <w:rPr>
          <w:rFonts w:ascii="Century Gothic" w:hAnsi="Century Gothic"/>
          <w:sz w:val="24"/>
          <w:szCs w:val="24"/>
        </w:rPr>
        <w:br/>
        <w:t>Electricity Losses in West Africa: A Critical Challenge for Regional Power Grid Unification</w:t>
      </w:r>
      <w:r w:rsidR="00B85382">
        <w:rPr>
          <w:rFonts w:ascii="Century Gothic" w:hAnsi="Century Gothic"/>
          <w:sz w:val="24"/>
          <w:szCs w:val="24"/>
        </w:rPr>
        <w:t xml:space="preserve"> </w:t>
      </w:r>
      <w:r w:rsidR="00287501" w:rsidRPr="00287501">
        <w:rPr>
          <w:rFonts w:ascii="Century Gothic" w:hAnsi="Century Gothic" w:cs="Times New Roman"/>
          <w:sz w:val="24"/>
          <w:szCs w:val="24"/>
        </w:rPr>
        <w:t xml:space="preserve">Since the early 2000s, West Africa, aspiring to achieve sustainable </w:t>
      </w:r>
      <w:r w:rsidR="00287501" w:rsidRPr="00287501">
        <w:rPr>
          <w:rFonts w:ascii="Century Gothic" w:hAnsi="Century Gothic" w:cs="Times New Roman"/>
          <w:sz w:val="24"/>
          <w:szCs w:val="24"/>
        </w:rPr>
        <w:lastRenderedPageBreak/>
        <w:t>energy independence, has embarked on a process of regional integration of its power systems through the West Africa Power Pool (WAPP), a large-scale project. Initiated by the Economic Community of West African States (ECOWAS), this project aims to interconnect national electricity grids in order to improve generation capacity, ensure safer distribution, and promote energy trade among countries. The ultimate ambition is to sustainably guarantee fair, stable, and affordable access to electricity for all communities in the region.</w:t>
      </w:r>
    </w:p>
    <w:p w14:paraId="518198F8" w14:textId="724F03EF" w:rsidR="00287501" w:rsidRPr="00287501" w:rsidRDefault="00287501" w:rsidP="00296DE6">
      <w:p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However, despite significant progress in the development of interconnection lines and the establishment of a regional electricity market, the sector continues to face a major structural challenge: electricity losses, both technical and commercial. These losses constitute a serious obstacle to the efficiency, profitability, and sustainability of the regional grid</w:t>
      </w:r>
      <w:r w:rsidR="00296DE6">
        <w:rPr>
          <w:rFonts w:ascii="Century Gothic" w:hAnsi="Century Gothic" w:cs="Times New Roman"/>
          <w:sz w:val="24"/>
          <w:szCs w:val="24"/>
        </w:rPr>
        <w:t xml:space="preserve"> [13-15]</w:t>
      </w:r>
      <w:r w:rsidRPr="00287501">
        <w:rPr>
          <w:rFonts w:ascii="Century Gothic" w:hAnsi="Century Gothic" w:cs="Times New Roman"/>
          <w:sz w:val="24"/>
          <w:szCs w:val="24"/>
        </w:rPr>
        <w:t>. They reduce the revenues of national electricity utilities, jeopardize the investments required for infrastructure upgrades, and limit the tangible benefits of energy integration.</w:t>
      </w:r>
    </w:p>
    <w:p w14:paraId="73D63D94" w14:textId="77777777" w:rsidR="00287501" w:rsidRPr="00287501" w:rsidRDefault="00287501" w:rsidP="00296DE6">
      <w:pPr>
        <w:spacing w:line="276" w:lineRule="auto"/>
        <w:jc w:val="both"/>
        <w:rPr>
          <w:rFonts w:ascii="Century Gothic" w:hAnsi="Century Gothic" w:cs="Times New Roman"/>
          <w:b/>
          <w:bCs/>
          <w:sz w:val="24"/>
          <w:szCs w:val="24"/>
        </w:rPr>
      </w:pPr>
      <w:r w:rsidRPr="00287501">
        <w:rPr>
          <w:rFonts w:ascii="Century Gothic" w:hAnsi="Century Gothic" w:cs="Times New Roman"/>
          <w:b/>
          <w:bCs/>
          <w:sz w:val="24"/>
          <w:szCs w:val="24"/>
        </w:rPr>
        <w:t>1. Scope and Classification of Electricity Losses in the Region</w:t>
      </w:r>
    </w:p>
    <w:p w14:paraId="7D054EA6" w14:textId="77777777" w:rsidR="00287501" w:rsidRPr="00287501" w:rsidRDefault="00287501" w:rsidP="00296DE6">
      <w:p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Two main categories of electricity losses can be identified:</w:t>
      </w:r>
    </w:p>
    <w:p w14:paraId="4FA7281F" w14:textId="77777777" w:rsidR="00287501" w:rsidRPr="00287501" w:rsidRDefault="00287501" w:rsidP="00296DE6">
      <w:pPr>
        <w:numPr>
          <w:ilvl w:val="0"/>
          <w:numId w:val="18"/>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Technical losses, associated with the physical constraints of transmission and distribution networks.</w:t>
      </w:r>
    </w:p>
    <w:p w14:paraId="5ABB03CD" w14:textId="77777777" w:rsidR="00287501" w:rsidRPr="00287501" w:rsidRDefault="00287501" w:rsidP="00296DE6">
      <w:pPr>
        <w:numPr>
          <w:ilvl w:val="0"/>
          <w:numId w:val="18"/>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Non-technical or commercial losses, resulting from billing irregularities, fraud, electricity theft, or poor administrative management.</w:t>
      </w:r>
    </w:p>
    <w:p w14:paraId="01371F1A" w14:textId="2AD6CE9A" w:rsidR="00287501" w:rsidRPr="00287501" w:rsidRDefault="00287501" w:rsidP="00296DE6">
      <w:p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 xml:space="preserve">According to recent data from the WAPP and the African Development Bank (AfDB), average technical losses in the region amount to approximately 9.1% of generated energy, while non-technical losses approach 21%. These figures significantly exceed international standards, where total losses generally range between 6% and 10% in developed countries. Some national utilities exhibit even more alarming levels. For example, the Compagnie </w:t>
      </w:r>
      <w:proofErr w:type="spellStart"/>
      <w:r w:rsidRPr="00287501">
        <w:rPr>
          <w:rFonts w:ascii="Century Gothic" w:hAnsi="Century Gothic" w:cs="Times New Roman"/>
          <w:sz w:val="24"/>
          <w:szCs w:val="24"/>
        </w:rPr>
        <w:t>Ivoirienne</w:t>
      </w:r>
      <w:proofErr w:type="spellEnd"/>
      <w:r w:rsidRPr="00287501">
        <w:rPr>
          <w:rFonts w:ascii="Century Gothic" w:hAnsi="Century Gothic" w:cs="Times New Roman"/>
          <w:sz w:val="24"/>
          <w:szCs w:val="24"/>
        </w:rPr>
        <w:t xml:space="preserve"> </w:t>
      </w:r>
      <w:proofErr w:type="spellStart"/>
      <w:r w:rsidRPr="00287501">
        <w:rPr>
          <w:rFonts w:ascii="Century Gothic" w:hAnsi="Century Gothic" w:cs="Times New Roman"/>
          <w:sz w:val="24"/>
          <w:szCs w:val="24"/>
        </w:rPr>
        <w:t>d’Électricité</w:t>
      </w:r>
      <w:proofErr w:type="spellEnd"/>
      <w:r w:rsidRPr="00287501">
        <w:rPr>
          <w:rFonts w:ascii="Century Gothic" w:hAnsi="Century Gothic" w:cs="Times New Roman"/>
          <w:sz w:val="24"/>
          <w:szCs w:val="24"/>
        </w:rPr>
        <w:t xml:space="preserve"> (CIE), often cited as a model of good management, records total losses of around 13%, whereas in other countries such as Guinea, Nigeria, or Senegal, losses sometimes exceed 30%. These disparities highlight the structural differences among national grids and the difficulty of harmonizing technical performance within an integrated regional framework.</w:t>
      </w:r>
    </w:p>
    <w:p w14:paraId="3AB0E630" w14:textId="77777777" w:rsidR="00287501" w:rsidRPr="00287501" w:rsidRDefault="00287501" w:rsidP="00296DE6">
      <w:pPr>
        <w:spacing w:line="276" w:lineRule="auto"/>
        <w:jc w:val="both"/>
        <w:rPr>
          <w:rFonts w:ascii="Century Gothic" w:hAnsi="Century Gothic" w:cs="Times New Roman"/>
          <w:b/>
          <w:bCs/>
          <w:sz w:val="24"/>
          <w:szCs w:val="24"/>
        </w:rPr>
      </w:pPr>
      <w:r w:rsidRPr="00287501">
        <w:rPr>
          <w:rFonts w:ascii="Century Gothic" w:hAnsi="Century Gothic" w:cs="Times New Roman"/>
          <w:b/>
          <w:bCs/>
          <w:sz w:val="24"/>
          <w:szCs w:val="24"/>
        </w:rPr>
        <w:t>2. Causes of Technical Losses</w:t>
      </w:r>
    </w:p>
    <w:p w14:paraId="2F7B8CB1" w14:textId="77777777" w:rsidR="00287501" w:rsidRPr="00287501" w:rsidRDefault="00287501" w:rsidP="00296DE6">
      <w:p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lastRenderedPageBreak/>
        <w:t>Technical losses are inherent to any power system, but their magnitude largely depends on the technological level and the quality of network maintenance. In West Africa, several factors explain the persistence of high loss rates:</w:t>
      </w:r>
    </w:p>
    <w:p w14:paraId="31D12BA8" w14:textId="77777777" w:rsidR="00287501" w:rsidRPr="00287501" w:rsidRDefault="00287501" w:rsidP="00296DE6">
      <w:pPr>
        <w:numPr>
          <w:ilvl w:val="0"/>
          <w:numId w:val="19"/>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Aging infrastructure:</w:t>
      </w:r>
      <w:r w:rsidRPr="00287501">
        <w:rPr>
          <w:rFonts w:ascii="Century Gothic" w:hAnsi="Century Gothic" w:cs="Times New Roman"/>
          <w:sz w:val="24"/>
          <w:szCs w:val="24"/>
        </w:rPr>
        <w:br/>
        <w:t>Many networks date back to the 1970s–1980s. Transformers, cables, and distribution lines are often obsolete and poorly maintained, leading to significant energy dissipation in the form of heat.</w:t>
      </w:r>
    </w:p>
    <w:p w14:paraId="40849F34" w14:textId="77777777" w:rsidR="00287501" w:rsidRPr="00287501" w:rsidRDefault="00287501" w:rsidP="00296DE6">
      <w:pPr>
        <w:numPr>
          <w:ilvl w:val="0"/>
          <w:numId w:val="19"/>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Low network density and overloads:</w:t>
      </w:r>
      <w:r w:rsidRPr="00287501">
        <w:rPr>
          <w:rFonts w:ascii="Century Gothic" w:hAnsi="Century Gothic" w:cs="Times New Roman"/>
          <w:sz w:val="24"/>
          <w:szCs w:val="24"/>
        </w:rPr>
        <w:br/>
        <w:t>Transmission and distribution lines are frequently overloaded due to rapidly growing demand that is not matched by adequate capacity reinforcement. This results in additional losses and increased outage risks.</w:t>
      </w:r>
    </w:p>
    <w:p w14:paraId="3ADC5932" w14:textId="77777777" w:rsidR="00287501" w:rsidRPr="00287501" w:rsidRDefault="00287501" w:rsidP="00296DE6">
      <w:pPr>
        <w:numPr>
          <w:ilvl w:val="0"/>
          <w:numId w:val="19"/>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Insufficient preventive maintenance:</w:t>
      </w:r>
      <w:r w:rsidRPr="00287501">
        <w:rPr>
          <w:rFonts w:ascii="Century Gothic" w:hAnsi="Century Gothic" w:cs="Times New Roman"/>
          <w:sz w:val="24"/>
          <w:szCs w:val="24"/>
        </w:rPr>
        <w:br/>
        <w:t>Maintenance operations are often delayed due to limited financial resources or inadequate planning, which increases technical failures and cumulative losses.</w:t>
      </w:r>
    </w:p>
    <w:p w14:paraId="32569BB2" w14:textId="77777777" w:rsidR="00287501" w:rsidRPr="00287501" w:rsidRDefault="00287501" w:rsidP="00296DE6">
      <w:pPr>
        <w:numPr>
          <w:ilvl w:val="0"/>
          <w:numId w:val="19"/>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Lack of modern supervision systems (SCADA):</w:t>
      </w:r>
      <w:r w:rsidRPr="00287501">
        <w:rPr>
          <w:rFonts w:ascii="Century Gothic" w:hAnsi="Century Gothic" w:cs="Times New Roman"/>
          <w:sz w:val="24"/>
          <w:szCs w:val="24"/>
        </w:rPr>
        <w:br/>
        <w:t>Most networks still lack advanced monitoring or automation technologies that enable rapid anomaly detection and precise localization of loss-prone areas.</w:t>
      </w:r>
    </w:p>
    <w:p w14:paraId="3F9FCEE9" w14:textId="77777777" w:rsidR="00287501" w:rsidRPr="00287501" w:rsidRDefault="00287501" w:rsidP="00296DE6">
      <w:pPr>
        <w:numPr>
          <w:ilvl w:val="0"/>
          <w:numId w:val="19"/>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Limited integration of renewable energy sources:</w:t>
      </w:r>
      <w:r w:rsidRPr="00287501">
        <w:rPr>
          <w:rFonts w:ascii="Century Gothic" w:hAnsi="Century Gothic" w:cs="Times New Roman"/>
          <w:sz w:val="24"/>
          <w:szCs w:val="24"/>
        </w:rPr>
        <w:br/>
        <w:t>The intermittency of sources such as solar and wind, when poorly integrated into the grid, can cause voltage imbalances and additional losses.</w:t>
      </w:r>
    </w:p>
    <w:p w14:paraId="32FE05C8" w14:textId="51B4C496" w:rsidR="00287501" w:rsidRPr="00287501" w:rsidRDefault="00287501" w:rsidP="00296DE6">
      <w:p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Thus, technical losses are not merely physical constraints but also reflect technological and organizational delays in the management of regional electrical infrastructure.</w:t>
      </w:r>
    </w:p>
    <w:p w14:paraId="56309D5A" w14:textId="77777777" w:rsidR="00287501" w:rsidRPr="00287501" w:rsidRDefault="00287501" w:rsidP="00296DE6">
      <w:pPr>
        <w:spacing w:line="276" w:lineRule="auto"/>
        <w:jc w:val="both"/>
        <w:rPr>
          <w:rFonts w:ascii="Century Gothic" w:hAnsi="Century Gothic" w:cs="Times New Roman"/>
          <w:b/>
          <w:bCs/>
          <w:sz w:val="24"/>
          <w:szCs w:val="24"/>
        </w:rPr>
      </w:pPr>
      <w:r w:rsidRPr="00287501">
        <w:rPr>
          <w:rFonts w:ascii="Century Gothic" w:hAnsi="Century Gothic" w:cs="Times New Roman"/>
          <w:b/>
          <w:bCs/>
          <w:sz w:val="24"/>
          <w:szCs w:val="24"/>
        </w:rPr>
        <w:t>3. Causes of Non-Technical (Commercial) Losses</w:t>
      </w:r>
    </w:p>
    <w:p w14:paraId="22115B6A" w14:textId="77777777" w:rsidR="00287501" w:rsidRPr="00287501" w:rsidRDefault="00287501" w:rsidP="00296DE6">
      <w:p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Commercial losses represent an even more critical share of the problem, exceeding technical losses by more than double. They arise from several socio-economic and institutional factors:</w:t>
      </w:r>
    </w:p>
    <w:p w14:paraId="0EECC38F" w14:textId="77777777" w:rsidR="00287501" w:rsidRPr="00287501" w:rsidRDefault="00287501" w:rsidP="00296DE6">
      <w:pPr>
        <w:numPr>
          <w:ilvl w:val="0"/>
          <w:numId w:val="20"/>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Illegal connections and electricity theft:</w:t>
      </w:r>
      <w:r w:rsidRPr="00287501">
        <w:rPr>
          <w:rFonts w:ascii="Century Gothic" w:hAnsi="Century Gothic" w:cs="Times New Roman"/>
          <w:sz w:val="24"/>
          <w:szCs w:val="24"/>
        </w:rPr>
        <w:br/>
        <w:t>In many countries, unregistered users connect directly to the grid without meters. This phenomenon is particularly widespread in densely populated urban areas and underserved peri-urban neighborhoods.</w:t>
      </w:r>
    </w:p>
    <w:p w14:paraId="2C16F475" w14:textId="77777777" w:rsidR="00287501" w:rsidRPr="00287501" w:rsidRDefault="00287501" w:rsidP="00296DE6">
      <w:pPr>
        <w:numPr>
          <w:ilvl w:val="0"/>
          <w:numId w:val="20"/>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lastRenderedPageBreak/>
        <w:t>Inaccurate billing and obsolete systems:</w:t>
      </w:r>
      <w:r w:rsidRPr="00287501">
        <w:rPr>
          <w:rFonts w:ascii="Century Gothic" w:hAnsi="Century Gothic" w:cs="Times New Roman"/>
          <w:sz w:val="24"/>
          <w:szCs w:val="24"/>
        </w:rPr>
        <w:br/>
        <w:t>Utilities still rely on mechanical meters that are easy to tamper with. In addition, manual meter readings are often inaccurate or falsified, leading to chronic underbilling.</w:t>
      </w:r>
    </w:p>
    <w:p w14:paraId="07ACE621" w14:textId="77777777" w:rsidR="00287501" w:rsidRPr="00287501" w:rsidRDefault="00287501" w:rsidP="00296DE6">
      <w:pPr>
        <w:numPr>
          <w:ilvl w:val="0"/>
          <w:numId w:val="20"/>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Low bill collection rates:</w:t>
      </w:r>
      <w:r w:rsidRPr="00287501">
        <w:rPr>
          <w:rFonts w:ascii="Century Gothic" w:hAnsi="Century Gothic" w:cs="Times New Roman"/>
          <w:sz w:val="24"/>
          <w:szCs w:val="24"/>
        </w:rPr>
        <w:br/>
        <w:t>Unpaid bills represent a significant loss of revenue, particularly from public institutions or state-owned enterprises. In several countries, more than 20% of issued bills are never paid.</w:t>
      </w:r>
    </w:p>
    <w:p w14:paraId="0F052741" w14:textId="77777777" w:rsidR="00287501" w:rsidRPr="00287501" w:rsidRDefault="00287501" w:rsidP="00296DE6">
      <w:pPr>
        <w:numPr>
          <w:ilvl w:val="0"/>
          <w:numId w:val="20"/>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Corruption and lack of transparency:</w:t>
      </w:r>
      <w:r w:rsidRPr="00287501">
        <w:rPr>
          <w:rFonts w:ascii="Century Gothic" w:hAnsi="Century Gothic" w:cs="Times New Roman"/>
          <w:sz w:val="24"/>
          <w:szCs w:val="24"/>
        </w:rPr>
        <w:br/>
        <w:t>Some distribution agents bypass billing procedures or negotiate informal payments with consumers, further aggravating commercial losses.</w:t>
      </w:r>
    </w:p>
    <w:p w14:paraId="53BFA2FB" w14:textId="77777777" w:rsidR="00287501" w:rsidRPr="00287501" w:rsidRDefault="00287501" w:rsidP="00296DE6">
      <w:pPr>
        <w:numPr>
          <w:ilvl w:val="0"/>
          <w:numId w:val="20"/>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Weak governance and regulation:</w:t>
      </w:r>
      <w:r w:rsidRPr="00287501">
        <w:rPr>
          <w:rFonts w:ascii="Century Gothic" w:hAnsi="Century Gothic" w:cs="Times New Roman"/>
          <w:sz w:val="24"/>
          <w:szCs w:val="24"/>
        </w:rPr>
        <w:br/>
        <w:t>The absence of strong and independent regulatory authorities hinders the enforcement of effective sanctions against fraud and internal inefficiencies.</w:t>
      </w:r>
    </w:p>
    <w:p w14:paraId="16FA23E0" w14:textId="3D6180B9" w:rsidR="00287501" w:rsidRPr="00287501" w:rsidRDefault="00287501" w:rsidP="00296DE6">
      <w:p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These commercial losses therefore reflect deep institutional weaknesses and a lack of performance-oriented culture within many electricity utilities.</w:t>
      </w:r>
    </w:p>
    <w:p w14:paraId="153F12C8" w14:textId="77777777" w:rsidR="00287501" w:rsidRPr="00287501" w:rsidRDefault="00287501" w:rsidP="00296DE6">
      <w:pPr>
        <w:spacing w:line="276" w:lineRule="auto"/>
        <w:jc w:val="both"/>
        <w:rPr>
          <w:rFonts w:ascii="Century Gothic" w:hAnsi="Century Gothic" w:cs="Times New Roman"/>
          <w:b/>
          <w:bCs/>
          <w:sz w:val="24"/>
          <w:szCs w:val="24"/>
        </w:rPr>
      </w:pPr>
      <w:r w:rsidRPr="00287501">
        <w:rPr>
          <w:rFonts w:ascii="Century Gothic" w:hAnsi="Century Gothic" w:cs="Times New Roman"/>
          <w:b/>
          <w:bCs/>
          <w:sz w:val="24"/>
          <w:szCs w:val="24"/>
        </w:rPr>
        <w:t>4. Economic and Regional Consequences</w:t>
      </w:r>
    </w:p>
    <w:p w14:paraId="2FC0444B" w14:textId="77777777" w:rsidR="00287501" w:rsidRPr="00287501" w:rsidRDefault="00287501" w:rsidP="00296DE6">
      <w:p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Electricity losses have multiple repercussions on West African economies. From a financial perspective, they directly reduce the revenues of electricity companies, limiting their ability to invest in network maintenance or expansion. This creates a vicious cycle: fewer investments, more outages, higher losses, and declining financial returns.</w:t>
      </w:r>
    </w:p>
    <w:p w14:paraId="7E08CF94" w14:textId="77777777" w:rsidR="00287501" w:rsidRPr="00287501" w:rsidRDefault="00287501" w:rsidP="00296DE6">
      <w:p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At the macroeconomic level, these losses weaken industrial competitiveness, as production costs increase and companies are often forced to rely on private generators, which are more expensive and polluting. They also undermine the financial viability of regional interconnections, since cross-border energy exchanges cannot be fully profitable as long as national losses remain high.</w:t>
      </w:r>
    </w:p>
    <w:p w14:paraId="149610BD" w14:textId="470B6B08" w:rsidR="00287501" w:rsidRPr="00287501" w:rsidRDefault="00287501" w:rsidP="00296DE6">
      <w:p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From a social standpoint, service quality deteriorates: frequent outages, voltage instability, damage to household appliances, and consumer dissatisfaction. This situation fuels mistrust toward public utilities and perpetuates the cycle of fraud.</w:t>
      </w:r>
    </w:p>
    <w:p w14:paraId="5C0CEEF0" w14:textId="77777777" w:rsidR="00287501" w:rsidRPr="00287501" w:rsidRDefault="00287501" w:rsidP="00296DE6">
      <w:pPr>
        <w:spacing w:line="276" w:lineRule="auto"/>
        <w:jc w:val="both"/>
        <w:rPr>
          <w:rFonts w:ascii="Century Gothic" w:hAnsi="Century Gothic" w:cs="Times New Roman"/>
          <w:b/>
          <w:bCs/>
          <w:sz w:val="24"/>
          <w:szCs w:val="24"/>
        </w:rPr>
      </w:pPr>
      <w:r w:rsidRPr="00287501">
        <w:rPr>
          <w:rFonts w:ascii="Century Gothic" w:hAnsi="Century Gothic" w:cs="Times New Roman"/>
          <w:b/>
          <w:bCs/>
          <w:sz w:val="24"/>
          <w:szCs w:val="24"/>
        </w:rPr>
        <w:t>5. Mitigation Pathways and Strategic Measures</w:t>
      </w:r>
    </w:p>
    <w:p w14:paraId="77374394" w14:textId="77777777" w:rsidR="00287501" w:rsidRPr="00287501" w:rsidRDefault="00287501" w:rsidP="00296DE6">
      <w:pPr>
        <w:spacing w:line="276" w:lineRule="auto"/>
        <w:jc w:val="both"/>
        <w:rPr>
          <w:rFonts w:ascii="Century Gothic" w:hAnsi="Century Gothic" w:cs="Times New Roman"/>
          <w:sz w:val="24"/>
          <w:szCs w:val="24"/>
        </w:rPr>
      </w:pPr>
      <w:r w:rsidRPr="00287501">
        <w:rPr>
          <w:rFonts w:ascii="Century Gothic" w:hAnsi="Century Gothic" w:cs="Times New Roman"/>
          <w:b/>
          <w:bCs/>
          <w:sz w:val="24"/>
          <w:szCs w:val="24"/>
        </w:rPr>
        <w:lastRenderedPageBreak/>
        <w:t xml:space="preserve">To sustainably reduce electricity losses and strengthen the reliability of the interconnected </w:t>
      </w:r>
      <w:r w:rsidRPr="00287501">
        <w:rPr>
          <w:rFonts w:ascii="Century Gothic" w:hAnsi="Century Gothic" w:cs="Times New Roman"/>
          <w:sz w:val="24"/>
          <w:szCs w:val="24"/>
        </w:rPr>
        <w:t>West African grid, several strategic actions can be considered:</w:t>
      </w:r>
    </w:p>
    <w:p w14:paraId="1E286F2B" w14:textId="77777777" w:rsidR="00287501" w:rsidRPr="00287501" w:rsidRDefault="00287501" w:rsidP="00296DE6">
      <w:pPr>
        <w:numPr>
          <w:ilvl w:val="0"/>
          <w:numId w:val="21"/>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Infrastructure modernization:</w:t>
      </w:r>
      <w:r w:rsidRPr="00287501">
        <w:rPr>
          <w:rFonts w:ascii="Century Gothic" w:hAnsi="Century Gothic" w:cs="Times New Roman"/>
          <w:sz w:val="24"/>
          <w:szCs w:val="24"/>
        </w:rPr>
        <w:br/>
        <w:t>Replacing obsolete lines, upgrading transformers, and installing high-efficiency equipment. The gradual rehabilitation of distribution networks is an absolute priority.</w:t>
      </w:r>
    </w:p>
    <w:p w14:paraId="103D7567" w14:textId="77777777" w:rsidR="00287501" w:rsidRPr="00287501" w:rsidRDefault="00287501" w:rsidP="00296DE6">
      <w:pPr>
        <w:numPr>
          <w:ilvl w:val="0"/>
          <w:numId w:val="21"/>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Digitalization and smart metering:</w:t>
      </w:r>
      <w:r w:rsidRPr="00287501">
        <w:rPr>
          <w:rFonts w:ascii="Century Gothic" w:hAnsi="Century Gothic" w:cs="Times New Roman"/>
          <w:sz w:val="24"/>
          <w:szCs w:val="24"/>
        </w:rPr>
        <w:br/>
        <w:t>The deployment of smart meters enables fraud detection, improves billing accuracy, and enhances transparency in electricity consumption.</w:t>
      </w:r>
    </w:p>
    <w:p w14:paraId="20CDAD69" w14:textId="77777777" w:rsidR="00287501" w:rsidRPr="00287501" w:rsidRDefault="00287501" w:rsidP="00296DE6">
      <w:pPr>
        <w:numPr>
          <w:ilvl w:val="0"/>
          <w:numId w:val="21"/>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Strengthening governance and regulatory frameworks:</w:t>
      </w:r>
      <w:r w:rsidRPr="00287501">
        <w:rPr>
          <w:rFonts w:ascii="Century Gothic" w:hAnsi="Century Gothic" w:cs="Times New Roman"/>
          <w:sz w:val="24"/>
          <w:szCs w:val="24"/>
        </w:rPr>
        <w:br/>
        <w:t>The establishment of harmonized regional regulatory authorities within the WAPP would facilitate the enforcement of common standards for performance and loss reduction.</w:t>
      </w:r>
    </w:p>
    <w:p w14:paraId="0D826971" w14:textId="77777777" w:rsidR="00287501" w:rsidRPr="00287501" w:rsidRDefault="00287501" w:rsidP="00296DE6">
      <w:pPr>
        <w:numPr>
          <w:ilvl w:val="0"/>
          <w:numId w:val="21"/>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Training and professionalization of personnel:</w:t>
      </w:r>
      <w:r w:rsidRPr="00287501">
        <w:rPr>
          <w:rFonts w:ascii="Century Gothic" w:hAnsi="Century Gothic" w:cs="Times New Roman"/>
          <w:sz w:val="24"/>
          <w:szCs w:val="24"/>
        </w:rPr>
        <w:br/>
        <w:t>Developing technical and managerial skills within electricity utilities is essential to improve maintenance, fault diagnosis, and commercial management.</w:t>
      </w:r>
    </w:p>
    <w:p w14:paraId="5F13D4CA" w14:textId="77777777" w:rsidR="00287501" w:rsidRPr="00287501" w:rsidRDefault="00287501" w:rsidP="00296DE6">
      <w:pPr>
        <w:numPr>
          <w:ilvl w:val="0"/>
          <w:numId w:val="21"/>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Consumer awareness and accountability:</w:t>
      </w:r>
      <w:r w:rsidRPr="00287501">
        <w:rPr>
          <w:rFonts w:ascii="Century Gothic" w:hAnsi="Century Gothic" w:cs="Times New Roman"/>
          <w:sz w:val="24"/>
          <w:szCs w:val="24"/>
        </w:rPr>
        <w:br/>
        <w:t>Effective communication on the economic consequences of electricity losses can encourage citizens to adopt more responsible behaviors and report fraudulent practices.</w:t>
      </w:r>
    </w:p>
    <w:p w14:paraId="38E1E9C1" w14:textId="2E3AB105" w:rsidR="00F6011B" w:rsidRPr="00B85382" w:rsidRDefault="00287501" w:rsidP="00296DE6">
      <w:pPr>
        <w:numPr>
          <w:ilvl w:val="0"/>
          <w:numId w:val="21"/>
        </w:numPr>
        <w:spacing w:line="276" w:lineRule="auto"/>
        <w:jc w:val="both"/>
        <w:rPr>
          <w:rFonts w:ascii="Century Gothic" w:hAnsi="Century Gothic" w:cs="Times New Roman"/>
          <w:sz w:val="24"/>
          <w:szCs w:val="24"/>
        </w:rPr>
      </w:pPr>
      <w:r w:rsidRPr="00287501">
        <w:rPr>
          <w:rFonts w:ascii="Century Gothic" w:hAnsi="Century Gothic" w:cs="Times New Roman"/>
          <w:sz w:val="24"/>
          <w:szCs w:val="24"/>
        </w:rPr>
        <w:t>Use of advanced monitoring technologies (SCADA, IoT, AI):</w:t>
      </w:r>
      <w:r w:rsidRPr="00287501">
        <w:rPr>
          <w:rFonts w:ascii="Century Gothic" w:hAnsi="Century Gothic" w:cs="Times New Roman"/>
          <w:sz w:val="24"/>
          <w:szCs w:val="24"/>
        </w:rPr>
        <w:br/>
        <w:t>The integration of advanced supervision, Internet of Things, and artificial intelligence solutions can enable real-time monitoring, predictive maintenance, and optimized loss reduction strategies across the regional grid.</w:t>
      </w:r>
    </w:p>
    <w:p w14:paraId="5A789681" w14:textId="77777777" w:rsidR="00F6011B" w:rsidRPr="00B85382" w:rsidRDefault="00F6011B" w:rsidP="00296DE6">
      <w:pPr>
        <w:spacing w:line="276" w:lineRule="auto"/>
        <w:jc w:val="both"/>
        <w:rPr>
          <w:rFonts w:ascii="Century Gothic" w:hAnsi="Century Gothic"/>
          <w:sz w:val="24"/>
          <w:szCs w:val="24"/>
        </w:rPr>
      </w:pPr>
      <w:r w:rsidRPr="00B85382">
        <w:rPr>
          <w:rFonts w:ascii="Century Gothic" w:hAnsi="Century Gothic" w:cs="Times New Roman"/>
          <w:sz w:val="24"/>
          <w:szCs w:val="24"/>
        </w:rPr>
        <w:t xml:space="preserve"> </w:t>
      </w:r>
      <w:r w:rsidRPr="00B85382">
        <w:rPr>
          <w:rFonts w:ascii="Century Gothic" w:hAnsi="Century Gothic"/>
          <w:b/>
          <w:bCs/>
          <w:sz w:val="24"/>
          <w:szCs w:val="24"/>
        </w:rPr>
        <w:t>2. Materials and Methods</w:t>
      </w:r>
    </w:p>
    <w:p w14:paraId="5F32B551" w14:textId="77777777" w:rsidR="00F6011B" w:rsidRPr="00F6011B" w:rsidRDefault="00F6011B" w:rsidP="00296DE6">
      <w:pPr>
        <w:spacing w:line="276" w:lineRule="auto"/>
        <w:jc w:val="both"/>
        <w:rPr>
          <w:rFonts w:ascii="Century Gothic" w:hAnsi="Century Gothic" w:cs="Times New Roman"/>
          <w:sz w:val="24"/>
          <w:szCs w:val="24"/>
        </w:rPr>
      </w:pPr>
      <w:r w:rsidRPr="00F6011B">
        <w:rPr>
          <w:rFonts w:ascii="Century Gothic" w:hAnsi="Century Gothic" w:cs="Times New Roman"/>
          <w:sz w:val="24"/>
          <w:szCs w:val="24"/>
        </w:rPr>
        <w:t xml:space="preserve">The data used in this study are drawn from regional reports published by the Economic Community of West African States (ECOWAS) and its specialized agencies, notably the West Africa Power Pool (WAPP) and the ECOWAS Regional Electricity Regulatory Authority (ERERA). According to 2022 statistics, the average technical losses recorded by electricity distribution companies in the West African region are estimated at 9.1%, while non-technical (commercial) losses reach </w:t>
      </w:r>
      <w:r w:rsidRPr="00F6011B">
        <w:rPr>
          <w:rFonts w:ascii="Century Gothic" w:hAnsi="Century Gothic" w:cs="Times New Roman"/>
          <w:sz w:val="24"/>
          <w:szCs w:val="24"/>
        </w:rPr>
        <w:lastRenderedPageBreak/>
        <w:t>approximately 21% in several member countries. These figures reflect significant structural imbalances within national and regional power grids.</w:t>
      </w:r>
    </w:p>
    <w:p w14:paraId="3762D831" w14:textId="77777777" w:rsidR="00F6011B" w:rsidRPr="00F6011B" w:rsidRDefault="00F6011B" w:rsidP="00296DE6">
      <w:pPr>
        <w:spacing w:line="276" w:lineRule="auto"/>
        <w:jc w:val="both"/>
        <w:rPr>
          <w:rFonts w:ascii="Century Gothic" w:hAnsi="Century Gothic" w:cs="Times New Roman"/>
          <w:sz w:val="24"/>
          <w:szCs w:val="24"/>
        </w:rPr>
      </w:pPr>
      <w:r w:rsidRPr="00F6011B">
        <w:rPr>
          <w:rFonts w:ascii="Century Gothic" w:hAnsi="Century Gothic" w:cs="Times New Roman"/>
          <w:sz w:val="24"/>
          <w:szCs w:val="24"/>
        </w:rPr>
        <w:t>The analysis is based on a comparison of these values with international standards, which generally range between 5% and 10%, as well as on an in-depth examination of the underlying explanatory factors. Technical losses mainly result from aging infrastructure, overloads on transmission lines, and a lack of preventive maintenance. Non-technical losses, on the other hand, are associated with illegal connections, meter tampering, inaccurate billing, and low revenue collection rates.</w:t>
      </w:r>
    </w:p>
    <w:p w14:paraId="496AB98A" w14:textId="7CA55881" w:rsidR="00A24F29" w:rsidRDefault="00F6011B" w:rsidP="00296DE6">
      <w:pPr>
        <w:spacing w:line="276" w:lineRule="auto"/>
        <w:jc w:val="both"/>
        <w:rPr>
          <w:rFonts w:ascii="Century Gothic" w:hAnsi="Century Gothic" w:cs="Times New Roman"/>
          <w:sz w:val="24"/>
          <w:szCs w:val="24"/>
        </w:rPr>
      </w:pPr>
      <w:r w:rsidRPr="00F6011B">
        <w:rPr>
          <w:rFonts w:ascii="Century Gothic" w:hAnsi="Century Gothic" w:cs="Times New Roman"/>
          <w:sz w:val="24"/>
          <w:szCs w:val="24"/>
        </w:rPr>
        <w:t>This assessment highlights the need for grid modernization, the integration of smart technologies, and the strengthening of regional energy governance in order to improve the performance, profitability, and sustainability of the West African electricity sector.</w:t>
      </w:r>
    </w:p>
    <w:p w14:paraId="0E06A872" w14:textId="77777777" w:rsidR="001C24FC" w:rsidRDefault="001C24FC" w:rsidP="00296DE6">
      <w:pPr>
        <w:spacing w:line="276" w:lineRule="auto"/>
        <w:jc w:val="both"/>
        <w:rPr>
          <w:rFonts w:ascii="Century Gothic" w:hAnsi="Century Gothic" w:cs="Times New Roman"/>
          <w:sz w:val="24"/>
          <w:szCs w:val="24"/>
        </w:rPr>
      </w:pPr>
    </w:p>
    <w:p w14:paraId="2662A775" w14:textId="77777777" w:rsidR="001C24FC" w:rsidRDefault="001C24FC" w:rsidP="00296DE6">
      <w:pPr>
        <w:spacing w:line="276" w:lineRule="auto"/>
        <w:jc w:val="both"/>
        <w:rPr>
          <w:rFonts w:ascii="Century Gothic" w:hAnsi="Century Gothic" w:cs="Times New Roman"/>
          <w:sz w:val="24"/>
          <w:szCs w:val="24"/>
        </w:rPr>
      </w:pPr>
    </w:p>
    <w:p w14:paraId="0847A7F7" w14:textId="77777777" w:rsidR="001C24FC" w:rsidRDefault="001C24FC" w:rsidP="00296DE6">
      <w:pPr>
        <w:spacing w:line="276" w:lineRule="auto"/>
        <w:jc w:val="both"/>
        <w:rPr>
          <w:rFonts w:ascii="Century Gothic" w:hAnsi="Century Gothic" w:cs="Times New Roman"/>
          <w:sz w:val="24"/>
          <w:szCs w:val="24"/>
        </w:rPr>
      </w:pPr>
    </w:p>
    <w:p w14:paraId="5D28F96F" w14:textId="77777777" w:rsidR="001C24FC" w:rsidRDefault="001C24FC" w:rsidP="00296DE6">
      <w:pPr>
        <w:spacing w:line="276" w:lineRule="auto"/>
        <w:jc w:val="both"/>
        <w:rPr>
          <w:rFonts w:ascii="Century Gothic" w:hAnsi="Century Gothic" w:cs="Times New Roman"/>
          <w:sz w:val="24"/>
          <w:szCs w:val="24"/>
        </w:rPr>
      </w:pPr>
    </w:p>
    <w:p w14:paraId="01B3041D" w14:textId="77777777" w:rsidR="001C24FC" w:rsidRDefault="001C24FC" w:rsidP="00296DE6">
      <w:pPr>
        <w:spacing w:line="276" w:lineRule="auto"/>
        <w:jc w:val="both"/>
        <w:rPr>
          <w:rFonts w:ascii="Century Gothic" w:hAnsi="Century Gothic" w:cs="Times New Roman"/>
          <w:sz w:val="24"/>
          <w:szCs w:val="24"/>
        </w:rPr>
      </w:pPr>
    </w:p>
    <w:p w14:paraId="746BDA8B" w14:textId="77777777" w:rsidR="001C24FC" w:rsidRDefault="001C24FC" w:rsidP="00296DE6">
      <w:pPr>
        <w:spacing w:line="276" w:lineRule="auto"/>
        <w:jc w:val="both"/>
        <w:rPr>
          <w:rFonts w:ascii="Century Gothic" w:hAnsi="Century Gothic" w:cs="Times New Roman"/>
          <w:sz w:val="24"/>
          <w:szCs w:val="24"/>
        </w:rPr>
      </w:pPr>
    </w:p>
    <w:p w14:paraId="2B1F4C0D" w14:textId="77777777" w:rsidR="001C24FC" w:rsidRDefault="001C24FC" w:rsidP="00296DE6">
      <w:pPr>
        <w:spacing w:line="276" w:lineRule="auto"/>
        <w:jc w:val="both"/>
        <w:rPr>
          <w:rFonts w:ascii="Century Gothic" w:hAnsi="Century Gothic" w:cs="Times New Roman"/>
          <w:sz w:val="24"/>
          <w:szCs w:val="24"/>
        </w:rPr>
      </w:pPr>
    </w:p>
    <w:p w14:paraId="4A14E988" w14:textId="77777777" w:rsidR="001C24FC" w:rsidRDefault="001C24FC" w:rsidP="00296DE6">
      <w:pPr>
        <w:spacing w:line="276" w:lineRule="auto"/>
        <w:jc w:val="both"/>
        <w:rPr>
          <w:rFonts w:ascii="Century Gothic" w:hAnsi="Century Gothic" w:cs="Times New Roman"/>
          <w:sz w:val="24"/>
          <w:szCs w:val="24"/>
        </w:rPr>
      </w:pPr>
    </w:p>
    <w:p w14:paraId="559A0B39" w14:textId="77777777" w:rsidR="001C24FC" w:rsidRDefault="001C24FC" w:rsidP="00296DE6">
      <w:pPr>
        <w:spacing w:line="276" w:lineRule="auto"/>
        <w:jc w:val="both"/>
        <w:rPr>
          <w:rFonts w:ascii="Century Gothic" w:hAnsi="Century Gothic" w:cs="Times New Roman"/>
          <w:sz w:val="24"/>
          <w:szCs w:val="24"/>
        </w:rPr>
      </w:pPr>
    </w:p>
    <w:p w14:paraId="44E1D73F" w14:textId="77777777" w:rsidR="001C24FC" w:rsidRDefault="001C24FC" w:rsidP="00296DE6">
      <w:pPr>
        <w:spacing w:line="276" w:lineRule="auto"/>
        <w:jc w:val="both"/>
        <w:rPr>
          <w:rFonts w:ascii="Century Gothic" w:hAnsi="Century Gothic" w:cs="Times New Roman"/>
          <w:sz w:val="24"/>
          <w:szCs w:val="24"/>
        </w:rPr>
      </w:pPr>
    </w:p>
    <w:p w14:paraId="7A0B5098" w14:textId="77777777" w:rsidR="001C24FC" w:rsidRDefault="001C24FC" w:rsidP="00296DE6">
      <w:pPr>
        <w:spacing w:line="276" w:lineRule="auto"/>
        <w:jc w:val="both"/>
        <w:rPr>
          <w:rFonts w:ascii="Century Gothic" w:hAnsi="Century Gothic" w:cs="Times New Roman"/>
          <w:sz w:val="24"/>
          <w:szCs w:val="24"/>
        </w:rPr>
      </w:pPr>
    </w:p>
    <w:p w14:paraId="2316C1E1" w14:textId="77777777" w:rsidR="001C24FC" w:rsidRDefault="001C24FC" w:rsidP="00296DE6">
      <w:pPr>
        <w:spacing w:line="276" w:lineRule="auto"/>
        <w:jc w:val="both"/>
        <w:rPr>
          <w:rFonts w:ascii="Century Gothic" w:hAnsi="Century Gothic" w:cs="Times New Roman"/>
          <w:sz w:val="24"/>
          <w:szCs w:val="24"/>
        </w:rPr>
      </w:pPr>
    </w:p>
    <w:p w14:paraId="383F8B5E" w14:textId="77777777" w:rsidR="001C24FC" w:rsidRPr="00287501" w:rsidRDefault="001C24FC" w:rsidP="00296DE6">
      <w:pPr>
        <w:spacing w:line="276" w:lineRule="auto"/>
        <w:jc w:val="both"/>
        <w:rPr>
          <w:rFonts w:ascii="Century Gothic" w:hAnsi="Century Gothic" w:cs="Times New Roman"/>
          <w:sz w:val="24"/>
          <w:szCs w:val="24"/>
        </w:rPr>
      </w:pPr>
    </w:p>
    <w:p w14:paraId="6411DBF5" w14:textId="77777777" w:rsidR="00C33E88" w:rsidRPr="00C33E88" w:rsidRDefault="00C33E88" w:rsidP="00296DE6">
      <w:pPr>
        <w:spacing w:line="276" w:lineRule="auto"/>
        <w:jc w:val="both"/>
        <w:rPr>
          <w:rFonts w:ascii="Century Gothic" w:hAnsi="Century Gothic" w:cs="Times New Roman"/>
          <w:b/>
          <w:bCs/>
          <w:sz w:val="24"/>
          <w:szCs w:val="24"/>
        </w:rPr>
      </w:pPr>
      <w:r w:rsidRPr="00C33E88">
        <w:rPr>
          <w:rFonts w:ascii="Century Gothic" w:hAnsi="Century Gothic" w:cs="Times New Roman"/>
          <w:b/>
          <w:bCs/>
          <w:sz w:val="24"/>
          <w:szCs w:val="24"/>
        </w:rPr>
        <w:t>3. Results</w:t>
      </w:r>
    </w:p>
    <w:p w14:paraId="1C3022FE" w14:textId="77777777" w:rsidR="00C33E88" w:rsidRPr="00C33E88" w:rsidRDefault="00C33E88" w:rsidP="00296DE6">
      <w:pPr>
        <w:spacing w:line="276" w:lineRule="auto"/>
        <w:jc w:val="both"/>
        <w:rPr>
          <w:rFonts w:ascii="Century Gothic" w:hAnsi="Century Gothic" w:cs="Times New Roman"/>
          <w:b/>
          <w:bCs/>
          <w:sz w:val="24"/>
          <w:szCs w:val="24"/>
        </w:rPr>
      </w:pPr>
      <w:r w:rsidRPr="00C33E88">
        <w:rPr>
          <w:rFonts w:ascii="Century Gothic" w:hAnsi="Century Gothic" w:cs="Times New Roman"/>
          <w:b/>
          <w:bCs/>
          <w:sz w:val="24"/>
          <w:szCs w:val="24"/>
        </w:rPr>
        <w:t>3.1 Technical Losses</w:t>
      </w:r>
    </w:p>
    <w:p w14:paraId="1392CD53" w14:textId="74001F5D" w:rsidR="00DD3167" w:rsidRDefault="00C33E88" w:rsidP="00296DE6">
      <w:pPr>
        <w:spacing w:line="276" w:lineRule="auto"/>
        <w:jc w:val="both"/>
        <w:rPr>
          <w:rFonts w:ascii="Century Gothic" w:hAnsi="Century Gothic" w:cs="Times New Roman"/>
          <w:b/>
          <w:bCs/>
          <w:sz w:val="24"/>
          <w:szCs w:val="24"/>
        </w:rPr>
      </w:pPr>
      <w:r w:rsidRPr="00C33E88">
        <w:rPr>
          <w:rFonts w:ascii="Century Gothic" w:hAnsi="Century Gothic" w:cs="Times New Roman"/>
          <w:sz w:val="24"/>
          <w:szCs w:val="24"/>
        </w:rPr>
        <w:lastRenderedPageBreak/>
        <w:t>In 2022, the average level of technical losses in the electricity networks of West Africa was estimated at 9.1%. These losses correspond to energy physically dissipated during transmission and distribution, mainly in the form of heat in cables and transformers</w:t>
      </w:r>
      <w:r w:rsidRPr="00C33E88">
        <w:rPr>
          <w:rFonts w:ascii="Century Gothic" w:hAnsi="Century Gothic" w:cs="Times New Roman"/>
          <w:b/>
          <w:bCs/>
          <w:sz w:val="24"/>
          <w:szCs w:val="24"/>
        </w:rPr>
        <w:t>.</w:t>
      </w:r>
    </w:p>
    <w:p w14:paraId="3E76D0D5" w14:textId="77777777" w:rsidR="000A071B" w:rsidRPr="00B85382" w:rsidRDefault="000A071B" w:rsidP="00296DE6">
      <w:pPr>
        <w:spacing w:line="276" w:lineRule="auto"/>
        <w:jc w:val="both"/>
        <w:rPr>
          <w:rFonts w:ascii="Century Gothic" w:hAnsi="Century Gothic" w:cs="Times New Roman"/>
          <w:b/>
          <w:bCs/>
          <w:sz w:val="24"/>
          <w:szCs w:val="24"/>
        </w:rPr>
      </w:pPr>
      <w:r>
        <w:rPr>
          <w:rFonts w:ascii="Century Gothic" w:hAnsi="Century Gothic" w:cs="Times New Roman"/>
          <w:b/>
          <w:bCs/>
          <w:sz w:val="24"/>
          <w:szCs w:val="24"/>
        </w:rPr>
        <w:t xml:space="preserve">TABLE 1. Technical losses (%) in different countries </w:t>
      </w:r>
    </w:p>
    <w:tbl>
      <w:tblPr>
        <w:tblStyle w:val="TableGrid"/>
        <w:tblW w:w="10060" w:type="dxa"/>
        <w:tblLook w:val="04A0" w:firstRow="1" w:lastRow="0" w:firstColumn="1" w:lastColumn="0" w:noHBand="0" w:noVBand="1"/>
      </w:tblPr>
      <w:tblGrid>
        <w:gridCol w:w="3116"/>
        <w:gridCol w:w="3117"/>
        <w:gridCol w:w="3827"/>
      </w:tblGrid>
      <w:tr w:rsidR="00B85382" w:rsidRPr="00B85382" w14:paraId="4928AB7F" w14:textId="77777777" w:rsidTr="001800A3">
        <w:tc>
          <w:tcPr>
            <w:tcW w:w="3116" w:type="dxa"/>
          </w:tcPr>
          <w:p w14:paraId="71825D9B" w14:textId="715086C7" w:rsidR="00B85382" w:rsidRPr="001C24FC" w:rsidRDefault="00B85382" w:rsidP="00296DE6">
            <w:pPr>
              <w:spacing w:line="276" w:lineRule="auto"/>
              <w:jc w:val="both"/>
              <w:rPr>
                <w:rFonts w:ascii="Century Gothic" w:hAnsi="Century Gothic" w:cs="Times New Roman"/>
                <w:sz w:val="24"/>
                <w:szCs w:val="24"/>
                <w:lang w:val="fr-FR"/>
              </w:rPr>
            </w:pPr>
            <w:r w:rsidRPr="001C24FC">
              <w:rPr>
                <w:rStyle w:val="Strong"/>
                <w:rFonts w:ascii="Century Gothic" w:hAnsi="Century Gothic"/>
                <w:sz w:val="24"/>
                <w:szCs w:val="24"/>
              </w:rPr>
              <w:t xml:space="preserve">Country </w:t>
            </w:r>
          </w:p>
        </w:tc>
        <w:tc>
          <w:tcPr>
            <w:tcW w:w="3117" w:type="dxa"/>
          </w:tcPr>
          <w:p w14:paraId="314DEC49" w14:textId="3D2628E5" w:rsidR="00B85382" w:rsidRPr="001C24FC" w:rsidRDefault="00B85382" w:rsidP="00296DE6">
            <w:pPr>
              <w:spacing w:line="276" w:lineRule="auto"/>
              <w:jc w:val="both"/>
              <w:rPr>
                <w:rFonts w:ascii="Century Gothic" w:hAnsi="Century Gothic" w:cs="Times New Roman"/>
                <w:sz w:val="24"/>
                <w:szCs w:val="24"/>
                <w:lang w:val="fr-FR"/>
              </w:rPr>
            </w:pPr>
            <w:r w:rsidRPr="001C24FC">
              <w:rPr>
                <w:rStyle w:val="Strong"/>
                <w:rFonts w:ascii="Century Gothic" w:hAnsi="Century Gothic"/>
                <w:sz w:val="24"/>
                <w:szCs w:val="24"/>
              </w:rPr>
              <w:t xml:space="preserve"> Technical Losses (%) </w:t>
            </w:r>
          </w:p>
        </w:tc>
        <w:tc>
          <w:tcPr>
            <w:tcW w:w="3827" w:type="dxa"/>
          </w:tcPr>
          <w:p w14:paraId="156E726E" w14:textId="07C24E82" w:rsidR="00B85382" w:rsidRPr="001C24FC" w:rsidRDefault="00B85382" w:rsidP="00296DE6">
            <w:pPr>
              <w:spacing w:line="276" w:lineRule="auto"/>
              <w:jc w:val="both"/>
              <w:rPr>
                <w:rFonts w:ascii="Century Gothic" w:hAnsi="Century Gothic" w:cs="Times New Roman"/>
                <w:sz w:val="24"/>
                <w:szCs w:val="24"/>
                <w:lang w:val="fr-FR"/>
              </w:rPr>
            </w:pPr>
            <w:r w:rsidRPr="001C24FC">
              <w:rPr>
                <w:rStyle w:val="Strong"/>
                <w:rFonts w:ascii="Century Gothic" w:hAnsi="Century Gothic"/>
                <w:sz w:val="24"/>
                <w:szCs w:val="24"/>
              </w:rPr>
              <w:t>Remarks</w:t>
            </w:r>
          </w:p>
        </w:tc>
      </w:tr>
      <w:tr w:rsidR="00B85382" w:rsidRPr="00B85382" w14:paraId="53A06310" w14:textId="77777777" w:rsidTr="00B63102">
        <w:tc>
          <w:tcPr>
            <w:tcW w:w="3116" w:type="dxa"/>
          </w:tcPr>
          <w:p w14:paraId="3847F031" w14:textId="280AFFB1" w:rsidR="00B85382" w:rsidRPr="001C24FC" w:rsidRDefault="00B37CE7" w:rsidP="00296DE6">
            <w:pPr>
              <w:spacing w:line="276" w:lineRule="auto"/>
              <w:jc w:val="both"/>
              <w:rPr>
                <w:rFonts w:ascii="Century Gothic" w:hAnsi="Century Gothic" w:cs="Times New Roman"/>
                <w:sz w:val="24"/>
                <w:szCs w:val="24"/>
                <w:lang w:val="fr-FR"/>
              </w:rPr>
            </w:pPr>
            <w:r w:rsidRPr="001C24FC">
              <w:rPr>
                <w:rStyle w:val="Strong"/>
                <w:rFonts w:ascii="Century Gothic" w:hAnsi="Century Gothic"/>
                <w:sz w:val="24"/>
                <w:szCs w:val="24"/>
              </w:rPr>
              <w:t>L</w:t>
            </w:r>
            <w:r w:rsidR="00B85382" w:rsidRPr="001C24FC">
              <w:rPr>
                <w:rStyle w:val="Strong"/>
                <w:rFonts w:ascii="Century Gothic" w:hAnsi="Century Gothic"/>
                <w:sz w:val="24"/>
                <w:szCs w:val="24"/>
              </w:rPr>
              <w:t>iberia</w:t>
            </w:r>
          </w:p>
        </w:tc>
        <w:tc>
          <w:tcPr>
            <w:tcW w:w="3117" w:type="dxa"/>
            <w:vAlign w:val="center"/>
          </w:tcPr>
          <w:p w14:paraId="3AD66576" w14:textId="6B5BF5F6" w:rsidR="00B85382" w:rsidRPr="001C24FC" w:rsidRDefault="00B85382" w:rsidP="00296DE6">
            <w:pPr>
              <w:spacing w:line="276" w:lineRule="auto"/>
              <w:jc w:val="both"/>
              <w:rPr>
                <w:rFonts w:ascii="Century Gothic" w:hAnsi="Century Gothic" w:cs="Times New Roman"/>
                <w:sz w:val="24"/>
                <w:szCs w:val="24"/>
                <w:lang w:val="fr-FR"/>
              </w:rPr>
            </w:pPr>
            <w:r w:rsidRPr="001C24FC">
              <w:rPr>
                <w:rFonts w:ascii="Century Gothic" w:hAnsi="Century Gothic" w:cs="Times New Roman"/>
                <w:sz w:val="24"/>
                <w:szCs w:val="24"/>
              </w:rPr>
              <w:t>15,0</w:t>
            </w:r>
          </w:p>
        </w:tc>
        <w:tc>
          <w:tcPr>
            <w:tcW w:w="3827" w:type="dxa"/>
          </w:tcPr>
          <w:p w14:paraId="4DFF3BA7" w14:textId="789C1224" w:rsidR="00B85382" w:rsidRPr="001C24FC" w:rsidRDefault="00B85382" w:rsidP="00296DE6">
            <w:pPr>
              <w:spacing w:line="276" w:lineRule="auto"/>
              <w:jc w:val="both"/>
              <w:rPr>
                <w:rFonts w:ascii="Century Gothic" w:hAnsi="Century Gothic" w:cs="Times New Roman"/>
                <w:b/>
                <w:bCs/>
                <w:sz w:val="24"/>
                <w:szCs w:val="24"/>
              </w:rPr>
            </w:pPr>
            <w:r w:rsidRPr="001C24FC">
              <w:rPr>
                <w:rFonts w:ascii="Century Gothic" w:hAnsi="Century Gothic"/>
                <w:sz w:val="24"/>
                <w:szCs w:val="24"/>
              </w:rPr>
              <w:t xml:space="preserve"> </w:t>
            </w:r>
            <w:r w:rsidRPr="001C24FC">
              <w:rPr>
                <w:rFonts w:ascii="Century Gothic" w:hAnsi="Century Gothic"/>
                <w:b/>
                <w:bCs/>
                <w:sz w:val="24"/>
                <w:szCs w:val="24"/>
              </w:rPr>
              <w:t>G</w:t>
            </w:r>
            <w:r w:rsidRPr="001C24FC">
              <w:rPr>
                <w:rStyle w:val="Strong"/>
                <w:rFonts w:ascii="Century Gothic" w:hAnsi="Century Gothic"/>
                <w:b w:val="0"/>
                <w:bCs w:val="0"/>
                <w:sz w:val="24"/>
                <w:szCs w:val="24"/>
              </w:rPr>
              <w:t>ing, undersized, and poorly maintained networks</w:t>
            </w:r>
          </w:p>
        </w:tc>
      </w:tr>
      <w:tr w:rsidR="00B85382" w:rsidRPr="00B85382" w14:paraId="096E1924" w14:textId="77777777" w:rsidTr="00B63102">
        <w:tc>
          <w:tcPr>
            <w:tcW w:w="3116" w:type="dxa"/>
          </w:tcPr>
          <w:p w14:paraId="4B053E25" w14:textId="7B6F01E0" w:rsidR="00B85382" w:rsidRPr="001C24FC" w:rsidRDefault="00B85382" w:rsidP="00296DE6">
            <w:pPr>
              <w:spacing w:line="276" w:lineRule="auto"/>
              <w:jc w:val="both"/>
              <w:rPr>
                <w:rFonts w:ascii="Century Gothic" w:hAnsi="Century Gothic" w:cs="Times New Roman"/>
                <w:sz w:val="24"/>
                <w:szCs w:val="24"/>
                <w:lang w:val="fr-FR"/>
              </w:rPr>
            </w:pPr>
            <w:r w:rsidRPr="001C24FC">
              <w:rPr>
                <w:rStyle w:val="Strong"/>
                <w:rFonts w:ascii="Century Gothic" w:hAnsi="Century Gothic"/>
                <w:sz w:val="24"/>
                <w:szCs w:val="24"/>
              </w:rPr>
              <w:t>Guinea-Bissau</w:t>
            </w:r>
          </w:p>
        </w:tc>
        <w:tc>
          <w:tcPr>
            <w:tcW w:w="3117" w:type="dxa"/>
            <w:vAlign w:val="center"/>
          </w:tcPr>
          <w:p w14:paraId="232DE969" w14:textId="78B8EFC7" w:rsidR="00B85382" w:rsidRPr="001C24FC" w:rsidRDefault="00B85382" w:rsidP="00296DE6">
            <w:pPr>
              <w:spacing w:line="276" w:lineRule="auto"/>
              <w:jc w:val="both"/>
              <w:rPr>
                <w:rFonts w:ascii="Century Gothic" w:hAnsi="Century Gothic" w:cs="Times New Roman"/>
                <w:sz w:val="24"/>
                <w:szCs w:val="24"/>
                <w:lang w:val="fr-FR"/>
              </w:rPr>
            </w:pPr>
            <w:r w:rsidRPr="001C24FC">
              <w:rPr>
                <w:rFonts w:ascii="Century Gothic" w:hAnsi="Century Gothic" w:cs="Times New Roman"/>
                <w:sz w:val="24"/>
                <w:szCs w:val="24"/>
              </w:rPr>
              <w:t>13,5</w:t>
            </w:r>
          </w:p>
        </w:tc>
        <w:tc>
          <w:tcPr>
            <w:tcW w:w="3827" w:type="dxa"/>
          </w:tcPr>
          <w:p w14:paraId="33601E10" w14:textId="7DF048AC" w:rsidR="00B85382" w:rsidRPr="001C24FC" w:rsidRDefault="00B85382" w:rsidP="00296DE6">
            <w:pPr>
              <w:spacing w:line="276" w:lineRule="auto"/>
              <w:jc w:val="both"/>
              <w:rPr>
                <w:rFonts w:ascii="Century Gothic" w:hAnsi="Century Gothic" w:cs="Times New Roman"/>
                <w:b/>
                <w:bCs/>
                <w:sz w:val="24"/>
                <w:szCs w:val="24"/>
              </w:rPr>
            </w:pPr>
            <w:r w:rsidRPr="001C24FC">
              <w:rPr>
                <w:rStyle w:val="Strong"/>
                <w:rFonts w:ascii="Century Gothic" w:hAnsi="Century Gothic"/>
                <w:b w:val="0"/>
                <w:bCs w:val="0"/>
                <w:sz w:val="24"/>
                <w:szCs w:val="24"/>
              </w:rPr>
              <w:t>Aging networks with insufficient maintenance</w:t>
            </w:r>
          </w:p>
        </w:tc>
      </w:tr>
      <w:tr w:rsidR="00B85382" w:rsidRPr="00B85382" w14:paraId="01DABE7F" w14:textId="77777777" w:rsidTr="00B63102">
        <w:tc>
          <w:tcPr>
            <w:tcW w:w="3116" w:type="dxa"/>
          </w:tcPr>
          <w:p w14:paraId="5FC73EF0" w14:textId="6FD3B671" w:rsidR="00B85382" w:rsidRPr="001C24FC" w:rsidRDefault="00B85382" w:rsidP="00296DE6">
            <w:pPr>
              <w:spacing w:line="276" w:lineRule="auto"/>
              <w:jc w:val="both"/>
              <w:rPr>
                <w:rFonts w:ascii="Century Gothic" w:hAnsi="Century Gothic" w:cs="Times New Roman"/>
                <w:sz w:val="24"/>
                <w:szCs w:val="24"/>
                <w:lang w:val="fr-FR"/>
              </w:rPr>
            </w:pPr>
            <w:r w:rsidRPr="001C24FC">
              <w:rPr>
                <w:rStyle w:val="Strong"/>
                <w:rFonts w:ascii="Century Gothic" w:hAnsi="Century Gothic"/>
                <w:sz w:val="24"/>
                <w:szCs w:val="24"/>
              </w:rPr>
              <w:t xml:space="preserve"> Ivory Coast</w:t>
            </w:r>
          </w:p>
        </w:tc>
        <w:tc>
          <w:tcPr>
            <w:tcW w:w="3117" w:type="dxa"/>
            <w:vAlign w:val="center"/>
          </w:tcPr>
          <w:p w14:paraId="79C65440" w14:textId="5A651E2C" w:rsidR="00B85382" w:rsidRPr="001C24FC" w:rsidRDefault="00B85382" w:rsidP="00296DE6">
            <w:pPr>
              <w:spacing w:line="276" w:lineRule="auto"/>
              <w:jc w:val="both"/>
              <w:rPr>
                <w:rFonts w:ascii="Century Gothic" w:hAnsi="Century Gothic" w:cs="Times New Roman"/>
                <w:sz w:val="24"/>
                <w:szCs w:val="24"/>
                <w:lang w:val="fr-FR"/>
              </w:rPr>
            </w:pPr>
            <w:r w:rsidRPr="001C24FC">
              <w:rPr>
                <w:rFonts w:ascii="Century Gothic" w:hAnsi="Century Gothic" w:cs="Times New Roman"/>
                <w:sz w:val="24"/>
                <w:szCs w:val="24"/>
              </w:rPr>
              <w:t>4,4</w:t>
            </w:r>
          </w:p>
        </w:tc>
        <w:tc>
          <w:tcPr>
            <w:tcW w:w="3827" w:type="dxa"/>
          </w:tcPr>
          <w:p w14:paraId="489B1E00" w14:textId="7DC01A66" w:rsidR="00B85382" w:rsidRPr="001C24FC" w:rsidRDefault="00B85382" w:rsidP="00296DE6">
            <w:pPr>
              <w:spacing w:line="276" w:lineRule="auto"/>
              <w:jc w:val="both"/>
              <w:rPr>
                <w:rFonts w:ascii="Century Gothic" w:hAnsi="Century Gothic" w:cs="Times New Roman"/>
                <w:b/>
                <w:bCs/>
                <w:sz w:val="24"/>
                <w:szCs w:val="24"/>
                <w:lang w:val="fr-FR"/>
              </w:rPr>
            </w:pPr>
            <w:r w:rsidRPr="001C24FC">
              <w:rPr>
                <w:rStyle w:val="Strong"/>
                <w:rFonts w:ascii="Century Gothic" w:hAnsi="Century Gothic"/>
                <w:b w:val="0"/>
                <w:bCs w:val="0"/>
                <w:sz w:val="24"/>
                <w:szCs w:val="24"/>
              </w:rPr>
              <w:t>Recent investments in modernization</w:t>
            </w:r>
          </w:p>
        </w:tc>
      </w:tr>
      <w:tr w:rsidR="00B85382" w:rsidRPr="00B85382" w14:paraId="419DC1E1" w14:textId="77777777" w:rsidTr="00B63102">
        <w:tc>
          <w:tcPr>
            <w:tcW w:w="3116" w:type="dxa"/>
          </w:tcPr>
          <w:p w14:paraId="3FCAAF1B" w14:textId="604E79FA" w:rsidR="00B85382" w:rsidRPr="001C24FC" w:rsidRDefault="00B85382" w:rsidP="00296DE6">
            <w:pPr>
              <w:spacing w:line="276" w:lineRule="auto"/>
              <w:jc w:val="both"/>
              <w:rPr>
                <w:rFonts w:ascii="Century Gothic" w:hAnsi="Century Gothic" w:cs="Times New Roman"/>
                <w:sz w:val="24"/>
                <w:szCs w:val="24"/>
                <w:lang w:val="fr-FR"/>
              </w:rPr>
            </w:pPr>
            <w:r w:rsidRPr="001C24FC">
              <w:rPr>
                <w:rStyle w:val="Strong"/>
                <w:rFonts w:ascii="Century Gothic" w:hAnsi="Century Gothic"/>
                <w:sz w:val="24"/>
                <w:szCs w:val="24"/>
              </w:rPr>
              <w:t>Nigeria</w:t>
            </w:r>
          </w:p>
        </w:tc>
        <w:tc>
          <w:tcPr>
            <w:tcW w:w="3117" w:type="dxa"/>
            <w:vAlign w:val="center"/>
          </w:tcPr>
          <w:p w14:paraId="5DAC75A7" w14:textId="3511F041" w:rsidR="00B85382" w:rsidRPr="001C24FC" w:rsidRDefault="00B85382" w:rsidP="00296DE6">
            <w:pPr>
              <w:spacing w:line="276" w:lineRule="auto"/>
              <w:jc w:val="both"/>
              <w:rPr>
                <w:rFonts w:ascii="Century Gothic" w:hAnsi="Century Gothic" w:cs="Times New Roman"/>
                <w:sz w:val="24"/>
                <w:szCs w:val="24"/>
                <w:lang w:val="fr-FR"/>
              </w:rPr>
            </w:pPr>
            <w:r w:rsidRPr="001C24FC">
              <w:rPr>
                <w:rFonts w:ascii="Century Gothic" w:hAnsi="Century Gothic" w:cs="Times New Roman"/>
                <w:sz w:val="24"/>
                <w:szCs w:val="24"/>
              </w:rPr>
              <w:t>3,6</w:t>
            </w:r>
          </w:p>
        </w:tc>
        <w:tc>
          <w:tcPr>
            <w:tcW w:w="3827" w:type="dxa"/>
          </w:tcPr>
          <w:p w14:paraId="3C2A6627" w14:textId="76953496" w:rsidR="00B85382" w:rsidRPr="001C24FC" w:rsidRDefault="00B85382" w:rsidP="00296DE6">
            <w:pPr>
              <w:spacing w:line="276" w:lineRule="auto"/>
              <w:jc w:val="both"/>
              <w:rPr>
                <w:rFonts w:ascii="Century Gothic" w:hAnsi="Century Gothic" w:cs="Times New Roman"/>
                <w:b/>
                <w:bCs/>
                <w:sz w:val="24"/>
                <w:szCs w:val="24"/>
              </w:rPr>
            </w:pPr>
            <w:r w:rsidRPr="001C24FC">
              <w:rPr>
                <w:rStyle w:val="Strong"/>
                <w:rFonts w:ascii="Century Gothic" w:hAnsi="Century Gothic"/>
                <w:b w:val="0"/>
                <w:bCs w:val="0"/>
                <w:sz w:val="24"/>
                <w:szCs w:val="24"/>
              </w:rPr>
              <w:t>Modernized networks with regular maintenance</w:t>
            </w:r>
          </w:p>
        </w:tc>
      </w:tr>
      <w:tr w:rsidR="00B85382" w:rsidRPr="00B85382" w14:paraId="0153E68F" w14:textId="77777777" w:rsidTr="00B63102">
        <w:tc>
          <w:tcPr>
            <w:tcW w:w="3116" w:type="dxa"/>
          </w:tcPr>
          <w:p w14:paraId="5C23BB2A" w14:textId="48C3701E" w:rsidR="00B85382" w:rsidRPr="001C24FC" w:rsidRDefault="00B85382" w:rsidP="00296DE6">
            <w:pPr>
              <w:spacing w:line="276" w:lineRule="auto"/>
              <w:jc w:val="both"/>
              <w:rPr>
                <w:rFonts w:ascii="Century Gothic" w:hAnsi="Century Gothic" w:cs="Times New Roman"/>
                <w:sz w:val="24"/>
                <w:szCs w:val="24"/>
                <w:lang w:val="fr-FR"/>
              </w:rPr>
            </w:pPr>
            <w:r w:rsidRPr="001C24FC">
              <w:rPr>
                <w:rStyle w:val="Strong"/>
                <w:rFonts w:ascii="Century Gothic" w:hAnsi="Century Gothic"/>
                <w:sz w:val="24"/>
                <w:szCs w:val="24"/>
              </w:rPr>
              <w:t>Regional Average</w:t>
            </w:r>
          </w:p>
        </w:tc>
        <w:tc>
          <w:tcPr>
            <w:tcW w:w="3117" w:type="dxa"/>
            <w:vAlign w:val="center"/>
          </w:tcPr>
          <w:p w14:paraId="61D01FB5" w14:textId="60CEE360" w:rsidR="00B85382" w:rsidRPr="001C24FC" w:rsidRDefault="00B85382" w:rsidP="00296DE6">
            <w:pPr>
              <w:spacing w:line="276" w:lineRule="auto"/>
              <w:jc w:val="both"/>
              <w:rPr>
                <w:rFonts w:ascii="Century Gothic" w:hAnsi="Century Gothic" w:cs="Times New Roman"/>
                <w:sz w:val="24"/>
                <w:szCs w:val="24"/>
                <w:lang w:val="fr-FR"/>
              </w:rPr>
            </w:pPr>
            <w:r w:rsidRPr="001C24FC">
              <w:rPr>
                <w:rFonts w:ascii="Century Gothic" w:hAnsi="Century Gothic" w:cs="Times New Roman"/>
                <w:sz w:val="24"/>
                <w:szCs w:val="24"/>
              </w:rPr>
              <w:t>9,1</w:t>
            </w:r>
          </w:p>
        </w:tc>
        <w:tc>
          <w:tcPr>
            <w:tcW w:w="3827" w:type="dxa"/>
          </w:tcPr>
          <w:p w14:paraId="085D60B6" w14:textId="490FABA7" w:rsidR="00B85382" w:rsidRPr="001C24FC" w:rsidRDefault="00B85382" w:rsidP="00296DE6">
            <w:pPr>
              <w:spacing w:line="276" w:lineRule="auto"/>
              <w:jc w:val="both"/>
              <w:rPr>
                <w:rFonts w:ascii="Century Gothic" w:hAnsi="Century Gothic" w:cs="Times New Roman"/>
                <w:sz w:val="24"/>
                <w:szCs w:val="24"/>
              </w:rPr>
            </w:pPr>
            <w:r w:rsidRPr="001C24FC">
              <w:rPr>
                <w:rFonts w:ascii="Century Gothic" w:hAnsi="Century Gothic"/>
                <w:sz w:val="24"/>
                <w:szCs w:val="24"/>
              </w:rPr>
              <w:t xml:space="preserve"> </w:t>
            </w:r>
            <w:r w:rsidRPr="001C24FC">
              <w:rPr>
                <w:rStyle w:val="Strong"/>
                <w:rFonts w:ascii="Century Gothic" w:hAnsi="Century Gothic"/>
                <w:sz w:val="24"/>
                <w:szCs w:val="24"/>
              </w:rPr>
              <w:t>Based on WAPP and AfDB statistics</w:t>
            </w:r>
          </w:p>
        </w:tc>
      </w:tr>
    </w:tbl>
    <w:p w14:paraId="58B1E33B" w14:textId="77777777" w:rsidR="00830247" w:rsidRPr="00830247" w:rsidRDefault="00830247" w:rsidP="00296DE6">
      <w:pPr>
        <w:spacing w:line="276" w:lineRule="auto"/>
        <w:jc w:val="both"/>
        <w:rPr>
          <w:rFonts w:ascii="Century Gothic" w:hAnsi="Century Gothic" w:cs="Times New Roman"/>
          <w:b/>
          <w:bCs/>
          <w:sz w:val="24"/>
          <w:szCs w:val="24"/>
        </w:rPr>
      </w:pPr>
      <w:r w:rsidRPr="00830247">
        <w:rPr>
          <w:rFonts w:ascii="Century Gothic" w:hAnsi="Century Gothic" w:cs="Times New Roman"/>
          <w:b/>
          <w:bCs/>
          <w:sz w:val="24"/>
          <w:szCs w:val="24"/>
        </w:rPr>
        <w:t>Main causes:</w:t>
      </w:r>
    </w:p>
    <w:p w14:paraId="3B673C47" w14:textId="77777777" w:rsidR="00830247" w:rsidRPr="00830247" w:rsidRDefault="00830247" w:rsidP="00296DE6">
      <w:pPr>
        <w:numPr>
          <w:ilvl w:val="0"/>
          <w:numId w:val="22"/>
        </w:numPr>
        <w:spacing w:line="276" w:lineRule="auto"/>
        <w:jc w:val="both"/>
        <w:rPr>
          <w:rFonts w:ascii="Century Gothic" w:hAnsi="Century Gothic" w:cs="Times New Roman"/>
          <w:sz w:val="24"/>
          <w:szCs w:val="24"/>
        </w:rPr>
      </w:pPr>
      <w:r w:rsidRPr="00830247">
        <w:rPr>
          <w:rFonts w:ascii="Century Gothic" w:hAnsi="Century Gothic" w:cs="Times New Roman"/>
          <w:sz w:val="24"/>
          <w:szCs w:val="24"/>
        </w:rPr>
        <w:t>Aging transmission lines and transformers</w:t>
      </w:r>
    </w:p>
    <w:p w14:paraId="02805493" w14:textId="77777777" w:rsidR="00830247" w:rsidRPr="00830247" w:rsidRDefault="00830247" w:rsidP="00296DE6">
      <w:pPr>
        <w:numPr>
          <w:ilvl w:val="0"/>
          <w:numId w:val="22"/>
        </w:numPr>
        <w:spacing w:line="276" w:lineRule="auto"/>
        <w:jc w:val="both"/>
        <w:rPr>
          <w:rFonts w:ascii="Century Gothic" w:hAnsi="Century Gothic" w:cs="Times New Roman"/>
          <w:sz w:val="24"/>
          <w:szCs w:val="24"/>
        </w:rPr>
      </w:pPr>
      <w:r w:rsidRPr="00830247">
        <w:rPr>
          <w:rFonts w:ascii="Century Gothic" w:hAnsi="Century Gothic" w:cs="Times New Roman"/>
          <w:sz w:val="24"/>
          <w:szCs w:val="24"/>
        </w:rPr>
        <w:t>Overloads resulting from growing electricity demand</w:t>
      </w:r>
    </w:p>
    <w:p w14:paraId="10394AA5" w14:textId="77777777" w:rsidR="00830247" w:rsidRPr="00830247" w:rsidRDefault="00830247" w:rsidP="00296DE6">
      <w:pPr>
        <w:numPr>
          <w:ilvl w:val="0"/>
          <w:numId w:val="22"/>
        </w:numPr>
        <w:spacing w:line="276" w:lineRule="auto"/>
        <w:jc w:val="both"/>
        <w:rPr>
          <w:rFonts w:ascii="Century Gothic" w:hAnsi="Century Gothic" w:cs="Times New Roman"/>
          <w:sz w:val="24"/>
          <w:szCs w:val="24"/>
        </w:rPr>
      </w:pPr>
      <w:r w:rsidRPr="00830247">
        <w:rPr>
          <w:rFonts w:ascii="Century Gothic" w:hAnsi="Century Gothic" w:cs="Times New Roman"/>
          <w:sz w:val="24"/>
          <w:szCs w:val="24"/>
        </w:rPr>
        <w:t>Lack of modern supervision systems (SCADA, smart sensors)</w:t>
      </w:r>
    </w:p>
    <w:p w14:paraId="00F15B1D" w14:textId="77777777" w:rsidR="00830247" w:rsidRPr="00830247" w:rsidRDefault="00830247" w:rsidP="00296DE6">
      <w:pPr>
        <w:numPr>
          <w:ilvl w:val="0"/>
          <w:numId w:val="22"/>
        </w:numPr>
        <w:spacing w:line="276" w:lineRule="auto"/>
        <w:jc w:val="both"/>
        <w:rPr>
          <w:rFonts w:ascii="Century Gothic" w:hAnsi="Century Gothic" w:cs="Times New Roman"/>
          <w:sz w:val="24"/>
          <w:szCs w:val="24"/>
        </w:rPr>
      </w:pPr>
      <w:r w:rsidRPr="00830247">
        <w:rPr>
          <w:rFonts w:ascii="Century Gothic" w:hAnsi="Century Gothic" w:cs="Times New Roman"/>
          <w:sz w:val="24"/>
          <w:szCs w:val="24"/>
        </w:rPr>
        <w:t>Insufficient or irregular maintenance</w:t>
      </w:r>
    </w:p>
    <w:p w14:paraId="4776D0A7" w14:textId="77777777" w:rsidR="001C24FC" w:rsidRDefault="001C24FC" w:rsidP="00296DE6">
      <w:pPr>
        <w:spacing w:line="276" w:lineRule="auto"/>
        <w:jc w:val="both"/>
        <w:rPr>
          <w:rFonts w:ascii="Century Gothic" w:hAnsi="Century Gothic" w:cs="Times New Roman"/>
          <w:b/>
          <w:bCs/>
          <w:sz w:val="24"/>
          <w:szCs w:val="24"/>
        </w:rPr>
      </w:pPr>
    </w:p>
    <w:p w14:paraId="1B385A2F" w14:textId="77777777" w:rsidR="001C24FC" w:rsidRDefault="001C24FC" w:rsidP="00296DE6">
      <w:pPr>
        <w:spacing w:line="276" w:lineRule="auto"/>
        <w:jc w:val="both"/>
        <w:rPr>
          <w:rFonts w:ascii="Century Gothic" w:hAnsi="Century Gothic" w:cs="Times New Roman"/>
          <w:b/>
          <w:bCs/>
          <w:sz w:val="24"/>
          <w:szCs w:val="24"/>
        </w:rPr>
      </w:pPr>
    </w:p>
    <w:p w14:paraId="03689267" w14:textId="77777777" w:rsidR="001C24FC" w:rsidRDefault="001C24FC" w:rsidP="00296DE6">
      <w:pPr>
        <w:spacing w:line="276" w:lineRule="auto"/>
        <w:jc w:val="both"/>
        <w:rPr>
          <w:rFonts w:ascii="Century Gothic" w:hAnsi="Century Gothic" w:cs="Times New Roman"/>
          <w:b/>
          <w:bCs/>
          <w:sz w:val="24"/>
          <w:szCs w:val="24"/>
        </w:rPr>
      </w:pPr>
    </w:p>
    <w:p w14:paraId="6EA61264" w14:textId="77777777" w:rsidR="001C24FC" w:rsidRDefault="001C24FC" w:rsidP="00296DE6">
      <w:pPr>
        <w:spacing w:line="276" w:lineRule="auto"/>
        <w:jc w:val="both"/>
        <w:rPr>
          <w:rFonts w:ascii="Century Gothic" w:hAnsi="Century Gothic" w:cs="Times New Roman"/>
          <w:b/>
          <w:bCs/>
          <w:sz w:val="24"/>
          <w:szCs w:val="24"/>
        </w:rPr>
      </w:pPr>
    </w:p>
    <w:p w14:paraId="00D5B59C" w14:textId="77777777" w:rsidR="001C24FC" w:rsidRDefault="001C24FC" w:rsidP="00296DE6">
      <w:pPr>
        <w:spacing w:line="276" w:lineRule="auto"/>
        <w:jc w:val="both"/>
        <w:rPr>
          <w:rFonts w:ascii="Century Gothic" w:hAnsi="Century Gothic" w:cs="Times New Roman"/>
          <w:b/>
          <w:bCs/>
          <w:sz w:val="24"/>
          <w:szCs w:val="24"/>
        </w:rPr>
      </w:pPr>
    </w:p>
    <w:p w14:paraId="4AC2EDCA" w14:textId="77777777" w:rsidR="001C24FC" w:rsidRDefault="001C24FC" w:rsidP="00296DE6">
      <w:pPr>
        <w:spacing w:line="276" w:lineRule="auto"/>
        <w:jc w:val="both"/>
        <w:rPr>
          <w:rFonts w:ascii="Century Gothic" w:hAnsi="Century Gothic" w:cs="Times New Roman"/>
          <w:b/>
          <w:bCs/>
          <w:sz w:val="24"/>
          <w:szCs w:val="24"/>
        </w:rPr>
      </w:pPr>
    </w:p>
    <w:p w14:paraId="4F7FC2EE" w14:textId="77777777" w:rsidR="001C24FC" w:rsidRDefault="001C24FC" w:rsidP="00296DE6">
      <w:pPr>
        <w:spacing w:line="276" w:lineRule="auto"/>
        <w:jc w:val="both"/>
        <w:rPr>
          <w:rFonts w:ascii="Century Gothic" w:hAnsi="Century Gothic" w:cs="Times New Roman"/>
          <w:b/>
          <w:bCs/>
          <w:sz w:val="24"/>
          <w:szCs w:val="24"/>
        </w:rPr>
      </w:pPr>
    </w:p>
    <w:p w14:paraId="4641105F" w14:textId="33293916" w:rsidR="00830247" w:rsidRPr="00830247" w:rsidRDefault="00830247" w:rsidP="00296DE6">
      <w:pPr>
        <w:spacing w:line="276" w:lineRule="auto"/>
        <w:jc w:val="both"/>
        <w:rPr>
          <w:rFonts w:ascii="Century Gothic" w:hAnsi="Century Gothic" w:cs="Times New Roman"/>
          <w:b/>
          <w:bCs/>
          <w:sz w:val="24"/>
          <w:szCs w:val="24"/>
        </w:rPr>
      </w:pPr>
      <w:r w:rsidRPr="00830247">
        <w:rPr>
          <w:rFonts w:ascii="Century Gothic" w:hAnsi="Century Gothic" w:cs="Times New Roman"/>
          <w:b/>
          <w:bCs/>
          <w:sz w:val="24"/>
          <w:szCs w:val="24"/>
        </w:rPr>
        <w:t>3.2 Non-Technical (Commercial) Losses</w:t>
      </w:r>
    </w:p>
    <w:p w14:paraId="491DE620" w14:textId="0941CB68" w:rsidR="00830247" w:rsidRDefault="00830247" w:rsidP="00296DE6">
      <w:pPr>
        <w:spacing w:line="276" w:lineRule="auto"/>
        <w:jc w:val="both"/>
        <w:rPr>
          <w:rFonts w:ascii="Century Gothic" w:hAnsi="Century Gothic" w:cs="Times New Roman"/>
          <w:sz w:val="24"/>
          <w:szCs w:val="24"/>
        </w:rPr>
      </w:pPr>
      <w:r w:rsidRPr="00830247">
        <w:rPr>
          <w:rFonts w:ascii="Century Gothic" w:hAnsi="Century Gothic" w:cs="Times New Roman"/>
          <w:sz w:val="24"/>
          <w:szCs w:val="24"/>
        </w:rPr>
        <w:t>Commercial losses represent an even more significant share and often exceed 20%. They arise from administrative, economic, and social dysfunctions.</w:t>
      </w:r>
    </w:p>
    <w:p w14:paraId="7455D6A9" w14:textId="77777777" w:rsidR="00B73843" w:rsidRPr="00830247" w:rsidRDefault="00B73843" w:rsidP="00296DE6">
      <w:pPr>
        <w:spacing w:line="276" w:lineRule="auto"/>
        <w:jc w:val="both"/>
        <w:rPr>
          <w:rFonts w:ascii="Century Gothic" w:hAnsi="Century Gothic" w:cs="Times New Roman"/>
          <w:sz w:val="24"/>
          <w:szCs w:val="24"/>
        </w:rPr>
      </w:pPr>
      <w:r>
        <w:rPr>
          <w:rFonts w:ascii="Century Gothic" w:hAnsi="Century Gothic" w:cs="Times New Roman"/>
          <w:sz w:val="24"/>
          <w:szCs w:val="24"/>
        </w:rPr>
        <w:lastRenderedPageBreak/>
        <w:t xml:space="preserve">TABLE 2. </w:t>
      </w:r>
      <w:r w:rsidRPr="00657F83">
        <w:rPr>
          <w:rFonts w:ascii="Century Gothic" w:hAnsi="Century Gothic" w:cs="Times New Roman"/>
          <w:b/>
          <w:sz w:val="24"/>
          <w:szCs w:val="24"/>
        </w:rPr>
        <w:t>Commercial Losses (%) in different countries</w:t>
      </w:r>
      <w:r>
        <w:rPr>
          <w:rFonts w:ascii="Century Gothic" w:hAnsi="Century Gothic" w:cs="Times New Roman"/>
          <w:sz w:val="24"/>
          <w:szCs w:val="24"/>
        </w:rPr>
        <w:t xml:space="preserve"> </w:t>
      </w:r>
    </w:p>
    <w:tbl>
      <w:tblPr>
        <w:tblStyle w:val="TableGrid"/>
        <w:tblW w:w="0" w:type="auto"/>
        <w:tblLook w:val="04A0" w:firstRow="1" w:lastRow="0" w:firstColumn="1" w:lastColumn="0" w:noHBand="0" w:noVBand="1"/>
      </w:tblPr>
      <w:tblGrid>
        <w:gridCol w:w="2547"/>
        <w:gridCol w:w="3118"/>
        <w:gridCol w:w="3685"/>
      </w:tblGrid>
      <w:tr w:rsidR="00DD3167" w:rsidRPr="00B85382" w14:paraId="7B78A2C2" w14:textId="77777777" w:rsidTr="00DD3167">
        <w:tc>
          <w:tcPr>
            <w:tcW w:w="2547" w:type="dxa"/>
          </w:tcPr>
          <w:p w14:paraId="7186D9FA" w14:textId="4BAC77F4" w:rsidR="00DD3167" w:rsidRPr="00B85382" w:rsidRDefault="00DD3167" w:rsidP="00296DE6">
            <w:pPr>
              <w:spacing w:line="276" w:lineRule="auto"/>
              <w:jc w:val="both"/>
              <w:rPr>
                <w:rFonts w:ascii="Century Gothic" w:hAnsi="Century Gothic" w:cs="Times New Roman"/>
                <w:sz w:val="24"/>
                <w:szCs w:val="24"/>
              </w:rPr>
            </w:pPr>
            <w:r w:rsidRPr="00A81D4C">
              <w:rPr>
                <w:rFonts w:ascii="Century Gothic" w:hAnsi="Century Gothic" w:cs="Times New Roman"/>
                <w:b/>
                <w:bCs/>
                <w:sz w:val="24"/>
                <w:szCs w:val="24"/>
              </w:rPr>
              <w:t>C</w:t>
            </w:r>
            <w:r w:rsidRPr="00DD3167">
              <w:rPr>
                <w:rFonts w:ascii="Century Gothic" w:hAnsi="Century Gothic" w:cs="Times New Roman"/>
                <w:b/>
                <w:bCs/>
                <w:sz w:val="24"/>
                <w:szCs w:val="24"/>
              </w:rPr>
              <w:t xml:space="preserve">ountry </w:t>
            </w:r>
          </w:p>
        </w:tc>
        <w:tc>
          <w:tcPr>
            <w:tcW w:w="3118" w:type="dxa"/>
          </w:tcPr>
          <w:p w14:paraId="5D654188" w14:textId="76DB7E87" w:rsidR="00DD3167" w:rsidRPr="00B85382" w:rsidRDefault="00DD3167" w:rsidP="00296DE6">
            <w:pPr>
              <w:spacing w:line="276" w:lineRule="auto"/>
              <w:jc w:val="both"/>
              <w:rPr>
                <w:rFonts w:ascii="Century Gothic" w:hAnsi="Century Gothic" w:cs="Times New Roman"/>
                <w:sz w:val="24"/>
                <w:szCs w:val="24"/>
              </w:rPr>
            </w:pPr>
            <w:r w:rsidRPr="00DD3167">
              <w:rPr>
                <w:rFonts w:ascii="Century Gothic" w:hAnsi="Century Gothic" w:cs="Times New Roman"/>
                <w:b/>
                <w:bCs/>
                <w:sz w:val="24"/>
                <w:szCs w:val="24"/>
              </w:rPr>
              <w:t xml:space="preserve">Commercial Losses (%) </w:t>
            </w:r>
          </w:p>
        </w:tc>
        <w:tc>
          <w:tcPr>
            <w:tcW w:w="3685" w:type="dxa"/>
          </w:tcPr>
          <w:p w14:paraId="108FE609" w14:textId="7EAF5B4C" w:rsidR="00DD3167" w:rsidRPr="00B85382" w:rsidRDefault="00DD3167" w:rsidP="00296DE6">
            <w:pPr>
              <w:spacing w:line="276" w:lineRule="auto"/>
              <w:jc w:val="both"/>
              <w:rPr>
                <w:rFonts w:ascii="Century Gothic" w:hAnsi="Century Gothic" w:cs="Times New Roman"/>
                <w:sz w:val="24"/>
                <w:szCs w:val="24"/>
              </w:rPr>
            </w:pPr>
            <w:r w:rsidRPr="00DD3167">
              <w:rPr>
                <w:rFonts w:ascii="Century Gothic" w:hAnsi="Century Gothic" w:cs="Times New Roman"/>
                <w:b/>
                <w:bCs/>
                <w:sz w:val="24"/>
                <w:szCs w:val="24"/>
              </w:rPr>
              <w:t>Main Causes</w:t>
            </w:r>
          </w:p>
        </w:tc>
      </w:tr>
      <w:tr w:rsidR="00DD3167" w:rsidRPr="00B85382" w14:paraId="46EDEC01" w14:textId="77777777" w:rsidTr="00A80DF4">
        <w:tc>
          <w:tcPr>
            <w:tcW w:w="2547" w:type="dxa"/>
            <w:vAlign w:val="center"/>
          </w:tcPr>
          <w:p w14:paraId="5E08F538" w14:textId="4A7C383D" w:rsidR="00DD3167" w:rsidRPr="00B85382" w:rsidRDefault="00DD3167" w:rsidP="00296DE6">
            <w:pPr>
              <w:spacing w:line="276" w:lineRule="auto"/>
              <w:jc w:val="both"/>
              <w:rPr>
                <w:rFonts w:ascii="Century Gothic" w:hAnsi="Century Gothic" w:cs="Times New Roman"/>
                <w:sz w:val="24"/>
                <w:szCs w:val="24"/>
              </w:rPr>
            </w:pPr>
            <w:r w:rsidRPr="00B85382">
              <w:rPr>
                <w:rFonts w:ascii="Century Gothic" w:hAnsi="Century Gothic" w:cs="Times New Roman"/>
                <w:sz w:val="24"/>
                <w:szCs w:val="24"/>
              </w:rPr>
              <w:t>Ghana</w:t>
            </w:r>
          </w:p>
        </w:tc>
        <w:tc>
          <w:tcPr>
            <w:tcW w:w="3118" w:type="dxa"/>
            <w:vAlign w:val="center"/>
          </w:tcPr>
          <w:p w14:paraId="18B45238" w14:textId="1A866570" w:rsidR="00DD3167" w:rsidRPr="00B85382" w:rsidRDefault="00DD3167" w:rsidP="00296DE6">
            <w:pPr>
              <w:spacing w:line="276" w:lineRule="auto"/>
              <w:jc w:val="both"/>
              <w:rPr>
                <w:rFonts w:ascii="Century Gothic" w:hAnsi="Century Gothic" w:cs="Times New Roman"/>
                <w:sz w:val="24"/>
                <w:szCs w:val="24"/>
              </w:rPr>
            </w:pPr>
            <w:r w:rsidRPr="00B85382">
              <w:rPr>
                <w:rFonts w:ascii="Century Gothic" w:hAnsi="Century Gothic" w:cs="Times New Roman"/>
                <w:sz w:val="24"/>
                <w:szCs w:val="24"/>
              </w:rPr>
              <w:t>25</w:t>
            </w:r>
          </w:p>
        </w:tc>
        <w:tc>
          <w:tcPr>
            <w:tcW w:w="3685" w:type="dxa"/>
          </w:tcPr>
          <w:p w14:paraId="58C2DEE5" w14:textId="4B8C3955" w:rsidR="00DD3167" w:rsidRPr="001C24FC" w:rsidRDefault="00DD3167" w:rsidP="00296DE6">
            <w:pPr>
              <w:spacing w:line="276" w:lineRule="auto"/>
              <w:jc w:val="both"/>
              <w:rPr>
                <w:rFonts w:ascii="Century Gothic" w:hAnsi="Century Gothic" w:cs="Times New Roman"/>
                <w:b/>
                <w:bCs/>
                <w:sz w:val="24"/>
                <w:szCs w:val="24"/>
                <w:lang w:val="fr-FR"/>
              </w:rPr>
            </w:pPr>
            <w:r w:rsidRPr="001C24FC">
              <w:rPr>
                <w:rStyle w:val="Strong"/>
                <w:rFonts w:ascii="Century Gothic" w:hAnsi="Century Gothic"/>
                <w:b w:val="0"/>
                <w:bCs w:val="0"/>
                <w:sz w:val="24"/>
                <w:szCs w:val="24"/>
              </w:rPr>
              <w:t>Fraud, illegal connections, inaccurate billing</w:t>
            </w:r>
          </w:p>
        </w:tc>
      </w:tr>
      <w:tr w:rsidR="00DD3167" w:rsidRPr="00B85382" w14:paraId="6EC50B11" w14:textId="77777777" w:rsidTr="00A80DF4">
        <w:tc>
          <w:tcPr>
            <w:tcW w:w="2547" w:type="dxa"/>
            <w:vAlign w:val="center"/>
          </w:tcPr>
          <w:p w14:paraId="3083C306" w14:textId="3D75485A" w:rsidR="00DD3167" w:rsidRPr="00B85382" w:rsidRDefault="00DD3167" w:rsidP="00296DE6">
            <w:pPr>
              <w:spacing w:line="276" w:lineRule="auto"/>
              <w:jc w:val="both"/>
              <w:rPr>
                <w:rFonts w:ascii="Century Gothic" w:hAnsi="Century Gothic" w:cs="Times New Roman"/>
                <w:sz w:val="24"/>
                <w:szCs w:val="24"/>
              </w:rPr>
            </w:pPr>
            <w:r w:rsidRPr="00B85382">
              <w:rPr>
                <w:rFonts w:ascii="Century Gothic" w:hAnsi="Century Gothic" w:cs="Times New Roman"/>
                <w:sz w:val="24"/>
                <w:szCs w:val="24"/>
              </w:rPr>
              <w:t>Guinée</w:t>
            </w:r>
          </w:p>
        </w:tc>
        <w:tc>
          <w:tcPr>
            <w:tcW w:w="3118" w:type="dxa"/>
            <w:vAlign w:val="center"/>
          </w:tcPr>
          <w:p w14:paraId="49DD7CCB" w14:textId="5765735E" w:rsidR="00DD3167" w:rsidRPr="00B85382" w:rsidRDefault="00DD3167" w:rsidP="00296DE6">
            <w:pPr>
              <w:spacing w:line="276" w:lineRule="auto"/>
              <w:jc w:val="both"/>
              <w:rPr>
                <w:rFonts w:ascii="Century Gothic" w:hAnsi="Century Gothic" w:cs="Times New Roman"/>
                <w:sz w:val="24"/>
                <w:szCs w:val="24"/>
              </w:rPr>
            </w:pPr>
            <w:r w:rsidRPr="00B85382">
              <w:rPr>
                <w:rFonts w:ascii="Century Gothic" w:hAnsi="Century Gothic" w:cs="Times New Roman"/>
                <w:sz w:val="24"/>
                <w:szCs w:val="24"/>
              </w:rPr>
              <w:t>25</w:t>
            </w:r>
          </w:p>
        </w:tc>
        <w:tc>
          <w:tcPr>
            <w:tcW w:w="3685" w:type="dxa"/>
          </w:tcPr>
          <w:p w14:paraId="510959C0" w14:textId="1EB49A35" w:rsidR="00DD3167" w:rsidRPr="001C24FC" w:rsidRDefault="00DD3167" w:rsidP="00296DE6">
            <w:pPr>
              <w:spacing w:line="276" w:lineRule="auto"/>
              <w:jc w:val="both"/>
              <w:rPr>
                <w:rFonts w:ascii="Century Gothic" w:hAnsi="Century Gothic" w:cs="Times New Roman"/>
                <w:b/>
                <w:bCs/>
                <w:sz w:val="24"/>
                <w:szCs w:val="24"/>
              </w:rPr>
            </w:pPr>
            <w:r w:rsidRPr="001C24FC">
              <w:rPr>
                <w:rStyle w:val="Strong"/>
                <w:rFonts w:ascii="Century Gothic" w:hAnsi="Century Gothic"/>
                <w:b w:val="0"/>
                <w:bCs w:val="0"/>
                <w:sz w:val="24"/>
                <w:szCs w:val="24"/>
              </w:rPr>
              <w:t>Illegal connections, low bill collection</w:t>
            </w:r>
          </w:p>
        </w:tc>
      </w:tr>
      <w:tr w:rsidR="00DD3167" w:rsidRPr="00B85382" w14:paraId="74F1F574" w14:textId="77777777" w:rsidTr="00A80DF4">
        <w:tc>
          <w:tcPr>
            <w:tcW w:w="2547" w:type="dxa"/>
            <w:vAlign w:val="center"/>
          </w:tcPr>
          <w:p w14:paraId="18466FBB" w14:textId="492B69BB" w:rsidR="00DD3167" w:rsidRPr="00B85382" w:rsidRDefault="00DD3167" w:rsidP="00296DE6">
            <w:pPr>
              <w:spacing w:line="276" w:lineRule="auto"/>
              <w:jc w:val="both"/>
              <w:rPr>
                <w:rFonts w:ascii="Century Gothic" w:hAnsi="Century Gothic" w:cs="Times New Roman"/>
                <w:sz w:val="24"/>
                <w:szCs w:val="24"/>
              </w:rPr>
            </w:pPr>
            <w:r w:rsidRPr="00B85382">
              <w:rPr>
                <w:rFonts w:ascii="Century Gothic" w:hAnsi="Century Gothic" w:cs="Times New Roman"/>
                <w:sz w:val="24"/>
                <w:szCs w:val="24"/>
              </w:rPr>
              <w:t>Sénégal</w:t>
            </w:r>
          </w:p>
        </w:tc>
        <w:tc>
          <w:tcPr>
            <w:tcW w:w="3118" w:type="dxa"/>
            <w:vAlign w:val="center"/>
          </w:tcPr>
          <w:p w14:paraId="613929C8" w14:textId="21840E11" w:rsidR="00DD3167" w:rsidRPr="00B85382" w:rsidRDefault="00DD3167" w:rsidP="00296DE6">
            <w:pPr>
              <w:spacing w:line="276" w:lineRule="auto"/>
              <w:jc w:val="both"/>
              <w:rPr>
                <w:rFonts w:ascii="Century Gothic" w:hAnsi="Century Gothic" w:cs="Times New Roman"/>
                <w:sz w:val="24"/>
                <w:szCs w:val="24"/>
              </w:rPr>
            </w:pPr>
            <w:r w:rsidRPr="00B85382">
              <w:rPr>
                <w:rFonts w:ascii="Century Gothic" w:hAnsi="Century Gothic" w:cs="Times New Roman"/>
                <w:sz w:val="24"/>
                <w:szCs w:val="24"/>
              </w:rPr>
              <w:t>20</w:t>
            </w:r>
          </w:p>
        </w:tc>
        <w:tc>
          <w:tcPr>
            <w:tcW w:w="3685" w:type="dxa"/>
          </w:tcPr>
          <w:p w14:paraId="6904B71E" w14:textId="5AF504CB" w:rsidR="00DD3167" w:rsidRPr="001C24FC" w:rsidRDefault="00DD3167" w:rsidP="00296DE6">
            <w:pPr>
              <w:spacing w:line="276" w:lineRule="auto"/>
              <w:jc w:val="both"/>
              <w:rPr>
                <w:rFonts w:ascii="Century Gothic" w:hAnsi="Century Gothic" w:cs="Times New Roman"/>
                <w:b/>
                <w:bCs/>
                <w:sz w:val="24"/>
                <w:szCs w:val="24"/>
              </w:rPr>
            </w:pPr>
            <w:r w:rsidRPr="001C24FC">
              <w:rPr>
                <w:rStyle w:val="Strong"/>
                <w:rFonts w:ascii="Century Gothic" w:hAnsi="Century Gothic"/>
                <w:b w:val="0"/>
                <w:bCs w:val="0"/>
                <w:sz w:val="24"/>
                <w:szCs w:val="24"/>
              </w:rPr>
              <w:t>Fraud, unpaid bills, poor billing</w:t>
            </w:r>
          </w:p>
        </w:tc>
      </w:tr>
      <w:tr w:rsidR="00DD3167" w:rsidRPr="00DD3167" w14:paraId="1ACDD68D" w14:textId="77777777" w:rsidTr="00A80DF4">
        <w:tc>
          <w:tcPr>
            <w:tcW w:w="2547" w:type="dxa"/>
            <w:vAlign w:val="center"/>
          </w:tcPr>
          <w:p w14:paraId="01625124" w14:textId="75D7C4C6" w:rsidR="00DD3167" w:rsidRPr="00B85382" w:rsidRDefault="00DD3167" w:rsidP="00296DE6">
            <w:pPr>
              <w:spacing w:line="276" w:lineRule="auto"/>
              <w:jc w:val="both"/>
              <w:rPr>
                <w:rFonts w:ascii="Century Gothic" w:hAnsi="Century Gothic" w:cs="Times New Roman"/>
                <w:sz w:val="24"/>
                <w:szCs w:val="24"/>
              </w:rPr>
            </w:pPr>
            <w:r w:rsidRPr="00B85382">
              <w:rPr>
                <w:rFonts w:ascii="Century Gothic" w:hAnsi="Century Gothic" w:cs="Times New Roman"/>
                <w:sz w:val="24"/>
                <w:szCs w:val="24"/>
              </w:rPr>
              <w:t>Côte d’Ivoire</w:t>
            </w:r>
          </w:p>
        </w:tc>
        <w:tc>
          <w:tcPr>
            <w:tcW w:w="3118" w:type="dxa"/>
            <w:vAlign w:val="center"/>
          </w:tcPr>
          <w:p w14:paraId="33CF7811" w14:textId="71A4DC9C" w:rsidR="00DD3167" w:rsidRPr="00B85382" w:rsidRDefault="00DD3167" w:rsidP="00296DE6">
            <w:pPr>
              <w:spacing w:line="276" w:lineRule="auto"/>
              <w:jc w:val="both"/>
              <w:rPr>
                <w:rFonts w:ascii="Century Gothic" w:hAnsi="Century Gothic" w:cs="Times New Roman"/>
                <w:sz w:val="24"/>
                <w:szCs w:val="24"/>
              </w:rPr>
            </w:pPr>
            <w:r w:rsidRPr="00B85382">
              <w:rPr>
                <w:rFonts w:ascii="Century Gothic" w:hAnsi="Century Gothic" w:cs="Times New Roman"/>
                <w:sz w:val="24"/>
                <w:szCs w:val="24"/>
              </w:rPr>
              <w:t>10</w:t>
            </w:r>
          </w:p>
        </w:tc>
        <w:tc>
          <w:tcPr>
            <w:tcW w:w="3685" w:type="dxa"/>
          </w:tcPr>
          <w:p w14:paraId="393E018A" w14:textId="308FFF9D" w:rsidR="00DD3167" w:rsidRPr="001C24FC" w:rsidRDefault="00DD3167" w:rsidP="00296DE6">
            <w:pPr>
              <w:spacing w:line="276" w:lineRule="auto"/>
              <w:jc w:val="both"/>
              <w:rPr>
                <w:rFonts w:ascii="Century Gothic" w:hAnsi="Century Gothic" w:cs="Times New Roman"/>
                <w:b/>
                <w:bCs/>
                <w:sz w:val="24"/>
                <w:szCs w:val="24"/>
              </w:rPr>
            </w:pPr>
            <w:r w:rsidRPr="001C24FC">
              <w:rPr>
                <w:rStyle w:val="Strong"/>
                <w:rFonts w:ascii="Century Gothic" w:hAnsi="Century Gothic"/>
                <w:b w:val="0"/>
                <w:bCs w:val="0"/>
                <w:sz w:val="24"/>
                <w:szCs w:val="24"/>
              </w:rPr>
              <w:t>Relatively efficient management, low fraud</w:t>
            </w:r>
          </w:p>
        </w:tc>
      </w:tr>
      <w:tr w:rsidR="00DD3167" w:rsidRPr="00B85382" w14:paraId="12E0A28E" w14:textId="77777777" w:rsidTr="00A80DF4">
        <w:tc>
          <w:tcPr>
            <w:tcW w:w="2547" w:type="dxa"/>
            <w:vAlign w:val="center"/>
          </w:tcPr>
          <w:p w14:paraId="65AC9F0F" w14:textId="260E3F0C" w:rsidR="00DD3167" w:rsidRPr="00B85382" w:rsidRDefault="00DD3167" w:rsidP="00296DE6">
            <w:pPr>
              <w:spacing w:line="276" w:lineRule="auto"/>
              <w:jc w:val="both"/>
              <w:rPr>
                <w:rFonts w:ascii="Century Gothic" w:hAnsi="Century Gothic" w:cs="Times New Roman"/>
                <w:sz w:val="24"/>
                <w:szCs w:val="24"/>
              </w:rPr>
            </w:pPr>
            <w:r w:rsidRPr="00DD3167">
              <w:rPr>
                <w:rFonts w:ascii="Century Gothic" w:hAnsi="Century Gothic" w:cs="Times New Roman"/>
                <w:b/>
                <w:bCs/>
                <w:sz w:val="24"/>
                <w:szCs w:val="24"/>
              </w:rPr>
              <w:t>Regional Average</w:t>
            </w:r>
          </w:p>
        </w:tc>
        <w:tc>
          <w:tcPr>
            <w:tcW w:w="3118" w:type="dxa"/>
            <w:vAlign w:val="center"/>
          </w:tcPr>
          <w:p w14:paraId="2A5EF95D" w14:textId="1686529C" w:rsidR="00DD3167" w:rsidRPr="00B85382" w:rsidRDefault="00DD3167" w:rsidP="00296DE6">
            <w:pPr>
              <w:spacing w:line="276" w:lineRule="auto"/>
              <w:jc w:val="both"/>
              <w:rPr>
                <w:rFonts w:ascii="Century Gothic" w:hAnsi="Century Gothic" w:cs="Times New Roman"/>
                <w:sz w:val="24"/>
                <w:szCs w:val="24"/>
              </w:rPr>
            </w:pPr>
            <w:r w:rsidRPr="00B85382">
              <w:rPr>
                <w:rFonts w:ascii="Century Gothic" w:hAnsi="Century Gothic" w:cs="Times New Roman"/>
                <w:sz w:val="24"/>
                <w:szCs w:val="24"/>
              </w:rPr>
              <w:t>21</w:t>
            </w:r>
          </w:p>
        </w:tc>
        <w:tc>
          <w:tcPr>
            <w:tcW w:w="3685" w:type="dxa"/>
          </w:tcPr>
          <w:p w14:paraId="18912261" w14:textId="0D3CCDF7" w:rsidR="00DD3167" w:rsidRPr="00B85382" w:rsidRDefault="00DD3167" w:rsidP="00296DE6">
            <w:pPr>
              <w:spacing w:line="276" w:lineRule="auto"/>
              <w:jc w:val="both"/>
              <w:rPr>
                <w:rFonts w:ascii="Century Gothic" w:hAnsi="Century Gothic" w:cs="Times New Roman"/>
                <w:sz w:val="24"/>
                <w:szCs w:val="24"/>
              </w:rPr>
            </w:pPr>
            <w:r w:rsidRPr="006100D4">
              <w:rPr>
                <w:rStyle w:val="Strong"/>
              </w:rPr>
              <w:t>WAPP and AfDB data</w:t>
            </w:r>
          </w:p>
        </w:tc>
      </w:tr>
    </w:tbl>
    <w:p w14:paraId="3A821772" w14:textId="77777777" w:rsidR="00DD3167" w:rsidRPr="00B85382" w:rsidRDefault="00DD3167" w:rsidP="00296DE6">
      <w:pPr>
        <w:spacing w:line="276" w:lineRule="auto"/>
        <w:jc w:val="both"/>
        <w:rPr>
          <w:rFonts w:ascii="Century Gothic" w:hAnsi="Century Gothic" w:cs="Times New Roman"/>
          <w:sz w:val="24"/>
          <w:szCs w:val="24"/>
        </w:rPr>
      </w:pPr>
    </w:p>
    <w:p w14:paraId="3EA7BE22" w14:textId="77777777" w:rsidR="00A24F29" w:rsidRPr="00A24F29" w:rsidRDefault="00A24F29" w:rsidP="00296DE6">
      <w:pPr>
        <w:spacing w:line="276" w:lineRule="auto"/>
        <w:jc w:val="both"/>
        <w:rPr>
          <w:rFonts w:ascii="Century Gothic" w:hAnsi="Century Gothic" w:cs="Times New Roman"/>
          <w:b/>
          <w:bCs/>
          <w:sz w:val="24"/>
          <w:szCs w:val="24"/>
        </w:rPr>
      </w:pPr>
      <w:r w:rsidRPr="00A24F29">
        <w:rPr>
          <w:rFonts w:ascii="Century Gothic" w:hAnsi="Century Gothic" w:cs="Times New Roman"/>
          <w:b/>
          <w:bCs/>
          <w:sz w:val="24"/>
          <w:szCs w:val="24"/>
        </w:rPr>
        <w:t>Key factors:</w:t>
      </w:r>
    </w:p>
    <w:p w14:paraId="4435EBAD" w14:textId="77777777" w:rsidR="00A24F29" w:rsidRPr="00A24F29" w:rsidRDefault="00A24F29" w:rsidP="00296DE6">
      <w:pPr>
        <w:numPr>
          <w:ilvl w:val="0"/>
          <w:numId w:val="23"/>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Illegal connections and electricity theft</w:t>
      </w:r>
    </w:p>
    <w:p w14:paraId="639F3711" w14:textId="77777777" w:rsidR="00A24F29" w:rsidRPr="00A24F29" w:rsidRDefault="00A24F29" w:rsidP="00296DE6">
      <w:pPr>
        <w:numPr>
          <w:ilvl w:val="0"/>
          <w:numId w:val="23"/>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Inaccurate billing and obsolete meters</w:t>
      </w:r>
    </w:p>
    <w:p w14:paraId="6E10849A" w14:textId="77777777" w:rsidR="00A24F29" w:rsidRPr="00A24F29" w:rsidRDefault="00A24F29" w:rsidP="00296DE6">
      <w:pPr>
        <w:numPr>
          <w:ilvl w:val="0"/>
          <w:numId w:val="23"/>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Low bill collection rates</w:t>
      </w:r>
    </w:p>
    <w:p w14:paraId="0ABC0AB3" w14:textId="77777777" w:rsidR="00A24F29" w:rsidRPr="00A24F29" w:rsidRDefault="00A24F29" w:rsidP="00296DE6">
      <w:pPr>
        <w:numPr>
          <w:ilvl w:val="0"/>
          <w:numId w:val="23"/>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Corruption and lack of transparency</w:t>
      </w:r>
    </w:p>
    <w:p w14:paraId="6AF32727" w14:textId="77777777" w:rsidR="00A24F29" w:rsidRPr="00A24F29" w:rsidRDefault="00A24F29" w:rsidP="00296DE6">
      <w:pPr>
        <w:numPr>
          <w:ilvl w:val="0"/>
          <w:numId w:val="23"/>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Weak governance and regulatory frameworks</w:t>
      </w:r>
    </w:p>
    <w:p w14:paraId="0D31F0DE" w14:textId="404968B6" w:rsidR="00A24F29" w:rsidRDefault="00A24F29" w:rsidP="00296DE6">
      <w:pPr>
        <w:spacing w:line="276" w:lineRule="auto"/>
        <w:jc w:val="both"/>
        <w:rPr>
          <w:rFonts w:ascii="Century Gothic" w:hAnsi="Century Gothic" w:cs="Times New Roman"/>
          <w:b/>
          <w:bCs/>
          <w:sz w:val="24"/>
          <w:szCs w:val="24"/>
        </w:rPr>
      </w:pPr>
      <w:r w:rsidRPr="00A24F29">
        <w:rPr>
          <w:rFonts w:ascii="Century Gothic" w:hAnsi="Century Gothic" w:cs="Times New Roman"/>
          <w:b/>
          <w:bCs/>
          <w:sz w:val="24"/>
          <w:szCs w:val="24"/>
        </w:rPr>
        <w:t>3.3 Total Losses and Comparison with International Standards</w:t>
      </w:r>
    </w:p>
    <w:p w14:paraId="5B42E362" w14:textId="301A1B91" w:rsidR="00492B4C" w:rsidRDefault="00492B4C" w:rsidP="00296DE6">
      <w:pPr>
        <w:spacing w:line="276" w:lineRule="auto"/>
        <w:jc w:val="both"/>
        <w:rPr>
          <w:rFonts w:ascii="Century Gothic" w:hAnsi="Century Gothic" w:cs="Times New Roman"/>
          <w:b/>
          <w:bCs/>
          <w:sz w:val="24"/>
          <w:szCs w:val="24"/>
        </w:rPr>
      </w:pPr>
    </w:p>
    <w:p w14:paraId="74A051E7" w14:textId="37A99080" w:rsidR="00492B4C" w:rsidRPr="00492B4C" w:rsidRDefault="00492B4C" w:rsidP="00296DE6">
      <w:pPr>
        <w:spacing w:line="276" w:lineRule="auto"/>
        <w:jc w:val="both"/>
        <w:rPr>
          <w:rFonts w:ascii="Century Gothic" w:hAnsi="Century Gothic" w:cs="Times New Roman"/>
          <w:bCs/>
          <w:sz w:val="24"/>
          <w:szCs w:val="24"/>
        </w:rPr>
      </w:pPr>
      <w:r w:rsidRPr="00492B4C">
        <w:rPr>
          <w:rFonts w:ascii="Century Gothic" w:hAnsi="Century Gothic" w:cs="Times New Roman"/>
          <w:bCs/>
          <w:sz w:val="24"/>
          <w:szCs w:val="24"/>
        </w:rPr>
        <w:t>Table 3 presents the Total Losses and Comparison with International Standards</w:t>
      </w:r>
    </w:p>
    <w:p w14:paraId="6F6D64A9" w14:textId="7846CBA2" w:rsidR="00492B4C" w:rsidRPr="00A24F29" w:rsidRDefault="00492B4C" w:rsidP="00296DE6">
      <w:pPr>
        <w:spacing w:line="276" w:lineRule="auto"/>
        <w:jc w:val="both"/>
        <w:rPr>
          <w:rFonts w:ascii="Century Gothic" w:hAnsi="Century Gothic" w:cs="Times New Roman"/>
          <w:b/>
          <w:bCs/>
          <w:sz w:val="24"/>
          <w:szCs w:val="24"/>
        </w:rPr>
      </w:pPr>
      <w:r>
        <w:rPr>
          <w:rFonts w:ascii="Century Gothic" w:hAnsi="Century Gothic" w:cs="Times New Roman"/>
          <w:b/>
          <w:bCs/>
          <w:sz w:val="24"/>
          <w:szCs w:val="24"/>
        </w:rPr>
        <w:t xml:space="preserve">Table 3: </w:t>
      </w:r>
      <w:r w:rsidRPr="00492B4C">
        <w:rPr>
          <w:rFonts w:ascii="Century Gothic" w:hAnsi="Century Gothic" w:cs="Times New Roman"/>
          <w:b/>
          <w:bCs/>
          <w:sz w:val="24"/>
          <w:szCs w:val="24"/>
        </w:rPr>
        <w:t>Total Losses and Comparison with International Standards</w:t>
      </w:r>
    </w:p>
    <w:tbl>
      <w:tblPr>
        <w:tblStyle w:val="TableGrid"/>
        <w:tblW w:w="9918" w:type="dxa"/>
        <w:tblLook w:val="04A0" w:firstRow="1" w:lastRow="0" w:firstColumn="1" w:lastColumn="0" w:noHBand="0" w:noVBand="1"/>
      </w:tblPr>
      <w:tblGrid>
        <w:gridCol w:w="1856"/>
        <w:gridCol w:w="1541"/>
        <w:gridCol w:w="2410"/>
        <w:gridCol w:w="1276"/>
        <w:gridCol w:w="2835"/>
      </w:tblGrid>
      <w:tr w:rsidR="001C24FC" w:rsidRPr="00DD3167" w14:paraId="0B156F22" w14:textId="77777777" w:rsidTr="0046415D">
        <w:tc>
          <w:tcPr>
            <w:tcW w:w="1856" w:type="dxa"/>
          </w:tcPr>
          <w:p w14:paraId="2805C5D3" w14:textId="31CE1873" w:rsidR="00DD3167" w:rsidRPr="001C24FC" w:rsidRDefault="00DD3167" w:rsidP="00296DE6">
            <w:pPr>
              <w:spacing w:line="276" w:lineRule="auto"/>
              <w:jc w:val="both"/>
              <w:rPr>
                <w:rFonts w:ascii="Century Gothic" w:hAnsi="Century Gothic" w:cs="Times New Roman"/>
                <w:b/>
                <w:bCs/>
                <w:sz w:val="24"/>
                <w:szCs w:val="24"/>
              </w:rPr>
            </w:pPr>
            <w:r w:rsidRPr="001C24FC">
              <w:rPr>
                <w:rFonts w:ascii="Century Gothic" w:hAnsi="Century Gothic"/>
                <w:sz w:val="24"/>
                <w:szCs w:val="24"/>
              </w:rPr>
              <w:t>Country</w:t>
            </w:r>
          </w:p>
        </w:tc>
        <w:tc>
          <w:tcPr>
            <w:tcW w:w="1541" w:type="dxa"/>
          </w:tcPr>
          <w:p w14:paraId="0082F26B" w14:textId="4A8CB138" w:rsidR="00DD3167" w:rsidRPr="001C24FC" w:rsidRDefault="00DD3167" w:rsidP="00296DE6">
            <w:pPr>
              <w:spacing w:line="276" w:lineRule="auto"/>
              <w:jc w:val="both"/>
              <w:rPr>
                <w:rFonts w:ascii="Century Gothic" w:hAnsi="Century Gothic" w:cs="Times New Roman"/>
                <w:b/>
                <w:bCs/>
                <w:sz w:val="24"/>
                <w:szCs w:val="24"/>
              </w:rPr>
            </w:pPr>
            <w:r w:rsidRPr="001C24FC">
              <w:rPr>
                <w:rFonts w:ascii="Century Gothic" w:hAnsi="Century Gothic"/>
                <w:sz w:val="24"/>
                <w:szCs w:val="24"/>
              </w:rPr>
              <w:t>Technical Losses (%)</w:t>
            </w:r>
          </w:p>
        </w:tc>
        <w:tc>
          <w:tcPr>
            <w:tcW w:w="2410" w:type="dxa"/>
          </w:tcPr>
          <w:p w14:paraId="3A9AA047" w14:textId="12778916" w:rsidR="00DD3167" w:rsidRPr="001C24FC" w:rsidRDefault="00DD3167" w:rsidP="00296DE6">
            <w:pPr>
              <w:spacing w:line="276" w:lineRule="auto"/>
              <w:jc w:val="both"/>
              <w:rPr>
                <w:rFonts w:ascii="Century Gothic" w:hAnsi="Century Gothic" w:cs="Times New Roman"/>
                <w:b/>
                <w:bCs/>
                <w:sz w:val="24"/>
                <w:szCs w:val="24"/>
              </w:rPr>
            </w:pPr>
            <w:r w:rsidRPr="001C24FC">
              <w:rPr>
                <w:rFonts w:ascii="Century Gothic" w:hAnsi="Century Gothic"/>
                <w:sz w:val="24"/>
                <w:szCs w:val="24"/>
              </w:rPr>
              <w:t>Commercial Losses (%)</w:t>
            </w:r>
          </w:p>
        </w:tc>
        <w:tc>
          <w:tcPr>
            <w:tcW w:w="1276" w:type="dxa"/>
          </w:tcPr>
          <w:p w14:paraId="5903A07B" w14:textId="2D31C532" w:rsidR="00DD3167" w:rsidRPr="001C24FC" w:rsidRDefault="001C24FC" w:rsidP="00296DE6">
            <w:pPr>
              <w:spacing w:line="276" w:lineRule="auto"/>
              <w:jc w:val="both"/>
              <w:rPr>
                <w:rFonts w:ascii="Century Gothic" w:hAnsi="Century Gothic" w:cs="Times New Roman"/>
                <w:b/>
                <w:bCs/>
                <w:sz w:val="24"/>
                <w:szCs w:val="24"/>
              </w:rPr>
            </w:pPr>
            <w:r w:rsidRPr="001C24FC">
              <w:rPr>
                <w:rFonts w:ascii="Century Gothic" w:hAnsi="Century Gothic"/>
                <w:sz w:val="24"/>
                <w:szCs w:val="24"/>
              </w:rPr>
              <w:t>Total Losses (%)</w:t>
            </w:r>
          </w:p>
        </w:tc>
        <w:tc>
          <w:tcPr>
            <w:tcW w:w="2835" w:type="dxa"/>
          </w:tcPr>
          <w:p w14:paraId="7B306812" w14:textId="1EDD7B40" w:rsidR="00DD3167" w:rsidRPr="001C24FC" w:rsidRDefault="00DD3167" w:rsidP="00296DE6">
            <w:pPr>
              <w:spacing w:line="276" w:lineRule="auto"/>
              <w:jc w:val="both"/>
              <w:rPr>
                <w:rFonts w:ascii="Century Gothic" w:hAnsi="Century Gothic" w:cs="Times New Roman"/>
                <w:b/>
                <w:bCs/>
                <w:sz w:val="24"/>
                <w:szCs w:val="24"/>
              </w:rPr>
            </w:pPr>
            <w:r w:rsidRPr="001C24FC">
              <w:rPr>
                <w:rFonts w:ascii="Century Gothic" w:hAnsi="Century Gothic"/>
                <w:sz w:val="24"/>
                <w:szCs w:val="24"/>
              </w:rPr>
              <w:t>Deviation from International Standards (5–10%)</w:t>
            </w:r>
          </w:p>
        </w:tc>
      </w:tr>
      <w:tr w:rsidR="001C24FC" w:rsidRPr="00B85382" w14:paraId="5BCC0CDC" w14:textId="77777777" w:rsidTr="00B6312C">
        <w:tc>
          <w:tcPr>
            <w:tcW w:w="1856" w:type="dxa"/>
            <w:vAlign w:val="center"/>
          </w:tcPr>
          <w:p w14:paraId="505510BD" w14:textId="47F03360"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Nigeria</w:t>
            </w:r>
          </w:p>
        </w:tc>
        <w:tc>
          <w:tcPr>
            <w:tcW w:w="1541" w:type="dxa"/>
            <w:vAlign w:val="center"/>
          </w:tcPr>
          <w:p w14:paraId="6A701500" w14:textId="64EFD026"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3,6</w:t>
            </w:r>
          </w:p>
        </w:tc>
        <w:tc>
          <w:tcPr>
            <w:tcW w:w="2410" w:type="dxa"/>
            <w:vAlign w:val="center"/>
          </w:tcPr>
          <w:p w14:paraId="68E281E1" w14:textId="5F113FAF"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8,0</w:t>
            </w:r>
          </w:p>
        </w:tc>
        <w:tc>
          <w:tcPr>
            <w:tcW w:w="1276" w:type="dxa"/>
            <w:vAlign w:val="center"/>
          </w:tcPr>
          <w:p w14:paraId="549D8F9F" w14:textId="33C4FC69"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11,6</w:t>
            </w:r>
          </w:p>
        </w:tc>
        <w:tc>
          <w:tcPr>
            <w:tcW w:w="2835" w:type="dxa"/>
            <w:vAlign w:val="center"/>
          </w:tcPr>
          <w:p w14:paraId="3B9B9C68" w14:textId="271407D6"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+1,6 à +6,6</w:t>
            </w:r>
          </w:p>
        </w:tc>
      </w:tr>
      <w:tr w:rsidR="001C24FC" w:rsidRPr="00B85382" w14:paraId="3E1C763C" w14:textId="77777777" w:rsidTr="00B6312C">
        <w:tc>
          <w:tcPr>
            <w:tcW w:w="1856" w:type="dxa"/>
            <w:vAlign w:val="center"/>
          </w:tcPr>
          <w:p w14:paraId="3E162DE9" w14:textId="467D5F5A"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Côte d’Ivoire</w:t>
            </w:r>
          </w:p>
        </w:tc>
        <w:tc>
          <w:tcPr>
            <w:tcW w:w="1541" w:type="dxa"/>
            <w:vAlign w:val="center"/>
          </w:tcPr>
          <w:p w14:paraId="73EC2340" w14:textId="52BFEBE4"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4,4</w:t>
            </w:r>
          </w:p>
        </w:tc>
        <w:tc>
          <w:tcPr>
            <w:tcW w:w="2410" w:type="dxa"/>
            <w:vAlign w:val="center"/>
          </w:tcPr>
          <w:p w14:paraId="451145C3" w14:textId="27C96EC2"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10,0</w:t>
            </w:r>
          </w:p>
        </w:tc>
        <w:tc>
          <w:tcPr>
            <w:tcW w:w="1276" w:type="dxa"/>
            <w:vAlign w:val="center"/>
          </w:tcPr>
          <w:p w14:paraId="42AE18E4" w14:textId="75AAD5A6"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14,4</w:t>
            </w:r>
          </w:p>
        </w:tc>
        <w:tc>
          <w:tcPr>
            <w:tcW w:w="2835" w:type="dxa"/>
            <w:vAlign w:val="center"/>
          </w:tcPr>
          <w:p w14:paraId="2BFDAE82" w14:textId="35D344F4"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+4,4 à +9,4</w:t>
            </w:r>
          </w:p>
        </w:tc>
      </w:tr>
      <w:tr w:rsidR="001C24FC" w:rsidRPr="00B85382" w14:paraId="14593A44" w14:textId="77777777" w:rsidTr="00B6312C">
        <w:tc>
          <w:tcPr>
            <w:tcW w:w="1856" w:type="dxa"/>
            <w:vAlign w:val="center"/>
          </w:tcPr>
          <w:p w14:paraId="64F0C0CC" w14:textId="05092407"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Ghana</w:t>
            </w:r>
          </w:p>
        </w:tc>
        <w:tc>
          <w:tcPr>
            <w:tcW w:w="1541" w:type="dxa"/>
            <w:vAlign w:val="center"/>
          </w:tcPr>
          <w:p w14:paraId="03214C9F" w14:textId="4AB7DCC9"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6,0</w:t>
            </w:r>
          </w:p>
        </w:tc>
        <w:tc>
          <w:tcPr>
            <w:tcW w:w="2410" w:type="dxa"/>
            <w:vAlign w:val="center"/>
          </w:tcPr>
          <w:p w14:paraId="2F852290" w14:textId="0A9DE65C"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25,0</w:t>
            </w:r>
          </w:p>
        </w:tc>
        <w:tc>
          <w:tcPr>
            <w:tcW w:w="1276" w:type="dxa"/>
            <w:vAlign w:val="center"/>
          </w:tcPr>
          <w:p w14:paraId="218BCE00" w14:textId="669B1B01"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31,0</w:t>
            </w:r>
          </w:p>
        </w:tc>
        <w:tc>
          <w:tcPr>
            <w:tcW w:w="2835" w:type="dxa"/>
            <w:vAlign w:val="center"/>
          </w:tcPr>
          <w:p w14:paraId="0B6A9EC2" w14:textId="6767EF6B"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+21 à +26</w:t>
            </w:r>
          </w:p>
        </w:tc>
      </w:tr>
      <w:tr w:rsidR="001C24FC" w:rsidRPr="00B85382" w14:paraId="24C45A78" w14:textId="77777777" w:rsidTr="00B6312C">
        <w:tc>
          <w:tcPr>
            <w:tcW w:w="1856" w:type="dxa"/>
            <w:vAlign w:val="center"/>
          </w:tcPr>
          <w:p w14:paraId="3E1D089D" w14:textId="1958D7F4"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Guinée</w:t>
            </w:r>
          </w:p>
        </w:tc>
        <w:tc>
          <w:tcPr>
            <w:tcW w:w="1541" w:type="dxa"/>
            <w:vAlign w:val="center"/>
          </w:tcPr>
          <w:p w14:paraId="7AE03491" w14:textId="00617DB1"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10,0</w:t>
            </w:r>
          </w:p>
        </w:tc>
        <w:tc>
          <w:tcPr>
            <w:tcW w:w="2410" w:type="dxa"/>
            <w:vAlign w:val="center"/>
          </w:tcPr>
          <w:p w14:paraId="064D8E19" w14:textId="371F9ECE"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25,0</w:t>
            </w:r>
          </w:p>
        </w:tc>
        <w:tc>
          <w:tcPr>
            <w:tcW w:w="1276" w:type="dxa"/>
            <w:vAlign w:val="center"/>
          </w:tcPr>
          <w:p w14:paraId="68510C74" w14:textId="531C24D2"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35,0</w:t>
            </w:r>
          </w:p>
        </w:tc>
        <w:tc>
          <w:tcPr>
            <w:tcW w:w="2835" w:type="dxa"/>
            <w:vAlign w:val="center"/>
          </w:tcPr>
          <w:p w14:paraId="0857A0E6" w14:textId="79BD684C"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+25 à +30</w:t>
            </w:r>
          </w:p>
        </w:tc>
      </w:tr>
      <w:tr w:rsidR="001C24FC" w:rsidRPr="00B85382" w14:paraId="025C4FA1" w14:textId="77777777" w:rsidTr="00B6312C">
        <w:tc>
          <w:tcPr>
            <w:tcW w:w="1856" w:type="dxa"/>
            <w:vAlign w:val="center"/>
          </w:tcPr>
          <w:p w14:paraId="1BCF68F1" w14:textId="72572DE8"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Liberia</w:t>
            </w:r>
          </w:p>
        </w:tc>
        <w:tc>
          <w:tcPr>
            <w:tcW w:w="1541" w:type="dxa"/>
            <w:vAlign w:val="center"/>
          </w:tcPr>
          <w:p w14:paraId="7EF993A1" w14:textId="158918B1"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15,0</w:t>
            </w:r>
          </w:p>
        </w:tc>
        <w:tc>
          <w:tcPr>
            <w:tcW w:w="2410" w:type="dxa"/>
            <w:vAlign w:val="center"/>
          </w:tcPr>
          <w:p w14:paraId="47A17C87" w14:textId="4784F812"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22,0</w:t>
            </w:r>
          </w:p>
        </w:tc>
        <w:tc>
          <w:tcPr>
            <w:tcW w:w="1276" w:type="dxa"/>
            <w:vAlign w:val="center"/>
          </w:tcPr>
          <w:p w14:paraId="19331665" w14:textId="532DA61A"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37,0</w:t>
            </w:r>
          </w:p>
        </w:tc>
        <w:tc>
          <w:tcPr>
            <w:tcW w:w="2835" w:type="dxa"/>
            <w:vAlign w:val="center"/>
          </w:tcPr>
          <w:p w14:paraId="57EEE1E1" w14:textId="194A0BF0"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+27 à +32</w:t>
            </w:r>
          </w:p>
        </w:tc>
      </w:tr>
      <w:tr w:rsidR="001C24FC" w:rsidRPr="00B85382" w14:paraId="5939A51C" w14:textId="77777777" w:rsidTr="00B6312C">
        <w:tc>
          <w:tcPr>
            <w:tcW w:w="1856" w:type="dxa"/>
            <w:vAlign w:val="center"/>
          </w:tcPr>
          <w:p w14:paraId="2A6793A1" w14:textId="48B8BD85"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Guinée-Bissau</w:t>
            </w:r>
          </w:p>
        </w:tc>
        <w:tc>
          <w:tcPr>
            <w:tcW w:w="1541" w:type="dxa"/>
            <w:vAlign w:val="center"/>
          </w:tcPr>
          <w:p w14:paraId="62974D8C" w14:textId="724B6E28"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13,5</w:t>
            </w:r>
          </w:p>
        </w:tc>
        <w:tc>
          <w:tcPr>
            <w:tcW w:w="2410" w:type="dxa"/>
            <w:vAlign w:val="center"/>
          </w:tcPr>
          <w:p w14:paraId="6186DE55" w14:textId="52CDE260"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20,0</w:t>
            </w:r>
          </w:p>
        </w:tc>
        <w:tc>
          <w:tcPr>
            <w:tcW w:w="1276" w:type="dxa"/>
            <w:vAlign w:val="center"/>
          </w:tcPr>
          <w:p w14:paraId="0E0C40FE" w14:textId="3F7261CE"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33,5</w:t>
            </w:r>
          </w:p>
        </w:tc>
        <w:tc>
          <w:tcPr>
            <w:tcW w:w="2835" w:type="dxa"/>
            <w:vAlign w:val="center"/>
          </w:tcPr>
          <w:p w14:paraId="07260926" w14:textId="221EE904"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+23,5 à +28,5</w:t>
            </w:r>
          </w:p>
        </w:tc>
      </w:tr>
      <w:tr w:rsidR="001C24FC" w:rsidRPr="00B85382" w14:paraId="67A51E5C" w14:textId="77777777" w:rsidTr="00B6312C">
        <w:tc>
          <w:tcPr>
            <w:tcW w:w="1856" w:type="dxa"/>
            <w:vAlign w:val="center"/>
          </w:tcPr>
          <w:p w14:paraId="138006C1" w14:textId="16DDF561"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Sénégal</w:t>
            </w:r>
          </w:p>
        </w:tc>
        <w:tc>
          <w:tcPr>
            <w:tcW w:w="1541" w:type="dxa"/>
            <w:vAlign w:val="center"/>
          </w:tcPr>
          <w:p w14:paraId="318FDCF3" w14:textId="5C1B432F"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8,0</w:t>
            </w:r>
          </w:p>
        </w:tc>
        <w:tc>
          <w:tcPr>
            <w:tcW w:w="2410" w:type="dxa"/>
            <w:vAlign w:val="center"/>
          </w:tcPr>
          <w:p w14:paraId="771C3103" w14:textId="1CED3DB7"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20,0</w:t>
            </w:r>
          </w:p>
        </w:tc>
        <w:tc>
          <w:tcPr>
            <w:tcW w:w="1276" w:type="dxa"/>
            <w:vAlign w:val="center"/>
          </w:tcPr>
          <w:p w14:paraId="0F913F06" w14:textId="54654E93"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28,0</w:t>
            </w:r>
          </w:p>
        </w:tc>
        <w:tc>
          <w:tcPr>
            <w:tcW w:w="2835" w:type="dxa"/>
            <w:vAlign w:val="center"/>
          </w:tcPr>
          <w:p w14:paraId="522B7144" w14:textId="4D8446FA"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+18 à +23</w:t>
            </w:r>
          </w:p>
        </w:tc>
      </w:tr>
      <w:tr w:rsidR="001C24FC" w:rsidRPr="00B85382" w14:paraId="2DB0529E" w14:textId="77777777" w:rsidTr="00B6312C">
        <w:tc>
          <w:tcPr>
            <w:tcW w:w="1856" w:type="dxa"/>
            <w:vAlign w:val="center"/>
          </w:tcPr>
          <w:p w14:paraId="448A9566" w14:textId="66A3BC09"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Sierra Leone</w:t>
            </w:r>
          </w:p>
        </w:tc>
        <w:tc>
          <w:tcPr>
            <w:tcW w:w="1541" w:type="dxa"/>
            <w:vAlign w:val="center"/>
          </w:tcPr>
          <w:p w14:paraId="13924C10" w14:textId="32718F98"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12,0</w:t>
            </w:r>
          </w:p>
        </w:tc>
        <w:tc>
          <w:tcPr>
            <w:tcW w:w="2410" w:type="dxa"/>
            <w:vAlign w:val="center"/>
          </w:tcPr>
          <w:p w14:paraId="6E7CCBC4" w14:textId="499E8A64"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18,0</w:t>
            </w:r>
          </w:p>
        </w:tc>
        <w:tc>
          <w:tcPr>
            <w:tcW w:w="1276" w:type="dxa"/>
            <w:vAlign w:val="center"/>
          </w:tcPr>
          <w:p w14:paraId="44A202C2" w14:textId="623005CD"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30,0</w:t>
            </w:r>
          </w:p>
        </w:tc>
        <w:tc>
          <w:tcPr>
            <w:tcW w:w="2835" w:type="dxa"/>
            <w:vAlign w:val="center"/>
          </w:tcPr>
          <w:p w14:paraId="16509D54" w14:textId="675B83C1"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+20 à +25</w:t>
            </w:r>
          </w:p>
        </w:tc>
      </w:tr>
      <w:tr w:rsidR="001C24FC" w:rsidRPr="00B85382" w14:paraId="0407C25B" w14:textId="77777777" w:rsidTr="00B6312C">
        <w:tc>
          <w:tcPr>
            <w:tcW w:w="1856" w:type="dxa"/>
            <w:vAlign w:val="center"/>
          </w:tcPr>
          <w:p w14:paraId="605E4C97" w14:textId="3CDA6DBD"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lastRenderedPageBreak/>
              <w:t>Mali</w:t>
            </w:r>
          </w:p>
        </w:tc>
        <w:tc>
          <w:tcPr>
            <w:tcW w:w="1541" w:type="dxa"/>
            <w:vAlign w:val="center"/>
          </w:tcPr>
          <w:p w14:paraId="1CAD2ADA" w14:textId="22B0B158"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9,5</w:t>
            </w:r>
          </w:p>
        </w:tc>
        <w:tc>
          <w:tcPr>
            <w:tcW w:w="2410" w:type="dxa"/>
            <w:vAlign w:val="center"/>
          </w:tcPr>
          <w:p w14:paraId="3A51B98C" w14:textId="6F9053F5"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19,0</w:t>
            </w:r>
          </w:p>
        </w:tc>
        <w:tc>
          <w:tcPr>
            <w:tcW w:w="1276" w:type="dxa"/>
            <w:vAlign w:val="center"/>
          </w:tcPr>
          <w:p w14:paraId="6C480D38" w14:textId="0EF1D9CA"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28,5</w:t>
            </w:r>
          </w:p>
        </w:tc>
        <w:tc>
          <w:tcPr>
            <w:tcW w:w="2835" w:type="dxa"/>
            <w:vAlign w:val="center"/>
          </w:tcPr>
          <w:p w14:paraId="2330039F" w14:textId="6F3CD08E"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+18,5 à +23,5</w:t>
            </w:r>
          </w:p>
        </w:tc>
      </w:tr>
      <w:tr w:rsidR="001C24FC" w:rsidRPr="00B85382" w14:paraId="519DA2DD" w14:textId="77777777" w:rsidTr="00B6312C">
        <w:tc>
          <w:tcPr>
            <w:tcW w:w="1856" w:type="dxa"/>
            <w:vAlign w:val="center"/>
          </w:tcPr>
          <w:p w14:paraId="38B7DD7F" w14:textId="0B19BDF1"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Burkina Faso</w:t>
            </w:r>
          </w:p>
        </w:tc>
        <w:tc>
          <w:tcPr>
            <w:tcW w:w="1541" w:type="dxa"/>
            <w:vAlign w:val="center"/>
          </w:tcPr>
          <w:p w14:paraId="00B93312" w14:textId="75987ED2"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9,0</w:t>
            </w:r>
          </w:p>
        </w:tc>
        <w:tc>
          <w:tcPr>
            <w:tcW w:w="2410" w:type="dxa"/>
            <w:vAlign w:val="center"/>
          </w:tcPr>
          <w:p w14:paraId="5BE8FC86" w14:textId="764627EF"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21,0</w:t>
            </w:r>
          </w:p>
        </w:tc>
        <w:tc>
          <w:tcPr>
            <w:tcW w:w="1276" w:type="dxa"/>
            <w:vAlign w:val="center"/>
          </w:tcPr>
          <w:p w14:paraId="142C895C" w14:textId="7C770085"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30,0</w:t>
            </w:r>
          </w:p>
        </w:tc>
        <w:tc>
          <w:tcPr>
            <w:tcW w:w="2835" w:type="dxa"/>
            <w:vAlign w:val="center"/>
          </w:tcPr>
          <w:p w14:paraId="0B9E43D9" w14:textId="7C5BE287"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+20 à +25</w:t>
            </w:r>
          </w:p>
        </w:tc>
      </w:tr>
      <w:tr w:rsidR="001C24FC" w:rsidRPr="00B85382" w14:paraId="0CD91F47" w14:textId="77777777" w:rsidTr="00B6312C">
        <w:tc>
          <w:tcPr>
            <w:tcW w:w="1856" w:type="dxa"/>
            <w:vAlign w:val="center"/>
          </w:tcPr>
          <w:p w14:paraId="277DD99E" w14:textId="6C0E4AC1"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Niger</w:t>
            </w:r>
          </w:p>
        </w:tc>
        <w:tc>
          <w:tcPr>
            <w:tcW w:w="1541" w:type="dxa"/>
            <w:vAlign w:val="center"/>
          </w:tcPr>
          <w:p w14:paraId="22125A5E" w14:textId="7B56B5BC"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11,0</w:t>
            </w:r>
          </w:p>
        </w:tc>
        <w:tc>
          <w:tcPr>
            <w:tcW w:w="2410" w:type="dxa"/>
            <w:vAlign w:val="center"/>
          </w:tcPr>
          <w:p w14:paraId="35218511" w14:textId="4886F597"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23,0</w:t>
            </w:r>
          </w:p>
        </w:tc>
        <w:tc>
          <w:tcPr>
            <w:tcW w:w="1276" w:type="dxa"/>
            <w:vAlign w:val="center"/>
          </w:tcPr>
          <w:p w14:paraId="61FAAA80" w14:textId="7C888B47"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34,0</w:t>
            </w:r>
          </w:p>
        </w:tc>
        <w:tc>
          <w:tcPr>
            <w:tcW w:w="2835" w:type="dxa"/>
            <w:vAlign w:val="center"/>
          </w:tcPr>
          <w:p w14:paraId="686BDBB8" w14:textId="1D541270"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+24 à +29</w:t>
            </w:r>
          </w:p>
        </w:tc>
      </w:tr>
      <w:tr w:rsidR="001C24FC" w:rsidRPr="00B85382" w14:paraId="138F72C2" w14:textId="77777777" w:rsidTr="00B6312C">
        <w:tc>
          <w:tcPr>
            <w:tcW w:w="1856" w:type="dxa"/>
            <w:vAlign w:val="center"/>
          </w:tcPr>
          <w:p w14:paraId="00919CD2" w14:textId="3D541F0A"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Togo</w:t>
            </w:r>
          </w:p>
        </w:tc>
        <w:tc>
          <w:tcPr>
            <w:tcW w:w="1541" w:type="dxa"/>
            <w:vAlign w:val="center"/>
          </w:tcPr>
          <w:p w14:paraId="6D39D657" w14:textId="5F379FFE"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7,5</w:t>
            </w:r>
          </w:p>
        </w:tc>
        <w:tc>
          <w:tcPr>
            <w:tcW w:w="2410" w:type="dxa"/>
            <w:vAlign w:val="center"/>
          </w:tcPr>
          <w:p w14:paraId="5EE0AE55" w14:textId="7401B98C"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18,0</w:t>
            </w:r>
          </w:p>
        </w:tc>
        <w:tc>
          <w:tcPr>
            <w:tcW w:w="1276" w:type="dxa"/>
            <w:vAlign w:val="center"/>
          </w:tcPr>
          <w:p w14:paraId="6C8CD974" w14:textId="01382DBE"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25,5</w:t>
            </w:r>
          </w:p>
        </w:tc>
        <w:tc>
          <w:tcPr>
            <w:tcW w:w="2835" w:type="dxa"/>
            <w:vAlign w:val="center"/>
          </w:tcPr>
          <w:p w14:paraId="727F2A87" w14:textId="633F8B7E"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+15,5 à +20,5</w:t>
            </w:r>
          </w:p>
        </w:tc>
      </w:tr>
      <w:tr w:rsidR="001C24FC" w:rsidRPr="00B85382" w14:paraId="2E03BDBC" w14:textId="77777777" w:rsidTr="00B6312C">
        <w:tc>
          <w:tcPr>
            <w:tcW w:w="1856" w:type="dxa"/>
            <w:vAlign w:val="center"/>
          </w:tcPr>
          <w:p w14:paraId="01323DBE" w14:textId="17D746D4" w:rsidR="00B6312C" w:rsidRPr="001C24FC" w:rsidRDefault="00B6312C" w:rsidP="00296DE6">
            <w:pPr>
              <w:spacing w:line="276" w:lineRule="auto"/>
              <w:jc w:val="both"/>
              <w:rPr>
                <w:rFonts w:ascii="Century Gothic" w:hAnsi="Century Gothic" w:cs="Times New Roman"/>
                <w:b/>
                <w:bCs/>
                <w:sz w:val="24"/>
                <w:szCs w:val="24"/>
                <w:lang w:val="fr-FR"/>
              </w:rPr>
            </w:pPr>
            <w:proofErr w:type="spellStart"/>
            <w:r w:rsidRPr="001C24FC">
              <w:rPr>
                <w:rFonts w:ascii="Century Gothic" w:hAnsi="Century Gothic" w:cs="Times New Roman"/>
                <w:sz w:val="24"/>
                <w:szCs w:val="24"/>
              </w:rPr>
              <w:t>Bénin</w:t>
            </w:r>
            <w:proofErr w:type="spellEnd"/>
          </w:p>
        </w:tc>
        <w:tc>
          <w:tcPr>
            <w:tcW w:w="1541" w:type="dxa"/>
            <w:vAlign w:val="center"/>
          </w:tcPr>
          <w:p w14:paraId="7F775D83" w14:textId="38C50117"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9,0</w:t>
            </w:r>
          </w:p>
        </w:tc>
        <w:tc>
          <w:tcPr>
            <w:tcW w:w="2410" w:type="dxa"/>
            <w:vAlign w:val="center"/>
          </w:tcPr>
          <w:p w14:paraId="214B7356" w14:textId="78C7B388"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20,0</w:t>
            </w:r>
          </w:p>
        </w:tc>
        <w:tc>
          <w:tcPr>
            <w:tcW w:w="1276" w:type="dxa"/>
            <w:vAlign w:val="center"/>
          </w:tcPr>
          <w:p w14:paraId="66947C49" w14:textId="203F62FE"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29,0</w:t>
            </w:r>
          </w:p>
        </w:tc>
        <w:tc>
          <w:tcPr>
            <w:tcW w:w="2835" w:type="dxa"/>
            <w:vAlign w:val="center"/>
          </w:tcPr>
          <w:p w14:paraId="6970F8C0" w14:textId="3AC5640B" w:rsidR="00B6312C" w:rsidRPr="001C24FC" w:rsidRDefault="00B6312C" w:rsidP="00296DE6">
            <w:pPr>
              <w:spacing w:line="276" w:lineRule="auto"/>
              <w:jc w:val="both"/>
              <w:rPr>
                <w:rFonts w:ascii="Century Gothic" w:hAnsi="Century Gothic" w:cs="Times New Roman"/>
                <w:b/>
                <w:bCs/>
                <w:sz w:val="24"/>
                <w:szCs w:val="24"/>
                <w:lang w:val="fr-FR"/>
              </w:rPr>
            </w:pPr>
            <w:r w:rsidRPr="001C24FC">
              <w:rPr>
                <w:rFonts w:ascii="Century Gothic" w:hAnsi="Century Gothic" w:cs="Times New Roman"/>
                <w:sz w:val="24"/>
                <w:szCs w:val="24"/>
              </w:rPr>
              <w:t>+19 à +24</w:t>
            </w:r>
          </w:p>
        </w:tc>
      </w:tr>
    </w:tbl>
    <w:p w14:paraId="72ACA0EC" w14:textId="682864D4" w:rsidR="00A24F29" w:rsidRPr="00A24F29" w:rsidRDefault="00A24F29" w:rsidP="00296DE6">
      <w:pPr>
        <w:spacing w:line="276" w:lineRule="auto"/>
        <w:jc w:val="both"/>
        <w:rPr>
          <w:rFonts w:ascii="Century Gothic" w:hAnsi="Century Gothic" w:cs="Times New Roman"/>
          <w:b/>
          <w:bCs/>
          <w:sz w:val="24"/>
          <w:szCs w:val="24"/>
        </w:rPr>
      </w:pPr>
    </w:p>
    <w:p w14:paraId="63A683C7" w14:textId="77777777" w:rsidR="00A24F29" w:rsidRPr="00A24F29" w:rsidRDefault="00A24F29" w:rsidP="00296DE6">
      <w:pPr>
        <w:spacing w:line="276" w:lineRule="auto"/>
        <w:jc w:val="both"/>
        <w:rPr>
          <w:rFonts w:ascii="Century Gothic" w:hAnsi="Century Gothic" w:cs="Times New Roman"/>
          <w:b/>
          <w:bCs/>
          <w:sz w:val="24"/>
          <w:szCs w:val="24"/>
        </w:rPr>
      </w:pPr>
      <w:r w:rsidRPr="00A24F29">
        <w:rPr>
          <w:rFonts w:ascii="Century Gothic" w:hAnsi="Century Gothic" w:cs="Times New Roman"/>
          <w:b/>
          <w:bCs/>
          <w:sz w:val="24"/>
          <w:szCs w:val="24"/>
        </w:rPr>
        <w:t>Comments:</w:t>
      </w:r>
    </w:p>
    <w:p w14:paraId="061A67DA" w14:textId="77777777" w:rsidR="00A24F29" w:rsidRPr="00A24F29" w:rsidRDefault="00A24F29" w:rsidP="00296DE6">
      <w:pPr>
        <w:numPr>
          <w:ilvl w:val="0"/>
          <w:numId w:val="24"/>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Total losses significantly exceed international standards in nearly all countries.</w:t>
      </w:r>
    </w:p>
    <w:p w14:paraId="3E0EC1A7" w14:textId="77777777" w:rsidR="00A24F29" w:rsidRPr="00A24F29" w:rsidRDefault="00A24F29" w:rsidP="00296DE6">
      <w:pPr>
        <w:numPr>
          <w:ilvl w:val="0"/>
          <w:numId w:val="24"/>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The most critical gaps are observed in Guinea, Liberia, Ghana, and Guinea-Bissau, with total losses exceeding 30%.</w:t>
      </w:r>
    </w:p>
    <w:p w14:paraId="57280AFE" w14:textId="77777777" w:rsidR="00A24F29" w:rsidRPr="00A24F29" w:rsidRDefault="00A24F29" w:rsidP="00296DE6">
      <w:pPr>
        <w:numPr>
          <w:ilvl w:val="0"/>
          <w:numId w:val="24"/>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Countries such as Nigeria, Côte d’Ivoire, and Togo demonstrate that modernization and good governance help limit losses.</w:t>
      </w:r>
    </w:p>
    <w:p w14:paraId="71803672" w14:textId="4A088375" w:rsidR="001C24FC" w:rsidRPr="00A24F29" w:rsidRDefault="00A24F29" w:rsidP="00296DE6">
      <w:pPr>
        <w:numPr>
          <w:ilvl w:val="0"/>
          <w:numId w:val="24"/>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Commercial losses are generally higher than technical losses, highlighting the importance of institutional reforms and improved billing systems.</w:t>
      </w:r>
    </w:p>
    <w:p w14:paraId="23D123A4" w14:textId="77777777" w:rsidR="00A24F29" w:rsidRPr="00A24F29" w:rsidRDefault="00A24F29" w:rsidP="00296DE6">
      <w:pPr>
        <w:spacing w:line="276" w:lineRule="auto"/>
        <w:jc w:val="both"/>
        <w:rPr>
          <w:rFonts w:ascii="Century Gothic" w:hAnsi="Century Gothic" w:cs="Times New Roman"/>
          <w:b/>
          <w:bCs/>
          <w:sz w:val="24"/>
          <w:szCs w:val="24"/>
        </w:rPr>
      </w:pPr>
      <w:r w:rsidRPr="00A24F29">
        <w:rPr>
          <w:rFonts w:ascii="Century Gothic" w:hAnsi="Century Gothic" w:cs="Times New Roman"/>
          <w:b/>
          <w:bCs/>
          <w:sz w:val="24"/>
          <w:szCs w:val="24"/>
        </w:rPr>
        <w:t>4. Discussion</w:t>
      </w:r>
    </w:p>
    <w:p w14:paraId="29510241" w14:textId="77777777"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Impacts, causes, and remedies for electricity losses in West Africa</w:t>
      </w:r>
    </w:p>
    <w:p w14:paraId="23D04085" w14:textId="77777777"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Electricity losses, whether technical or commercial, are a critical issue for the efficiency of power networks in West Africa. Despite progress achieved through the West Africa Power Pool (WAPP), the region continues to face high loss levels that hinder the profitability, reliability, and efficiency of the interconnected system.</w:t>
      </w:r>
    </w:p>
    <w:p w14:paraId="0747FE0B" w14:textId="77777777"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Data from 2022 reports by ECOWAS and WAPP indicate that average technical losses amount to 9.1%. The most critical levels are observed in Liberia (~15%) and Guinea-Bissau (~13.5%), while better performance is recorded in Nigeria (3.6%) and Côte d’Ivoire (4.4%). In contrast, non-technical (commercial) losses exceed 20% in several countries, particularly where weak collection, billing errors, and high rates of illegal connections persist.</w:t>
      </w:r>
    </w:p>
    <w:p w14:paraId="721EA50A" w14:textId="1E5CB3AF"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 xml:space="preserve">A notable example is Ghana, where total losses (technical and commercial) were estimated at approximately 32% in 2025, highlighting the magnitude of the problem despite partial network modernization. These observations underscore that regional interconnection initiatives, such as CLSG or OMVG, cannot alone solve the loss problem. As long as national networks remain fragile and inefficient, </w:t>
      </w:r>
      <w:r w:rsidRPr="00A24F29">
        <w:rPr>
          <w:rFonts w:ascii="Century Gothic" w:hAnsi="Century Gothic" w:cs="Times New Roman"/>
          <w:sz w:val="24"/>
          <w:szCs w:val="24"/>
        </w:rPr>
        <w:lastRenderedPageBreak/>
        <w:t>the expected benefits of cross-border electricity trade will remain partially compromised.</w:t>
      </w:r>
    </w:p>
    <w:p w14:paraId="1CAE5929" w14:textId="77777777" w:rsidR="00A24F29" w:rsidRPr="00A24F29" w:rsidRDefault="00A24F29" w:rsidP="00296DE6">
      <w:pPr>
        <w:spacing w:line="276" w:lineRule="auto"/>
        <w:jc w:val="both"/>
        <w:rPr>
          <w:rFonts w:ascii="Century Gothic" w:hAnsi="Century Gothic" w:cs="Times New Roman"/>
          <w:b/>
          <w:bCs/>
          <w:sz w:val="24"/>
          <w:szCs w:val="24"/>
        </w:rPr>
      </w:pPr>
      <w:r w:rsidRPr="00A24F29">
        <w:rPr>
          <w:rFonts w:ascii="Century Gothic" w:hAnsi="Century Gothic" w:cs="Times New Roman"/>
          <w:b/>
          <w:bCs/>
          <w:sz w:val="24"/>
          <w:szCs w:val="24"/>
        </w:rPr>
        <w:t>4.1 Reduced Reliability: A Structural Constraint on Service Quality</w:t>
      </w:r>
    </w:p>
    <w:p w14:paraId="679F3C5B" w14:textId="77777777"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The primary impact of high losses affects the reliability of the electricity network. A significant portion of generated energy does not reach end-users, indicating that the actual supplied capacity is much lower than the installed or introduced capacity.</w:t>
      </w:r>
    </w:p>
    <w:p w14:paraId="62DB4D51" w14:textId="77777777"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This performance gap leads to a series of cascading effects:</w:t>
      </w:r>
    </w:p>
    <w:p w14:paraId="12320999" w14:textId="77777777" w:rsidR="00A24F29" w:rsidRPr="00A24F29" w:rsidRDefault="00A24F29" w:rsidP="00296DE6">
      <w:pPr>
        <w:numPr>
          <w:ilvl w:val="0"/>
          <w:numId w:val="25"/>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Frequent outages are inevitable when demand exceeds available capacity.</w:t>
      </w:r>
    </w:p>
    <w:p w14:paraId="24A6FF03" w14:textId="77777777" w:rsidR="00A24F29" w:rsidRPr="00A24F29" w:rsidRDefault="00A24F29" w:rsidP="00296DE6">
      <w:pPr>
        <w:numPr>
          <w:ilvl w:val="0"/>
          <w:numId w:val="25"/>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Voltage drops and frequency fluctuations compromise electricity quality, causing damage to household and industrial equipment.</w:t>
      </w:r>
    </w:p>
    <w:p w14:paraId="3591D40E" w14:textId="77777777" w:rsidR="00A24F29" w:rsidRPr="00A24F29" w:rsidRDefault="00A24F29" w:rsidP="00296DE6">
      <w:pPr>
        <w:numPr>
          <w:ilvl w:val="0"/>
          <w:numId w:val="25"/>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Distribution companies are forced to implement scheduled outages, affecting the continuity of public service.</w:t>
      </w:r>
    </w:p>
    <w:p w14:paraId="0DCCC56B" w14:textId="5EB5A215"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Network instability erodes user confidence and threatens economic activity. Manufacturing and service sectors experience production declines, while households face high costs for self-supply via generators. Consequently, lower network reliability in West Africa directly impacts economic competitiveness and social welfare.</w:t>
      </w:r>
    </w:p>
    <w:p w14:paraId="03BE4FD3" w14:textId="77777777" w:rsidR="00A24F29" w:rsidRPr="00A24F29" w:rsidRDefault="00A24F29" w:rsidP="00296DE6">
      <w:pPr>
        <w:spacing w:line="276" w:lineRule="auto"/>
        <w:jc w:val="both"/>
        <w:rPr>
          <w:rFonts w:ascii="Century Gothic" w:hAnsi="Century Gothic" w:cs="Times New Roman"/>
          <w:b/>
          <w:bCs/>
          <w:sz w:val="24"/>
          <w:szCs w:val="24"/>
        </w:rPr>
      </w:pPr>
      <w:r w:rsidRPr="00A24F29">
        <w:rPr>
          <w:rFonts w:ascii="Century Gothic" w:hAnsi="Century Gothic" w:cs="Times New Roman"/>
          <w:b/>
          <w:bCs/>
          <w:sz w:val="24"/>
          <w:szCs w:val="24"/>
        </w:rPr>
        <w:t>4.2 Compromised Profitability: A Chronic Financial Imbalance</w:t>
      </w:r>
    </w:p>
    <w:p w14:paraId="3708FCBD" w14:textId="77777777"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High losses also undermine the economic profitability of electricity companies. When 25–30% of generated or purchased energy is unbilled or unpaid, revenue becomes insufficient to cover production, transmission, and distribution costs.</w:t>
      </w:r>
    </w:p>
    <w:p w14:paraId="6ED4A324" w14:textId="77777777"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Public utilities face structural deficits. In some cases, revenue losses reach tens of millions of dollars per year. This limits their ability to:</w:t>
      </w:r>
    </w:p>
    <w:p w14:paraId="6E839D07" w14:textId="77777777" w:rsidR="00A24F29" w:rsidRPr="00A24F29" w:rsidRDefault="00A24F29" w:rsidP="00296DE6">
      <w:pPr>
        <w:numPr>
          <w:ilvl w:val="0"/>
          <w:numId w:val="26"/>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Maintain and modernize infrastructure;</w:t>
      </w:r>
    </w:p>
    <w:p w14:paraId="4A2C069C" w14:textId="77777777" w:rsidR="00A24F29" w:rsidRPr="00A24F29" w:rsidRDefault="00A24F29" w:rsidP="00296DE6">
      <w:pPr>
        <w:numPr>
          <w:ilvl w:val="0"/>
          <w:numId w:val="26"/>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Invest in new generation capacity;</w:t>
      </w:r>
    </w:p>
    <w:p w14:paraId="16066C43" w14:textId="77777777" w:rsidR="00A24F29" w:rsidRPr="00A24F29" w:rsidRDefault="00A24F29" w:rsidP="00296DE6">
      <w:pPr>
        <w:numPr>
          <w:ilvl w:val="0"/>
          <w:numId w:val="26"/>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Meet financial obligations to independent power producers (IPPs).</w:t>
      </w:r>
    </w:p>
    <w:p w14:paraId="6E830143" w14:textId="45AA0B7C"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 xml:space="preserve">This financial instability creates a vicious cycle: reduced investments lead to more failures, causing higher losses, and so on. Over the long term, these deficits affect public finances, as governments are regularly required to provide financial </w:t>
      </w:r>
      <w:r w:rsidRPr="00A24F29">
        <w:rPr>
          <w:rFonts w:ascii="Century Gothic" w:hAnsi="Century Gothic" w:cs="Times New Roman"/>
          <w:sz w:val="24"/>
          <w:szCs w:val="24"/>
        </w:rPr>
        <w:lastRenderedPageBreak/>
        <w:t>support to prevent utility collapse. This situation jeopardizes not only state financial health but also sector credibility with private investors and international donors.</w:t>
      </w:r>
    </w:p>
    <w:p w14:paraId="32D4484C" w14:textId="77777777" w:rsidR="00A24F29" w:rsidRPr="00A24F29" w:rsidRDefault="00A24F29" w:rsidP="00296DE6">
      <w:pPr>
        <w:spacing w:line="276" w:lineRule="auto"/>
        <w:jc w:val="both"/>
        <w:rPr>
          <w:rFonts w:ascii="Century Gothic" w:hAnsi="Century Gothic" w:cs="Times New Roman"/>
          <w:b/>
          <w:bCs/>
          <w:sz w:val="24"/>
          <w:szCs w:val="24"/>
        </w:rPr>
      </w:pPr>
      <w:r w:rsidRPr="00A24F29">
        <w:rPr>
          <w:rFonts w:ascii="Century Gothic" w:hAnsi="Century Gothic" w:cs="Times New Roman"/>
          <w:b/>
          <w:bCs/>
          <w:sz w:val="24"/>
          <w:szCs w:val="24"/>
        </w:rPr>
        <w:t>4.3 Impact on Regional Interconnection and Cross-Border Trade</w:t>
      </w:r>
    </w:p>
    <w:p w14:paraId="14E66740" w14:textId="77777777"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One of WAPP’s major objectives is to promote a regional electricity market, enabling surplus-producing countries (e.g., Côte d’Ivoire or Ghana) to export energy to deficit countries (e.g., Guinea-Bissau, Liberia, or Niger). However, high losses significantly reduce the effectiveness of this mechanism.</w:t>
      </w:r>
    </w:p>
    <w:p w14:paraId="6613BB58" w14:textId="77777777"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Specifically:</w:t>
      </w:r>
    </w:p>
    <w:p w14:paraId="1E07088C" w14:textId="77777777" w:rsidR="00A24F29" w:rsidRPr="00A24F29" w:rsidRDefault="00A24F29" w:rsidP="00296DE6">
      <w:pPr>
        <w:numPr>
          <w:ilvl w:val="0"/>
          <w:numId w:val="27"/>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When national networks are inefficient, imported energy is partially lost before reaching end-users, reducing the economic benefits of interconnection.</w:t>
      </w:r>
    </w:p>
    <w:p w14:paraId="0EDF93B7" w14:textId="77777777" w:rsidR="00A24F29" w:rsidRPr="00A24F29" w:rsidRDefault="00A24F29" w:rsidP="00296DE6">
      <w:pPr>
        <w:numPr>
          <w:ilvl w:val="0"/>
          <w:numId w:val="27"/>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Performance disparities between countries complicate pricing and reliability, making it difficult to reflect real costs.</w:t>
      </w:r>
    </w:p>
    <w:p w14:paraId="32329771" w14:textId="77777777" w:rsidR="00A24F29" w:rsidRPr="00A24F29" w:rsidRDefault="00A24F29" w:rsidP="00296DE6">
      <w:pPr>
        <w:numPr>
          <w:ilvl w:val="0"/>
          <w:numId w:val="27"/>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Regional operators must over-dimension interconnection infrastructure to compensate for these losses, increasing investment costs.</w:t>
      </w:r>
    </w:p>
    <w:p w14:paraId="4B71642F" w14:textId="7917E468"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Therefore, as long as each member country does not improve its performance indicators—particularly regarding technical and commercial losses—the potential for low-cost energy exchange remains limited. Interconnection is only meaningful if national grids are robust, reliable, and well-managed.</w:t>
      </w:r>
    </w:p>
    <w:p w14:paraId="581D32FE" w14:textId="77777777" w:rsidR="00A24F29" w:rsidRPr="00A24F29" w:rsidRDefault="00A24F29" w:rsidP="00296DE6">
      <w:pPr>
        <w:spacing w:line="276" w:lineRule="auto"/>
        <w:jc w:val="both"/>
        <w:rPr>
          <w:rFonts w:ascii="Century Gothic" w:hAnsi="Century Gothic" w:cs="Times New Roman"/>
          <w:b/>
          <w:bCs/>
          <w:sz w:val="24"/>
          <w:szCs w:val="24"/>
        </w:rPr>
      </w:pPr>
      <w:r w:rsidRPr="00A24F29">
        <w:rPr>
          <w:rFonts w:ascii="Century Gothic" w:hAnsi="Century Gothic" w:cs="Times New Roman"/>
          <w:b/>
          <w:bCs/>
          <w:sz w:val="24"/>
          <w:szCs w:val="24"/>
        </w:rPr>
        <w:t>4.4 Structural and Institutional Causes</w:t>
      </w:r>
    </w:p>
    <w:p w14:paraId="733A24E5" w14:textId="77777777"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The causes of losses are multiple and interdependent:</w:t>
      </w:r>
    </w:p>
    <w:p w14:paraId="18A6513E" w14:textId="77777777" w:rsidR="00A24F29" w:rsidRPr="00A24F29" w:rsidRDefault="00A24F29" w:rsidP="00296DE6">
      <w:pPr>
        <w:numPr>
          <w:ilvl w:val="0"/>
          <w:numId w:val="28"/>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Aging infrastructure: Transformers, cables, and distribution lines are often obsolete, resulting in low energy efficiency.</w:t>
      </w:r>
    </w:p>
    <w:p w14:paraId="3F87684D" w14:textId="77777777" w:rsidR="00A24F29" w:rsidRPr="00A24F29" w:rsidRDefault="00A24F29" w:rsidP="00296DE6">
      <w:pPr>
        <w:numPr>
          <w:ilvl w:val="0"/>
          <w:numId w:val="28"/>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Network overloads: Rapid urbanization and population growth have caused demand to exceed planned capacity, increasing thermal losses.</w:t>
      </w:r>
    </w:p>
    <w:p w14:paraId="48B93554" w14:textId="77777777" w:rsidR="00A24F29" w:rsidRPr="00A24F29" w:rsidRDefault="00A24F29" w:rsidP="00296DE6">
      <w:pPr>
        <w:numPr>
          <w:ilvl w:val="0"/>
          <w:numId w:val="28"/>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Low reliability of metering systems: The absence of modern meters and frequent manipulation of old meters facilitate fraud and underbilling.</w:t>
      </w:r>
    </w:p>
    <w:p w14:paraId="043FABD0" w14:textId="77777777" w:rsidR="00A24F29" w:rsidRPr="00A24F29" w:rsidRDefault="00A24F29" w:rsidP="00296DE6">
      <w:pPr>
        <w:numPr>
          <w:ilvl w:val="0"/>
          <w:numId w:val="28"/>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Illegal connections and commercial fraud: Unauthorized connections remain common, sometimes tolerated in underprivileged areas.</w:t>
      </w:r>
    </w:p>
    <w:p w14:paraId="19AF0B4E" w14:textId="77777777" w:rsidR="00A24F29" w:rsidRPr="00A24F29" w:rsidRDefault="00A24F29" w:rsidP="00296DE6">
      <w:pPr>
        <w:numPr>
          <w:ilvl w:val="0"/>
          <w:numId w:val="28"/>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lastRenderedPageBreak/>
        <w:t>Insufficient collection: Non-payment, particularly by public administrations, represents a major revenue loss. In some countries, actual collection rates do not exceed 65%.</w:t>
      </w:r>
    </w:p>
    <w:p w14:paraId="2BEC9B60" w14:textId="12496544"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These causes reflect systemic delays in technical modernization, governance, and electricity sector management.</w:t>
      </w:r>
    </w:p>
    <w:p w14:paraId="2F1175D6" w14:textId="77777777" w:rsidR="00A24F29" w:rsidRPr="00A24F29" w:rsidRDefault="00A24F29" w:rsidP="00296DE6">
      <w:pPr>
        <w:spacing w:line="276" w:lineRule="auto"/>
        <w:jc w:val="both"/>
        <w:rPr>
          <w:rFonts w:ascii="Century Gothic" w:hAnsi="Century Gothic" w:cs="Times New Roman"/>
          <w:b/>
          <w:bCs/>
          <w:sz w:val="24"/>
          <w:szCs w:val="24"/>
        </w:rPr>
      </w:pPr>
      <w:r w:rsidRPr="00A24F29">
        <w:rPr>
          <w:rFonts w:ascii="Century Gothic" w:hAnsi="Century Gothic" w:cs="Times New Roman"/>
          <w:b/>
          <w:bCs/>
          <w:sz w:val="24"/>
          <w:szCs w:val="24"/>
        </w:rPr>
        <w:t>4.5 Solutions and Improvement Prospects</w:t>
      </w:r>
    </w:p>
    <w:p w14:paraId="4BE262EA" w14:textId="77777777"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To address these challenges, several structural and operational measures are necessary to enhance the performance of West African power networks:</w:t>
      </w:r>
    </w:p>
    <w:p w14:paraId="46F9927C" w14:textId="77777777" w:rsidR="00A24F29" w:rsidRPr="00A24F29" w:rsidRDefault="00A24F29" w:rsidP="00296DE6">
      <w:pPr>
        <w:numPr>
          <w:ilvl w:val="0"/>
          <w:numId w:val="29"/>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Infrastructure modernization: Replace high-voltage lines, transformers, and distribution equipment, and adopt modern load management and monitoring technologies (SCADA, IoT sensors).</w:t>
      </w:r>
    </w:p>
    <w:p w14:paraId="6F7572F7" w14:textId="77777777" w:rsidR="00A24F29" w:rsidRPr="00A24F29" w:rsidRDefault="00A24F29" w:rsidP="00296DE6">
      <w:pPr>
        <w:numPr>
          <w:ilvl w:val="0"/>
          <w:numId w:val="29"/>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Widespread deployment of prepaid and smart meters: These devices reduce fraud, improve billing, and promote consumer accountability. They also enable automated consumption data collection, essential for planning.</w:t>
      </w:r>
    </w:p>
    <w:p w14:paraId="07C8585B" w14:textId="77777777" w:rsidR="00A24F29" w:rsidRPr="00A24F29" w:rsidRDefault="00A24F29" w:rsidP="00296DE6">
      <w:pPr>
        <w:numPr>
          <w:ilvl w:val="0"/>
          <w:numId w:val="29"/>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Strengthening revenue collection and financial discipline: Implement electronic payment systems and enforce penalties for non-payment to restore utility financial viability.</w:t>
      </w:r>
    </w:p>
    <w:p w14:paraId="2BF260D2" w14:textId="77777777" w:rsidR="00A24F29" w:rsidRPr="00A24F29" w:rsidRDefault="00A24F29" w:rsidP="00296DE6">
      <w:pPr>
        <w:numPr>
          <w:ilvl w:val="0"/>
          <w:numId w:val="29"/>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Regular network audits: Technical and commercial audits help identify critical points and establish targeted loss-reduction plans.</w:t>
      </w:r>
    </w:p>
    <w:p w14:paraId="0C790FE4" w14:textId="77777777" w:rsidR="00A24F29" w:rsidRPr="00A24F29" w:rsidRDefault="00A24F29" w:rsidP="00296DE6">
      <w:pPr>
        <w:numPr>
          <w:ilvl w:val="0"/>
          <w:numId w:val="29"/>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Integrated loss reduction programs: Countries can adopt Loss Reduction Programs (LRPs) supported by technical and financial partners, combining technical upgrades and institutional reforms.</w:t>
      </w:r>
    </w:p>
    <w:p w14:paraId="1B6348C4" w14:textId="77777777" w:rsidR="00A24F29" w:rsidRPr="00A24F29" w:rsidRDefault="00A24F29" w:rsidP="00296DE6">
      <w:pPr>
        <w:numPr>
          <w:ilvl w:val="0"/>
          <w:numId w:val="29"/>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Regulatory harmonization and regional cooperation: WAPP and ERERA should continue harmonizing performance standards and encourage countries to achieve loss thresholds below 10%.</w:t>
      </w:r>
    </w:p>
    <w:p w14:paraId="3DACD195" w14:textId="04FA809F" w:rsidR="00A24F29" w:rsidRPr="00A24F29" w:rsidRDefault="00A24F29" w:rsidP="00296DE6">
      <w:pPr>
        <w:numPr>
          <w:ilvl w:val="0"/>
          <w:numId w:val="29"/>
        </w:num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Human capacity development: Training and specialization of engineers and technicians in maintenance, energy management, and digital network supervision is essential for sustainable reforms.</w:t>
      </w:r>
    </w:p>
    <w:p w14:paraId="1F402950" w14:textId="14D476F0"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Electricity losses in West Africa are a major obstacle to the success of regional energy integration. Their magnitude</w:t>
      </w:r>
      <w:r w:rsidRPr="00B85382">
        <w:rPr>
          <w:rFonts w:ascii="Century Gothic" w:hAnsi="Century Gothic" w:cs="Times New Roman"/>
          <w:sz w:val="24"/>
          <w:szCs w:val="24"/>
        </w:rPr>
        <w:t xml:space="preserve"> </w:t>
      </w:r>
      <w:r w:rsidRPr="00A24F29">
        <w:rPr>
          <w:rFonts w:ascii="Century Gothic" w:hAnsi="Century Gothic" w:cs="Times New Roman"/>
          <w:sz w:val="24"/>
          <w:szCs w:val="24"/>
        </w:rPr>
        <w:t>estimated at nearly 30% of total produced or imported energy in some countries—threatens the technical and financial stability of the sector.</w:t>
      </w:r>
    </w:p>
    <w:p w14:paraId="20DDC742" w14:textId="14F7F88D"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lastRenderedPageBreak/>
        <w:t>To overcome this challenge, a comprehensive and coordinated approach is essential: modernize networks, improve governance, harmonize regulations, and strengthen technical cooperation within WAPP. Sustainable loss reduction is not only a technical issue but also an economic, social, and political one. It determines supply reliability, operator profitability, and the success of West African energy integration</w:t>
      </w:r>
      <w:r w:rsidR="001C24FC">
        <w:rPr>
          <w:rFonts w:ascii="Century Gothic" w:hAnsi="Century Gothic" w:cs="Times New Roman"/>
          <w:sz w:val="24"/>
          <w:szCs w:val="24"/>
        </w:rPr>
        <w:t xml:space="preserve"> </w:t>
      </w:r>
      <w:r w:rsidRPr="00A24F29">
        <w:rPr>
          <w:rFonts w:ascii="Century Gothic" w:hAnsi="Century Gothic" w:cs="Times New Roman"/>
          <w:sz w:val="24"/>
          <w:szCs w:val="24"/>
        </w:rPr>
        <w:t>a cornerstone of regional development.</w:t>
      </w:r>
    </w:p>
    <w:p w14:paraId="7FF99641" w14:textId="77777777" w:rsidR="00492B4C" w:rsidRDefault="00492B4C" w:rsidP="00296DE6">
      <w:pPr>
        <w:spacing w:line="276" w:lineRule="auto"/>
        <w:jc w:val="both"/>
        <w:rPr>
          <w:rFonts w:ascii="Century Gothic" w:hAnsi="Century Gothic" w:cs="Times New Roman"/>
          <w:sz w:val="24"/>
          <w:szCs w:val="24"/>
        </w:rPr>
      </w:pPr>
    </w:p>
    <w:p w14:paraId="7890F0EF" w14:textId="0857DFBE" w:rsidR="00492B4C" w:rsidRPr="00492B4C" w:rsidRDefault="00492B4C" w:rsidP="00296DE6">
      <w:pPr>
        <w:spacing w:line="276" w:lineRule="auto"/>
        <w:jc w:val="both"/>
        <w:rPr>
          <w:rFonts w:ascii="Century Gothic" w:hAnsi="Century Gothic" w:cs="Times New Roman"/>
          <w:b/>
          <w:sz w:val="24"/>
          <w:szCs w:val="24"/>
        </w:rPr>
      </w:pPr>
      <w:r w:rsidRPr="00492B4C">
        <w:rPr>
          <w:rFonts w:ascii="Century Gothic" w:hAnsi="Century Gothic" w:cs="Times New Roman"/>
          <w:b/>
          <w:sz w:val="24"/>
          <w:szCs w:val="24"/>
        </w:rPr>
        <w:t xml:space="preserve">Conclusion: </w:t>
      </w:r>
    </w:p>
    <w:p w14:paraId="50DD4166" w14:textId="25062A49"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Technical and commercial losses in West African electricity networks represent a significant barrier to achieving the energy integration goals promoted by the West Africa Power Pool (WAPP). The region exhibits substantial deviations from international standards (5–10%), with average technical losses estimated at 9.1% and non-technical losses reaching up to 21% in various countries. These losses, primarily due to infrastructure degradation, illegal connections, and insufficient billing and collection systems, significantly reduce sector profitability and reliability.</w:t>
      </w:r>
    </w:p>
    <w:p w14:paraId="5322B39B" w14:textId="77777777" w:rsidR="00A24F29" w:rsidRP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For regional interconnection to fully serve as a lever for energy efficiency and economic integration, each member country must implement specific structural reforms. These initiatives include upgrading electricity networks (replacement of aging lines and transformers, increased transmission capacity), implementing digital metering and billing systems, and deploying smart meters to reduce fraud and optimize collections. Simultaneously, improving governance, training technicians, and raising consumer awareness are essential to optimize energy management and minimize non-technical losses.</w:t>
      </w:r>
    </w:p>
    <w:p w14:paraId="77D76D97" w14:textId="073532EE" w:rsidR="00A24F29" w:rsidRDefault="00A24F29" w:rsidP="00296DE6">
      <w:pPr>
        <w:spacing w:line="276" w:lineRule="auto"/>
        <w:jc w:val="both"/>
        <w:rPr>
          <w:rFonts w:ascii="Century Gothic" w:hAnsi="Century Gothic" w:cs="Times New Roman"/>
          <w:sz w:val="24"/>
          <w:szCs w:val="24"/>
        </w:rPr>
      </w:pPr>
      <w:r w:rsidRPr="00A24F29">
        <w:rPr>
          <w:rFonts w:ascii="Century Gothic" w:hAnsi="Century Gothic" w:cs="Times New Roman"/>
          <w:sz w:val="24"/>
          <w:szCs w:val="24"/>
        </w:rPr>
        <w:t>A coordinated strategy among member states, supported by regional institutions such as WAPP, ECOWAS, and ERERA, is therefore essential. By addressing technical, commercial, and institutional aspects, the region can strengthen the financial resilience and sustainability of its utilities while improving access to stable, affordable, and reliable electricity. Reducing losses is thus a key condition for fully realizing the potential of energy integration in West Africa.</w:t>
      </w:r>
    </w:p>
    <w:p w14:paraId="06F484AC" w14:textId="77777777" w:rsidR="008131C8" w:rsidRPr="00492B4C" w:rsidRDefault="008131C8" w:rsidP="00296DE6">
      <w:pPr>
        <w:jc w:val="both"/>
        <w:rPr>
          <w:b/>
          <w:highlight w:val="yellow"/>
        </w:rPr>
      </w:pPr>
      <w:r w:rsidRPr="00492B4C">
        <w:rPr>
          <w:b/>
          <w:highlight w:val="yellow"/>
        </w:rPr>
        <w:t>Disclaimer (Artificial intelligence)</w:t>
      </w:r>
    </w:p>
    <w:p w14:paraId="2585C88F" w14:textId="77777777" w:rsidR="008131C8" w:rsidRPr="007A4135" w:rsidRDefault="008131C8" w:rsidP="00296DE6">
      <w:pPr>
        <w:jc w:val="both"/>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1EEF9C18" w14:textId="77777777" w:rsidR="008131C8" w:rsidRPr="001C24FC" w:rsidRDefault="008131C8" w:rsidP="00296DE6">
      <w:pPr>
        <w:spacing w:line="276" w:lineRule="auto"/>
        <w:jc w:val="both"/>
        <w:rPr>
          <w:rFonts w:ascii="Century Gothic" w:hAnsi="Century Gothic" w:cs="Times New Roman"/>
          <w:sz w:val="24"/>
          <w:szCs w:val="24"/>
        </w:rPr>
      </w:pPr>
    </w:p>
    <w:p w14:paraId="75D7D254" w14:textId="77777777" w:rsidR="00A24F29" w:rsidRPr="00A24F29" w:rsidRDefault="00A24F29" w:rsidP="00296DE6">
      <w:pPr>
        <w:spacing w:line="276" w:lineRule="auto"/>
        <w:jc w:val="both"/>
        <w:rPr>
          <w:rFonts w:ascii="Century Gothic" w:hAnsi="Century Gothic" w:cs="Times New Roman"/>
          <w:b/>
          <w:bCs/>
          <w:sz w:val="24"/>
          <w:szCs w:val="24"/>
        </w:rPr>
      </w:pPr>
      <w:r w:rsidRPr="00A24F29">
        <w:rPr>
          <w:rFonts w:ascii="Century Gothic" w:hAnsi="Century Gothic" w:cs="Times New Roman"/>
          <w:b/>
          <w:bCs/>
          <w:sz w:val="24"/>
          <w:szCs w:val="24"/>
        </w:rPr>
        <w:lastRenderedPageBreak/>
        <w:t>References</w:t>
      </w:r>
    </w:p>
    <w:p w14:paraId="61489CC7" w14:textId="77777777" w:rsidR="003442AA" w:rsidRPr="003442AA" w:rsidRDefault="003442AA" w:rsidP="00296DE6">
      <w:pPr>
        <w:numPr>
          <w:ilvl w:val="0"/>
          <w:numId w:val="32"/>
        </w:numPr>
        <w:spacing w:line="276" w:lineRule="auto"/>
        <w:jc w:val="both"/>
        <w:rPr>
          <w:rFonts w:ascii="Century Gothic" w:hAnsi="Century Gothic" w:cs="Times New Roman"/>
          <w:sz w:val="24"/>
          <w:szCs w:val="24"/>
        </w:rPr>
      </w:pPr>
      <w:r w:rsidRPr="003442AA">
        <w:rPr>
          <w:rFonts w:ascii="Century Gothic" w:hAnsi="Century Gothic" w:cs="Times New Roman"/>
          <w:b/>
          <w:bCs/>
          <w:sz w:val="24"/>
          <w:szCs w:val="24"/>
        </w:rPr>
        <w:t>West African Power Pool (WAPP). (2023).</w:t>
      </w:r>
      <w:r w:rsidRPr="003442AA">
        <w:rPr>
          <w:rFonts w:ascii="Century Gothic" w:hAnsi="Century Gothic" w:cs="Times New Roman"/>
          <w:sz w:val="24"/>
          <w:szCs w:val="24"/>
        </w:rPr>
        <w:br/>
      </w:r>
      <w:r w:rsidRPr="003442AA">
        <w:rPr>
          <w:rFonts w:ascii="Century Gothic" w:hAnsi="Century Gothic" w:cs="Times New Roman"/>
          <w:i/>
          <w:iCs/>
          <w:sz w:val="24"/>
          <w:szCs w:val="24"/>
        </w:rPr>
        <w:t>Annual Report 2023.</w:t>
      </w:r>
      <w:r w:rsidRPr="003442AA">
        <w:rPr>
          <w:rFonts w:ascii="Century Gothic" w:hAnsi="Century Gothic" w:cs="Times New Roman"/>
          <w:sz w:val="24"/>
          <w:szCs w:val="24"/>
        </w:rPr>
        <w:t xml:space="preserve"> Cotonou: WAPP Secretariat.</w:t>
      </w:r>
    </w:p>
    <w:p w14:paraId="39B3732F" w14:textId="77777777" w:rsidR="003442AA" w:rsidRPr="003442AA" w:rsidRDefault="003442AA" w:rsidP="00296DE6">
      <w:pPr>
        <w:numPr>
          <w:ilvl w:val="0"/>
          <w:numId w:val="32"/>
        </w:numPr>
        <w:spacing w:line="276" w:lineRule="auto"/>
        <w:jc w:val="both"/>
        <w:rPr>
          <w:rFonts w:ascii="Century Gothic" w:hAnsi="Century Gothic" w:cs="Times New Roman"/>
          <w:sz w:val="24"/>
          <w:szCs w:val="24"/>
        </w:rPr>
      </w:pPr>
      <w:r w:rsidRPr="003442AA">
        <w:rPr>
          <w:rFonts w:ascii="Century Gothic" w:hAnsi="Century Gothic" w:cs="Times New Roman"/>
          <w:b/>
          <w:bCs/>
          <w:sz w:val="24"/>
          <w:szCs w:val="24"/>
        </w:rPr>
        <w:t>ECOWAS Regional Electricity Regulatory Authority (ERERA). (2022).</w:t>
      </w:r>
      <w:r w:rsidRPr="003442AA">
        <w:rPr>
          <w:rFonts w:ascii="Century Gothic" w:hAnsi="Century Gothic" w:cs="Times New Roman"/>
          <w:sz w:val="24"/>
          <w:szCs w:val="24"/>
        </w:rPr>
        <w:br/>
      </w:r>
      <w:r w:rsidRPr="003442AA">
        <w:rPr>
          <w:rFonts w:ascii="Century Gothic" w:hAnsi="Century Gothic" w:cs="Times New Roman"/>
          <w:i/>
          <w:iCs/>
          <w:sz w:val="24"/>
          <w:szCs w:val="24"/>
        </w:rPr>
        <w:t>State of Electricity Network Performance in the ECOWAS Region.</w:t>
      </w:r>
      <w:r w:rsidRPr="003442AA">
        <w:rPr>
          <w:rFonts w:ascii="Century Gothic" w:hAnsi="Century Gothic" w:cs="Times New Roman"/>
          <w:sz w:val="24"/>
          <w:szCs w:val="24"/>
        </w:rPr>
        <w:t xml:space="preserve"> Abuja: ERERA.</w:t>
      </w:r>
    </w:p>
    <w:p w14:paraId="3456AA57" w14:textId="77777777" w:rsidR="003442AA" w:rsidRPr="003442AA" w:rsidRDefault="003442AA" w:rsidP="00296DE6">
      <w:pPr>
        <w:numPr>
          <w:ilvl w:val="0"/>
          <w:numId w:val="32"/>
        </w:numPr>
        <w:spacing w:line="276" w:lineRule="auto"/>
        <w:jc w:val="both"/>
        <w:rPr>
          <w:rFonts w:ascii="Century Gothic" w:hAnsi="Century Gothic" w:cs="Times New Roman"/>
          <w:sz w:val="24"/>
          <w:szCs w:val="24"/>
        </w:rPr>
      </w:pPr>
      <w:r w:rsidRPr="003442AA">
        <w:rPr>
          <w:rFonts w:ascii="Century Gothic" w:hAnsi="Century Gothic" w:cs="Times New Roman"/>
          <w:b/>
          <w:bCs/>
          <w:sz w:val="24"/>
          <w:szCs w:val="24"/>
        </w:rPr>
        <w:t>World Bank. (2022).</w:t>
      </w:r>
      <w:r w:rsidRPr="003442AA">
        <w:rPr>
          <w:rFonts w:ascii="Century Gothic" w:hAnsi="Century Gothic" w:cs="Times New Roman"/>
          <w:sz w:val="24"/>
          <w:szCs w:val="24"/>
        </w:rPr>
        <w:br/>
      </w:r>
      <w:r w:rsidRPr="003442AA">
        <w:rPr>
          <w:rFonts w:ascii="Century Gothic" w:hAnsi="Century Gothic" w:cs="Times New Roman"/>
          <w:i/>
          <w:iCs/>
          <w:sz w:val="24"/>
          <w:szCs w:val="24"/>
        </w:rPr>
        <w:t>Reducing Technical and Commercial Losses in Power Distribution Networks: Lessons from Sub-Saharan Africa.</w:t>
      </w:r>
      <w:r w:rsidRPr="003442AA">
        <w:rPr>
          <w:rFonts w:ascii="Century Gothic" w:hAnsi="Century Gothic" w:cs="Times New Roman"/>
          <w:sz w:val="24"/>
          <w:szCs w:val="24"/>
        </w:rPr>
        <w:br/>
        <w:t>Washington, DC: World Bank Group.</w:t>
      </w:r>
    </w:p>
    <w:p w14:paraId="7BD1A464" w14:textId="77777777" w:rsidR="003442AA" w:rsidRPr="003442AA" w:rsidRDefault="003442AA" w:rsidP="00296DE6">
      <w:pPr>
        <w:numPr>
          <w:ilvl w:val="0"/>
          <w:numId w:val="32"/>
        </w:numPr>
        <w:spacing w:line="276" w:lineRule="auto"/>
        <w:jc w:val="both"/>
        <w:rPr>
          <w:rFonts w:ascii="Century Gothic" w:hAnsi="Century Gothic" w:cs="Times New Roman"/>
          <w:sz w:val="24"/>
          <w:szCs w:val="24"/>
        </w:rPr>
      </w:pPr>
      <w:r w:rsidRPr="003442AA">
        <w:rPr>
          <w:rFonts w:ascii="Century Gothic" w:hAnsi="Century Gothic" w:cs="Times New Roman"/>
          <w:b/>
          <w:bCs/>
          <w:sz w:val="24"/>
          <w:szCs w:val="24"/>
        </w:rPr>
        <w:t>International Energy Agency (IEA). (2022).</w:t>
      </w:r>
      <w:r w:rsidRPr="003442AA">
        <w:rPr>
          <w:rFonts w:ascii="Century Gothic" w:hAnsi="Century Gothic" w:cs="Times New Roman"/>
          <w:sz w:val="24"/>
          <w:szCs w:val="24"/>
        </w:rPr>
        <w:br/>
      </w:r>
      <w:r w:rsidRPr="003442AA">
        <w:rPr>
          <w:rFonts w:ascii="Century Gothic" w:hAnsi="Century Gothic" w:cs="Times New Roman"/>
          <w:i/>
          <w:iCs/>
          <w:sz w:val="24"/>
          <w:szCs w:val="24"/>
        </w:rPr>
        <w:t>Africa Energy Outlook 2022.</w:t>
      </w:r>
      <w:r w:rsidRPr="003442AA">
        <w:rPr>
          <w:rFonts w:ascii="Century Gothic" w:hAnsi="Century Gothic" w:cs="Times New Roman"/>
          <w:sz w:val="24"/>
          <w:szCs w:val="24"/>
        </w:rPr>
        <w:t xml:space="preserve"> Paris: IEA.</w:t>
      </w:r>
    </w:p>
    <w:p w14:paraId="349C99E6" w14:textId="77777777" w:rsidR="003442AA" w:rsidRPr="003442AA" w:rsidRDefault="003442AA" w:rsidP="00296DE6">
      <w:pPr>
        <w:numPr>
          <w:ilvl w:val="0"/>
          <w:numId w:val="32"/>
        </w:numPr>
        <w:spacing w:line="276" w:lineRule="auto"/>
        <w:jc w:val="both"/>
        <w:rPr>
          <w:rFonts w:ascii="Century Gothic" w:hAnsi="Century Gothic" w:cs="Times New Roman"/>
          <w:sz w:val="24"/>
          <w:szCs w:val="24"/>
        </w:rPr>
      </w:pPr>
      <w:r w:rsidRPr="003442AA">
        <w:rPr>
          <w:rFonts w:ascii="Century Gothic" w:hAnsi="Century Gothic" w:cs="Times New Roman"/>
          <w:b/>
          <w:bCs/>
          <w:sz w:val="24"/>
          <w:szCs w:val="24"/>
        </w:rPr>
        <w:t>African Development Bank Group (AfDB). (2021).</w:t>
      </w:r>
      <w:r w:rsidRPr="003442AA">
        <w:rPr>
          <w:rFonts w:ascii="Century Gothic" w:hAnsi="Century Gothic" w:cs="Times New Roman"/>
          <w:sz w:val="24"/>
          <w:szCs w:val="24"/>
        </w:rPr>
        <w:br/>
      </w:r>
      <w:r w:rsidRPr="003442AA">
        <w:rPr>
          <w:rFonts w:ascii="Century Gothic" w:hAnsi="Century Gothic" w:cs="Times New Roman"/>
          <w:i/>
          <w:iCs/>
          <w:sz w:val="24"/>
          <w:szCs w:val="24"/>
        </w:rPr>
        <w:t>Power Sector Performance and Electricity Losses in Africa.</w:t>
      </w:r>
      <w:r w:rsidRPr="003442AA">
        <w:rPr>
          <w:rFonts w:ascii="Century Gothic" w:hAnsi="Century Gothic" w:cs="Times New Roman"/>
          <w:sz w:val="24"/>
          <w:szCs w:val="24"/>
        </w:rPr>
        <w:t xml:space="preserve"> Abidjan: AfDB.</w:t>
      </w:r>
    </w:p>
    <w:p w14:paraId="76C8D2E9" w14:textId="77777777" w:rsidR="003442AA" w:rsidRPr="003442AA" w:rsidRDefault="003442AA" w:rsidP="00296DE6">
      <w:pPr>
        <w:numPr>
          <w:ilvl w:val="0"/>
          <w:numId w:val="32"/>
        </w:numPr>
        <w:spacing w:line="276" w:lineRule="auto"/>
        <w:jc w:val="both"/>
        <w:rPr>
          <w:rFonts w:ascii="Century Gothic" w:hAnsi="Century Gothic" w:cs="Times New Roman"/>
          <w:sz w:val="24"/>
          <w:szCs w:val="24"/>
        </w:rPr>
      </w:pPr>
      <w:r w:rsidRPr="003442AA">
        <w:rPr>
          <w:rFonts w:ascii="Century Gothic" w:hAnsi="Century Gothic" w:cs="Times New Roman"/>
          <w:b/>
          <w:bCs/>
          <w:sz w:val="24"/>
          <w:szCs w:val="24"/>
        </w:rPr>
        <w:t>ECOWAS Commission. (2021).</w:t>
      </w:r>
      <w:r w:rsidRPr="003442AA">
        <w:rPr>
          <w:rFonts w:ascii="Century Gothic" w:hAnsi="Century Gothic" w:cs="Times New Roman"/>
          <w:sz w:val="24"/>
          <w:szCs w:val="24"/>
        </w:rPr>
        <w:br/>
      </w:r>
      <w:r w:rsidRPr="003442AA">
        <w:rPr>
          <w:rFonts w:ascii="Century Gothic" w:hAnsi="Century Gothic" w:cs="Times New Roman"/>
          <w:i/>
          <w:iCs/>
          <w:sz w:val="24"/>
          <w:szCs w:val="24"/>
        </w:rPr>
        <w:t>ECOWAS Energy Efficiency Policy (EEEP).</w:t>
      </w:r>
      <w:r w:rsidRPr="003442AA">
        <w:rPr>
          <w:rFonts w:ascii="Century Gothic" w:hAnsi="Century Gothic" w:cs="Times New Roman"/>
          <w:sz w:val="24"/>
          <w:szCs w:val="24"/>
        </w:rPr>
        <w:t xml:space="preserve"> Abuja: ECOWAS Commission.</w:t>
      </w:r>
    </w:p>
    <w:p w14:paraId="115023FE" w14:textId="77777777" w:rsidR="003442AA" w:rsidRPr="003442AA" w:rsidRDefault="003442AA" w:rsidP="00296DE6">
      <w:pPr>
        <w:numPr>
          <w:ilvl w:val="0"/>
          <w:numId w:val="32"/>
        </w:numPr>
        <w:spacing w:line="276" w:lineRule="auto"/>
        <w:jc w:val="both"/>
        <w:rPr>
          <w:rFonts w:ascii="Century Gothic" w:hAnsi="Century Gothic" w:cs="Times New Roman"/>
          <w:sz w:val="24"/>
          <w:szCs w:val="24"/>
        </w:rPr>
      </w:pPr>
      <w:r w:rsidRPr="003442AA">
        <w:rPr>
          <w:rFonts w:ascii="Century Gothic" w:hAnsi="Century Gothic" w:cs="Times New Roman"/>
          <w:b/>
          <w:bCs/>
          <w:sz w:val="24"/>
          <w:szCs w:val="24"/>
        </w:rPr>
        <w:t>World Bank. (2023).</w:t>
      </w:r>
      <w:r w:rsidRPr="003442AA">
        <w:rPr>
          <w:rFonts w:ascii="Century Gothic" w:hAnsi="Century Gothic" w:cs="Times New Roman"/>
          <w:sz w:val="24"/>
          <w:szCs w:val="24"/>
        </w:rPr>
        <w:br/>
      </w:r>
      <w:r w:rsidRPr="003442AA">
        <w:rPr>
          <w:rFonts w:ascii="Century Gothic" w:hAnsi="Century Gothic" w:cs="Times New Roman"/>
          <w:i/>
          <w:iCs/>
          <w:sz w:val="24"/>
          <w:szCs w:val="24"/>
        </w:rPr>
        <w:t>Scaling Up Energy Access for Green, Resilient and Inclusive Development in Western and Central Africa.</w:t>
      </w:r>
      <w:r w:rsidRPr="003442AA">
        <w:rPr>
          <w:rFonts w:ascii="Century Gothic" w:hAnsi="Century Gothic" w:cs="Times New Roman"/>
          <w:sz w:val="24"/>
          <w:szCs w:val="24"/>
        </w:rPr>
        <w:br/>
        <w:t>Washington, DC: World Bank Group.</w:t>
      </w:r>
    </w:p>
    <w:p w14:paraId="4A8177C0" w14:textId="77777777" w:rsidR="003442AA" w:rsidRPr="003442AA" w:rsidRDefault="003442AA" w:rsidP="00296DE6">
      <w:pPr>
        <w:numPr>
          <w:ilvl w:val="0"/>
          <w:numId w:val="32"/>
        </w:numPr>
        <w:spacing w:line="276" w:lineRule="auto"/>
        <w:jc w:val="both"/>
        <w:rPr>
          <w:rFonts w:ascii="Century Gothic" w:hAnsi="Century Gothic" w:cs="Times New Roman"/>
          <w:sz w:val="24"/>
          <w:szCs w:val="24"/>
        </w:rPr>
      </w:pPr>
      <w:r w:rsidRPr="003442AA">
        <w:rPr>
          <w:rFonts w:ascii="Century Gothic" w:hAnsi="Century Gothic" w:cs="Times New Roman"/>
          <w:b/>
          <w:bCs/>
          <w:sz w:val="24"/>
          <w:szCs w:val="24"/>
        </w:rPr>
        <w:t>U.S. Agency for International Development (USAID). (2020).</w:t>
      </w:r>
      <w:r w:rsidRPr="003442AA">
        <w:rPr>
          <w:rFonts w:ascii="Century Gothic" w:hAnsi="Century Gothic" w:cs="Times New Roman"/>
          <w:sz w:val="24"/>
          <w:szCs w:val="24"/>
        </w:rPr>
        <w:br/>
      </w:r>
      <w:r w:rsidRPr="003442AA">
        <w:rPr>
          <w:rFonts w:ascii="Century Gothic" w:hAnsi="Century Gothic" w:cs="Times New Roman"/>
          <w:i/>
          <w:iCs/>
          <w:sz w:val="24"/>
          <w:szCs w:val="24"/>
        </w:rPr>
        <w:t>Utility Performance and Loss Reduction in West Africa.</w:t>
      </w:r>
      <w:r w:rsidRPr="003442AA">
        <w:rPr>
          <w:rFonts w:ascii="Century Gothic" w:hAnsi="Century Gothic" w:cs="Times New Roman"/>
          <w:sz w:val="24"/>
          <w:szCs w:val="24"/>
        </w:rPr>
        <w:t xml:space="preserve"> Washington, DC: USAID Power Africa.</w:t>
      </w:r>
    </w:p>
    <w:p w14:paraId="63DBEE98" w14:textId="77777777" w:rsidR="003442AA" w:rsidRPr="003442AA" w:rsidRDefault="003442AA" w:rsidP="00296DE6">
      <w:pPr>
        <w:numPr>
          <w:ilvl w:val="0"/>
          <w:numId w:val="32"/>
        </w:numPr>
        <w:spacing w:line="276" w:lineRule="auto"/>
        <w:jc w:val="both"/>
        <w:rPr>
          <w:rFonts w:ascii="Century Gothic" w:hAnsi="Century Gothic" w:cs="Times New Roman"/>
          <w:sz w:val="24"/>
          <w:szCs w:val="24"/>
        </w:rPr>
      </w:pPr>
      <w:r w:rsidRPr="003442AA">
        <w:rPr>
          <w:rFonts w:ascii="Century Gothic" w:hAnsi="Century Gothic" w:cs="Times New Roman"/>
          <w:b/>
          <w:bCs/>
          <w:sz w:val="24"/>
          <w:szCs w:val="24"/>
        </w:rPr>
        <w:t>West African Power Pool (WAPP). (2022).</w:t>
      </w:r>
      <w:r w:rsidRPr="003442AA">
        <w:rPr>
          <w:rFonts w:ascii="Century Gothic" w:hAnsi="Century Gothic" w:cs="Times New Roman"/>
          <w:sz w:val="24"/>
          <w:szCs w:val="24"/>
        </w:rPr>
        <w:br/>
      </w:r>
      <w:r w:rsidRPr="003442AA">
        <w:rPr>
          <w:rFonts w:ascii="Century Gothic" w:hAnsi="Century Gothic" w:cs="Times New Roman"/>
          <w:i/>
          <w:iCs/>
          <w:sz w:val="24"/>
          <w:szCs w:val="24"/>
        </w:rPr>
        <w:t>Regional Master Plan for Generation and Transmission Infrastructure (2022–2035).</w:t>
      </w:r>
      <w:r w:rsidRPr="003442AA">
        <w:rPr>
          <w:rFonts w:ascii="Century Gothic" w:hAnsi="Century Gothic" w:cs="Times New Roman"/>
          <w:sz w:val="24"/>
          <w:szCs w:val="24"/>
        </w:rPr>
        <w:t xml:space="preserve"> Cotonou: WAPP.</w:t>
      </w:r>
    </w:p>
    <w:p w14:paraId="075D2200" w14:textId="77777777" w:rsidR="003442AA" w:rsidRPr="003442AA" w:rsidRDefault="003442AA" w:rsidP="00296DE6">
      <w:pPr>
        <w:numPr>
          <w:ilvl w:val="0"/>
          <w:numId w:val="32"/>
        </w:numPr>
        <w:spacing w:line="276" w:lineRule="auto"/>
        <w:jc w:val="both"/>
        <w:rPr>
          <w:rFonts w:ascii="Century Gothic" w:hAnsi="Century Gothic" w:cs="Times New Roman"/>
          <w:sz w:val="24"/>
          <w:szCs w:val="24"/>
        </w:rPr>
      </w:pPr>
      <w:r w:rsidRPr="003442AA">
        <w:rPr>
          <w:rFonts w:ascii="Century Gothic" w:hAnsi="Century Gothic" w:cs="Times New Roman"/>
          <w:b/>
          <w:bCs/>
          <w:sz w:val="24"/>
          <w:szCs w:val="24"/>
        </w:rPr>
        <w:t>International Renewable Energy Agency (IRENA). (2021).</w:t>
      </w:r>
      <w:r w:rsidRPr="003442AA">
        <w:rPr>
          <w:rFonts w:ascii="Century Gothic" w:hAnsi="Century Gothic" w:cs="Times New Roman"/>
          <w:sz w:val="24"/>
          <w:szCs w:val="24"/>
        </w:rPr>
        <w:br/>
      </w:r>
      <w:r w:rsidRPr="003442AA">
        <w:rPr>
          <w:rFonts w:ascii="Century Gothic" w:hAnsi="Century Gothic" w:cs="Times New Roman"/>
          <w:i/>
          <w:iCs/>
          <w:sz w:val="24"/>
          <w:szCs w:val="24"/>
        </w:rPr>
        <w:t>Smart Grids and Digitalization in Africa’s Power Sector.</w:t>
      </w:r>
      <w:r w:rsidRPr="003442AA">
        <w:rPr>
          <w:rFonts w:ascii="Century Gothic" w:hAnsi="Century Gothic" w:cs="Times New Roman"/>
          <w:sz w:val="24"/>
          <w:szCs w:val="24"/>
        </w:rPr>
        <w:t xml:space="preserve"> Abu Dhabi: IRENA.</w:t>
      </w:r>
    </w:p>
    <w:p w14:paraId="1AEE193E" w14:textId="77777777" w:rsidR="003442AA" w:rsidRPr="003442AA" w:rsidRDefault="003442AA" w:rsidP="00296DE6">
      <w:pPr>
        <w:numPr>
          <w:ilvl w:val="0"/>
          <w:numId w:val="32"/>
        </w:numPr>
        <w:spacing w:line="276" w:lineRule="auto"/>
        <w:jc w:val="both"/>
        <w:rPr>
          <w:rFonts w:ascii="Century Gothic" w:hAnsi="Century Gothic" w:cs="Times New Roman"/>
          <w:sz w:val="24"/>
          <w:szCs w:val="24"/>
        </w:rPr>
      </w:pPr>
      <w:r w:rsidRPr="003442AA">
        <w:rPr>
          <w:rFonts w:ascii="Century Gothic" w:hAnsi="Century Gothic" w:cs="Times New Roman"/>
          <w:b/>
          <w:bCs/>
          <w:sz w:val="24"/>
          <w:szCs w:val="24"/>
        </w:rPr>
        <w:t>World Bank &amp; International Finance Corporation (IFC). (2022).</w:t>
      </w:r>
      <w:r w:rsidRPr="003442AA">
        <w:rPr>
          <w:rFonts w:ascii="Century Gothic" w:hAnsi="Century Gothic" w:cs="Times New Roman"/>
          <w:sz w:val="24"/>
          <w:szCs w:val="24"/>
        </w:rPr>
        <w:br/>
      </w:r>
      <w:r w:rsidRPr="003442AA">
        <w:rPr>
          <w:rFonts w:ascii="Century Gothic" w:hAnsi="Century Gothic" w:cs="Times New Roman"/>
          <w:i/>
          <w:iCs/>
          <w:sz w:val="24"/>
          <w:szCs w:val="24"/>
        </w:rPr>
        <w:t>Electricity Distribution Loss Reduction: A Practitioners’ Guide.</w:t>
      </w:r>
      <w:r w:rsidRPr="003442AA">
        <w:rPr>
          <w:rFonts w:ascii="Century Gothic" w:hAnsi="Century Gothic" w:cs="Times New Roman"/>
          <w:sz w:val="24"/>
          <w:szCs w:val="24"/>
        </w:rPr>
        <w:t xml:space="preserve"> Washington, DC: World Bank Group.</w:t>
      </w:r>
    </w:p>
    <w:p w14:paraId="3B4B1EB0" w14:textId="61B5AADB" w:rsidR="003442AA" w:rsidRDefault="003442AA" w:rsidP="00296DE6">
      <w:pPr>
        <w:numPr>
          <w:ilvl w:val="0"/>
          <w:numId w:val="32"/>
        </w:numPr>
        <w:spacing w:line="276" w:lineRule="auto"/>
        <w:jc w:val="both"/>
        <w:rPr>
          <w:rFonts w:ascii="Century Gothic" w:hAnsi="Century Gothic" w:cs="Times New Roman"/>
          <w:sz w:val="24"/>
          <w:szCs w:val="24"/>
        </w:rPr>
      </w:pPr>
      <w:r w:rsidRPr="003442AA">
        <w:rPr>
          <w:rFonts w:ascii="Century Gothic" w:hAnsi="Century Gothic" w:cs="Times New Roman"/>
          <w:b/>
          <w:bCs/>
          <w:sz w:val="24"/>
          <w:szCs w:val="24"/>
        </w:rPr>
        <w:lastRenderedPageBreak/>
        <w:t>ECOWAS Renewable Energy and Energy Efficiency Centre (ECREEE). (2023).</w:t>
      </w:r>
      <w:r w:rsidRPr="003442AA">
        <w:rPr>
          <w:rFonts w:ascii="Century Gothic" w:hAnsi="Century Gothic" w:cs="Times New Roman"/>
          <w:sz w:val="24"/>
          <w:szCs w:val="24"/>
        </w:rPr>
        <w:br/>
      </w:r>
      <w:r w:rsidRPr="003442AA">
        <w:rPr>
          <w:rFonts w:ascii="Century Gothic" w:hAnsi="Century Gothic" w:cs="Times New Roman"/>
          <w:i/>
          <w:iCs/>
          <w:sz w:val="24"/>
          <w:szCs w:val="24"/>
        </w:rPr>
        <w:t>ECOWAS Renewable Energy and Energy Efficiency Status Report 2023.</w:t>
      </w:r>
      <w:r w:rsidRPr="003442AA">
        <w:rPr>
          <w:rFonts w:ascii="Century Gothic" w:hAnsi="Century Gothic" w:cs="Times New Roman"/>
          <w:sz w:val="24"/>
          <w:szCs w:val="24"/>
        </w:rPr>
        <w:t xml:space="preserve"> Praia: ECREEE.</w:t>
      </w:r>
    </w:p>
    <w:p w14:paraId="11686BE7" w14:textId="33AAF5AE" w:rsidR="00296DE6" w:rsidRPr="00296DE6" w:rsidRDefault="00296DE6" w:rsidP="00296DE6">
      <w:pPr>
        <w:numPr>
          <w:ilvl w:val="0"/>
          <w:numId w:val="32"/>
        </w:numPr>
        <w:spacing w:line="276" w:lineRule="auto"/>
        <w:jc w:val="both"/>
        <w:rPr>
          <w:rFonts w:ascii="Century Gothic" w:hAnsi="Century Gothic" w:cs="Times New Roman"/>
          <w:sz w:val="24"/>
          <w:szCs w:val="24"/>
        </w:rPr>
      </w:pPr>
      <w:r>
        <w:rPr>
          <w:rFonts w:ascii="Arial" w:hAnsi="Arial" w:cs="Arial"/>
          <w:color w:val="222222"/>
          <w:sz w:val="20"/>
          <w:szCs w:val="20"/>
          <w:shd w:val="clear" w:color="auto" w:fill="FFFFFF"/>
        </w:rPr>
        <w:t xml:space="preserve">Adeoye, O., &amp; </w:t>
      </w:r>
      <w:proofErr w:type="spellStart"/>
      <w:r>
        <w:rPr>
          <w:rFonts w:ascii="Arial" w:hAnsi="Arial" w:cs="Arial"/>
          <w:color w:val="222222"/>
          <w:sz w:val="20"/>
          <w:szCs w:val="20"/>
          <w:shd w:val="clear" w:color="auto" w:fill="FFFFFF"/>
        </w:rPr>
        <w:t>Spataru</w:t>
      </w:r>
      <w:proofErr w:type="spellEnd"/>
      <w:r>
        <w:rPr>
          <w:rFonts w:ascii="Arial" w:hAnsi="Arial" w:cs="Arial"/>
          <w:color w:val="222222"/>
          <w:sz w:val="20"/>
          <w:szCs w:val="20"/>
          <w:shd w:val="clear" w:color="auto" w:fill="FFFFFF"/>
        </w:rPr>
        <w:t>, C. (2020). Quantifying the integration of renewable energy sources in West Africa's interconnected electricity network. </w:t>
      </w:r>
      <w:r>
        <w:rPr>
          <w:rFonts w:ascii="Arial" w:hAnsi="Arial" w:cs="Arial"/>
          <w:i/>
          <w:iCs/>
          <w:color w:val="222222"/>
          <w:sz w:val="20"/>
          <w:szCs w:val="20"/>
          <w:shd w:val="clear" w:color="auto" w:fill="FFFFFF"/>
        </w:rPr>
        <w:t>Renewable and Sustainable Energy Reviews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120</w:t>
      </w:r>
      <w:r>
        <w:rPr>
          <w:rFonts w:ascii="Arial" w:hAnsi="Arial" w:cs="Arial"/>
          <w:color w:val="222222"/>
          <w:sz w:val="20"/>
          <w:szCs w:val="20"/>
          <w:shd w:val="clear" w:color="auto" w:fill="FFFFFF"/>
        </w:rPr>
        <w:t>, 109647.</w:t>
      </w:r>
    </w:p>
    <w:p w14:paraId="409FF086" w14:textId="7CF911ED" w:rsidR="00296DE6" w:rsidRPr="00296DE6" w:rsidRDefault="00296DE6" w:rsidP="00296DE6">
      <w:pPr>
        <w:numPr>
          <w:ilvl w:val="0"/>
          <w:numId w:val="32"/>
        </w:numPr>
        <w:spacing w:line="276" w:lineRule="auto"/>
        <w:jc w:val="both"/>
        <w:rPr>
          <w:rFonts w:ascii="Century Gothic" w:hAnsi="Century Gothic" w:cs="Times New Roman"/>
          <w:sz w:val="24"/>
          <w:szCs w:val="24"/>
        </w:rPr>
      </w:pPr>
      <w:r>
        <w:rPr>
          <w:rFonts w:ascii="Arial" w:hAnsi="Arial" w:cs="Arial"/>
          <w:color w:val="222222"/>
          <w:sz w:val="20"/>
          <w:szCs w:val="20"/>
          <w:shd w:val="clear" w:color="auto" w:fill="FFFFFF"/>
        </w:rPr>
        <w:t xml:space="preserve">Hammons, T. J., Blyden, B. K., </w:t>
      </w:r>
      <w:proofErr w:type="spellStart"/>
      <w:r>
        <w:rPr>
          <w:rFonts w:ascii="Arial" w:hAnsi="Arial" w:cs="Arial"/>
          <w:color w:val="222222"/>
          <w:sz w:val="20"/>
          <w:szCs w:val="20"/>
          <w:shd w:val="clear" w:color="auto" w:fill="FFFFFF"/>
        </w:rPr>
        <w:t>Calitz</w:t>
      </w:r>
      <w:proofErr w:type="spellEnd"/>
      <w:r>
        <w:rPr>
          <w:rFonts w:ascii="Arial" w:hAnsi="Arial" w:cs="Arial"/>
          <w:color w:val="222222"/>
          <w:sz w:val="20"/>
          <w:szCs w:val="20"/>
          <w:shd w:val="clear" w:color="auto" w:fill="FFFFFF"/>
        </w:rPr>
        <w:t xml:space="preserve">, A. C., </w:t>
      </w:r>
      <w:proofErr w:type="spellStart"/>
      <w:r>
        <w:rPr>
          <w:rFonts w:ascii="Arial" w:hAnsi="Arial" w:cs="Arial"/>
          <w:color w:val="222222"/>
          <w:sz w:val="20"/>
          <w:szCs w:val="20"/>
          <w:shd w:val="clear" w:color="auto" w:fill="FFFFFF"/>
        </w:rPr>
        <w:t>Gulstone</w:t>
      </w:r>
      <w:proofErr w:type="spellEnd"/>
      <w:r>
        <w:rPr>
          <w:rFonts w:ascii="Arial" w:hAnsi="Arial" w:cs="Arial"/>
          <w:color w:val="222222"/>
          <w:sz w:val="20"/>
          <w:szCs w:val="20"/>
          <w:shd w:val="clear" w:color="auto" w:fill="FFFFFF"/>
        </w:rPr>
        <w:t xml:space="preserve">, A. B., </w:t>
      </w:r>
      <w:proofErr w:type="spellStart"/>
      <w:r>
        <w:rPr>
          <w:rFonts w:ascii="Arial" w:hAnsi="Arial" w:cs="Arial"/>
          <w:color w:val="222222"/>
          <w:sz w:val="20"/>
          <w:szCs w:val="20"/>
          <w:shd w:val="clear" w:color="auto" w:fill="FFFFFF"/>
        </w:rPr>
        <w:t>Isekemanga</w:t>
      </w:r>
      <w:proofErr w:type="spellEnd"/>
      <w:r>
        <w:rPr>
          <w:rFonts w:ascii="Arial" w:hAnsi="Arial" w:cs="Arial"/>
          <w:color w:val="222222"/>
          <w:sz w:val="20"/>
          <w:szCs w:val="20"/>
          <w:shd w:val="clear" w:color="auto" w:fill="FFFFFF"/>
        </w:rPr>
        <w:t>, E., Johnstone, R., ... &amp; Taher, F. (2000). African electricity infrastructure interconnections and electricity exchanges. </w:t>
      </w:r>
      <w:r>
        <w:rPr>
          <w:rFonts w:ascii="Arial" w:hAnsi="Arial" w:cs="Arial"/>
          <w:i/>
          <w:iCs/>
          <w:color w:val="222222"/>
          <w:sz w:val="20"/>
          <w:szCs w:val="20"/>
          <w:shd w:val="clear" w:color="auto" w:fill="FFFFFF"/>
        </w:rPr>
        <w:t>IEEE Transactions on Energy Conversion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(4), 470-480.</w:t>
      </w:r>
    </w:p>
    <w:p w14:paraId="7A31A4B5" w14:textId="326C0F34" w:rsidR="00296DE6" w:rsidRPr="003442AA" w:rsidRDefault="00296DE6" w:rsidP="00296DE6">
      <w:pPr>
        <w:numPr>
          <w:ilvl w:val="0"/>
          <w:numId w:val="32"/>
        </w:numPr>
        <w:spacing w:line="276" w:lineRule="auto"/>
        <w:jc w:val="both"/>
        <w:rPr>
          <w:rFonts w:ascii="Century Gothic" w:hAnsi="Century Gothic" w:cs="Times New Roman"/>
          <w:sz w:val="24"/>
          <w:szCs w:val="24"/>
        </w:rPr>
      </w:pPr>
      <w:proofErr w:type="spellStart"/>
      <w:r>
        <w:rPr>
          <w:rFonts w:ascii="Arial" w:hAnsi="Arial" w:cs="Arial"/>
          <w:color w:val="222222"/>
          <w:sz w:val="20"/>
          <w:szCs w:val="20"/>
          <w:shd w:val="clear" w:color="auto" w:fill="FFFFFF"/>
        </w:rPr>
        <w:t>Oyewo</w:t>
      </w:r>
      <w:proofErr w:type="spellEnd"/>
      <w:r>
        <w:rPr>
          <w:rFonts w:ascii="Arial" w:hAnsi="Arial" w:cs="Arial"/>
          <w:color w:val="222222"/>
          <w:sz w:val="20"/>
          <w:szCs w:val="20"/>
          <w:shd w:val="clear" w:color="auto" w:fill="FFFFFF"/>
        </w:rPr>
        <w:t xml:space="preserve">, A. S., </w:t>
      </w:r>
      <w:proofErr w:type="spellStart"/>
      <w:r>
        <w:rPr>
          <w:rFonts w:ascii="Arial" w:hAnsi="Arial" w:cs="Arial"/>
          <w:color w:val="222222"/>
          <w:sz w:val="20"/>
          <w:szCs w:val="20"/>
          <w:shd w:val="clear" w:color="auto" w:fill="FFFFFF"/>
        </w:rPr>
        <w:t>Aghahosseini</w:t>
      </w:r>
      <w:proofErr w:type="spellEnd"/>
      <w:r>
        <w:rPr>
          <w:rFonts w:ascii="Arial" w:hAnsi="Arial" w:cs="Arial"/>
          <w:color w:val="222222"/>
          <w:sz w:val="20"/>
          <w:szCs w:val="20"/>
          <w:shd w:val="clear" w:color="auto" w:fill="FFFFFF"/>
        </w:rPr>
        <w:t xml:space="preserve">, A., Ram, M., &amp; Breyer, C. (2020). Transition towards </w:t>
      </w:r>
      <w:proofErr w:type="spellStart"/>
      <w:r>
        <w:rPr>
          <w:rFonts w:ascii="Arial" w:hAnsi="Arial" w:cs="Arial"/>
          <w:color w:val="222222"/>
          <w:sz w:val="20"/>
          <w:szCs w:val="20"/>
          <w:shd w:val="clear" w:color="auto" w:fill="FFFFFF"/>
        </w:rPr>
        <w:t>decarbonised</w:t>
      </w:r>
      <w:proofErr w:type="spellEnd"/>
      <w:r>
        <w:rPr>
          <w:rFonts w:ascii="Arial" w:hAnsi="Arial" w:cs="Arial"/>
          <w:color w:val="222222"/>
          <w:sz w:val="20"/>
          <w:szCs w:val="20"/>
          <w:shd w:val="clear" w:color="auto" w:fill="FFFFFF"/>
        </w:rPr>
        <w:t xml:space="preserve"> power systems and its socio-economic impacts in West Africa. </w:t>
      </w:r>
      <w:r>
        <w:rPr>
          <w:rFonts w:ascii="Arial" w:hAnsi="Arial" w:cs="Arial"/>
          <w:i/>
          <w:iCs/>
          <w:color w:val="222222"/>
          <w:sz w:val="20"/>
          <w:szCs w:val="20"/>
          <w:shd w:val="clear" w:color="auto" w:fill="FFFFFF"/>
        </w:rPr>
        <w:t>Renewable Energy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154</w:t>
      </w:r>
      <w:r>
        <w:rPr>
          <w:rFonts w:ascii="Arial" w:hAnsi="Arial" w:cs="Arial"/>
          <w:color w:val="222222"/>
          <w:sz w:val="20"/>
          <w:szCs w:val="20"/>
          <w:shd w:val="clear" w:color="auto" w:fill="FFFFFF"/>
        </w:rPr>
        <w:t>, 1092-1112.</w:t>
      </w:r>
    </w:p>
    <w:p w14:paraId="49955A30" w14:textId="65FFC820" w:rsidR="00D47E99" w:rsidRPr="00B85382" w:rsidRDefault="00D47E99" w:rsidP="00296DE6">
      <w:pPr>
        <w:spacing w:line="276" w:lineRule="auto"/>
        <w:jc w:val="both"/>
        <w:rPr>
          <w:rFonts w:ascii="Century Gothic" w:hAnsi="Century Gothic" w:cs="Times New Roman"/>
          <w:sz w:val="24"/>
          <w:szCs w:val="24"/>
        </w:rPr>
      </w:pPr>
      <w:bookmarkStart w:id="0" w:name="_GoBack"/>
      <w:bookmarkEnd w:id="0"/>
    </w:p>
    <w:sectPr w:rsidR="00D47E99" w:rsidRPr="00B8538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1196A" w14:textId="77777777" w:rsidR="00ED1E2D" w:rsidRDefault="00ED1E2D" w:rsidP="002F0F49">
      <w:pPr>
        <w:spacing w:after="0" w:line="240" w:lineRule="auto"/>
      </w:pPr>
      <w:r>
        <w:separator/>
      </w:r>
    </w:p>
  </w:endnote>
  <w:endnote w:type="continuationSeparator" w:id="0">
    <w:p w14:paraId="3C6DEDB0" w14:textId="77777777" w:rsidR="00ED1E2D" w:rsidRDefault="00ED1E2D" w:rsidP="002F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864233"/>
      <w:docPartObj>
        <w:docPartGallery w:val="Page Numbers (Bottom of Page)"/>
        <w:docPartUnique/>
      </w:docPartObj>
    </w:sdtPr>
    <w:sdtEndPr/>
    <w:sdtContent>
      <w:p w14:paraId="2CB145FD" w14:textId="35B490D2" w:rsidR="002F0F49" w:rsidRDefault="002F0F49">
        <w:pPr>
          <w:pStyle w:val="Footer"/>
          <w:jc w:val="center"/>
        </w:pPr>
        <w:r>
          <w:fldChar w:fldCharType="begin"/>
        </w:r>
        <w:r>
          <w:instrText>PAGE   \* MERGEFORMAT</w:instrText>
        </w:r>
        <w:r>
          <w:fldChar w:fldCharType="separate"/>
        </w:r>
        <w:r>
          <w:rPr>
            <w:lang w:val="fr-FR"/>
          </w:rPr>
          <w:t>2</w:t>
        </w:r>
        <w:r>
          <w:fldChar w:fldCharType="end"/>
        </w:r>
      </w:p>
    </w:sdtContent>
  </w:sdt>
  <w:p w14:paraId="0D99573D" w14:textId="77777777" w:rsidR="002F0F49" w:rsidRDefault="002F0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35F12" w14:textId="77777777" w:rsidR="00ED1E2D" w:rsidRDefault="00ED1E2D" w:rsidP="002F0F49">
      <w:pPr>
        <w:spacing w:after="0" w:line="240" w:lineRule="auto"/>
      </w:pPr>
      <w:r>
        <w:separator/>
      </w:r>
    </w:p>
  </w:footnote>
  <w:footnote w:type="continuationSeparator" w:id="0">
    <w:p w14:paraId="4C604838" w14:textId="77777777" w:rsidR="00ED1E2D" w:rsidRDefault="00ED1E2D" w:rsidP="002F0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702"/>
    <w:multiLevelType w:val="multilevel"/>
    <w:tmpl w:val="215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04849"/>
    <w:multiLevelType w:val="multilevel"/>
    <w:tmpl w:val="AA620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61170"/>
    <w:multiLevelType w:val="multilevel"/>
    <w:tmpl w:val="5CA48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D94938"/>
    <w:multiLevelType w:val="multilevel"/>
    <w:tmpl w:val="7622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D60CA"/>
    <w:multiLevelType w:val="multilevel"/>
    <w:tmpl w:val="EF2E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11DA2"/>
    <w:multiLevelType w:val="multilevel"/>
    <w:tmpl w:val="0208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A7AA0"/>
    <w:multiLevelType w:val="multilevel"/>
    <w:tmpl w:val="4906F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75210B"/>
    <w:multiLevelType w:val="multilevel"/>
    <w:tmpl w:val="B73C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722F9"/>
    <w:multiLevelType w:val="multilevel"/>
    <w:tmpl w:val="B0FE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76CE4"/>
    <w:multiLevelType w:val="multilevel"/>
    <w:tmpl w:val="4E547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CF5D79"/>
    <w:multiLevelType w:val="multilevel"/>
    <w:tmpl w:val="7F96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31594"/>
    <w:multiLevelType w:val="multilevel"/>
    <w:tmpl w:val="EBC0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D40B07"/>
    <w:multiLevelType w:val="multilevel"/>
    <w:tmpl w:val="9060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C0C40"/>
    <w:multiLevelType w:val="multilevel"/>
    <w:tmpl w:val="633C5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401831"/>
    <w:multiLevelType w:val="multilevel"/>
    <w:tmpl w:val="9A9A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E60BDC"/>
    <w:multiLevelType w:val="multilevel"/>
    <w:tmpl w:val="5B5E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5E4913"/>
    <w:multiLevelType w:val="multilevel"/>
    <w:tmpl w:val="5B50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357E1"/>
    <w:multiLevelType w:val="multilevel"/>
    <w:tmpl w:val="2066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164882"/>
    <w:multiLevelType w:val="multilevel"/>
    <w:tmpl w:val="C2C81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046ED5"/>
    <w:multiLevelType w:val="multilevel"/>
    <w:tmpl w:val="7B28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5745E3"/>
    <w:multiLevelType w:val="multilevel"/>
    <w:tmpl w:val="BE0A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5035A"/>
    <w:multiLevelType w:val="multilevel"/>
    <w:tmpl w:val="ABA0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83AB1"/>
    <w:multiLevelType w:val="multilevel"/>
    <w:tmpl w:val="AE58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F2DE2"/>
    <w:multiLevelType w:val="multilevel"/>
    <w:tmpl w:val="F920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734C94"/>
    <w:multiLevelType w:val="multilevel"/>
    <w:tmpl w:val="FE3A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BE31EB"/>
    <w:multiLevelType w:val="multilevel"/>
    <w:tmpl w:val="9670B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8A1BD6"/>
    <w:multiLevelType w:val="multilevel"/>
    <w:tmpl w:val="199E3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177966"/>
    <w:multiLevelType w:val="multilevel"/>
    <w:tmpl w:val="3EA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E363DF"/>
    <w:multiLevelType w:val="multilevel"/>
    <w:tmpl w:val="65B8B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69613F"/>
    <w:multiLevelType w:val="multilevel"/>
    <w:tmpl w:val="D846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CB42D3"/>
    <w:multiLevelType w:val="multilevel"/>
    <w:tmpl w:val="C3BA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2C2EA1"/>
    <w:multiLevelType w:val="multilevel"/>
    <w:tmpl w:val="FFDA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
  </w:num>
  <w:num w:numId="3">
    <w:abstractNumId w:val="2"/>
  </w:num>
  <w:num w:numId="4">
    <w:abstractNumId w:val="14"/>
  </w:num>
  <w:num w:numId="5">
    <w:abstractNumId w:val="31"/>
  </w:num>
  <w:num w:numId="6">
    <w:abstractNumId w:val="23"/>
  </w:num>
  <w:num w:numId="7">
    <w:abstractNumId w:val="30"/>
  </w:num>
  <w:num w:numId="8">
    <w:abstractNumId w:val="26"/>
  </w:num>
  <w:num w:numId="9">
    <w:abstractNumId w:val="29"/>
  </w:num>
  <w:num w:numId="10">
    <w:abstractNumId w:val="6"/>
  </w:num>
  <w:num w:numId="11">
    <w:abstractNumId w:val="17"/>
  </w:num>
  <w:num w:numId="12">
    <w:abstractNumId w:val="4"/>
  </w:num>
  <w:num w:numId="13">
    <w:abstractNumId w:val="12"/>
  </w:num>
  <w:num w:numId="14">
    <w:abstractNumId w:val="8"/>
  </w:num>
  <w:num w:numId="15">
    <w:abstractNumId w:val="20"/>
  </w:num>
  <w:num w:numId="16">
    <w:abstractNumId w:val="21"/>
  </w:num>
  <w:num w:numId="17">
    <w:abstractNumId w:val="0"/>
  </w:num>
  <w:num w:numId="18">
    <w:abstractNumId w:val="5"/>
  </w:num>
  <w:num w:numId="19">
    <w:abstractNumId w:val="28"/>
  </w:num>
  <w:num w:numId="20">
    <w:abstractNumId w:val="13"/>
  </w:num>
  <w:num w:numId="21">
    <w:abstractNumId w:val="16"/>
  </w:num>
  <w:num w:numId="22">
    <w:abstractNumId w:val="3"/>
  </w:num>
  <w:num w:numId="23">
    <w:abstractNumId w:val="27"/>
  </w:num>
  <w:num w:numId="24">
    <w:abstractNumId w:val="7"/>
  </w:num>
  <w:num w:numId="25">
    <w:abstractNumId w:val="10"/>
  </w:num>
  <w:num w:numId="26">
    <w:abstractNumId w:val="22"/>
  </w:num>
  <w:num w:numId="27">
    <w:abstractNumId w:val="24"/>
  </w:num>
  <w:num w:numId="28">
    <w:abstractNumId w:val="11"/>
  </w:num>
  <w:num w:numId="29">
    <w:abstractNumId w:val="25"/>
  </w:num>
  <w:num w:numId="30">
    <w:abstractNumId w:val="9"/>
  </w:num>
  <w:num w:numId="31">
    <w:abstractNumId w:val="1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1NTE0NTGztDA3NzRX0lEKTi0uzszPAykwrAUA0gbESCwAAAA="/>
  </w:docVars>
  <w:rsids>
    <w:rsidRoot w:val="00EF5CFB"/>
    <w:rsid w:val="000023FA"/>
    <w:rsid w:val="00080BF6"/>
    <w:rsid w:val="000A071B"/>
    <w:rsid w:val="000C490E"/>
    <w:rsid w:val="00124CF2"/>
    <w:rsid w:val="001C24FC"/>
    <w:rsid w:val="001C75BE"/>
    <w:rsid w:val="00287501"/>
    <w:rsid w:val="00296DE6"/>
    <w:rsid w:val="002B58CB"/>
    <w:rsid w:val="002F0F49"/>
    <w:rsid w:val="003005E3"/>
    <w:rsid w:val="0032653B"/>
    <w:rsid w:val="003442AA"/>
    <w:rsid w:val="00472F1A"/>
    <w:rsid w:val="00492B4C"/>
    <w:rsid w:val="004D6FD5"/>
    <w:rsid w:val="004F5CB7"/>
    <w:rsid w:val="0054487D"/>
    <w:rsid w:val="005B1638"/>
    <w:rsid w:val="005E3062"/>
    <w:rsid w:val="005F0677"/>
    <w:rsid w:val="00644D25"/>
    <w:rsid w:val="006A26ED"/>
    <w:rsid w:val="00734789"/>
    <w:rsid w:val="008131C8"/>
    <w:rsid w:val="00830247"/>
    <w:rsid w:val="00842666"/>
    <w:rsid w:val="00883C66"/>
    <w:rsid w:val="008B491E"/>
    <w:rsid w:val="0090416F"/>
    <w:rsid w:val="0098290C"/>
    <w:rsid w:val="0099120D"/>
    <w:rsid w:val="009D0468"/>
    <w:rsid w:val="00A24F29"/>
    <w:rsid w:val="00A562FE"/>
    <w:rsid w:val="00AB1E78"/>
    <w:rsid w:val="00AC7343"/>
    <w:rsid w:val="00B12D21"/>
    <w:rsid w:val="00B37CE7"/>
    <w:rsid w:val="00B6312C"/>
    <w:rsid w:val="00B710AD"/>
    <w:rsid w:val="00B717CD"/>
    <w:rsid w:val="00B73843"/>
    <w:rsid w:val="00B85382"/>
    <w:rsid w:val="00B855F8"/>
    <w:rsid w:val="00B96E71"/>
    <w:rsid w:val="00BA5C9D"/>
    <w:rsid w:val="00C31693"/>
    <w:rsid w:val="00C33E88"/>
    <w:rsid w:val="00C942BE"/>
    <w:rsid w:val="00CD2937"/>
    <w:rsid w:val="00D3341E"/>
    <w:rsid w:val="00D47E99"/>
    <w:rsid w:val="00D55E64"/>
    <w:rsid w:val="00DD3167"/>
    <w:rsid w:val="00E4751B"/>
    <w:rsid w:val="00E7146C"/>
    <w:rsid w:val="00ED1E2D"/>
    <w:rsid w:val="00EF5CFB"/>
    <w:rsid w:val="00F6011B"/>
    <w:rsid w:val="00FA3661"/>
    <w:rsid w:val="00FF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1891"/>
  <w15:chartTrackingRefBased/>
  <w15:docId w15:val="{0C38FCBB-B481-4FD4-85C6-A218197A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F5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5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5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F5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5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5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CFB"/>
    <w:rPr>
      <w:rFonts w:eastAsiaTheme="majorEastAsia" w:cstheme="majorBidi"/>
      <w:color w:val="272727" w:themeColor="text1" w:themeTint="D8"/>
    </w:rPr>
  </w:style>
  <w:style w:type="paragraph" w:styleId="Title">
    <w:name w:val="Title"/>
    <w:basedOn w:val="Normal"/>
    <w:next w:val="Normal"/>
    <w:link w:val="TitleChar"/>
    <w:uiPriority w:val="10"/>
    <w:qFormat/>
    <w:rsid w:val="00EF5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CFB"/>
    <w:pPr>
      <w:spacing w:before="160"/>
      <w:jc w:val="center"/>
    </w:pPr>
    <w:rPr>
      <w:i/>
      <w:iCs/>
      <w:color w:val="404040" w:themeColor="text1" w:themeTint="BF"/>
    </w:rPr>
  </w:style>
  <w:style w:type="character" w:customStyle="1" w:styleId="QuoteChar">
    <w:name w:val="Quote Char"/>
    <w:basedOn w:val="DefaultParagraphFont"/>
    <w:link w:val="Quote"/>
    <w:uiPriority w:val="29"/>
    <w:rsid w:val="00EF5CFB"/>
    <w:rPr>
      <w:i/>
      <w:iCs/>
      <w:color w:val="404040" w:themeColor="text1" w:themeTint="BF"/>
    </w:rPr>
  </w:style>
  <w:style w:type="paragraph" w:styleId="ListParagraph">
    <w:name w:val="List Paragraph"/>
    <w:basedOn w:val="Normal"/>
    <w:uiPriority w:val="34"/>
    <w:qFormat/>
    <w:rsid w:val="00EF5CFB"/>
    <w:pPr>
      <w:ind w:left="720"/>
      <w:contextualSpacing/>
    </w:pPr>
  </w:style>
  <w:style w:type="character" w:styleId="IntenseEmphasis">
    <w:name w:val="Intense Emphasis"/>
    <w:basedOn w:val="DefaultParagraphFont"/>
    <w:uiPriority w:val="21"/>
    <w:qFormat/>
    <w:rsid w:val="00EF5CFB"/>
    <w:rPr>
      <w:i/>
      <w:iCs/>
      <w:color w:val="2F5496" w:themeColor="accent1" w:themeShade="BF"/>
    </w:rPr>
  </w:style>
  <w:style w:type="paragraph" w:styleId="IntenseQuote">
    <w:name w:val="Intense Quote"/>
    <w:basedOn w:val="Normal"/>
    <w:next w:val="Normal"/>
    <w:link w:val="IntenseQuoteChar"/>
    <w:uiPriority w:val="30"/>
    <w:qFormat/>
    <w:rsid w:val="00EF5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CFB"/>
    <w:rPr>
      <w:i/>
      <w:iCs/>
      <w:color w:val="2F5496" w:themeColor="accent1" w:themeShade="BF"/>
    </w:rPr>
  </w:style>
  <w:style w:type="character" w:styleId="IntenseReference">
    <w:name w:val="Intense Reference"/>
    <w:basedOn w:val="DefaultParagraphFont"/>
    <w:uiPriority w:val="32"/>
    <w:qFormat/>
    <w:rsid w:val="00EF5CFB"/>
    <w:rPr>
      <w:b/>
      <w:bCs/>
      <w:smallCaps/>
      <w:color w:val="2F5496" w:themeColor="accent1" w:themeShade="BF"/>
      <w:spacing w:val="5"/>
    </w:rPr>
  </w:style>
  <w:style w:type="paragraph" w:styleId="NormalWeb">
    <w:name w:val="Normal (Web)"/>
    <w:basedOn w:val="Normal"/>
    <w:uiPriority w:val="99"/>
    <w:semiHidden/>
    <w:unhideWhenUsed/>
    <w:rsid w:val="0098290C"/>
    <w:rPr>
      <w:rFonts w:ascii="Times New Roman" w:hAnsi="Times New Roman" w:cs="Times New Roman"/>
      <w:sz w:val="24"/>
      <w:szCs w:val="24"/>
    </w:rPr>
  </w:style>
  <w:style w:type="table" w:styleId="TableGrid">
    <w:name w:val="Table Grid"/>
    <w:basedOn w:val="TableNormal"/>
    <w:uiPriority w:val="39"/>
    <w:rsid w:val="00A5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0F49"/>
    <w:pPr>
      <w:tabs>
        <w:tab w:val="center" w:pos="4703"/>
        <w:tab w:val="right" w:pos="9406"/>
      </w:tabs>
      <w:spacing w:after="0" w:line="240" w:lineRule="auto"/>
    </w:pPr>
  </w:style>
  <w:style w:type="character" w:customStyle="1" w:styleId="HeaderChar">
    <w:name w:val="Header Char"/>
    <w:basedOn w:val="DefaultParagraphFont"/>
    <w:link w:val="Header"/>
    <w:uiPriority w:val="99"/>
    <w:rsid w:val="002F0F49"/>
  </w:style>
  <w:style w:type="paragraph" w:styleId="Footer">
    <w:name w:val="footer"/>
    <w:basedOn w:val="Normal"/>
    <w:link w:val="FooterChar"/>
    <w:uiPriority w:val="99"/>
    <w:unhideWhenUsed/>
    <w:rsid w:val="002F0F49"/>
    <w:pPr>
      <w:tabs>
        <w:tab w:val="center" w:pos="4703"/>
        <w:tab w:val="right" w:pos="9406"/>
      </w:tabs>
      <w:spacing w:after="0" w:line="240" w:lineRule="auto"/>
    </w:pPr>
  </w:style>
  <w:style w:type="character" w:customStyle="1" w:styleId="FooterChar">
    <w:name w:val="Footer Char"/>
    <w:basedOn w:val="DefaultParagraphFont"/>
    <w:link w:val="Footer"/>
    <w:uiPriority w:val="99"/>
    <w:rsid w:val="002F0F49"/>
  </w:style>
  <w:style w:type="character" w:styleId="Hyperlink">
    <w:name w:val="Hyperlink"/>
    <w:basedOn w:val="DefaultParagraphFont"/>
    <w:uiPriority w:val="99"/>
    <w:unhideWhenUsed/>
    <w:rsid w:val="002F0F49"/>
    <w:rPr>
      <w:color w:val="0563C1" w:themeColor="hyperlink"/>
      <w:u w:val="single"/>
    </w:rPr>
  </w:style>
  <w:style w:type="character" w:styleId="UnresolvedMention">
    <w:name w:val="Unresolved Mention"/>
    <w:basedOn w:val="DefaultParagraphFont"/>
    <w:uiPriority w:val="99"/>
    <w:semiHidden/>
    <w:unhideWhenUsed/>
    <w:rsid w:val="002F0F49"/>
    <w:rPr>
      <w:color w:val="605E5C"/>
      <w:shd w:val="clear" w:color="auto" w:fill="E1DFDD"/>
    </w:rPr>
  </w:style>
  <w:style w:type="character" w:styleId="Strong">
    <w:name w:val="Strong"/>
    <w:basedOn w:val="DefaultParagraphFont"/>
    <w:uiPriority w:val="22"/>
    <w:qFormat/>
    <w:rsid w:val="007347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3827</Words>
  <Characters>21818</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KOUROUMA</dc:creator>
  <cp:keywords/>
  <dc:description/>
  <cp:lastModifiedBy>SDI PC New 16</cp:lastModifiedBy>
  <cp:revision>17</cp:revision>
  <dcterms:created xsi:type="dcterms:W3CDTF">2026-01-07T15:23:00Z</dcterms:created>
  <dcterms:modified xsi:type="dcterms:W3CDTF">2026-01-22T11:16:00Z</dcterms:modified>
</cp:coreProperties>
</file>