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1080D" w14:textId="77777777" w:rsidR="008C3F35" w:rsidRDefault="008C3F35">
      <w:pPr>
        <w:spacing w:before="200" w:after="200"/>
        <w:jc w:val="center"/>
        <w:rPr>
          <w:b/>
          <w:bCs/>
          <w:sz w:val="32"/>
          <w:szCs w:val="32"/>
        </w:rPr>
      </w:pPr>
    </w:p>
    <w:p w14:paraId="0D20A3F1" w14:textId="7C947B74" w:rsidR="0032421A" w:rsidRDefault="0025373C">
      <w:pPr>
        <w:spacing w:before="200" w:after="200"/>
        <w:jc w:val="center"/>
      </w:pPr>
      <w:r>
        <w:rPr>
          <w:b/>
          <w:bCs/>
          <w:sz w:val="32"/>
          <w:szCs w:val="32"/>
        </w:rPr>
        <w:t>Advances in Contact Lens Design and Materials: Enhancing Comfort and Ocular Health</w:t>
      </w:r>
    </w:p>
    <w:p w14:paraId="383E1EBB" w14:textId="77777777" w:rsidR="0032421A" w:rsidRDefault="0032421A"/>
    <w:p w14:paraId="422DBF07" w14:textId="77777777" w:rsidR="0032421A" w:rsidRDefault="0025373C">
      <w:pPr>
        <w:spacing w:before="100" w:after="100"/>
        <w:jc w:val="center"/>
      </w:pPr>
      <w:r>
        <w:rPr>
          <w:b/>
          <w:bCs/>
          <w:sz w:val="26"/>
          <w:szCs w:val="26"/>
        </w:rPr>
        <w:t>Abstract</w:t>
      </w:r>
    </w:p>
    <w:p w14:paraId="70065A3D" w14:textId="60EE135D" w:rsidR="0032421A" w:rsidRDefault="0025373C">
      <w:pPr>
        <w:spacing w:after="160" w:line="360" w:lineRule="auto"/>
        <w:ind w:firstLine="720"/>
        <w:jc w:val="both"/>
      </w:pPr>
      <w:r>
        <w:t>Contact lenses represent one of the most widely used biomedical devices globally, with well over 140 million wearers correcting refractive errors and managing various ocular conditions. Over the past six decades, the field has undergone a remarkable transformation—from rigid poly</w:t>
      </w:r>
      <w:r w:rsidR="006D6F72">
        <w:t xml:space="preserve"> </w:t>
      </w:r>
      <w:r>
        <w:t xml:space="preserve">(methyl methacrylate) lenses to sophisticated silicone hydrogel materials capable of delivering clinically adequate levels of oxygen to the corneal surface. This narrative review </w:t>
      </w:r>
      <w:proofErr w:type="spellStart"/>
      <w:r>
        <w:t>synthesises</w:t>
      </w:r>
      <w:proofErr w:type="spellEnd"/>
      <w:r>
        <w:t xml:space="preserve"> contemporary knowledge on advances in contact lens design and materials, with emphasis on the development of silicone hydrogel platforms, surface wettability and modification technologies, drug-eluting and smart lens systems, orthokeratology and myopia control, as well as emerging nanotechnology-enabled materials. The review traces the historical evolution of contact lens materials, critically examines the physicochemical properties that govern ocular compatibility and wearer comfort, and evaluates the clinical evidence underpinning current and next-generation lens technologies. Special attention is given to the intersection of materials science, ocular physiology, and digital health in shaping the future of wearable ophthalmic devices. Key challenges including lens-induced dry eye, mechanical complications from high-modulus silicone hydrogels, and regulatory hurdles for smart lens </w:t>
      </w:r>
      <w:proofErr w:type="spellStart"/>
      <w:r>
        <w:t>commercialisation</w:t>
      </w:r>
      <w:proofErr w:type="spellEnd"/>
      <w:r>
        <w:t xml:space="preserve"> are discussed. The review underscores that despite significant progress, </w:t>
      </w:r>
      <w:proofErr w:type="spellStart"/>
      <w:r>
        <w:t>optimising</w:t>
      </w:r>
      <w:proofErr w:type="spellEnd"/>
      <w:r>
        <w:t xml:space="preserve"> the balance between oxygen permeability, water content, modulus, wettability, and biocompatibility remains an active and clinically important area of research.</w:t>
      </w:r>
    </w:p>
    <w:p w14:paraId="3EC0C92D" w14:textId="77777777" w:rsidR="0032421A" w:rsidRDefault="0032421A"/>
    <w:p w14:paraId="04F2964C" w14:textId="77777777" w:rsidR="0032421A" w:rsidRDefault="0025373C">
      <w:pPr>
        <w:spacing w:after="160" w:line="360" w:lineRule="auto"/>
        <w:ind w:firstLine="720"/>
        <w:jc w:val="both"/>
      </w:pPr>
      <w:r>
        <w:rPr>
          <w:b/>
          <w:bCs/>
        </w:rPr>
        <w:t xml:space="preserve">Keywords: </w:t>
      </w:r>
      <w:r>
        <w:t>contact lens materials; silicone hydrogel; oxygen permeability; myopia control; drug delivery; smart contact lenses; orthokeratology; ocular surface; wettability; dry eye disease</w:t>
      </w:r>
    </w:p>
    <w:p w14:paraId="697C9801" w14:textId="4F7C8F4B" w:rsidR="0032421A" w:rsidRDefault="0032421A"/>
    <w:p w14:paraId="78922189" w14:textId="191D7730" w:rsidR="00E82F90" w:rsidRDefault="00E82F90"/>
    <w:p w14:paraId="1A722E01" w14:textId="295B8D5E" w:rsidR="00E82F90" w:rsidRDefault="00E82F90"/>
    <w:p w14:paraId="384B210C" w14:textId="353F914B" w:rsidR="00E82F90" w:rsidRDefault="00E82F90"/>
    <w:p w14:paraId="62B5AC1B" w14:textId="6E987B0C" w:rsidR="00E82F90" w:rsidRDefault="00E82F90"/>
    <w:p w14:paraId="6AB56322" w14:textId="77777777" w:rsidR="00E82F90" w:rsidRDefault="00E82F90"/>
    <w:p w14:paraId="6BE0599E" w14:textId="77777777" w:rsidR="0032421A" w:rsidRDefault="0025373C">
      <w:pPr>
        <w:pStyle w:val="Heading1"/>
      </w:pPr>
      <w:r>
        <w:lastRenderedPageBreak/>
        <w:t>1. Introduction</w:t>
      </w:r>
    </w:p>
    <w:p w14:paraId="18DAFAE3" w14:textId="48D650FF" w:rsidR="0032421A" w:rsidRPr="000715D2" w:rsidRDefault="00CF4EBC" w:rsidP="006D6F72">
      <w:pPr>
        <w:spacing w:after="160" w:line="360" w:lineRule="auto"/>
        <w:ind w:firstLine="720"/>
        <w:jc w:val="both"/>
        <w:rPr>
          <w:color w:val="1B1B1B"/>
          <w:highlight w:val="yellow"/>
        </w:rPr>
      </w:pPr>
      <w:r w:rsidRPr="000715D2">
        <w:rPr>
          <w:rFonts w:ascii="Cambria" w:hAnsi="Cambria"/>
          <w:color w:val="1B1B1B"/>
          <w:szCs w:val="28"/>
          <w:highlight w:val="yellow"/>
          <w:shd w:val="clear" w:color="auto" w:fill="FFFFFF"/>
        </w:rPr>
        <w:t>Contact lenses became drug-releasing devices that essentially transcend the aforementioned constraints while also providing additional benefits. In recent years, there has been significant research conducted on the utilization of contact lenses as drug-carriers. This is mostly due to their potential to enhance bioavailability, leading to improved efficiency and therapeutic compliance</w:t>
      </w:r>
      <w:r w:rsidR="006D6F72">
        <w:rPr>
          <w:rFonts w:ascii="Cambria" w:hAnsi="Cambria"/>
          <w:color w:val="1B1B1B"/>
          <w:szCs w:val="28"/>
          <w:highlight w:val="yellow"/>
          <w:shd w:val="clear" w:color="auto" w:fill="FFFFFF"/>
        </w:rPr>
        <w:t xml:space="preserve"> (</w:t>
      </w:r>
      <w:proofErr w:type="spellStart"/>
      <w:r w:rsidR="006D6F72" w:rsidRPr="005E5861">
        <w:rPr>
          <w:color w:val="1B1B1B"/>
          <w:highlight w:val="yellow"/>
        </w:rPr>
        <w:t>Ioniță</w:t>
      </w:r>
      <w:proofErr w:type="spellEnd"/>
      <w:r w:rsidR="006D6F72">
        <w:rPr>
          <w:color w:val="1B1B1B"/>
          <w:highlight w:val="yellow"/>
        </w:rPr>
        <w:t xml:space="preserve"> et al., 2023</w:t>
      </w:r>
      <w:r w:rsidR="006D6F72">
        <w:rPr>
          <w:rFonts w:ascii="Cambria" w:hAnsi="Cambria"/>
          <w:color w:val="1B1B1B"/>
          <w:szCs w:val="28"/>
          <w:highlight w:val="yellow"/>
          <w:shd w:val="clear" w:color="auto" w:fill="FFFFFF"/>
        </w:rPr>
        <w:t>)</w:t>
      </w:r>
      <w:r w:rsidRPr="000715D2">
        <w:rPr>
          <w:rFonts w:ascii="Cambria" w:hAnsi="Cambria"/>
          <w:color w:val="1B1B1B"/>
          <w:sz w:val="28"/>
          <w:szCs w:val="28"/>
          <w:highlight w:val="yellow"/>
          <w:shd w:val="clear" w:color="auto" w:fill="FFFFFF"/>
        </w:rPr>
        <w:t>.</w:t>
      </w:r>
      <w:r>
        <w:t xml:space="preserve"> </w:t>
      </w:r>
      <w:r w:rsidR="0025373C">
        <w:t>Contact lenses are among the most successful and widely used medical devices in modern healthcare. An estimated 140–150 million people worldwide rely on them daily for the correction of refractive errors such as myopia, hyperopia, astigmatism, and presbyopia, whilst a smaller but clinically significant proportion use them for therapeutic purposes, including the management of dry eye disease, corneal ectasias, and post-surgical ocular surface irregularities (Stapleton et al., 2021). Their intimate interface with the anterior ocular surface—specifically the cornea and conjunctiva—means that the materials and designs employed must satisfy a uniquely demanding set of biological, optical, and mechanical criteria.</w:t>
      </w:r>
      <w:r w:rsidR="006B1DAB">
        <w:t xml:space="preserve"> </w:t>
      </w:r>
      <w:r w:rsidR="006B1DAB" w:rsidRPr="000715D2">
        <w:rPr>
          <w:rFonts w:ascii="Georgia" w:hAnsi="Georgia"/>
          <w:color w:val="1F1F1F"/>
          <w:highlight w:val="yellow"/>
        </w:rPr>
        <w:t>Contact lenses offer several advantages over traditional eyeglasses. They provide a wider field of view, do not fog up, and are less affected by weather conditions. They are also more practical for sports and other physical activities. Cosmetic lenses, which change the appearance of the eye, have gained popularity for aesthetic purposes</w:t>
      </w:r>
      <w:r w:rsidR="006B1DAB">
        <w:rPr>
          <w:rFonts w:ascii="Georgia" w:hAnsi="Georgia"/>
          <w:color w:val="1F1F1F"/>
          <w:highlight w:val="yellow"/>
        </w:rPr>
        <w:t xml:space="preserve"> (</w:t>
      </w:r>
      <w:proofErr w:type="spellStart"/>
      <w:r w:rsidR="006B1DAB" w:rsidRPr="005E5861">
        <w:rPr>
          <w:rFonts w:ascii="Arial" w:hAnsi="Arial" w:cs="Arial"/>
          <w:color w:val="222222"/>
          <w:sz w:val="20"/>
          <w:szCs w:val="20"/>
          <w:highlight w:val="yellow"/>
          <w:shd w:val="clear" w:color="auto" w:fill="FFFFFF"/>
        </w:rPr>
        <w:t>Abdulamier</w:t>
      </w:r>
      <w:proofErr w:type="spellEnd"/>
      <w:r w:rsidR="006B1DAB">
        <w:rPr>
          <w:rFonts w:ascii="Arial" w:hAnsi="Arial" w:cs="Arial"/>
          <w:color w:val="222222"/>
          <w:sz w:val="20"/>
          <w:szCs w:val="20"/>
          <w:highlight w:val="yellow"/>
          <w:shd w:val="clear" w:color="auto" w:fill="FFFFFF"/>
        </w:rPr>
        <w:t xml:space="preserve"> et al., 2024</w:t>
      </w:r>
      <w:r w:rsidR="006B1DAB">
        <w:rPr>
          <w:rFonts w:ascii="Georgia" w:hAnsi="Georgia"/>
          <w:color w:val="1F1F1F"/>
          <w:highlight w:val="yellow"/>
        </w:rPr>
        <w:t>)</w:t>
      </w:r>
      <w:r w:rsidR="006B1DAB" w:rsidRPr="000715D2">
        <w:rPr>
          <w:rFonts w:ascii="Georgia" w:hAnsi="Georgia"/>
          <w:color w:val="1F1F1F"/>
          <w:highlight w:val="yellow"/>
        </w:rPr>
        <w:t>.</w:t>
      </w:r>
      <w:r w:rsidR="006B1DAB">
        <w:rPr>
          <w:rFonts w:ascii="Georgia" w:hAnsi="Georgia"/>
          <w:color w:val="1F1F1F"/>
        </w:rPr>
        <w:t> </w:t>
      </w:r>
    </w:p>
    <w:p w14:paraId="23D78CF1" w14:textId="12418902" w:rsidR="0032421A" w:rsidRDefault="0025373C">
      <w:pPr>
        <w:spacing w:after="160" w:line="360" w:lineRule="auto"/>
        <w:ind w:firstLine="720"/>
        <w:jc w:val="both"/>
      </w:pPr>
      <w:r>
        <w:t>The history of contact lens development is one of iterative material innovation driven by the clinical imperative to improve ocular health outcomes and wearer comfort. The original hard lenses fabricated from poly</w:t>
      </w:r>
      <w:r w:rsidR="0008716E">
        <w:t xml:space="preserve"> </w:t>
      </w:r>
      <w:r>
        <w:t xml:space="preserve">(methyl methacrylate) (PMMA) provided excellent optical clarity but were inherently impermeable to oxygen, resulting in chronic corneal hypoxia in extended wearers (Holden &amp; Mertz, 1984). The pivotal introduction of </w:t>
      </w:r>
      <w:proofErr w:type="gramStart"/>
      <w:r>
        <w:t>poly(</w:t>
      </w:r>
      <w:proofErr w:type="gramEnd"/>
      <w:r>
        <w:t xml:space="preserve">2-hydroxyethyl methacrylate) (PHEMA)-based hydrogel lenses by </w:t>
      </w:r>
      <w:proofErr w:type="spellStart"/>
      <w:r>
        <w:t>Wichterle</w:t>
      </w:r>
      <w:proofErr w:type="spellEnd"/>
      <w:r>
        <w:t xml:space="preserve"> and </w:t>
      </w:r>
      <w:proofErr w:type="spellStart"/>
      <w:r>
        <w:t>Lím</w:t>
      </w:r>
      <w:proofErr w:type="spellEnd"/>
      <w:r>
        <w:t xml:space="preserve"> (1960) opened the era of soft contact lenses, offering markedly improved comfort by virtue of their water content and pliability. However, conventional hydrogels remained limited in their oxygen transmissibility because the diffusion of oxygen through these materials is governed almost entirely by their water content, imposing a physiological ceiling that proved insufficient for safe extended wear in many patients.</w:t>
      </w:r>
      <w:r w:rsidR="0008716E">
        <w:t xml:space="preserve"> </w:t>
      </w:r>
      <w:r w:rsidR="0008716E">
        <w:rPr>
          <w:rFonts w:ascii="Source Sans Pro" w:hAnsi="Source Sans Pro"/>
          <w:color w:val="1A1A1A"/>
          <w:shd w:val="clear" w:color="auto" w:fill="FFFFFF"/>
        </w:rPr>
        <w:t> </w:t>
      </w:r>
      <w:r w:rsidR="0008716E" w:rsidRPr="000715D2">
        <w:rPr>
          <w:rFonts w:ascii="Source Sans Pro" w:hAnsi="Source Sans Pro"/>
          <w:color w:val="1A1A1A"/>
          <w:highlight w:val="yellow"/>
          <w:shd w:val="clear" w:color="auto" w:fill="FFFFFF"/>
        </w:rPr>
        <w:t xml:space="preserve">There is an emerging opportunity to expand the function of contact lenses, with applications such as medication delivery, therapeutic treatment for acute and chronic disease (including anti-myopia treatment), diagnosis and monitoring of diseases, and incorporation of smart technology or virtual reality. </w:t>
      </w:r>
      <w:r w:rsidR="0008716E" w:rsidRPr="000715D2">
        <w:rPr>
          <w:rFonts w:ascii="Source Sans Pro" w:hAnsi="Source Sans Pro"/>
          <w:color w:val="1A1A1A"/>
          <w:highlight w:val="yellow"/>
          <w:shd w:val="clear" w:color="auto" w:fill="FFFFFF"/>
        </w:rPr>
        <w:lastRenderedPageBreak/>
        <w:t>These demands determine different material specifications and parameters, while balancing material costs and reproducibility</w:t>
      </w:r>
      <w:r w:rsidR="0008716E">
        <w:rPr>
          <w:rFonts w:ascii="Source Sans Pro" w:hAnsi="Source Sans Pro"/>
          <w:color w:val="1A1A1A"/>
          <w:highlight w:val="yellow"/>
          <w:shd w:val="clear" w:color="auto" w:fill="FFFFFF"/>
        </w:rPr>
        <w:t xml:space="preserve"> (</w:t>
      </w:r>
      <w:proofErr w:type="spellStart"/>
      <w:r w:rsidR="0008716E" w:rsidRPr="005E5861">
        <w:rPr>
          <w:rFonts w:ascii="Arial" w:hAnsi="Arial" w:cs="Arial"/>
          <w:color w:val="222222"/>
          <w:sz w:val="20"/>
          <w:szCs w:val="20"/>
          <w:highlight w:val="yellow"/>
          <w:shd w:val="clear" w:color="auto" w:fill="FFFFFF"/>
        </w:rPr>
        <w:t>Carnt</w:t>
      </w:r>
      <w:proofErr w:type="spellEnd"/>
      <w:r w:rsidR="0008716E">
        <w:rPr>
          <w:rFonts w:ascii="Arial" w:hAnsi="Arial" w:cs="Arial"/>
          <w:color w:val="222222"/>
          <w:sz w:val="20"/>
          <w:szCs w:val="20"/>
          <w:highlight w:val="yellow"/>
          <w:shd w:val="clear" w:color="auto" w:fill="FFFFFF"/>
        </w:rPr>
        <w:t xml:space="preserve"> et al., 2025</w:t>
      </w:r>
      <w:r w:rsidR="0008716E">
        <w:rPr>
          <w:rFonts w:ascii="Source Sans Pro" w:hAnsi="Source Sans Pro"/>
          <w:color w:val="1A1A1A"/>
          <w:highlight w:val="yellow"/>
          <w:shd w:val="clear" w:color="auto" w:fill="FFFFFF"/>
        </w:rPr>
        <w:t>)</w:t>
      </w:r>
      <w:r w:rsidR="0008716E" w:rsidRPr="000715D2">
        <w:rPr>
          <w:rFonts w:ascii="Source Sans Pro" w:hAnsi="Source Sans Pro"/>
          <w:color w:val="1A1A1A"/>
          <w:highlight w:val="yellow"/>
          <w:shd w:val="clear" w:color="auto" w:fill="FFFFFF"/>
        </w:rPr>
        <w:t>.</w:t>
      </w:r>
    </w:p>
    <w:p w14:paraId="1F46AF0D" w14:textId="77777777" w:rsidR="0032421A" w:rsidRDefault="0025373C">
      <w:pPr>
        <w:spacing w:after="160" w:line="360" w:lineRule="auto"/>
        <w:ind w:firstLine="720"/>
        <w:jc w:val="both"/>
      </w:pPr>
      <w:r>
        <w:t>The paradigm shift came in the late 1990s with the commercial introduction of silicone hydrogel (</w:t>
      </w:r>
      <w:proofErr w:type="spellStart"/>
      <w:r>
        <w:t>SiHy</w:t>
      </w:r>
      <w:proofErr w:type="spellEnd"/>
      <w:r>
        <w:t>) contact lenses, which incorporated siloxane moieties into the polymer network to exploit the inherently high oxygen diffusivity of silicone. This development represented, arguably, the most consequential advance in soft lens materials since the first commercial hydrogels, permitting levels of corneal oxygenation compatible with overnight and extended wear schedules for the majority of patients (Willcox et al., 2021). Yet the hydrophobic character of silicone introduced new challenges relating to surface wettability, tear film stability, and comfort—challenges that have stimulated a rich body of research into surface modification strategies, internal wetting agents, and biomimetic surface chemistries (Ishihara et al., 2023).</w:t>
      </w:r>
    </w:p>
    <w:p w14:paraId="75B653B8" w14:textId="77777777" w:rsidR="0032421A" w:rsidRDefault="0025373C">
      <w:pPr>
        <w:spacing w:after="160" w:line="360" w:lineRule="auto"/>
        <w:ind w:firstLine="720"/>
        <w:jc w:val="both"/>
      </w:pPr>
      <w:r>
        <w:t>Parallel to materials advances, dramatic innovations in lens design have expanded the clinical role of contact lenses beyond simple refractive correction. The development of orthokeratology (ortho-k) lenses—specially designed rigid gas-permeable lenses worn overnight to temporarily reshape the corneal surface—has established an important therapeutic role in the management of childhood myopia (</w:t>
      </w:r>
      <w:proofErr w:type="spellStart"/>
      <w:r>
        <w:t>Santodomingo-Rubido</w:t>
      </w:r>
      <w:proofErr w:type="spellEnd"/>
      <w:r>
        <w:t xml:space="preserve"> et al., 2024). Concurrently, soft myopia control lenses using optical designs based on peripheral defocus have demonstrated efficacy in slowing axial elongation in </w:t>
      </w:r>
      <w:proofErr w:type="spellStart"/>
      <w:r>
        <w:t>paediatric</w:t>
      </w:r>
      <w:proofErr w:type="spellEnd"/>
      <w:r>
        <w:t xml:space="preserve"> populations (Chamberlain et al., 2019). More recently, the convergence of nanotechnology, microelectronics, and materials science has given rise to the concept of the 'smart' contact lens—a wearable biosensing and drug-delivery platform capable of continuous monitoring of physiological biomarkers in tear fluid, including glucose and intraocular pressure (Seo et al., 2023; Keum et al., 2020).</w:t>
      </w:r>
    </w:p>
    <w:p w14:paraId="6EB6BD6A" w14:textId="77777777" w:rsidR="0032421A" w:rsidRDefault="0025373C">
      <w:pPr>
        <w:spacing w:after="160" w:line="360" w:lineRule="auto"/>
        <w:ind w:firstLine="720"/>
        <w:jc w:val="both"/>
      </w:pPr>
      <w:r>
        <w:t xml:space="preserve">Contact lens discomfort (CLD) and contact lens-induced dry eye remain the most common reasons for discontinuation of lens wear, affecting a significant proportion of wearers and placing ongoing demands on materials scientists and clinicians alike (Nichols &amp; Sinnott, 2006; Fernández-Jimenez et al., 2022). The multifactorial </w:t>
      </w:r>
      <w:proofErr w:type="spellStart"/>
      <w:r>
        <w:t>aetiology</w:t>
      </w:r>
      <w:proofErr w:type="spellEnd"/>
      <w:r>
        <w:t xml:space="preserve"> of CLD—encompassing lens material hydrophobicity, mechanical lid interaction, tear film disruption, and individual patient factors—has necessitated a multidisciplinary approach to lens design and patient management. The evolution of daily disposable lenses, which now account for approximately half of all contact lens fittings </w:t>
      </w:r>
      <w:r>
        <w:lastRenderedPageBreak/>
        <w:t>globally (Morgan et al., 2024), has addressed some of these concerns by eliminating deposit accumulation and care solution incompatibilities.</w:t>
      </w:r>
    </w:p>
    <w:p w14:paraId="738D8A35" w14:textId="77777777" w:rsidR="0032421A" w:rsidRDefault="0025373C">
      <w:pPr>
        <w:spacing w:after="160" w:line="360" w:lineRule="auto"/>
        <w:ind w:firstLine="720"/>
        <w:jc w:val="both"/>
      </w:pPr>
      <w:r>
        <w:t xml:space="preserve">This review </w:t>
      </w:r>
      <w:proofErr w:type="spellStart"/>
      <w:r>
        <w:t>synthesises</w:t>
      </w:r>
      <w:proofErr w:type="spellEnd"/>
      <w:r>
        <w:t xml:space="preserve"> the current state of knowledge across key domains of contact lens materials and design, integrating insights from materials science, ocular physiology, and clinical research. It critically evaluates contemporary evidence on silicone hydrogel materials, surface modification technologies, myopia control lens designs, drug-eluting platforms, and smart lens technologies, whilst identifying persistent challenges and future opportunities in the field.</w:t>
      </w:r>
    </w:p>
    <w:p w14:paraId="17FC1974" w14:textId="77777777" w:rsidR="0032421A" w:rsidRDefault="0025373C">
      <w:pPr>
        <w:pStyle w:val="Heading2"/>
      </w:pPr>
      <w:r>
        <w:t>1.1 Scope and Objectives of the Review</w:t>
      </w:r>
    </w:p>
    <w:p w14:paraId="3D6936E8" w14:textId="77777777" w:rsidR="0032421A" w:rsidRDefault="0025373C">
      <w:pPr>
        <w:spacing w:after="160" w:line="360" w:lineRule="auto"/>
        <w:ind w:firstLine="720"/>
        <w:jc w:val="both"/>
      </w:pPr>
      <w:r>
        <w:t xml:space="preserve">This review aims to provide a comprehensive, evidence-based overview of advances in contact lens design and materials research from the early era of hydrogel lenses through to the current frontier of smart and </w:t>
      </w:r>
      <w:proofErr w:type="spellStart"/>
      <w:r>
        <w:t>functionalised</w:t>
      </w:r>
      <w:proofErr w:type="spellEnd"/>
      <w:r>
        <w:t xml:space="preserve"> platforms. The primary objectives are: to trace the historical evolution of contact lens materials with an emphasis on the transition from conventional hydrogels to silicone hydrogels; to critically assess the physicochemical properties—including oxygen permeability, water content, modulus, and wettability—that govern ocular safety and comfort; to evaluate the clinical evidence supporting key design innovations including orthokeratology, multifocal myopia control lenses, and drug-eluting systems; to appraise emerging technologies in smart contact lens biosensing and nanotechnology-enabled materials; and to identify outstanding research gaps and future directions.</w:t>
      </w:r>
    </w:p>
    <w:p w14:paraId="086C2BDD" w14:textId="77777777" w:rsidR="0032421A" w:rsidRDefault="0025373C">
      <w:pPr>
        <w:spacing w:after="160" w:line="360" w:lineRule="auto"/>
        <w:ind w:firstLine="720"/>
        <w:jc w:val="both"/>
      </w:pPr>
      <w:r>
        <w:t xml:space="preserve">This review is intentionally broad in scope, covering materials chemistry, lens design, clinical applications, and translational challenges. It focuses on developments published predominantly within the period 2000–2026, whilst drawing on seminal foundational work where essential for </w:t>
      </w:r>
      <w:proofErr w:type="spellStart"/>
      <w:r>
        <w:t>contextualisation</w:t>
      </w:r>
      <w:proofErr w:type="spellEnd"/>
      <w:r>
        <w:t>. It does not address contact lens manufacturing processes, ophthalmic optics calculations, or the regulatory frameworks governing device approval in detail, as these topics merit dedicated treatment elsewhere.</w:t>
      </w:r>
    </w:p>
    <w:p w14:paraId="38DB7EFF" w14:textId="77777777" w:rsidR="0032421A" w:rsidRDefault="0025373C">
      <w:pPr>
        <w:pStyle w:val="Heading1"/>
      </w:pPr>
      <w:r>
        <w:t>2. Methods for Literature Selection</w:t>
      </w:r>
    </w:p>
    <w:p w14:paraId="57A3E1F0" w14:textId="77777777" w:rsidR="0032421A" w:rsidRDefault="0025373C">
      <w:pPr>
        <w:spacing w:after="160" w:line="360" w:lineRule="auto"/>
        <w:ind w:firstLine="720"/>
        <w:jc w:val="both"/>
      </w:pPr>
      <w:r>
        <w:t xml:space="preserve">This article is presented as a narrative review rather than a systematic review because the breadth of topics addressed—spanning materials science, clinical optometry, biomedical engineering, and translational medicine—does not lend itself to a single homogeneous research question amenable to systematic pooling. The diversity of study designs, outcome measures, and </w:t>
      </w:r>
      <w:r>
        <w:lastRenderedPageBreak/>
        <w:t>intervention types across these disciplines precludes a meaningful quantitative synthesis. A narrative approach allows for the integration of mechanistic, experimental, and clinical perspectives in a manner that is more informative for a broad readership.</w:t>
      </w:r>
    </w:p>
    <w:p w14:paraId="451FA435" w14:textId="77777777" w:rsidR="0032421A" w:rsidRDefault="0025373C">
      <w:pPr>
        <w:spacing w:after="160" w:line="360" w:lineRule="auto"/>
        <w:ind w:firstLine="720"/>
        <w:jc w:val="both"/>
      </w:pPr>
      <w:r>
        <w:t>Literature was identified through searches of the following academic databases: PubMed/MEDLINE, Scopus, Web of Science, and Google Scholar. The primary search terms employed included combinations of the following: 'contact lens materials', 'silicone hydrogel', 'oxygen permeability', 'contact lens comfort', 'dry eye', 'wettability', 'surface modification', 'myopia control', 'orthokeratology', 'multifocal contact lens', 'drug delivery contact lens', 'smart contact lens', 'biosensor', 'nanotechnology ophthalmology', and 'contact lens design'. The date range for primary searches was restricted to January 2000 to April 2026. Additional classic and foundational references from before 2000 were included where they provided essential context that could not be adequately conveyed through citing later literature alone.</w:t>
      </w:r>
    </w:p>
    <w:p w14:paraId="69EB4DEF" w14:textId="77777777" w:rsidR="0032421A" w:rsidRDefault="0025373C">
      <w:pPr>
        <w:spacing w:after="160" w:line="360" w:lineRule="auto"/>
        <w:ind w:firstLine="720"/>
        <w:jc w:val="both"/>
      </w:pPr>
      <w:r>
        <w:t xml:space="preserve">Inclusion criteria required that articles were: published in peer-reviewed academic journals; written in English; and directly relevant to at least one of the core topics addressed in the review. Conference abstracts, book chapters, patents, and grey literature were excluded. Preference was given to systematic reviews, meta-analyses, and </w:t>
      </w:r>
      <w:proofErr w:type="spellStart"/>
      <w:r>
        <w:t>randomised</w:t>
      </w:r>
      <w:proofErr w:type="spellEnd"/>
      <w:r>
        <w:t xml:space="preserve"> controlled trials where available, supplemented by high-quality narrative reviews, original research articles, and authoritative consensus reports from bodies such as the Tear Film and Ocular Surface Society (TFOS) and the Contact Lens Evidence-Based Academic Reports (CLEAR) initiative. Reference lists of key identified articles were also searched for additional relevant sources.</w:t>
      </w:r>
    </w:p>
    <w:p w14:paraId="0319AB03" w14:textId="77777777" w:rsidR="0032421A" w:rsidRDefault="0025373C">
      <w:pPr>
        <w:pStyle w:val="Heading1"/>
      </w:pPr>
      <w:r>
        <w:t>3. Historical Evolution of Contact Lens Materials</w:t>
      </w:r>
    </w:p>
    <w:p w14:paraId="0AC235C2" w14:textId="77777777" w:rsidR="0032421A" w:rsidRDefault="0025373C">
      <w:pPr>
        <w:spacing w:after="160" w:line="360" w:lineRule="auto"/>
        <w:ind w:firstLine="720"/>
        <w:jc w:val="both"/>
      </w:pPr>
      <w:r>
        <w:t xml:space="preserve">The history of contact lens materials is a narrative of progressive refinement in response to the biological demands of the ocular surface. The earliest practical contact lenses, developed in the late nineteenth century, were fabricated from blown glass and subsequently from PMMA from the 1930s onwards. PMMA corneal lenses provided the crisp optical correction that patients and clinicians valued, but their complete impermeability to oxygen was a fundamental physiological liability. Oxygen is essential for the maintenance of corneal metabolic homeostasis; the cornea, being avascular, derives nearly all of its oxygen supply from the tear film and, during open-eye wear, from the atmosphere (Holden &amp; Mertz, 1984). When PMMA lenses impeded this supply, the </w:t>
      </w:r>
      <w:r>
        <w:lastRenderedPageBreak/>
        <w:t xml:space="preserve">resulting hypoxia induced corneal </w:t>
      </w:r>
      <w:proofErr w:type="spellStart"/>
      <w:r>
        <w:t>oedema</w:t>
      </w:r>
      <w:proofErr w:type="spellEnd"/>
      <w:r>
        <w:t xml:space="preserve">, </w:t>
      </w:r>
      <w:proofErr w:type="spellStart"/>
      <w:r>
        <w:t>vascularisation</w:t>
      </w:r>
      <w:proofErr w:type="spellEnd"/>
      <w:r>
        <w:t>, and endothelial changes that threatened long-term ocular health.</w:t>
      </w:r>
    </w:p>
    <w:p w14:paraId="579518A3" w14:textId="77777777" w:rsidR="0032421A" w:rsidRDefault="0025373C">
      <w:pPr>
        <w:spacing w:after="160" w:line="360" w:lineRule="auto"/>
        <w:ind w:firstLine="720"/>
        <w:jc w:val="both"/>
      </w:pPr>
      <w:r>
        <w:t xml:space="preserve">The transformation that </w:t>
      </w:r>
      <w:proofErr w:type="spellStart"/>
      <w:r>
        <w:t>Wichterle</w:t>
      </w:r>
      <w:proofErr w:type="spellEnd"/>
      <w:r>
        <w:t xml:space="preserve"> and </w:t>
      </w:r>
      <w:proofErr w:type="spellStart"/>
      <w:r>
        <w:t>Lím</w:t>
      </w:r>
      <w:proofErr w:type="spellEnd"/>
      <w:r>
        <w:t xml:space="preserve"> (1960) </w:t>
      </w:r>
      <w:proofErr w:type="spellStart"/>
      <w:r>
        <w:t>catalysed</w:t>
      </w:r>
      <w:proofErr w:type="spellEnd"/>
      <w:r>
        <w:t xml:space="preserve"> with their seminal report on cross-linked PHEMA hydrogels was profound. PHEMA-based soft lenses, by virtue of their water content (typically 38–45% by weight), permitted oxygen to diffuse through the aqueous phase of the polymer matrix, offering a meaningful improvement over PMMA. The commercial </w:t>
      </w:r>
      <w:proofErr w:type="spellStart"/>
      <w:r>
        <w:t>realisation</w:t>
      </w:r>
      <w:proofErr w:type="spellEnd"/>
      <w:r>
        <w:t xml:space="preserve"> of soft lenses in the early 1970s, following United States regulatory approval, rapidly shifted patient and clinical preference away from rigid lenses. Subsequent generations of hydrogel materials sought to increase water content—and thereby oxygen transmissibility—through the incorporation of hydrophilic co-monomers such as N-vinylpyrrolidone (NVP) and methacrylic acid (MAA), yielding materials with water contents of up to 70–80%.</w:t>
      </w:r>
    </w:p>
    <w:p w14:paraId="0DDF08CA" w14:textId="77777777" w:rsidR="0032421A" w:rsidRDefault="0025373C">
      <w:pPr>
        <w:spacing w:after="160" w:line="360" w:lineRule="auto"/>
        <w:ind w:firstLine="720"/>
        <w:jc w:val="both"/>
      </w:pPr>
      <w:r>
        <w:t>However, it became apparent that high water content hydrogels were not a complete solution to the oxygen challenge. These materials exhibited marked on-eye dehydration, with resultant thinning, flattening, and symptom exacerbation in susceptible patients. Furthermore, even at water contents approaching their theoretical maximum, hydrogel materials could not deliver the corneal oxygen partial pressure considered necessary for extended wear without clinically significant hypoxic changes (Holden &amp; Mertz, 1984). The theoretical ceiling on oxygen transmissibility of non-silicone hydrogels, imposed by the permeability of water to oxygen, rendered them inadequate for extended or continuous wear modalities in all but the thinnest minus-powered lenses.</w:t>
      </w:r>
    </w:p>
    <w:p w14:paraId="4060E0EF" w14:textId="77777777" w:rsidR="0032421A" w:rsidRDefault="0025373C">
      <w:pPr>
        <w:spacing w:after="160" w:line="360" w:lineRule="auto"/>
        <w:ind w:firstLine="720"/>
        <w:jc w:val="both"/>
      </w:pPr>
      <w:r>
        <w:t>The development of rigid gas-permeable (RGP) lens materials in the 1970s and 1980s provided a separate route to enhanced corneal oxygenation. By incorporating fluorine-containing and siloxane-based monomers into otherwise rigid polymer networks, manufacturers produced materials with oxygen permeabilities far exceeding those of PMMA or conventional hydrogels. RGP lenses remain an important clinical option for patients with keratoconus, post-corneal-graft irregularities, and high astigmatism, and the scleral lens variant—which vaults the entire cornea and rests on the conjunctiva—has undergone a notable resurgence in clinical use for the management of severe dry eye disease and corneal ectasia (Chaudhary et al., 2023). Nevertheless, the comfort limitations associated with edge awareness and lens adaptation discouraged many patients from persisting with RGP correction.</w:t>
      </w:r>
    </w:p>
    <w:p w14:paraId="5FA20976" w14:textId="77777777" w:rsidR="0032421A" w:rsidRDefault="0025373C">
      <w:pPr>
        <w:spacing w:after="160" w:line="360" w:lineRule="auto"/>
        <w:ind w:firstLine="720"/>
        <w:jc w:val="both"/>
      </w:pPr>
      <w:r>
        <w:lastRenderedPageBreak/>
        <w:t xml:space="preserve">The breakthrough that reconciled oxygen performance with soft lens comfort arrived with the commercial launch of silicone hydrogel lenses in 1999. By incorporating polydimethylsiloxane (PDMS)-based siloxane macromers into a hydrophilic polymer network, the resulting biphasic materials achieved oxygen permeabilities five to seven times greater than the best conventional hydrogels, whilst retaining sufficient water content and pliability for comfortable wear (Ishihara et al., 2023). The first commercial </w:t>
      </w:r>
      <w:proofErr w:type="spellStart"/>
      <w:r>
        <w:t>SiHy</w:t>
      </w:r>
      <w:proofErr w:type="spellEnd"/>
      <w:r>
        <w:t xml:space="preserve"> lenses—</w:t>
      </w:r>
      <w:proofErr w:type="spellStart"/>
      <w:r>
        <w:t>balafilcon</w:t>
      </w:r>
      <w:proofErr w:type="spellEnd"/>
      <w:r>
        <w:t xml:space="preserve"> A and </w:t>
      </w:r>
      <w:proofErr w:type="spellStart"/>
      <w:r>
        <w:t>lotrafilcon</w:t>
      </w:r>
      <w:proofErr w:type="spellEnd"/>
      <w:r>
        <w:t xml:space="preserve"> A—were approved for extended wear and effectively ushered in a new era in contact lens practice. Within twenty-five years, </w:t>
      </w:r>
      <w:proofErr w:type="spellStart"/>
      <w:r>
        <w:t>SiHy</w:t>
      </w:r>
      <w:proofErr w:type="spellEnd"/>
      <w:r>
        <w:t xml:space="preserve"> materials have come to dominate the global contact lens market, representing approximately 70% of all soft lens fittings in major markets (Ishihara et al., 2023). This remarkable commercial adoption reflects both the clinical benefits of superior corneal oxygenation and the investment by manufacturers in addressing the surface property challenges inherent to silicone-containing materials.</w:t>
      </w:r>
    </w:p>
    <w:p w14:paraId="6651EF7F" w14:textId="77777777" w:rsidR="0032421A" w:rsidRDefault="0025373C">
      <w:pPr>
        <w:pStyle w:val="Heading1"/>
      </w:pPr>
      <w:r>
        <w:t>4. Silicone Hydrogel Materials: Properties, Challenges, and Innovations</w:t>
      </w:r>
    </w:p>
    <w:p w14:paraId="705DD019" w14:textId="77777777" w:rsidR="0032421A" w:rsidRDefault="0025373C">
      <w:pPr>
        <w:pStyle w:val="Heading2"/>
      </w:pPr>
      <w:r>
        <w:t>4.1 Polymer Chemistry and Oxygen Transport</w:t>
      </w:r>
    </w:p>
    <w:p w14:paraId="5A053DAD" w14:textId="77777777" w:rsidR="0032421A" w:rsidRDefault="0025373C">
      <w:pPr>
        <w:spacing w:after="160" w:line="360" w:lineRule="auto"/>
        <w:ind w:firstLine="720"/>
        <w:jc w:val="both"/>
      </w:pPr>
      <w:r>
        <w:t xml:space="preserve">The defining property of silicone hydrogel materials is their ability to transport oxygen predominantly through the siloxane phase of the polymer matrix, rather than through the aqueous phase as in conventional hydrogels. Oxygen has a much higher solubility and diffusivity in siloxane polymers than in water, meaning that the incorporation of silicone moieties creates a high-permeability pathway that is independent of water content. This mechanism allows </w:t>
      </w:r>
      <w:proofErr w:type="spellStart"/>
      <w:r>
        <w:t>SiHy</w:t>
      </w:r>
      <w:proofErr w:type="spellEnd"/>
      <w:r>
        <w:t xml:space="preserve"> lenses to achieve oxygen permeabilities (Dk) in the range of 60–160 Barrers, compared with a theoretical maximum of approximately 40 Barrers for non-silicone hydrogels under optimal conditions (Liu et al., 2024).</w:t>
      </w:r>
    </w:p>
    <w:p w14:paraId="161BF396" w14:textId="77777777" w:rsidR="0032421A" w:rsidRDefault="0025373C">
      <w:pPr>
        <w:spacing w:after="160" w:line="360" w:lineRule="auto"/>
        <w:ind w:firstLine="720"/>
        <w:jc w:val="both"/>
      </w:pPr>
      <w:r>
        <w:t xml:space="preserve">The most commonly employed siloxane monomers in commercial </w:t>
      </w:r>
      <w:proofErr w:type="spellStart"/>
      <w:r>
        <w:t>SiHy</w:t>
      </w:r>
      <w:proofErr w:type="spellEnd"/>
      <w:r>
        <w:t xml:space="preserve"> formulations include 3-methacryloxypropyl tris(</w:t>
      </w:r>
      <w:proofErr w:type="spellStart"/>
      <w:r>
        <w:t>trimethylsiloxy</w:t>
      </w:r>
      <w:proofErr w:type="spellEnd"/>
      <w:r>
        <w:t xml:space="preserve">)silane (TRIS), polydimethylsiloxane-methacrylate macromers, and related silicone-containing species. These hydrophobic monomers are </w:t>
      </w:r>
      <w:proofErr w:type="spellStart"/>
      <w:r>
        <w:t>copolymerised</w:t>
      </w:r>
      <w:proofErr w:type="spellEnd"/>
      <w:r>
        <w:t xml:space="preserve"> with hydrophilic components such as HEMA, NVP, </w:t>
      </w:r>
      <w:proofErr w:type="gramStart"/>
      <w:r>
        <w:t>N,N</w:t>
      </w:r>
      <w:proofErr w:type="gramEnd"/>
      <w:r>
        <w:t xml:space="preserve">-dimethylacrylamide (DMA), and polyethylene glycol (PEG)-based monomers to yield a co-continuous biphasic network in which siloxane-rich microdomains provide the oxygen transport pathway whilst the hydrophilic phase maintains water content and ion permeability (Ishihara et al., 2023). The challenge of achieving compatibility between the inherently hydrophobic siloxane phase and the hydrophilic </w:t>
      </w:r>
      <w:r>
        <w:lastRenderedPageBreak/>
        <w:t xml:space="preserve">phase has been a central engineering problem in </w:t>
      </w:r>
      <w:proofErr w:type="spellStart"/>
      <w:r>
        <w:t>SiHy</w:t>
      </w:r>
      <w:proofErr w:type="spellEnd"/>
      <w:r>
        <w:t xml:space="preserve"> formulation chemistry, requiring careful </w:t>
      </w:r>
      <w:proofErr w:type="spellStart"/>
      <w:r>
        <w:t>optimisation</w:t>
      </w:r>
      <w:proofErr w:type="spellEnd"/>
      <w:r>
        <w:t xml:space="preserve"> of monomer structure, concentration, and crosslinker design.</w:t>
      </w:r>
    </w:p>
    <w:p w14:paraId="495C7DE2" w14:textId="77777777" w:rsidR="0032421A" w:rsidRDefault="0025373C">
      <w:pPr>
        <w:spacing w:after="160" w:line="360" w:lineRule="auto"/>
        <w:ind w:firstLine="720"/>
        <w:jc w:val="both"/>
      </w:pPr>
      <w:r>
        <w:t xml:space="preserve">Recent innovations in silicone hydrogel chemistry have sought to push beyond the oxygen–water content trade-off that </w:t>
      </w:r>
      <w:proofErr w:type="spellStart"/>
      <w:r>
        <w:t>characterises</w:t>
      </w:r>
      <w:proofErr w:type="spellEnd"/>
      <w:r>
        <w:t xml:space="preserve"> conventional </w:t>
      </w:r>
      <w:proofErr w:type="spellStart"/>
      <w:r>
        <w:t>SiHy</w:t>
      </w:r>
      <w:proofErr w:type="spellEnd"/>
      <w:r>
        <w:t xml:space="preserve"> formulations. Liu et al. (2024) demonstrated that incorporating isopropanol as a solvent in the precursor solution significantly enhanced oxygen permeability—achieving values up to 101 Barrers—whilst maintaining equilibrium water contents (EWC) of approximately 56%, by improving the connectivity of the silicone network. Further enhancement was achieved through the addition of siloxane nanoparticles, which further increased network connectivity and raised Dk values to 125 Barrers. These findings illustrate the continuing materials science innovation in the field, challenging the conventional assumption that high oxygen permeability must come at the expense of water retention and comfort-related properties.</w:t>
      </w:r>
    </w:p>
    <w:p w14:paraId="7C56305F" w14:textId="77777777" w:rsidR="0032421A" w:rsidRDefault="0025373C">
      <w:pPr>
        <w:spacing w:after="160" w:line="360" w:lineRule="auto"/>
        <w:ind w:firstLine="720"/>
        <w:jc w:val="both"/>
      </w:pPr>
      <w:r>
        <w:t xml:space="preserve">The significance of adequate corneal oxygenation during contact lens wear cannot be overstated from a clinical standpoint. Holden and Mertz (1984) established, through a landmark series of experiments, the minimum oxygen transmissibility (Dk/t) required to prevent clinically observable corneal swelling—values that became the foundational reference for evaluating extended and daily wear lens modalities. Subsequently, it has been demonstrated that even daily wear with conventional hydrogel lenses of borderline transmissibility can result in cumulative hypoxic changes in susceptible patients, particularly those with high refractive errors requiring thicker lens geometries. The advent of </w:t>
      </w:r>
      <w:proofErr w:type="spellStart"/>
      <w:r>
        <w:t>SiHy</w:t>
      </w:r>
      <w:proofErr w:type="spellEnd"/>
      <w:r>
        <w:t xml:space="preserve"> materials has largely resolved the oxygen supply problem for most patients wearing lenses daily, though nocturnal hypoxia during extended wear and the needs of specialist fitting populations continue to demand further progress.</w:t>
      </w:r>
    </w:p>
    <w:p w14:paraId="118AB496" w14:textId="77777777" w:rsidR="0032421A" w:rsidRDefault="0025373C">
      <w:pPr>
        <w:pStyle w:val="Heading2"/>
      </w:pPr>
      <w:r>
        <w:t>4.2 Mechanical Properties and Modulus</w:t>
      </w:r>
    </w:p>
    <w:p w14:paraId="113E8C94" w14:textId="77777777" w:rsidR="0032421A" w:rsidRDefault="0025373C">
      <w:pPr>
        <w:spacing w:after="160" w:line="360" w:lineRule="auto"/>
        <w:ind w:firstLine="720"/>
        <w:jc w:val="both"/>
      </w:pPr>
      <w:r>
        <w:t xml:space="preserve">A critical mechanical parameter of soft contact lens materials is their elastic modulus—a measure of stiffness that governs lens handling, on-eye fit, and interaction with the conjunctival tissue. Conventional hydrogel lenses typically have elastic moduli in the range of 0.3–0.5 MPa, whilst first- and second-generation </w:t>
      </w:r>
      <w:proofErr w:type="spellStart"/>
      <w:r>
        <w:t>SiHy</w:t>
      </w:r>
      <w:proofErr w:type="spellEnd"/>
      <w:r>
        <w:t xml:space="preserve"> materials exhibited substantially higher moduli (0.5–1.5 MPa) due to the stiffening effect of the silicone network. This increased stiffness was associated with a range of mechanical complications that had not been prominent with softer conventional lenses, most notably superior epithelial arcuate lesions (SEALs) and contact lens papillary </w:t>
      </w:r>
      <w:r>
        <w:lastRenderedPageBreak/>
        <w:t xml:space="preserve">conjunctivitis (CLPC), in which the stiffened lens edge repeatedly </w:t>
      </w:r>
      <w:proofErr w:type="spellStart"/>
      <w:r>
        <w:t>traumatises</w:t>
      </w:r>
      <w:proofErr w:type="spellEnd"/>
      <w:r>
        <w:t xml:space="preserve"> the superior tarsal conjunctiva (Stapleton et al., 2021).</w:t>
      </w:r>
    </w:p>
    <w:p w14:paraId="27A3B214" w14:textId="77777777" w:rsidR="0032421A" w:rsidRDefault="0025373C">
      <w:pPr>
        <w:spacing w:after="160" w:line="360" w:lineRule="auto"/>
        <w:ind w:firstLine="720"/>
        <w:jc w:val="both"/>
      </w:pPr>
      <w:r>
        <w:t xml:space="preserve">Subsequent generations of </w:t>
      </w:r>
      <w:proofErr w:type="spellStart"/>
      <w:r>
        <w:t>SiHy</w:t>
      </w:r>
      <w:proofErr w:type="spellEnd"/>
      <w:r>
        <w:t xml:space="preserve"> materials have incorporated design strategies to reduce modulus whilst retaining acceptable oxygen performance, including the use of higher-molecular-weight siloxane macromers, lower crosslinker concentrations, and modification of the hydrophilic monomer composition. Third- and fourth-generation </w:t>
      </w:r>
      <w:proofErr w:type="spellStart"/>
      <w:r>
        <w:t>SiHy</w:t>
      </w:r>
      <w:proofErr w:type="spellEnd"/>
      <w:r>
        <w:t xml:space="preserve"> materials such as </w:t>
      </w:r>
      <w:proofErr w:type="spellStart"/>
      <w:r>
        <w:t>comfilcon</w:t>
      </w:r>
      <w:proofErr w:type="spellEnd"/>
      <w:r>
        <w:t xml:space="preserve"> A, </w:t>
      </w:r>
      <w:proofErr w:type="spellStart"/>
      <w:r>
        <w:t>somofilcon</w:t>
      </w:r>
      <w:proofErr w:type="spellEnd"/>
      <w:r>
        <w:t xml:space="preserve"> A, and </w:t>
      </w:r>
      <w:proofErr w:type="spellStart"/>
      <w:r>
        <w:t>nesofilcon</w:t>
      </w:r>
      <w:proofErr w:type="spellEnd"/>
      <w:r>
        <w:t xml:space="preserve"> A exhibit moduli closer to those of conventional hydrogels whilst still providing clinically meaningful oxygen </w:t>
      </w:r>
      <w:proofErr w:type="spellStart"/>
      <w:r>
        <w:t>transmissibilities</w:t>
      </w:r>
      <w:proofErr w:type="spellEnd"/>
      <w:r>
        <w:t>. Nevertheless, the relationship between silicone content, oxygen permeability, and modulus remains a fundamental constraint: higher silicone concentrations generally increase both Dk and stiffness, requiring careful formulation trade-offs (Ishihara et al., 2023).</w:t>
      </w:r>
    </w:p>
    <w:p w14:paraId="4DF37877" w14:textId="77777777" w:rsidR="0032421A" w:rsidRDefault="0025373C">
      <w:pPr>
        <w:pStyle w:val="Heading1"/>
      </w:pPr>
      <w:r>
        <w:t>5. Non-Silicone and Hybrid Lens Materials: Recent Developments</w:t>
      </w:r>
    </w:p>
    <w:p w14:paraId="106146D9" w14:textId="77777777" w:rsidR="0032421A" w:rsidRDefault="0025373C">
      <w:pPr>
        <w:spacing w:after="160" w:line="360" w:lineRule="auto"/>
        <w:ind w:firstLine="720"/>
        <w:jc w:val="both"/>
      </w:pPr>
      <w:r>
        <w:t xml:space="preserve">Notwithstanding the dominance of silicone hydrogels, there remains ongoing interest in improving the oxygen performance of non-silicone hydrogel materials, both for their lower cost and their generally more </w:t>
      </w:r>
      <w:proofErr w:type="spellStart"/>
      <w:r>
        <w:t>favourable</w:t>
      </w:r>
      <w:proofErr w:type="spellEnd"/>
      <w:r>
        <w:t xml:space="preserve"> surface properties. Research has shown that the crosslinker architecture of non-silicone hydrogels can be manipulated to modulate oxygen permeability independently of water content. Using varying lengths and concentrations of </w:t>
      </w:r>
      <w:proofErr w:type="gramStart"/>
      <w:r>
        <w:t>poly(</w:t>
      </w:r>
      <w:proofErr w:type="gramEnd"/>
      <w:r>
        <w:t xml:space="preserve">ethylene glycol) </w:t>
      </w:r>
      <w:proofErr w:type="spellStart"/>
      <w:r>
        <w:t>dimethacrylate</w:t>
      </w:r>
      <w:proofErr w:type="spellEnd"/>
      <w:r>
        <w:t xml:space="preserve"> crosslinkers in DMA/cyclohexyl methacrylate copolymer systems, oxygen permeabilities of up to 73.90 Fatt units have been demonstrated in non-silicone matrices—without substantially altering water content, contact angle, or optical transmittance (Lim et al., 2024). These findings suggest that crosslinker engineering represents an </w:t>
      </w:r>
      <w:proofErr w:type="spellStart"/>
      <w:r>
        <w:t>under-utilised</w:t>
      </w:r>
      <w:proofErr w:type="spellEnd"/>
      <w:r>
        <w:t xml:space="preserve"> design variable in conventional hydrogel formulation.</w:t>
      </w:r>
    </w:p>
    <w:p w14:paraId="7EE7AF98" w14:textId="77777777" w:rsidR="0032421A" w:rsidRDefault="0025373C">
      <w:pPr>
        <w:spacing w:after="160" w:line="360" w:lineRule="auto"/>
        <w:ind w:firstLine="720"/>
        <w:jc w:val="both"/>
      </w:pPr>
      <w:r>
        <w:t xml:space="preserve">An alternative approach to increasing the Dk of conventional hydrogels has been the incorporation of inorganic nanoparticles into the polymer matrix. Silica sol nanoparticles (SNPs) </w:t>
      </w:r>
      <w:proofErr w:type="spellStart"/>
      <w:r>
        <w:t>copolymerised</w:t>
      </w:r>
      <w:proofErr w:type="spellEnd"/>
      <w:r>
        <w:t xml:space="preserve"> into HEMA/NVP hydrogels have been shown to enhance oxygen permeability in proportion to SNP content, with the highest Dk reaching 54.3 Barrers at 1.8 wt% SNP, whilst leaving equilibrium water content and contact angle largely unaffected, due to the high surface hydroxyl density rendering them intrinsically hydrophilic and embedded within the polymer network. Crucially, cytotoxicity testing confirmed the biocompatibility of these SNP-containing formulations with L929 cells, supporting their potential for ophthalmic applications (Tran et al., </w:t>
      </w:r>
      <w:r>
        <w:lastRenderedPageBreak/>
        <w:t xml:space="preserve">2020). Whilst the resulting Dk values remained below those of commercial </w:t>
      </w:r>
      <w:proofErr w:type="spellStart"/>
      <w:r>
        <w:t>SiHy</w:t>
      </w:r>
      <w:proofErr w:type="spellEnd"/>
      <w:r>
        <w:t xml:space="preserve"> lenses, they compared </w:t>
      </w:r>
      <w:proofErr w:type="spellStart"/>
      <w:r>
        <w:t>favourably</w:t>
      </w:r>
      <w:proofErr w:type="spellEnd"/>
      <w:r>
        <w:t xml:space="preserve"> with several non-silicone commercial products and the approach demonstrates the utility of nanofiller strategies in materials </w:t>
      </w:r>
      <w:proofErr w:type="spellStart"/>
      <w:r>
        <w:t>optimisation</w:t>
      </w:r>
      <w:proofErr w:type="spellEnd"/>
      <w:r>
        <w:t>.</w:t>
      </w:r>
    </w:p>
    <w:p w14:paraId="19486656" w14:textId="77777777" w:rsidR="0032421A" w:rsidRDefault="0025373C">
      <w:pPr>
        <w:spacing w:after="160" w:line="360" w:lineRule="auto"/>
        <w:ind w:firstLine="720"/>
        <w:jc w:val="both"/>
      </w:pPr>
      <w:r>
        <w:t>Hybrid lens designs—combining a rigid gas-permeable central optic zone with a soft peripheral skirt—have also found a niche in the management of irregular corneas, where the high Dk of the RGP centre provides excellent corneal oxygenation whilst the soft skirt confers the comfort and positional stability that patients with standard RGP lenses often find elusive. Although these lenses occupy a relatively small market segment, their clinical utility for keratoconus and pellucid marginal degeneration has been consistently supported in the literature (Shaker et al., 2024).</w:t>
      </w:r>
    </w:p>
    <w:p w14:paraId="098ABE7F" w14:textId="77777777" w:rsidR="0032421A" w:rsidRDefault="0025373C">
      <w:pPr>
        <w:pStyle w:val="Heading1"/>
      </w:pPr>
      <w:r>
        <w:t>6. Surface Properties and Modifications: Enhancing Wettability and Comfort</w:t>
      </w:r>
    </w:p>
    <w:p w14:paraId="2ABACC07" w14:textId="77777777" w:rsidR="0032421A" w:rsidRDefault="0025373C">
      <w:pPr>
        <w:spacing w:after="160" w:line="360" w:lineRule="auto"/>
        <w:ind w:firstLine="720"/>
        <w:jc w:val="both"/>
      </w:pPr>
      <w:r>
        <w:t xml:space="preserve">The surface properties of a contact lens exert a profound influence on wearer comfort by mediating tear film stability, frictional interaction with the eyelid wiper, and susceptibility to protein and lipid deposition from the tear film. A lens surface that is poorly wetted by the tear film promotes early breakup of the pre-lens tear film (PLTF), resulting in visual disturbance, surface desiccation, and the sensation of dryness that is the cardinal symptom of contact lens discomfort. The surface hydrophilicity of a lens is conventionally </w:t>
      </w:r>
      <w:proofErr w:type="spellStart"/>
      <w:r>
        <w:t>characterised</w:t>
      </w:r>
      <w:proofErr w:type="spellEnd"/>
      <w:r>
        <w:t xml:space="preserve"> by the water contact angle (WCA)—the lower the WCA, the more readily the aqueous tear phase spreads across the lens surface (Willcox et al., 2021).</w:t>
      </w:r>
    </w:p>
    <w:p w14:paraId="5B3203BB" w14:textId="77777777" w:rsidR="0032421A" w:rsidRDefault="0025373C">
      <w:pPr>
        <w:spacing w:after="160" w:line="360" w:lineRule="auto"/>
        <w:ind w:firstLine="720"/>
        <w:jc w:val="both"/>
      </w:pPr>
      <w:proofErr w:type="spellStart"/>
      <w:r>
        <w:t>SiHy</w:t>
      </w:r>
      <w:proofErr w:type="spellEnd"/>
      <w:r>
        <w:t xml:space="preserve"> materials inherently present a hydrophobic surface due to the migration of siloxane chains to the air-polymer interface during manufacture. This has necessitated the development of various surface treatment and modification strategies. Plasma surface treatment—the exposure of the lens surface to a plasma of reactive ionic species—has been employed in several commercial </w:t>
      </w:r>
      <w:proofErr w:type="spellStart"/>
      <w:r>
        <w:t>SiHy</w:t>
      </w:r>
      <w:proofErr w:type="spellEnd"/>
      <w:r>
        <w:t xml:space="preserve"> lenses (notably </w:t>
      </w:r>
      <w:proofErr w:type="spellStart"/>
      <w:r>
        <w:t>lotrafilcon</w:t>
      </w:r>
      <w:proofErr w:type="spellEnd"/>
      <w:r>
        <w:t xml:space="preserve"> A, which uses a 25-nm plasma-deposited </w:t>
      </w:r>
      <w:proofErr w:type="spellStart"/>
      <w:r>
        <w:t>fluoroether</w:t>
      </w:r>
      <w:proofErr w:type="spellEnd"/>
      <w:r>
        <w:t xml:space="preserve"> coating) to introduce hydrophilic polar groups and thereby reduce the WCA. Whilst effective initially, plasma coatings can degrade during lens wear and cleaning, potentially diminishing their protective effect over the lens wearing schedule.</w:t>
      </w:r>
    </w:p>
    <w:p w14:paraId="28C5F8F3" w14:textId="77777777" w:rsidR="0032421A" w:rsidRDefault="0025373C">
      <w:pPr>
        <w:spacing w:after="160" w:line="360" w:lineRule="auto"/>
        <w:ind w:firstLine="720"/>
        <w:jc w:val="both"/>
      </w:pPr>
      <w:r>
        <w:t xml:space="preserve">An alternative approach involves the incorporation of internal wetting agents—hydrophilic polymers blended into the lens matrix that migrate to the surface and create a persistent hydrophilic </w:t>
      </w:r>
      <w:r>
        <w:lastRenderedPageBreak/>
        <w:t xml:space="preserve">environment. Polyvinyl alcohol (PVA) is incorporated into the bulk material of certain commercial lenses (e.g., </w:t>
      </w:r>
      <w:proofErr w:type="spellStart"/>
      <w:r>
        <w:t>senofilcon</w:t>
      </w:r>
      <w:proofErr w:type="spellEnd"/>
      <w:r>
        <w:t xml:space="preserve"> A), whilst polyvinylpyrrolidone (PVP) is used in others. Block copolymers based on </w:t>
      </w:r>
      <w:proofErr w:type="spellStart"/>
      <w:r>
        <w:t>polyoxyethylene-polyoxybutylene</w:t>
      </w:r>
      <w:proofErr w:type="spellEnd"/>
      <w:r>
        <w:t xml:space="preserve"> (EOBO) moieties have been engineered to provide a 'moisture matrix' that resists dehydration and maintains surface hydration throughout the wearing day (Willcox et al., 2021). The CLEAR report on contact lens wettability (Willcox et al., 2021) provided a comprehensive evaluation of these approaches, noting that whilst improved surface wettability is associated with higher clinical comfort scores in some studies, the relationship between measurable wettability parameters and subjective comfort is complex and influenced by multiple concurrent factors.</w:t>
      </w:r>
    </w:p>
    <w:p w14:paraId="4DEC37DA" w14:textId="77777777" w:rsidR="0032421A" w:rsidRDefault="0025373C">
      <w:pPr>
        <w:spacing w:after="160" w:line="360" w:lineRule="auto"/>
        <w:ind w:firstLine="720"/>
        <w:jc w:val="both"/>
      </w:pPr>
      <w:r>
        <w:t xml:space="preserve">Biomimetic surface modification represents a sophisticated evolution in lens surface engineering. Phosphorylcholine (PC)-based coatings, which mimic the zwitterionic phospholipid headgroups of biological cell membranes, have been explored for their ability to create highly hydrophilic, low-friction, and protein-resistant surfaces. Hyaluronic acid (HA) </w:t>
      </w:r>
      <w:proofErr w:type="spellStart"/>
      <w:r>
        <w:t>immobilisation</w:t>
      </w:r>
      <w:proofErr w:type="spellEnd"/>
      <w:r>
        <w:t xml:space="preserve"> on </w:t>
      </w:r>
      <w:proofErr w:type="spellStart"/>
      <w:r>
        <w:t>SiHy</w:t>
      </w:r>
      <w:proofErr w:type="spellEnd"/>
      <w:r>
        <w:t xml:space="preserve"> surfaces is another biomimetic strategy; as a major component of the vitreous </w:t>
      </w:r>
      <w:proofErr w:type="spellStart"/>
      <w:r>
        <w:t>humour</w:t>
      </w:r>
      <w:proofErr w:type="spellEnd"/>
      <w:r>
        <w:t xml:space="preserve"> and an important contributor to the viscoelastic properties of the tear film, HA at the lens surface is </w:t>
      </w:r>
      <w:proofErr w:type="spellStart"/>
      <w:r>
        <w:t>hypothesised</w:t>
      </w:r>
      <w:proofErr w:type="spellEnd"/>
      <w:r>
        <w:t xml:space="preserve"> to both promote wettability and act as a boundary lubricant reducing lid-lens friction (Ishihara et al., 2023). Proteoglycan 4 (PRG4, also known as lubricin) has similarly been investigated as a boundary lubricant that can be incorporated at contact lens surfaces to reduce frictional forces during blinking.</w:t>
      </w:r>
    </w:p>
    <w:p w14:paraId="7A277B29" w14:textId="77777777" w:rsidR="0032421A" w:rsidRDefault="0025373C">
      <w:pPr>
        <w:spacing w:after="160" w:line="360" w:lineRule="auto"/>
        <w:ind w:firstLine="720"/>
        <w:jc w:val="both"/>
      </w:pPr>
      <w:r>
        <w:t xml:space="preserve">The dynamic aspects of the pre-lens tear film and its relationship to comfort have been elucidated through detailed biomechanical analyses of tear film breakup patterns. Soft contact lenses perturb the anterior ocular surface in multiple ways: they reduce tear meniscus volume, attenuate the normal spread of the tear film lipid layer (TFLL), substitute the highly wettable corneal surface with a synthetic surface of limited wettability, and increase frictional forces at the eyelid wiper. These perturbations collectively predispose to contact lens-related dry eye, </w:t>
      </w:r>
      <w:proofErr w:type="spellStart"/>
      <w:r>
        <w:t>characterised</w:t>
      </w:r>
      <w:proofErr w:type="spellEnd"/>
      <w:r>
        <w:t xml:space="preserve"> by increased PLTF breakup frequency and shorter non-invasive tear breakup time (NIBUT) relative to the naked eye. The clinician's challenge is to select lens materials and replacement modalities that </w:t>
      </w:r>
      <w:proofErr w:type="spellStart"/>
      <w:r>
        <w:t>minimise</w:t>
      </w:r>
      <w:proofErr w:type="spellEnd"/>
      <w:r>
        <w:t xml:space="preserve"> these disruptions (Yokoi et al., 2023).</w:t>
      </w:r>
    </w:p>
    <w:p w14:paraId="57ACD359" w14:textId="77777777" w:rsidR="0032421A" w:rsidRDefault="0025373C">
      <w:pPr>
        <w:pStyle w:val="Heading1"/>
      </w:pPr>
      <w:r>
        <w:t xml:space="preserve">7. Contact Lens Discomfort and Dry Eye: </w:t>
      </w:r>
      <w:proofErr w:type="spellStart"/>
      <w:r>
        <w:t>Aetiology</w:t>
      </w:r>
      <w:proofErr w:type="spellEnd"/>
      <w:r>
        <w:t>, Assessment, and Management</w:t>
      </w:r>
    </w:p>
    <w:p w14:paraId="1C34D620" w14:textId="77777777" w:rsidR="0032421A" w:rsidRDefault="0025373C">
      <w:pPr>
        <w:spacing w:after="160" w:line="360" w:lineRule="auto"/>
        <w:ind w:firstLine="720"/>
        <w:jc w:val="both"/>
      </w:pPr>
      <w:r>
        <w:lastRenderedPageBreak/>
        <w:t>Contact lens discomfort (CLD) is defined as episodic or persistent adverse ocular sensations related to lens wear, either with or without visual disturbance, resulting from reduced compatibility between the contact lens and the ocular environment (Jones et al., 2013). It is the leading cause of contact lens discontinuation worldwide, with cross-sectional surveys consistently indicating that between 40% and 50% of contact lens wearers report symptoms of dryness or discomfort, particularly towards the end of the wearing day. The economic and quality-of-life burden of CLD is substantial, affecting productivity and satisfaction with vision correction (Nichols &amp; Sinnott, 2006).</w:t>
      </w:r>
    </w:p>
    <w:p w14:paraId="32074678" w14:textId="77777777" w:rsidR="0032421A" w:rsidRDefault="0025373C">
      <w:pPr>
        <w:spacing w:after="160" w:line="360" w:lineRule="auto"/>
        <w:ind w:firstLine="720"/>
        <w:jc w:val="both"/>
      </w:pPr>
      <w:r>
        <w:t xml:space="preserve">The multifactorial </w:t>
      </w:r>
      <w:proofErr w:type="spellStart"/>
      <w:r>
        <w:t>aetiology</w:t>
      </w:r>
      <w:proofErr w:type="spellEnd"/>
      <w:r>
        <w:t xml:space="preserve"> of CLD encompasses both lens-related and patient-related factors. Lens-related contributors include material hydrophobicity, deposit accumulation, mechanical lid interaction with the lens edge and front surface, care solution interactions (including the preservative-mediated disruption of the ocular surface), and reduced oxygen supply in cases of low-Dk lenses. Patient-related factors include pre-existing dry eye disease, meibomian gland dysfunction, incomplete blinking (exacerbated by prolonged digital device use), and individual variations in tear volume and composition (Fernández-Jimenez et al., 2022). The TFOS International Workshop on Contact Lens Discomfort (Jones et al., 2013) provided a comprehensive framework for understanding and managing CLD, </w:t>
      </w:r>
      <w:proofErr w:type="spellStart"/>
      <w:r>
        <w:t>emphasising</w:t>
      </w:r>
      <w:proofErr w:type="spellEnd"/>
      <w:r>
        <w:t xml:space="preserve"> the importance of a patient-</w:t>
      </w:r>
      <w:proofErr w:type="spellStart"/>
      <w:r>
        <w:t>centred</w:t>
      </w:r>
      <w:proofErr w:type="spellEnd"/>
      <w:r>
        <w:t xml:space="preserve"> approach that addresses modifiable risk factors across multiple domains simultaneously.</w:t>
      </w:r>
    </w:p>
    <w:p w14:paraId="5C272FF3" w14:textId="77777777" w:rsidR="0032421A" w:rsidRDefault="0025373C">
      <w:pPr>
        <w:spacing w:after="160" w:line="360" w:lineRule="auto"/>
        <w:ind w:firstLine="720"/>
        <w:jc w:val="both"/>
      </w:pPr>
      <w:r>
        <w:t>From a materials perspective, the relationship between lens water content and discomfort is complex. Whilst high water content hydrogels were historically assumed to confer greater comfort by maintaining a more aqueous interface with the tear film, clinical evidence suggests that lenses with higher water content may experience greater on-eye dehydration, particularly in low-humidity environments, paradoxically exacerbating end-of-day dryness symptoms. Fonn (2007) identified lens dehydration—the loss of water from the lens matrix under ambient evaporative conditions—as a critical determinant of comfort, noting that symptomatic wearers showed greater in vivo lens dehydration than asymptomatic controls. This observation has influenced the design of daily disposable lenses, where the elimination of cumulative deposit burden may compensate for other material limitations.</w:t>
      </w:r>
    </w:p>
    <w:p w14:paraId="66676C9E" w14:textId="77777777" w:rsidR="0032421A" w:rsidRDefault="0025373C">
      <w:pPr>
        <w:spacing w:after="160" w:line="360" w:lineRule="auto"/>
        <w:ind w:firstLine="720"/>
        <w:jc w:val="both"/>
      </w:pPr>
      <w:r>
        <w:t xml:space="preserve">Daily disposable contact lenses have become the dominant modality in many markets, with Morgan et al. (2024) reporting that they accounted for approximately 49% of all soft contact lens fittings globally across the period 2000–2023, with a consistent upward trend. The advantages of </w:t>
      </w:r>
      <w:r>
        <w:lastRenderedPageBreak/>
        <w:t>daily disposability include the avoidance of disinfection solution-related complications, the elimination of deposit-related discomfort, improved compliance, and the convenience of a fresh lens each day. Recent research has also highlighted the potential role of comfort-eluting agents incorporated into daily disposable packaging solutions in further enhancing in-eye comfort, at least during the initial hours of wear (Morgan et al., 2024).</w:t>
      </w:r>
    </w:p>
    <w:p w14:paraId="28BEE675" w14:textId="77777777" w:rsidR="0032421A" w:rsidRDefault="0025373C">
      <w:pPr>
        <w:spacing w:after="160" w:line="360" w:lineRule="auto"/>
        <w:ind w:firstLine="720"/>
        <w:jc w:val="both"/>
      </w:pPr>
      <w:r>
        <w:t>The management of CLD in clinical practice requires a systematic approach incorporating ocular surface assessment, lens material and modality selection, care solution review, and patient education on appropriate wearing schedules and digital device hygiene. Scleral lenses, by vaulting the cornea and maintaining a fluid reservoir at the corneal surface, represent an increasingly popular option for patients with severe CLD or underlying ocular surface disease who have failed conventional soft lens correction (Chaudhary et al., 2023). The management of contact lens wear in patients with pre-existing dry eye disease, particularly those on systemic medications affecting tear secretion, requires particularly careful selection of lens material and modality.</w:t>
      </w:r>
    </w:p>
    <w:p w14:paraId="3E9BD00D" w14:textId="77777777" w:rsidR="0032421A" w:rsidRDefault="0025373C">
      <w:pPr>
        <w:pStyle w:val="Heading1"/>
      </w:pPr>
      <w:r>
        <w:t>8. Orthokeratology and Contact Lens Designs for Myopia Control</w:t>
      </w:r>
    </w:p>
    <w:p w14:paraId="7A894960" w14:textId="77777777" w:rsidR="0032421A" w:rsidRDefault="0025373C">
      <w:pPr>
        <w:pStyle w:val="Heading2"/>
      </w:pPr>
      <w:r>
        <w:t>8.1 The Global Myopia Epidemic and the Rationale for Intervention</w:t>
      </w:r>
    </w:p>
    <w:p w14:paraId="7FD0F317" w14:textId="77777777" w:rsidR="0032421A" w:rsidRDefault="0025373C">
      <w:pPr>
        <w:spacing w:after="160" w:line="360" w:lineRule="auto"/>
        <w:ind w:firstLine="720"/>
        <w:jc w:val="both"/>
      </w:pPr>
      <w:r>
        <w:t xml:space="preserve">Myopia has emerged as one of the most significant public health challenges in vision care, with global prevalence rising dramatically over recent decades. It is estimated that myopia will affect approximately half of the world's population by 2050, with high myopia (defined as spherical equivalent ≥ −6.00 </w:t>
      </w:r>
      <w:proofErr w:type="spellStart"/>
      <w:r>
        <w:t>dioptres</w:t>
      </w:r>
      <w:proofErr w:type="spellEnd"/>
      <w:r>
        <w:t>) projected to affect 10% of the global population—representing a substantial increase from the early twentieth century. Beyond the inconvenience of blurred distance vision, high myopia is associated with a substantially elevated risk of sight-threatening complications including retinal detachment, myopic maculopathy, glaucoma, and cataract, all of which are associated with the pathological axial elongation of the eye that drives myopia progression in childhood and adolescence. The imperative to slow axial elongation in myopic children has driven intense clinical and research interest in interventions—including contact lens-based modalities—that can modify the refractive growth trajectory of the developing eye.</w:t>
      </w:r>
    </w:p>
    <w:p w14:paraId="0E0AA614" w14:textId="77777777" w:rsidR="0032421A" w:rsidRDefault="0025373C">
      <w:pPr>
        <w:spacing w:after="160" w:line="360" w:lineRule="auto"/>
        <w:ind w:firstLine="720"/>
        <w:jc w:val="both"/>
      </w:pPr>
      <w:r>
        <w:t xml:space="preserve">The optical mechanism underpinning most contact lens-based myopia control strategies involves the manipulation of peripheral retinal defocus. In myopic eyes, the peripheral retina typically experiences relative hyperopic defocus (light from the periphery of the visual field is </w:t>
      </w:r>
      <w:r>
        <w:lastRenderedPageBreak/>
        <w:t xml:space="preserve">focused behind the peripheral retina), which is </w:t>
      </w:r>
      <w:proofErr w:type="spellStart"/>
      <w:r>
        <w:t>hypothesised</w:t>
      </w:r>
      <w:proofErr w:type="spellEnd"/>
      <w:r>
        <w:t xml:space="preserve"> to act as a stimulus for continued axial elongation. Lens designs that simultaneously correct central vision and impose peripheral myopic defocus (focusing peripheral light anterior to the peripheral retina) aim to eliminate this growth stimulus. A growing body of </w:t>
      </w:r>
      <w:proofErr w:type="spellStart"/>
      <w:r>
        <w:t>randomised</w:t>
      </w:r>
      <w:proofErr w:type="spellEnd"/>
      <w:r>
        <w:t xml:space="preserve"> controlled trial evidence supports the efficacy of this approach across multiple lens platforms (</w:t>
      </w:r>
      <w:proofErr w:type="spellStart"/>
      <w:r>
        <w:t>Wolffsohn</w:t>
      </w:r>
      <w:proofErr w:type="spellEnd"/>
      <w:r>
        <w:t xml:space="preserve"> et al., 2020).</w:t>
      </w:r>
    </w:p>
    <w:p w14:paraId="49921652" w14:textId="77777777" w:rsidR="0032421A" w:rsidRDefault="0025373C">
      <w:pPr>
        <w:pStyle w:val="Heading2"/>
      </w:pPr>
      <w:r>
        <w:t>8.2 Orthokeratology Lenses</w:t>
      </w:r>
    </w:p>
    <w:p w14:paraId="046F2574" w14:textId="77777777" w:rsidR="0032421A" w:rsidRDefault="0025373C">
      <w:pPr>
        <w:spacing w:after="160" w:line="360" w:lineRule="auto"/>
        <w:ind w:firstLine="720"/>
        <w:jc w:val="both"/>
      </w:pPr>
      <w:r>
        <w:t xml:space="preserve">Orthokeratology lenses are specially designed reverse-geometry rigid gas-permeable lenses, typically worn overnight, that temporarily and reversibly reshape the cornea through the controlled redistribution of epithelial tissue. By flattening the central cornea, they provide unaided daytime vision correction for low-to-moderate myopia. The serendipitous discovery that ortho-k wear also slowed axial elongation in children </w:t>
      </w:r>
      <w:proofErr w:type="spellStart"/>
      <w:r>
        <w:t>catalysed</w:t>
      </w:r>
      <w:proofErr w:type="spellEnd"/>
      <w:r>
        <w:t xml:space="preserve"> a substantial body of prospective clinical research. The optical mechanism is understood to involve the creation of a myopic defocus annulus in the mid-peripheral visual field resulting from the characteristic corneal topography induced by lens wear.</w:t>
      </w:r>
    </w:p>
    <w:p w14:paraId="36FC8891" w14:textId="77777777" w:rsidR="0032421A" w:rsidRDefault="0025373C">
      <w:pPr>
        <w:spacing w:after="160" w:line="360" w:lineRule="auto"/>
        <w:ind w:firstLine="720"/>
        <w:jc w:val="both"/>
      </w:pPr>
      <w:r>
        <w:t>A comprehensive pooled analysis of data from three prospective clinical trials conducted in Spain and Hong Kong—the ROMIO, MCOS, and TO-SEE studies—demonstrated that orthokeratology lens wear produced a statistically significant reduction in the rate of axial elongation compared with spectacle lens controls over two years (mean axial length increase: 0.41 mm vs 0.65 mm in controls; treatment effect: 0.24 mm, 95% CI: 0.15–0.34 mm). Notably, approximately 40% of orthokeratology wearers showed very low levels of progression (two-year axial elongation ≤ 0.30 mm), suggesting a bimodal distribution of treatment response that warrants further investigation (</w:t>
      </w:r>
      <w:proofErr w:type="spellStart"/>
      <w:r>
        <w:t>Santodomingo-Rubido</w:t>
      </w:r>
      <w:proofErr w:type="spellEnd"/>
      <w:r>
        <w:t xml:space="preserve"> et al., 2024). The safety profile of orthokeratology in children has been confirmed across multiple studies, with adverse event rates broadly comparable to those in soft contact lens wearers, albeit with the specific risk of ortho-k-associated microbial keratitis requiring ongoing vigilance.</w:t>
      </w:r>
    </w:p>
    <w:p w14:paraId="110FE9B6" w14:textId="77777777" w:rsidR="0032421A" w:rsidRDefault="0025373C">
      <w:pPr>
        <w:spacing w:after="160" w:line="360" w:lineRule="auto"/>
        <w:ind w:firstLine="720"/>
        <w:jc w:val="both"/>
      </w:pPr>
      <w:r>
        <w:t xml:space="preserve">The mechanisms by which orthokeratology achieves its myopia control effect are not fully resolved, and it is </w:t>
      </w:r>
      <w:proofErr w:type="spellStart"/>
      <w:r>
        <w:t>recognised</w:t>
      </w:r>
      <w:proofErr w:type="spellEnd"/>
      <w:r>
        <w:t xml:space="preserve"> that peripheral defocus alone may be insufficient to explain the magnitude of axial length reduction observed in some studies. Choroidal thickening, which has been documented following orthokeratology lens wear, has been proposed as a contributing mechanism. The refinement of orthokeratology lens designs—including modifications to the treatment zone </w:t>
      </w:r>
      <w:r>
        <w:lastRenderedPageBreak/>
        <w:t xml:space="preserve">diameter, back optic zone diameter, and peripheral curve geometry—is an active area of clinical research aimed at </w:t>
      </w:r>
      <w:proofErr w:type="spellStart"/>
      <w:r>
        <w:t>maximising</w:t>
      </w:r>
      <w:proofErr w:type="spellEnd"/>
      <w:r>
        <w:t xml:space="preserve"> myopia control efficacy in diverse populations and refractive ranges.</w:t>
      </w:r>
    </w:p>
    <w:p w14:paraId="2A85A616" w14:textId="77777777" w:rsidR="0032421A" w:rsidRDefault="0025373C">
      <w:pPr>
        <w:pStyle w:val="Heading2"/>
      </w:pPr>
      <w:r>
        <w:t>8.3 Soft Myopia Control Contact Lenses</w:t>
      </w:r>
    </w:p>
    <w:p w14:paraId="644171F5" w14:textId="77777777" w:rsidR="0032421A" w:rsidRDefault="0025373C">
      <w:pPr>
        <w:spacing w:after="160" w:line="360" w:lineRule="auto"/>
        <w:ind w:firstLine="720"/>
        <w:jc w:val="both"/>
      </w:pPr>
      <w:r>
        <w:t xml:space="preserve">Soft contact lens designs engineered for myopia control have gained regulatory approval in several jurisdictions and are now widely prescribed in </w:t>
      </w:r>
      <w:proofErr w:type="spellStart"/>
      <w:r>
        <w:t>paediatric</w:t>
      </w:r>
      <w:proofErr w:type="spellEnd"/>
      <w:r>
        <w:t xml:space="preserve"> practice. The </w:t>
      </w:r>
      <w:proofErr w:type="spellStart"/>
      <w:r>
        <w:t>MiSight</w:t>
      </w:r>
      <w:proofErr w:type="spellEnd"/>
      <w:r>
        <w:t xml:space="preserve"> </w:t>
      </w:r>
      <w:proofErr w:type="gramStart"/>
      <w:r>
        <w:t>1 day</w:t>
      </w:r>
      <w:proofErr w:type="gramEnd"/>
      <w:r>
        <w:t xml:space="preserve"> lens (CooperVision), the first contact lens to receive United States Food and Drug Administration approval specifically for myopia control, employs a concentric ring design with alternating distance-correction and near-addition zones to create simultaneous retinal defocus. In the pivotal three-year </w:t>
      </w:r>
      <w:proofErr w:type="spellStart"/>
      <w:r>
        <w:t>randomised</w:t>
      </w:r>
      <w:proofErr w:type="spellEnd"/>
      <w:r>
        <w:t xml:space="preserve"> controlled trial, </w:t>
      </w:r>
      <w:proofErr w:type="spellStart"/>
      <w:r>
        <w:t>MiSight</w:t>
      </w:r>
      <w:proofErr w:type="spellEnd"/>
      <w:r>
        <w:t xml:space="preserve"> significantly reduced both myopia progression and axial elongation compared with single-vision daily disposable lenses, with unadjusted change in spherical equivalent refraction 0.73 D (59%) less in the test group than in the control group, and mean change in axial length 0.32 mm (52%) less in the test group than the control group (Chamberlain et al., 2019).</w:t>
      </w:r>
    </w:p>
    <w:p w14:paraId="3DBDA749" w14:textId="77777777" w:rsidR="0032421A" w:rsidRDefault="0025373C">
      <w:pPr>
        <w:spacing w:after="160" w:line="360" w:lineRule="auto"/>
        <w:ind w:firstLine="720"/>
        <w:jc w:val="both"/>
      </w:pPr>
      <w:r>
        <w:t xml:space="preserve">Other soft myopia control lens designs include the Defocus Incorporated Soft Contact (DISC) lens and various extended depth-of-focus designs, which differ in their optical zone configurations but share the common principle of imposing peripheral myopic defocus whilst preserving acceptable central visual acuity. A systematic review and technology assessment of multifocal soft contact lenses for myopia control in children, published in Ophthalmology, demonstrated that all 12 included </w:t>
      </w:r>
      <w:proofErr w:type="spellStart"/>
      <w:r>
        <w:t>randomised</w:t>
      </w:r>
      <w:proofErr w:type="spellEnd"/>
      <w:r>
        <w:t xml:space="preserve"> controlled trials showed less myopic progression in treated groups compared with controls wearing single-vision lenses, with changes in spherical equivalent ranging from 0.22 to 0.81 </w:t>
      </w:r>
      <w:proofErr w:type="spellStart"/>
      <w:r>
        <w:t>dioptres</w:t>
      </w:r>
      <w:proofErr w:type="spellEnd"/>
      <w:r>
        <w:t xml:space="preserve"> in treatment groups versus 0.50 to 1.45 </w:t>
      </w:r>
      <w:proofErr w:type="spellStart"/>
      <w:r>
        <w:t>dioptres</w:t>
      </w:r>
      <w:proofErr w:type="spellEnd"/>
      <w:r>
        <w:t xml:space="preserve"> in control groups (Cavuoto et al., 2025). The magnitude of the effect is broadly comparable to that of orthokeratology in pooled analyses, though direct head-to-head comparisons are limited.</w:t>
      </w:r>
    </w:p>
    <w:p w14:paraId="2FC768D9" w14:textId="77777777" w:rsidR="0032421A" w:rsidRDefault="0025373C">
      <w:pPr>
        <w:spacing w:after="160" w:line="360" w:lineRule="auto"/>
        <w:ind w:firstLine="720"/>
        <w:jc w:val="both"/>
      </w:pPr>
      <w:r>
        <w:t xml:space="preserve">The prescribing of contact lenses for myopia control in children raises important considerations regarding safety, consent, and patient selection. Research has consistently demonstrated that contact lens wear is safe in children as young as 8 years, with adverse event rates in </w:t>
      </w:r>
      <w:proofErr w:type="spellStart"/>
      <w:r>
        <w:t>paediatric</w:t>
      </w:r>
      <w:proofErr w:type="spellEnd"/>
      <w:r>
        <w:t xml:space="preserve"> populations not exceeding those in adults when appropriate supervision and hygiene education are provided. Global prescribing surveys document rapidly increasing clinical uptake of myopia control contact lenses across all major markets, reflecting growing awareness of the long-term ocular health consequences of unchecked myopia progression (</w:t>
      </w:r>
      <w:proofErr w:type="spellStart"/>
      <w:r>
        <w:t>Wolffsohn</w:t>
      </w:r>
      <w:proofErr w:type="spellEnd"/>
      <w:r>
        <w:t xml:space="preserve"> et al., 2020).</w:t>
      </w:r>
    </w:p>
    <w:p w14:paraId="100E11B2" w14:textId="77777777" w:rsidR="0032421A" w:rsidRDefault="0025373C">
      <w:pPr>
        <w:pStyle w:val="Heading1"/>
      </w:pPr>
      <w:r>
        <w:lastRenderedPageBreak/>
        <w:t>9. Drug-Eluting Contact Lenses</w:t>
      </w:r>
    </w:p>
    <w:p w14:paraId="06C98A5F" w14:textId="77777777" w:rsidR="0032421A" w:rsidRDefault="0025373C">
      <w:pPr>
        <w:spacing w:after="160" w:line="360" w:lineRule="auto"/>
        <w:ind w:firstLine="720"/>
        <w:jc w:val="both"/>
      </w:pPr>
      <w:r>
        <w:t>The delivery of topical ophthalmic drugs has long been constrained by the inefficiency of conventional eye drop formulations, in which the majority of the instilled drug volume is rapidly diluted and cleared by the tear drainage system, with ocular bioavailability typically of the order of 1–7% of the instilled dose. Contact lenses offer a potentially transformative platform for ophthalmic drug delivery by maintaining prolonged contact between the drug reservoir and the ocular surface, reducing drug loss through blinking and nasolacrimal drainage, and enabling sustained, controlled release profiles that more closely approximate the pharmacokinetics required for therapeutic efficacy. A lens worn in contact with the tear film can deliver drug molecules directly to the conjunctiva and cornea, whilst reducing systemic absorption through the nasal mucosa that accompanies conventional topical therapy (Wen et al., 2023).</w:t>
      </w:r>
    </w:p>
    <w:p w14:paraId="7CCE1488" w14:textId="77777777" w:rsidR="0032421A" w:rsidRDefault="0025373C">
      <w:pPr>
        <w:spacing w:after="160" w:line="360" w:lineRule="auto"/>
        <w:ind w:firstLine="720"/>
        <w:jc w:val="both"/>
      </w:pPr>
      <w:r>
        <w:t xml:space="preserve">Several approaches to achieving sustained drug release from contact lenses have been investigated. The simplest involves soaking conventional hydrogel lenses in drug solutions, but this approach affords limited loading capacity and rapid burst release that exhausts within hours of wear. More sophisticated strategies include the entrapment of drug-loaded nanoparticles (liposomes, </w:t>
      </w:r>
      <w:proofErr w:type="gramStart"/>
      <w:r>
        <w:t>poly(</w:t>
      </w:r>
      <w:proofErr w:type="gramEnd"/>
      <w:r>
        <w:t>lactic-co-glycolic acid) microspheres, cyclodextrin complexes) within the lens matrix, which prolongs release by imposing diffusion barriers or exploiting controlled degradation kinetics. Molecular imprinting—in which template drug molecules are used to create specific binding sites within the polymer network, which are subsequently released in a controlled manner—has been demonstrated to extend the release duration of drugs such as timolol maleate (for glaucoma management) and ketotifen fumarate (for allergic conjunctivitis) to clinically relevant timeframes.</w:t>
      </w:r>
    </w:p>
    <w:p w14:paraId="08F6A430" w14:textId="77777777" w:rsidR="0032421A" w:rsidRDefault="0025373C">
      <w:pPr>
        <w:spacing w:after="160" w:line="360" w:lineRule="auto"/>
        <w:ind w:firstLine="720"/>
        <w:jc w:val="both"/>
      </w:pPr>
      <w:r>
        <w:t xml:space="preserve">The clinical translation of drug-eluting contact lenses has progressed beyond experimental platforms into early-stage commercial products. Johnson &amp; Johnson received regulatory approval in Canada for </w:t>
      </w:r>
      <w:proofErr w:type="spellStart"/>
      <w:r>
        <w:t>Acuvue</w:t>
      </w:r>
      <w:proofErr w:type="spellEnd"/>
      <w:r>
        <w:t xml:space="preserve"> </w:t>
      </w:r>
      <w:proofErr w:type="spellStart"/>
      <w:r>
        <w:t>Theravision</w:t>
      </w:r>
      <w:proofErr w:type="spellEnd"/>
      <w:r>
        <w:t xml:space="preserve"> with Ketotifen—a daily disposable </w:t>
      </w:r>
      <w:proofErr w:type="spellStart"/>
      <w:r>
        <w:t>etafilcon</w:t>
      </w:r>
      <w:proofErr w:type="spellEnd"/>
      <w:r>
        <w:t xml:space="preserve"> contact lens incorporating the antihistamine ketotifen fumarate for the management of ocular allergy symptoms—representing a landmark in the </w:t>
      </w:r>
      <w:proofErr w:type="spellStart"/>
      <w:r>
        <w:t>commercialisation</w:t>
      </w:r>
      <w:proofErr w:type="spellEnd"/>
      <w:r>
        <w:t xml:space="preserve"> of drug-eluting contact lens technology (Wen et al., 2023). </w:t>
      </w:r>
      <w:proofErr w:type="spellStart"/>
      <w:r>
        <w:t>Mediprint</w:t>
      </w:r>
      <w:proofErr w:type="spellEnd"/>
      <w:r>
        <w:t xml:space="preserve"> </w:t>
      </w:r>
      <w:proofErr w:type="spellStart"/>
      <w:r>
        <w:t>Ophthalmics</w:t>
      </w:r>
      <w:proofErr w:type="spellEnd"/>
      <w:r>
        <w:t xml:space="preserve"> has additionally advanced </w:t>
      </w:r>
      <w:proofErr w:type="spellStart"/>
      <w:r>
        <w:t>bimatoprost</w:t>
      </w:r>
      <w:proofErr w:type="spellEnd"/>
      <w:r>
        <w:t xml:space="preserve">-containing lenses for glaucoma management through clinical trials, with the SIGHT studies demonstrating a mean 30% reduction in intraocular pressure with </w:t>
      </w:r>
      <w:proofErr w:type="spellStart"/>
      <w:r>
        <w:t>favourable</w:t>
      </w:r>
      <w:proofErr w:type="spellEnd"/>
      <w:r>
        <w:t xml:space="preserve"> safety profiles, </w:t>
      </w:r>
      <w:r>
        <w:lastRenderedPageBreak/>
        <w:t>illustrating the potential of the drug-eluting lens platform for one of ophthalmology's most prevalent and significant conditions.</w:t>
      </w:r>
    </w:p>
    <w:p w14:paraId="790585CC" w14:textId="77777777" w:rsidR="0032421A" w:rsidRDefault="0025373C">
      <w:pPr>
        <w:spacing w:after="160" w:line="360" w:lineRule="auto"/>
        <w:ind w:firstLine="720"/>
        <w:jc w:val="both"/>
      </w:pPr>
      <w:r>
        <w:t xml:space="preserve">Glaucoma represents a particularly compelling target for drug-eluting contact lens therapy. Given that glaucoma management often requires lifelong topical hypotensive therapy, patient non-adherence with twice-daily or more frequent eye drop regimens is a major barrier to effective intraocular pressure (IOP) control and disease </w:t>
      </w:r>
      <w:proofErr w:type="spellStart"/>
      <w:r>
        <w:t>stabilisation</w:t>
      </w:r>
      <w:proofErr w:type="spellEnd"/>
      <w:r>
        <w:t>. A drug-eluting lens that could provide continuous, sustained IOP-lowering drug delivery over the course of a day, or even multiple days, could substantially improve adherence and clinical outcomes. The convergence of drug-eluting and smart lens technologies—whereby a biosensing lens that monitors IOP in real time also delivers an IOP-lowering agent on demand—represents the next frontier of closed-loop ocular pharmacotherapy (Seo et al., 2023).</w:t>
      </w:r>
    </w:p>
    <w:p w14:paraId="63EAE46F" w14:textId="77777777" w:rsidR="0032421A" w:rsidRDefault="0025373C">
      <w:pPr>
        <w:pStyle w:val="Heading1"/>
      </w:pPr>
      <w:r>
        <w:t>10. Smart Contact Lenses: Biosensing and Digital Health Applications</w:t>
      </w:r>
    </w:p>
    <w:p w14:paraId="454A63F2" w14:textId="77777777" w:rsidR="0032421A" w:rsidRDefault="0025373C">
      <w:pPr>
        <w:pStyle w:val="Heading2"/>
      </w:pPr>
      <w:r>
        <w:t>10.1 Concept and Platform Architecture</w:t>
      </w:r>
    </w:p>
    <w:p w14:paraId="51E90AC9" w14:textId="77777777" w:rsidR="0032421A" w:rsidRDefault="0025373C">
      <w:pPr>
        <w:spacing w:after="160" w:line="360" w:lineRule="auto"/>
        <w:ind w:firstLine="720"/>
        <w:jc w:val="both"/>
      </w:pPr>
      <w:r>
        <w:t xml:space="preserve">Smart contact lenses (SCLs) represent perhaps the most exciting and challenging frontier in contemporary contact lens research—an intersection of wearable biosensor technology, microelectronics, and ocular biomaterials that has attracted intense academic and industrial investment. The concept </w:t>
      </w:r>
      <w:proofErr w:type="spellStart"/>
      <w:r>
        <w:t>centres</w:t>
      </w:r>
      <w:proofErr w:type="spellEnd"/>
      <w:r>
        <w:t xml:space="preserve"> on the integration of </w:t>
      </w:r>
      <w:proofErr w:type="spellStart"/>
      <w:r>
        <w:t>miniaturised</w:t>
      </w:r>
      <w:proofErr w:type="spellEnd"/>
      <w:r>
        <w:t xml:space="preserve"> electronic components—including biosensors, microprocessors, wireless communication circuits, and power management systems—into the familiar soft contact lens platform, creating a wearable device capable of providing continuous, non-invasive monitoring of physiological parameters and targeted therapeutic delivery (Seo et al., 2023).</w:t>
      </w:r>
    </w:p>
    <w:p w14:paraId="744FB2FC" w14:textId="77777777" w:rsidR="0032421A" w:rsidRDefault="0025373C">
      <w:pPr>
        <w:spacing w:after="160" w:line="360" w:lineRule="auto"/>
        <w:ind w:firstLine="720"/>
        <w:jc w:val="both"/>
      </w:pPr>
      <w:r>
        <w:t>The ocular surface is uniquely positioned as a sensing site: it is constantly bathed in tear fluid, which constitutes a rich biofluid containing metabolites (glucose, lactate, ascorbic acid), ions (potassium, sodium, calcium), proteins (albumin, lysozyme, lipocalin), inflammatory mediators (matrix metalloproteinases, cytokines), and pressure-sensitive mechanical signals, all of which are potentially informative biomarkers for systemic and ocular disease states. The tear film occupies a site in direct optical continuity with the external environment, facilitating wireless signal transmission without the electromagnetic shielding challenges faced by implantable devices (Elsherif et al., 2022).</w:t>
      </w:r>
    </w:p>
    <w:p w14:paraId="309251F4" w14:textId="77777777" w:rsidR="0032421A" w:rsidRDefault="0025373C">
      <w:pPr>
        <w:pStyle w:val="Heading2"/>
      </w:pPr>
      <w:r>
        <w:lastRenderedPageBreak/>
        <w:t>10.2 Tear Glucose Monitoring</w:t>
      </w:r>
    </w:p>
    <w:p w14:paraId="785EC066" w14:textId="77777777" w:rsidR="0032421A" w:rsidRDefault="0025373C">
      <w:pPr>
        <w:spacing w:after="160" w:line="360" w:lineRule="auto"/>
        <w:ind w:firstLine="720"/>
        <w:jc w:val="both"/>
      </w:pPr>
      <w:r>
        <w:t>The monitoring of tear glucose concentration as a non-invasive surrogate for blood glucose levels in diabetes management has attracted particular interest as a potential SCL application. Glucose oxidase (</w:t>
      </w:r>
      <w:proofErr w:type="spellStart"/>
      <w:r>
        <w:t>GOx</w:t>
      </w:r>
      <w:proofErr w:type="spellEnd"/>
      <w:r>
        <w:t>)-based electrochemical biosensors have been integrated into contact lens platforms to detect tear glucose through enzyme-</w:t>
      </w:r>
      <w:proofErr w:type="spellStart"/>
      <w:r>
        <w:t>catalysed</w:t>
      </w:r>
      <w:proofErr w:type="spellEnd"/>
      <w:r>
        <w:t xml:space="preserve"> oxidation reactions, with the resulting current measured by </w:t>
      </w:r>
      <w:proofErr w:type="spellStart"/>
      <w:r>
        <w:t>miniaturised</w:t>
      </w:r>
      <w:proofErr w:type="spellEnd"/>
      <w:r>
        <w:t xml:space="preserve"> electrode arrays embedded in the lens material. Keum et al. (2020) demonstrated a fully integrated smart contact lens incorporating a real-time electrochemical glucose biosensor, on-demand drug delivery system (releasing genistein for the treatment of diabetic retinopathy), wireless power management via resonant inductive coupling, and a radio frequency communication system for data transmission. In diabetic rabbit models, the device accurately measured tear glucose levels validated against conventional invasive blood glucose tests, and triggered therapeutic drug release from on-lens reservoirs—representing a compelling proof-of-concept for closed-loop ocular </w:t>
      </w:r>
      <w:proofErr w:type="spellStart"/>
      <w:r>
        <w:t>theranostics</w:t>
      </w:r>
      <w:proofErr w:type="spellEnd"/>
      <w:r>
        <w:t>.</w:t>
      </w:r>
    </w:p>
    <w:p w14:paraId="66080330" w14:textId="77777777" w:rsidR="0032421A" w:rsidRDefault="0025373C">
      <w:pPr>
        <w:spacing w:after="160" w:line="360" w:lineRule="auto"/>
        <w:ind w:firstLine="720"/>
        <w:jc w:val="both"/>
      </w:pPr>
      <w:r>
        <w:t>Significant technical challenges remain in translating tear glucose biosensors into clinical practice. The concentration of glucose in tear fluid is approximately 10–50-fold lower than in blood, demanding highly sensitive and selective detection in a complex biological matrix subject to evaporation, protein adsorption, and contamination from mucins and lipids. Furthermore, the correlation between tear glucose and blood glucose concentrations is subject to a physiological time lag and significant inter-individual variability, complicating the calibration of tear-based glucose estimates against blood glucose reference values (Elsherif et al., 2022; Seo et al., 2023).</w:t>
      </w:r>
    </w:p>
    <w:p w14:paraId="5C6F2546" w14:textId="77777777" w:rsidR="0032421A" w:rsidRDefault="0025373C">
      <w:pPr>
        <w:pStyle w:val="Heading2"/>
      </w:pPr>
      <w:r>
        <w:t>10.3 Intraocular Pressure Monitoring and Other Applications</w:t>
      </w:r>
    </w:p>
    <w:p w14:paraId="2EF5CA4B" w14:textId="77777777" w:rsidR="0032421A" w:rsidRDefault="0025373C">
      <w:pPr>
        <w:spacing w:after="160" w:line="360" w:lineRule="auto"/>
        <w:ind w:firstLine="720"/>
        <w:jc w:val="both"/>
      </w:pPr>
      <w:r>
        <w:t xml:space="preserve">The continuous monitoring of intraocular pressure (IOP) is another high-value application for SCL technology, given the central role of elevated IOP in the pathogenesis of glaucoma. Current clinical measurement of IOP using Goldmann applanation tonometry provides only a single-point estimate during an office visit, failing to capture the diurnal fluctuations in IOP—particularly nocturnal peaks—that may be clinically significant in the monitoring of glaucoma. Pressure-sensitive SCLs incorporating microfluidic channels, cantilever-type sensors, or structural </w:t>
      </w:r>
      <w:proofErr w:type="spellStart"/>
      <w:r>
        <w:t>colour</w:t>
      </w:r>
      <w:proofErr w:type="spellEnd"/>
      <w:r>
        <w:t xml:space="preserve"> changes in responsive hydrogels have been designed to transduce IOP into measurable optical or electrical signals that can be transmitted wirelessly to a reader device (Seo et al., 2023; Wen et al., 2023).</w:t>
      </w:r>
    </w:p>
    <w:p w14:paraId="265E6D40" w14:textId="77777777" w:rsidR="0032421A" w:rsidRDefault="0025373C">
      <w:pPr>
        <w:spacing w:after="160" w:line="360" w:lineRule="auto"/>
        <w:ind w:firstLine="720"/>
        <w:jc w:val="both"/>
      </w:pPr>
      <w:r>
        <w:lastRenderedPageBreak/>
        <w:t xml:space="preserve">Beyond glucose and IOP, SCL platforms are being explored for the detection of other clinically relevant tear biomarkers including matrix metalloproteinase-9 (MMP-9, an inflammatory biomarker elevated in dry eye disease), cortisol (a stress and inflammation marker), lactate, and oncological biomarkers including cancer exosomes. The </w:t>
      </w:r>
      <w:proofErr w:type="spellStart"/>
      <w:r>
        <w:t>realisation</w:t>
      </w:r>
      <w:proofErr w:type="spellEnd"/>
      <w:r>
        <w:t xml:space="preserve"> of multifunctional SCLs capable of simultaneously monitoring two or more analytes—as demonstrated by optical dual-function sensors detecting both IOP and MMP-9 using surface-enhanced Raman spectroscopy—represents a significant step towards the vision of a comprehensive, non-invasive wearable diagnostic platform (Wen et al., 2023).</w:t>
      </w:r>
    </w:p>
    <w:p w14:paraId="0F91E71A" w14:textId="77777777" w:rsidR="0032421A" w:rsidRDefault="0025373C">
      <w:pPr>
        <w:spacing w:after="160" w:line="360" w:lineRule="auto"/>
        <w:ind w:firstLine="720"/>
        <w:jc w:val="both"/>
      </w:pPr>
      <w:r>
        <w:t xml:space="preserve">Augmented reality (AR) integration is another dimension of smart lens development. By embedding </w:t>
      </w:r>
      <w:proofErr w:type="spellStart"/>
      <w:r>
        <w:t>miniaturised</w:t>
      </w:r>
      <w:proofErr w:type="spellEnd"/>
      <w:r>
        <w:t xml:space="preserve"> display elements into the lens platform, SCLs could theoretically superimpose digital information onto the wearer's visual field, creating an intimate and hands-free AR interface with applications in navigation, translation, assistive technology for visually impaired individuals, and military/industrial environments. Prototype AR-capable scleral SCLs controlled by eye movements were demonstrated by commercial ventures as recently as 2022, though the challenges of </w:t>
      </w:r>
      <w:proofErr w:type="spellStart"/>
      <w:r>
        <w:t>miniaturisation</w:t>
      </w:r>
      <w:proofErr w:type="spellEnd"/>
      <w:r>
        <w:t>, power delivery, heat dissipation, and biocompatibility remain formidable barriers to commercial viability (Seo et al., 2023).</w:t>
      </w:r>
    </w:p>
    <w:p w14:paraId="6B5B826C" w14:textId="77777777" w:rsidR="0032421A" w:rsidRDefault="0025373C">
      <w:pPr>
        <w:spacing w:after="160" w:line="360" w:lineRule="auto"/>
        <w:ind w:firstLine="720"/>
        <w:jc w:val="both"/>
      </w:pPr>
      <w:r>
        <w:t xml:space="preserve">The power supply challenge is among the most critical engineering constraints facing SCL development. Early prototype SCLs were typically tethered to external reader devices or relied on near-field communication for wireless power transfer. More recent designs have explored solar cell integration—using organic photovoltaic cells capable of operating under indoor lighting conditions—as well as triboelectric nanogenerators that harvest energy from the mechanical movements of blinking. These approaches aim to </w:t>
      </w:r>
      <w:proofErr w:type="spellStart"/>
      <w:r>
        <w:t>realise</w:t>
      </w:r>
      <w:proofErr w:type="spellEnd"/>
      <w:r>
        <w:t xml:space="preserve"> truly autonomous, self-powered SCL operation, though achieving sufficient power density in a biocompatible, transparent, and </w:t>
      </w:r>
      <w:proofErr w:type="spellStart"/>
      <w:r>
        <w:t>miniaturised</w:t>
      </w:r>
      <w:proofErr w:type="spellEnd"/>
      <w:r>
        <w:t xml:space="preserve"> format remains an ongoing research challenge (Seo et al., 2023).</w:t>
      </w:r>
    </w:p>
    <w:p w14:paraId="30A748FE" w14:textId="77777777" w:rsidR="0032421A" w:rsidRDefault="0025373C">
      <w:pPr>
        <w:pStyle w:val="Heading1"/>
      </w:pPr>
      <w:r>
        <w:t>11. Nanotechnology in Contact Lens Design</w:t>
      </w:r>
    </w:p>
    <w:p w14:paraId="1CA81783" w14:textId="77777777" w:rsidR="0032421A" w:rsidRDefault="0025373C">
      <w:pPr>
        <w:spacing w:after="160" w:line="360" w:lineRule="auto"/>
        <w:ind w:firstLine="720"/>
        <w:jc w:val="both"/>
      </w:pPr>
      <w:r>
        <w:t xml:space="preserve">The integration of nanotechnology into contact lens design has generated a diverse range of innovations with potential applications across multiple performance domains, including antimicrobial functionality, enhanced drug loading and release, improved optical properties, and the fabrication of functional nanostructured surfaces. Nanomaterials—defined as materials with at least one dimension in the 1–100 nm range—offer unique physicochemical properties arising from their </w:t>
      </w:r>
      <w:r>
        <w:lastRenderedPageBreak/>
        <w:t>high surface-area-to-volume ratio that can be exploited to impart novel or enhanced functionalities to lens matrices.</w:t>
      </w:r>
    </w:p>
    <w:p w14:paraId="779AAAE4" w14:textId="77777777" w:rsidR="0032421A" w:rsidRDefault="0025373C">
      <w:pPr>
        <w:spacing w:after="160" w:line="360" w:lineRule="auto"/>
        <w:ind w:firstLine="720"/>
        <w:jc w:val="both"/>
      </w:pPr>
      <w:r>
        <w:t>Antimicrobial nanoparticles have attracted particular interest given that microbial keratitis—principally caused by Acanthamoeba species, Pseudomonas aeruginosa, and Staphylococcal organisms—is the most serious complication of contact lens wear, capable of causing permanent visual impairment or even requiring corneal transplantation in severe cases (Stapleton et al., 2021). Silver nanoparticles (</w:t>
      </w:r>
      <w:proofErr w:type="spellStart"/>
      <w:r>
        <w:t>AgNPs</w:t>
      </w:r>
      <w:proofErr w:type="spellEnd"/>
      <w:r>
        <w:t>) possess broad-spectrum antimicrobial activity through the generation of reactive oxygen species and disruption of microbial cell membranes, and have been incorporated into contact lens matrices to create surfaces that inhibit biofilm formation. However, concerns regarding silver ion release, potential cytotoxicity to corneal epithelial cells, and regulatory challenges have tempered enthusiasm for their clinical adoption. Alternative antimicrobial nanomaterials under investigation include zinc oxide (</w:t>
      </w:r>
      <w:proofErr w:type="spellStart"/>
      <w:r>
        <w:t>ZnO</w:t>
      </w:r>
      <w:proofErr w:type="spellEnd"/>
      <w:r>
        <w:t>) nanoparticles, quaternary ammonium-</w:t>
      </w:r>
      <w:proofErr w:type="spellStart"/>
      <w:r>
        <w:t>functionalised</w:t>
      </w:r>
      <w:proofErr w:type="spellEnd"/>
      <w:r>
        <w:t xml:space="preserve"> nanoparticles, and carbon-based nanostructures (graphene oxide, carbon nanotubes).</w:t>
      </w:r>
    </w:p>
    <w:p w14:paraId="039AF6C6" w14:textId="77777777" w:rsidR="0032421A" w:rsidRDefault="0025373C">
      <w:pPr>
        <w:spacing w:after="160" w:line="360" w:lineRule="auto"/>
        <w:ind w:firstLine="720"/>
        <w:jc w:val="both"/>
      </w:pPr>
      <w:r>
        <w:t xml:space="preserve">Nanoparticle-mediated drug delivery systems represent another active nanotechnology application. Polymeric nanoparticles fabricated from PLGA, chitosan, or poly(epsilon-caprolactone) have been encapsulated within contact lens matrices to serve as drug reservoirs, providing controlled, sustained release profiles that prolong intraocular drug bioavailability compared with bulk-loaded lenses. Cyclodextrin inclusion complexes—host-guest supramolecular assemblies that can </w:t>
      </w:r>
      <w:proofErr w:type="spellStart"/>
      <w:r>
        <w:t>solubilise</w:t>
      </w:r>
      <w:proofErr w:type="spellEnd"/>
      <w:r>
        <w:t xml:space="preserve"> and protect hydrophobic drug molecules—have been </w:t>
      </w:r>
      <w:proofErr w:type="spellStart"/>
      <w:r>
        <w:t>polymerised</w:t>
      </w:r>
      <w:proofErr w:type="spellEnd"/>
      <w:r>
        <w:t xml:space="preserve"> directly into lens networks or incorporated as nanoparticulate dispersions, demonstrating marked improvements in loading efficiency and release duration for drugs including dexamethasone, latanoprost, and brimonidine (Shaker et al., 2024).</w:t>
      </w:r>
    </w:p>
    <w:p w14:paraId="6AF9CCD7" w14:textId="77777777" w:rsidR="0032421A" w:rsidRDefault="0025373C">
      <w:pPr>
        <w:spacing w:after="160" w:line="360" w:lineRule="auto"/>
        <w:ind w:firstLine="720"/>
        <w:jc w:val="both"/>
      </w:pPr>
      <w:r>
        <w:t xml:space="preserve">The photonic and optical properties of nanostructured materials have also been exploited in contact lens biosensor design. Photonic crystal hydrogels, in which periodically arranged colloidal nanoparticles or nanostructured pores create a photonic bandgap material, undergo reversible shifts in their diffraction wavelength—and hence structural </w:t>
      </w:r>
      <w:proofErr w:type="spellStart"/>
      <w:r>
        <w:t>colour</w:t>
      </w:r>
      <w:proofErr w:type="spellEnd"/>
      <w:r>
        <w:t xml:space="preserve">—in response to changes in analyte concentration, swelling, or refractive index. These label-free colorimetric sensors can be </w:t>
      </w:r>
      <w:proofErr w:type="spellStart"/>
      <w:r>
        <w:t>visualised</w:t>
      </w:r>
      <w:proofErr w:type="spellEnd"/>
      <w:r>
        <w:t xml:space="preserve"> by the naked eye or with a smartphone camera without requiring integrated electronics, offering a potentially low-cost, simple approach to tear biomarker monitoring. Photonic crystal structures </w:t>
      </w:r>
      <w:r>
        <w:lastRenderedPageBreak/>
        <w:t>responsive to tear glucose, IOP changes, and other analytes have been demonstrated in proof-of-concept laboratory studies.</w:t>
      </w:r>
    </w:p>
    <w:p w14:paraId="0C3435D1" w14:textId="77777777" w:rsidR="0032421A" w:rsidRDefault="0025373C">
      <w:pPr>
        <w:pStyle w:val="Heading1"/>
      </w:pPr>
      <w:r>
        <w:t>12. Therapeutic and Scleral Contact Lenses</w:t>
      </w:r>
    </w:p>
    <w:p w14:paraId="4A014102" w14:textId="77777777" w:rsidR="0032421A" w:rsidRDefault="0025373C">
      <w:pPr>
        <w:spacing w:after="160" w:line="360" w:lineRule="auto"/>
        <w:ind w:firstLine="720"/>
        <w:jc w:val="both"/>
      </w:pPr>
      <w:r>
        <w:t xml:space="preserve">Therapeutic (or bandage) contact lenses serve purposes beyond refractive correction, principally functioning to protect an injured or diseased corneal surface, promote epithelial healing, reduce pain by shielding exposed corneal nerve endings from the mechanical stimulus of blinking, and maintain a moist ocular surface environment. High-water-content hydrogel and </w:t>
      </w:r>
      <w:proofErr w:type="spellStart"/>
      <w:r>
        <w:t>SiHy</w:t>
      </w:r>
      <w:proofErr w:type="spellEnd"/>
      <w:r>
        <w:t xml:space="preserve"> bandage lenses are routinely used following corneal surgery (including photorefractive keratectomy and superficial keratectomy), in the management of recurrent corneal erosion, bullous keratopathy, filamentary keratitis, and Stevens-Johnson syndrome, and in patients with neurotropic keratitis (Chaudhary et al., 2023).</w:t>
      </w:r>
    </w:p>
    <w:p w14:paraId="2D27B867" w14:textId="77777777" w:rsidR="0032421A" w:rsidRDefault="0025373C">
      <w:pPr>
        <w:spacing w:after="160" w:line="360" w:lineRule="auto"/>
        <w:ind w:firstLine="720"/>
        <w:jc w:val="both"/>
      </w:pPr>
      <w:r>
        <w:t>Scleral contact lenses—large-diameter RGP devices that vault completely over the cornea and limbus, resting entirely on the conjunctiva—have undergone a remarkable clinical renaissance over the past two decades, driven by advances in computer-controlled RGP lathe manufacturing and diagnostic imaging technologies that enable precise fitting to irregular anterior segments. By maintaining a fluid reservoir between the lens back surface and the corneal apex, scleral lenses provide continuous aqueous lubrication of the corneal surface and substantially improve visual acuity in patients with irregular astigmatism from keratoconus, corneal graft failure, or ocular surface disease. The use of scleral lenses in the management of severe aqueous-deficient dry eye, graft-versus-host disease affecting the ocular surface, and Stevens-Johnson syndrome represents some of the most impactful therapeutic applications of contemporary contact lens technology (Chaudhary et al., 2023).</w:t>
      </w:r>
    </w:p>
    <w:p w14:paraId="67DA169D" w14:textId="77777777" w:rsidR="0032421A" w:rsidRDefault="0025373C">
      <w:pPr>
        <w:spacing w:after="160" w:line="360" w:lineRule="auto"/>
        <w:ind w:firstLine="720"/>
        <w:jc w:val="both"/>
      </w:pPr>
      <w:r>
        <w:t xml:space="preserve">The management of dry eye disease—a multifactorial ocular surface disorder affecting an estimated 5–50% of the global population depending on the diagnostic criteria employed—increasingly incorporates contact lens-based interventions as part of a stepped therapeutic algorithm. Silicone hydrogel and HEMA-based therapeutic lenses with high oxygen transmissibility are preferred to </w:t>
      </w:r>
      <w:proofErr w:type="spellStart"/>
      <w:r>
        <w:t>minimise</w:t>
      </w:r>
      <w:proofErr w:type="spellEnd"/>
      <w:r>
        <w:t xml:space="preserve"> hypoxic stress at the corneal surface in the context of already compromised surface physiology. The integration of drug-eluting capabilities into therapeutic lenses—for example, delivering anti-inflammatory agents or cyclosporine A in patients with immune-mediated dry eye—represents an area of growing translational research interest.</w:t>
      </w:r>
    </w:p>
    <w:p w14:paraId="34A28504" w14:textId="77777777" w:rsidR="0032421A" w:rsidRDefault="0025373C">
      <w:pPr>
        <w:pStyle w:val="Heading1"/>
      </w:pPr>
      <w:r>
        <w:lastRenderedPageBreak/>
        <w:t>13. Future Directions and Emerging Technologies</w:t>
      </w:r>
    </w:p>
    <w:p w14:paraId="59D5A738" w14:textId="77777777" w:rsidR="0032421A" w:rsidRDefault="0025373C">
      <w:pPr>
        <w:spacing w:after="160" w:line="360" w:lineRule="auto"/>
        <w:ind w:firstLine="720"/>
        <w:jc w:val="both"/>
      </w:pPr>
      <w:r>
        <w:t>The trajectory of contact lens materials science and design suggests several convergent technological trends that will define the next generation of wearable ophthalmic devices. The progressive integration of sensing, drug delivery, and vision correction functions within a single wearable platform—the multifunctional smart contact lens—is perhaps the most transformative vision in the field, offering the prospect of devices that continuously monitor ocular and systemic health, respond therapeutically to detected pathological states, and maintain optical correction simultaneously (Seo et al., 2023).</w:t>
      </w:r>
    </w:p>
    <w:p w14:paraId="747CF518" w14:textId="77777777" w:rsidR="0032421A" w:rsidRDefault="0025373C">
      <w:pPr>
        <w:spacing w:after="160" w:line="360" w:lineRule="auto"/>
        <w:ind w:firstLine="720"/>
        <w:jc w:val="both"/>
      </w:pPr>
      <w:r>
        <w:t xml:space="preserve">Three-dimensional (3D) printing technologies—including stereolithography, digital light processing (DLP), and inkjet bioprinting—are beginning to be explored as manufacturing platforms for contact lenses, offering the potential for highly </w:t>
      </w:r>
      <w:proofErr w:type="spellStart"/>
      <w:r>
        <w:t>personalised</w:t>
      </w:r>
      <w:proofErr w:type="spellEnd"/>
      <w:r>
        <w:t xml:space="preserve"> lens geometries precisely tailored to the individual patient's anterior segment topography, prescription, and optical requirements. Conventional cast </w:t>
      </w:r>
      <w:proofErr w:type="spellStart"/>
      <w:r>
        <w:t>moulding</w:t>
      </w:r>
      <w:proofErr w:type="spellEnd"/>
      <w:r>
        <w:t xml:space="preserve"> and lathe cutting constrain the geometric complexity and </w:t>
      </w:r>
      <w:proofErr w:type="spellStart"/>
      <w:r>
        <w:t>customisation</w:t>
      </w:r>
      <w:proofErr w:type="spellEnd"/>
      <w:r>
        <w:t xml:space="preserve"> achievable in mass-manufactured lenses; 3D printing could in principle enable the fabrication of lenses with graded material properties, embedded microstructures, and novel optical designs that are currently impractical to produce at scale (Shaker et al., 2024).</w:t>
      </w:r>
    </w:p>
    <w:p w14:paraId="78D38D2E" w14:textId="77777777" w:rsidR="0032421A" w:rsidRDefault="0025373C">
      <w:pPr>
        <w:spacing w:after="160" w:line="360" w:lineRule="auto"/>
        <w:ind w:firstLine="720"/>
        <w:jc w:val="both"/>
      </w:pPr>
      <w:r>
        <w:t>Artificial intelligence (AI) and machine learning are emerging as powerful tools in both the design and clinical management of contact lenses. AI-driven analysis of corneal topography and wavefront aberration data can identify optimal lens parameter prescriptions with greater precision than empirical fitting, reducing chair time and improving first-fit success rates. In the context of SCLs, machine learning algorithms applied to continuous streams of biosensor data—glucose concentrations, IOP waveforms, tear biomarker patterns—offer the potential for predictive health monitoring that identifies disease trajectories before clinical manifestation.</w:t>
      </w:r>
    </w:p>
    <w:p w14:paraId="66DC1A77" w14:textId="77777777" w:rsidR="0032421A" w:rsidRDefault="0025373C">
      <w:pPr>
        <w:spacing w:after="160" w:line="360" w:lineRule="auto"/>
        <w:ind w:firstLine="720"/>
        <w:jc w:val="both"/>
      </w:pPr>
      <w:r>
        <w:t xml:space="preserve">Environmental sustainability is an increasingly important consideration in the design and prescribing of contact lenses. Daily disposable lenses, whilst offering clinical advantages, generate substantial volumes of single-use polymer waste. The development of biodegradable lens materials—based on naturally derived polymers such as chitosan, collagen, silk fibroin, and cellulose derivatives—is an active area of research aimed at addressing this environmental concern whilst maintaining the optical and biological performance required for clinical use (Shaker et al., 2024). Novel polysaccharide-based lens materials incorporating hyaluronic acid and dextran </w:t>
      </w:r>
      <w:r>
        <w:lastRenderedPageBreak/>
        <w:t>components have demonstrated promising in vitro biocompatibility and optical characteristics, though clinical translation will require demonstration of adequate oxygen permeability and dimensional stability under wearing conditions.</w:t>
      </w:r>
    </w:p>
    <w:p w14:paraId="24F031B5" w14:textId="77777777" w:rsidR="0032421A" w:rsidRDefault="0025373C">
      <w:pPr>
        <w:pStyle w:val="Heading1"/>
      </w:pPr>
      <w:r>
        <w:t>14. Conclusions</w:t>
      </w:r>
    </w:p>
    <w:p w14:paraId="2DAFA481" w14:textId="77777777" w:rsidR="0032421A" w:rsidRDefault="0025373C">
      <w:pPr>
        <w:spacing w:after="160" w:line="360" w:lineRule="auto"/>
        <w:ind w:firstLine="720"/>
        <w:jc w:val="both"/>
      </w:pPr>
      <w:r>
        <w:t>The field of contact lens design and materials has progressed with remarkable pace over the past six decades, transitioning from simple PMMA discs to sophisticated multiphasic polymers, bio-inspired surface architectures, and electronically integrated diagnostic platforms. The development of silicone hydrogel materials remains the foundational advance of the modern era, resolving the chronic hypoxia that plagued earlier lens generations and enabling safe extended wear in the majority of patients. Yet the clinical imperatives of comfort, safety, and therapeutic functionality have continued to drive innovation well beyond the resolution of the oxygen supply problem.</w:t>
      </w:r>
    </w:p>
    <w:p w14:paraId="4646A1BC" w14:textId="77777777" w:rsidR="0032421A" w:rsidRDefault="0025373C">
      <w:pPr>
        <w:spacing w:after="160" w:line="360" w:lineRule="auto"/>
        <w:ind w:firstLine="720"/>
        <w:jc w:val="both"/>
      </w:pPr>
      <w:r>
        <w:t xml:space="preserve">Surface modification technologies have substantially improved the wettability and lubricating properties of </w:t>
      </w:r>
      <w:proofErr w:type="spellStart"/>
      <w:r>
        <w:t>SiHy</w:t>
      </w:r>
      <w:proofErr w:type="spellEnd"/>
      <w:r>
        <w:t xml:space="preserve"> surfaces, approaching—though not fully replicating—the biological milieu of the pre-corneal tear film. The management of contact lens-associated dry eye and discomfort remains an active clinical challenge, requiring </w:t>
      </w:r>
      <w:proofErr w:type="spellStart"/>
      <w:r>
        <w:t>individualised</w:t>
      </w:r>
      <w:proofErr w:type="spellEnd"/>
      <w:r>
        <w:t xml:space="preserve"> strategies that integrate material selection, wearing schedule </w:t>
      </w:r>
      <w:proofErr w:type="spellStart"/>
      <w:r>
        <w:t>optimisation</w:t>
      </w:r>
      <w:proofErr w:type="spellEnd"/>
      <w:r>
        <w:t>, care solution compatibility, and patient education. The daily disposable modality has transformed clinical practice by addressing deposit-related and solution-related contributors to lens discomfort.</w:t>
      </w:r>
    </w:p>
    <w:p w14:paraId="1EB77DF8" w14:textId="77777777" w:rsidR="0032421A" w:rsidRDefault="0025373C">
      <w:pPr>
        <w:spacing w:after="160" w:line="360" w:lineRule="auto"/>
        <w:ind w:firstLine="720"/>
        <w:jc w:val="both"/>
      </w:pPr>
      <w:r>
        <w:t xml:space="preserve">In the domain of lens design, orthokeratology and soft myopia control lenses have established evidence-based clinical roles in slowing axial elongation in myopic children, with </w:t>
      </w:r>
      <w:proofErr w:type="spellStart"/>
      <w:r>
        <w:t>randomised</w:t>
      </w:r>
      <w:proofErr w:type="spellEnd"/>
      <w:r>
        <w:t xml:space="preserve"> trial data supporting meaningful reductions in progression rates. As the global myopia epidemic continues to escalate, the widespread adoption of these modalities represents a genuine public health opportunity. Drug-eluting contact lenses have achieved early clinical translation, with approved products for allergic and potentially glaucomatous indications demonstrating the feasibility of the platform, whilst the more ambitious vision of fully closed-loop smart lens devices combining real-time biosensing with on-demand therapeutic delivery remains in the translational pipeline.</w:t>
      </w:r>
    </w:p>
    <w:p w14:paraId="00685050" w14:textId="77777777" w:rsidR="0032421A" w:rsidRDefault="0025373C">
      <w:pPr>
        <w:spacing w:after="160" w:line="360" w:lineRule="auto"/>
        <w:ind w:firstLine="720"/>
        <w:jc w:val="both"/>
      </w:pPr>
      <w:r>
        <w:t xml:space="preserve">Future progress in contact lens technology will be </w:t>
      </w:r>
      <w:proofErr w:type="spellStart"/>
      <w:r>
        <w:t>catalysed</w:t>
      </w:r>
      <w:proofErr w:type="spellEnd"/>
      <w:r>
        <w:t xml:space="preserve"> by interdisciplinary collaboration spanning polymer chemistry, biomedical engineering, microelectronics, ocular </w:t>
      </w:r>
      <w:r>
        <w:lastRenderedPageBreak/>
        <w:t>physiology, and clinical optometry/ophthalmology. The convergence of 3D printing, artificial intelligence, nanotechnology, and sustainable materials science will shape the next generation of devices. The central clinical imperative—to provide the clearest possible vision with the greatest possible comfort in the healthiest possible ocular environment—will continue to demand rigorous scientific inquiry and translational creativity from the global research community.</w:t>
      </w:r>
    </w:p>
    <w:p w14:paraId="3CDDCFE6" w14:textId="77777777" w:rsidR="0032421A" w:rsidRDefault="0025373C">
      <w:pPr>
        <w:pStyle w:val="Heading1"/>
      </w:pPr>
      <w:r>
        <w:t>15. Limitations</w:t>
      </w:r>
    </w:p>
    <w:p w14:paraId="247D854C" w14:textId="77777777" w:rsidR="0032421A" w:rsidRDefault="0025373C">
      <w:pPr>
        <w:spacing w:after="160" w:line="360" w:lineRule="auto"/>
        <w:ind w:firstLine="720"/>
        <w:jc w:val="both"/>
      </w:pPr>
      <w:r>
        <w:t>This review carries several limitations that should be acknowledged. As a narrative rather than a systematic review, the literature selection process was guided by expert judgement in identifying representative and high-quality sources, but did not employ the exhaustive and reproducible search strategies of systematic methodology. This introduces the possibility of selection bias, whereby certain findings, study populations, or geographic regions may be over- or under-represented relative to the totality of published evidence. The diversity of outcome measures, study populations, lens designs, and follow-up durations across the trials and experimental studies reviewed precludes definitive quantitative conclusions; where numerical findings are cited, they should be understood as illustrative of the evidence base rather than as pooled estimates.</w:t>
      </w:r>
    </w:p>
    <w:p w14:paraId="7E6F7532" w14:textId="12C66C2C" w:rsidR="0032421A" w:rsidRDefault="0025373C">
      <w:pPr>
        <w:spacing w:after="160" w:line="360" w:lineRule="auto"/>
        <w:ind w:firstLine="720"/>
        <w:jc w:val="both"/>
      </w:pPr>
      <w:r>
        <w:t xml:space="preserve">The field of smart contact lens technology in particular is </w:t>
      </w:r>
      <w:proofErr w:type="spellStart"/>
      <w:r>
        <w:t>characterised</w:t>
      </w:r>
      <w:proofErr w:type="spellEnd"/>
      <w:r>
        <w:t xml:space="preserve"> by a preponderance of proof-of-concept studies conducted under in vitro or animal model conditions, with limited robust human clinical trial data available at the time of writing. Extrapolation from these early-stage findings to clinical utility in human patients should be made with appropriate caution. Furthermore, this review does not systematically address regulatory, </w:t>
      </w:r>
      <w:proofErr w:type="spellStart"/>
      <w:r>
        <w:t>commercialisation</w:t>
      </w:r>
      <w:proofErr w:type="spellEnd"/>
      <w:r>
        <w:t>, or manufacturing scale-up challenges, which will constitute major determinants of whether many of the emerging technologies reviewed ultimately reach clinical adoption. Finally, the rapidly evolving nature of the field means that some findings reported herein may be superseded by subsequent research.</w:t>
      </w:r>
    </w:p>
    <w:p w14:paraId="6130A042" w14:textId="218100BC" w:rsidR="00970E70" w:rsidRPr="00CE7A48" w:rsidRDefault="00970E70">
      <w:pPr>
        <w:spacing w:after="160" w:line="360" w:lineRule="auto"/>
        <w:ind w:firstLine="720"/>
        <w:jc w:val="both"/>
        <w:rPr>
          <w:b/>
        </w:rPr>
      </w:pPr>
    </w:p>
    <w:p w14:paraId="3B08504B" w14:textId="77777777" w:rsidR="00970E70" w:rsidRPr="00CE7A48" w:rsidRDefault="00970E70" w:rsidP="00970E70">
      <w:pPr>
        <w:rPr>
          <w:rFonts w:eastAsia="Calibri"/>
          <w:b/>
          <w:kern w:val="2"/>
          <w:sz w:val="22"/>
          <w:szCs w:val="22"/>
          <w:highlight w:val="yellow"/>
        </w:rPr>
      </w:pPr>
      <w:bookmarkStart w:id="0" w:name="_Hlk198031404"/>
      <w:bookmarkStart w:id="1" w:name="_Hlk219125673"/>
      <w:r w:rsidRPr="00CE7A48">
        <w:rPr>
          <w:rFonts w:eastAsia="Calibri"/>
          <w:b/>
          <w:kern w:val="2"/>
          <w:sz w:val="22"/>
          <w:szCs w:val="22"/>
          <w:highlight w:val="yellow"/>
        </w:rPr>
        <w:t>Disclaimer (Artificial intelligence)</w:t>
      </w:r>
    </w:p>
    <w:p w14:paraId="48FD2CEE" w14:textId="77777777" w:rsidR="00970E70" w:rsidRPr="00970E70" w:rsidRDefault="00970E70" w:rsidP="00970E70">
      <w:pPr>
        <w:rPr>
          <w:rFonts w:eastAsia="Calibri"/>
          <w:kern w:val="2"/>
          <w:sz w:val="22"/>
          <w:szCs w:val="22"/>
          <w:highlight w:val="yellow"/>
        </w:rPr>
      </w:pPr>
    </w:p>
    <w:p w14:paraId="33B17E94" w14:textId="77777777" w:rsidR="00970E70" w:rsidRPr="00970E70" w:rsidRDefault="00970E70" w:rsidP="00970E70">
      <w:pPr>
        <w:rPr>
          <w:rFonts w:eastAsia="Calibri"/>
          <w:kern w:val="2"/>
          <w:sz w:val="22"/>
          <w:szCs w:val="22"/>
          <w:highlight w:val="yellow"/>
        </w:rPr>
      </w:pPr>
      <w:r w:rsidRPr="00970E70">
        <w:rPr>
          <w:rFonts w:eastAsia="Calibri"/>
          <w:kern w:val="2"/>
          <w:sz w:val="22"/>
          <w:szCs w:val="22"/>
          <w:highlight w:val="yellow"/>
        </w:rPr>
        <w:t>Author(s) hereby declare that NO generative AI technologies such as Large Language Models (</w:t>
      </w:r>
      <w:proofErr w:type="spellStart"/>
      <w:r w:rsidRPr="00970E70">
        <w:rPr>
          <w:rFonts w:eastAsia="Calibri"/>
          <w:kern w:val="2"/>
          <w:sz w:val="22"/>
          <w:szCs w:val="22"/>
          <w:highlight w:val="yellow"/>
        </w:rPr>
        <w:t>ChatGPT</w:t>
      </w:r>
      <w:proofErr w:type="spellEnd"/>
      <w:r w:rsidRPr="00970E70">
        <w:rPr>
          <w:rFonts w:eastAsia="Calibri"/>
          <w:kern w:val="2"/>
          <w:sz w:val="22"/>
          <w:szCs w:val="22"/>
          <w:highlight w:val="yellow"/>
        </w:rPr>
        <w:t xml:space="preserve">, COPILOT, etc.) and text-to-image generators have been used during the writing or editing of this manuscript. </w:t>
      </w:r>
    </w:p>
    <w:bookmarkEnd w:id="0"/>
    <w:p w14:paraId="3B51BE9F" w14:textId="77777777" w:rsidR="00970E70" w:rsidRPr="00970E70" w:rsidRDefault="00970E70" w:rsidP="00970E70">
      <w:pPr>
        <w:spacing w:after="200" w:line="276" w:lineRule="auto"/>
        <w:rPr>
          <w:rFonts w:asciiTheme="minorHAnsi" w:eastAsiaTheme="minorHAnsi" w:hAnsiTheme="minorHAnsi" w:cstheme="minorBidi"/>
          <w:sz w:val="28"/>
          <w:szCs w:val="22"/>
        </w:rPr>
      </w:pPr>
    </w:p>
    <w:bookmarkEnd w:id="1"/>
    <w:p w14:paraId="6D05F054" w14:textId="77777777" w:rsidR="00970E70" w:rsidRDefault="00970E70">
      <w:pPr>
        <w:spacing w:after="160" w:line="360" w:lineRule="auto"/>
        <w:ind w:firstLine="720"/>
        <w:jc w:val="both"/>
      </w:pPr>
    </w:p>
    <w:p w14:paraId="14EFEF09" w14:textId="77777777" w:rsidR="0032421A" w:rsidRDefault="0032421A"/>
    <w:p w14:paraId="53B1E716" w14:textId="77777777" w:rsidR="0032421A" w:rsidRDefault="0025373C">
      <w:pPr>
        <w:pStyle w:val="Heading1"/>
      </w:pPr>
      <w:r>
        <w:t>References</w:t>
      </w:r>
    </w:p>
    <w:p w14:paraId="6AFB2762" w14:textId="77777777" w:rsidR="0032421A" w:rsidRDefault="0025373C" w:rsidP="00CE7A48">
      <w:pPr>
        <w:pStyle w:val="ListParagraph"/>
        <w:numPr>
          <w:ilvl w:val="0"/>
          <w:numId w:val="3"/>
        </w:numPr>
        <w:spacing w:after="120" w:line="300" w:lineRule="auto"/>
        <w:jc w:val="both"/>
      </w:pPr>
      <w:r w:rsidRPr="00CE7A48">
        <w:rPr>
          <w:sz w:val="22"/>
          <w:szCs w:val="22"/>
        </w:rPr>
        <w:t xml:space="preserve">Cavuoto, K. M., Trivedi, R. H., </w:t>
      </w:r>
      <w:proofErr w:type="spellStart"/>
      <w:r w:rsidRPr="00CE7A48">
        <w:rPr>
          <w:sz w:val="22"/>
          <w:szCs w:val="22"/>
        </w:rPr>
        <w:t>Prakalapakorn</w:t>
      </w:r>
      <w:proofErr w:type="spellEnd"/>
      <w:r w:rsidRPr="00CE7A48">
        <w:rPr>
          <w:sz w:val="22"/>
          <w:szCs w:val="22"/>
        </w:rPr>
        <w:t xml:space="preserve">, S. G., Oatts, J. T., Nallasamy, S., Morrison, D. G., </w:t>
      </w:r>
      <w:proofErr w:type="spellStart"/>
      <w:r w:rsidRPr="00CE7A48">
        <w:rPr>
          <w:sz w:val="22"/>
          <w:szCs w:val="22"/>
        </w:rPr>
        <w:t>Pineles</w:t>
      </w:r>
      <w:proofErr w:type="spellEnd"/>
      <w:r w:rsidRPr="00CE7A48">
        <w:rPr>
          <w:sz w:val="22"/>
          <w:szCs w:val="22"/>
        </w:rPr>
        <w:t xml:space="preserve">, S. L., &amp; Chang, M. Y. (2025). Multifocal soft contact lenses for the treatment of myopia progression in children: A report by the American Academy of Ophthalmology. Ophthalmology, 132(4), 495–503. </w:t>
      </w:r>
      <w:hyperlink r:id="rId7" w:history="1">
        <w:r w:rsidRPr="00CE7A48">
          <w:rPr>
            <w:rStyle w:val="Hyperlink"/>
            <w:sz w:val="22"/>
            <w:szCs w:val="22"/>
          </w:rPr>
          <w:t>https://doi.org/10.1016/j.ophtha.2024.09.031</w:t>
        </w:r>
      </w:hyperlink>
      <w:r w:rsidRPr="00CE7A48">
        <w:rPr>
          <w:sz w:val="22"/>
          <w:szCs w:val="22"/>
        </w:rPr>
        <w:t xml:space="preserve"> </w:t>
      </w:r>
    </w:p>
    <w:p w14:paraId="4022C620" w14:textId="77777777" w:rsidR="0032421A" w:rsidRDefault="0025373C" w:rsidP="00CE7A48">
      <w:pPr>
        <w:pStyle w:val="ListParagraph"/>
        <w:numPr>
          <w:ilvl w:val="0"/>
          <w:numId w:val="3"/>
        </w:numPr>
        <w:spacing w:after="120" w:line="300" w:lineRule="auto"/>
        <w:jc w:val="both"/>
      </w:pPr>
      <w:r w:rsidRPr="00CE7A48">
        <w:rPr>
          <w:sz w:val="22"/>
          <w:szCs w:val="22"/>
        </w:rPr>
        <w:t xml:space="preserve">Chamberlain, P., Peixoto-de-Matos, S. C., Logan, N. S., Ngo, C., Jones, D., &amp; Young, G. (2019). A 3-year randomized clinical trial of </w:t>
      </w:r>
      <w:proofErr w:type="spellStart"/>
      <w:r w:rsidRPr="00CE7A48">
        <w:rPr>
          <w:sz w:val="22"/>
          <w:szCs w:val="22"/>
        </w:rPr>
        <w:t>MiSight</w:t>
      </w:r>
      <w:proofErr w:type="spellEnd"/>
      <w:r w:rsidRPr="00CE7A48">
        <w:rPr>
          <w:sz w:val="22"/>
          <w:szCs w:val="22"/>
        </w:rPr>
        <w:t xml:space="preserve"> lenses for myopia control. Optometry and Vision Science, 96(8), 556–567. </w:t>
      </w:r>
      <w:hyperlink r:id="rId8" w:history="1">
        <w:r w:rsidRPr="00CE7A48">
          <w:rPr>
            <w:rStyle w:val="Hyperlink"/>
            <w:sz w:val="22"/>
            <w:szCs w:val="22"/>
          </w:rPr>
          <w:t>https://doi.org/10.1097/OPX.0000000000001410</w:t>
        </w:r>
      </w:hyperlink>
      <w:r w:rsidRPr="00CE7A48">
        <w:rPr>
          <w:sz w:val="22"/>
          <w:szCs w:val="22"/>
        </w:rPr>
        <w:t xml:space="preserve"> </w:t>
      </w:r>
    </w:p>
    <w:p w14:paraId="11178648" w14:textId="77777777" w:rsidR="0032421A" w:rsidRPr="00CE7A48" w:rsidRDefault="0025373C" w:rsidP="00CE7A48">
      <w:pPr>
        <w:pStyle w:val="ListParagraph"/>
        <w:numPr>
          <w:ilvl w:val="0"/>
          <w:numId w:val="3"/>
        </w:numPr>
        <w:spacing w:after="120" w:line="300" w:lineRule="auto"/>
        <w:jc w:val="both"/>
        <w:rPr>
          <w:sz w:val="22"/>
          <w:szCs w:val="22"/>
        </w:rPr>
      </w:pPr>
      <w:r w:rsidRPr="00CE7A48">
        <w:rPr>
          <w:sz w:val="22"/>
          <w:szCs w:val="22"/>
        </w:rPr>
        <w:t xml:space="preserve">Chaudhary, S., Ghimire, D., Basu, S., Agrawal, V., Jacobs, D. S., &amp; Shanbhag, S. S. (2023). Contact lenses in dry eye disease and associated ocular surface disorders. Indian Journal of Ophthalmology, 71(4), 1142–1153. </w:t>
      </w:r>
      <w:hyperlink r:id="rId9" w:history="1">
        <w:r w:rsidRPr="00CE7A48">
          <w:rPr>
            <w:rStyle w:val="Hyperlink"/>
            <w:sz w:val="22"/>
            <w:szCs w:val="22"/>
          </w:rPr>
          <w:t>https://doi.org/10.4103/IJO.IJO_2778_22</w:t>
        </w:r>
      </w:hyperlink>
      <w:r w:rsidRPr="00CE7A48">
        <w:rPr>
          <w:sz w:val="22"/>
          <w:szCs w:val="22"/>
        </w:rPr>
        <w:t xml:space="preserve"> </w:t>
      </w:r>
    </w:p>
    <w:p w14:paraId="4E8724AA" w14:textId="77777777" w:rsidR="0025373C" w:rsidRDefault="0025373C" w:rsidP="00CE7A48">
      <w:pPr>
        <w:pStyle w:val="ListParagraph"/>
        <w:numPr>
          <w:ilvl w:val="0"/>
          <w:numId w:val="3"/>
        </w:numPr>
        <w:spacing w:after="120" w:line="300" w:lineRule="auto"/>
        <w:jc w:val="both"/>
      </w:pPr>
      <w:r w:rsidRPr="00CE7A48">
        <w:rPr>
          <w:rFonts w:ascii="Helvetica" w:hAnsi="Helvetica" w:cs="Helvetica"/>
          <w:color w:val="222222"/>
          <w:sz w:val="18"/>
          <w:szCs w:val="18"/>
          <w:shd w:val="clear" w:color="auto" w:fill="FFFFFF"/>
        </w:rPr>
        <w:t xml:space="preserve">Yokoi, N., </w:t>
      </w:r>
      <w:proofErr w:type="spellStart"/>
      <w:r w:rsidRPr="00CE7A48">
        <w:rPr>
          <w:rFonts w:ascii="Helvetica" w:hAnsi="Helvetica" w:cs="Helvetica"/>
          <w:color w:val="222222"/>
          <w:sz w:val="18"/>
          <w:szCs w:val="18"/>
          <w:shd w:val="clear" w:color="auto" w:fill="FFFFFF"/>
        </w:rPr>
        <w:t>Eftimov</w:t>
      </w:r>
      <w:proofErr w:type="spellEnd"/>
      <w:r w:rsidRPr="00CE7A48">
        <w:rPr>
          <w:rFonts w:ascii="Helvetica" w:hAnsi="Helvetica" w:cs="Helvetica"/>
          <w:color w:val="222222"/>
          <w:sz w:val="18"/>
          <w:szCs w:val="18"/>
          <w:shd w:val="clear" w:color="auto" w:fill="FFFFFF"/>
        </w:rPr>
        <w:t>, P., &amp; Georgiev, G. A. (2023). Dynamic Aspects of Pre-Soft Contact Lens Tear Film and Their Relation to Dry Eye: Basic Science and Clinical Relevance. </w:t>
      </w:r>
      <w:r w:rsidRPr="00CE7A48">
        <w:rPr>
          <w:rStyle w:val="Emphasis"/>
          <w:rFonts w:ascii="Helvetica" w:hAnsi="Helvetica" w:cs="Helvetica"/>
          <w:color w:val="222222"/>
          <w:sz w:val="18"/>
          <w:szCs w:val="18"/>
          <w:shd w:val="clear" w:color="auto" w:fill="FFFFFF"/>
        </w:rPr>
        <w:t>Life</w:t>
      </w:r>
      <w:r w:rsidRPr="00CE7A48">
        <w:rPr>
          <w:rFonts w:ascii="Helvetica" w:hAnsi="Helvetica" w:cs="Helvetica"/>
          <w:color w:val="222222"/>
          <w:sz w:val="18"/>
          <w:szCs w:val="18"/>
          <w:shd w:val="clear" w:color="auto" w:fill="FFFFFF"/>
        </w:rPr>
        <w:t>, </w:t>
      </w:r>
      <w:r w:rsidRPr="00CE7A48">
        <w:rPr>
          <w:rStyle w:val="Emphasis"/>
          <w:rFonts w:ascii="Helvetica" w:hAnsi="Helvetica" w:cs="Helvetica"/>
          <w:color w:val="222222"/>
          <w:sz w:val="18"/>
          <w:szCs w:val="18"/>
          <w:shd w:val="clear" w:color="auto" w:fill="FFFFFF"/>
        </w:rPr>
        <w:t>13</w:t>
      </w:r>
      <w:r w:rsidRPr="00CE7A48">
        <w:rPr>
          <w:rFonts w:ascii="Helvetica" w:hAnsi="Helvetica" w:cs="Helvetica"/>
          <w:color w:val="222222"/>
          <w:sz w:val="18"/>
          <w:szCs w:val="18"/>
          <w:shd w:val="clear" w:color="auto" w:fill="FFFFFF"/>
        </w:rPr>
        <w:t xml:space="preserve">(4), 859. </w:t>
      </w:r>
      <w:hyperlink r:id="rId10" w:history="1">
        <w:r w:rsidRPr="00CE7A48">
          <w:rPr>
            <w:rStyle w:val="Hyperlink"/>
            <w:rFonts w:ascii="Helvetica" w:hAnsi="Helvetica" w:cs="Helvetica"/>
            <w:sz w:val="18"/>
            <w:szCs w:val="18"/>
            <w:shd w:val="clear" w:color="auto" w:fill="FFFFFF"/>
          </w:rPr>
          <w:t>https://doi.org/10.3390/life13040859</w:t>
        </w:r>
      </w:hyperlink>
      <w:r w:rsidRPr="00CE7A48">
        <w:rPr>
          <w:rFonts w:ascii="Helvetica" w:hAnsi="Helvetica" w:cs="Helvetica"/>
          <w:color w:val="222222"/>
          <w:sz w:val="18"/>
          <w:szCs w:val="18"/>
          <w:shd w:val="clear" w:color="auto" w:fill="FFFFFF"/>
        </w:rPr>
        <w:t xml:space="preserve"> </w:t>
      </w:r>
    </w:p>
    <w:p w14:paraId="3196638D" w14:textId="77777777" w:rsidR="0032421A" w:rsidRDefault="0025373C" w:rsidP="00CE7A48">
      <w:pPr>
        <w:pStyle w:val="ListParagraph"/>
        <w:numPr>
          <w:ilvl w:val="0"/>
          <w:numId w:val="3"/>
        </w:numPr>
        <w:spacing w:after="120" w:line="300" w:lineRule="auto"/>
        <w:jc w:val="both"/>
      </w:pPr>
      <w:r w:rsidRPr="00CE7A48">
        <w:rPr>
          <w:sz w:val="22"/>
          <w:szCs w:val="22"/>
        </w:rPr>
        <w:t>Elsherif, M., Moreddu, R., Alam, N. U., Salih, A. E., Ahmed, I., &amp; Butt, H. (2022). Wearable smart contact lenses for continual glucose monitoring: A review. Frontiers in Medicine, 9, 858784. https://doi.org/10.3389/fmed.2022.858784</w:t>
      </w:r>
    </w:p>
    <w:p w14:paraId="7175F13C" w14:textId="77777777" w:rsidR="0032421A" w:rsidRDefault="0025373C" w:rsidP="00CE7A48">
      <w:pPr>
        <w:pStyle w:val="ListParagraph"/>
        <w:numPr>
          <w:ilvl w:val="0"/>
          <w:numId w:val="3"/>
        </w:numPr>
        <w:spacing w:after="120" w:line="300" w:lineRule="auto"/>
        <w:jc w:val="both"/>
      </w:pPr>
      <w:r w:rsidRPr="00CE7A48">
        <w:rPr>
          <w:sz w:val="22"/>
          <w:szCs w:val="22"/>
        </w:rPr>
        <w:t>Fernández-Jimenez, E., Diz-Arias, E., &amp; Peral, A. (2022). Improving ocular surface comfort in contact lens wearers. Contact Lens and Anterior Eye, 45(3), 101544. https://doi.org/10.1016/j.clae.2021.101544</w:t>
      </w:r>
    </w:p>
    <w:p w14:paraId="54B482E8" w14:textId="77777777" w:rsidR="0032421A" w:rsidRDefault="0025373C" w:rsidP="00CE7A48">
      <w:pPr>
        <w:pStyle w:val="ListParagraph"/>
        <w:numPr>
          <w:ilvl w:val="0"/>
          <w:numId w:val="3"/>
        </w:numPr>
        <w:spacing w:after="120" w:line="300" w:lineRule="auto"/>
        <w:jc w:val="both"/>
      </w:pPr>
      <w:r w:rsidRPr="00CE7A48">
        <w:rPr>
          <w:sz w:val="22"/>
          <w:szCs w:val="22"/>
        </w:rPr>
        <w:t>Fonn, D. (2007). Targeting contact lens induced dryness and discomfort: What properties will make lenses more comfortable. Optometry and Vision Science, 84(4), 279–285. https://doi.org/10.1097/OPX.0b013e31804636af</w:t>
      </w:r>
    </w:p>
    <w:p w14:paraId="2C0EDEB7" w14:textId="77777777" w:rsidR="0032421A" w:rsidRDefault="0025373C" w:rsidP="00CE7A48">
      <w:pPr>
        <w:pStyle w:val="ListParagraph"/>
        <w:numPr>
          <w:ilvl w:val="0"/>
          <w:numId w:val="3"/>
        </w:numPr>
        <w:spacing w:after="120" w:line="300" w:lineRule="auto"/>
        <w:jc w:val="both"/>
      </w:pPr>
      <w:r w:rsidRPr="00CE7A48">
        <w:rPr>
          <w:sz w:val="22"/>
          <w:szCs w:val="22"/>
        </w:rPr>
        <w:t>Holden, B. A., &amp; Mertz, G. W. (1984). Critical oxygen levels to avoid corneal edema for daily and extended wear contact lenses. Investigative Ophthalmology &amp; Visual Science, 25(10), 1161–1167.</w:t>
      </w:r>
    </w:p>
    <w:p w14:paraId="5182E38D" w14:textId="77777777" w:rsidR="0032421A" w:rsidRDefault="0025373C" w:rsidP="00CE7A48">
      <w:pPr>
        <w:pStyle w:val="ListParagraph"/>
        <w:numPr>
          <w:ilvl w:val="0"/>
          <w:numId w:val="3"/>
        </w:numPr>
        <w:spacing w:after="120" w:line="300" w:lineRule="auto"/>
        <w:jc w:val="both"/>
      </w:pPr>
      <w:r w:rsidRPr="00CE7A48">
        <w:rPr>
          <w:sz w:val="22"/>
          <w:szCs w:val="22"/>
        </w:rPr>
        <w:t>Ishihara, K., Shi, X., Nakabayashi, N., &amp; Wu, J. (2023). Biomimetic-engineered silicone hydrogel contact lens materials. ACS Applied Bio Materials, 6(9), 3600–3616. https://doi.org/10.1021/acsabm.3c00296</w:t>
      </w:r>
    </w:p>
    <w:p w14:paraId="25608698" w14:textId="77777777" w:rsidR="0032421A" w:rsidRDefault="0025373C" w:rsidP="00CE7A48">
      <w:pPr>
        <w:pStyle w:val="ListParagraph"/>
        <w:numPr>
          <w:ilvl w:val="0"/>
          <w:numId w:val="3"/>
        </w:numPr>
        <w:spacing w:after="120" w:line="300" w:lineRule="auto"/>
        <w:jc w:val="both"/>
      </w:pPr>
      <w:r w:rsidRPr="00CE7A48">
        <w:rPr>
          <w:sz w:val="22"/>
          <w:szCs w:val="22"/>
        </w:rPr>
        <w:t>Jones, L., Brennan, N. A., González-</w:t>
      </w:r>
      <w:proofErr w:type="spellStart"/>
      <w:r w:rsidRPr="00CE7A48">
        <w:rPr>
          <w:sz w:val="22"/>
          <w:szCs w:val="22"/>
        </w:rPr>
        <w:t>Méijome</w:t>
      </w:r>
      <w:proofErr w:type="spellEnd"/>
      <w:r w:rsidRPr="00CE7A48">
        <w:rPr>
          <w:sz w:val="22"/>
          <w:szCs w:val="22"/>
        </w:rPr>
        <w:t>, J., et al. (2013). The TFOS International Workshop on Contact Lens Discomfort: Report of the contact lens materials, design, and care subcommittee. Investigative Ophthalmology &amp; Visual Science, 54(11), TFOS37–70. https://doi.org/10.1167/iovs.13-13215</w:t>
      </w:r>
    </w:p>
    <w:p w14:paraId="03183E0E" w14:textId="77777777" w:rsidR="0032421A" w:rsidRDefault="0025373C" w:rsidP="00CE7A48">
      <w:pPr>
        <w:pStyle w:val="ListParagraph"/>
        <w:numPr>
          <w:ilvl w:val="0"/>
          <w:numId w:val="3"/>
        </w:numPr>
        <w:spacing w:after="120" w:line="300" w:lineRule="auto"/>
        <w:jc w:val="both"/>
      </w:pPr>
      <w:r w:rsidRPr="00CE7A48">
        <w:rPr>
          <w:sz w:val="22"/>
          <w:szCs w:val="22"/>
        </w:rPr>
        <w:t>Keum, D. H., Kim, S.-K., Koo, J., et al. (2020). Wireless smart contact lens for diabetic diagnosis and therapy. Science Advances, 6(17), eaba3252. https://doi.org/10.1126/sciadv.aba3252</w:t>
      </w:r>
    </w:p>
    <w:p w14:paraId="5411417A" w14:textId="77777777" w:rsidR="0032421A" w:rsidRPr="00CE7A48" w:rsidRDefault="0025373C" w:rsidP="00CE7A48">
      <w:pPr>
        <w:pStyle w:val="ListParagraph"/>
        <w:numPr>
          <w:ilvl w:val="0"/>
          <w:numId w:val="3"/>
        </w:numPr>
        <w:spacing w:after="120" w:line="300" w:lineRule="auto"/>
        <w:jc w:val="both"/>
        <w:rPr>
          <w:lang w:val="fr-FR"/>
        </w:rPr>
      </w:pPr>
      <w:r w:rsidRPr="00CE7A48">
        <w:rPr>
          <w:sz w:val="22"/>
          <w:szCs w:val="22"/>
        </w:rPr>
        <w:lastRenderedPageBreak/>
        <w:t xml:space="preserve">Lim, C., García-Montero, M., Courtis, A., Hainey, P., Madrid-Costa, D., &amp; Crooke, A. (2024). Optimization of the oxygen permeability of non-silicone hydrogel contact lenses through crosslinking modifications. </w:t>
      </w:r>
      <w:r w:rsidRPr="00CE7A48">
        <w:rPr>
          <w:sz w:val="22"/>
          <w:szCs w:val="22"/>
          <w:lang w:val="fr-FR"/>
        </w:rPr>
        <w:t>Gels, 10(11), 726. https://doi.org/10.3390/gels10110726</w:t>
      </w:r>
    </w:p>
    <w:p w14:paraId="3509CD79" w14:textId="77777777" w:rsidR="0032421A" w:rsidRDefault="0025373C" w:rsidP="00CE7A48">
      <w:pPr>
        <w:pStyle w:val="ListParagraph"/>
        <w:numPr>
          <w:ilvl w:val="0"/>
          <w:numId w:val="3"/>
        </w:numPr>
        <w:spacing w:after="120" w:line="300" w:lineRule="auto"/>
        <w:jc w:val="both"/>
      </w:pPr>
      <w:r w:rsidRPr="00CE7A48">
        <w:rPr>
          <w:sz w:val="22"/>
          <w:szCs w:val="22"/>
          <w:lang w:val="fr-FR"/>
        </w:rPr>
        <w:t xml:space="preserve">Liu, B.-T., Chang, Y.-K., Lee, R.-H., </w:t>
      </w:r>
      <w:proofErr w:type="spellStart"/>
      <w:r w:rsidRPr="00CE7A48">
        <w:rPr>
          <w:sz w:val="22"/>
          <w:szCs w:val="22"/>
          <w:lang w:val="fr-FR"/>
        </w:rPr>
        <w:t>Mizota</w:t>
      </w:r>
      <w:proofErr w:type="spellEnd"/>
      <w:r w:rsidRPr="00CE7A48">
        <w:rPr>
          <w:sz w:val="22"/>
          <w:szCs w:val="22"/>
          <w:lang w:val="fr-FR"/>
        </w:rPr>
        <w:t xml:space="preserve">, I., Sun, K.-T., &amp; Lu, Y.-T. (2024). </w:t>
      </w:r>
      <w:r w:rsidRPr="00CE7A48">
        <w:rPr>
          <w:sz w:val="22"/>
          <w:szCs w:val="22"/>
        </w:rPr>
        <w:t>Innovations in silicone hydrogels: Achieving high oxygen permeability with maintained equilibrium water content. Advanced Engineering Materials, 26, 2400867. https://doi.org/10.1002/adem.202400867</w:t>
      </w:r>
    </w:p>
    <w:p w14:paraId="541C77DE" w14:textId="77777777" w:rsidR="0032421A" w:rsidRDefault="0025373C" w:rsidP="00CE7A48">
      <w:pPr>
        <w:pStyle w:val="ListParagraph"/>
        <w:numPr>
          <w:ilvl w:val="0"/>
          <w:numId w:val="3"/>
        </w:numPr>
        <w:spacing w:after="120" w:line="300" w:lineRule="auto"/>
        <w:jc w:val="both"/>
      </w:pPr>
      <w:r w:rsidRPr="00CE7A48">
        <w:rPr>
          <w:sz w:val="22"/>
          <w:szCs w:val="22"/>
        </w:rPr>
        <w:t>Morgan, P. B., Efron, N., Woods, C. A., et al. (2024). International trends in daily disposable contact lens prescribing (2000–2023): An update. Contact Lens and Anterior Eye, 47, 102259. https://doi.org/10.1016/j.clae.2024.102259</w:t>
      </w:r>
    </w:p>
    <w:p w14:paraId="632F627A" w14:textId="77777777" w:rsidR="0032421A" w:rsidRDefault="0025373C" w:rsidP="00CE7A48">
      <w:pPr>
        <w:pStyle w:val="ListParagraph"/>
        <w:numPr>
          <w:ilvl w:val="0"/>
          <w:numId w:val="3"/>
        </w:numPr>
        <w:spacing w:after="120" w:line="300" w:lineRule="auto"/>
        <w:jc w:val="both"/>
      </w:pPr>
      <w:r w:rsidRPr="00CE7A48">
        <w:rPr>
          <w:sz w:val="22"/>
          <w:szCs w:val="22"/>
        </w:rPr>
        <w:t>Nichols, J. J., &amp; Sinnott, L. T. (2006). Tear film, contact lens, and patient-related factors associated with contact lens-related dry eye. Investigative Ophthalmology &amp; Visual Science, 47(4), 1319–1328. https://doi.org/10.1167/iovs.05-1392</w:t>
      </w:r>
    </w:p>
    <w:p w14:paraId="2BE1D290" w14:textId="77777777" w:rsidR="0032421A" w:rsidRDefault="0025373C" w:rsidP="00CE7A48">
      <w:pPr>
        <w:pStyle w:val="ListParagraph"/>
        <w:numPr>
          <w:ilvl w:val="0"/>
          <w:numId w:val="3"/>
        </w:numPr>
        <w:spacing w:after="120" w:line="300" w:lineRule="auto"/>
        <w:jc w:val="both"/>
      </w:pPr>
      <w:proofErr w:type="spellStart"/>
      <w:r w:rsidRPr="00CE7A48">
        <w:rPr>
          <w:sz w:val="22"/>
          <w:szCs w:val="22"/>
        </w:rPr>
        <w:t>Santodomingo-Rubido</w:t>
      </w:r>
      <w:proofErr w:type="spellEnd"/>
      <w:r w:rsidRPr="00CE7A48">
        <w:rPr>
          <w:sz w:val="22"/>
          <w:szCs w:val="22"/>
        </w:rPr>
        <w:t>, J., Cheung, S. W., &amp; Villa-Collar, C. (2024). A new look at the myopia control efficacy of orthokeratology. Contact Lens and Anterior Eye, 47(5), 102251. https://doi.org/10.1016/j.clae.2024.102251</w:t>
      </w:r>
    </w:p>
    <w:p w14:paraId="1157BBE7" w14:textId="77777777" w:rsidR="0032421A" w:rsidRDefault="0025373C" w:rsidP="00CE7A48">
      <w:pPr>
        <w:pStyle w:val="ListParagraph"/>
        <w:numPr>
          <w:ilvl w:val="0"/>
          <w:numId w:val="3"/>
        </w:numPr>
        <w:spacing w:after="120" w:line="300" w:lineRule="auto"/>
        <w:jc w:val="both"/>
      </w:pPr>
      <w:r w:rsidRPr="00CE7A48">
        <w:rPr>
          <w:sz w:val="22"/>
          <w:szCs w:val="22"/>
        </w:rPr>
        <w:t>Seo, H., Chung, W. G., Kwon, Y. W., Kim, S., Hong, Y. M., Park, W., Kim, E., Lee, J., Lee, S., Kim, M., Lim, K., Jeong, I., Song, H., &amp; Park, J. U. (2023). Smart contact lenses as wearable ophthalmic devices for disease monitoring and health management. Chemical Reviews, 123(19), 11488–11558. https://doi.org/10.1021/acs.chemrev.3c00290</w:t>
      </w:r>
    </w:p>
    <w:p w14:paraId="6DD03B5F" w14:textId="77777777" w:rsidR="0032421A" w:rsidRDefault="0025373C" w:rsidP="00CE7A48">
      <w:pPr>
        <w:pStyle w:val="ListParagraph"/>
        <w:numPr>
          <w:ilvl w:val="0"/>
          <w:numId w:val="3"/>
        </w:numPr>
        <w:spacing w:after="120" w:line="300" w:lineRule="auto"/>
        <w:jc w:val="both"/>
      </w:pPr>
      <w:r w:rsidRPr="00CE7A48">
        <w:rPr>
          <w:sz w:val="22"/>
          <w:szCs w:val="22"/>
        </w:rPr>
        <w:t>Shaker, L. M., Al-</w:t>
      </w:r>
      <w:proofErr w:type="spellStart"/>
      <w:r w:rsidRPr="00CE7A48">
        <w:rPr>
          <w:sz w:val="22"/>
          <w:szCs w:val="22"/>
        </w:rPr>
        <w:t>Amiery</w:t>
      </w:r>
      <w:proofErr w:type="spellEnd"/>
      <w:r w:rsidRPr="00CE7A48">
        <w:rPr>
          <w:sz w:val="22"/>
          <w:szCs w:val="22"/>
        </w:rPr>
        <w:t>, A., &amp; Wan Isahak, W. N. R. (2024). Revolutionizing contact lens manufacturing: Exploring cutting-edge techniques and innovations for enhanced vision and comfort. International Journal of Low-Carbon Technologies, 19, 359–385. https://doi.org/10.1093/ijlct/ctad136</w:t>
      </w:r>
    </w:p>
    <w:p w14:paraId="68829D07" w14:textId="77777777" w:rsidR="0032421A" w:rsidRDefault="0025373C" w:rsidP="00CE7A48">
      <w:pPr>
        <w:pStyle w:val="ListParagraph"/>
        <w:numPr>
          <w:ilvl w:val="0"/>
          <w:numId w:val="3"/>
        </w:numPr>
        <w:spacing w:after="120" w:line="300" w:lineRule="auto"/>
        <w:jc w:val="both"/>
      </w:pPr>
      <w:r w:rsidRPr="00CE7A48">
        <w:rPr>
          <w:sz w:val="22"/>
          <w:szCs w:val="22"/>
        </w:rPr>
        <w:t xml:space="preserve">Stapleton, F., Bakkar, M., </w:t>
      </w:r>
      <w:proofErr w:type="spellStart"/>
      <w:r w:rsidRPr="00CE7A48">
        <w:rPr>
          <w:sz w:val="22"/>
          <w:szCs w:val="22"/>
        </w:rPr>
        <w:t>Carnt</w:t>
      </w:r>
      <w:proofErr w:type="spellEnd"/>
      <w:r w:rsidRPr="00CE7A48">
        <w:rPr>
          <w:sz w:val="22"/>
          <w:szCs w:val="22"/>
        </w:rPr>
        <w:t>, N., et al. (2021). CLEAR – Contact lens complications. Contact Lens and Anterior Eye, 44(2), 330–367. https://doi.org/10.1016/j.clae.2021.02.006</w:t>
      </w:r>
    </w:p>
    <w:p w14:paraId="75CEF692" w14:textId="77777777" w:rsidR="0032421A" w:rsidRPr="00CE7A48" w:rsidRDefault="0025373C" w:rsidP="00CE7A48">
      <w:pPr>
        <w:pStyle w:val="ListParagraph"/>
        <w:numPr>
          <w:ilvl w:val="0"/>
          <w:numId w:val="3"/>
        </w:numPr>
        <w:spacing w:after="120" w:line="300" w:lineRule="auto"/>
        <w:jc w:val="both"/>
        <w:rPr>
          <w:lang w:val="fr-FR"/>
        </w:rPr>
      </w:pPr>
      <w:r w:rsidRPr="00CE7A48">
        <w:rPr>
          <w:sz w:val="22"/>
          <w:szCs w:val="22"/>
        </w:rPr>
        <w:t xml:space="preserve">Tran, N. P. D., Ting, C.-C., Lin, C.-H., &amp; Yang, M.-C. (2020). A novel approach to increase the oxygen permeability of soft contact lenses by incorporating silica sol. </w:t>
      </w:r>
      <w:proofErr w:type="spellStart"/>
      <w:r w:rsidRPr="00CE7A48">
        <w:rPr>
          <w:sz w:val="22"/>
          <w:szCs w:val="22"/>
          <w:lang w:val="fr-FR"/>
        </w:rPr>
        <w:t>Polymers</w:t>
      </w:r>
      <w:proofErr w:type="spellEnd"/>
      <w:r w:rsidRPr="00CE7A48">
        <w:rPr>
          <w:sz w:val="22"/>
          <w:szCs w:val="22"/>
          <w:lang w:val="fr-FR"/>
        </w:rPr>
        <w:t>, 12(9), 2087. https://doi.org/10.3390/polym12092087</w:t>
      </w:r>
    </w:p>
    <w:p w14:paraId="1FD647DC" w14:textId="77777777" w:rsidR="0032421A" w:rsidRDefault="0025373C" w:rsidP="00CE7A48">
      <w:pPr>
        <w:pStyle w:val="ListParagraph"/>
        <w:numPr>
          <w:ilvl w:val="0"/>
          <w:numId w:val="3"/>
        </w:numPr>
        <w:spacing w:after="120" w:line="300" w:lineRule="auto"/>
        <w:jc w:val="both"/>
      </w:pPr>
      <w:r w:rsidRPr="00CE7A48">
        <w:rPr>
          <w:sz w:val="22"/>
          <w:szCs w:val="22"/>
          <w:lang w:val="fr-FR"/>
        </w:rPr>
        <w:t xml:space="preserve">Wen, X., Jing, Z., Wu, Y., et al. </w:t>
      </w:r>
      <w:r w:rsidRPr="00CE7A48">
        <w:rPr>
          <w:sz w:val="22"/>
          <w:szCs w:val="22"/>
        </w:rPr>
        <w:t xml:space="preserve">(2023). Innovative advancement of contact lenses for noninvasive diagnosis and therapy: A mini review. </w:t>
      </w:r>
      <w:proofErr w:type="spellStart"/>
      <w:r w:rsidRPr="00CE7A48">
        <w:rPr>
          <w:sz w:val="22"/>
          <w:szCs w:val="22"/>
        </w:rPr>
        <w:t>MedComm</w:t>
      </w:r>
      <w:proofErr w:type="spellEnd"/>
      <w:r w:rsidRPr="00CE7A48">
        <w:rPr>
          <w:sz w:val="22"/>
          <w:szCs w:val="22"/>
        </w:rPr>
        <w:t xml:space="preserve"> – Biomaterials and Applications, 2(2), e40. https://doi.org/10.1002/mba2.40</w:t>
      </w:r>
    </w:p>
    <w:p w14:paraId="7A8F9078" w14:textId="77777777" w:rsidR="0032421A" w:rsidRDefault="0025373C" w:rsidP="00CE7A48">
      <w:pPr>
        <w:pStyle w:val="ListParagraph"/>
        <w:numPr>
          <w:ilvl w:val="0"/>
          <w:numId w:val="3"/>
        </w:numPr>
        <w:spacing w:after="120" w:line="300" w:lineRule="auto"/>
        <w:jc w:val="both"/>
      </w:pPr>
      <w:r w:rsidRPr="00CE7A48">
        <w:rPr>
          <w:sz w:val="22"/>
          <w:szCs w:val="22"/>
        </w:rPr>
        <w:t xml:space="preserve">Wichterle, O., &amp; </w:t>
      </w:r>
      <w:proofErr w:type="spellStart"/>
      <w:r w:rsidRPr="00CE7A48">
        <w:rPr>
          <w:sz w:val="22"/>
          <w:szCs w:val="22"/>
        </w:rPr>
        <w:t>Lím</w:t>
      </w:r>
      <w:proofErr w:type="spellEnd"/>
      <w:r w:rsidRPr="00CE7A48">
        <w:rPr>
          <w:sz w:val="22"/>
          <w:szCs w:val="22"/>
        </w:rPr>
        <w:t xml:space="preserve">, D. (1960). Hydrophilic gels for biological use. Nature, 185, 117–118. </w:t>
      </w:r>
      <w:hyperlink r:id="rId11" w:history="1">
        <w:r w:rsidRPr="00CE7A48">
          <w:rPr>
            <w:rStyle w:val="Hyperlink"/>
            <w:sz w:val="22"/>
            <w:szCs w:val="22"/>
          </w:rPr>
          <w:t>https://doi.org/10.1038/185117a0</w:t>
        </w:r>
      </w:hyperlink>
      <w:r w:rsidRPr="00CE7A48">
        <w:rPr>
          <w:sz w:val="22"/>
          <w:szCs w:val="22"/>
        </w:rPr>
        <w:t xml:space="preserve"> </w:t>
      </w:r>
    </w:p>
    <w:p w14:paraId="70A64BB8" w14:textId="77777777" w:rsidR="0032421A" w:rsidRDefault="0025373C" w:rsidP="00CE7A48">
      <w:pPr>
        <w:pStyle w:val="ListParagraph"/>
        <w:numPr>
          <w:ilvl w:val="0"/>
          <w:numId w:val="3"/>
        </w:numPr>
        <w:spacing w:after="120" w:line="300" w:lineRule="auto"/>
        <w:jc w:val="both"/>
      </w:pPr>
      <w:r w:rsidRPr="00CE7A48">
        <w:rPr>
          <w:sz w:val="22"/>
          <w:szCs w:val="22"/>
        </w:rPr>
        <w:t xml:space="preserve">Willcox, M., Keir, N., </w:t>
      </w:r>
      <w:proofErr w:type="spellStart"/>
      <w:r w:rsidRPr="00CE7A48">
        <w:rPr>
          <w:sz w:val="22"/>
          <w:szCs w:val="22"/>
        </w:rPr>
        <w:t>Maseedupally</w:t>
      </w:r>
      <w:proofErr w:type="spellEnd"/>
      <w:r w:rsidRPr="00CE7A48">
        <w:rPr>
          <w:sz w:val="22"/>
          <w:szCs w:val="22"/>
        </w:rPr>
        <w:t>, V., et al. (2021). BCLA CLEAR – Contact lens wettability, cleaning, disinfection and interactions with tears. Contact Lens and Anterior Eye, 44(2), 157–191. https://doi.org/10.1016/j.clae.2021.02.004</w:t>
      </w:r>
      <w:bookmarkStart w:id="2" w:name="_GoBack"/>
      <w:bookmarkEnd w:id="2"/>
    </w:p>
    <w:p w14:paraId="36B3C310" w14:textId="0B5ED505" w:rsidR="0032421A" w:rsidRPr="00CE7A48" w:rsidRDefault="0025373C" w:rsidP="00CE7A48">
      <w:pPr>
        <w:pStyle w:val="ListParagraph"/>
        <w:numPr>
          <w:ilvl w:val="0"/>
          <w:numId w:val="3"/>
        </w:numPr>
        <w:spacing w:after="120" w:line="300" w:lineRule="auto"/>
        <w:jc w:val="both"/>
        <w:rPr>
          <w:sz w:val="22"/>
          <w:szCs w:val="22"/>
        </w:rPr>
      </w:pPr>
      <w:proofErr w:type="spellStart"/>
      <w:r w:rsidRPr="00CE7A48">
        <w:rPr>
          <w:sz w:val="22"/>
          <w:szCs w:val="22"/>
          <w:lang w:val="fr-FR"/>
        </w:rPr>
        <w:lastRenderedPageBreak/>
        <w:t>Wolffsohn</w:t>
      </w:r>
      <w:proofErr w:type="spellEnd"/>
      <w:r w:rsidRPr="00CE7A48">
        <w:rPr>
          <w:sz w:val="22"/>
          <w:szCs w:val="22"/>
          <w:lang w:val="fr-FR"/>
        </w:rPr>
        <w:t xml:space="preserve">, J. S., </w:t>
      </w:r>
      <w:proofErr w:type="spellStart"/>
      <w:r w:rsidRPr="00CE7A48">
        <w:rPr>
          <w:sz w:val="22"/>
          <w:szCs w:val="22"/>
          <w:lang w:val="fr-FR"/>
        </w:rPr>
        <w:t>Calossi</w:t>
      </w:r>
      <w:proofErr w:type="spellEnd"/>
      <w:r w:rsidRPr="00CE7A48">
        <w:rPr>
          <w:sz w:val="22"/>
          <w:szCs w:val="22"/>
          <w:lang w:val="fr-FR"/>
        </w:rPr>
        <w:t xml:space="preserve">, A., Cho, P., et al. </w:t>
      </w:r>
      <w:r w:rsidRPr="00CE7A48">
        <w:rPr>
          <w:sz w:val="22"/>
          <w:szCs w:val="22"/>
        </w:rPr>
        <w:t xml:space="preserve">(2020). Global trends in myopia management attitudes and strategies in clinical practice – 2019 update. Contact Lens and Anterior Eye, 43(1), 9–17. </w:t>
      </w:r>
      <w:hyperlink r:id="rId12" w:history="1">
        <w:r w:rsidRPr="00CE7A48">
          <w:rPr>
            <w:rStyle w:val="Hyperlink"/>
            <w:sz w:val="22"/>
            <w:szCs w:val="22"/>
          </w:rPr>
          <w:t>https://doi.org/10.1016/j.clae.2019.11.002</w:t>
        </w:r>
      </w:hyperlink>
      <w:r w:rsidRPr="00CE7A48">
        <w:rPr>
          <w:sz w:val="22"/>
          <w:szCs w:val="22"/>
        </w:rPr>
        <w:t xml:space="preserve"> </w:t>
      </w:r>
    </w:p>
    <w:p w14:paraId="03C34544" w14:textId="77777777" w:rsidR="0008716E" w:rsidRPr="00CE7A48" w:rsidRDefault="006B1DAB" w:rsidP="00CE7A48">
      <w:pPr>
        <w:pStyle w:val="ListParagraph"/>
        <w:numPr>
          <w:ilvl w:val="0"/>
          <w:numId w:val="3"/>
        </w:numPr>
        <w:spacing w:after="120" w:line="300" w:lineRule="auto"/>
        <w:jc w:val="both"/>
        <w:rPr>
          <w:rFonts w:ascii="Arial" w:hAnsi="Arial" w:cs="Arial"/>
          <w:color w:val="222222"/>
          <w:sz w:val="20"/>
          <w:szCs w:val="20"/>
          <w:highlight w:val="yellow"/>
          <w:shd w:val="clear" w:color="auto" w:fill="FFFFFF"/>
        </w:rPr>
      </w:pPr>
      <w:proofErr w:type="spellStart"/>
      <w:r w:rsidRPr="00CE7A48">
        <w:rPr>
          <w:rFonts w:ascii="Arial" w:hAnsi="Arial" w:cs="Arial"/>
          <w:color w:val="222222"/>
          <w:sz w:val="20"/>
          <w:szCs w:val="20"/>
          <w:highlight w:val="yellow"/>
          <w:shd w:val="clear" w:color="auto" w:fill="FFFFFF"/>
        </w:rPr>
        <w:t>Abdulamier</w:t>
      </w:r>
      <w:proofErr w:type="spellEnd"/>
      <w:r w:rsidRPr="00CE7A48">
        <w:rPr>
          <w:rFonts w:ascii="Arial" w:hAnsi="Arial" w:cs="Arial"/>
          <w:color w:val="222222"/>
          <w:sz w:val="20"/>
          <w:szCs w:val="20"/>
          <w:highlight w:val="yellow"/>
          <w:shd w:val="clear" w:color="auto" w:fill="FFFFFF"/>
        </w:rPr>
        <w:t>, A. A., Shaker, L. M., &amp; Al-</w:t>
      </w:r>
      <w:proofErr w:type="spellStart"/>
      <w:r w:rsidRPr="00CE7A48">
        <w:rPr>
          <w:rFonts w:ascii="Arial" w:hAnsi="Arial" w:cs="Arial"/>
          <w:color w:val="222222"/>
          <w:sz w:val="20"/>
          <w:szCs w:val="20"/>
          <w:highlight w:val="yellow"/>
          <w:shd w:val="clear" w:color="auto" w:fill="FFFFFF"/>
        </w:rPr>
        <w:t>Amiery</w:t>
      </w:r>
      <w:proofErr w:type="spellEnd"/>
      <w:r w:rsidRPr="00CE7A48">
        <w:rPr>
          <w:rFonts w:ascii="Arial" w:hAnsi="Arial" w:cs="Arial"/>
          <w:color w:val="222222"/>
          <w:sz w:val="20"/>
          <w:szCs w:val="20"/>
          <w:highlight w:val="yellow"/>
          <w:shd w:val="clear" w:color="auto" w:fill="FFFFFF"/>
        </w:rPr>
        <w:t>, A. A. (2024). Advancements in the chemistry of contact lenses: Innovations and applications. </w:t>
      </w:r>
      <w:r w:rsidRPr="00CE7A48">
        <w:rPr>
          <w:rFonts w:ascii="Arial" w:hAnsi="Arial" w:cs="Arial"/>
          <w:i/>
          <w:iCs/>
          <w:color w:val="222222"/>
          <w:sz w:val="20"/>
          <w:szCs w:val="20"/>
          <w:highlight w:val="yellow"/>
          <w:shd w:val="clear" w:color="auto" w:fill="FFFFFF"/>
        </w:rPr>
        <w:t>Results in Chemistry</w:t>
      </w:r>
      <w:r w:rsidRPr="00CE7A48">
        <w:rPr>
          <w:rFonts w:ascii="Arial" w:hAnsi="Arial" w:cs="Arial"/>
          <w:color w:val="222222"/>
          <w:sz w:val="20"/>
          <w:szCs w:val="20"/>
          <w:highlight w:val="yellow"/>
          <w:shd w:val="clear" w:color="auto" w:fill="FFFFFF"/>
        </w:rPr>
        <w:t>, </w:t>
      </w:r>
      <w:r w:rsidRPr="00CE7A48">
        <w:rPr>
          <w:rFonts w:ascii="Arial" w:hAnsi="Arial" w:cs="Arial"/>
          <w:i/>
          <w:iCs/>
          <w:color w:val="222222"/>
          <w:sz w:val="20"/>
          <w:szCs w:val="20"/>
          <w:highlight w:val="yellow"/>
          <w:shd w:val="clear" w:color="auto" w:fill="FFFFFF"/>
        </w:rPr>
        <w:t>12</w:t>
      </w:r>
      <w:r w:rsidRPr="00CE7A48">
        <w:rPr>
          <w:rFonts w:ascii="Arial" w:hAnsi="Arial" w:cs="Arial"/>
          <w:color w:val="222222"/>
          <w:sz w:val="20"/>
          <w:szCs w:val="20"/>
          <w:highlight w:val="yellow"/>
          <w:shd w:val="clear" w:color="auto" w:fill="FFFFFF"/>
        </w:rPr>
        <w:t>, 101872.</w:t>
      </w:r>
    </w:p>
    <w:p w14:paraId="25FF295C" w14:textId="77777777" w:rsidR="006D6F72" w:rsidRPr="00CE7A48" w:rsidRDefault="0008716E" w:rsidP="00CE7A48">
      <w:pPr>
        <w:pStyle w:val="ListParagraph"/>
        <w:numPr>
          <w:ilvl w:val="0"/>
          <w:numId w:val="3"/>
        </w:numPr>
        <w:spacing w:after="120" w:line="300" w:lineRule="auto"/>
        <w:jc w:val="both"/>
        <w:rPr>
          <w:rFonts w:ascii="Arial" w:hAnsi="Arial" w:cs="Arial"/>
          <w:color w:val="222222"/>
          <w:sz w:val="20"/>
          <w:szCs w:val="20"/>
          <w:highlight w:val="yellow"/>
          <w:shd w:val="clear" w:color="auto" w:fill="FFFFFF"/>
        </w:rPr>
      </w:pPr>
      <w:proofErr w:type="spellStart"/>
      <w:r w:rsidRPr="00CE7A48">
        <w:rPr>
          <w:rFonts w:ascii="Arial" w:hAnsi="Arial" w:cs="Arial"/>
          <w:color w:val="222222"/>
          <w:sz w:val="20"/>
          <w:szCs w:val="20"/>
          <w:highlight w:val="yellow"/>
          <w:shd w:val="clear" w:color="auto" w:fill="FFFFFF"/>
        </w:rPr>
        <w:t>Carnt</w:t>
      </w:r>
      <w:proofErr w:type="spellEnd"/>
      <w:r w:rsidRPr="00CE7A48">
        <w:rPr>
          <w:rFonts w:ascii="Arial" w:hAnsi="Arial" w:cs="Arial"/>
          <w:color w:val="222222"/>
          <w:sz w:val="20"/>
          <w:szCs w:val="20"/>
          <w:highlight w:val="yellow"/>
          <w:shd w:val="clear" w:color="auto" w:fill="FFFFFF"/>
        </w:rPr>
        <w:t xml:space="preserve">, N., Samuels, A., Stephanie Yeo, S. L., &amp; Stapleton, F. (2025). Contact Lenses: Current Designs and New Strategies. </w:t>
      </w:r>
      <w:r w:rsidRPr="00CE7A48">
        <w:rPr>
          <w:rFonts w:ascii="Source Sans Pro" w:hAnsi="Source Sans Pro"/>
          <w:b/>
          <w:bCs/>
          <w:color w:val="1A1A1A"/>
          <w:sz w:val="21"/>
          <w:szCs w:val="21"/>
          <w:highlight w:val="yellow"/>
        </w:rPr>
        <w:t>DOI: </w:t>
      </w:r>
      <w:hyperlink r:id="rId13" w:tgtFrame="_blank" w:history="1">
        <w:r w:rsidRPr="00CE7A48">
          <w:rPr>
            <w:rStyle w:val="Hyperlink"/>
            <w:rFonts w:ascii="Source Sans Pro" w:hAnsi="Source Sans Pro"/>
            <w:color w:val="004976"/>
            <w:sz w:val="21"/>
            <w:szCs w:val="21"/>
            <w:highlight w:val="yellow"/>
            <w:bdr w:val="none" w:sz="0" w:space="0" w:color="auto" w:frame="1"/>
          </w:rPr>
          <w:t>https://doi.org/10.1039/9781839169779</w:t>
        </w:r>
      </w:hyperlink>
      <w:r w:rsidRPr="00CE7A48">
        <w:rPr>
          <w:rFonts w:ascii="Source Sans Pro" w:hAnsi="Source Sans Pro"/>
          <w:color w:val="1A1A1A"/>
          <w:sz w:val="21"/>
          <w:szCs w:val="21"/>
          <w:highlight w:val="yellow"/>
        </w:rPr>
        <w:t xml:space="preserve">. </w:t>
      </w:r>
      <w:r w:rsidRPr="00CE7A48">
        <w:rPr>
          <w:rFonts w:ascii="Source Sans Pro" w:hAnsi="Source Sans Pro"/>
          <w:b/>
          <w:bCs/>
          <w:color w:val="1A1A1A"/>
          <w:sz w:val="21"/>
          <w:szCs w:val="21"/>
          <w:highlight w:val="yellow"/>
        </w:rPr>
        <w:t xml:space="preserve">EPUB ISBN: </w:t>
      </w:r>
      <w:r w:rsidRPr="00CE7A48">
        <w:rPr>
          <w:rFonts w:ascii="Source Sans Pro" w:hAnsi="Source Sans Pro"/>
          <w:color w:val="1A1A1A"/>
          <w:sz w:val="21"/>
          <w:szCs w:val="21"/>
          <w:highlight w:val="yellow"/>
        </w:rPr>
        <w:t>978-1-83916-978-6</w:t>
      </w:r>
    </w:p>
    <w:p w14:paraId="3BE8DA3F" w14:textId="4E83812B" w:rsidR="006D6F72" w:rsidRPr="00CE7A48" w:rsidRDefault="006D6F72" w:rsidP="00CE7A48">
      <w:pPr>
        <w:pStyle w:val="ListParagraph"/>
        <w:numPr>
          <w:ilvl w:val="0"/>
          <w:numId w:val="3"/>
        </w:numPr>
        <w:spacing w:after="120" w:line="300" w:lineRule="auto"/>
        <w:jc w:val="both"/>
        <w:rPr>
          <w:color w:val="222222"/>
          <w:sz w:val="20"/>
          <w:szCs w:val="20"/>
          <w:highlight w:val="yellow"/>
          <w:shd w:val="clear" w:color="auto" w:fill="FFFFFF"/>
        </w:rPr>
      </w:pPr>
      <w:proofErr w:type="spellStart"/>
      <w:r w:rsidRPr="00CE7A48">
        <w:rPr>
          <w:color w:val="1B1B1B"/>
          <w:highlight w:val="yellow"/>
        </w:rPr>
        <w:t>Ioniță</w:t>
      </w:r>
      <w:proofErr w:type="spellEnd"/>
      <w:r w:rsidRPr="00CE7A48">
        <w:rPr>
          <w:color w:val="1B1B1B"/>
          <w:highlight w:val="yellow"/>
        </w:rPr>
        <w:t xml:space="preserve"> M, </w:t>
      </w:r>
      <w:proofErr w:type="spellStart"/>
      <w:r w:rsidRPr="00CE7A48">
        <w:rPr>
          <w:color w:val="1B1B1B"/>
          <w:highlight w:val="yellow"/>
        </w:rPr>
        <w:t>Vlăsceanu</w:t>
      </w:r>
      <w:proofErr w:type="spellEnd"/>
      <w:r w:rsidRPr="00CE7A48">
        <w:rPr>
          <w:color w:val="1B1B1B"/>
          <w:highlight w:val="yellow"/>
        </w:rPr>
        <w:t xml:space="preserve"> GM, </w:t>
      </w:r>
      <w:proofErr w:type="spellStart"/>
      <w:r w:rsidRPr="00CE7A48">
        <w:rPr>
          <w:color w:val="1B1B1B"/>
          <w:highlight w:val="yellow"/>
        </w:rPr>
        <w:t>Toader</w:t>
      </w:r>
      <w:proofErr w:type="spellEnd"/>
      <w:r w:rsidRPr="00CE7A48">
        <w:rPr>
          <w:color w:val="1B1B1B"/>
          <w:highlight w:val="yellow"/>
        </w:rPr>
        <w:t xml:space="preserve"> AG, </w:t>
      </w:r>
      <w:proofErr w:type="spellStart"/>
      <w:r w:rsidRPr="00CE7A48">
        <w:rPr>
          <w:color w:val="1B1B1B"/>
          <w:highlight w:val="yellow"/>
        </w:rPr>
        <w:t>Manole</w:t>
      </w:r>
      <w:proofErr w:type="spellEnd"/>
      <w:r w:rsidRPr="00CE7A48">
        <w:rPr>
          <w:color w:val="1B1B1B"/>
          <w:highlight w:val="yellow"/>
        </w:rPr>
        <w:t xml:space="preserve"> M. Advances in Therapeutic Contact Lenses for the Management of Different Ocular Conditions. J Pers Med. 2023 Nov 3;13(11):1571. </w:t>
      </w:r>
      <w:proofErr w:type="spellStart"/>
      <w:r w:rsidRPr="00CE7A48">
        <w:rPr>
          <w:color w:val="1B1B1B"/>
          <w:highlight w:val="yellow"/>
        </w:rPr>
        <w:t>doi</w:t>
      </w:r>
      <w:proofErr w:type="spellEnd"/>
      <w:r w:rsidRPr="00CE7A48">
        <w:rPr>
          <w:color w:val="1B1B1B"/>
          <w:highlight w:val="yellow"/>
        </w:rPr>
        <w:t>: 10.3390/jpm13111571. PMID: 38003886; PMCID: PMC10672201.</w:t>
      </w:r>
    </w:p>
    <w:p w14:paraId="6F09790D" w14:textId="77777777" w:rsidR="006D6F72" w:rsidRDefault="006D6F72" w:rsidP="000715D2">
      <w:pPr>
        <w:shd w:val="clear" w:color="auto" w:fill="FFFFFF"/>
        <w:spacing w:before="100" w:beforeAutospacing="1"/>
        <w:ind w:left="720"/>
        <w:rPr>
          <w:rFonts w:ascii="Helvetica" w:hAnsi="Helvetica" w:cs="Helvetica"/>
          <w:color w:val="1B1B1B"/>
        </w:rPr>
      </w:pPr>
    </w:p>
    <w:p w14:paraId="0F489382" w14:textId="5189F6DF" w:rsidR="0008716E" w:rsidRDefault="0008716E">
      <w:pPr>
        <w:spacing w:after="120" w:line="300" w:lineRule="auto"/>
        <w:ind w:left="720" w:hanging="720"/>
        <w:jc w:val="both"/>
      </w:pPr>
    </w:p>
    <w:sectPr w:rsidR="0008716E" w:rsidSect="0032421A">
      <w:headerReference w:type="even" r:id="rId14"/>
      <w:headerReference w:type="default" r:id="rId15"/>
      <w:footerReference w:type="even" r:id="rId16"/>
      <w:footerReference w:type="default" r:id="rId17"/>
      <w:headerReference w:type="first" r:id="rId18"/>
      <w:footerReference w:type="first" r:id="rId19"/>
      <w:pgSz w:w="12240" w:h="15840"/>
      <w:pgMar w:top="1440" w:right="1296" w:bottom="1440" w:left="129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79CA7" w14:textId="77777777" w:rsidR="004D05D2" w:rsidRDefault="004D05D2" w:rsidP="00E82F90">
      <w:r>
        <w:separator/>
      </w:r>
    </w:p>
  </w:endnote>
  <w:endnote w:type="continuationSeparator" w:id="0">
    <w:p w14:paraId="7B468840" w14:textId="77777777" w:rsidR="004D05D2" w:rsidRDefault="004D05D2" w:rsidP="00E8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9893" w14:textId="77777777" w:rsidR="00E82F90" w:rsidRDefault="00E82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3EA5" w14:textId="77777777" w:rsidR="00E82F90" w:rsidRDefault="00E82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1707" w14:textId="77777777" w:rsidR="00E82F90" w:rsidRDefault="00E82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5AD4" w14:textId="77777777" w:rsidR="004D05D2" w:rsidRDefault="004D05D2" w:rsidP="00E82F90">
      <w:r>
        <w:separator/>
      </w:r>
    </w:p>
  </w:footnote>
  <w:footnote w:type="continuationSeparator" w:id="0">
    <w:p w14:paraId="170C52F5" w14:textId="77777777" w:rsidR="004D05D2" w:rsidRDefault="004D05D2" w:rsidP="00E8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0A38" w14:textId="7BF9E7B5" w:rsidR="00E82F90" w:rsidRDefault="004D05D2">
    <w:pPr>
      <w:pStyle w:val="Header"/>
    </w:pPr>
    <w:r>
      <w:rPr>
        <w:noProof/>
      </w:rPr>
      <w:pict w14:anchorId="1E108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4329" o:spid="_x0000_s2050" type="#_x0000_t136" style="position:absolute;margin-left:0;margin-top:0;width:611.1pt;height:68.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BA28" w14:textId="7E50B91C" w:rsidR="00E82F90" w:rsidRDefault="004D05D2">
    <w:pPr>
      <w:pStyle w:val="Header"/>
    </w:pPr>
    <w:r>
      <w:rPr>
        <w:noProof/>
      </w:rPr>
      <w:pict w14:anchorId="6A05D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4330" o:spid="_x0000_s2051" type="#_x0000_t136" style="position:absolute;margin-left:0;margin-top:0;width:611.1pt;height:68.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94CC" w14:textId="1E69CA48" w:rsidR="00E82F90" w:rsidRDefault="004D05D2">
    <w:pPr>
      <w:pStyle w:val="Header"/>
    </w:pPr>
    <w:r>
      <w:rPr>
        <w:noProof/>
      </w:rPr>
      <w:pict w14:anchorId="3CFF0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4328" o:spid="_x0000_s2049" type="#_x0000_t136" style="position:absolute;margin-left:0;margin-top:0;width:611.1pt;height:68.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62975"/>
    <w:multiLevelType w:val="hybridMultilevel"/>
    <w:tmpl w:val="822A06E0"/>
    <w:lvl w:ilvl="0" w:tplc="1A46473C">
      <w:start w:val="1"/>
      <w:numFmt w:val="bullet"/>
      <w:lvlText w:val="●"/>
      <w:lvlJc w:val="left"/>
      <w:pPr>
        <w:ind w:left="720" w:hanging="360"/>
      </w:pPr>
    </w:lvl>
    <w:lvl w:ilvl="1" w:tplc="320C4AA4">
      <w:start w:val="1"/>
      <w:numFmt w:val="bullet"/>
      <w:lvlText w:val="○"/>
      <w:lvlJc w:val="left"/>
      <w:pPr>
        <w:ind w:left="1440" w:hanging="360"/>
      </w:pPr>
    </w:lvl>
    <w:lvl w:ilvl="2" w:tplc="EC505020">
      <w:start w:val="1"/>
      <w:numFmt w:val="bullet"/>
      <w:lvlText w:val="■"/>
      <w:lvlJc w:val="left"/>
      <w:pPr>
        <w:ind w:left="2160" w:hanging="360"/>
      </w:pPr>
    </w:lvl>
    <w:lvl w:ilvl="3" w:tplc="60285956">
      <w:start w:val="1"/>
      <w:numFmt w:val="bullet"/>
      <w:lvlText w:val="●"/>
      <w:lvlJc w:val="left"/>
      <w:pPr>
        <w:ind w:left="2880" w:hanging="360"/>
      </w:pPr>
    </w:lvl>
    <w:lvl w:ilvl="4" w:tplc="D2186C86">
      <w:start w:val="1"/>
      <w:numFmt w:val="bullet"/>
      <w:lvlText w:val="○"/>
      <w:lvlJc w:val="left"/>
      <w:pPr>
        <w:ind w:left="3600" w:hanging="360"/>
      </w:pPr>
    </w:lvl>
    <w:lvl w:ilvl="5" w:tplc="AAF63DCE">
      <w:start w:val="1"/>
      <w:numFmt w:val="bullet"/>
      <w:lvlText w:val="■"/>
      <w:lvlJc w:val="left"/>
      <w:pPr>
        <w:ind w:left="4320" w:hanging="360"/>
      </w:pPr>
    </w:lvl>
    <w:lvl w:ilvl="6" w:tplc="989077EA">
      <w:start w:val="1"/>
      <w:numFmt w:val="bullet"/>
      <w:lvlText w:val="●"/>
      <w:lvlJc w:val="left"/>
      <w:pPr>
        <w:ind w:left="5040" w:hanging="360"/>
      </w:pPr>
    </w:lvl>
    <w:lvl w:ilvl="7" w:tplc="DC2AB97E">
      <w:start w:val="1"/>
      <w:numFmt w:val="bullet"/>
      <w:lvlText w:val="●"/>
      <w:lvlJc w:val="left"/>
      <w:pPr>
        <w:ind w:left="5760" w:hanging="360"/>
      </w:pPr>
    </w:lvl>
    <w:lvl w:ilvl="8" w:tplc="8E3E855E">
      <w:start w:val="1"/>
      <w:numFmt w:val="bullet"/>
      <w:lvlText w:val="●"/>
      <w:lvlJc w:val="left"/>
      <w:pPr>
        <w:ind w:left="6480" w:hanging="360"/>
      </w:pPr>
    </w:lvl>
  </w:abstractNum>
  <w:abstractNum w:abstractNumId="1" w15:restartNumberingAfterBreak="0">
    <w:nsid w:val="538C5D58"/>
    <w:multiLevelType w:val="multilevel"/>
    <w:tmpl w:val="6488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10C2E"/>
    <w:multiLevelType w:val="hybridMultilevel"/>
    <w:tmpl w:val="E4BCB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1sTC2MDQ2NDK2NLJU0lEKTi0uzszPAykwrAUASR4HoCwAAAA="/>
  </w:docVars>
  <w:rsids>
    <w:rsidRoot w:val="0032421A"/>
    <w:rsid w:val="0001437F"/>
    <w:rsid w:val="000715D2"/>
    <w:rsid w:val="0008716E"/>
    <w:rsid w:val="0025373C"/>
    <w:rsid w:val="002E40FD"/>
    <w:rsid w:val="0032421A"/>
    <w:rsid w:val="004D05D2"/>
    <w:rsid w:val="00593FD3"/>
    <w:rsid w:val="006B1DAB"/>
    <w:rsid w:val="006D35A2"/>
    <w:rsid w:val="006D6F72"/>
    <w:rsid w:val="008A1B2E"/>
    <w:rsid w:val="008C3F35"/>
    <w:rsid w:val="00970E70"/>
    <w:rsid w:val="00A128CB"/>
    <w:rsid w:val="00A66E3E"/>
    <w:rsid w:val="00CE7A48"/>
    <w:rsid w:val="00CF4EBC"/>
    <w:rsid w:val="00DA4D7D"/>
    <w:rsid w:val="00E8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C9ACE6"/>
  <w15:docId w15:val="{B628C232-4CED-4943-80B8-594CC731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32421A"/>
    <w:pPr>
      <w:spacing w:before="300" w:after="150"/>
      <w:outlineLvl w:val="0"/>
    </w:pPr>
    <w:rPr>
      <w:b/>
      <w:bCs/>
      <w:color w:val="000000"/>
      <w:sz w:val="28"/>
      <w:szCs w:val="28"/>
    </w:rPr>
  </w:style>
  <w:style w:type="paragraph" w:styleId="Heading2">
    <w:name w:val="heading 2"/>
    <w:qFormat/>
    <w:rsid w:val="0032421A"/>
    <w:pPr>
      <w:spacing w:before="240" w:after="120"/>
      <w:outlineLvl w:val="1"/>
    </w:pPr>
    <w:rPr>
      <w:b/>
      <w:bCs/>
      <w:color w:val="000000"/>
      <w:sz w:val="26"/>
      <w:szCs w:val="26"/>
    </w:rPr>
  </w:style>
  <w:style w:type="paragraph" w:styleId="Heading3">
    <w:name w:val="heading 3"/>
    <w:qFormat/>
    <w:rsid w:val="0032421A"/>
    <w:pPr>
      <w:outlineLvl w:val="2"/>
    </w:pPr>
    <w:rPr>
      <w:color w:val="1F4D78"/>
    </w:rPr>
  </w:style>
  <w:style w:type="paragraph" w:styleId="Heading4">
    <w:name w:val="heading 4"/>
    <w:qFormat/>
    <w:rsid w:val="0032421A"/>
    <w:pPr>
      <w:outlineLvl w:val="3"/>
    </w:pPr>
    <w:rPr>
      <w:i/>
      <w:iCs/>
      <w:color w:val="2E74B5"/>
    </w:rPr>
  </w:style>
  <w:style w:type="paragraph" w:styleId="Heading5">
    <w:name w:val="heading 5"/>
    <w:qFormat/>
    <w:rsid w:val="0032421A"/>
    <w:pPr>
      <w:outlineLvl w:val="4"/>
    </w:pPr>
    <w:rPr>
      <w:color w:val="2E74B5"/>
    </w:rPr>
  </w:style>
  <w:style w:type="paragraph" w:styleId="Heading6">
    <w:name w:val="heading 6"/>
    <w:qFormat/>
    <w:rsid w:val="0032421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2421A"/>
    <w:rPr>
      <w:sz w:val="56"/>
      <w:szCs w:val="56"/>
    </w:rPr>
  </w:style>
  <w:style w:type="paragraph" w:customStyle="1" w:styleId="Strong1">
    <w:name w:val="Strong1"/>
    <w:qFormat/>
    <w:rsid w:val="0032421A"/>
    <w:rPr>
      <w:b/>
      <w:bCs/>
    </w:rPr>
  </w:style>
  <w:style w:type="paragraph" w:styleId="ListParagraph">
    <w:name w:val="List Paragraph"/>
    <w:qFormat/>
    <w:rsid w:val="0032421A"/>
  </w:style>
  <w:style w:type="character" w:styleId="Hyperlink">
    <w:name w:val="Hyperlink"/>
    <w:uiPriority w:val="99"/>
    <w:unhideWhenUsed/>
    <w:rsid w:val="0032421A"/>
    <w:rPr>
      <w:color w:val="0563C1"/>
      <w:u w:val="single"/>
    </w:rPr>
  </w:style>
  <w:style w:type="character" w:styleId="FootnoteReference">
    <w:name w:val="footnote reference"/>
    <w:uiPriority w:val="99"/>
    <w:semiHidden/>
    <w:unhideWhenUsed/>
    <w:rsid w:val="0032421A"/>
    <w:rPr>
      <w:vertAlign w:val="superscript"/>
    </w:rPr>
  </w:style>
  <w:style w:type="paragraph" w:styleId="FootnoteText">
    <w:name w:val="footnote text"/>
    <w:link w:val="FootnoteTextChar"/>
    <w:uiPriority w:val="99"/>
    <w:semiHidden/>
    <w:unhideWhenUsed/>
    <w:rsid w:val="0032421A"/>
    <w:rPr>
      <w:sz w:val="20"/>
      <w:szCs w:val="20"/>
    </w:rPr>
  </w:style>
  <w:style w:type="character" w:customStyle="1" w:styleId="FootnoteTextChar">
    <w:name w:val="Footnote Text Char"/>
    <w:link w:val="FootnoteText"/>
    <w:uiPriority w:val="99"/>
    <w:semiHidden/>
    <w:unhideWhenUsed/>
    <w:rsid w:val="0032421A"/>
    <w:rPr>
      <w:sz w:val="20"/>
      <w:szCs w:val="20"/>
    </w:rPr>
  </w:style>
  <w:style w:type="character" w:styleId="EndnoteReference">
    <w:name w:val="endnote reference"/>
    <w:uiPriority w:val="99"/>
    <w:semiHidden/>
    <w:unhideWhenUsed/>
    <w:rsid w:val="0032421A"/>
    <w:rPr>
      <w:vertAlign w:val="superscript"/>
    </w:rPr>
  </w:style>
  <w:style w:type="paragraph" w:styleId="EndnoteText">
    <w:name w:val="endnote text"/>
    <w:link w:val="EndnoteTextChar"/>
    <w:uiPriority w:val="99"/>
    <w:semiHidden/>
    <w:unhideWhenUsed/>
    <w:rsid w:val="0032421A"/>
    <w:rPr>
      <w:sz w:val="20"/>
      <w:szCs w:val="20"/>
    </w:rPr>
  </w:style>
  <w:style w:type="character" w:customStyle="1" w:styleId="EndnoteTextChar">
    <w:name w:val="Endnote Text Char"/>
    <w:link w:val="EndnoteText"/>
    <w:uiPriority w:val="99"/>
    <w:semiHidden/>
    <w:unhideWhenUsed/>
    <w:rsid w:val="0032421A"/>
    <w:rPr>
      <w:sz w:val="20"/>
      <w:szCs w:val="20"/>
    </w:rPr>
  </w:style>
  <w:style w:type="character" w:styleId="Emphasis">
    <w:name w:val="Emphasis"/>
    <w:basedOn w:val="DefaultParagraphFont"/>
    <w:uiPriority w:val="20"/>
    <w:qFormat/>
    <w:rsid w:val="0025373C"/>
    <w:rPr>
      <w:i/>
      <w:iCs/>
    </w:rPr>
  </w:style>
  <w:style w:type="paragraph" w:styleId="Header">
    <w:name w:val="header"/>
    <w:basedOn w:val="Normal"/>
    <w:link w:val="HeaderChar"/>
    <w:uiPriority w:val="99"/>
    <w:unhideWhenUsed/>
    <w:rsid w:val="00E82F90"/>
    <w:pPr>
      <w:tabs>
        <w:tab w:val="center" w:pos="4680"/>
        <w:tab w:val="right" w:pos="9360"/>
      </w:tabs>
    </w:pPr>
  </w:style>
  <w:style w:type="character" w:customStyle="1" w:styleId="HeaderChar">
    <w:name w:val="Header Char"/>
    <w:basedOn w:val="DefaultParagraphFont"/>
    <w:link w:val="Header"/>
    <w:uiPriority w:val="99"/>
    <w:rsid w:val="00E82F90"/>
  </w:style>
  <w:style w:type="paragraph" w:styleId="Footer">
    <w:name w:val="footer"/>
    <w:basedOn w:val="Normal"/>
    <w:link w:val="FooterChar"/>
    <w:uiPriority w:val="99"/>
    <w:unhideWhenUsed/>
    <w:rsid w:val="00E82F90"/>
    <w:pPr>
      <w:tabs>
        <w:tab w:val="center" w:pos="4680"/>
        <w:tab w:val="right" w:pos="9360"/>
      </w:tabs>
    </w:pPr>
  </w:style>
  <w:style w:type="character" w:customStyle="1" w:styleId="FooterChar">
    <w:name w:val="Footer Char"/>
    <w:basedOn w:val="DefaultParagraphFont"/>
    <w:link w:val="Footer"/>
    <w:uiPriority w:val="99"/>
    <w:rsid w:val="00E82F90"/>
  </w:style>
  <w:style w:type="paragraph" w:styleId="BalloonText">
    <w:name w:val="Balloon Text"/>
    <w:basedOn w:val="Normal"/>
    <w:link w:val="BalloonTextChar"/>
    <w:uiPriority w:val="99"/>
    <w:semiHidden/>
    <w:unhideWhenUsed/>
    <w:rsid w:val="006B1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92339">
      <w:bodyDiv w:val="1"/>
      <w:marLeft w:val="0"/>
      <w:marRight w:val="0"/>
      <w:marTop w:val="0"/>
      <w:marBottom w:val="0"/>
      <w:divBdr>
        <w:top w:val="none" w:sz="0" w:space="0" w:color="auto"/>
        <w:left w:val="none" w:sz="0" w:space="0" w:color="auto"/>
        <w:bottom w:val="none" w:sz="0" w:space="0" w:color="auto"/>
        <w:right w:val="none" w:sz="0" w:space="0" w:color="auto"/>
      </w:divBdr>
      <w:divsChild>
        <w:div w:id="1067846759">
          <w:marLeft w:val="0"/>
          <w:marRight w:val="0"/>
          <w:marTop w:val="0"/>
          <w:marBottom w:val="0"/>
          <w:divBdr>
            <w:top w:val="none" w:sz="0" w:space="0" w:color="auto"/>
            <w:left w:val="none" w:sz="0" w:space="0" w:color="auto"/>
            <w:bottom w:val="none" w:sz="0" w:space="0" w:color="auto"/>
            <w:right w:val="none" w:sz="0" w:space="0" w:color="auto"/>
          </w:divBdr>
        </w:div>
        <w:div w:id="1732194868">
          <w:marLeft w:val="0"/>
          <w:marRight w:val="0"/>
          <w:marTop w:val="0"/>
          <w:marBottom w:val="0"/>
          <w:divBdr>
            <w:top w:val="none" w:sz="0" w:space="0" w:color="auto"/>
            <w:left w:val="none" w:sz="0" w:space="0" w:color="auto"/>
            <w:bottom w:val="none" w:sz="0" w:space="0" w:color="auto"/>
            <w:right w:val="none" w:sz="0" w:space="0" w:color="auto"/>
          </w:divBdr>
        </w:div>
      </w:divsChild>
    </w:div>
    <w:div w:id="1416632959">
      <w:bodyDiv w:val="1"/>
      <w:marLeft w:val="0"/>
      <w:marRight w:val="0"/>
      <w:marTop w:val="0"/>
      <w:marBottom w:val="0"/>
      <w:divBdr>
        <w:top w:val="none" w:sz="0" w:space="0" w:color="auto"/>
        <w:left w:val="none" w:sz="0" w:space="0" w:color="auto"/>
        <w:bottom w:val="none" w:sz="0" w:space="0" w:color="auto"/>
        <w:right w:val="none" w:sz="0" w:space="0" w:color="auto"/>
      </w:divBdr>
      <w:divsChild>
        <w:div w:id="54757503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37261622">
      <w:bodyDiv w:val="1"/>
      <w:marLeft w:val="0"/>
      <w:marRight w:val="0"/>
      <w:marTop w:val="0"/>
      <w:marBottom w:val="0"/>
      <w:divBdr>
        <w:top w:val="none" w:sz="0" w:space="0" w:color="auto"/>
        <w:left w:val="none" w:sz="0" w:space="0" w:color="auto"/>
        <w:bottom w:val="none" w:sz="0" w:space="0" w:color="auto"/>
        <w:right w:val="none" w:sz="0" w:space="0" w:color="auto"/>
      </w:divBdr>
      <w:divsChild>
        <w:div w:id="104010309">
          <w:marLeft w:val="0"/>
          <w:marRight w:val="0"/>
          <w:marTop w:val="0"/>
          <w:marBottom w:val="0"/>
          <w:divBdr>
            <w:top w:val="none" w:sz="0" w:space="0" w:color="auto"/>
            <w:left w:val="none" w:sz="0" w:space="0" w:color="auto"/>
            <w:bottom w:val="none" w:sz="0" w:space="0" w:color="auto"/>
            <w:right w:val="none" w:sz="0" w:space="0" w:color="auto"/>
          </w:divBdr>
        </w:div>
        <w:div w:id="159994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OPX.0000000000001410" TargetMode="External"/><Relationship Id="rId13" Type="http://schemas.openxmlformats.org/officeDocument/2006/relationships/hyperlink" Target="https://doi.org/10.1039/978183916977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j.ophtha.2024.09.031" TargetMode="External"/><Relationship Id="rId12" Type="http://schemas.openxmlformats.org/officeDocument/2006/relationships/hyperlink" Target="https://doi.org/10.1016/j.clae.2019.11.00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185117a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3390/life1304085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4103/IJO.IJO_2778_2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27</Pages>
  <Words>10217</Words>
  <Characters>58237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15</cp:revision>
  <dcterms:created xsi:type="dcterms:W3CDTF">2026-04-09T08:42:00Z</dcterms:created>
  <dcterms:modified xsi:type="dcterms:W3CDTF">2026-04-14T08:21:00Z</dcterms:modified>
</cp:coreProperties>
</file>