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F4C20" w14:textId="77777777" w:rsidR="006F487A" w:rsidRDefault="00000000">
      <w:pPr>
        <w:spacing w:after="120"/>
        <w:jc w:val="center"/>
        <w:rPr>
          <w:rFonts w:ascii="Arial" w:eastAsia="Arial" w:hAnsi="Arial" w:cs="Arial"/>
          <w:b/>
          <w:bCs/>
          <w:sz w:val="24"/>
          <w:szCs w:val="24"/>
        </w:rPr>
      </w:pPr>
      <w:r>
        <w:rPr>
          <w:rFonts w:ascii="Arial" w:eastAsia="Arial" w:hAnsi="Arial" w:cs="Arial"/>
          <w:b/>
          <w:bCs/>
          <w:sz w:val="24"/>
          <w:szCs w:val="24"/>
        </w:rPr>
        <w:t>short communication</w:t>
      </w:r>
    </w:p>
    <w:p w14:paraId="71A8729D" w14:textId="77777777" w:rsidR="006F487A" w:rsidRDefault="00000000">
      <w:pPr>
        <w:spacing w:after="120"/>
        <w:jc w:val="center"/>
        <w:rPr>
          <w:rFonts w:ascii="Arial" w:eastAsia="Arial" w:hAnsi="Arial" w:cs="Arial"/>
          <w:sz w:val="24"/>
          <w:szCs w:val="24"/>
        </w:rPr>
      </w:pPr>
      <w:r>
        <w:rPr>
          <w:rFonts w:ascii="Arial" w:eastAsia="Arial" w:hAnsi="Arial" w:cs="Arial"/>
          <w:b/>
          <w:bCs/>
          <w:sz w:val="24"/>
          <w:szCs w:val="24"/>
        </w:rPr>
        <w:t>ANTIMICROBIAL EFFICACY OF SILVER NANOPARTICLES (</w:t>
      </w:r>
      <w:proofErr w:type="spellStart"/>
      <w:r>
        <w:rPr>
          <w:rFonts w:ascii="Arial" w:eastAsia="Arial" w:hAnsi="Arial" w:cs="Arial"/>
          <w:b/>
          <w:bCs/>
          <w:sz w:val="24"/>
          <w:szCs w:val="24"/>
        </w:rPr>
        <w:t>AgNPs</w:t>
      </w:r>
      <w:proofErr w:type="spellEnd"/>
      <w:r>
        <w:rPr>
          <w:rFonts w:ascii="Arial" w:eastAsia="Arial" w:hAnsi="Arial" w:cs="Arial"/>
          <w:b/>
          <w:bCs/>
          <w:sz w:val="24"/>
          <w:szCs w:val="24"/>
        </w:rPr>
        <w:t>) IN COMBINATION WITH HAND SANITIZER AGAINST FOODBORNE AND SPOILAGE BACTERIA</w:t>
      </w:r>
    </w:p>
    <w:p w14:paraId="6641EF23" w14:textId="77777777" w:rsidR="006F487A" w:rsidRDefault="006F487A">
      <w:pPr>
        <w:spacing w:before="120" w:after="80"/>
        <w:rPr>
          <w:rFonts w:ascii="Arial" w:eastAsia="Arial" w:hAnsi="Arial" w:cs="Arial"/>
          <w:b/>
          <w:bCs/>
          <w:sz w:val="22"/>
          <w:szCs w:val="22"/>
        </w:rPr>
      </w:pPr>
    </w:p>
    <w:p w14:paraId="0A800688" w14:textId="77777777" w:rsidR="006F487A" w:rsidRDefault="006F487A">
      <w:pPr>
        <w:spacing w:before="120" w:after="80"/>
        <w:rPr>
          <w:rFonts w:ascii="Arial" w:eastAsia="Arial" w:hAnsi="Arial" w:cs="Arial"/>
          <w:b/>
          <w:bCs/>
          <w:sz w:val="22"/>
          <w:szCs w:val="22"/>
        </w:rPr>
      </w:pPr>
    </w:p>
    <w:p w14:paraId="6C8749B3" w14:textId="77777777" w:rsidR="006F487A" w:rsidRDefault="00000000">
      <w:pPr>
        <w:spacing w:before="120" w:after="80"/>
        <w:rPr>
          <w:rFonts w:ascii="Arial" w:eastAsia="Arial" w:hAnsi="Arial" w:cs="Arial"/>
          <w:sz w:val="22"/>
          <w:szCs w:val="22"/>
        </w:rPr>
      </w:pPr>
      <w:r>
        <w:rPr>
          <w:rFonts w:ascii="Arial" w:eastAsia="Arial" w:hAnsi="Arial" w:cs="Arial"/>
          <w:b/>
          <w:bCs/>
          <w:sz w:val="22"/>
          <w:szCs w:val="22"/>
        </w:rPr>
        <w:t>ABSTRACT</w:t>
      </w:r>
    </w:p>
    <w:p w14:paraId="1D233E02" w14:textId="77777777" w:rsidR="006F487A" w:rsidRDefault="00000000">
      <w:pPr>
        <w:spacing w:after="80"/>
        <w:jc w:val="both"/>
        <w:rPr>
          <w:rFonts w:ascii="Arial" w:eastAsia="Arial" w:hAnsi="Arial" w:cs="Arial"/>
          <w:sz w:val="20"/>
          <w:szCs w:val="20"/>
        </w:rPr>
      </w:pPr>
      <w:r>
        <w:rPr>
          <w:rFonts w:ascii="Arial" w:eastAsia="Arial" w:hAnsi="Arial" w:cs="Arial"/>
          <w:sz w:val="20"/>
          <w:szCs w:val="20"/>
        </w:rPr>
        <w:t>Silver nanoparticles (</w:t>
      </w:r>
      <w:proofErr w:type="spellStart"/>
      <w:r>
        <w:rPr>
          <w:rFonts w:ascii="Arial" w:eastAsia="Arial" w:hAnsi="Arial" w:cs="Arial"/>
          <w:sz w:val="20"/>
          <w:szCs w:val="20"/>
        </w:rPr>
        <w:t>AgNPs</w:t>
      </w:r>
      <w:proofErr w:type="spellEnd"/>
      <w:r>
        <w:rPr>
          <w:rFonts w:ascii="Arial" w:eastAsia="Arial" w:hAnsi="Arial" w:cs="Arial"/>
          <w:sz w:val="20"/>
          <w:szCs w:val="20"/>
        </w:rPr>
        <w:t xml:space="preserve">) are recognized for their broad-spectrum antimicrobial properties against foodborne bacteria, including </w:t>
      </w:r>
      <w:r>
        <w:rPr>
          <w:rFonts w:ascii="Arial" w:eastAsia="Arial" w:hAnsi="Arial" w:cs="Arial"/>
          <w:i/>
          <w:iCs/>
          <w:sz w:val="20"/>
          <w:szCs w:val="20"/>
        </w:rPr>
        <w:t>E. coli</w:t>
      </w:r>
      <w:r>
        <w:rPr>
          <w:rFonts w:ascii="Arial" w:eastAsia="Arial" w:hAnsi="Arial" w:cs="Arial"/>
          <w:sz w:val="20"/>
          <w:szCs w:val="20"/>
        </w:rPr>
        <w:t xml:space="preserve">, </w:t>
      </w:r>
      <w:r>
        <w:rPr>
          <w:rFonts w:ascii="Arial" w:eastAsia="Arial" w:hAnsi="Arial" w:cs="Arial"/>
          <w:i/>
          <w:iCs/>
          <w:sz w:val="20"/>
          <w:szCs w:val="20"/>
        </w:rPr>
        <w:t>S. aureus</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This study investigated whether </w:t>
      </w:r>
      <w:proofErr w:type="spellStart"/>
      <w:r>
        <w:rPr>
          <w:rFonts w:ascii="Arial" w:eastAsia="Arial" w:hAnsi="Arial" w:cs="Arial"/>
          <w:sz w:val="20"/>
          <w:szCs w:val="20"/>
        </w:rPr>
        <w:t>AgNPs</w:t>
      </w:r>
      <w:proofErr w:type="spellEnd"/>
      <w:r>
        <w:rPr>
          <w:rFonts w:ascii="Arial" w:eastAsia="Arial" w:hAnsi="Arial" w:cs="Arial"/>
          <w:sz w:val="20"/>
          <w:szCs w:val="20"/>
        </w:rPr>
        <w:t xml:space="preserve"> at varying concentrations (0.10%, 0.25%, 0.50%) could enhance the antimicrobial efficacy of a diluted hand sanitizer (1%) against these three strains. Bacterial growth was monitored by optical density (OD</w:t>
      </w:r>
      <w:r>
        <w:rPr>
          <w:rFonts w:ascii="Arial" w:eastAsia="Arial" w:hAnsi="Arial" w:cs="Arial"/>
          <w:sz w:val="20"/>
          <w:szCs w:val="20"/>
          <w:vertAlign w:val="subscript"/>
        </w:rPr>
        <w:t>600</w:t>
      </w:r>
      <w:r>
        <w:rPr>
          <w:rFonts w:ascii="Arial" w:eastAsia="Arial" w:hAnsi="Arial" w:cs="Arial"/>
          <w:sz w:val="20"/>
          <w:szCs w:val="20"/>
        </w:rPr>
        <w:t xml:space="preserve">) at </w:t>
      </w:r>
      <w:proofErr w:type="gramStart"/>
      <w:r>
        <w:rPr>
          <w:rFonts w:ascii="Arial" w:eastAsia="Arial" w:hAnsi="Arial" w:cs="Arial"/>
          <w:sz w:val="20"/>
          <w:szCs w:val="20"/>
        </w:rPr>
        <w:t>2, 4, and 24 hours</w:t>
      </w:r>
      <w:proofErr w:type="gramEnd"/>
      <w:r>
        <w:rPr>
          <w:rFonts w:ascii="Arial" w:eastAsia="Arial" w:hAnsi="Arial" w:cs="Arial"/>
          <w:sz w:val="20"/>
          <w:szCs w:val="20"/>
        </w:rPr>
        <w:t xml:space="preserve"> post-inoculation. UV-Visible spectroscopy confirmed </w:t>
      </w:r>
      <w:proofErr w:type="spellStart"/>
      <w:r>
        <w:rPr>
          <w:rFonts w:ascii="Arial" w:eastAsia="Arial" w:hAnsi="Arial" w:cs="Arial"/>
          <w:sz w:val="20"/>
          <w:szCs w:val="20"/>
        </w:rPr>
        <w:t>AgNP</w:t>
      </w:r>
      <w:proofErr w:type="spellEnd"/>
      <w:r>
        <w:rPr>
          <w:rFonts w:ascii="Arial" w:eastAsia="Arial" w:hAnsi="Arial" w:cs="Arial"/>
          <w:sz w:val="20"/>
          <w:szCs w:val="20"/>
        </w:rPr>
        <w:t xml:space="preserve"> synthesis (SPR peak at 430 nm). The optimum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was organism-dependent: 0.25% </w:t>
      </w:r>
      <w:proofErr w:type="spellStart"/>
      <w:r>
        <w:rPr>
          <w:rFonts w:ascii="Arial" w:eastAsia="Arial" w:hAnsi="Arial" w:cs="Arial"/>
          <w:sz w:val="20"/>
          <w:szCs w:val="20"/>
        </w:rPr>
        <w:t>AgNPs</w:t>
      </w:r>
      <w:proofErr w:type="spellEnd"/>
      <w:r>
        <w:rPr>
          <w:rFonts w:ascii="Arial" w:eastAsia="Arial" w:hAnsi="Arial" w:cs="Arial"/>
          <w:sz w:val="20"/>
          <w:szCs w:val="20"/>
        </w:rPr>
        <w:t xml:space="preserve"> with 1% sanitizer produced greatest inhibition of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at 4 hours, while 0.50% </w:t>
      </w:r>
      <w:proofErr w:type="spellStart"/>
      <w:r>
        <w:rPr>
          <w:rFonts w:ascii="Arial" w:eastAsia="Arial" w:hAnsi="Arial" w:cs="Arial"/>
          <w:sz w:val="20"/>
          <w:szCs w:val="20"/>
        </w:rPr>
        <w:t>AgNPs</w:t>
      </w:r>
      <w:proofErr w:type="spellEnd"/>
      <w:r>
        <w:rPr>
          <w:rFonts w:ascii="Arial" w:eastAsia="Arial" w:hAnsi="Arial" w:cs="Arial"/>
          <w:sz w:val="20"/>
          <w:szCs w:val="20"/>
        </w:rPr>
        <w:t xml:space="preserve"> showed superior and sustained inhibition of </w:t>
      </w:r>
      <w:r>
        <w:rPr>
          <w:rFonts w:ascii="Arial" w:eastAsia="Arial" w:hAnsi="Arial" w:cs="Arial"/>
          <w:i/>
          <w:iCs/>
          <w:sz w:val="20"/>
          <w:szCs w:val="20"/>
        </w:rPr>
        <w:t>S. aureus</w:t>
      </w:r>
      <w:r>
        <w:rPr>
          <w:rFonts w:ascii="Arial" w:eastAsia="Arial" w:hAnsi="Arial" w:cs="Arial"/>
          <w:sz w:val="20"/>
          <w:szCs w:val="20"/>
        </w:rPr>
        <w:t xml:space="preserve"> at 4 and 24 hours. These differences are attributed to cell wall architecture. </w:t>
      </w:r>
      <w:proofErr w:type="spellStart"/>
      <w:r>
        <w:rPr>
          <w:rFonts w:ascii="Arial" w:eastAsia="Arial" w:hAnsi="Arial" w:cs="Arial"/>
          <w:sz w:val="20"/>
          <w:szCs w:val="20"/>
        </w:rPr>
        <w:t>AgNP</w:t>
      </w:r>
      <w:proofErr w:type="spellEnd"/>
      <w:r>
        <w:rPr>
          <w:rFonts w:ascii="Arial" w:eastAsia="Arial" w:hAnsi="Arial" w:cs="Arial"/>
          <w:sz w:val="20"/>
          <w:szCs w:val="20"/>
        </w:rPr>
        <w:t>-enhanced sanitizers show potential for food safety applications, though cytotoxicity concerns require resolution before human use.</w:t>
      </w:r>
    </w:p>
    <w:p w14:paraId="6C0E8E71" w14:textId="77777777" w:rsidR="006F487A" w:rsidRDefault="00000000">
      <w:pPr>
        <w:spacing w:before="80" w:after="160"/>
        <w:rPr>
          <w:rFonts w:ascii="Arial" w:eastAsia="Arial" w:hAnsi="Arial" w:cs="Arial"/>
          <w:sz w:val="20"/>
          <w:szCs w:val="20"/>
        </w:rPr>
      </w:pPr>
      <w:r>
        <w:rPr>
          <w:rFonts w:ascii="Arial" w:eastAsia="Arial" w:hAnsi="Arial" w:cs="Arial"/>
          <w:b/>
          <w:bCs/>
          <w:sz w:val="20"/>
          <w:szCs w:val="20"/>
        </w:rPr>
        <w:t xml:space="preserve">Keywords: </w:t>
      </w:r>
      <w:r>
        <w:rPr>
          <w:rFonts w:ascii="Arial" w:eastAsia="Arial" w:hAnsi="Arial" w:cs="Arial"/>
          <w:sz w:val="20"/>
          <w:szCs w:val="20"/>
        </w:rPr>
        <w:t xml:space="preserve">silver nanoparticles, </w:t>
      </w:r>
      <w:proofErr w:type="spellStart"/>
      <w:r>
        <w:rPr>
          <w:rFonts w:ascii="Arial" w:eastAsia="Arial" w:hAnsi="Arial" w:cs="Arial"/>
          <w:sz w:val="20"/>
          <w:szCs w:val="20"/>
        </w:rPr>
        <w:t>AgNPs</w:t>
      </w:r>
      <w:proofErr w:type="spellEnd"/>
      <w:r>
        <w:rPr>
          <w:rFonts w:ascii="Arial" w:eastAsia="Arial" w:hAnsi="Arial" w:cs="Arial"/>
          <w:sz w:val="20"/>
          <w:szCs w:val="20"/>
        </w:rPr>
        <w:t xml:space="preserve">, antimicrobial activity, hand sanitizer, optical density, </w:t>
      </w:r>
      <w:r>
        <w:rPr>
          <w:rFonts w:ascii="Arial" w:eastAsia="Arial" w:hAnsi="Arial" w:cs="Arial"/>
          <w:i/>
          <w:iCs/>
          <w:sz w:val="20"/>
          <w:szCs w:val="20"/>
        </w:rPr>
        <w:t>E. coli</w:t>
      </w:r>
      <w:r>
        <w:rPr>
          <w:rFonts w:ascii="Arial" w:eastAsia="Arial" w:hAnsi="Arial" w:cs="Arial"/>
          <w:sz w:val="20"/>
          <w:szCs w:val="20"/>
        </w:rPr>
        <w:t xml:space="preserve">, </w:t>
      </w:r>
      <w:r>
        <w:rPr>
          <w:rFonts w:ascii="Arial" w:eastAsia="Arial" w:hAnsi="Arial" w:cs="Arial"/>
          <w:i/>
          <w:iCs/>
          <w:sz w:val="20"/>
          <w:szCs w:val="20"/>
        </w:rPr>
        <w:t>S. aureus</w:t>
      </w:r>
      <w:r>
        <w:rPr>
          <w:rFonts w:ascii="Arial" w:eastAsia="Arial" w:hAnsi="Arial" w:cs="Arial"/>
          <w:sz w:val="20"/>
          <w:szCs w:val="20"/>
        </w:rPr>
        <w:t xml:space="preserve">, </w:t>
      </w:r>
      <w:r>
        <w:rPr>
          <w:rFonts w:ascii="Arial" w:eastAsia="Arial" w:hAnsi="Arial" w:cs="Arial"/>
          <w:i/>
          <w:iCs/>
          <w:sz w:val="20"/>
          <w:szCs w:val="20"/>
        </w:rPr>
        <w:t>B. subtilis</w:t>
      </w:r>
    </w:p>
    <w:p w14:paraId="057B7C57" w14:textId="77777777" w:rsidR="006F487A" w:rsidRDefault="00000000">
      <w:pPr>
        <w:spacing w:before="160" w:after="80"/>
        <w:rPr>
          <w:rFonts w:ascii="Arial" w:eastAsia="Arial" w:hAnsi="Arial" w:cs="Arial"/>
          <w:sz w:val="22"/>
          <w:szCs w:val="22"/>
        </w:rPr>
      </w:pPr>
      <w:r>
        <w:rPr>
          <w:rFonts w:ascii="Arial" w:eastAsia="Arial" w:hAnsi="Arial" w:cs="Arial"/>
          <w:b/>
          <w:bCs/>
          <w:smallCaps/>
          <w:sz w:val="22"/>
          <w:szCs w:val="22"/>
        </w:rPr>
        <w:t>INTRODUCTION</w:t>
      </w:r>
    </w:p>
    <w:p w14:paraId="6D5DCFAC" w14:textId="77777777" w:rsidR="006F487A" w:rsidRDefault="00000000">
      <w:pPr>
        <w:spacing w:after="80"/>
        <w:jc w:val="both"/>
        <w:rPr>
          <w:rFonts w:ascii="Arial" w:eastAsia="Arial" w:hAnsi="Arial" w:cs="Arial"/>
          <w:sz w:val="20"/>
          <w:szCs w:val="20"/>
        </w:rPr>
      </w:pPr>
      <w:r>
        <w:rPr>
          <w:rFonts w:ascii="Arial" w:eastAsia="Arial" w:hAnsi="Arial" w:cs="Arial"/>
          <w:sz w:val="20"/>
          <w:szCs w:val="20"/>
        </w:rPr>
        <w:t>Silver nanoparticles (</w:t>
      </w:r>
      <w:proofErr w:type="spellStart"/>
      <w:r>
        <w:rPr>
          <w:rFonts w:ascii="Arial" w:eastAsia="Arial" w:hAnsi="Arial" w:cs="Arial"/>
          <w:sz w:val="20"/>
          <w:szCs w:val="20"/>
        </w:rPr>
        <w:t>AgNPs</w:t>
      </w:r>
      <w:proofErr w:type="spellEnd"/>
      <w:r>
        <w:rPr>
          <w:rFonts w:ascii="Arial" w:eastAsia="Arial" w:hAnsi="Arial" w:cs="Arial"/>
          <w:sz w:val="20"/>
          <w:szCs w:val="20"/>
        </w:rPr>
        <w:t xml:space="preserve">) have garnered considerable attention as potent antimicrobial agents due to their unique physicochemical properties and broad-spectrum activity against a wide range of microorganisms. Their effectiveness against bacteria, fungi, and viruses has been extensively reported, making them a promising candidate for incorporation into disinfectant and hygiene products (Rai et al., 2009). A study showed that positively charged </w:t>
      </w:r>
      <w:proofErr w:type="spellStart"/>
      <w:r>
        <w:rPr>
          <w:rFonts w:ascii="Arial" w:eastAsia="Arial" w:hAnsi="Arial" w:cs="Arial"/>
          <w:sz w:val="20"/>
          <w:szCs w:val="20"/>
        </w:rPr>
        <w:t>AgNPs</w:t>
      </w:r>
      <w:proofErr w:type="spellEnd"/>
      <w:r>
        <w:rPr>
          <w:rFonts w:ascii="Arial" w:eastAsia="Arial" w:hAnsi="Arial" w:cs="Arial"/>
          <w:sz w:val="20"/>
          <w:szCs w:val="20"/>
        </w:rPr>
        <w:t xml:space="preserve"> (</w:t>
      </w:r>
      <w:proofErr w:type="spellStart"/>
      <w:r>
        <w:rPr>
          <w:rFonts w:ascii="Arial" w:eastAsia="Arial" w:hAnsi="Arial" w:cs="Arial"/>
          <w:sz w:val="20"/>
          <w:szCs w:val="20"/>
        </w:rPr>
        <w:t>AgNPs</w:t>
      </w:r>
      <w:proofErr w:type="spellEnd"/>
      <w:r>
        <w:rPr>
          <w:rFonts w:ascii="Arial" w:eastAsia="Arial" w:hAnsi="Arial" w:cs="Arial"/>
          <w:sz w:val="20"/>
          <w:szCs w:val="20"/>
        </w:rPr>
        <w:t xml:space="preserve">+) have been successfully combined with chlorhexidine (CHX), a common antiseptic. This combination significantly lowered the concentration needed to kill bacteria, suggesting it as a highly effective potential root canal disinfectant (Gholami et al., 2022).  Khan et al. (2020) compared bare </w:t>
      </w:r>
      <w:proofErr w:type="spellStart"/>
      <w:r>
        <w:rPr>
          <w:rFonts w:ascii="Arial" w:eastAsia="Arial" w:hAnsi="Arial" w:cs="Arial"/>
          <w:sz w:val="20"/>
          <w:szCs w:val="20"/>
        </w:rPr>
        <w:t>AgNPs</w:t>
      </w:r>
      <w:proofErr w:type="spellEnd"/>
      <w:r>
        <w:rPr>
          <w:rFonts w:ascii="Arial" w:eastAsia="Arial" w:hAnsi="Arial" w:cs="Arial"/>
          <w:sz w:val="20"/>
          <w:szCs w:val="20"/>
        </w:rPr>
        <w:t xml:space="preserve"> against </w:t>
      </w:r>
      <w:proofErr w:type="spellStart"/>
      <w:r>
        <w:rPr>
          <w:rFonts w:ascii="Arial" w:eastAsia="Arial" w:hAnsi="Arial" w:cs="Arial"/>
          <w:sz w:val="20"/>
          <w:szCs w:val="20"/>
        </w:rPr>
        <w:t>AgNPs</w:t>
      </w:r>
      <w:proofErr w:type="spellEnd"/>
      <w:r>
        <w:rPr>
          <w:rFonts w:ascii="Arial" w:eastAsia="Arial" w:hAnsi="Arial" w:cs="Arial"/>
          <w:sz w:val="20"/>
          <w:szCs w:val="20"/>
        </w:rPr>
        <w:t xml:space="preserve"> coated with different molecular weights of polyethylene glycol (PEG) against S. aureus and found that PEG-coated nanoparticles were more effective than bare ones. The best results came from combining smaller nanoparticles with higher molecular weight PEG (P5000), which produced the largest bacterial inhibition zone. Another study used a "green synthesis" approach i.e. plant extracts to create </w:t>
      </w:r>
      <w:proofErr w:type="spellStart"/>
      <w:r>
        <w:rPr>
          <w:rFonts w:ascii="Arial" w:eastAsia="Arial" w:hAnsi="Arial" w:cs="Arial"/>
          <w:sz w:val="20"/>
          <w:szCs w:val="20"/>
        </w:rPr>
        <w:t>AgNPs</w:t>
      </w:r>
      <w:proofErr w:type="spellEnd"/>
      <w:r>
        <w:rPr>
          <w:rFonts w:ascii="Arial" w:eastAsia="Arial" w:hAnsi="Arial" w:cs="Arial"/>
          <w:sz w:val="20"/>
          <w:szCs w:val="20"/>
        </w:rPr>
        <w:t xml:space="preserve"> functionalized with amino acids (histidine and phenylalanine) and found that both amino acid-coated nanoparticles effectively inhibited the growth of E. coli and S. aureus, proving that amino acid functionalization with </w:t>
      </w:r>
      <w:proofErr w:type="spellStart"/>
      <w:r>
        <w:rPr>
          <w:rFonts w:ascii="Arial" w:eastAsia="Arial" w:hAnsi="Arial" w:cs="Arial"/>
          <w:sz w:val="20"/>
          <w:szCs w:val="20"/>
        </w:rPr>
        <w:t>AgNp</w:t>
      </w:r>
      <w:proofErr w:type="spellEnd"/>
      <w:r>
        <w:rPr>
          <w:rFonts w:ascii="Arial" w:eastAsia="Arial" w:hAnsi="Arial" w:cs="Arial"/>
          <w:sz w:val="20"/>
          <w:szCs w:val="20"/>
        </w:rPr>
        <w:t xml:space="preserve"> is a viable way to develop new antibacterial agents (Shumi et al., 2023). Taken together, these findings highlight that through synergistic combinations, the antimicrobial efficacy of </w:t>
      </w:r>
      <w:proofErr w:type="spellStart"/>
      <w:r>
        <w:rPr>
          <w:rFonts w:ascii="Arial" w:eastAsia="Arial" w:hAnsi="Arial" w:cs="Arial"/>
          <w:sz w:val="20"/>
          <w:szCs w:val="20"/>
        </w:rPr>
        <w:t>AgNPs</w:t>
      </w:r>
      <w:proofErr w:type="spellEnd"/>
      <w:r>
        <w:rPr>
          <w:rFonts w:ascii="Arial" w:eastAsia="Arial" w:hAnsi="Arial" w:cs="Arial"/>
          <w:sz w:val="20"/>
          <w:szCs w:val="20"/>
        </w:rPr>
        <w:t xml:space="preserve"> can be significantly enhanced, reinforcing their potential for novel therapeutic and disinfectant applications.</w:t>
      </w:r>
      <w:r>
        <w:rPr>
          <w:rFonts w:ascii="Arial" w:eastAsia="Arial" w:hAnsi="Arial" w:cs="Arial"/>
          <w:b/>
          <w:bCs/>
          <w:sz w:val="20"/>
          <w:szCs w:val="20"/>
        </w:rPr>
        <w:t xml:space="preserve"> </w:t>
      </w:r>
      <w:r>
        <w:rPr>
          <w:rFonts w:ascii="Arial" w:eastAsia="Arial" w:hAnsi="Arial" w:cs="Arial"/>
          <w:sz w:val="20"/>
          <w:szCs w:val="20"/>
        </w:rPr>
        <w:t xml:space="preserve">Given this potential for enhanced disinfection, </w:t>
      </w:r>
      <w:proofErr w:type="spellStart"/>
      <w:r>
        <w:rPr>
          <w:rFonts w:ascii="Arial" w:eastAsia="Arial" w:hAnsi="Arial" w:cs="Arial"/>
          <w:sz w:val="20"/>
          <w:szCs w:val="20"/>
        </w:rPr>
        <w:t>AgNPs</w:t>
      </w:r>
      <w:proofErr w:type="spellEnd"/>
      <w:r>
        <w:rPr>
          <w:rFonts w:ascii="Arial" w:eastAsia="Arial" w:hAnsi="Arial" w:cs="Arial"/>
          <w:sz w:val="20"/>
          <w:szCs w:val="20"/>
        </w:rPr>
        <w:t xml:space="preserve"> offer a promising solution to the limitations of everyday hygiene products</w:t>
      </w:r>
      <w:r>
        <w:rPr>
          <w:rFonts w:ascii="Arial" w:eastAsia="Arial" w:hAnsi="Arial" w:cs="Arial"/>
          <w:b/>
          <w:bCs/>
          <w:sz w:val="20"/>
          <w:szCs w:val="20"/>
        </w:rPr>
        <w:t xml:space="preserve">. </w:t>
      </w:r>
      <w:r>
        <w:rPr>
          <w:rFonts w:ascii="Arial" w:eastAsia="Arial" w:hAnsi="Arial" w:cs="Arial"/>
          <w:sz w:val="20"/>
          <w:szCs w:val="20"/>
        </w:rPr>
        <w:t xml:space="preserve">Hand sanitizers are widely used to reduce microbial contamination on skin surfaces. According to the </w:t>
      </w:r>
      <w:proofErr w:type="spellStart"/>
      <w:r>
        <w:rPr>
          <w:rFonts w:ascii="Arial" w:eastAsia="Arial" w:hAnsi="Arial" w:cs="Arial"/>
          <w:sz w:val="20"/>
          <w:szCs w:val="20"/>
        </w:rPr>
        <w:t>Centers</w:t>
      </w:r>
      <w:proofErr w:type="spellEnd"/>
      <w:r>
        <w:rPr>
          <w:rFonts w:ascii="Arial" w:eastAsia="Arial" w:hAnsi="Arial" w:cs="Arial"/>
          <w:sz w:val="20"/>
          <w:szCs w:val="20"/>
        </w:rPr>
        <w:t xml:space="preserve"> for Disease Control and Prevention (CDC), hand sanitizers containing 60–95% alcohol are most effective at inactivating microorganisms, whereas formulations containing less than 60% alcohol demonstrate reduced efficacy (CDC, 2024). A study testing 18 commercial hand sanitizers against five bacteria associated with hospital-acquired infections found that only four (22%) were effective against all bacteria tested, and just five (27%) significantly reduced bacterial load on hands, highlighting that most hand sanitizers may not reliably prevent infection without proper formulation (Muleba et al., 2022). In an effort to optimize existing commercial products, this research study investigated whether the incorporation of </w:t>
      </w:r>
      <w:proofErr w:type="spellStart"/>
      <w:r>
        <w:rPr>
          <w:rFonts w:ascii="Arial" w:eastAsia="Arial" w:hAnsi="Arial" w:cs="Arial"/>
          <w:sz w:val="20"/>
          <w:szCs w:val="20"/>
        </w:rPr>
        <w:t>AgNPs</w:t>
      </w:r>
      <w:proofErr w:type="spellEnd"/>
      <w:r>
        <w:rPr>
          <w:rFonts w:ascii="Arial" w:eastAsia="Arial" w:hAnsi="Arial" w:cs="Arial"/>
          <w:sz w:val="20"/>
          <w:szCs w:val="20"/>
        </w:rPr>
        <w:t xml:space="preserve"> at varying concentrations could enhance the antimicrobial efficacy of a commercially available hand sanitizer against three clinically and environmentally relevant bacterial strains: </w:t>
      </w:r>
      <w:r>
        <w:rPr>
          <w:rFonts w:ascii="Arial" w:eastAsia="Arial" w:hAnsi="Arial" w:cs="Arial"/>
          <w:i/>
          <w:iCs/>
          <w:sz w:val="20"/>
          <w:szCs w:val="20"/>
        </w:rPr>
        <w:t>E. coli</w:t>
      </w:r>
      <w:r>
        <w:rPr>
          <w:rFonts w:ascii="Arial" w:eastAsia="Arial" w:hAnsi="Arial" w:cs="Arial"/>
          <w:sz w:val="20"/>
          <w:szCs w:val="20"/>
        </w:rPr>
        <w:t xml:space="preserve">, </w:t>
      </w:r>
      <w:r>
        <w:rPr>
          <w:rFonts w:ascii="Arial" w:eastAsia="Arial" w:hAnsi="Arial" w:cs="Arial"/>
          <w:i/>
          <w:iCs/>
          <w:sz w:val="20"/>
          <w:szCs w:val="20"/>
        </w:rPr>
        <w:t>S. aureus</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These specific pathogens were selected for testing due to their diverse characteristics and significant impact on public health.</w:t>
      </w:r>
      <w:r>
        <w:rPr>
          <w:rFonts w:ascii="Arial" w:eastAsia="Arial" w:hAnsi="Arial" w:cs="Arial"/>
          <w:b/>
          <w:bCs/>
          <w:i/>
          <w:iCs/>
          <w:sz w:val="20"/>
          <w:szCs w:val="20"/>
        </w:rPr>
        <w:t xml:space="preserve"> </w:t>
      </w:r>
      <w:r>
        <w:rPr>
          <w:rFonts w:ascii="Arial" w:eastAsia="Arial" w:hAnsi="Arial" w:cs="Arial"/>
          <w:i/>
          <w:iCs/>
          <w:sz w:val="20"/>
          <w:szCs w:val="20"/>
        </w:rPr>
        <w:t>Escherichia coli</w:t>
      </w:r>
      <w:r>
        <w:rPr>
          <w:rFonts w:ascii="Arial" w:eastAsia="Arial" w:hAnsi="Arial" w:cs="Arial"/>
          <w:sz w:val="20"/>
          <w:szCs w:val="20"/>
        </w:rPr>
        <w:t xml:space="preserve"> is a Gram-negative, rod-shaped, facultative anaerobic bacterium. Enterohemorrhagic </w:t>
      </w:r>
      <w:r>
        <w:rPr>
          <w:rFonts w:ascii="Arial" w:eastAsia="Arial" w:hAnsi="Arial" w:cs="Arial"/>
          <w:i/>
          <w:iCs/>
          <w:sz w:val="20"/>
          <w:szCs w:val="20"/>
        </w:rPr>
        <w:t>E. coli</w:t>
      </w:r>
      <w:r>
        <w:rPr>
          <w:rFonts w:ascii="Arial" w:eastAsia="Arial" w:hAnsi="Arial" w:cs="Arial"/>
          <w:sz w:val="20"/>
          <w:szCs w:val="20"/>
        </w:rPr>
        <w:t xml:space="preserve"> (EHEC), particularly serotype O157:H7, produces Shiga toxins and is a major cause of foodborne illness, leading to </w:t>
      </w:r>
      <w:proofErr w:type="spellStart"/>
      <w:r>
        <w:rPr>
          <w:rFonts w:ascii="Arial" w:eastAsia="Arial" w:hAnsi="Arial" w:cs="Arial"/>
          <w:sz w:val="20"/>
          <w:szCs w:val="20"/>
        </w:rPr>
        <w:t>hemorrhagic</w:t>
      </w:r>
      <w:proofErr w:type="spellEnd"/>
      <w:r>
        <w:rPr>
          <w:rFonts w:ascii="Arial" w:eastAsia="Arial" w:hAnsi="Arial" w:cs="Arial"/>
          <w:sz w:val="20"/>
          <w:szCs w:val="20"/>
        </w:rPr>
        <w:t xml:space="preserve"> colitis and </w:t>
      </w:r>
      <w:proofErr w:type="spellStart"/>
      <w:r>
        <w:rPr>
          <w:rFonts w:ascii="Arial" w:eastAsia="Arial" w:hAnsi="Arial" w:cs="Arial"/>
          <w:sz w:val="20"/>
          <w:szCs w:val="20"/>
        </w:rPr>
        <w:t>hemolytic</w:t>
      </w:r>
      <w:proofErr w:type="spellEnd"/>
      <w:r>
        <w:rPr>
          <w:rFonts w:ascii="Arial" w:eastAsia="Arial" w:hAnsi="Arial" w:cs="Arial"/>
          <w:sz w:val="20"/>
          <w:szCs w:val="20"/>
        </w:rPr>
        <w:t xml:space="preserve"> uremic syndrome (Lim et al., 2010). </w:t>
      </w:r>
      <w:r>
        <w:rPr>
          <w:rFonts w:ascii="Arial" w:eastAsia="Arial" w:hAnsi="Arial" w:cs="Arial"/>
          <w:i/>
          <w:iCs/>
          <w:sz w:val="20"/>
          <w:szCs w:val="20"/>
        </w:rPr>
        <w:t>Bacillus subtilis</w:t>
      </w:r>
      <w:r>
        <w:rPr>
          <w:rFonts w:ascii="Arial" w:eastAsia="Arial" w:hAnsi="Arial" w:cs="Arial"/>
          <w:sz w:val="20"/>
          <w:szCs w:val="20"/>
        </w:rPr>
        <w:t xml:space="preserve"> is a Gram-positive, aerobic, spore-forming bacterium with an optimal growth temperature of 30–35 °C. While generally regarded as safe, it has been implicated in cases of </w:t>
      </w:r>
      <w:proofErr w:type="spellStart"/>
      <w:r>
        <w:rPr>
          <w:rFonts w:ascii="Arial" w:eastAsia="Arial" w:hAnsi="Arial" w:cs="Arial"/>
          <w:sz w:val="20"/>
          <w:szCs w:val="20"/>
        </w:rPr>
        <w:t>bacteremia</w:t>
      </w:r>
      <w:proofErr w:type="spellEnd"/>
      <w:r>
        <w:rPr>
          <w:rFonts w:ascii="Arial" w:eastAsia="Arial" w:hAnsi="Arial" w:cs="Arial"/>
          <w:sz w:val="20"/>
          <w:szCs w:val="20"/>
        </w:rPr>
        <w:t xml:space="preserve"> (</w:t>
      </w:r>
      <w:proofErr w:type="spellStart"/>
      <w:r>
        <w:rPr>
          <w:rFonts w:ascii="Arial" w:eastAsia="Arial" w:hAnsi="Arial" w:cs="Arial"/>
          <w:sz w:val="20"/>
          <w:szCs w:val="20"/>
        </w:rPr>
        <w:t>Tokano</w:t>
      </w:r>
      <w:proofErr w:type="spellEnd"/>
      <w:r>
        <w:rPr>
          <w:rFonts w:ascii="Arial" w:eastAsia="Arial" w:hAnsi="Arial" w:cs="Arial"/>
          <w:sz w:val="20"/>
          <w:szCs w:val="20"/>
        </w:rPr>
        <w:t xml:space="preserve"> et al., 2023) and food spoilage, particularly of dairy desserts under temperature-abuse conditions (</w:t>
      </w:r>
      <w:proofErr w:type="spellStart"/>
      <w:r>
        <w:rPr>
          <w:rFonts w:ascii="Arial" w:eastAsia="Arial" w:hAnsi="Arial" w:cs="Arial"/>
          <w:sz w:val="20"/>
          <w:szCs w:val="20"/>
        </w:rPr>
        <w:t>Moschonas</w:t>
      </w:r>
      <w:proofErr w:type="spellEnd"/>
      <w:r>
        <w:rPr>
          <w:rFonts w:ascii="Arial" w:eastAsia="Arial" w:hAnsi="Arial" w:cs="Arial"/>
          <w:sz w:val="20"/>
          <w:szCs w:val="20"/>
        </w:rPr>
        <w:t xml:space="preserve"> et al., 2021). </w:t>
      </w:r>
      <w:r>
        <w:rPr>
          <w:rFonts w:ascii="Arial" w:eastAsia="Arial" w:hAnsi="Arial" w:cs="Arial"/>
          <w:i/>
          <w:iCs/>
          <w:sz w:val="20"/>
          <w:szCs w:val="20"/>
        </w:rPr>
        <w:t>Staphylococcus aureus</w:t>
      </w:r>
      <w:r>
        <w:rPr>
          <w:rFonts w:ascii="Arial" w:eastAsia="Arial" w:hAnsi="Arial" w:cs="Arial"/>
          <w:sz w:val="20"/>
          <w:szCs w:val="20"/>
        </w:rPr>
        <w:t xml:space="preserve"> is a Gram-positive, coagulase-positive coccus that colonizes skin and mucous membranes. Staphylococcal food-borne disease, caused by preformed enterotoxins, is a leading foodborne illness worldwide, with prevention relying on safe food handling and hygiene practices (Taylor et al., 2025).</w:t>
      </w:r>
    </w:p>
    <w:p w14:paraId="42F4F0EC" w14:textId="77777777" w:rsidR="006F487A" w:rsidRDefault="006F487A">
      <w:pPr>
        <w:spacing w:after="80"/>
        <w:jc w:val="both"/>
        <w:rPr>
          <w:rFonts w:ascii="Arial" w:eastAsia="Arial" w:hAnsi="Arial" w:cs="Arial"/>
          <w:sz w:val="20"/>
          <w:szCs w:val="20"/>
        </w:rPr>
      </w:pPr>
    </w:p>
    <w:p w14:paraId="49CB55E4" w14:textId="77777777" w:rsidR="006F487A" w:rsidRDefault="00000000">
      <w:pPr>
        <w:spacing w:after="80"/>
        <w:jc w:val="both"/>
        <w:rPr>
          <w:rFonts w:ascii="Arial" w:eastAsia="Arial" w:hAnsi="Arial" w:cs="Arial"/>
          <w:b/>
          <w:bCs/>
          <w:sz w:val="22"/>
          <w:szCs w:val="22"/>
        </w:rPr>
      </w:pPr>
      <w:r>
        <w:rPr>
          <w:rFonts w:ascii="Arial" w:eastAsia="Arial" w:hAnsi="Arial" w:cs="Arial"/>
          <w:b/>
          <w:bCs/>
          <w:sz w:val="22"/>
          <w:szCs w:val="22"/>
        </w:rPr>
        <w:t>MATERIALS AND METHODS</w:t>
      </w:r>
    </w:p>
    <w:p w14:paraId="18AAE299" w14:textId="77777777" w:rsidR="006F487A" w:rsidRDefault="00000000">
      <w:pPr>
        <w:spacing w:after="80"/>
        <w:jc w:val="both"/>
        <w:rPr>
          <w:rFonts w:ascii="Arial" w:eastAsia="Arial" w:hAnsi="Arial" w:cs="Arial"/>
          <w:b/>
          <w:bCs/>
          <w:color w:val="000000"/>
          <w:sz w:val="20"/>
          <w:szCs w:val="20"/>
        </w:rPr>
      </w:pPr>
      <w:r>
        <w:rPr>
          <w:rFonts w:ascii="Arial" w:eastAsia="Arial" w:hAnsi="Arial" w:cs="Arial"/>
          <w:b/>
          <w:bCs/>
          <w:color w:val="000000"/>
          <w:sz w:val="20"/>
          <w:szCs w:val="20"/>
        </w:rPr>
        <w:t>2.1 Bacterial Strains</w:t>
      </w:r>
    </w:p>
    <w:p w14:paraId="6EC3C818" w14:textId="77777777" w:rsidR="006F487A" w:rsidRDefault="00000000">
      <w:pPr>
        <w:spacing w:before="240" w:after="240"/>
        <w:jc w:val="both"/>
        <w:rPr>
          <w:rFonts w:ascii="Arial" w:eastAsia="Arial" w:hAnsi="Arial" w:cs="Arial"/>
          <w:sz w:val="20"/>
          <w:szCs w:val="20"/>
        </w:rPr>
      </w:pPr>
      <w:r>
        <w:rPr>
          <w:rFonts w:ascii="Arial" w:eastAsia="Arial" w:hAnsi="Arial" w:cs="Arial"/>
          <w:sz w:val="20"/>
          <w:szCs w:val="20"/>
        </w:rPr>
        <w:t xml:space="preserve">Three bacterial strains were used in this study: </w:t>
      </w:r>
      <w:r>
        <w:rPr>
          <w:rFonts w:ascii="Arial" w:eastAsia="Arial" w:hAnsi="Arial" w:cs="Arial"/>
          <w:i/>
          <w:iCs/>
          <w:sz w:val="20"/>
          <w:szCs w:val="20"/>
        </w:rPr>
        <w:t>Bacillus subtilis</w:t>
      </w:r>
      <w:r>
        <w:rPr>
          <w:rFonts w:ascii="Arial" w:eastAsia="Arial" w:hAnsi="Arial" w:cs="Arial"/>
          <w:sz w:val="20"/>
          <w:szCs w:val="20"/>
        </w:rPr>
        <w:t xml:space="preserve"> (Gram-positive), </w:t>
      </w:r>
      <w:r>
        <w:rPr>
          <w:rFonts w:ascii="Arial" w:eastAsia="Arial" w:hAnsi="Arial" w:cs="Arial"/>
          <w:i/>
          <w:iCs/>
          <w:sz w:val="20"/>
          <w:szCs w:val="20"/>
        </w:rPr>
        <w:t>Staphylococcus aureus</w:t>
      </w:r>
      <w:r>
        <w:rPr>
          <w:rFonts w:ascii="Arial" w:eastAsia="Arial" w:hAnsi="Arial" w:cs="Arial"/>
          <w:sz w:val="20"/>
          <w:szCs w:val="20"/>
        </w:rPr>
        <w:t xml:space="preserve"> (Gram-positive), and </w:t>
      </w:r>
      <w:r>
        <w:rPr>
          <w:rFonts w:ascii="Arial" w:eastAsia="Arial" w:hAnsi="Arial" w:cs="Arial"/>
          <w:i/>
          <w:iCs/>
          <w:sz w:val="20"/>
          <w:szCs w:val="20"/>
        </w:rPr>
        <w:t>Escherichia coli</w:t>
      </w:r>
      <w:r>
        <w:rPr>
          <w:rFonts w:ascii="Arial" w:eastAsia="Arial" w:hAnsi="Arial" w:cs="Arial"/>
          <w:sz w:val="20"/>
          <w:szCs w:val="20"/>
        </w:rPr>
        <w:t xml:space="preserve"> (Gram-negative). These strains were selected due to their relevance as common foodborne pathogens and spoilage organisms in food science applications.</w:t>
      </w:r>
    </w:p>
    <w:p w14:paraId="67E0299E" w14:textId="77777777" w:rsidR="006F487A" w:rsidRDefault="00000000">
      <w:pPr>
        <w:pStyle w:val="Heading2"/>
        <w:spacing w:before="360" w:after="80"/>
        <w:jc w:val="both"/>
        <w:rPr>
          <w:rFonts w:ascii="Arial" w:eastAsia="Arial" w:hAnsi="Arial" w:cs="Arial"/>
          <w:b/>
          <w:bCs/>
          <w:color w:val="000000"/>
          <w:sz w:val="20"/>
          <w:szCs w:val="20"/>
        </w:rPr>
      </w:pPr>
      <w:bookmarkStart w:id="0" w:name="_heading=h.84eblea6wj5w" w:colFirst="0" w:colLast="0"/>
      <w:bookmarkEnd w:id="0"/>
      <w:r>
        <w:rPr>
          <w:rFonts w:ascii="Arial" w:eastAsia="Arial" w:hAnsi="Arial" w:cs="Arial"/>
          <w:b/>
          <w:bCs/>
          <w:color w:val="000000"/>
          <w:sz w:val="20"/>
          <w:szCs w:val="20"/>
        </w:rPr>
        <w:t>2.2 Preparation of Luria Broth (LB) Medium</w:t>
      </w:r>
    </w:p>
    <w:p w14:paraId="1DA977A1" w14:textId="77777777" w:rsidR="006F487A" w:rsidRDefault="00000000">
      <w:pPr>
        <w:spacing w:before="240" w:after="240"/>
        <w:jc w:val="both"/>
        <w:rPr>
          <w:rFonts w:ascii="Arial" w:eastAsia="Arial" w:hAnsi="Arial" w:cs="Arial"/>
          <w:sz w:val="20"/>
          <w:szCs w:val="20"/>
        </w:rPr>
      </w:pPr>
      <w:r>
        <w:rPr>
          <w:rFonts w:ascii="Arial" w:eastAsia="Arial" w:hAnsi="Arial" w:cs="Arial"/>
          <w:sz w:val="20"/>
          <w:szCs w:val="20"/>
        </w:rPr>
        <w:t>Luria Broth (LB) medium was prepared by dissolving 1.25 g of LB powder in 50 mL of distilled water. The medium was sterilized by autoclaving at 121°C for 15–20 minutes and allowed to cool to room temperature prior to inoculation to ensure no thermal degradation of the nutrients.</w:t>
      </w:r>
    </w:p>
    <w:p w14:paraId="095F1E2E" w14:textId="77777777" w:rsidR="006F487A" w:rsidRDefault="00000000">
      <w:pPr>
        <w:pStyle w:val="Heading2"/>
        <w:spacing w:before="360" w:after="80"/>
        <w:jc w:val="both"/>
        <w:rPr>
          <w:rFonts w:ascii="Arial" w:eastAsia="Arial" w:hAnsi="Arial" w:cs="Arial"/>
          <w:b/>
          <w:bCs/>
          <w:color w:val="000000"/>
          <w:sz w:val="20"/>
          <w:szCs w:val="20"/>
        </w:rPr>
      </w:pPr>
      <w:bookmarkStart w:id="1" w:name="_heading=h.cus9h89d58ks" w:colFirst="0" w:colLast="0"/>
      <w:bookmarkEnd w:id="1"/>
      <w:r>
        <w:rPr>
          <w:rFonts w:ascii="Arial" w:eastAsia="Arial" w:hAnsi="Arial" w:cs="Arial"/>
          <w:b/>
          <w:bCs/>
          <w:color w:val="000000"/>
          <w:sz w:val="20"/>
          <w:szCs w:val="20"/>
        </w:rPr>
        <w:t>2.3 Inoculation and Culture Conditions</w:t>
      </w:r>
    </w:p>
    <w:p w14:paraId="21157127" w14:textId="77777777" w:rsidR="006F487A" w:rsidRDefault="00000000">
      <w:pPr>
        <w:spacing w:before="240" w:after="240"/>
        <w:jc w:val="both"/>
        <w:rPr>
          <w:rFonts w:ascii="Arial" w:eastAsia="Arial" w:hAnsi="Arial" w:cs="Arial"/>
          <w:sz w:val="20"/>
          <w:szCs w:val="20"/>
        </w:rPr>
      </w:pPr>
      <w:r>
        <w:rPr>
          <w:rFonts w:ascii="Arial" w:eastAsia="Arial" w:hAnsi="Arial" w:cs="Arial"/>
          <w:sz w:val="20"/>
          <w:szCs w:val="20"/>
        </w:rPr>
        <w:t>The cooled LB medium was inoculated with a 0.4% (v/v) concentration (200 µL) of each respective bacterial strain. To reach the exponential growth phase, the cultures were incubated at room temperature on a rotary shaker for 20–24 hours prior to the experimental treatments.</w:t>
      </w:r>
    </w:p>
    <w:p w14:paraId="4EA29F9D" w14:textId="77777777" w:rsidR="006F487A" w:rsidRDefault="00000000">
      <w:pPr>
        <w:pStyle w:val="Heading2"/>
        <w:spacing w:before="360" w:after="80"/>
        <w:jc w:val="both"/>
        <w:rPr>
          <w:rFonts w:ascii="Arial" w:eastAsia="Arial" w:hAnsi="Arial" w:cs="Arial"/>
          <w:b/>
          <w:bCs/>
          <w:color w:val="000000"/>
          <w:sz w:val="20"/>
          <w:szCs w:val="20"/>
        </w:rPr>
      </w:pPr>
      <w:bookmarkStart w:id="2" w:name="_heading=h.vpenu0hk7aqq" w:colFirst="0" w:colLast="0"/>
      <w:bookmarkEnd w:id="2"/>
      <w:r>
        <w:rPr>
          <w:rFonts w:ascii="Arial" w:eastAsia="Arial" w:hAnsi="Arial" w:cs="Arial"/>
          <w:b/>
          <w:bCs/>
          <w:color w:val="000000"/>
          <w:sz w:val="20"/>
          <w:szCs w:val="20"/>
        </w:rPr>
        <w:t xml:space="preserve">2.4 Procurement and Characterization of </w:t>
      </w:r>
      <w:proofErr w:type="spellStart"/>
      <w:r>
        <w:rPr>
          <w:rFonts w:ascii="Arial" w:eastAsia="Arial" w:hAnsi="Arial" w:cs="Arial"/>
          <w:b/>
          <w:bCs/>
          <w:color w:val="000000"/>
          <w:sz w:val="20"/>
          <w:szCs w:val="20"/>
        </w:rPr>
        <w:t>AgNPs</w:t>
      </w:r>
      <w:proofErr w:type="spellEnd"/>
    </w:p>
    <w:p w14:paraId="4FD21796" w14:textId="77777777" w:rsidR="006F487A" w:rsidRDefault="00000000">
      <w:pPr>
        <w:spacing w:before="240" w:after="240"/>
        <w:jc w:val="both"/>
        <w:rPr>
          <w:rFonts w:ascii="Arial" w:eastAsia="Arial" w:hAnsi="Arial" w:cs="Arial"/>
          <w:sz w:val="20"/>
          <w:szCs w:val="20"/>
        </w:rPr>
      </w:pPr>
      <w:r>
        <w:rPr>
          <w:rFonts w:ascii="Arial" w:eastAsia="Arial" w:hAnsi="Arial" w:cs="Arial"/>
          <w:sz w:val="20"/>
          <w:szCs w:val="20"/>
        </w:rPr>
        <w:t>Silver nanoparticles (</w:t>
      </w:r>
      <w:proofErr w:type="spellStart"/>
      <w:r>
        <w:rPr>
          <w:rFonts w:ascii="Arial" w:eastAsia="Arial" w:hAnsi="Arial" w:cs="Arial"/>
          <w:sz w:val="20"/>
          <w:szCs w:val="20"/>
        </w:rPr>
        <w:t>AgNPs</w:t>
      </w:r>
      <w:proofErr w:type="spellEnd"/>
      <w:r>
        <w:rPr>
          <w:rFonts w:ascii="Arial" w:eastAsia="Arial" w:hAnsi="Arial" w:cs="Arial"/>
          <w:sz w:val="20"/>
          <w:szCs w:val="20"/>
        </w:rPr>
        <w:t xml:space="preserve">) were procured from Sigma-Aldrich. The optical properties and stability of the nanoparticles were verified using UV-Visible spectroscopy. The </w:t>
      </w:r>
      <w:proofErr w:type="spellStart"/>
      <w:r>
        <w:rPr>
          <w:rFonts w:ascii="Arial" w:eastAsia="Arial" w:hAnsi="Arial" w:cs="Arial"/>
          <w:sz w:val="20"/>
          <w:szCs w:val="20"/>
        </w:rPr>
        <w:t>AgNPs</w:t>
      </w:r>
      <w:proofErr w:type="spellEnd"/>
      <w:r>
        <w:rPr>
          <w:rFonts w:ascii="Arial" w:eastAsia="Arial" w:hAnsi="Arial" w:cs="Arial"/>
          <w:sz w:val="20"/>
          <w:szCs w:val="20"/>
        </w:rPr>
        <w:t xml:space="preserve"> exhibited a characteristic surface plasmon resonance (SPR) peak within the 400–450 nm range, consistent with the standardized profiles of industrially produced silver nanoparticles reported in </w:t>
      </w:r>
      <w:proofErr w:type="gramStart"/>
      <w:r>
        <w:rPr>
          <w:rFonts w:ascii="Arial" w:eastAsia="Arial" w:hAnsi="Arial" w:cs="Arial"/>
          <w:sz w:val="20"/>
          <w:szCs w:val="20"/>
        </w:rPr>
        <w:t>literature  (</w:t>
      </w:r>
      <w:proofErr w:type="spellStart"/>
      <w:proofErr w:type="gramEnd"/>
      <w:r>
        <w:rPr>
          <w:rFonts w:ascii="Arial" w:eastAsia="Arial" w:hAnsi="Arial" w:cs="Arial"/>
          <w:sz w:val="20"/>
          <w:szCs w:val="20"/>
        </w:rPr>
        <w:t>Choukade</w:t>
      </w:r>
      <w:proofErr w:type="spellEnd"/>
      <w:r>
        <w:rPr>
          <w:rFonts w:ascii="Arial" w:eastAsia="Arial" w:hAnsi="Arial" w:cs="Arial"/>
          <w:sz w:val="20"/>
          <w:szCs w:val="20"/>
        </w:rPr>
        <w:t xml:space="preserve"> et al., 2020)</w:t>
      </w:r>
      <w:proofErr w:type="gramStart"/>
      <w:r>
        <w:rPr>
          <w:rFonts w:ascii="Arial" w:eastAsia="Arial" w:hAnsi="Arial" w:cs="Arial"/>
          <w:sz w:val="20"/>
          <w:szCs w:val="20"/>
        </w:rPr>
        <w:t>. .</w:t>
      </w:r>
      <w:proofErr w:type="gramEnd"/>
    </w:p>
    <w:p w14:paraId="49DFAF42" w14:textId="77777777" w:rsidR="006F487A" w:rsidRDefault="00000000">
      <w:pPr>
        <w:pStyle w:val="Heading2"/>
        <w:spacing w:before="360" w:after="80"/>
        <w:jc w:val="both"/>
        <w:rPr>
          <w:rFonts w:ascii="Arial" w:eastAsia="Arial" w:hAnsi="Arial" w:cs="Arial"/>
          <w:b/>
          <w:bCs/>
          <w:color w:val="000000"/>
          <w:sz w:val="20"/>
          <w:szCs w:val="20"/>
        </w:rPr>
      </w:pPr>
      <w:bookmarkStart w:id="3" w:name="_heading=h.qz0ubvhcy5oa" w:colFirst="0" w:colLast="0"/>
      <w:bookmarkEnd w:id="3"/>
      <w:r>
        <w:rPr>
          <w:rFonts w:ascii="Arial" w:eastAsia="Arial" w:hAnsi="Arial" w:cs="Arial"/>
          <w:b/>
          <w:bCs/>
          <w:color w:val="000000"/>
          <w:sz w:val="20"/>
          <w:szCs w:val="20"/>
        </w:rPr>
        <w:t>2.5 Experimental Setup and Treatments</w:t>
      </w:r>
    </w:p>
    <w:p w14:paraId="255341AF" w14:textId="77777777" w:rsidR="006F487A" w:rsidRDefault="00000000">
      <w:pPr>
        <w:spacing w:before="240" w:after="240"/>
        <w:jc w:val="both"/>
        <w:rPr>
          <w:rFonts w:ascii="Arial" w:eastAsia="Arial" w:hAnsi="Arial" w:cs="Arial"/>
          <w:sz w:val="20"/>
          <w:szCs w:val="20"/>
        </w:rPr>
      </w:pPr>
      <w:r>
        <w:rPr>
          <w:rFonts w:ascii="Arial" w:eastAsia="Arial" w:hAnsi="Arial" w:cs="Arial"/>
          <w:sz w:val="20"/>
          <w:szCs w:val="20"/>
        </w:rPr>
        <w:t xml:space="preserve">To evaluate the synergistic antibacterial effects, “Lifebuoy” brand hand sanitizer was used in combination with the </w:t>
      </w:r>
      <w:proofErr w:type="spellStart"/>
      <w:r>
        <w:rPr>
          <w:rFonts w:ascii="Arial" w:eastAsia="Arial" w:hAnsi="Arial" w:cs="Arial"/>
          <w:sz w:val="20"/>
          <w:szCs w:val="20"/>
        </w:rPr>
        <w:t>AgNPs</w:t>
      </w:r>
      <w:proofErr w:type="spellEnd"/>
      <w:r>
        <w:rPr>
          <w:rFonts w:ascii="Arial" w:eastAsia="Arial" w:hAnsi="Arial" w:cs="Arial"/>
          <w:sz w:val="20"/>
          <w:szCs w:val="20"/>
        </w:rPr>
        <w:t>. Six distinct treatment groups were prepared for each bacterial strain in 5 mL of LB medium:</w:t>
      </w:r>
    </w:p>
    <w:p w14:paraId="060B8DBA" w14:textId="77777777" w:rsidR="006F487A" w:rsidRDefault="00000000">
      <w:pPr>
        <w:numPr>
          <w:ilvl w:val="0"/>
          <w:numId w:val="1"/>
        </w:numPr>
        <w:spacing w:before="240"/>
        <w:rPr>
          <w:rFonts w:ascii="Arial" w:eastAsia="Arial" w:hAnsi="Arial" w:cs="Arial"/>
          <w:sz w:val="20"/>
          <w:szCs w:val="20"/>
        </w:rPr>
      </w:pPr>
      <w:r>
        <w:rPr>
          <w:rFonts w:ascii="Arial" w:eastAsia="Arial" w:hAnsi="Arial" w:cs="Arial"/>
          <w:b/>
          <w:bCs/>
          <w:sz w:val="20"/>
          <w:szCs w:val="20"/>
        </w:rPr>
        <w:t>Positive Control (PC):</w:t>
      </w:r>
      <w:r>
        <w:rPr>
          <w:rFonts w:ascii="Arial" w:eastAsia="Arial" w:hAnsi="Arial" w:cs="Arial"/>
          <w:sz w:val="20"/>
          <w:szCs w:val="20"/>
        </w:rPr>
        <w:t xml:space="preserve"> 1% Lifebuoy sanitizer only.</w:t>
      </w:r>
    </w:p>
    <w:p w14:paraId="0448C010" w14:textId="77777777" w:rsidR="006F487A" w:rsidRDefault="00000000">
      <w:pPr>
        <w:numPr>
          <w:ilvl w:val="0"/>
          <w:numId w:val="1"/>
        </w:numPr>
        <w:rPr>
          <w:rFonts w:ascii="Arial" w:eastAsia="Arial" w:hAnsi="Arial" w:cs="Arial"/>
          <w:sz w:val="20"/>
          <w:szCs w:val="20"/>
        </w:rPr>
      </w:pPr>
      <w:r>
        <w:rPr>
          <w:rFonts w:ascii="Arial" w:eastAsia="Arial" w:hAnsi="Arial" w:cs="Arial"/>
          <w:b/>
          <w:bCs/>
          <w:sz w:val="20"/>
          <w:szCs w:val="20"/>
        </w:rPr>
        <w:t>Reference Control (RC):</w:t>
      </w:r>
      <w:r>
        <w:rPr>
          <w:rFonts w:ascii="Arial" w:eastAsia="Arial" w:hAnsi="Arial" w:cs="Arial"/>
          <w:sz w:val="20"/>
          <w:szCs w:val="20"/>
        </w:rPr>
        <w:t xml:space="preserve"> Sigma-Aldrich </w:t>
      </w:r>
      <w:proofErr w:type="spellStart"/>
      <w:r>
        <w:rPr>
          <w:rFonts w:ascii="Arial" w:eastAsia="Arial" w:hAnsi="Arial" w:cs="Arial"/>
          <w:sz w:val="20"/>
          <w:szCs w:val="20"/>
        </w:rPr>
        <w:t>AgNPs</w:t>
      </w:r>
      <w:proofErr w:type="spellEnd"/>
      <w:r>
        <w:rPr>
          <w:rFonts w:ascii="Arial" w:eastAsia="Arial" w:hAnsi="Arial" w:cs="Arial"/>
          <w:sz w:val="20"/>
          <w:szCs w:val="20"/>
        </w:rPr>
        <w:t xml:space="preserve"> only.</w:t>
      </w:r>
    </w:p>
    <w:p w14:paraId="75FCCEB8" w14:textId="77777777" w:rsidR="006F487A" w:rsidRDefault="00000000">
      <w:pPr>
        <w:numPr>
          <w:ilvl w:val="0"/>
          <w:numId w:val="1"/>
        </w:numPr>
        <w:rPr>
          <w:rFonts w:ascii="Arial" w:eastAsia="Arial" w:hAnsi="Arial" w:cs="Arial"/>
          <w:sz w:val="20"/>
          <w:szCs w:val="20"/>
        </w:rPr>
      </w:pPr>
      <w:r>
        <w:rPr>
          <w:rFonts w:ascii="Arial" w:eastAsia="Arial" w:hAnsi="Arial" w:cs="Arial"/>
          <w:b/>
          <w:bCs/>
          <w:sz w:val="20"/>
          <w:szCs w:val="20"/>
        </w:rPr>
        <w:t>Negative Control (NC):</w:t>
      </w:r>
      <w:r>
        <w:rPr>
          <w:rFonts w:ascii="Arial" w:eastAsia="Arial" w:hAnsi="Arial" w:cs="Arial"/>
          <w:sz w:val="20"/>
          <w:szCs w:val="20"/>
        </w:rPr>
        <w:t xml:space="preserve"> Bacterial culture only (untreated).</w:t>
      </w:r>
    </w:p>
    <w:p w14:paraId="7E936FC9" w14:textId="77777777" w:rsidR="006F487A" w:rsidRDefault="00000000">
      <w:pPr>
        <w:numPr>
          <w:ilvl w:val="0"/>
          <w:numId w:val="1"/>
        </w:numPr>
        <w:rPr>
          <w:rFonts w:ascii="Arial" w:eastAsia="Arial" w:hAnsi="Arial" w:cs="Arial"/>
          <w:sz w:val="20"/>
          <w:szCs w:val="20"/>
        </w:rPr>
      </w:pPr>
      <w:r>
        <w:rPr>
          <w:rFonts w:ascii="Arial" w:eastAsia="Arial" w:hAnsi="Arial" w:cs="Arial"/>
          <w:b/>
          <w:bCs/>
          <w:sz w:val="20"/>
          <w:szCs w:val="20"/>
        </w:rPr>
        <w:t>T1:</w:t>
      </w:r>
      <w:r>
        <w:rPr>
          <w:rFonts w:ascii="Arial" w:eastAsia="Arial" w:hAnsi="Arial" w:cs="Arial"/>
          <w:sz w:val="20"/>
          <w:szCs w:val="20"/>
        </w:rPr>
        <w:t xml:space="preserve"> 1% sanitizer + 0.10% </w:t>
      </w:r>
      <w:proofErr w:type="spellStart"/>
      <w:r>
        <w:rPr>
          <w:rFonts w:ascii="Arial" w:eastAsia="Arial" w:hAnsi="Arial" w:cs="Arial"/>
          <w:sz w:val="20"/>
          <w:szCs w:val="20"/>
        </w:rPr>
        <w:t>AgNPs</w:t>
      </w:r>
      <w:proofErr w:type="spellEnd"/>
      <w:r>
        <w:rPr>
          <w:rFonts w:ascii="Arial" w:eastAsia="Arial" w:hAnsi="Arial" w:cs="Arial"/>
          <w:sz w:val="20"/>
          <w:szCs w:val="20"/>
        </w:rPr>
        <w:t>.</w:t>
      </w:r>
    </w:p>
    <w:p w14:paraId="79347777" w14:textId="77777777" w:rsidR="006F487A" w:rsidRDefault="00000000">
      <w:pPr>
        <w:numPr>
          <w:ilvl w:val="0"/>
          <w:numId w:val="1"/>
        </w:numPr>
        <w:rPr>
          <w:rFonts w:ascii="Arial" w:eastAsia="Arial" w:hAnsi="Arial" w:cs="Arial"/>
          <w:sz w:val="20"/>
          <w:szCs w:val="20"/>
        </w:rPr>
      </w:pPr>
      <w:r>
        <w:rPr>
          <w:rFonts w:ascii="Arial" w:eastAsia="Arial" w:hAnsi="Arial" w:cs="Arial"/>
          <w:b/>
          <w:bCs/>
          <w:sz w:val="20"/>
          <w:szCs w:val="20"/>
        </w:rPr>
        <w:t>T2:</w:t>
      </w:r>
      <w:r>
        <w:rPr>
          <w:rFonts w:ascii="Arial" w:eastAsia="Arial" w:hAnsi="Arial" w:cs="Arial"/>
          <w:sz w:val="20"/>
          <w:szCs w:val="20"/>
        </w:rPr>
        <w:t xml:space="preserve"> 1% sanitizer + 0.25% </w:t>
      </w:r>
      <w:proofErr w:type="spellStart"/>
      <w:r>
        <w:rPr>
          <w:rFonts w:ascii="Arial" w:eastAsia="Arial" w:hAnsi="Arial" w:cs="Arial"/>
          <w:sz w:val="20"/>
          <w:szCs w:val="20"/>
        </w:rPr>
        <w:t>AgNPs</w:t>
      </w:r>
      <w:proofErr w:type="spellEnd"/>
      <w:r>
        <w:rPr>
          <w:rFonts w:ascii="Arial" w:eastAsia="Arial" w:hAnsi="Arial" w:cs="Arial"/>
          <w:sz w:val="20"/>
          <w:szCs w:val="20"/>
        </w:rPr>
        <w:t>.</w:t>
      </w:r>
    </w:p>
    <w:p w14:paraId="6CD7FD66" w14:textId="77777777" w:rsidR="006F487A" w:rsidRDefault="00000000">
      <w:pPr>
        <w:numPr>
          <w:ilvl w:val="0"/>
          <w:numId w:val="1"/>
        </w:numPr>
        <w:spacing w:after="240"/>
        <w:rPr>
          <w:rFonts w:ascii="Arial" w:eastAsia="Arial" w:hAnsi="Arial" w:cs="Arial"/>
          <w:sz w:val="20"/>
          <w:szCs w:val="20"/>
        </w:rPr>
      </w:pPr>
      <w:r>
        <w:rPr>
          <w:rFonts w:ascii="Arial" w:eastAsia="Arial" w:hAnsi="Arial" w:cs="Arial"/>
          <w:b/>
          <w:bCs/>
          <w:sz w:val="20"/>
          <w:szCs w:val="20"/>
        </w:rPr>
        <w:t>T3:</w:t>
      </w:r>
      <w:r>
        <w:rPr>
          <w:rFonts w:ascii="Arial" w:eastAsia="Arial" w:hAnsi="Arial" w:cs="Arial"/>
          <w:sz w:val="20"/>
          <w:szCs w:val="20"/>
        </w:rPr>
        <w:t xml:space="preserve"> 1% sanitizer + 0.50% </w:t>
      </w:r>
      <w:proofErr w:type="spellStart"/>
      <w:r>
        <w:rPr>
          <w:rFonts w:ascii="Arial" w:eastAsia="Arial" w:hAnsi="Arial" w:cs="Arial"/>
          <w:sz w:val="20"/>
          <w:szCs w:val="20"/>
        </w:rPr>
        <w:t>AgNPs</w:t>
      </w:r>
      <w:proofErr w:type="spellEnd"/>
      <w:r>
        <w:rPr>
          <w:rFonts w:ascii="Arial" w:eastAsia="Arial" w:hAnsi="Arial" w:cs="Arial"/>
          <w:sz w:val="20"/>
          <w:szCs w:val="20"/>
        </w:rPr>
        <w:t>.</w:t>
      </w:r>
    </w:p>
    <w:p w14:paraId="352124EC" w14:textId="77777777" w:rsidR="006F487A" w:rsidRDefault="00000000">
      <w:pPr>
        <w:pStyle w:val="Heading2"/>
        <w:spacing w:before="360" w:after="80"/>
        <w:jc w:val="both"/>
        <w:rPr>
          <w:rFonts w:ascii="Arial" w:eastAsia="Arial" w:hAnsi="Arial" w:cs="Arial"/>
          <w:b/>
          <w:bCs/>
          <w:color w:val="000000"/>
          <w:sz w:val="20"/>
          <w:szCs w:val="20"/>
        </w:rPr>
      </w:pPr>
      <w:bookmarkStart w:id="4" w:name="_heading=h.x84iapp1v180" w:colFirst="0" w:colLast="0"/>
      <w:bookmarkEnd w:id="4"/>
      <w:r>
        <w:rPr>
          <w:rFonts w:ascii="Arial" w:eastAsia="Arial" w:hAnsi="Arial" w:cs="Arial"/>
          <w:b/>
          <w:bCs/>
          <w:color w:val="000000"/>
          <w:sz w:val="20"/>
          <w:szCs w:val="20"/>
        </w:rPr>
        <w:t>2.6 Measurement of Antibacterial Activity</w:t>
      </w:r>
    </w:p>
    <w:p w14:paraId="539236BE" w14:textId="40E1E303" w:rsidR="006F487A" w:rsidRDefault="00000000">
      <w:pPr>
        <w:spacing w:before="240" w:after="240"/>
        <w:jc w:val="both"/>
        <w:rPr>
          <w:rFonts w:ascii="Arial" w:eastAsia="Arial" w:hAnsi="Arial" w:cs="Arial"/>
          <w:sz w:val="18"/>
          <w:szCs w:val="18"/>
        </w:rPr>
      </w:pPr>
      <w:r>
        <w:rPr>
          <w:rFonts w:ascii="Arial" w:eastAsia="Arial" w:hAnsi="Arial" w:cs="Arial"/>
          <w:sz w:val="20"/>
          <w:szCs w:val="20"/>
        </w:rPr>
        <w:t xml:space="preserve">The antibacterial efficacy of the treatments was monitored by measuring the optical density at 600 nm (OD600) using a spectrophotometer. Readings were recorded at </w:t>
      </w:r>
      <w:proofErr w:type="gramStart"/>
      <w:r>
        <w:rPr>
          <w:rFonts w:ascii="Arial" w:eastAsia="Arial" w:hAnsi="Arial" w:cs="Arial"/>
          <w:sz w:val="20"/>
          <w:szCs w:val="20"/>
        </w:rPr>
        <w:t>2,4, and 24 hours</w:t>
      </w:r>
      <w:proofErr w:type="gramEnd"/>
      <w:r>
        <w:rPr>
          <w:rFonts w:ascii="Arial" w:eastAsia="Arial" w:hAnsi="Arial" w:cs="Arial"/>
          <w:sz w:val="20"/>
          <w:szCs w:val="20"/>
        </w:rPr>
        <w:t xml:space="preserve"> post-inoculation to track growth inhibition over time. All measurements were performed in triplicate, and the results were reported as average values to ensure statistical accuracy.</w:t>
      </w:r>
    </w:p>
    <w:p w14:paraId="2B4AFC07" w14:textId="77777777" w:rsidR="006F487A" w:rsidRDefault="00000000">
      <w:pPr>
        <w:spacing w:before="160" w:after="80"/>
        <w:rPr>
          <w:rFonts w:ascii="Arial" w:eastAsia="Arial" w:hAnsi="Arial" w:cs="Arial"/>
          <w:sz w:val="22"/>
          <w:szCs w:val="22"/>
        </w:rPr>
      </w:pPr>
      <w:r>
        <w:rPr>
          <w:rFonts w:ascii="Arial" w:eastAsia="Arial" w:hAnsi="Arial" w:cs="Arial"/>
          <w:b/>
          <w:bCs/>
          <w:smallCaps/>
          <w:sz w:val="22"/>
          <w:szCs w:val="22"/>
        </w:rPr>
        <w:t>RESULTS AND DISCUSSION</w:t>
      </w:r>
    </w:p>
    <w:p w14:paraId="76B36CAF" w14:textId="77777777" w:rsidR="006F487A" w:rsidRDefault="006F487A">
      <w:pPr>
        <w:spacing w:before="160" w:after="80"/>
        <w:rPr>
          <w:rFonts w:ascii="Arial" w:eastAsia="Arial" w:hAnsi="Arial" w:cs="Arial"/>
          <w:sz w:val="22"/>
          <w:szCs w:val="22"/>
        </w:rPr>
      </w:pPr>
    </w:p>
    <w:p w14:paraId="5C5D751A" w14:textId="77777777" w:rsidR="006F487A" w:rsidRDefault="00000000">
      <w:pPr>
        <w:spacing w:after="80"/>
        <w:jc w:val="both"/>
        <w:rPr>
          <w:rFonts w:ascii="Arial" w:eastAsia="Arial" w:hAnsi="Arial" w:cs="Arial"/>
          <w:sz w:val="20"/>
          <w:szCs w:val="20"/>
        </w:rPr>
      </w:pPr>
      <w:r>
        <w:rPr>
          <w:rFonts w:ascii="Arial" w:eastAsia="Arial" w:hAnsi="Arial" w:cs="Arial"/>
          <w:sz w:val="20"/>
          <w:szCs w:val="20"/>
        </w:rPr>
        <w:t>The average OD</w:t>
      </w:r>
      <w:r>
        <w:rPr>
          <w:rFonts w:ascii="Arial" w:eastAsia="Arial" w:hAnsi="Arial" w:cs="Arial"/>
          <w:sz w:val="20"/>
          <w:szCs w:val="20"/>
          <w:vertAlign w:val="subscript"/>
        </w:rPr>
        <w:t>600</w:t>
      </w:r>
      <w:r>
        <w:rPr>
          <w:rFonts w:ascii="Arial" w:eastAsia="Arial" w:hAnsi="Arial" w:cs="Arial"/>
          <w:sz w:val="20"/>
          <w:szCs w:val="20"/>
        </w:rPr>
        <w:t xml:space="preserve"> values recorded at 2, 4, and 24 hours for all three bacterial strains are presented in Table 1 (experimental conditions described in Table 1 footnote). The 4-hour time point represented the period of maximum divergence between treatment groups (Figure 2). The OD values reflect relative bacterial growth, with higher OD indicating greater cell density and lower OD indicating reduced growth or cell death.</w:t>
      </w:r>
    </w:p>
    <w:p w14:paraId="08624648" w14:textId="77777777" w:rsidR="006F487A" w:rsidRDefault="00000000">
      <w:pPr>
        <w:spacing w:after="80"/>
        <w:ind w:firstLine="360"/>
        <w:jc w:val="both"/>
        <w:rPr>
          <w:rFonts w:ascii="Arial" w:eastAsia="Arial" w:hAnsi="Arial" w:cs="Arial"/>
          <w:sz w:val="20"/>
          <w:szCs w:val="20"/>
        </w:rPr>
      </w:pPr>
      <w:r>
        <w:rPr>
          <w:rFonts w:ascii="Arial" w:eastAsia="Arial" w:hAnsi="Arial" w:cs="Arial"/>
          <w:sz w:val="20"/>
          <w:szCs w:val="20"/>
        </w:rPr>
        <w:t xml:space="preserve">The results reveal organism-dependent variation in the optimum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For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the combination of 1% sanitizer with 0.25% </w:t>
      </w:r>
      <w:proofErr w:type="spellStart"/>
      <w:r>
        <w:rPr>
          <w:rFonts w:ascii="Arial" w:eastAsia="Arial" w:hAnsi="Arial" w:cs="Arial"/>
          <w:sz w:val="20"/>
          <w:szCs w:val="20"/>
        </w:rPr>
        <w:t>AgNPs</w:t>
      </w:r>
      <w:proofErr w:type="spellEnd"/>
      <w:r>
        <w:rPr>
          <w:rFonts w:ascii="Arial" w:eastAsia="Arial" w:hAnsi="Arial" w:cs="Arial"/>
          <w:sz w:val="20"/>
          <w:szCs w:val="20"/>
        </w:rPr>
        <w:t xml:space="preserve"> produced the greatest reduction in OD values at 4 hours post-inoculation (OD</w:t>
      </w:r>
      <w:r>
        <w:rPr>
          <w:rFonts w:ascii="Arial" w:eastAsia="Arial" w:hAnsi="Arial" w:cs="Arial"/>
          <w:sz w:val="20"/>
          <w:szCs w:val="20"/>
          <w:vertAlign w:val="subscript"/>
        </w:rPr>
        <w:t>600</w:t>
      </w:r>
      <w:r>
        <w:rPr>
          <w:rFonts w:ascii="Arial" w:eastAsia="Arial" w:hAnsi="Arial" w:cs="Arial"/>
          <w:sz w:val="20"/>
          <w:szCs w:val="20"/>
        </w:rPr>
        <w:t xml:space="preserve"> = 0.504 and 0.520 respectively), suggesting that 0.25% represents the optimum concentration for these strains. In contrast, </w:t>
      </w:r>
      <w:r>
        <w:rPr>
          <w:rFonts w:ascii="Arial" w:eastAsia="Arial" w:hAnsi="Arial" w:cs="Arial"/>
          <w:i/>
          <w:iCs/>
          <w:sz w:val="20"/>
          <w:szCs w:val="20"/>
        </w:rPr>
        <w:t>S. aureus</w:t>
      </w:r>
      <w:r>
        <w:rPr>
          <w:rFonts w:ascii="Arial" w:eastAsia="Arial" w:hAnsi="Arial" w:cs="Arial"/>
          <w:sz w:val="20"/>
          <w:szCs w:val="20"/>
        </w:rPr>
        <w:t xml:space="preserve"> exhibited a different response, with the 0.50% </w:t>
      </w:r>
      <w:proofErr w:type="spellStart"/>
      <w:r>
        <w:rPr>
          <w:rFonts w:ascii="Arial" w:eastAsia="Arial" w:hAnsi="Arial" w:cs="Arial"/>
          <w:sz w:val="20"/>
          <w:szCs w:val="20"/>
        </w:rPr>
        <w:t>AgNP</w:t>
      </w:r>
      <w:proofErr w:type="spellEnd"/>
      <w:r>
        <w:rPr>
          <w:rFonts w:ascii="Arial" w:eastAsia="Arial" w:hAnsi="Arial" w:cs="Arial"/>
          <w:sz w:val="20"/>
          <w:szCs w:val="20"/>
        </w:rPr>
        <w:t xml:space="preserve"> group recording a lower OD (1.608) than the 0.25% group (2.067) at 4 hours, and the lowest OD across all </w:t>
      </w:r>
      <w:r>
        <w:rPr>
          <w:rFonts w:ascii="Arial" w:eastAsia="Arial" w:hAnsi="Arial" w:cs="Arial"/>
          <w:sz w:val="20"/>
          <w:szCs w:val="20"/>
        </w:rPr>
        <w:lastRenderedPageBreak/>
        <w:t>treatment groups (1.322) at 24 hours, indicating that 0.50% is more effective for this strain over prolonged exposure.</w:t>
      </w:r>
    </w:p>
    <w:p w14:paraId="3D2EF7D9" w14:textId="77777777" w:rsidR="006F487A" w:rsidRDefault="00000000">
      <w:pPr>
        <w:spacing w:after="80"/>
        <w:ind w:firstLine="360"/>
        <w:jc w:val="both"/>
        <w:rPr>
          <w:rFonts w:ascii="Arial" w:eastAsia="Arial" w:hAnsi="Arial" w:cs="Arial"/>
          <w:sz w:val="20"/>
          <w:szCs w:val="20"/>
        </w:rPr>
      </w:pPr>
      <w:r>
        <w:rPr>
          <w:rFonts w:ascii="Arial" w:eastAsia="Arial" w:hAnsi="Arial" w:cs="Arial"/>
          <w:sz w:val="20"/>
          <w:szCs w:val="20"/>
        </w:rPr>
        <w:t xml:space="preserve">The reference control (RC) containing </w:t>
      </w:r>
      <w:proofErr w:type="spellStart"/>
      <w:r>
        <w:rPr>
          <w:rFonts w:ascii="Arial" w:eastAsia="Arial" w:hAnsi="Arial" w:cs="Arial"/>
          <w:sz w:val="20"/>
          <w:szCs w:val="20"/>
        </w:rPr>
        <w:t>AgNPs</w:t>
      </w:r>
      <w:proofErr w:type="spellEnd"/>
      <w:r>
        <w:rPr>
          <w:rFonts w:ascii="Arial" w:eastAsia="Arial" w:hAnsi="Arial" w:cs="Arial"/>
          <w:sz w:val="20"/>
          <w:szCs w:val="20"/>
        </w:rPr>
        <w:t xml:space="preserve"> without sanitizer also demonstrated a reduction in OD after 4 hours, further supporting the inherent antimicrobial activity of </w:t>
      </w:r>
      <w:proofErr w:type="spellStart"/>
      <w:r>
        <w:rPr>
          <w:rFonts w:ascii="Arial" w:eastAsia="Arial" w:hAnsi="Arial" w:cs="Arial"/>
          <w:sz w:val="20"/>
          <w:szCs w:val="20"/>
        </w:rPr>
        <w:t>AgNPs</w:t>
      </w:r>
      <w:proofErr w:type="spellEnd"/>
      <w:r>
        <w:rPr>
          <w:rFonts w:ascii="Arial" w:eastAsia="Arial" w:hAnsi="Arial" w:cs="Arial"/>
          <w:sz w:val="20"/>
          <w:szCs w:val="20"/>
        </w:rPr>
        <w:t xml:space="preserve"> independent of the sanitizer. The negative control (NC) showed the highest OD values at 4 hours across all strains, confirming uninhibited bacterial growth in the absence of any antimicrobial agent. The general decline in OD values at 24 hours across most groups, including the negative controls, is attributed to the transition into the stationary or decline phase of growth, nutrient depletion, or accumulation of metabolic waste products in the closed-tube environment (Gonzalez &amp; Aranda, 2023).</w:t>
      </w:r>
    </w:p>
    <w:p w14:paraId="4DE70271" w14:textId="77777777" w:rsidR="006F487A" w:rsidRDefault="00000000">
      <w:pPr>
        <w:spacing w:after="80"/>
        <w:ind w:firstLine="360"/>
        <w:jc w:val="both"/>
        <w:rPr>
          <w:rFonts w:ascii="Arial" w:eastAsia="Arial" w:hAnsi="Arial" w:cs="Arial"/>
          <w:sz w:val="20"/>
          <w:szCs w:val="20"/>
        </w:rPr>
      </w:pPr>
      <w:r>
        <w:rPr>
          <w:rFonts w:ascii="Arial" w:eastAsia="Arial" w:hAnsi="Arial" w:cs="Arial"/>
          <w:sz w:val="20"/>
          <w:szCs w:val="20"/>
        </w:rPr>
        <w:t xml:space="preserve">The organism-specific optimum concentrations can be explained by differences in cell wall architecture. Gram-negative bacteria such as </w:t>
      </w:r>
      <w:r>
        <w:rPr>
          <w:rFonts w:ascii="Arial" w:eastAsia="Arial" w:hAnsi="Arial" w:cs="Arial"/>
          <w:i/>
          <w:iCs/>
          <w:sz w:val="20"/>
          <w:szCs w:val="20"/>
        </w:rPr>
        <w:t>E. coli</w:t>
      </w:r>
      <w:r>
        <w:rPr>
          <w:rFonts w:ascii="Arial" w:eastAsia="Arial" w:hAnsi="Arial" w:cs="Arial"/>
          <w:sz w:val="20"/>
          <w:szCs w:val="20"/>
        </w:rPr>
        <w:t xml:space="preserve"> possess a thinner peptidoglycan layer (~3–4 nm) and an outer membrane containing lipopolysaccharides (LPS) that promote nanoparticle attachment through electrostatic interactions, resulting in increased inhibition even at lower concentrations (Pal et al., 2007). In contrast, Gram-positive bacteria have a much thicker peptidoglycan layer (~30 nm) that acts as a protective barrier (Shrivastava et al., 2007). This architectural difference likely explains why </w:t>
      </w:r>
      <w:r>
        <w:rPr>
          <w:rFonts w:ascii="Arial" w:eastAsia="Arial" w:hAnsi="Arial" w:cs="Arial"/>
          <w:i/>
          <w:iCs/>
          <w:sz w:val="20"/>
          <w:szCs w:val="20"/>
        </w:rPr>
        <w:t>S. aureus</w:t>
      </w:r>
      <w:r>
        <w:rPr>
          <w:rFonts w:ascii="Arial" w:eastAsia="Arial" w:hAnsi="Arial" w:cs="Arial"/>
          <w:sz w:val="20"/>
          <w:szCs w:val="20"/>
        </w:rPr>
        <w:t xml:space="preserve"> requires a higher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for equivalent antimicrobial effect.</w:t>
      </w:r>
    </w:p>
    <w:p w14:paraId="32559540" w14:textId="77777777" w:rsidR="006F487A" w:rsidRDefault="00000000">
      <w:pPr>
        <w:spacing w:after="80"/>
        <w:ind w:firstLine="360"/>
        <w:jc w:val="both"/>
        <w:rPr>
          <w:rFonts w:ascii="Arial" w:eastAsia="Arial" w:hAnsi="Arial" w:cs="Arial"/>
          <w:sz w:val="20"/>
          <w:szCs w:val="20"/>
        </w:rPr>
      </w:pPr>
      <w:r>
        <w:rPr>
          <w:rFonts w:ascii="Arial" w:eastAsia="Arial" w:hAnsi="Arial" w:cs="Arial"/>
          <w:sz w:val="20"/>
          <w:szCs w:val="20"/>
        </w:rPr>
        <w:t xml:space="preserve">Once inside bacterial cells, </w:t>
      </w:r>
      <w:proofErr w:type="spellStart"/>
      <w:r>
        <w:rPr>
          <w:rFonts w:ascii="Arial" w:eastAsia="Arial" w:hAnsi="Arial" w:cs="Arial"/>
          <w:sz w:val="20"/>
          <w:szCs w:val="20"/>
        </w:rPr>
        <w:t>AgNPs</w:t>
      </w:r>
      <w:proofErr w:type="spellEnd"/>
      <w:r>
        <w:rPr>
          <w:rFonts w:ascii="Arial" w:eastAsia="Arial" w:hAnsi="Arial" w:cs="Arial"/>
          <w:sz w:val="20"/>
          <w:szCs w:val="20"/>
        </w:rPr>
        <w:t xml:space="preserve"> disrupt vital intracellular functions by interacting with enzymes and proteins, displacing essential metal ions such as zinc and iron, and inhibiting key metabolic pathways. </w:t>
      </w:r>
      <w:proofErr w:type="spellStart"/>
      <w:r>
        <w:rPr>
          <w:rFonts w:ascii="Arial" w:eastAsia="Arial" w:hAnsi="Arial" w:cs="Arial"/>
          <w:sz w:val="20"/>
          <w:szCs w:val="20"/>
        </w:rPr>
        <w:t>AgNPs</w:t>
      </w:r>
      <w:proofErr w:type="spellEnd"/>
      <w:r>
        <w:rPr>
          <w:rFonts w:ascii="Arial" w:eastAsia="Arial" w:hAnsi="Arial" w:cs="Arial"/>
          <w:sz w:val="20"/>
          <w:szCs w:val="20"/>
        </w:rPr>
        <w:t xml:space="preserve"> also target DNA, inducing structural changes that hinder replication and transcription, with Ag</w:t>
      </w:r>
      <w:r>
        <w:rPr>
          <w:rFonts w:ascii="Arial" w:eastAsia="Arial" w:hAnsi="Arial" w:cs="Arial"/>
          <w:sz w:val="20"/>
          <w:szCs w:val="20"/>
          <w:vertAlign w:val="superscript"/>
        </w:rPr>
        <w:t>+</w:t>
      </w:r>
      <w:r>
        <w:rPr>
          <w:rFonts w:ascii="Arial" w:eastAsia="Arial" w:hAnsi="Arial" w:cs="Arial"/>
          <w:sz w:val="20"/>
          <w:szCs w:val="20"/>
        </w:rPr>
        <w:t xml:space="preserve"> ions inserting between base pairs and condensing the DNA helix (Morones et al., 2005). Furthermore, Ag</w:t>
      </w:r>
      <w:r>
        <w:rPr>
          <w:rFonts w:ascii="Arial" w:eastAsia="Arial" w:hAnsi="Arial" w:cs="Arial"/>
          <w:sz w:val="20"/>
          <w:szCs w:val="20"/>
          <w:vertAlign w:val="superscript"/>
        </w:rPr>
        <w:t>+</w:t>
      </w:r>
      <w:r>
        <w:rPr>
          <w:rFonts w:ascii="Arial" w:eastAsia="Arial" w:hAnsi="Arial" w:cs="Arial"/>
          <w:sz w:val="20"/>
          <w:szCs w:val="20"/>
        </w:rPr>
        <w:t xml:space="preserve"> binds to thiol groups in proteins, forming stable Ag–S bonds that impair ATP generation, ion transport, and protein activity (Fahim et al., 2024).</w:t>
      </w:r>
    </w:p>
    <w:p w14:paraId="184B76D1" w14:textId="77777777" w:rsidR="006F487A" w:rsidRDefault="00000000">
      <w:pPr>
        <w:spacing w:after="80"/>
        <w:ind w:firstLine="360"/>
        <w:jc w:val="both"/>
        <w:rPr>
          <w:rFonts w:ascii="Arial" w:eastAsia="Arial" w:hAnsi="Arial" w:cs="Arial"/>
          <w:sz w:val="20"/>
          <w:szCs w:val="20"/>
        </w:rPr>
      </w:pPr>
      <w:r>
        <w:rPr>
          <w:rFonts w:ascii="Arial" w:eastAsia="Arial" w:hAnsi="Arial" w:cs="Arial"/>
          <w:sz w:val="20"/>
          <w:szCs w:val="20"/>
        </w:rPr>
        <w:t xml:space="preserve">The finding that 0.10% </w:t>
      </w:r>
      <w:proofErr w:type="spellStart"/>
      <w:r>
        <w:rPr>
          <w:rFonts w:ascii="Arial" w:eastAsia="Arial" w:hAnsi="Arial" w:cs="Arial"/>
          <w:sz w:val="20"/>
          <w:szCs w:val="20"/>
        </w:rPr>
        <w:t>AgNPs</w:t>
      </w:r>
      <w:proofErr w:type="spellEnd"/>
      <w:r>
        <w:rPr>
          <w:rFonts w:ascii="Arial" w:eastAsia="Arial" w:hAnsi="Arial" w:cs="Arial"/>
          <w:sz w:val="20"/>
          <w:szCs w:val="20"/>
        </w:rPr>
        <w:t xml:space="preserve"> was less effective than both 0.25% and 0.50% across all strains confirms that sub-optimal concentrations are insufficient for significant antimicrobial enhancement. The failure of 0.50% </w:t>
      </w:r>
      <w:proofErr w:type="spellStart"/>
      <w:r>
        <w:rPr>
          <w:rFonts w:ascii="Arial" w:eastAsia="Arial" w:hAnsi="Arial" w:cs="Arial"/>
          <w:sz w:val="20"/>
          <w:szCs w:val="20"/>
        </w:rPr>
        <w:t>AgNPs</w:t>
      </w:r>
      <w:proofErr w:type="spellEnd"/>
      <w:r>
        <w:rPr>
          <w:rFonts w:ascii="Arial" w:eastAsia="Arial" w:hAnsi="Arial" w:cs="Arial"/>
          <w:sz w:val="20"/>
          <w:szCs w:val="20"/>
        </w:rPr>
        <w:t xml:space="preserve"> to outperform 0.25% for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may be due to nanoparticle aggregation or reduced bioavailability of silver ions at higher concentrations (Liao et al., 2019). These findings highlight the potential of </w:t>
      </w:r>
      <w:proofErr w:type="spellStart"/>
      <w:r>
        <w:rPr>
          <w:rFonts w:ascii="Arial" w:eastAsia="Arial" w:hAnsi="Arial" w:cs="Arial"/>
          <w:sz w:val="20"/>
          <w:szCs w:val="20"/>
        </w:rPr>
        <w:t>AgNP</w:t>
      </w:r>
      <w:proofErr w:type="spellEnd"/>
      <w:r>
        <w:rPr>
          <w:rFonts w:ascii="Arial" w:eastAsia="Arial" w:hAnsi="Arial" w:cs="Arial"/>
          <w:sz w:val="20"/>
          <w:szCs w:val="20"/>
        </w:rPr>
        <w:t xml:space="preserve">-enhanced sanitizer formulations as antibacterial sprays in food safety and hygiene management. However, </w:t>
      </w:r>
      <w:proofErr w:type="spellStart"/>
      <w:r>
        <w:rPr>
          <w:rFonts w:ascii="Arial" w:eastAsia="Arial" w:hAnsi="Arial" w:cs="Arial"/>
          <w:sz w:val="20"/>
          <w:szCs w:val="20"/>
        </w:rPr>
        <w:t>AgNPs</w:t>
      </w:r>
      <w:proofErr w:type="spellEnd"/>
      <w:r>
        <w:rPr>
          <w:rFonts w:ascii="Arial" w:eastAsia="Arial" w:hAnsi="Arial" w:cs="Arial"/>
          <w:sz w:val="20"/>
          <w:szCs w:val="20"/>
        </w:rPr>
        <w:t xml:space="preserve"> have been reported to induce oxidative stress, DNA damage, and cytotoxic effects in mammalian cells upon direct application, raising safety concerns for dermal or mucosal exposure (Arora et al., 2008). Therefore, strategies to reduce toxicity — such as surface coating, encapsulation, or the use of biologically synthesized nanoparticles — must be investigated before </w:t>
      </w:r>
      <w:proofErr w:type="spellStart"/>
      <w:r>
        <w:rPr>
          <w:rFonts w:ascii="Arial" w:eastAsia="Arial" w:hAnsi="Arial" w:cs="Arial"/>
          <w:sz w:val="20"/>
          <w:szCs w:val="20"/>
        </w:rPr>
        <w:t>AgNP</w:t>
      </w:r>
      <w:proofErr w:type="spellEnd"/>
      <w:r>
        <w:rPr>
          <w:rFonts w:ascii="Arial" w:eastAsia="Arial" w:hAnsi="Arial" w:cs="Arial"/>
          <w:sz w:val="20"/>
          <w:szCs w:val="20"/>
        </w:rPr>
        <w:t>-enhanced sanitizers can be recommended for human use.</w:t>
      </w:r>
    </w:p>
    <w:p w14:paraId="2219FD1B" w14:textId="77777777" w:rsidR="006F487A" w:rsidRDefault="00000000">
      <w:pPr>
        <w:spacing w:before="160" w:after="80"/>
        <w:rPr>
          <w:rFonts w:ascii="Arial" w:eastAsia="Arial" w:hAnsi="Arial" w:cs="Arial"/>
          <w:sz w:val="20"/>
          <w:szCs w:val="20"/>
        </w:rPr>
      </w:pPr>
      <w:r>
        <w:rPr>
          <w:rFonts w:ascii="Arial" w:eastAsia="Arial" w:hAnsi="Arial" w:cs="Arial"/>
          <w:b/>
          <w:bCs/>
          <w:sz w:val="20"/>
          <w:szCs w:val="20"/>
        </w:rPr>
        <w:t xml:space="preserve">Table 1 </w:t>
      </w:r>
      <w:r>
        <w:rPr>
          <w:rFonts w:ascii="Arial" w:eastAsia="Arial" w:hAnsi="Arial" w:cs="Arial"/>
          <w:sz w:val="20"/>
          <w:szCs w:val="20"/>
        </w:rPr>
        <w:t>Average Optical Density (OD</w:t>
      </w:r>
      <w:r>
        <w:rPr>
          <w:rFonts w:ascii="Arial" w:eastAsia="Arial" w:hAnsi="Arial" w:cs="Arial"/>
          <w:sz w:val="20"/>
          <w:szCs w:val="20"/>
          <w:vertAlign w:val="subscript"/>
        </w:rPr>
        <w:t>600</w:t>
      </w:r>
      <w:r>
        <w:rPr>
          <w:rFonts w:ascii="Arial" w:eastAsia="Arial" w:hAnsi="Arial" w:cs="Arial"/>
          <w:sz w:val="20"/>
          <w:szCs w:val="20"/>
        </w:rPr>
        <w:t>) Values of Bacterial Cultures at Different Time Intervals</w:t>
      </w:r>
    </w:p>
    <w:tbl>
      <w:tblPr>
        <w:tblStyle w:val="a"/>
        <w:tblW w:w="9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5"/>
        <w:gridCol w:w="645"/>
        <w:gridCol w:w="795"/>
        <w:gridCol w:w="1095"/>
        <w:gridCol w:w="1200"/>
        <w:gridCol w:w="1590"/>
        <w:gridCol w:w="1545"/>
        <w:gridCol w:w="1470"/>
      </w:tblGrid>
      <w:tr w:rsidR="006F487A" w14:paraId="00F37D0A" w14:textId="77777777">
        <w:trPr>
          <w:tblHeader/>
        </w:trPr>
        <w:tc>
          <w:tcPr>
            <w:tcW w:w="118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5A0FABBB" w14:textId="77777777" w:rsidR="006F487A" w:rsidRDefault="00000000">
            <w:pPr>
              <w:jc w:val="center"/>
              <w:rPr>
                <w:rFonts w:ascii="Arial" w:eastAsia="Arial" w:hAnsi="Arial" w:cs="Arial"/>
                <w:sz w:val="20"/>
                <w:szCs w:val="20"/>
              </w:rPr>
            </w:pPr>
            <w:r>
              <w:rPr>
                <w:rFonts w:ascii="Arial" w:eastAsia="Arial" w:hAnsi="Arial" w:cs="Arial"/>
                <w:b/>
                <w:bCs/>
                <w:sz w:val="20"/>
                <w:szCs w:val="20"/>
              </w:rPr>
              <w:t>Organism</w:t>
            </w:r>
          </w:p>
        </w:tc>
        <w:tc>
          <w:tcPr>
            <w:tcW w:w="64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263C043F" w14:textId="77777777" w:rsidR="006F487A" w:rsidRDefault="00000000">
            <w:pPr>
              <w:jc w:val="center"/>
              <w:rPr>
                <w:rFonts w:ascii="Arial" w:eastAsia="Arial" w:hAnsi="Arial" w:cs="Arial"/>
                <w:sz w:val="20"/>
                <w:szCs w:val="20"/>
              </w:rPr>
            </w:pPr>
            <w:r>
              <w:rPr>
                <w:rFonts w:ascii="Arial" w:eastAsia="Arial" w:hAnsi="Arial" w:cs="Arial"/>
                <w:b/>
                <w:bCs/>
                <w:sz w:val="20"/>
                <w:szCs w:val="20"/>
              </w:rPr>
              <w:t>Time (h)</w:t>
            </w:r>
          </w:p>
        </w:tc>
        <w:tc>
          <w:tcPr>
            <w:tcW w:w="79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677B9A29" w14:textId="77777777" w:rsidR="006F487A" w:rsidRDefault="00000000">
            <w:pPr>
              <w:jc w:val="center"/>
              <w:rPr>
                <w:rFonts w:ascii="Arial" w:eastAsia="Arial" w:hAnsi="Arial" w:cs="Arial"/>
                <w:sz w:val="20"/>
                <w:szCs w:val="20"/>
              </w:rPr>
            </w:pPr>
            <w:r>
              <w:rPr>
                <w:rFonts w:ascii="Arial" w:eastAsia="Arial" w:hAnsi="Arial" w:cs="Arial"/>
                <w:b/>
                <w:bCs/>
                <w:sz w:val="20"/>
                <w:szCs w:val="20"/>
              </w:rPr>
              <w:t>PC (San)</w:t>
            </w:r>
          </w:p>
        </w:tc>
        <w:tc>
          <w:tcPr>
            <w:tcW w:w="109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0BD5F65B" w14:textId="77777777" w:rsidR="006F487A" w:rsidRDefault="00000000">
            <w:pPr>
              <w:jc w:val="center"/>
              <w:rPr>
                <w:rFonts w:ascii="Arial" w:eastAsia="Arial" w:hAnsi="Arial" w:cs="Arial"/>
                <w:sz w:val="20"/>
                <w:szCs w:val="20"/>
              </w:rPr>
            </w:pPr>
            <w:r>
              <w:rPr>
                <w:rFonts w:ascii="Arial" w:eastAsia="Arial" w:hAnsi="Arial" w:cs="Arial"/>
                <w:b/>
                <w:bCs/>
                <w:sz w:val="20"/>
                <w:szCs w:val="20"/>
              </w:rPr>
              <w:t>RC (NP)</w:t>
            </w:r>
          </w:p>
        </w:tc>
        <w:tc>
          <w:tcPr>
            <w:tcW w:w="1200"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2A58C445" w14:textId="77777777" w:rsidR="006F487A" w:rsidRDefault="00000000">
            <w:pPr>
              <w:jc w:val="center"/>
              <w:rPr>
                <w:rFonts w:ascii="Arial" w:eastAsia="Arial" w:hAnsi="Arial" w:cs="Arial"/>
                <w:sz w:val="20"/>
                <w:szCs w:val="20"/>
              </w:rPr>
            </w:pPr>
            <w:r>
              <w:rPr>
                <w:rFonts w:ascii="Arial" w:eastAsia="Arial" w:hAnsi="Arial" w:cs="Arial"/>
                <w:b/>
                <w:bCs/>
                <w:sz w:val="20"/>
                <w:szCs w:val="20"/>
              </w:rPr>
              <w:t>NC (Microbe)</w:t>
            </w:r>
          </w:p>
        </w:tc>
        <w:tc>
          <w:tcPr>
            <w:tcW w:w="1590"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2A6E6249" w14:textId="77777777" w:rsidR="006F487A" w:rsidRDefault="00000000">
            <w:pPr>
              <w:jc w:val="center"/>
              <w:rPr>
                <w:rFonts w:ascii="Arial" w:eastAsia="Arial" w:hAnsi="Arial" w:cs="Arial"/>
                <w:sz w:val="20"/>
                <w:szCs w:val="20"/>
              </w:rPr>
            </w:pPr>
            <w:r>
              <w:rPr>
                <w:rFonts w:ascii="Arial" w:eastAsia="Arial" w:hAnsi="Arial" w:cs="Arial"/>
                <w:b/>
                <w:bCs/>
                <w:sz w:val="20"/>
                <w:szCs w:val="20"/>
              </w:rPr>
              <w:t>0.1% NP + 1% San</w:t>
            </w:r>
          </w:p>
        </w:tc>
        <w:tc>
          <w:tcPr>
            <w:tcW w:w="1545"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67BD4E7A" w14:textId="77777777" w:rsidR="006F487A" w:rsidRDefault="00000000">
            <w:pPr>
              <w:jc w:val="center"/>
              <w:rPr>
                <w:rFonts w:ascii="Arial" w:eastAsia="Arial" w:hAnsi="Arial" w:cs="Arial"/>
                <w:sz w:val="20"/>
                <w:szCs w:val="20"/>
              </w:rPr>
            </w:pPr>
            <w:r>
              <w:rPr>
                <w:rFonts w:ascii="Arial" w:eastAsia="Arial" w:hAnsi="Arial" w:cs="Arial"/>
                <w:b/>
                <w:bCs/>
                <w:sz w:val="20"/>
                <w:szCs w:val="20"/>
              </w:rPr>
              <w:t>0.25% NP + 1% San</w:t>
            </w:r>
          </w:p>
        </w:tc>
        <w:tc>
          <w:tcPr>
            <w:tcW w:w="1470" w:type="dxa"/>
            <w:tcBorders>
              <w:top w:val="single" w:sz="4" w:space="0" w:color="000000"/>
              <w:left w:val="single" w:sz="4" w:space="0" w:color="000000"/>
              <w:bottom w:val="single" w:sz="4" w:space="0" w:color="000000"/>
              <w:right w:val="single" w:sz="4" w:space="0" w:color="000000"/>
            </w:tcBorders>
            <w:shd w:val="clear" w:color="auto" w:fill="D9D9D9"/>
            <w:tcMar>
              <w:top w:w="40" w:type="dxa"/>
              <w:left w:w="80" w:type="dxa"/>
              <w:bottom w:w="40" w:type="dxa"/>
              <w:right w:w="80" w:type="dxa"/>
            </w:tcMar>
          </w:tcPr>
          <w:p w14:paraId="647894DB" w14:textId="77777777" w:rsidR="006F487A" w:rsidRDefault="00000000">
            <w:pPr>
              <w:jc w:val="center"/>
              <w:rPr>
                <w:rFonts w:ascii="Arial" w:eastAsia="Arial" w:hAnsi="Arial" w:cs="Arial"/>
                <w:sz w:val="20"/>
                <w:szCs w:val="20"/>
              </w:rPr>
            </w:pPr>
            <w:r>
              <w:rPr>
                <w:rFonts w:ascii="Arial" w:eastAsia="Arial" w:hAnsi="Arial" w:cs="Arial"/>
                <w:b/>
                <w:bCs/>
                <w:sz w:val="20"/>
                <w:szCs w:val="20"/>
              </w:rPr>
              <w:t>0.5% NP + 1% San</w:t>
            </w:r>
          </w:p>
        </w:tc>
      </w:tr>
      <w:tr w:rsidR="006F487A" w14:paraId="6203BE42"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8109631" w14:textId="77777777" w:rsidR="006F487A" w:rsidRDefault="00000000">
            <w:pPr>
              <w:jc w:val="center"/>
              <w:rPr>
                <w:rFonts w:ascii="Arial" w:eastAsia="Arial" w:hAnsi="Arial" w:cs="Arial"/>
                <w:sz w:val="20"/>
                <w:szCs w:val="20"/>
              </w:rPr>
            </w:pPr>
            <w:r>
              <w:rPr>
                <w:rFonts w:ascii="Arial" w:eastAsia="Arial" w:hAnsi="Arial" w:cs="Arial"/>
                <w:sz w:val="20"/>
                <w:szCs w:val="20"/>
              </w:rPr>
              <w:t>S. aureus</w:t>
            </w: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F5E9A10" w14:textId="77777777" w:rsidR="006F487A" w:rsidRDefault="00000000">
            <w:pPr>
              <w:jc w:val="center"/>
              <w:rPr>
                <w:rFonts w:ascii="Arial" w:eastAsia="Arial" w:hAnsi="Arial" w:cs="Arial"/>
                <w:sz w:val="20"/>
                <w:szCs w:val="20"/>
              </w:rPr>
            </w:pPr>
            <w:r>
              <w:rPr>
                <w:rFonts w:ascii="Arial" w:eastAsia="Arial" w:hAnsi="Arial" w:cs="Arial"/>
                <w:sz w:val="20"/>
                <w:szCs w:val="20"/>
              </w:rPr>
              <w:t>2</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B4928FE" w14:textId="77777777" w:rsidR="006F487A" w:rsidRDefault="00000000">
            <w:pPr>
              <w:jc w:val="center"/>
              <w:rPr>
                <w:rFonts w:ascii="Arial" w:eastAsia="Arial" w:hAnsi="Arial" w:cs="Arial"/>
                <w:sz w:val="20"/>
                <w:szCs w:val="20"/>
              </w:rPr>
            </w:pPr>
            <w:r>
              <w:rPr>
                <w:rFonts w:ascii="Arial" w:eastAsia="Arial" w:hAnsi="Arial" w:cs="Arial"/>
                <w:sz w:val="20"/>
                <w:szCs w:val="20"/>
              </w:rPr>
              <w:t>1.635</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0B6A43D" w14:textId="77777777" w:rsidR="006F487A" w:rsidRDefault="00000000">
            <w:pPr>
              <w:jc w:val="center"/>
              <w:rPr>
                <w:rFonts w:ascii="Arial" w:eastAsia="Arial" w:hAnsi="Arial" w:cs="Arial"/>
                <w:sz w:val="20"/>
                <w:szCs w:val="20"/>
              </w:rPr>
            </w:pPr>
            <w:r>
              <w:rPr>
                <w:rFonts w:ascii="Arial" w:eastAsia="Arial" w:hAnsi="Arial" w:cs="Arial"/>
                <w:sz w:val="20"/>
                <w:szCs w:val="20"/>
              </w:rPr>
              <w:t>1.675</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9C79DB0" w14:textId="77777777" w:rsidR="006F487A" w:rsidRDefault="00000000">
            <w:pPr>
              <w:jc w:val="center"/>
              <w:rPr>
                <w:rFonts w:ascii="Arial" w:eastAsia="Arial" w:hAnsi="Arial" w:cs="Arial"/>
                <w:sz w:val="20"/>
                <w:szCs w:val="20"/>
              </w:rPr>
            </w:pPr>
            <w:r>
              <w:rPr>
                <w:rFonts w:ascii="Arial" w:eastAsia="Arial" w:hAnsi="Arial" w:cs="Arial"/>
                <w:sz w:val="20"/>
                <w:szCs w:val="20"/>
              </w:rPr>
              <w:t>1.645</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9F9477F" w14:textId="77777777" w:rsidR="006F487A" w:rsidRDefault="00000000">
            <w:pPr>
              <w:jc w:val="center"/>
              <w:rPr>
                <w:rFonts w:ascii="Arial" w:eastAsia="Arial" w:hAnsi="Arial" w:cs="Arial"/>
                <w:sz w:val="20"/>
                <w:szCs w:val="20"/>
              </w:rPr>
            </w:pPr>
            <w:r>
              <w:rPr>
                <w:rFonts w:ascii="Arial" w:eastAsia="Arial" w:hAnsi="Arial" w:cs="Arial"/>
                <w:sz w:val="20"/>
                <w:szCs w:val="20"/>
              </w:rPr>
              <w:t>1.651</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B38B5D2" w14:textId="77777777" w:rsidR="006F487A" w:rsidRDefault="00000000">
            <w:pPr>
              <w:jc w:val="center"/>
              <w:rPr>
                <w:rFonts w:ascii="Arial" w:eastAsia="Arial" w:hAnsi="Arial" w:cs="Arial"/>
                <w:sz w:val="20"/>
                <w:szCs w:val="20"/>
              </w:rPr>
            </w:pPr>
            <w:r>
              <w:rPr>
                <w:rFonts w:ascii="Arial" w:eastAsia="Arial" w:hAnsi="Arial" w:cs="Arial"/>
                <w:sz w:val="20"/>
                <w:szCs w:val="20"/>
              </w:rPr>
              <w:t>1.676</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9A3F53B" w14:textId="77777777" w:rsidR="006F487A" w:rsidRDefault="00000000">
            <w:pPr>
              <w:jc w:val="center"/>
              <w:rPr>
                <w:rFonts w:ascii="Arial" w:eastAsia="Arial" w:hAnsi="Arial" w:cs="Arial"/>
                <w:sz w:val="20"/>
                <w:szCs w:val="20"/>
              </w:rPr>
            </w:pPr>
            <w:r>
              <w:rPr>
                <w:rFonts w:ascii="Arial" w:eastAsia="Arial" w:hAnsi="Arial" w:cs="Arial"/>
                <w:sz w:val="20"/>
                <w:szCs w:val="20"/>
              </w:rPr>
              <w:t>1.638</w:t>
            </w:r>
          </w:p>
        </w:tc>
      </w:tr>
      <w:tr w:rsidR="006F487A" w14:paraId="22BB0C97"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4A6E469" w14:textId="77777777" w:rsidR="006F487A" w:rsidRDefault="006F487A">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1956257" w14:textId="77777777" w:rsidR="006F487A" w:rsidRDefault="00000000">
            <w:pPr>
              <w:jc w:val="center"/>
              <w:rPr>
                <w:rFonts w:ascii="Arial" w:eastAsia="Arial" w:hAnsi="Arial" w:cs="Arial"/>
                <w:sz w:val="20"/>
                <w:szCs w:val="20"/>
              </w:rPr>
            </w:pPr>
            <w:r>
              <w:rPr>
                <w:rFonts w:ascii="Arial" w:eastAsia="Arial" w:hAnsi="Arial" w:cs="Arial"/>
                <w:sz w:val="20"/>
                <w:szCs w:val="20"/>
              </w:rPr>
              <w:t>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AEA8768" w14:textId="77777777" w:rsidR="006F487A" w:rsidRDefault="00000000">
            <w:pPr>
              <w:jc w:val="center"/>
              <w:rPr>
                <w:rFonts w:ascii="Arial" w:eastAsia="Arial" w:hAnsi="Arial" w:cs="Arial"/>
                <w:sz w:val="20"/>
                <w:szCs w:val="20"/>
              </w:rPr>
            </w:pPr>
            <w:r>
              <w:rPr>
                <w:rFonts w:ascii="Arial" w:eastAsia="Arial" w:hAnsi="Arial" w:cs="Arial"/>
                <w:sz w:val="20"/>
                <w:szCs w:val="20"/>
              </w:rPr>
              <w:t>2.029</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2599EE3" w14:textId="77777777" w:rsidR="006F487A" w:rsidRDefault="00000000">
            <w:pPr>
              <w:jc w:val="center"/>
              <w:rPr>
                <w:rFonts w:ascii="Arial" w:eastAsia="Arial" w:hAnsi="Arial" w:cs="Arial"/>
                <w:sz w:val="20"/>
                <w:szCs w:val="20"/>
              </w:rPr>
            </w:pPr>
            <w:r>
              <w:rPr>
                <w:rFonts w:ascii="Arial" w:eastAsia="Arial" w:hAnsi="Arial" w:cs="Arial"/>
                <w:sz w:val="20"/>
                <w:szCs w:val="20"/>
              </w:rPr>
              <w:t>1.519</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33138EB" w14:textId="77777777" w:rsidR="006F487A" w:rsidRDefault="00000000">
            <w:pPr>
              <w:jc w:val="center"/>
              <w:rPr>
                <w:rFonts w:ascii="Arial" w:eastAsia="Arial" w:hAnsi="Arial" w:cs="Arial"/>
                <w:sz w:val="20"/>
                <w:szCs w:val="20"/>
              </w:rPr>
            </w:pPr>
            <w:r>
              <w:rPr>
                <w:rFonts w:ascii="Arial" w:eastAsia="Arial" w:hAnsi="Arial" w:cs="Arial"/>
                <w:sz w:val="20"/>
                <w:szCs w:val="20"/>
              </w:rPr>
              <w:t>2.484</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26149AB" w14:textId="77777777" w:rsidR="006F487A" w:rsidRDefault="00000000">
            <w:pPr>
              <w:jc w:val="center"/>
              <w:rPr>
                <w:rFonts w:ascii="Arial" w:eastAsia="Arial" w:hAnsi="Arial" w:cs="Arial"/>
                <w:sz w:val="20"/>
                <w:szCs w:val="20"/>
              </w:rPr>
            </w:pPr>
            <w:r>
              <w:rPr>
                <w:rFonts w:ascii="Arial" w:eastAsia="Arial" w:hAnsi="Arial" w:cs="Arial"/>
                <w:sz w:val="20"/>
                <w:szCs w:val="20"/>
              </w:rPr>
              <w:t>2.016</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953E4BD" w14:textId="77777777" w:rsidR="006F487A" w:rsidRDefault="00000000">
            <w:pPr>
              <w:jc w:val="center"/>
              <w:rPr>
                <w:rFonts w:ascii="Arial" w:eastAsia="Arial" w:hAnsi="Arial" w:cs="Arial"/>
                <w:sz w:val="20"/>
                <w:szCs w:val="20"/>
              </w:rPr>
            </w:pPr>
            <w:r>
              <w:rPr>
                <w:rFonts w:ascii="Arial" w:eastAsia="Arial" w:hAnsi="Arial" w:cs="Arial"/>
                <w:sz w:val="20"/>
                <w:szCs w:val="20"/>
              </w:rPr>
              <w:t>2.067</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27AF94E" w14:textId="77777777" w:rsidR="006F487A" w:rsidRDefault="00000000">
            <w:pPr>
              <w:jc w:val="center"/>
              <w:rPr>
                <w:rFonts w:ascii="Arial" w:eastAsia="Arial" w:hAnsi="Arial" w:cs="Arial"/>
                <w:sz w:val="20"/>
                <w:szCs w:val="20"/>
              </w:rPr>
            </w:pPr>
            <w:r>
              <w:rPr>
                <w:rFonts w:ascii="Arial" w:eastAsia="Arial" w:hAnsi="Arial" w:cs="Arial"/>
                <w:sz w:val="20"/>
                <w:szCs w:val="20"/>
              </w:rPr>
              <w:t>1.608</w:t>
            </w:r>
          </w:p>
        </w:tc>
      </w:tr>
      <w:tr w:rsidR="006F487A" w14:paraId="1B517E9F"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CDEBBDE" w14:textId="77777777" w:rsidR="006F487A" w:rsidRDefault="006F487A">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7DA2AA3" w14:textId="77777777" w:rsidR="006F487A" w:rsidRDefault="00000000">
            <w:pPr>
              <w:jc w:val="center"/>
              <w:rPr>
                <w:rFonts w:ascii="Arial" w:eastAsia="Arial" w:hAnsi="Arial" w:cs="Arial"/>
                <w:sz w:val="20"/>
                <w:szCs w:val="20"/>
              </w:rPr>
            </w:pPr>
            <w:r>
              <w:rPr>
                <w:rFonts w:ascii="Arial" w:eastAsia="Arial" w:hAnsi="Arial" w:cs="Arial"/>
                <w:sz w:val="20"/>
                <w:szCs w:val="20"/>
              </w:rPr>
              <w:t>24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7A273C6" w14:textId="77777777" w:rsidR="006F487A" w:rsidRDefault="00000000">
            <w:pPr>
              <w:jc w:val="center"/>
              <w:rPr>
                <w:rFonts w:ascii="Arial" w:eastAsia="Arial" w:hAnsi="Arial" w:cs="Arial"/>
                <w:sz w:val="20"/>
                <w:szCs w:val="20"/>
              </w:rPr>
            </w:pPr>
            <w:r>
              <w:rPr>
                <w:rFonts w:ascii="Arial" w:eastAsia="Arial" w:hAnsi="Arial" w:cs="Arial"/>
                <w:sz w:val="20"/>
                <w:szCs w:val="20"/>
              </w:rPr>
              <w:t>1.348</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E40547D" w14:textId="77777777" w:rsidR="006F487A" w:rsidRDefault="00000000">
            <w:pPr>
              <w:jc w:val="center"/>
              <w:rPr>
                <w:rFonts w:ascii="Arial" w:eastAsia="Arial" w:hAnsi="Arial" w:cs="Arial"/>
                <w:sz w:val="20"/>
                <w:szCs w:val="20"/>
              </w:rPr>
            </w:pPr>
            <w:r>
              <w:rPr>
                <w:rFonts w:ascii="Arial" w:eastAsia="Arial" w:hAnsi="Arial" w:cs="Arial"/>
                <w:sz w:val="20"/>
                <w:szCs w:val="20"/>
              </w:rPr>
              <w:t>1.48</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4F605EB" w14:textId="77777777" w:rsidR="006F487A" w:rsidRDefault="00000000">
            <w:pPr>
              <w:jc w:val="center"/>
              <w:rPr>
                <w:rFonts w:ascii="Arial" w:eastAsia="Arial" w:hAnsi="Arial" w:cs="Arial"/>
                <w:sz w:val="20"/>
                <w:szCs w:val="20"/>
              </w:rPr>
            </w:pPr>
            <w:r>
              <w:rPr>
                <w:rFonts w:ascii="Arial" w:eastAsia="Arial" w:hAnsi="Arial" w:cs="Arial"/>
                <w:sz w:val="20"/>
                <w:szCs w:val="20"/>
              </w:rPr>
              <w:t>1.337</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D4DDF49" w14:textId="77777777" w:rsidR="006F487A" w:rsidRDefault="00000000">
            <w:pPr>
              <w:jc w:val="center"/>
              <w:rPr>
                <w:rFonts w:ascii="Arial" w:eastAsia="Arial" w:hAnsi="Arial" w:cs="Arial"/>
                <w:sz w:val="20"/>
                <w:szCs w:val="20"/>
              </w:rPr>
            </w:pPr>
            <w:r>
              <w:rPr>
                <w:rFonts w:ascii="Arial" w:eastAsia="Arial" w:hAnsi="Arial" w:cs="Arial"/>
                <w:sz w:val="20"/>
                <w:szCs w:val="20"/>
              </w:rPr>
              <w:t>1.346</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F7BE856" w14:textId="77777777" w:rsidR="006F487A" w:rsidRDefault="00000000">
            <w:pPr>
              <w:jc w:val="center"/>
              <w:rPr>
                <w:rFonts w:ascii="Arial" w:eastAsia="Arial" w:hAnsi="Arial" w:cs="Arial"/>
                <w:sz w:val="20"/>
                <w:szCs w:val="20"/>
              </w:rPr>
            </w:pPr>
            <w:r>
              <w:rPr>
                <w:rFonts w:ascii="Arial" w:eastAsia="Arial" w:hAnsi="Arial" w:cs="Arial"/>
                <w:sz w:val="20"/>
                <w:szCs w:val="20"/>
              </w:rPr>
              <w:t>1.359</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F8CE59D" w14:textId="77777777" w:rsidR="006F487A" w:rsidRDefault="00000000">
            <w:pPr>
              <w:jc w:val="center"/>
              <w:rPr>
                <w:rFonts w:ascii="Arial" w:eastAsia="Arial" w:hAnsi="Arial" w:cs="Arial"/>
                <w:sz w:val="20"/>
                <w:szCs w:val="20"/>
              </w:rPr>
            </w:pPr>
            <w:r>
              <w:rPr>
                <w:rFonts w:ascii="Arial" w:eastAsia="Arial" w:hAnsi="Arial" w:cs="Arial"/>
                <w:sz w:val="20"/>
                <w:szCs w:val="20"/>
              </w:rPr>
              <w:t>1.322</w:t>
            </w:r>
          </w:p>
        </w:tc>
      </w:tr>
      <w:tr w:rsidR="006F487A" w14:paraId="2158D628"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0735149" w14:textId="77777777" w:rsidR="006F487A" w:rsidRDefault="00000000">
            <w:pPr>
              <w:jc w:val="center"/>
              <w:rPr>
                <w:rFonts w:ascii="Arial" w:eastAsia="Arial" w:hAnsi="Arial" w:cs="Arial"/>
                <w:sz w:val="20"/>
                <w:szCs w:val="20"/>
              </w:rPr>
            </w:pPr>
            <w:r>
              <w:rPr>
                <w:rFonts w:ascii="Arial" w:eastAsia="Arial" w:hAnsi="Arial" w:cs="Arial"/>
                <w:sz w:val="20"/>
                <w:szCs w:val="20"/>
              </w:rPr>
              <w:t>E. coli</w:t>
            </w: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30227DA" w14:textId="77777777" w:rsidR="006F487A" w:rsidRDefault="00000000">
            <w:pPr>
              <w:jc w:val="center"/>
              <w:rPr>
                <w:rFonts w:ascii="Arial" w:eastAsia="Arial" w:hAnsi="Arial" w:cs="Arial"/>
                <w:sz w:val="20"/>
                <w:szCs w:val="20"/>
              </w:rPr>
            </w:pPr>
            <w:r>
              <w:rPr>
                <w:rFonts w:ascii="Arial" w:eastAsia="Arial" w:hAnsi="Arial" w:cs="Arial"/>
                <w:sz w:val="20"/>
                <w:szCs w:val="20"/>
              </w:rPr>
              <w:t>2</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4BF90DE" w14:textId="77777777" w:rsidR="006F487A" w:rsidRDefault="00000000">
            <w:pPr>
              <w:jc w:val="center"/>
              <w:rPr>
                <w:rFonts w:ascii="Arial" w:eastAsia="Arial" w:hAnsi="Arial" w:cs="Arial"/>
                <w:sz w:val="20"/>
                <w:szCs w:val="20"/>
              </w:rPr>
            </w:pPr>
            <w:r>
              <w:rPr>
                <w:rFonts w:ascii="Arial" w:eastAsia="Arial" w:hAnsi="Arial" w:cs="Arial"/>
                <w:sz w:val="20"/>
                <w:szCs w:val="20"/>
              </w:rPr>
              <w:t>1.563</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42550BE" w14:textId="77777777" w:rsidR="006F487A" w:rsidRDefault="00000000">
            <w:pPr>
              <w:jc w:val="center"/>
              <w:rPr>
                <w:rFonts w:ascii="Arial" w:eastAsia="Arial" w:hAnsi="Arial" w:cs="Arial"/>
                <w:sz w:val="20"/>
                <w:szCs w:val="20"/>
              </w:rPr>
            </w:pPr>
            <w:r>
              <w:rPr>
                <w:rFonts w:ascii="Arial" w:eastAsia="Arial" w:hAnsi="Arial" w:cs="Arial"/>
                <w:sz w:val="20"/>
                <w:szCs w:val="20"/>
              </w:rPr>
              <w:t>1.577</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6976D6A" w14:textId="77777777" w:rsidR="006F487A" w:rsidRDefault="00000000">
            <w:pPr>
              <w:jc w:val="center"/>
              <w:rPr>
                <w:rFonts w:ascii="Arial" w:eastAsia="Arial" w:hAnsi="Arial" w:cs="Arial"/>
                <w:sz w:val="20"/>
                <w:szCs w:val="20"/>
              </w:rPr>
            </w:pPr>
            <w:r>
              <w:rPr>
                <w:rFonts w:ascii="Arial" w:eastAsia="Arial" w:hAnsi="Arial" w:cs="Arial"/>
                <w:sz w:val="20"/>
                <w:szCs w:val="20"/>
              </w:rPr>
              <w:t>1.54</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A4D7BB5" w14:textId="77777777" w:rsidR="006F487A" w:rsidRDefault="00000000">
            <w:pPr>
              <w:jc w:val="center"/>
              <w:rPr>
                <w:rFonts w:ascii="Arial" w:eastAsia="Arial" w:hAnsi="Arial" w:cs="Arial"/>
                <w:sz w:val="20"/>
                <w:szCs w:val="20"/>
              </w:rPr>
            </w:pPr>
            <w:r>
              <w:rPr>
                <w:rFonts w:ascii="Arial" w:eastAsia="Arial" w:hAnsi="Arial" w:cs="Arial"/>
                <w:sz w:val="20"/>
                <w:szCs w:val="20"/>
              </w:rPr>
              <w:t>1.555</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98FC6C9" w14:textId="77777777" w:rsidR="006F487A" w:rsidRDefault="00000000">
            <w:pPr>
              <w:jc w:val="center"/>
              <w:rPr>
                <w:rFonts w:ascii="Arial" w:eastAsia="Arial" w:hAnsi="Arial" w:cs="Arial"/>
                <w:sz w:val="20"/>
                <w:szCs w:val="20"/>
              </w:rPr>
            </w:pPr>
            <w:r>
              <w:rPr>
                <w:rFonts w:ascii="Arial" w:eastAsia="Arial" w:hAnsi="Arial" w:cs="Arial"/>
                <w:sz w:val="20"/>
                <w:szCs w:val="20"/>
              </w:rPr>
              <w:t>1.531</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BCA0CC6" w14:textId="77777777" w:rsidR="006F487A" w:rsidRDefault="00000000">
            <w:pPr>
              <w:jc w:val="center"/>
              <w:rPr>
                <w:rFonts w:ascii="Arial" w:eastAsia="Arial" w:hAnsi="Arial" w:cs="Arial"/>
                <w:sz w:val="20"/>
                <w:szCs w:val="20"/>
              </w:rPr>
            </w:pPr>
            <w:r>
              <w:rPr>
                <w:rFonts w:ascii="Arial" w:eastAsia="Arial" w:hAnsi="Arial" w:cs="Arial"/>
                <w:sz w:val="20"/>
                <w:szCs w:val="20"/>
              </w:rPr>
              <w:t>1.578</w:t>
            </w:r>
          </w:p>
        </w:tc>
      </w:tr>
      <w:tr w:rsidR="006F487A" w14:paraId="6AB3BC2D"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81C8848" w14:textId="77777777" w:rsidR="006F487A" w:rsidRDefault="006F487A">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9A52480" w14:textId="77777777" w:rsidR="006F487A" w:rsidRDefault="00000000">
            <w:pPr>
              <w:jc w:val="center"/>
              <w:rPr>
                <w:rFonts w:ascii="Arial" w:eastAsia="Arial" w:hAnsi="Arial" w:cs="Arial"/>
                <w:sz w:val="20"/>
                <w:szCs w:val="20"/>
              </w:rPr>
            </w:pPr>
            <w:r>
              <w:rPr>
                <w:rFonts w:ascii="Arial" w:eastAsia="Arial" w:hAnsi="Arial" w:cs="Arial"/>
                <w:sz w:val="20"/>
                <w:szCs w:val="20"/>
              </w:rPr>
              <w:t>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F75FD05" w14:textId="77777777" w:rsidR="006F487A" w:rsidRDefault="00000000">
            <w:pPr>
              <w:jc w:val="center"/>
              <w:rPr>
                <w:rFonts w:ascii="Arial" w:eastAsia="Arial" w:hAnsi="Arial" w:cs="Arial"/>
                <w:sz w:val="20"/>
                <w:szCs w:val="20"/>
              </w:rPr>
            </w:pPr>
            <w:r>
              <w:rPr>
                <w:rFonts w:ascii="Arial" w:eastAsia="Arial" w:hAnsi="Arial" w:cs="Arial"/>
                <w:sz w:val="20"/>
                <w:szCs w:val="20"/>
              </w:rPr>
              <w:t>0.551</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C787D56" w14:textId="77777777" w:rsidR="006F487A" w:rsidRDefault="00000000">
            <w:pPr>
              <w:jc w:val="center"/>
              <w:rPr>
                <w:rFonts w:ascii="Arial" w:eastAsia="Arial" w:hAnsi="Arial" w:cs="Arial"/>
                <w:sz w:val="20"/>
                <w:szCs w:val="20"/>
              </w:rPr>
            </w:pPr>
            <w:r>
              <w:rPr>
                <w:rFonts w:ascii="Arial" w:eastAsia="Arial" w:hAnsi="Arial" w:cs="Arial"/>
                <w:sz w:val="20"/>
                <w:szCs w:val="20"/>
              </w:rPr>
              <w:t>0.435</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56D21E3" w14:textId="77777777" w:rsidR="006F487A" w:rsidRDefault="00000000">
            <w:pPr>
              <w:jc w:val="center"/>
              <w:rPr>
                <w:rFonts w:ascii="Arial" w:eastAsia="Arial" w:hAnsi="Arial" w:cs="Arial"/>
                <w:sz w:val="20"/>
                <w:szCs w:val="20"/>
              </w:rPr>
            </w:pPr>
            <w:r>
              <w:rPr>
                <w:rFonts w:ascii="Arial" w:eastAsia="Arial" w:hAnsi="Arial" w:cs="Arial"/>
                <w:sz w:val="20"/>
                <w:szCs w:val="20"/>
              </w:rPr>
              <w:t>1.629</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6B9CC8A" w14:textId="77777777" w:rsidR="006F487A" w:rsidRDefault="00000000">
            <w:pPr>
              <w:jc w:val="center"/>
              <w:rPr>
                <w:rFonts w:ascii="Arial" w:eastAsia="Arial" w:hAnsi="Arial" w:cs="Arial"/>
                <w:sz w:val="20"/>
                <w:szCs w:val="20"/>
              </w:rPr>
            </w:pPr>
            <w:r>
              <w:rPr>
                <w:rFonts w:ascii="Arial" w:eastAsia="Arial" w:hAnsi="Arial" w:cs="Arial"/>
                <w:sz w:val="20"/>
                <w:szCs w:val="20"/>
              </w:rPr>
              <w:t>1.967</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0E8CA7D" w14:textId="77777777" w:rsidR="006F487A" w:rsidRDefault="00000000">
            <w:pPr>
              <w:jc w:val="center"/>
              <w:rPr>
                <w:rFonts w:ascii="Arial" w:eastAsia="Arial" w:hAnsi="Arial" w:cs="Arial"/>
                <w:sz w:val="20"/>
                <w:szCs w:val="20"/>
              </w:rPr>
            </w:pPr>
            <w:r>
              <w:rPr>
                <w:rFonts w:ascii="Arial" w:eastAsia="Arial" w:hAnsi="Arial" w:cs="Arial"/>
                <w:sz w:val="20"/>
                <w:szCs w:val="20"/>
              </w:rPr>
              <w:t>0.504</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DACD6A7" w14:textId="77777777" w:rsidR="006F487A" w:rsidRDefault="00000000">
            <w:pPr>
              <w:jc w:val="center"/>
              <w:rPr>
                <w:rFonts w:ascii="Arial" w:eastAsia="Arial" w:hAnsi="Arial" w:cs="Arial"/>
                <w:sz w:val="20"/>
                <w:szCs w:val="20"/>
              </w:rPr>
            </w:pPr>
            <w:r>
              <w:rPr>
                <w:rFonts w:ascii="Arial" w:eastAsia="Arial" w:hAnsi="Arial" w:cs="Arial"/>
                <w:sz w:val="20"/>
                <w:szCs w:val="20"/>
              </w:rPr>
              <w:t>0.972</w:t>
            </w:r>
          </w:p>
        </w:tc>
      </w:tr>
      <w:tr w:rsidR="006F487A" w14:paraId="07B65584"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C470B4D" w14:textId="77777777" w:rsidR="006F487A" w:rsidRDefault="006F487A">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C89539B" w14:textId="77777777" w:rsidR="006F487A" w:rsidRDefault="00000000">
            <w:pPr>
              <w:jc w:val="center"/>
              <w:rPr>
                <w:rFonts w:ascii="Arial" w:eastAsia="Arial" w:hAnsi="Arial" w:cs="Arial"/>
                <w:sz w:val="20"/>
                <w:szCs w:val="20"/>
              </w:rPr>
            </w:pPr>
            <w:r>
              <w:rPr>
                <w:rFonts w:ascii="Arial" w:eastAsia="Arial" w:hAnsi="Arial" w:cs="Arial"/>
                <w:sz w:val="20"/>
                <w:szCs w:val="20"/>
              </w:rPr>
              <w:t>24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B59117C" w14:textId="77777777" w:rsidR="006F487A" w:rsidRDefault="00000000">
            <w:pPr>
              <w:jc w:val="center"/>
              <w:rPr>
                <w:rFonts w:ascii="Arial" w:eastAsia="Arial" w:hAnsi="Arial" w:cs="Arial"/>
                <w:sz w:val="20"/>
                <w:szCs w:val="20"/>
              </w:rPr>
            </w:pPr>
            <w:r>
              <w:rPr>
                <w:rFonts w:ascii="Arial" w:eastAsia="Arial" w:hAnsi="Arial" w:cs="Arial"/>
                <w:sz w:val="20"/>
                <w:szCs w:val="20"/>
              </w:rPr>
              <w:t>1.202</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300BA63" w14:textId="77777777" w:rsidR="006F487A" w:rsidRDefault="00000000">
            <w:pPr>
              <w:jc w:val="center"/>
              <w:rPr>
                <w:rFonts w:ascii="Arial" w:eastAsia="Arial" w:hAnsi="Arial" w:cs="Arial"/>
                <w:sz w:val="20"/>
                <w:szCs w:val="20"/>
              </w:rPr>
            </w:pPr>
            <w:r>
              <w:rPr>
                <w:rFonts w:ascii="Arial" w:eastAsia="Arial" w:hAnsi="Arial" w:cs="Arial"/>
                <w:sz w:val="20"/>
                <w:szCs w:val="20"/>
              </w:rPr>
              <w:t>1.152</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DFB1080" w14:textId="77777777" w:rsidR="006F487A" w:rsidRDefault="00000000">
            <w:pPr>
              <w:jc w:val="center"/>
              <w:rPr>
                <w:rFonts w:ascii="Arial" w:eastAsia="Arial" w:hAnsi="Arial" w:cs="Arial"/>
                <w:sz w:val="20"/>
                <w:szCs w:val="20"/>
              </w:rPr>
            </w:pPr>
            <w:r>
              <w:rPr>
                <w:rFonts w:ascii="Arial" w:eastAsia="Arial" w:hAnsi="Arial" w:cs="Arial"/>
                <w:sz w:val="20"/>
                <w:szCs w:val="20"/>
              </w:rPr>
              <w:t>1.086</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3B4E29C" w14:textId="77777777" w:rsidR="006F487A" w:rsidRDefault="00000000">
            <w:pPr>
              <w:jc w:val="center"/>
              <w:rPr>
                <w:rFonts w:ascii="Arial" w:eastAsia="Arial" w:hAnsi="Arial" w:cs="Arial"/>
                <w:sz w:val="20"/>
                <w:szCs w:val="20"/>
              </w:rPr>
            </w:pPr>
            <w:r>
              <w:rPr>
                <w:rFonts w:ascii="Arial" w:eastAsia="Arial" w:hAnsi="Arial" w:cs="Arial"/>
                <w:sz w:val="20"/>
                <w:szCs w:val="20"/>
              </w:rPr>
              <w:t>1.134</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D663890" w14:textId="77777777" w:rsidR="006F487A" w:rsidRDefault="00000000">
            <w:pPr>
              <w:jc w:val="center"/>
              <w:rPr>
                <w:rFonts w:ascii="Arial" w:eastAsia="Arial" w:hAnsi="Arial" w:cs="Arial"/>
                <w:sz w:val="20"/>
                <w:szCs w:val="20"/>
              </w:rPr>
            </w:pPr>
            <w:r>
              <w:rPr>
                <w:rFonts w:ascii="Arial" w:eastAsia="Arial" w:hAnsi="Arial" w:cs="Arial"/>
                <w:sz w:val="20"/>
                <w:szCs w:val="20"/>
              </w:rPr>
              <w:t>1.168</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594C781" w14:textId="77777777" w:rsidR="006F487A" w:rsidRDefault="00000000">
            <w:pPr>
              <w:jc w:val="center"/>
              <w:rPr>
                <w:rFonts w:ascii="Arial" w:eastAsia="Arial" w:hAnsi="Arial" w:cs="Arial"/>
                <w:sz w:val="20"/>
                <w:szCs w:val="20"/>
              </w:rPr>
            </w:pPr>
            <w:r>
              <w:rPr>
                <w:rFonts w:ascii="Arial" w:eastAsia="Arial" w:hAnsi="Arial" w:cs="Arial"/>
                <w:sz w:val="20"/>
                <w:szCs w:val="20"/>
              </w:rPr>
              <w:t>0.937</w:t>
            </w:r>
          </w:p>
        </w:tc>
      </w:tr>
      <w:tr w:rsidR="006F487A" w14:paraId="2EAD5841"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8FB5E86" w14:textId="77777777" w:rsidR="006F487A" w:rsidRDefault="00000000">
            <w:pPr>
              <w:jc w:val="center"/>
              <w:rPr>
                <w:rFonts w:ascii="Arial" w:eastAsia="Arial" w:hAnsi="Arial" w:cs="Arial"/>
                <w:sz w:val="20"/>
                <w:szCs w:val="20"/>
              </w:rPr>
            </w:pPr>
            <w:r>
              <w:rPr>
                <w:rFonts w:ascii="Arial" w:eastAsia="Arial" w:hAnsi="Arial" w:cs="Arial"/>
                <w:sz w:val="20"/>
                <w:szCs w:val="20"/>
              </w:rPr>
              <w:t>B. subtilis</w:t>
            </w: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E663603" w14:textId="77777777" w:rsidR="006F487A" w:rsidRDefault="00000000">
            <w:pPr>
              <w:jc w:val="center"/>
              <w:rPr>
                <w:rFonts w:ascii="Arial" w:eastAsia="Arial" w:hAnsi="Arial" w:cs="Arial"/>
                <w:sz w:val="20"/>
                <w:szCs w:val="20"/>
              </w:rPr>
            </w:pPr>
            <w:r>
              <w:rPr>
                <w:rFonts w:ascii="Arial" w:eastAsia="Arial" w:hAnsi="Arial" w:cs="Arial"/>
                <w:sz w:val="20"/>
                <w:szCs w:val="20"/>
              </w:rPr>
              <w:t>2</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232EA55" w14:textId="77777777" w:rsidR="006F487A" w:rsidRDefault="00000000">
            <w:pPr>
              <w:jc w:val="center"/>
              <w:rPr>
                <w:rFonts w:ascii="Arial" w:eastAsia="Arial" w:hAnsi="Arial" w:cs="Arial"/>
                <w:sz w:val="20"/>
                <w:szCs w:val="20"/>
              </w:rPr>
            </w:pPr>
            <w:r>
              <w:rPr>
                <w:rFonts w:ascii="Arial" w:eastAsia="Arial" w:hAnsi="Arial" w:cs="Arial"/>
                <w:sz w:val="20"/>
                <w:szCs w:val="20"/>
              </w:rPr>
              <w:t>1.511</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6547F2B" w14:textId="77777777" w:rsidR="006F487A" w:rsidRDefault="00000000">
            <w:pPr>
              <w:jc w:val="center"/>
              <w:rPr>
                <w:rFonts w:ascii="Arial" w:eastAsia="Arial" w:hAnsi="Arial" w:cs="Arial"/>
                <w:sz w:val="20"/>
                <w:szCs w:val="20"/>
              </w:rPr>
            </w:pPr>
            <w:r>
              <w:rPr>
                <w:rFonts w:ascii="Arial" w:eastAsia="Arial" w:hAnsi="Arial" w:cs="Arial"/>
                <w:sz w:val="20"/>
                <w:szCs w:val="20"/>
              </w:rPr>
              <w:t>1.547</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29F689E" w14:textId="77777777" w:rsidR="006F487A" w:rsidRDefault="00000000">
            <w:pPr>
              <w:jc w:val="center"/>
              <w:rPr>
                <w:rFonts w:ascii="Arial" w:eastAsia="Arial" w:hAnsi="Arial" w:cs="Arial"/>
                <w:sz w:val="20"/>
                <w:szCs w:val="20"/>
              </w:rPr>
            </w:pPr>
            <w:r>
              <w:rPr>
                <w:rFonts w:ascii="Arial" w:eastAsia="Arial" w:hAnsi="Arial" w:cs="Arial"/>
                <w:sz w:val="20"/>
                <w:szCs w:val="20"/>
              </w:rPr>
              <w:t>1.518</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87D40A1" w14:textId="77777777" w:rsidR="006F487A" w:rsidRDefault="00000000">
            <w:pPr>
              <w:jc w:val="center"/>
              <w:rPr>
                <w:rFonts w:ascii="Arial" w:eastAsia="Arial" w:hAnsi="Arial" w:cs="Arial"/>
                <w:sz w:val="20"/>
                <w:szCs w:val="20"/>
              </w:rPr>
            </w:pPr>
            <w:r>
              <w:rPr>
                <w:rFonts w:ascii="Arial" w:eastAsia="Arial" w:hAnsi="Arial" w:cs="Arial"/>
                <w:sz w:val="20"/>
                <w:szCs w:val="20"/>
              </w:rPr>
              <w:t>1.521</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825220C" w14:textId="77777777" w:rsidR="006F487A" w:rsidRDefault="00000000">
            <w:pPr>
              <w:jc w:val="center"/>
              <w:rPr>
                <w:rFonts w:ascii="Arial" w:eastAsia="Arial" w:hAnsi="Arial" w:cs="Arial"/>
                <w:sz w:val="20"/>
                <w:szCs w:val="20"/>
              </w:rPr>
            </w:pPr>
            <w:r>
              <w:rPr>
                <w:rFonts w:ascii="Arial" w:eastAsia="Arial" w:hAnsi="Arial" w:cs="Arial"/>
                <w:sz w:val="20"/>
                <w:szCs w:val="20"/>
              </w:rPr>
              <w:t>1.512</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3982416" w14:textId="77777777" w:rsidR="006F487A" w:rsidRDefault="00000000">
            <w:pPr>
              <w:jc w:val="center"/>
              <w:rPr>
                <w:rFonts w:ascii="Arial" w:eastAsia="Arial" w:hAnsi="Arial" w:cs="Arial"/>
                <w:sz w:val="20"/>
                <w:szCs w:val="20"/>
              </w:rPr>
            </w:pPr>
            <w:r>
              <w:rPr>
                <w:rFonts w:ascii="Arial" w:eastAsia="Arial" w:hAnsi="Arial" w:cs="Arial"/>
                <w:sz w:val="20"/>
                <w:szCs w:val="20"/>
              </w:rPr>
              <w:t>1.488</w:t>
            </w:r>
          </w:p>
        </w:tc>
      </w:tr>
      <w:tr w:rsidR="006F487A" w14:paraId="12E4387F"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B1F7D9E" w14:textId="77777777" w:rsidR="006F487A" w:rsidRDefault="006F487A">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2230598" w14:textId="77777777" w:rsidR="006F487A" w:rsidRDefault="00000000">
            <w:pPr>
              <w:jc w:val="center"/>
              <w:rPr>
                <w:rFonts w:ascii="Arial" w:eastAsia="Arial" w:hAnsi="Arial" w:cs="Arial"/>
                <w:sz w:val="20"/>
                <w:szCs w:val="20"/>
              </w:rPr>
            </w:pPr>
            <w:r>
              <w:rPr>
                <w:rFonts w:ascii="Arial" w:eastAsia="Arial" w:hAnsi="Arial" w:cs="Arial"/>
                <w:sz w:val="20"/>
                <w:szCs w:val="20"/>
              </w:rPr>
              <w:t>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49A60F9" w14:textId="77777777" w:rsidR="006F487A" w:rsidRDefault="00000000">
            <w:pPr>
              <w:jc w:val="center"/>
              <w:rPr>
                <w:rFonts w:ascii="Arial" w:eastAsia="Arial" w:hAnsi="Arial" w:cs="Arial"/>
                <w:sz w:val="20"/>
                <w:szCs w:val="20"/>
              </w:rPr>
            </w:pPr>
            <w:r>
              <w:rPr>
                <w:rFonts w:ascii="Arial" w:eastAsia="Arial" w:hAnsi="Arial" w:cs="Arial"/>
                <w:sz w:val="20"/>
                <w:szCs w:val="20"/>
              </w:rPr>
              <w:t>0.622</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187189C" w14:textId="77777777" w:rsidR="006F487A" w:rsidRDefault="00000000">
            <w:pPr>
              <w:jc w:val="center"/>
              <w:rPr>
                <w:rFonts w:ascii="Arial" w:eastAsia="Arial" w:hAnsi="Arial" w:cs="Arial"/>
                <w:sz w:val="20"/>
                <w:szCs w:val="20"/>
              </w:rPr>
            </w:pPr>
            <w:r>
              <w:rPr>
                <w:rFonts w:ascii="Arial" w:eastAsia="Arial" w:hAnsi="Arial" w:cs="Arial"/>
                <w:sz w:val="20"/>
                <w:szCs w:val="20"/>
              </w:rPr>
              <w:t>0.53</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6C7DE95" w14:textId="77777777" w:rsidR="006F487A" w:rsidRDefault="00000000">
            <w:pPr>
              <w:jc w:val="center"/>
              <w:rPr>
                <w:rFonts w:ascii="Arial" w:eastAsia="Arial" w:hAnsi="Arial" w:cs="Arial"/>
                <w:sz w:val="20"/>
                <w:szCs w:val="20"/>
              </w:rPr>
            </w:pPr>
            <w:r>
              <w:rPr>
                <w:rFonts w:ascii="Arial" w:eastAsia="Arial" w:hAnsi="Arial" w:cs="Arial"/>
                <w:sz w:val="20"/>
                <w:szCs w:val="20"/>
              </w:rPr>
              <w:t>1.816</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CB2BFAA" w14:textId="77777777" w:rsidR="006F487A" w:rsidRDefault="00000000">
            <w:pPr>
              <w:jc w:val="center"/>
              <w:rPr>
                <w:rFonts w:ascii="Arial" w:eastAsia="Arial" w:hAnsi="Arial" w:cs="Arial"/>
                <w:sz w:val="20"/>
                <w:szCs w:val="20"/>
              </w:rPr>
            </w:pPr>
            <w:r>
              <w:rPr>
                <w:rFonts w:ascii="Arial" w:eastAsia="Arial" w:hAnsi="Arial" w:cs="Arial"/>
                <w:sz w:val="20"/>
                <w:szCs w:val="20"/>
              </w:rPr>
              <w:t>1.999</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06FA5D0" w14:textId="77777777" w:rsidR="006F487A" w:rsidRDefault="00000000">
            <w:pPr>
              <w:jc w:val="center"/>
              <w:rPr>
                <w:rFonts w:ascii="Arial" w:eastAsia="Arial" w:hAnsi="Arial" w:cs="Arial"/>
                <w:sz w:val="20"/>
                <w:szCs w:val="20"/>
              </w:rPr>
            </w:pPr>
            <w:r>
              <w:rPr>
                <w:rFonts w:ascii="Arial" w:eastAsia="Arial" w:hAnsi="Arial" w:cs="Arial"/>
                <w:sz w:val="20"/>
                <w:szCs w:val="20"/>
              </w:rPr>
              <w:t>0.52</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638FA39" w14:textId="77777777" w:rsidR="006F487A" w:rsidRDefault="00000000">
            <w:pPr>
              <w:jc w:val="center"/>
              <w:rPr>
                <w:rFonts w:ascii="Arial" w:eastAsia="Arial" w:hAnsi="Arial" w:cs="Arial"/>
                <w:sz w:val="20"/>
                <w:szCs w:val="20"/>
              </w:rPr>
            </w:pPr>
            <w:r>
              <w:rPr>
                <w:rFonts w:ascii="Arial" w:eastAsia="Arial" w:hAnsi="Arial" w:cs="Arial"/>
                <w:sz w:val="20"/>
                <w:szCs w:val="20"/>
              </w:rPr>
              <w:t>0.966</w:t>
            </w:r>
          </w:p>
        </w:tc>
      </w:tr>
      <w:tr w:rsidR="006F487A" w14:paraId="678D4549" w14:textId="77777777">
        <w:tc>
          <w:tcPr>
            <w:tcW w:w="118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858272B" w14:textId="77777777" w:rsidR="006F487A" w:rsidRDefault="006F487A">
            <w:pPr>
              <w:jc w:val="center"/>
              <w:rPr>
                <w:rFonts w:ascii="Arial" w:eastAsia="Arial" w:hAnsi="Arial" w:cs="Arial"/>
                <w:sz w:val="20"/>
                <w:szCs w:val="20"/>
              </w:rPr>
            </w:pPr>
          </w:p>
        </w:tc>
        <w:tc>
          <w:tcPr>
            <w:tcW w:w="6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8E37DF4" w14:textId="77777777" w:rsidR="006F487A" w:rsidRDefault="00000000">
            <w:pPr>
              <w:jc w:val="center"/>
              <w:rPr>
                <w:rFonts w:ascii="Arial" w:eastAsia="Arial" w:hAnsi="Arial" w:cs="Arial"/>
                <w:sz w:val="20"/>
                <w:szCs w:val="20"/>
              </w:rPr>
            </w:pPr>
            <w:r>
              <w:rPr>
                <w:rFonts w:ascii="Arial" w:eastAsia="Arial" w:hAnsi="Arial" w:cs="Arial"/>
                <w:sz w:val="20"/>
                <w:szCs w:val="20"/>
              </w:rPr>
              <w:t>24</w:t>
            </w:r>
          </w:p>
        </w:tc>
        <w:tc>
          <w:tcPr>
            <w:tcW w:w="7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A63D19B" w14:textId="77777777" w:rsidR="006F487A" w:rsidRDefault="00000000">
            <w:pPr>
              <w:jc w:val="center"/>
              <w:rPr>
                <w:rFonts w:ascii="Arial" w:eastAsia="Arial" w:hAnsi="Arial" w:cs="Arial"/>
                <w:sz w:val="20"/>
                <w:szCs w:val="20"/>
              </w:rPr>
            </w:pPr>
            <w:r>
              <w:rPr>
                <w:rFonts w:ascii="Arial" w:eastAsia="Arial" w:hAnsi="Arial" w:cs="Arial"/>
                <w:sz w:val="20"/>
                <w:szCs w:val="20"/>
              </w:rPr>
              <w:t>0.688</w:t>
            </w:r>
          </w:p>
        </w:tc>
        <w:tc>
          <w:tcPr>
            <w:tcW w:w="109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26D0A97" w14:textId="77777777" w:rsidR="006F487A" w:rsidRDefault="00000000">
            <w:pPr>
              <w:jc w:val="center"/>
              <w:rPr>
                <w:rFonts w:ascii="Arial" w:eastAsia="Arial" w:hAnsi="Arial" w:cs="Arial"/>
                <w:sz w:val="20"/>
                <w:szCs w:val="20"/>
              </w:rPr>
            </w:pPr>
            <w:r>
              <w:rPr>
                <w:rFonts w:ascii="Arial" w:eastAsia="Arial" w:hAnsi="Arial" w:cs="Arial"/>
                <w:sz w:val="20"/>
                <w:szCs w:val="20"/>
              </w:rPr>
              <w:t>0.657</w:t>
            </w:r>
          </w:p>
        </w:tc>
        <w:tc>
          <w:tcPr>
            <w:tcW w:w="120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C3C102E" w14:textId="77777777" w:rsidR="006F487A" w:rsidRDefault="00000000">
            <w:pPr>
              <w:jc w:val="center"/>
              <w:rPr>
                <w:rFonts w:ascii="Arial" w:eastAsia="Arial" w:hAnsi="Arial" w:cs="Arial"/>
                <w:sz w:val="20"/>
                <w:szCs w:val="20"/>
              </w:rPr>
            </w:pPr>
            <w:r>
              <w:rPr>
                <w:rFonts w:ascii="Arial" w:eastAsia="Arial" w:hAnsi="Arial" w:cs="Arial"/>
                <w:sz w:val="20"/>
                <w:szCs w:val="20"/>
              </w:rPr>
              <w:t>0.638</w:t>
            </w:r>
          </w:p>
        </w:tc>
        <w:tc>
          <w:tcPr>
            <w:tcW w:w="159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7459FEF" w14:textId="77777777" w:rsidR="006F487A" w:rsidRDefault="00000000">
            <w:pPr>
              <w:jc w:val="center"/>
              <w:rPr>
                <w:rFonts w:ascii="Arial" w:eastAsia="Arial" w:hAnsi="Arial" w:cs="Arial"/>
                <w:sz w:val="20"/>
                <w:szCs w:val="20"/>
              </w:rPr>
            </w:pPr>
            <w:r>
              <w:rPr>
                <w:rFonts w:ascii="Arial" w:eastAsia="Arial" w:hAnsi="Arial" w:cs="Arial"/>
                <w:sz w:val="20"/>
                <w:szCs w:val="20"/>
              </w:rPr>
              <w:t>0.671</w:t>
            </w:r>
          </w:p>
        </w:tc>
        <w:tc>
          <w:tcPr>
            <w:tcW w:w="1545"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25156AF8" w14:textId="77777777" w:rsidR="006F487A" w:rsidRDefault="00000000">
            <w:pPr>
              <w:jc w:val="center"/>
              <w:rPr>
                <w:rFonts w:ascii="Arial" w:eastAsia="Arial" w:hAnsi="Arial" w:cs="Arial"/>
                <w:sz w:val="20"/>
                <w:szCs w:val="20"/>
              </w:rPr>
            </w:pPr>
            <w:r>
              <w:rPr>
                <w:rFonts w:ascii="Arial" w:eastAsia="Arial" w:hAnsi="Arial" w:cs="Arial"/>
                <w:sz w:val="20"/>
                <w:szCs w:val="20"/>
              </w:rPr>
              <w:t>0.665</w:t>
            </w:r>
          </w:p>
        </w:tc>
        <w:tc>
          <w:tcPr>
            <w:tcW w:w="147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41B56916" w14:textId="77777777" w:rsidR="006F487A" w:rsidRDefault="00000000">
            <w:pPr>
              <w:jc w:val="center"/>
              <w:rPr>
                <w:rFonts w:ascii="Arial" w:eastAsia="Arial" w:hAnsi="Arial" w:cs="Arial"/>
                <w:sz w:val="20"/>
                <w:szCs w:val="20"/>
              </w:rPr>
            </w:pPr>
            <w:r>
              <w:rPr>
                <w:rFonts w:ascii="Arial" w:eastAsia="Arial" w:hAnsi="Arial" w:cs="Arial"/>
                <w:sz w:val="20"/>
                <w:szCs w:val="20"/>
              </w:rPr>
              <w:t>0.643</w:t>
            </w:r>
          </w:p>
        </w:tc>
      </w:tr>
    </w:tbl>
    <w:p w14:paraId="31A7E89F" w14:textId="77777777" w:rsidR="006F487A" w:rsidRDefault="00000000">
      <w:pPr>
        <w:spacing w:before="80" w:after="160"/>
        <w:rPr>
          <w:rFonts w:ascii="Arial" w:eastAsia="Arial" w:hAnsi="Arial" w:cs="Arial"/>
          <w:sz w:val="20"/>
          <w:szCs w:val="20"/>
        </w:rPr>
      </w:pPr>
      <w:r>
        <w:rPr>
          <w:rFonts w:ascii="Arial" w:eastAsia="Arial" w:hAnsi="Arial" w:cs="Arial"/>
          <w:i/>
          <w:iCs/>
          <w:sz w:val="20"/>
          <w:szCs w:val="20"/>
        </w:rPr>
        <w:t xml:space="preserve">PC = Positive Control (1% sanitizer only); RC = Reference Control (sigma- </w:t>
      </w:r>
      <w:proofErr w:type="spellStart"/>
      <w:r>
        <w:rPr>
          <w:rFonts w:ascii="Arial" w:eastAsia="Arial" w:hAnsi="Arial" w:cs="Arial"/>
          <w:i/>
          <w:iCs/>
          <w:sz w:val="20"/>
          <w:szCs w:val="20"/>
        </w:rPr>
        <w:t>AgNPs</w:t>
      </w:r>
      <w:proofErr w:type="spellEnd"/>
      <w:r>
        <w:rPr>
          <w:rFonts w:ascii="Arial" w:eastAsia="Arial" w:hAnsi="Arial" w:cs="Arial"/>
          <w:i/>
          <w:iCs/>
          <w:sz w:val="20"/>
          <w:szCs w:val="20"/>
        </w:rPr>
        <w:t xml:space="preserve"> only, no sanitizer); NC = Negative Control (bacterial culture only, no treatment); San = Sanitizer; NP = Silver Nanoparticles. </w:t>
      </w:r>
    </w:p>
    <w:p w14:paraId="1193F335" w14:textId="77777777" w:rsidR="006F487A" w:rsidRDefault="00000000">
      <w:pPr>
        <w:spacing w:after="16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74E615B1" wp14:editId="39DB2B53">
            <wp:extent cx="6237923" cy="32956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37923" cy="3295650"/>
                    </a:xfrm>
                    <a:prstGeom prst="rect">
                      <a:avLst/>
                    </a:prstGeom>
                    <a:ln/>
                  </pic:spPr>
                </pic:pic>
              </a:graphicData>
            </a:graphic>
          </wp:inline>
        </w:drawing>
      </w:r>
      <w:r>
        <w:rPr>
          <w:rFonts w:ascii="Arial" w:eastAsia="Arial" w:hAnsi="Arial" w:cs="Arial"/>
          <w:b/>
          <w:bCs/>
          <w:sz w:val="20"/>
          <w:szCs w:val="20"/>
        </w:rPr>
        <w:t xml:space="preserve">Figure 1 </w:t>
      </w:r>
      <w:r>
        <w:rPr>
          <w:rFonts w:ascii="Arial" w:eastAsia="Arial" w:hAnsi="Arial" w:cs="Arial"/>
          <w:sz w:val="20"/>
          <w:szCs w:val="20"/>
        </w:rPr>
        <w:t>Time-course optical density (OD</w:t>
      </w:r>
      <w:r>
        <w:rPr>
          <w:rFonts w:ascii="Arial" w:eastAsia="Arial" w:hAnsi="Arial" w:cs="Arial"/>
          <w:sz w:val="20"/>
          <w:szCs w:val="20"/>
          <w:vertAlign w:val="subscript"/>
        </w:rPr>
        <w:t>600</w:t>
      </w:r>
      <w:r>
        <w:rPr>
          <w:rFonts w:ascii="Arial" w:eastAsia="Arial" w:hAnsi="Arial" w:cs="Arial"/>
          <w:sz w:val="20"/>
          <w:szCs w:val="20"/>
        </w:rPr>
        <w:t xml:space="preserve">) of (A) </w:t>
      </w:r>
      <w:r>
        <w:rPr>
          <w:rFonts w:ascii="Arial" w:eastAsia="Arial" w:hAnsi="Arial" w:cs="Arial"/>
          <w:i/>
          <w:iCs/>
          <w:sz w:val="20"/>
          <w:szCs w:val="20"/>
        </w:rPr>
        <w:t>S. aureus</w:t>
      </w:r>
      <w:r>
        <w:rPr>
          <w:rFonts w:ascii="Arial" w:eastAsia="Arial" w:hAnsi="Arial" w:cs="Arial"/>
          <w:sz w:val="20"/>
          <w:szCs w:val="20"/>
        </w:rPr>
        <w:t xml:space="preserve">, (B) </w:t>
      </w:r>
      <w:r>
        <w:rPr>
          <w:rFonts w:ascii="Arial" w:eastAsia="Arial" w:hAnsi="Arial" w:cs="Arial"/>
          <w:i/>
          <w:iCs/>
          <w:sz w:val="20"/>
          <w:szCs w:val="20"/>
        </w:rPr>
        <w:t>E. coli</w:t>
      </w:r>
      <w:r>
        <w:rPr>
          <w:rFonts w:ascii="Arial" w:eastAsia="Arial" w:hAnsi="Arial" w:cs="Arial"/>
          <w:sz w:val="20"/>
          <w:szCs w:val="20"/>
        </w:rPr>
        <w:t xml:space="preserve">, and (C) </w:t>
      </w:r>
      <w:r>
        <w:rPr>
          <w:rFonts w:ascii="Arial" w:eastAsia="Arial" w:hAnsi="Arial" w:cs="Arial"/>
          <w:i/>
          <w:iCs/>
          <w:sz w:val="20"/>
          <w:szCs w:val="20"/>
        </w:rPr>
        <w:t>B. subtilis</w:t>
      </w:r>
      <w:r>
        <w:rPr>
          <w:rFonts w:ascii="Arial" w:eastAsia="Arial" w:hAnsi="Arial" w:cs="Arial"/>
          <w:sz w:val="20"/>
          <w:szCs w:val="20"/>
        </w:rPr>
        <w:t xml:space="preserve"> cultures treated with 1% hand sanitizer combined with varying concentrations of </w:t>
      </w:r>
      <w:proofErr w:type="spellStart"/>
      <w:r>
        <w:rPr>
          <w:rFonts w:ascii="Arial" w:eastAsia="Arial" w:hAnsi="Arial" w:cs="Arial"/>
          <w:sz w:val="20"/>
          <w:szCs w:val="20"/>
        </w:rPr>
        <w:t>AgNPs</w:t>
      </w:r>
      <w:proofErr w:type="spellEnd"/>
      <w:r>
        <w:rPr>
          <w:rFonts w:ascii="Arial" w:eastAsia="Arial" w:hAnsi="Arial" w:cs="Arial"/>
          <w:sz w:val="20"/>
          <w:szCs w:val="20"/>
        </w:rPr>
        <w:t xml:space="preserve">. PC =positive control (1% sanitizer only); RC = reference control (sigma </w:t>
      </w:r>
      <w:proofErr w:type="spellStart"/>
      <w:r>
        <w:rPr>
          <w:rFonts w:ascii="Arial" w:eastAsia="Arial" w:hAnsi="Arial" w:cs="Arial"/>
          <w:sz w:val="20"/>
          <w:szCs w:val="20"/>
        </w:rPr>
        <w:t>AgNPs</w:t>
      </w:r>
      <w:proofErr w:type="spellEnd"/>
      <w:r>
        <w:rPr>
          <w:rFonts w:ascii="Arial" w:eastAsia="Arial" w:hAnsi="Arial" w:cs="Arial"/>
          <w:sz w:val="20"/>
          <w:szCs w:val="20"/>
        </w:rPr>
        <w:t xml:space="preserve"> only, no sanitizer); NC = negative control (bacterial culture only, no treatment). Data points represent mean values of three independent experiments.</w:t>
      </w:r>
    </w:p>
    <w:p w14:paraId="73E5EAC1" w14:textId="77777777" w:rsidR="006F487A" w:rsidRDefault="00000000">
      <w:pPr>
        <w:spacing w:before="80" w:after="80"/>
        <w:jc w:val="center"/>
        <w:rPr>
          <w:rFonts w:ascii="Arial" w:eastAsia="Arial" w:hAnsi="Arial" w:cs="Arial"/>
          <w:sz w:val="20"/>
          <w:szCs w:val="20"/>
        </w:rPr>
      </w:pPr>
      <w:r>
        <w:rPr>
          <w:rFonts w:ascii="Arial" w:eastAsia="Arial" w:hAnsi="Arial" w:cs="Arial"/>
          <w:noProof/>
          <w:sz w:val="20"/>
          <w:szCs w:val="20"/>
        </w:rPr>
        <w:drawing>
          <wp:inline distT="0" distB="0" distL="0" distR="0" wp14:anchorId="2819EB17" wp14:editId="055CA654">
            <wp:extent cx="5926113" cy="277082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26113" cy="2770823"/>
                    </a:xfrm>
                    <a:prstGeom prst="rect">
                      <a:avLst/>
                    </a:prstGeom>
                    <a:ln/>
                  </pic:spPr>
                </pic:pic>
              </a:graphicData>
            </a:graphic>
          </wp:inline>
        </w:drawing>
      </w:r>
    </w:p>
    <w:p w14:paraId="566BD849" w14:textId="77777777" w:rsidR="006F487A" w:rsidRDefault="00000000">
      <w:pPr>
        <w:spacing w:after="160"/>
        <w:rPr>
          <w:rFonts w:ascii="Arial" w:eastAsia="Arial" w:hAnsi="Arial" w:cs="Arial"/>
          <w:sz w:val="20"/>
          <w:szCs w:val="20"/>
        </w:rPr>
      </w:pPr>
      <w:r>
        <w:rPr>
          <w:rFonts w:ascii="Arial" w:eastAsia="Arial" w:hAnsi="Arial" w:cs="Arial"/>
          <w:b/>
          <w:bCs/>
          <w:sz w:val="20"/>
          <w:szCs w:val="20"/>
        </w:rPr>
        <w:t xml:space="preserve">Figure 2 </w:t>
      </w:r>
      <w:r>
        <w:rPr>
          <w:rFonts w:ascii="Arial" w:eastAsia="Arial" w:hAnsi="Arial" w:cs="Arial"/>
          <w:sz w:val="20"/>
          <w:szCs w:val="20"/>
        </w:rPr>
        <w:t>Comparative OD</w:t>
      </w:r>
      <w:r>
        <w:rPr>
          <w:rFonts w:ascii="Arial" w:eastAsia="Arial" w:hAnsi="Arial" w:cs="Arial"/>
          <w:sz w:val="20"/>
          <w:szCs w:val="20"/>
          <w:vertAlign w:val="subscript"/>
        </w:rPr>
        <w:t>600</w:t>
      </w:r>
      <w:r>
        <w:rPr>
          <w:rFonts w:ascii="Arial" w:eastAsia="Arial" w:hAnsi="Arial" w:cs="Arial"/>
          <w:sz w:val="20"/>
          <w:szCs w:val="20"/>
        </w:rPr>
        <w:t xml:space="preserve"> values at 4 h post-inoculation across all treatment groups for </w:t>
      </w:r>
      <w:r>
        <w:rPr>
          <w:rFonts w:ascii="Arial" w:eastAsia="Arial" w:hAnsi="Arial" w:cs="Arial"/>
          <w:i/>
          <w:iCs/>
          <w:sz w:val="20"/>
          <w:szCs w:val="20"/>
        </w:rPr>
        <w:t>S. aureus</w:t>
      </w:r>
      <w:r>
        <w:rPr>
          <w:rFonts w:ascii="Arial" w:eastAsia="Arial" w:hAnsi="Arial" w:cs="Arial"/>
          <w:sz w:val="20"/>
          <w:szCs w:val="20"/>
        </w:rPr>
        <w:t xml:space="preserve">,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The 4-hour time point represents the period of maximum divergence between treatment groups. Bars represent mean values of three independent experiments. PC = positive control (sanitizer only); RC = reference control (sigma </w:t>
      </w:r>
      <w:proofErr w:type="spellStart"/>
      <w:r>
        <w:rPr>
          <w:rFonts w:ascii="Arial" w:eastAsia="Arial" w:hAnsi="Arial" w:cs="Arial"/>
          <w:sz w:val="20"/>
          <w:szCs w:val="20"/>
        </w:rPr>
        <w:t>AgNPs</w:t>
      </w:r>
      <w:proofErr w:type="spellEnd"/>
      <w:r>
        <w:rPr>
          <w:rFonts w:ascii="Arial" w:eastAsia="Arial" w:hAnsi="Arial" w:cs="Arial"/>
          <w:sz w:val="20"/>
          <w:szCs w:val="20"/>
        </w:rPr>
        <w:t xml:space="preserve"> only); NC = negative control (bacteria only).</w:t>
      </w:r>
    </w:p>
    <w:p w14:paraId="02555133" w14:textId="77777777" w:rsidR="006F487A" w:rsidRDefault="006F487A">
      <w:pPr>
        <w:spacing w:before="160" w:after="80"/>
        <w:rPr>
          <w:rFonts w:ascii="Arial" w:eastAsia="Arial" w:hAnsi="Arial" w:cs="Arial"/>
          <w:sz w:val="20"/>
          <w:szCs w:val="20"/>
        </w:rPr>
      </w:pPr>
    </w:p>
    <w:p w14:paraId="1E18BB7D" w14:textId="77777777" w:rsidR="006F487A" w:rsidRDefault="00000000">
      <w:pPr>
        <w:spacing w:before="160" w:after="80"/>
        <w:rPr>
          <w:rFonts w:ascii="Arial" w:eastAsia="Arial" w:hAnsi="Arial" w:cs="Arial"/>
          <w:sz w:val="22"/>
          <w:szCs w:val="22"/>
        </w:rPr>
      </w:pPr>
      <w:r>
        <w:rPr>
          <w:rFonts w:ascii="Arial" w:eastAsia="Arial" w:hAnsi="Arial" w:cs="Arial"/>
          <w:b/>
          <w:bCs/>
          <w:smallCaps/>
          <w:sz w:val="22"/>
          <w:szCs w:val="22"/>
        </w:rPr>
        <w:t>CONCLUSION</w:t>
      </w:r>
    </w:p>
    <w:p w14:paraId="35DD7976" w14:textId="77777777" w:rsidR="006F487A" w:rsidRDefault="00000000">
      <w:pPr>
        <w:spacing w:after="80"/>
        <w:ind w:firstLine="360"/>
        <w:jc w:val="both"/>
        <w:rPr>
          <w:rFonts w:ascii="Arial" w:eastAsia="Arial" w:hAnsi="Arial" w:cs="Arial"/>
          <w:sz w:val="20"/>
          <w:szCs w:val="20"/>
        </w:rPr>
      </w:pPr>
      <w:r>
        <w:rPr>
          <w:rFonts w:ascii="Arial" w:eastAsia="Arial" w:hAnsi="Arial" w:cs="Arial"/>
          <w:sz w:val="20"/>
          <w:szCs w:val="20"/>
        </w:rPr>
        <w:t xml:space="preserve">This study demonstrates that the incorporation of silver nanoparticles into hand sanitizer formulations can significantly enhance antimicrobial efficacy against </w:t>
      </w:r>
      <w:r>
        <w:rPr>
          <w:rFonts w:ascii="Arial" w:eastAsia="Arial" w:hAnsi="Arial" w:cs="Arial"/>
          <w:i/>
          <w:iCs/>
          <w:sz w:val="20"/>
          <w:szCs w:val="20"/>
        </w:rPr>
        <w:t>E. coli</w:t>
      </w:r>
      <w:r>
        <w:rPr>
          <w:rFonts w:ascii="Arial" w:eastAsia="Arial" w:hAnsi="Arial" w:cs="Arial"/>
          <w:sz w:val="20"/>
          <w:szCs w:val="20"/>
        </w:rPr>
        <w:t xml:space="preserve">, </w:t>
      </w:r>
      <w:r>
        <w:rPr>
          <w:rFonts w:ascii="Arial" w:eastAsia="Arial" w:hAnsi="Arial" w:cs="Arial"/>
          <w:i/>
          <w:iCs/>
          <w:sz w:val="20"/>
          <w:szCs w:val="20"/>
        </w:rPr>
        <w:t>S. aureus</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The optimum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was organism-dependent: 0.25% </w:t>
      </w:r>
      <w:proofErr w:type="spellStart"/>
      <w:r>
        <w:rPr>
          <w:rFonts w:ascii="Arial" w:eastAsia="Arial" w:hAnsi="Arial" w:cs="Arial"/>
          <w:sz w:val="20"/>
          <w:szCs w:val="20"/>
        </w:rPr>
        <w:t>AgNP</w:t>
      </w:r>
      <w:proofErr w:type="spellEnd"/>
      <w:r>
        <w:rPr>
          <w:rFonts w:ascii="Arial" w:eastAsia="Arial" w:hAnsi="Arial" w:cs="Arial"/>
          <w:sz w:val="20"/>
          <w:szCs w:val="20"/>
        </w:rPr>
        <w:t xml:space="preserve"> combined with 1% sanitizer was most effective against </w:t>
      </w:r>
      <w:r>
        <w:rPr>
          <w:rFonts w:ascii="Arial" w:eastAsia="Arial" w:hAnsi="Arial" w:cs="Arial"/>
          <w:i/>
          <w:iCs/>
          <w:sz w:val="20"/>
          <w:szCs w:val="20"/>
        </w:rPr>
        <w:t>E. coli</w:t>
      </w:r>
      <w:r>
        <w:rPr>
          <w:rFonts w:ascii="Arial" w:eastAsia="Arial" w:hAnsi="Arial" w:cs="Arial"/>
          <w:sz w:val="20"/>
          <w:szCs w:val="20"/>
        </w:rPr>
        <w:t xml:space="preserve"> and </w:t>
      </w:r>
      <w:r>
        <w:rPr>
          <w:rFonts w:ascii="Arial" w:eastAsia="Arial" w:hAnsi="Arial" w:cs="Arial"/>
          <w:i/>
          <w:iCs/>
          <w:sz w:val="20"/>
          <w:szCs w:val="20"/>
        </w:rPr>
        <w:t>B. subtilis</w:t>
      </w:r>
      <w:r>
        <w:rPr>
          <w:rFonts w:ascii="Arial" w:eastAsia="Arial" w:hAnsi="Arial" w:cs="Arial"/>
          <w:sz w:val="20"/>
          <w:szCs w:val="20"/>
        </w:rPr>
        <w:t xml:space="preserve">, while 0.50% </w:t>
      </w:r>
      <w:proofErr w:type="spellStart"/>
      <w:r>
        <w:rPr>
          <w:rFonts w:ascii="Arial" w:eastAsia="Arial" w:hAnsi="Arial" w:cs="Arial"/>
          <w:sz w:val="20"/>
          <w:szCs w:val="20"/>
        </w:rPr>
        <w:t>AgNP</w:t>
      </w:r>
      <w:proofErr w:type="spellEnd"/>
      <w:r>
        <w:rPr>
          <w:rFonts w:ascii="Arial" w:eastAsia="Arial" w:hAnsi="Arial" w:cs="Arial"/>
          <w:sz w:val="20"/>
          <w:szCs w:val="20"/>
        </w:rPr>
        <w:t xml:space="preserve"> demonstrated superior and sustained inhibition of </w:t>
      </w:r>
      <w:r>
        <w:rPr>
          <w:rFonts w:ascii="Arial" w:eastAsia="Arial" w:hAnsi="Arial" w:cs="Arial"/>
          <w:i/>
          <w:iCs/>
          <w:sz w:val="20"/>
          <w:szCs w:val="20"/>
        </w:rPr>
        <w:t>S. aureus</w:t>
      </w:r>
      <w:r>
        <w:rPr>
          <w:rFonts w:ascii="Arial" w:eastAsia="Arial" w:hAnsi="Arial" w:cs="Arial"/>
          <w:sz w:val="20"/>
          <w:szCs w:val="20"/>
        </w:rPr>
        <w:t xml:space="preserve">. These findings support the potential application of </w:t>
      </w:r>
      <w:proofErr w:type="spellStart"/>
      <w:r>
        <w:rPr>
          <w:rFonts w:ascii="Arial" w:eastAsia="Arial" w:hAnsi="Arial" w:cs="Arial"/>
          <w:sz w:val="20"/>
          <w:szCs w:val="20"/>
        </w:rPr>
        <w:t>AgNP</w:t>
      </w:r>
      <w:proofErr w:type="spellEnd"/>
      <w:r>
        <w:rPr>
          <w:rFonts w:ascii="Arial" w:eastAsia="Arial" w:hAnsi="Arial" w:cs="Arial"/>
          <w:sz w:val="20"/>
          <w:szCs w:val="20"/>
        </w:rPr>
        <w:t xml:space="preserve">-enhanced sanitizer sprays in food safety and hygiene management, and highlight the importance of tailoring </w:t>
      </w:r>
      <w:proofErr w:type="spellStart"/>
      <w:r>
        <w:rPr>
          <w:rFonts w:ascii="Arial" w:eastAsia="Arial" w:hAnsi="Arial" w:cs="Arial"/>
          <w:sz w:val="20"/>
          <w:szCs w:val="20"/>
        </w:rPr>
        <w:t>AgNP</w:t>
      </w:r>
      <w:proofErr w:type="spellEnd"/>
      <w:r>
        <w:rPr>
          <w:rFonts w:ascii="Arial" w:eastAsia="Arial" w:hAnsi="Arial" w:cs="Arial"/>
          <w:sz w:val="20"/>
          <w:szCs w:val="20"/>
        </w:rPr>
        <w:t xml:space="preserve"> concentration to the target organism. However, the cytotoxicity of </w:t>
      </w:r>
      <w:proofErr w:type="spellStart"/>
      <w:r>
        <w:rPr>
          <w:rFonts w:ascii="Arial" w:eastAsia="Arial" w:hAnsi="Arial" w:cs="Arial"/>
          <w:sz w:val="20"/>
          <w:szCs w:val="20"/>
        </w:rPr>
        <w:t>AgNPs</w:t>
      </w:r>
      <w:proofErr w:type="spellEnd"/>
      <w:r>
        <w:rPr>
          <w:rFonts w:ascii="Arial" w:eastAsia="Arial" w:hAnsi="Arial" w:cs="Arial"/>
          <w:sz w:val="20"/>
          <w:szCs w:val="20"/>
        </w:rPr>
        <w:t xml:space="preserve"> remains a critical barrier to their direct use in human-applicable formulations. Future research should focus on reducing the toxicity of </w:t>
      </w:r>
      <w:proofErr w:type="spellStart"/>
      <w:r>
        <w:rPr>
          <w:rFonts w:ascii="Arial" w:eastAsia="Arial" w:hAnsi="Arial" w:cs="Arial"/>
          <w:sz w:val="20"/>
          <w:szCs w:val="20"/>
        </w:rPr>
        <w:t>AgNPs</w:t>
      </w:r>
      <w:proofErr w:type="spellEnd"/>
      <w:r>
        <w:rPr>
          <w:rFonts w:ascii="Arial" w:eastAsia="Arial" w:hAnsi="Arial" w:cs="Arial"/>
          <w:sz w:val="20"/>
          <w:szCs w:val="20"/>
        </w:rPr>
        <w:t xml:space="preserve"> through surface modification, biological synthesis, or </w:t>
      </w:r>
      <w:r>
        <w:rPr>
          <w:rFonts w:ascii="Arial" w:eastAsia="Arial" w:hAnsi="Arial" w:cs="Arial"/>
          <w:sz w:val="20"/>
          <w:szCs w:val="20"/>
        </w:rPr>
        <w:lastRenderedPageBreak/>
        <w:t>encapsulation techniques, and should evaluate their safety profiles through comprehensive in vitro and in vivo toxicological studies.</w:t>
      </w:r>
    </w:p>
    <w:p w14:paraId="0C89868D" w14:textId="77777777" w:rsidR="006F487A" w:rsidRDefault="006F487A">
      <w:pPr>
        <w:spacing w:after="80"/>
        <w:ind w:firstLine="360"/>
        <w:jc w:val="both"/>
        <w:rPr>
          <w:rFonts w:ascii="Arial" w:eastAsia="Arial" w:hAnsi="Arial" w:cs="Arial"/>
          <w:sz w:val="20"/>
          <w:szCs w:val="20"/>
        </w:rPr>
      </w:pPr>
    </w:p>
    <w:p w14:paraId="1C6E1010" w14:textId="77777777" w:rsidR="006F487A" w:rsidRDefault="00000000">
      <w:pPr>
        <w:keepNext/>
        <w:keepLines/>
        <w:spacing w:before="120" w:after="120" w:line="360" w:lineRule="auto"/>
        <w:jc w:val="both"/>
        <w:rPr>
          <w:sz w:val="24"/>
          <w:szCs w:val="24"/>
          <w:highlight w:val="yellow"/>
        </w:rPr>
      </w:pPr>
      <w:bookmarkStart w:id="5" w:name="_heading=h.vn6945cz5b0x" w:colFirst="0" w:colLast="0"/>
      <w:bookmarkEnd w:id="5"/>
      <w:r>
        <w:rPr>
          <w:sz w:val="24"/>
          <w:szCs w:val="24"/>
          <w:highlight w:val="yellow"/>
        </w:rPr>
        <w:t>Disclaimer (Artificial intelligence)</w:t>
      </w:r>
    </w:p>
    <w:p w14:paraId="456B0802" w14:textId="77777777" w:rsidR="006F487A" w:rsidRDefault="00000000">
      <w:pPr>
        <w:keepNext/>
        <w:keepLines/>
        <w:spacing w:before="120" w:after="120" w:line="360" w:lineRule="auto"/>
        <w:jc w:val="both"/>
        <w:rPr>
          <w:sz w:val="24"/>
          <w:szCs w:val="24"/>
        </w:rPr>
      </w:pPr>
      <w:r>
        <w:rPr>
          <w:sz w:val="24"/>
          <w:szCs w:val="24"/>
          <w:highlight w:val="yellow"/>
        </w:rPr>
        <w:t xml:space="preserve">Author(s) hereby </w:t>
      </w:r>
      <w:proofErr w:type="gramStart"/>
      <w:r>
        <w:rPr>
          <w:sz w:val="24"/>
          <w:szCs w:val="24"/>
          <w:highlight w:val="yellow"/>
        </w:rPr>
        <w:t>declare</w:t>
      </w:r>
      <w:proofErr w:type="gramEnd"/>
      <w:r>
        <w:rPr>
          <w:sz w:val="24"/>
          <w:szCs w:val="24"/>
          <w:highlight w:val="yellow"/>
        </w:rPr>
        <w:t xml:space="preserve"> that NO generative AI technologies such as Large Language Models (ChatGPT, COPILOT, etc.) and text-to-image generators have been used during the writing or editing of this manuscript.</w:t>
      </w:r>
      <w:r>
        <w:rPr>
          <w:sz w:val="24"/>
          <w:szCs w:val="24"/>
        </w:rPr>
        <w:t xml:space="preserve"> </w:t>
      </w:r>
    </w:p>
    <w:p w14:paraId="361F1888" w14:textId="77777777" w:rsidR="006F487A" w:rsidRDefault="006F487A">
      <w:pPr>
        <w:spacing w:after="80"/>
        <w:jc w:val="both"/>
        <w:rPr>
          <w:rFonts w:ascii="Arial" w:eastAsia="Arial" w:hAnsi="Arial" w:cs="Arial"/>
          <w:sz w:val="20"/>
          <w:szCs w:val="20"/>
        </w:rPr>
      </w:pPr>
      <w:bookmarkStart w:id="6" w:name="_heading=h.tdh0vvc2jjnw" w:colFirst="0" w:colLast="0"/>
      <w:bookmarkEnd w:id="6"/>
    </w:p>
    <w:p w14:paraId="61FCF125" w14:textId="77777777" w:rsidR="006F487A" w:rsidRDefault="006F487A">
      <w:pPr>
        <w:spacing w:after="80"/>
        <w:jc w:val="both"/>
        <w:rPr>
          <w:rFonts w:ascii="Arial" w:eastAsia="Arial" w:hAnsi="Arial" w:cs="Arial"/>
          <w:sz w:val="20"/>
          <w:szCs w:val="20"/>
        </w:rPr>
      </w:pPr>
    </w:p>
    <w:p w14:paraId="3FBC0D2E" w14:textId="77777777" w:rsidR="006F487A" w:rsidRDefault="006F487A">
      <w:pPr>
        <w:spacing w:after="80"/>
        <w:jc w:val="both"/>
        <w:rPr>
          <w:rFonts w:ascii="Arial" w:eastAsia="Arial" w:hAnsi="Arial" w:cs="Arial"/>
          <w:sz w:val="20"/>
          <w:szCs w:val="20"/>
        </w:rPr>
      </w:pPr>
    </w:p>
    <w:p w14:paraId="2C527767" w14:textId="77777777" w:rsidR="006F487A" w:rsidRDefault="00000000">
      <w:pPr>
        <w:spacing w:before="160" w:after="80"/>
        <w:rPr>
          <w:rFonts w:ascii="Arial" w:eastAsia="Arial" w:hAnsi="Arial" w:cs="Arial"/>
          <w:sz w:val="22"/>
          <w:szCs w:val="22"/>
        </w:rPr>
      </w:pPr>
      <w:r>
        <w:rPr>
          <w:rFonts w:ascii="Arial" w:eastAsia="Arial" w:hAnsi="Arial" w:cs="Arial"/>
          <w:b/>
          <w:bCs/>
          <w:smallCaps/>
          <w:sz w:val="22"/>
          <w:szCs w:val="22"/>
        </w:rPr>
        <w:t>REFERENCES</w:t>
      </w:r>
    </w:p>
    <w:p w14:paraId="72BB6E26" w14:textId="77777777" w:rsidR="006F487A" w:rsidRDefault="00000000">
      <w:pPr>
        <w:spacing w:after="80"/>
        <w:ind w:left="360" w:hanging="360"/>
        <w:rPr>
          <w:rFonts w:ascii="Arial" w:eastAsia="Arial" w:hAnsi="Arial" w:cs="Arial"/>
          <w:sz w:val="20"/>
          <w:szCs w:val="20"/>
        </w:rPr>
      </w:pPr>
      <w:r>
        <w:rPr>
          <w:rFonts w:ascii="Arial" w:eastAsia="Arial" w:hAnsi="Arial" w:cs="Arial"/>
          <w:sz w:val="20"/>
          <w:szCs w:val="20"/>
        </w:rPr>
        <w:t xml:space="preserve">Arora, S., Jain, J., Rajwade, J. M., &amp; </w:t>
      </w:r>
      <w:proofErr w:type="spellStart"/>
      <w:r>
        <w:rPr>
          <w:rFonts w:ascii="Arial" w:eastAsia="Arial" w:hAnsi="Arial" w:cs="Arial"/>
          <w:sz w:val="20"/>
          <w:szCs w:val="20"/>
        </w:rPr>
        <w:t>Paknikar</w:t>
      </w:r>
      <w:proofErr w:type="spellEnd"/>
      <w:r>
        <w:rPr>
          <w:rFonts w:ascii="Arial" w:eastAsia="Arial" w:hAnsi="Arial" w:cs="Arial"/>
          <w:sz w:val="20"/>
          <w:szCs w:val="20"/>
        </w:rPr>
        <w:t>, K. M. (2008). Cellular responses induced by silver nanoparticles: In vitro studies. Toxicology Letters, 179(2), 93-100. https://doi.org/10.1016/j.toxlet.2008.04.009</w:t>
      </w:r>
    </w:p>
    <w:p w14:paraId="1B7DAFCD" w14:textId="77777777" w:rsidR="006F487A" w:rsidRDefault="00000000">
      <w:pPr>
        <w:spacing w:after="80"/>
        <w:ind w:left="360" w:hanging="360"/>
        <w:rPr>
          <w:rFonts w:ascii="Arial" w:eastAsia="Arial" w:hAnsi="Arial" w:cs="Arial"/>
          <w:sz w:val="20"/>
          <w:szCs w:val="20"/>
        </w:rPr>
      </w:pPr>
      <w:r>
        <w:rPr>
          <w:rFonts w:ascii="Arial" w:eastAsia="Arial" w:hAnsi="Arial" w:cs="Arial"/>
          <w:sz w:val="20"/>
          <w:szCs w:val="20"/>
        </w:rPr>
        <w:t>CDC. (2024, June 13). Hand sanitizer facts. Clean Hands. https://www.cdc.gov/clean-hands/data-research/facts-stats/hand-sanitizer-facts.html</w:t>
      </w:r>
    </w:p>
    <w:p w14:paraId="3FCE1906" w14:textId="77777777" w:rsidR="006F487A" w:rsidRDefault="00000000">
      <w:pPr>
        <w:spacing w:after="80"/>
        <w:ind w:left="360" w:hanging="360"/>
        <w:rPr>
          <w:rFonts w:ascii="Arial" w:eastAsia="Arial" w:hAnsi="Arial" w:cs="Arial"/>
          <w:sz w:val="20"/>
          <w:szCs w:val="20"/>
        </w:rPr>
      </w:pPr>
      <w:proofErr w:type="spellStart"/>
      <w:r>
        <w:rPr>
          <w:rFonts w:ascii="Arial" w:eastAsia="Arial" w:hAnsi="Arial" w:cs="Arial"/>
          <w:sz w:val="20"/>
          <w:szCs w:val="20"/>
        </w:rPr>
        <w:t>Choukade</w:t>
      </w:r>
      <w:proofErr w:type="spellEnd"/>
      <w:r>
        <w:rPr>
          <w:rFonts w:ascii="Arial" w:eastAsia="Arial" w:hAnsi="Arial" w:cs="Arial"/>
          <w:sz w:val="20"/>
          <w:szCs w:val="20"/>
        </w:rPr>
        <w:t>, R., Jaiswal, A., &amp; Kango, N. (2020). Characterization of biogenically synthesized silver nanoparticles for therapeutic applications and enzyme nanocomplex generation. 3 Biotech, 10(11), 462. https://doi.org/10.1007/s13205-020-02450-8</w:t>
      </w:r>
    </w:p>
    <w:p w14:paraId="60A2D4F1" w14:textId="77777777" w:rsidR="006F487A" w:rsidRDefault="00000000">
      <w:pPr>
        <w:spacing w:after="80"/>
        <w:ind w:left="360" w:hanging="360"/>
        <w:rPr>
          <w:rFonts w:ascii="Arial" w:eastAsia="Arial" w:hAnsi="Arial" w:cs="Arial"/>
          <w:sz w:val="20"/>
          <w:szCs w:val="20"/>
        </w:rPr>
      </w:pPr>
      <w:r>
        <w:rPr>
          <w:rFonts w:ascii="Arial" w:eastAsia="Arial" w:hAnsi="Arial" w:cs="Arial"/>
          <w:sz w:val="20"/>
          <w:szCs w:val="20"/>
        </w:rPr>
        <w:t xml:space="preserve">Fahim, M., Shahzaib, A., Nishat, N., Jahan, A., Bhat, T. A., &amp; Inam, A. (2024). Green synthesis of silver nanoparticles: A comprehensive review of methods, influencing factors, and applications. JCIS Open, 16, 100125. </w:t>
      </w:r>
      <w:hyperlink r:id="rId10">
        <w:r>
          <w:rPr>
            <w:rFonts w:ascii="Arial" w:eastAsia="Arial" w:hAnsi="Arial" w:cs="Arial"/>
            <w:color w:val="1155CC"/>
            <w:sz w:val="20"/>
            <w:szCs w:val="20"/>
            <w:u w:val="single"/>
          </w:rPr>
          <w:t>https://doi.org/10.1016/j.jciso.2024.100125</w:t>
        </w:r>
      </w:hyperlink>
    </w:p>
    <w:p w14:paraId="61D0129E" w14:textId="77777777" w:rsidR="006F487A" w:rsidRDefault="00000000">
      <w:pPr>
        <w:pBdr>
          <w:top w:val="nil"/>
          <w:left w:val="nil"/>
          <w:bottom w:val="nil"/>
          <w:right w:val="nil"/>
          <w:between w:val="nil"/>
        </w:pBdr>
        <w:spacing w:after="80"/>
        <w:ind w:left="360" w:hanging="360"/>
        <w:rPr>
          <w:rFonts w:ascii="Arial" w:eastAsia="Arial" w:hAnsi="Arial" w:cs="Arial"/>
          <w:sz w:val="20"/>
          <w:szCs w:val="20"/>
        </w:rPr>
      </w:pPr>
      <w:r>
        <w:rPr>
          <w:rFonts w:ascii="Arial" w:eastAsia="Arial" w:hAnsi="Arial" w:cs="Arial"/>
          <w:sz w:val="20"/>
          <w:szCs w:val="20"/>
        </w:rPr>
        <w:t xml:space="preserve">Gholami, A., </w:t>
      </w:r>
      <w:proofErr w:type="spellStart"/>
      <w:r>
        <w:rPr>
          <w:rFonts w:ascii="Arial" w:eastAsia="Arial" w:hAnsi="Arial" w:cs="Arial"/>
          <w:sz w:val="20"/>
          <w:szCs w:val="20"/>
        </w:rPr>
        <w:t>Ghezelbash</w:t>
      </w:r>
      <w:proofErr w:type="spellEnd"/>
      <w:r>
        <w:rPr>
          <w:rFonts w:ascii="Arial" w:eastAsia="Arial" w:hAnsi="Arial" w:cs="Arial"/>
          <w:sz w:val="20"/>
          <w:szCs w:val="20"/>
        </w:rPr>
        <w:t xml:space="preserve">, K., </w:t>
      </w:r>
      <w:proofErr w:type="spellStart"/>
      <w:r>
        <w:rPr>
          <w:rFonts w:ascii="Arial" w:eastAsia="Arial" w:hAnsi="Arial" w:cs="Arial"/>
          <w:sz w:val="20"/>
          <w:szCs w:val="20"/>
        </w:rPr>
        <w:t>Asheghi</w:t>
      </w:r>
      <w:proofErr w:type="spellEnd"/>
      <w:r>
        <w:rPr>
          <w:rFonts w:ascii="Arial" w:eastAsia="Arial" w:hAnsi="Arial" w:cs="Arial"/>
          <w:sz w:val="20"/>
          <w:szCs w:val="20"/>
        </w:rPr>
        <w:t xml:space="preserve">, B., </w:t>
      </w:r>
      <w:proofErr w:type="spellStart"/>
      <w:r>
        <w:rPr>
          <w:rFonts w:ascii="Arial" w:eastAsia="Arial" w:hAnsi="Arial" w:cs="Arial"/>
          <w:sz w:val="20"/>
          <w:szCs w:val="20"/>
        </w:rPr>
        <w:t>Abbaszadegan</w:t>
      </w:r>
      <w:proofErr w:type="spellEnd"/>
      <w:r>
        <w:rPr>
          <w:rFonts w:ascii="Arial" w:eastAsia="Arial" w:hAnsi="Arial" w:cs="Arial"/>
          <w:sz w:val="20"/>
          <w:szCs w:val="20"/>
        </w:rPr>
        <w:t>, A., &amp; Amini, A. (2022). An In Vitro Study on the Antibacterial Effects of Chlorhexidine‐Loaded Positively Charged Silver Nanoparticles on Enterococcus faecalis. Journal of Nanomaterials, 2022(1). https://doi.org/10.1155/2022/6405772</w:t>
      </w:r>
    </w:p>
    <w:p w14:paraId="066714EA" w14:textId="77777777" w:rsidR="006F487A" w:rsidRDefault="00000000">
      <w:pPr>
        <w:spacing w:after="80"/>
        <w:ind w:left="360" w:hanging="360"/>
        <w:rPr>
          <w:rFonts w:ascii="Arial" w:eastAsia="Arial" w:hAnsi="Arial" w:cs="Arial"/>
          <w:sz w:val="20"/>
          <w:szCs w:val="20"/>
        </w:rPr>
      </w:pPr>
      <w:r>
        <w:rPr>
          <w:rFonts w:ascii="Arial" w:eastAsia="Arial" w:hAnsi="Arial" w:cs="Arial"/>
          <w:sz w:val="20"/>
          <w:szCs w:val="20"/>
        </w:rPr>
        <w:t xml:space="preserve">Gonzalez, J. M., &amp; Aranda, B. (2023). Microbial growth under limiting conditions: Future perspectives. Microorganisms, 11(7), 1641. </w:t>
      </w:r>
      <w:hyperlink r:id="rId11">
        <w:r>
          <w:rPr>
            <w:rFonts w:ascii="Arial" w:eastAsia="Arial" w:hAnsi="Arial" w:cs="Arial"/>
            <w:color w:val="1155CC"/>
            <w:sz w:val="20"/>
            <w:szCs w:val="20"/>
            <w:u w:val="single"/>
          </w:rPr>
          <w:t>https://doi.org/10.3390/microorganisms11071641</w:t>
        </w:r>
      </w:hyperlink>
    </w:p>
    <w:p w14:paraId="3B99FC7F" w14:textId="77777777" w:rsidR="006F487A" w:rsidRDefault="00000000">
      <w:pPr>
        <w:ind w:left="720"/>
        <w:rPr>
          <w:sz w:val="24"/>
          <w:szCs w:val="24"/>
        </w:rPr>
      </w:pPr>
      <w:r>
        <w:rPr>
          <w:rFonts w:ascii="Arial" w:eastAsia="Arial" w:hAnsi="Arial" w:cs="Arial"/>
          <w:sz w:val="20"/>
          <w:szCs w:val="20"/>
        </w:rPr>
        <w:t>Khan, B., Nawaz, M., Hussain, R., Price, G. J., Warsi, M. F., &amp; Waseem, M. (2020). Enhanced antibacterial activity of size-controlled silver and polyethylene glycol functionalized silver nanoparticles. Chemical Papers, 75(2), 743–752. https://doi.org/10.1007/s11696-020-01335-7</w:t>
      </w:r>
    </w:p>
    <w:p w14:paraId="1D78636A" w14:textId="77777777" w:rsidR="006F487A" w:rsidRDefault="00000000">
      <w:pPr>
        <w:spacing w:after="80"/>
        <w:ind w:left="360" w:hanging="360"/>
        <w:rPr>
          <w:rFonts w:ascii="Arial" w:eastAsia="Arial" w:hAnsi="Arial" w:cs="Arial"/>
          <w:sz w:val="20"/>
          <w:szCs w:val="20"/>
        </w:rPr>
      </w:pPr>
      <w:r>
        <w:rPr>
          <w:rFonts w:ascii="Arial" w:eastAsia="Arial" w:hAnsi="Arial" w:cs="Arial"/>
          <w:sz w:val="20"/>
          <w:szCs w:val="20"/>
        </w:rPr>
        <w:t>Liao, C., Li, Y., &amp; Tjong, S. C. (2019). Bactericidal and cytotoxic properties of silver nanoparticles. International Journal of Molecular Sciences, 20(2), 449. https://doi.org/10.3390/ijms20020449</w:t>
      </w:r>
    </w:p>
    <w:p w14:paraId="2E8A93BA" w14:textId="77777777" w:rsidR="006F487A" w:rsidRDefault="00000000">
      <w:pPr>
        <w:spacing w:after="80"/>
        <w:ind w:left="360" w:hanging="360"/>
        <w:rPr>
          <w:rFonts w:ascii="Arial" w:eastAsia="Arial" w:hAnsi="Arial" w:cs="Arial"/>
          <w:sz w:val="20"/>
          <w:szCs w:val="20"/>
        </w:rPr>
      </w:pPr>
      <w:r>
        <w:rPr>
          <w:rFonts w:ascii="Arial" w:eastAsia="Arial" w:hAnsi="Arial" w:cs="Arial"/>
          <w:sz w:val="20"/>
          <w:szCs w:val="20"/>
        </w:rPr>
        <w:t>Lim, J. Y., Yoon, J. W., &amp; Hovde, C. J. (2010). A brief overview of Escherichia coli O157:H7 and its plasmid O157. Journal of Microbiology and Biotechnology, 20(1), 5-14.</w:t>
      </w:r>
    </w:p>
    <w:p w14:paraId="15522595" w14:textId="77777777" w:rsidR="006F487A" w:rsidRDefault="00000000">
      <w:pPr>
        <w:spacing w:after="80"/>
        <w:ind w:left="360" w:hanging="360"/>
        <w:rPr>
          <w:rFonts w:ascii="Arial" w:eastAsia="Arial" w:hAnsi="Arial" w:cs="Arial"/>
          <w:sz w:val="20"/>
          <w:szCs w:val="20"/>
        </w:rPr>
      </w:pPr>
      <w:r>
        <w:rPr>
          <w:rFonts w:ascii="Arial" w:eastAsia="Arial" w:hAnsi="Arial" w:cs="Arial"/>
          <w:sz w:val="20"/>
          <w:szCs w:val="20"/>
        </w:rPr>
        <w:t xml:space="preserve">Morones, J. R., </w:t>
      </w:r>
      <w:proofErr w:type="spellStart"/>
      <w:r>
        <w:rPr>
          <w:rFonts w:ascii="Arial" w:eastAsia="Arial" w:hAnsi="Arial" w:cs="Arial"/>
          <w:sz w:val="20"/>
          <w:szCs w:val="20"/>
        </w:rPr>
        <w:t>Elechiguerra</w:t>
      </w:r>
      <w:proofErr w:type="spellEnd"/>
      <w:r>
        <w:rPr>
          <w:rFonts w:ascii="Arial" w:eastAsia="Arial" w:hAnsi="Arial" w:cs="Arial"/>
          <w:sz w:val="20"/>
          <w:szCs w:val="20"/>
        </w:rPr>
        <w:t xml:space="preserve">, J. L., Camacho, A., Holt, K., Kouri, J. B., Ramirez, J. T., &amp; </w:t>
      </w:r>
      <w:proofErr w:type="spellStart"/>
      <w:r>
        <w:rPr>
          <w:rFonts w:ascii="Arial" w:eastAsia="Arial" w:hAnsi="Arial" w:cs="Arial"/>
          <w:sz w:val="20"/>
          <w:szCs w:val="20"/>
        </w:rPr>
        <w:t>Yacaman</w:t>
      </w:r>
      <w:proofErr w:type="spellEnd"/>
      <w:r>
        <w:rPr>
          <w:rFonts w:ascii="Arial" w:eastAsia="Arial" w:hAnsi="Arial" w:cs="Arial"/>
          <w:sz w:val="20"/>
          <w:szCs w:val="20"/>
        </w:rPr>
        <w:t>, M. J. (2005). The bactericidal effect of silver nanoparticles. Nanotechnology, 16(10), 2346-2353. https://doi.org/10.1088/0957-4484/16/10/059</w:t>
      </w:r>
    </w:p>
    <w:p w14:paraId="0B7884E5" w14:textId="77777777" w:rsidR="006F487A" w:rsidRDefault="00000000">
      <w:pPr>
        <w:spacing w:after="80"/>
        <w:ind w:left="360" w:hanging="360"/>
        <w:rPr>
          <w:rFonts w:ascii="Arial" w:eastAsia="Arial" w:hAnsi="Arial" w:cs="Arial"/>
          <w:sz w:val="20"/>
          <w:szCs w:val="20"/>
        </w:rPr>
      </w:pPr>
      <w:proofErr w:type="spellStart"/>
      <w:r>
        <w:rPr>
          <w:rFonts w:ascii="Arial" w:eastAsia="Arial" w:hAnsi="Arial" w:cs="Arial"/>
          <w:sz w:val="20"/>
          <w:szCs w:val="20"/>
        </w:rPr>
        <w:t>Moschonas</w:t>
      </w:r>
      <w:proofErr w:type="spellEnd"/>
      <w:r>
        <w:rPr>
          <w:rFonts w:ascii="Arial" w:eastAsia="Arial" w:hAnsi="Arial" w:cs="Arial"/>
          <w:sz w:val="20"/>
          <w:szCs w:val="20"/>
        </w:rPr>
        <w:t xml:space="preserve">, G., Lianou, A., </w:t>
      </w:r>
      <w:proofErr w:type="spellStart"/>
      <w:r>
        <w:rPr>
          <w:rFonts w:ascii="Arial" w:eastAsia="Arial" w:hAnsi="Arial" w:cs="Arial"/>
          <w:sz w:val="20"/>
          <w:szCs w:val="20"/>
        </w:rPr>
        <w:t>Nychas</w:t>
      </w:r>
      <w:proofErr w:type="spellEnd"/>
      <w:r>
        <w:rPr>
          <w:rFonts w:ascii="Arial" w:eastAsia="Arial" w:hAnsi="Arial" w:cs="Arial"/>
          <w:sz w:val="20"/>
          <w:szCs w:val="20"/>
        </w:rPr>
        <w:t>, G. J. E., &amp; Panagou, E. Z. (2021). Spoilage potential of Bacillus subtilis in a neutral-pH dairy dessert. Food Microbiology, 95, 103715. https://doi.org/10.1016/j.fm.2020.103715</w:t>
      </w:r>
    </w:p>
    <w:p w14:paraId="298F0EC6" w14:textId="77777777" w:rsidR="006F487A" w:rsidRDefault="00000000">
      <w:pPr>
        <w:spacing w:after="80"/>
        <w:ind w:left="360" w:hanging="360"/>
        <w:rPr>
          <w:rFonts w:ascii="Arial" w:eastAsia="Arial" w:hAnsi="Arial" w:cs="Arial"/>
          <w:sz w:val="20"/>
          <w:szCs w:val="20"/>
        </w:rPr>
      </w:pPr>
      <w:r>
        <w:rPr>
          <w:rFonts w:ascii="Arial" w:eastAsia="Arial" w:hAnsi="Arial" w:cs="Arial"/>
          <w:sz w:val="20"/>
          <w:szCs w:val="20"/>
        </w:rPr>
        <w:t xml:space="preserve">Muleba, L., Van Wyk, R., Pienaar, J., </w:t>
      </w:r>
      <w:proofErr w:type="spellStart"/>
      <w:r>
        <w:rPr>
          <w:rFonts w:ascii="Arial" w:eastAsia="Arial" w:hAnsi="Arial" w:cs="Arial"/>
          <w:sz w:val="20"/>
          <w:szCs w:val="20"/>
        </w:rPr>
        <w:t>Ratshikhopha</w:t>
      </w:r>
      <w:proofErr w:type="spellEnd"/>
      <w:r>
        <w:rPr>
          <w:rFonts w:ascii="Arial" w:eastAsia="Arial" w:hAnsi="Arial" w:cs="Arial"/>
          <w:sz w:val="20"/>
          <w:szCs w:val="20"/>
        </w:rPr>
        <w:t>, E., &amp; Singh, T. (2022). Assessment of anti-bacterial effectiveness of hand sanitizers commonly used in South Africa. International Journal of Environmental Research and Public Health, 19(15), 9245. https://doi.org/10.3390/ijerph19159245</w:t>
      </w:r>
    </w:p>
    <w:p w14:paraId="703683A4" w14:textId="77777777" w:rsidR="006F487A" w:rsidRDefault="00000000">
      <w:pPr>
        <w:spacing w:after="80"/>
        <w:ind w:left="360" w:hanging="360"/>
        <w:rPr>
          <w:rFonts w:ascii="Arial" w:eastAsia="Arial" w:hAnsi="Arial" w:cs="Arial"/>
          <w:sz w:val="20"/>
          <w:szCs w:val="20"/>
        </w:rPr>
      </w:pPr>
      <w:r>
        <w:rPr>
          <w:rFonts w:ascii="Arial" w:eastAsia="Arial" w:hAnsi="Arial" w:cs="Arial"/>
          <w:sz w:val="20"/>
          <w:szCs w:val="20"/>
        </w:rPr>
        <w:t>Pal, S., Tak, Y. K., &amp; Song, J. M. (2007). Does the antibacterial activity of silver nanoparticles depend on the shape of the nanoparticle? A study of the Gram-negative bacterium Escherichia coli. Applied and Environmental Microbiology, 73(6), 1712-1720. https://doi.org/10.1128/AEM.02218-06</w:t>
      </w:r>
    </w:p>
    <w:p w14:paraId="76650FE1" w14:textId="77777777" w:rsidR="006F487A" w:rsidRDefault="00000000">
      <w:pPr>
        <w:spacing w:after="80"/>
        <w:ind w:left="360" w:hanging="360"/>
        <w:rPr>
          <w:rFonts w:ascii="Arial" w:eastAsia="Arial" w:hAnsi="Arial" w:cs="Arial"/>
          <w:sz w:val="20"/>
          <w:szCs w:val="20"/>
        </w:rPr>
      </w:pPr>
      <w:r>
        <w:rPr>
          <w:rFonts w:ascii="Arial" w:eastAsia="Arial" w:hAnsi="Arial" w:cs="Arial"/>
          <w:sz w:val="20"/>
          <w:szCs w:val="20"/>
        </w:rPr>
        <w:t>Rai, M., Yadav, A., &amp; Gade, A. (2009). Silver nanoparticles as a new generation of antimicrobials. Biotechnology Advances, 27(1), 76-83. https://doi.org/10.1016/j.biotechadv.2008.09.002</w:t>
      </w:r>
    </w:p>
    <w:p w14:paraId="1E1F1AC2" w14:textId="77777777" w:rsidR="006F487A" w:rsidRDefault="00000000">
      <w:pPr>
        <w:spacing w:after="80"/>
        <w:ind w:left="360" w:hanging="360"/>
        <w:rPr>
          <w:rFonts w:ascii="Arial" w:eastAsia="Arial" w:hAnsi="Arial" w:cs="Arial"/>
          <w:sz w:val="20"/>
          <w:szCs w:val="20"/>
        </w:rPr>
      </w:pPr>
      <w:r>
        <w:rPr>
          <w:rFonts w:ascii="Arial" w:eastAsia="Arial" w:hAnsi="Arial" w:cs="Arial"/>
          <w:sz w:val="20"/>
          <w:szCs w:val="20"/>
        </w:rPr>
        <w:t xml:space="preserve">Shrivastava, S., Bera, T., Roy, A., Singh, G., </w:t>
      </w:r>
      <w:proofErr w:type="spellStart"/>
      <w:r>
        <w:rPr>
          <w:rFonts w:ascii="Arial" w:eastAsia="Arial" w:hAnsi="Arial" w:cs="Arial"/>
          <w:sz w:val="20"/>
          <w:szCs w:val="20"/>
        </w:rPr>
        <w:t>Ramachandrarao</w:t>
      </w:r>
      <w:proofErr w:type="spellEnd"/>
      <w:r>
        <w:rPr>
          <w:rFonts w:ascii="Arial" w:eastAsia="Arial" w:hAnsi="Arial" w:cs="Arial"/>
          <w:sz w:val="20"/>
          <w:szCs w:val="20"/>
        </w:rPr>
        <w:t xml:space="preserve">, P., &amp; Dash, D. (2007). Characterization of enhanced antibacterial effects of novel silver nanoparticles. Nanotechnology, 18(22), 225103. </w:t>
      </w:r>
      <w:hyperlink r:id="rId12">
        <w:r>
          <w:rPr>
            <w:rFonts w:ascii="Arial" w:eastAsia="Arial" w:hAnsi="Arial" w:cs="Arial"/>
            <w:sz w:val="20"/>
            <w:szCs w:val="20"/>
          </w:rPr>
          <w:t>https://doi.org/10.1088/0957-4484/18/22/225103</w:t>
        </w:r>
      </w:hyperlink>
      <w:r>
        <w:rPr>
          <w:rFonts w:ascii="Arial" w:eastAsia="Arial" w:hAnsi="Arial" w:cs="Arial"/>
          <w:sz w:val="20"/>
          <w:szCs w:val="20"/>
        </w:rPr>
        <w:t xml:space="preserve"> </w:t>
      </w:r>
    </w:p>
    <w:p w14:paraId="2A524D3C" w14:textId="77777777" w:rsidR="006F487A" w:rsidRDefault="00000000">
      <w:pPr>
        <w:ind w:left="720"/>
        <w:rPr>
          <w:sz w:val="24"/>
          <w:szCs w:val="24"/>
        </w:rPr>
      </w:pPr>
      <w:r>
        <w:rPr>
          <w:rFonts w:ascii="Arial" w:eastAsia="Arial" w:hAnsi="Arial" w:cs="Arial"/>
          <w:sz w:val="20"/>
          <w:szCs w:val="20"/>
        </w:rPr>
        <w:lastRenderedPageBreak/>
        <w:t xml:space="preserve">Shumi, G., Demissie, T. B., </w:t>
      </w:r>
      <w:proofErr w:type="spellStart"/>
      <w:r>
        <w:rPr>
          <w:rFonts w:ascii="Arial" w:eastAsia="Arial" w:hAnsi="Arial" w:cs="Arial"/>
          <w:sz w:val="20"/>
          <w:szCs w:val="20"/>
        </w:rPr>
        <w:t>Eswaramoorthy</w:t>
      </w:r>
      <w:proofErr w:type="spellEnd"/>
      <w:r>
        <w:rPr>
          <w:rFonts w:ascii="Arial" w:eastAsia="Arial" w:hAnsi="Arial" w:cs="Arial"/>
          <w:sz w:val="20"/>
          <w:szCs w:val="20"/>
        </w:rPr>
        <w:t xml:space="preserve">, R., Bogale, R. F., </w:t>
      </w:r>
      <w:proofErr w:type="spellStart"/>
      <w:r>
        <w:rPr>
          <w:rFonts w:ascii="Arial" w:eastAsia="Arial" w:hAnsi="Arial" w:cs="Arial"/>
          <w:sz w:val="20"/>
          <w:szCs w:val="20"/>
        </w:rPr>
        <w:t>Kenasa</w:t>
      </w:r>
      <w:proofErr w:type="spellEnd"/>
      <w:r>
        <w:rPr>
          <w:rFonts w:ascii="Arial" w:eastAsia="Arial" w:hAnsi="Arial" w:cs="Arial"/>
          <w:sz w:val="20"/>
          <w:szCs w:val="20"/>
        </w:rPr>
        <w:t>, G., &amp; Desalegn, T. (2023). Biosynthesis of Silver Nanoparticles Functionalized with Histidine and Phenylalanine Amino Acids for Potential Antioxidant and Antibacterial Activities. ACS Omega, 8(27), 24371–24386. https://doi.org/10.1021/acsomega.3c01910</w:t>
      </w:r>
    </w:p>
    <w:p w14:paraId="3269B896" w14:textId="77777777" w:rsidR="006F487A" w:rsidRDefault="00000000">
      <w:pPr>
        <w:spacing w:after="80"/>
        <w:ind w:left="360" w:hanging="360"/>
        <w:rPr>
          <w:rFonts w:ascii="Arial" w:eastAsia="Arial" w:hAnsi="Arial" w:cs="Arial"/>
          <w:sz w:val="20"/>
          <w:szCs w:val="20"/>
        </w:rPr>
      </w:pPr>
      <w:r>
        <w:rPr>
          <w:rFonts w:ascii="Arial" w:eastAsia="Arial" w:hAnsi="Arial" w:cs="Arial"/>
          <w:sz w:val="20"/>
          <w:szCs w:val="20"/>
        </w:rPr>
        <w:t>Su, Y., Liu, C., Fang, H., &amp; Zhang, D. (2020). Bacillus subtilis: A universal cell factory for industry, agriculture, biomaterials and medicine. Microbial Cell Factories, 19(1), 173. https://doi.org/10.1186/s12934-020-01436-8</w:t>
      </w:r>
    </w:p>
    <w:p w14:paraId="1CDB1867" w14:textId="77777777" w:rsidR="006F487A" w:rsidRDefault="00000000">
      <w:pPr>
        <w:spacing w:after="80"/>
        <w:ind w:left="360" w:hanging="360"/>
        <w:rPr>
          <w:rFonts w:ascii="Arial" w:eastAsia="Arial" w:hAnsi="Arial" w:cs="Arial"/>
          <w:sz w:val="20"/>
          <w:szCs w:val="20"/>
        </w:rPr>
      </w:pPr>
      <w:r>
        <w:rPr>
          <w:rFonts w:ascii="Arial" w:eastAsia="Arial" w:hAnsi="Arial" w:cs="Arial"/>
          <w:sz w:val="20"/>
          <w:szCs w:val="20"/>
        </w:rPr>
        <w:t xml:space="preserve">Taylor, T. A., Tobin, E. H., &amp; </w:t>
      </w:r>
      <w:proofErr w:type="spellStart"/>
      <w:r>
        <w:rPr>
          <w:rFonts w:ascii="Arial" w:eastAsia="Arial" w:hAnsi="Arial" w:cs="Arial"/>
          <w:sz w:val="20"/>
          <w:szCs w:val="20"/>
        </w:rPr>
        <w:t>Unakal</w:t>
      </w:r>
      <w:proofErr w:type="spellEnd"/>
      <w:r>
        <w:rPr>
          <w:rFonts w:ascii="Arial" w:eastAsia="Arial" w:hAnsi="Arial" w:cs="Arial"/>
          <w:sz w:val="20"/>
          <w:szCs w:val="20"/>
        </w:rPr>
        <w:t xml:space="preserve">, C. G. (2025). Staphylococcus aureus infection. In </w:t>
      </w:r>
      <w:proofErr w:type="spellStart"/>
      <w:r>
        <w:rPr>
          <w:rFonts w:ascii="Arial" w:eastAsia="Arial" w:hAnsi="Arial" w:cs="Arial"/>
          <w:sz w:val="20"/>
          <w:szCs w:val="20"/>
        </w:rPr>
        <w:t>StatPearls</w:t>
      </w:r>
      <w:proofErr w:type="spellEnd"/>
      <w:r>
        <w:rPr>
          <w:rFonts w:ascii="Arial" w:eastAsia="Arial" w:hAnsi="Arial" w:cs="Arial"/>
          <w:sz w:val="20"/>
          <w:szCs w:val="20"/>
        </w:rPr>
        <w:t xml:space="preserve">. </w:t>
      </w:r>
      <w:proofErr w:type="spellStart"/>
      <w:r>
        <w:rPr>
          <w:rFonts w:ascii="Arial" w:eastAsia="Arial" w:hAnsi="Arial" w:cs="Arial"/>
          <w:sz w:val="20"/>
          <w:szCs w:val="20"/>
        </w:rPr>
        <w:t>StatPearls</w:t>
      </w:r>
      <w:proofErr w:type="spellEnd"/>
      <w:r>
        <w:rPr>
          <w:rFonts w:ascii="Arial" w:eastAsia="Arial" w:hAnsi="Arial" w:cs="Arial"/>
          <w:sz w:val="20"/>
          <w:szCs w:val="20"/>
        </w:rPr>
        <w:t xml:space="preserve"> Publishing. http://www.ncbi.nlm.nih.gov/books/NBK441868/</w:t>
      </w:r>
    </w:p>
    <w:p w14:paraId="1C43ECF4" w14:textId="77777777" w:rsidR="006F487A" w:rsidRDefault="00000000">
      <w:pPr>
        <w:spacing w:after="80"/>
        <w:ind w:left="360" w:hanging="360"/>
        <w:rPr>
          <w:rFonts w:ascii="Arial" w:eastAsia="Arial" w:hAnsi="Arial" w:cs="Arial"/>
          <w:sz w:val="20"/>
          <w:szCs w:val="20"/>
        </w:rPr>
      </w:pPr>
      <w:proofErr w:type="spellStart"/>
      <w:r>
        <w:rPr>
          <w:rFonts w:ascii="Arial" w:eastAsia="Arial" w:hAnsi="Arial" w:cs="Arial"/>
          <w:sz w:val="20"/>
          <w:szCs w:val="20"/>
        </w:rPr>
        <w:t>Tokano</w:t>
      </w:r>
      <w:proofErr w:type="spellEnd"/>
      <w:r>
        <w:rPr>
          <w:rFonts w:ascii="Arial" w:eastAsia="Arial" w:hAnsi="Arial" w:cs="Arial"/>
          <w:sz w:val="20"/>
          <w:szCs w:val="20"/>
        </w:rPr>
        <w:t>, M., Tarumoto, N., Imai, K., et al. (2023). Bacterial meningitis caused by Bacillus subtilis var. natto. Internal Medicine, 62(13), 1989-1993. https://doi.org/10.2169/internalmedicine.0768-22</w:t>
      </w:r>
    </w:p>
    <w:sectPr w:rsidR="006F487A">
      <w:headerReference w:type="even" r:id="rId13"/>
      <w:headerReference w:type="default" r:id="rId14"/>
      <w:footerReference w:type="even" r:id="rId15"/>
      <w:footerReference w:type="default" r:id="rId16"/>
      <w:headerReference w:type="first" r:id="rId17"/>
      <w:footerReference w:type="first" r:id="rId18"/>
      <w:pgSz w:w="11906" w:h="16838"/>
      <w:pgMar w:top="1134"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875DCF" w14:textId="77777777" w:rsidR="00CF4BE2" w:rsidRDefault="00CF4BE2">
      <w:r>
        <w:separator/>
      </w:r>
    </w:p>
  </w:endnote>
  <w:endnote w:type="continuationSeparator" w:id="0">
    <w:p w14:paraId="6C0984D0" w14:textId="77777777" w:rsidR="00CF4BE2" w:rsidRDefault="00CF4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73C5D1E-A8F2-4BB5-86CF-27A2CC535E3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445E464-D1AD-4955-B025-B89C4B730728}"/>
  </w:font>
  <w:font w:name="Cambria">
    <w:panose1 w:val="02040503050406030204"/>
    <w:charset w:val="00"/>
    <w:family w:val="roman"/>
    <w:pitch w:val="variable"/>
    <w:sig w:usb0="E00006FF" w:usb1="420024FF" w:usb2="02000000" w:usb3="00000000" w:csb0="0000019F" w:csb1="00000000"/>
    <w:embedRegular r:id="rId3" w:fontKey="{7A3A7C7C-6DF4-471E-9C9A-1BF54E31FD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F6A74" w14:textId="77777777" w:rsidR="006F487A" w:rsidRDefault="006F487A">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647A3" w14:textId="77777777" w:rsidR="006F487A" w:rsidRDefault="006F487A">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34029" w14:textId="77777777" w:rsidR="006F487A" w:rsidRDefault="006F487A">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4E1D1" w14:textId="77777777" w:rsidR="00CF4BE2" w:rsidRDefault="00CF4BE2">
      <w:r>
        <w:separator/>
      </w:r>
    </w:p>
  </w:footnote>
  <w:footnote w:type="continuationSeparator" w:id="0">
    <w:p w14:paraId="019201C9" w14:textId="77777777" w:rsidR="00CF4BE2" w:rsidRDefault="00CF4B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8E4C3" w14:textId="77777777" w:rsidR="006F487A" w:rsidRDefault="00000000">
    <w:pPr>
      <w:pBdr>
        <w:top w:val="nil"/>
        <w:left w:val="nil"/>
        <w:bottom w:val="nil"/>
        <w:right w:val="nil"/>
        <w:between w:val="nil"/>
      </w:pBdr>
      <w:tabs>
        <w:tab w:val="center" w:pos="4680"/>
        <w:tab w:val="right" w:pos="9360"/>
      </w:tabs>
      <w:rPr>
        <w:color w:val="000000"/>
      </w:rPr>
    </w:pPr>
    <w:r>
      <w:rPr>
        <w:color w:val="000000"/>
      </w:rPr>
      <w:pict w14:anchorId="45618E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5" type="#_x0000_t136" style="position:absolute;margin-left:0;margin-top:0;width:610.5pt;height:68.8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571BC" w14:textId="77777777" w:rsidR="006F487A" w:rsidRDefault="00000000">
    <w:pPr>
      <w:pBdr>
        <w:top w:val="nil"/>
        <w:left w:val="nil"/>
        <w:bottom w:val="nil"/>
        <w:right w:val="nil"/>
        <w:between w:val="nil"/>
      </w:pBdr>
      <w:tabs>
        <w:tab w:val="center" w:pos="4680"/>
        <w:tab w:val="right" w:pos="9360"/>
      </w:tabs>
      <w:rPr>
        <w:color w:val="000000"/>
      </w:rPr>
    </w:pPr>
    <w:r>
      <w:rPr>
        <w:color w:val="000000"/>
      </w:rPr>
      <w:pict w14:anchorId="4AB35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7" type="#_x0000_t136" style="position:absolute;margin-left:0;margin-top:0;width:610.5pt;height:68.8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5CCD1" w14:textId="77777777" w:rsidR="006F487A" w:rsidRDefault="00000000">
    <w:pPr>
      <w:pBdr>
        <w:top w:val="nil"/>
        <w:left w:val="nil"/>
        <w:bottom w:val="nil"/>
        <w:right w:val="nil"/>
        <w:between w:val="nil"/>
      </w:pBdr>
      <w:tabs>
        <w:tab w:val="center" w:pos="4680"/>
        <w:tab w:val="right" w:pos="9360"/>
      </w:tabs>
      <w:rPr>
        <w:color w:val="000000"/>
      </w:rPr>
    </w:pPr>
    <w:r>
      <w:rPr>
        <w:color w:val="000000"/>
      </w:rPr>
      <w:pict w14:anchorId="5D17F8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6" type="#_x0000_t136" style="position:absolute;margin-left:0;margin-top:0;width:610.5pt;height:68.8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6D91659"/>
    <w:multiLevelType w:val="multilevel"/>
    <w:tmpl w:val="03B8FE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53130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87A"/>
    <w:rsid w:val="006F487A"/>
    <w:rsid w:val="008275A8"/>
    <w:rsid w:val="008F0530"/>
    <w:rsid w:val="00CF4B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AE516F"/>
  <w15:docId w15:val="{18544B6B-2040-4723-9373-6E7DFA0E8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16"/>
        <w:szCs w:val="16"/>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88/0957-4484/18/22/225103"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3390/microorganisms1107164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oi.org/10.1016/j.jciso.2024.100125"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CnlMSZ28hNaLWJdL7fZ2crFyOA==">CgMxLjAyDmguODRlYmxlYTZ3ajV3Mg5oLmN1czloODlkNThrczIOaC52cGVudTBoazdhcXEyDmgucXowdWJ2aGN5NW9hMg5oLng4NGlhcHAxdjE4MDIOaC52bjY5NDVjejViMHgyDmgudGRoMHZ2YzJqam53OAByITFVVXY5S1RSWkRSMTI3NERRWEF2U25QODRBNTVsM2tKQQ==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2837</Words>
  <Characters>16172</Characters>
  <Application>Microsoft Office Word</Application>
  <DocSecurity>0</DocSecurity>
  <Lines>134</Lines>
  <Paragraphs>37</Paragraphs>
  <ScaleCrop>false</ScaleCrop>
  <Company/>
  <LinksUpToDate>false</LinksUpToDate>
  <CharactersWithSpaces>18972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 Acc 101</cp:lastModifiedBy>
  <cp:revision>2</cp:revision>
  <dcterms:created xsi:type="dcterms:W3CDTF">2026-04-11T04:54:00Z</dcterms:created>
  <dcterms:modified xsi:type="dcterms:W3CDTF">2026-04-11T05:01:00Z</dcterms:modified>
</cp:coreProperties>
</file>