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25D6" w14:textId="77777777" w:rsidR="00232797" w:rsidRDefault="00232797" w:rsidP="007B72D9">
      <w:pPr>
        <w:jc w:val="center"/>
        <w:rPr>
          <w:rFonts w:ascii="Arial" w:hAnsi="Arial" w:cs="Arial"/>
          <w:b/>
          <w:bCs/>
          <w:sz w:val="36"/>
          <w:szCs w:val="36"/>
          <w:lang w:val="en-GB"/>
        </w:rPr>
      </w:pPr>
      <w:r w:rsidRPr="00232797">
        <w:rPr>
          <w:rFonts w:ascii="Arial" w:hAnsi="Arial" w:cs="Arial"/>
          <w:b/>
          <w:bCs/>
          <w:sz w:val="36"/>
          <w:szCs w:val="36"/>
          <w:lang w:val="en-GB"/>
        </w:rPr>
        <w:t>Original Research Article</w:t>
      </w:r>
    </w:p>
    <w:p w14:paraId="608975DC" w14:textId="77777777" w:rsidR="00FE5FD7" w:rsidRDefault="00FE5FD7" w:rsidP="007B72D9">
      <w:pPr>
        <w:jc w:val="center"/>
        <w:rPr>
          <w:rFonts w:ascii="Arial" w:hAnsi="Arial" w:cs="Arial"/>
          <w:b/>
          <w:bCs/>
          <w:sz w:val="36"/>
          <w:szCs w:val="36"/>
          <w:lang w:val="en-GB"/>
        </w:rPr>
      </w:pPr>
    </w:p>
    <w:p w14:paraId="2874C980" w14:textId="77777777" w:rsidR="00A258C3" w:rsidRPr="0071400F" w:rsidRDefault="00A258C3" w:rsidP="00441B6F">
      <w:pPr>
        <w:pStyle w:val="Author"/>
        <w:spacing w:line="240" w:lineRule="auto"/>
        <w:jc w:val="both"/>
        <w:rPr>
          <w:rFonts w:ascii="Arial" w:hAnsi="Arial" w:cs="Arial"/>
          <w:szCs w:val="24"/>
          <w:lang w:val="en-GB"/>
        </w:rPr>
      </w:pPr>
    </w:p>
    <w:p w14:paraId="1F156D14" w14:textId="1391C4CA" w:rsidR="00C64BC6" w:rsidRPr="00531650" w:rsidRDefault="00C64BC6" w:rsidP="00531650">
      <w:pPr>
        <w:jc w:val="center"/>
        <w:rPr>
          <w:rFonts w:ascii="Arial" w:hAnsi="Arial" w:cs="Arial"/>
          <w:b/>
          <w:bCs/>
          <w:sz w:val="36"/>
          <w:szCs w:val="36"/>
          <w:lang w:val="en-GB"/>
        </w:rPr>
      </w:pPr>
      <w:r w:rsidRPr="00531650">
        <w:rPr>
          <w:rFonts w:ascii="Arial" w:hAnsi="Arial" w:cs="Arial"/>
          <w:b/>
          <w:bCs/>
          <w:sz w:val="36"/>
          <w:szCs w:val="36"/>
          <w:lang w:val="en-GB"/>
        </w:rPr>
        <w:t xml:space="preserve">Impact of empirical antibiotic therapy on the carriage and acquisition of multidrug-resistant Enterobacteriaceae in </w:t>
      </w:r>
      <w:proofErr w:type="spellStart"/>
      <w:r w:rsidR="00531650" w:rsidRPr="00531650">
        <w:rPr>
          <w:rFonts w:ascii="Arial" w:hAnsi="Arial" w:cs="Arial"/>
          <w:b/>
          <w:bCs/>
          <w:sz w:val="36"/>
          <w:szCs w:val="36"/>
          <w:lang w:val="en-GB"/>
        </w:rPr>
        <w:t>P</w:t>
      </w:r>
      <w:r w:rsidRPr="00531650">
        <w:rPr>
          <w:rFonts w:ascii="Arial" w:hAnsi="Arial" w:cs="Arial"/>
          <w:b/>
          <w:bCs/>
          <w:sz w:val="36"/>
          <w:szCs w:val="36"/>
          <w:lang w:val="en-GB"/>
        </w:rPr>
        <w:t>aeditric</w:t>
      </w:r>
      <w:proofErr w:type="spellEnd"/>
      <w:r w:rsidRPr="00531650">
        <w:rPr>
          <w:rFonts w:ascii="Arial" w:hAnsi="Arial" w:cs="Arial"/>
          <w:b/>
          <w:bCs/>
          <w:sz w:val="36"/>
          <w:szCs w:val="36"/>
          <w:lang w:val="en-GB"/>
        </w:rPr>
        <w:t xml:space="preserve"> department of Sylvanus Olympio Teaching Hospital, Lomé (Togo), 2023</w:t>
      </w:r>
    </w:p>
    <w:p w14:paraId="45613295" w14:textId="14065662" w:rsidR="00C64BC6" w:rsidRPr="00160282" w:rsidRDefault="00C64BC6" w:rsidP="00C64BC6">
      <w:pPr>
        <w:rPr>
          <w:lang w:val="en-GB"/>
        </w:rPr>
      </w:pPr>
    </w:p>
    <w:p w14:paraId="4F03F3A8" w14:textId="77777777" w:rsidR="00790ADA" w:rsidRPr="00C64BC6" w:rsidRDefault="00790ADA" w:rsidP="00441B6F">
      <w:pPr>
        <w:pStyle w:val="Affiliation"/>
        <w:spacing w:after="0" w:line="240" w:lineRule="auto"/>
        <w:jc w:val="both"/>
        <w:rPr>
          <w:rFonts w:ascii="Arial" w:hAnsi="Arial" w:cs="Arial"/>
          <w:lang w:val="en-GB"/>
        </w:rPr>
      </w:pPr>
    </w:p>
    <w:p w14:paraId="3FE5F083" w14:textId="77777777" w:rsidR="00C64BC6" w:rsidRPr="0071400F" w:rsidRDefault="00C64BC6" w:rsidP="00441B6F">
      <w:pPr>
        <w:pStyle w:val="Affiliation"/>
        <w:spacing w:after="0" w:line="240" w:lineRule="auto"/>
        <w:jc w:val="both"/>
        <w:rPr>
          <w:rFonts w:ascii="Arial" w:hAnsi="Arial" w:cs="Arial"/>
          <w:lang w:val="en"/>
        </w:rPr>
      </w:pPr>
    </w:p>
    <w:p w14:paraId="65A7452D" w14:textId="77777777" w:rsidR="002C57D2" w:rsidRPr="00FB3A86" w:rsidRDefault="002C57D2" w:rsidP="00441B6F">
      <w:pPr>
        <w:pStyle w:val="Affiliation"/>
        <w:spacing w:after="0" w:line="240" w:lineRule="auto"/>
        <w:jc w:val="both"/>
        <w:rPr>
          <w:rFonts w:ascii="Arial" w:hAnsi="Arial" w:cs="Arial"/>
        </w:rPr>
      </w:pPr>
    </w:p>
    <w:p w14:paraId="5D15C4AF" w14:textId="42AE34C2" w:rsidR="00B01FCD" w:rsidRPr="00FB3A86" w:rsidRDefault="007B72D9" w:rsidP="00441B6F">
      <w:pPr>
        <w:pStyle w:val="Copyright"/>
        <w:spacing w:after="0" w:line="240" w:lineRule="auto"/>
        <w:jc w:val="both"/>
        <w:rPr>
          <w:rFonts w:ascii="Arial" w:hAnsi="Arial" w:cs="Arial"/>
        </w:rPr>
        <w:sectPr w:rsidR="00B01FCD" w:rsidRPr="00FB3A86" w:rsidSect="00E530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06DBB2" wp14:editId="1B7DC2FD">
                <wp:extent cx="5303520" cy="635"/>
                <wp:effectExtent l="13335" t="15240" r="17145" b="13335"/>
                <wp:docPr id="17175348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93ED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2758A6" w14:textId="35C868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80A1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66458A" w14:textId="77777777" w:rsidTr="001E44FE">
        <w:tc>
          <w:tcPr>
            <w:tcW w:w="9576" w:type="dxa"/>
            <w:shd w:val="clear" w:color="auto" w:fill="F2F2F2"/>
          </w:tcPr>
          <w:p w14:paraId="111F0150" w14:textId="77777777" w:rsidR="00E3114E" w:rsidRDefault="00E3114E" w:rsidP="00441B6F">
            <w:pPr>
              <w:pStyle w:val="Body"/>
              <w:spacing w:after="0"/>
              <w:rPr>
                <w:rFonts w:ascii="Arial" w:eastAsia="Calibri" w:hAnsi="Arial" w:cs="Arial"/>
                <w:b/>
                <w:szCs w:val="22"/>
              </w:rPr>
            </w:pPr>
          </w:p>
          <w:p w14:paraId="44FD3D30" w14:textId="06F5C2DE" w:rsidR="006F6787" w:rsidRPr="009D2F2A" w:rsidRDefault="00BA1B01" w:rsidP="006F6787">
            <w:pPr>
              <w:jc w:val="both"/>
              <w:rPr>
                <w:rFonts w:ascii="Arial" w:hAnsi="Arial" w:cs="Arial"/>
                <w:lang w:val="en-GB"/>
              </w:rPr>
            </w:pPr>
            <w:r w:rsidRPr="009D2F2A">
              <w:rPr>
                <w:rFonts w:ascii="Arial" w:eastAsia="Calibri" w:hAnsi="Arial" w:cs="Arial"/>
                <w:b/>
              </w:rPr>
              <w:t xml:space="preserve">Aims: </w:t>
            </w:r>
            <w:r w:rsidR="006F6787" w:rsidRPr="009D2F2A">
              <w:rPr>
                <w:rFonts w:ascii="Arial" w:eastAsia="Calibri" w:hAnsi="Arial" w:cs="Arial"/>
                <w:bCs/>
              </w:rPr>
              <w:t>T</w:t>
            </w:r>
            <w:r w:rsidR="006F6787" w:rsidRPr="009D2F2A">
              <w:rPr>
                <w:rFonts w:ascii="Arial" w:hAnsi="Arial" w:cs="Arial"/>
                <w:lang w:val="en-GB"/>
              </w:rPr>
              <w:t>o estimate the prevalence of digestive carriage of multidrug-resistant Enterobacteriaceae (MDR-E) upon admission and after antibiotic treatment among children hospitalized in the p</w:t>
            </w:r>
            <w:r w:rsidR="00BF1885" w:rsidRPr="009D2F2A">
              <w:rPr>
                <w:rFonts w:ascii="Arial" w:hAnsi="Arial" w:cs="Arial"/>
                <w:lang w:val="en-GB"/>
              </w:rPr>
              <w:t>a</w:t>
            </w:r>
            <w:r w:rsidR="006F6787" w:rsidRPr="009D2F2A">
              <w:rPr>
                <w:rFonts w:ascii="Arial" w:hAnsi="Arial" w:cs="Arial"/>
                <w:lang w:val="en-GB"/>
              </w:rPr>
              <w:t>ediatric department of the Sylvanus Olympio Teaching Hospital, Lomé, Togo, in 2023.</w:t>
            </w:r>
          </w:p>
          <w:p w14:paraId="39E82B86" w14:textId="422121B2" w:rsidR="006F6787" w:rsidRPr="009D2F2A" w:rsidRDefault="006F6787" w:rsidP="006F6787">
            <w:pPr>
              <w:pStyle w:val="Body"/>
              <w:spacing w:after="0"/>
              <w:rPr>
                <w:rFonts w:ascii="Arial" w:eastAsia="Calibri" w:hAnsi="Arial" w:cs="Arial"/>
              </w:rPr>
            </w:pPr>
            <w:r w:rsidRPr="009D2F2A">
              <w:rPr>
                <w:rFonts w:ascii="Arial" w:eastAsia="Calibri" w:hAnsi="Arial" w:cs="Arial"/>
              </w:rPr>
              <w:t>.</w:t>
            </w:r>
          </w:p>
          <w:p w14:paraId="08FAF424" w14:textId="77777777" w:rsidR="006F6787" w:rsidRPr="009D2F2A" w:rsidRDefault="00BA1B01" w:rsidP="00441B6F">
            <w:pPr>
              <w:pStyle w:val="Body"/>
              <w:spacing w:after="0"/>
              <w:rPr>
                <w:rFonts w:ascii="Arial" w:hAnsi="Arial" w:cs="Arial"/>
                <w:lang w:val="en-GB"/>
              </w:rPr>
            </w:pPr>
            <w:r w:rsidRPr="009D2F2A">
              <w:rPr>
                <w:rFonts w:ascii="Arial" w:eastAsia="Calibri" w:hAnsi="Arial" w:cs="Arial"/>
                <w:b/>
              </w:rPr>
              <w:t>Study design:</w:t>
            </w:r>
            <w:r w:rsidRPr="009D2F2A">
              <w:rPr>
                <w:rFonts w:ascii="Arial" w:eastAsia="Calibri" w:hAnsi="Arial" w:cs="Arial"/>
              </w:rPr>
              <w:t xml:space="preserve">  </w:t>
            </w:r>
            <w:r w:rsidR="006F6787" w:rsidRPr="009D2F2A">
              <w:rPr>
                <w:rFonts w:ascii="Arial" w:hAnsi="Arial" w:cs="Arial"/>
                <w:lang w:val="en-GB"/>
              </w:rPr>
              <w:t xml:space="preserve">This was a cross-sectional before-and-after study involving children who received empirical antibiotic therapy. </w:t>
            </w:r>
          </w:p>
          <w:p w14:paraId="3A988E10" w14:textId="61EAC789" w:rsidR="00BA1B01" w:rsidRPr="009D2F2A" w:rsidRDefault="00BA1B01" w:rsidP="00441B6F">
            <w:pPr>
              <w:pStyle w:val="Body"/>
              <w:spacing w:after="0"/>
              <w:rPr>
                <w:rFonts w:ascii="Arial" w:eastAsia="Calibri" w:hAnsi="Arial" w:cs="Arial"/>
              </w:rPr>
            </w:pPr>
            <w:r w:rsidRPr="009D2F2A">
              <w:rPr>
                <w:rFonts w:ascii="Arial" w:eastAsia="Calibri" w:hAnsi="Arial" w:cs="Arial"/>
                <w:b/>
              </w:rPr>
              <w:t>Place and Duration of Study:</w:t>
            </w:r>
            <w:r w:rsidRPr="009D2F2A">
              <w:rPr>
                <w:rFonts w:ascii="Arial" w:eastAsia="Calibri" w:hAnsi="Arial" w:cs="Arial"/>
              </w:rPr>
              <w:t xml:space="preserve"> </w:t>
            </w:r>
            <w:r w:rsidR="000E2E87" w:rsidRPr="009D2F2A">
              <w:rPr>
                <w:rFonts w:ascii="Arial" w:eastAsia="Calibri" w:hAnsi="Arial" w:cs="Arial"/>
              </w:rPr>
              <w:t>I</w:t>
            </w:r>
            <w:proofErr w:type="spellStart"/>
            <w:r w:rsidR="000E2E87" w:rsidRPr="009D2F2A">
              <w:rPr>
                <w:rFonts w:ascii="Arial" w:hAnsi="Arial" w:cs="Arial"/>
                <w:lang w:val="en-GB"/>
              </w:rPr>
              <w:t>ntensive</w:t>
            </w:r>
            <w:proofErr w:type="spellEnd"/>
            <w:r w:rsidR="000E2E87" w:rsidRPr="009D2F2A">
              <w:rPr>
                <w:rFonts w:ascii="Arial" w:hAnsi="Arial" w:cs="Arial"/>
                <w:lang w:val="en-GB"/>
              </w:rPr>
              <w:t xml:space="preserve"> care units of the p</w:t>
            </w:r>
            <w:r w:rsidR="00BF1885" w:rsidRPr="009D2F2A">
              <w:rPr>
                <w:rFonts w:ascii="Arial" w:hAnsi="Arial" w:cs="Arial"/>
                <w:lang w:val="en-GB"/>
              </w:rPr>
              <w:t>a</w:t>
            </w:r>
            <w:r w:rsidR="000E2E87" w:rsidRPr="009D2F2A">
              <w:rPr>
                <w:rFonts w:ascii="Arial" w:hAnsi="Arial" w:cs="Arial"/>
                <w:lang w:val="en-GB"/>
              </w:rPr>
              <w:t>ediatric department,</w:t>
            </w:r>
            <w:r w:rsidR="00BF1885" w:rsidRPr="009D2F2A">
              <w:rPr>
                <w:rFonts w:ascii="Arial" w:hAnsi="Arial" w:cs="Arial"/>
                <w:lang w:val="en-GB"/>
              </w:rPr>
              <w:t xml:space="preserve"> </w:t>
            </w:r>
            <w:r w:rsidR="000E2E87" w:rsidRPr="009D2F2A">
              <w:rPr>
                <w:rFonts w:ascii="Arial" w:hAnsi="Arial" w:cs="Arial"/>
                <w:lang w:val="en-GB"/>
              </w:rPr>
              <w:t>and microbiology laboratory of the of the Sylvanus Olympio Teaching Hospital in Lomé (Togo). The study took place from June 6 to September 11, 2023</w:t>
            </w:r>
            <w:r w:rsidRPr="009D2F2A">
              <w:rPr>
                <w:rFonts w:ascii="Arial" w:eastAsia="Calibri" w:hAnsi="Arial" w:cs="Arial"/>
              </w:rPr>
              <w:t>.</w:t>
            </w:r>
          </w:p>
          <w:p w14:paraId="6A14B926" w14:textId="6F4BCAE3" w:rsidR="00AE2A49" w:rsidRPr="009D2F2A" w:rsidRDefault="00BA1B01" w:rsidP="00441B6F">
            <w:pPr>
              <w:pStyle w:val="Body"/>
              <w:spacing w:after="0"/>
              <w:rPr>
                <w:rFonts w:ascii="Arial" w:eastAsia="Calibri" w:hAnsi="Arial" w:cs="Arial"/>
              </w:rPr>
            </w:pPr>
            <w:r w:rsidRPr="009D2F2A">
              <w:rPr>
                <w:rFonts w:ascii="Arial" w:eastAsia="Calibri" w:hAnsi="Arial" w:cs="Arial"/>
                <w:b/>
                <w:bCs/>
              </w:rPr>
              <w:t>Methodology:</w:t>
            </w:r>
            <w:r w:rsidRPr="009D2F2A">
              <w:rPr>
                <w:rFonts w:ascii="Arial" w:eastAsia="Calibri" w:hAnsi="Arial" w:cs="Arial"/>
              </w:rPr>
              <w:t xml:space="preserve"> </w:t>
            </w:r>
            <w:r w:rsidR="001548AA">
              <w:rPr>
                <w:lang w:val="en-IN"/>
              </w:rPr>
              <w:t>203 rectal swabs were collected</w:t>
            </w:r>
            <w:r w:rsidR="001548AA" w:rsidRPr="009D2F2A">
              <w:rPr>
                <w:rFonts w:ascii="Arial" w:eastAsia="Calibri" w:hAnsi="Arial" w:cs="Arial"/>
              </w:rPr>
              <w:t xml:space="preserve"> </w:t>
            </w:r>
            <w:r w:rsidR="00781E84" w:rsidRPr="009D2F2A">
              <w:rPr>
                <w:rFonts w:ascii="Arial" w:hAnsi="Arial" w:cs="Arial"/>
                <w:lang w:val="en-GB"/>
              </w:rPr>
              <w:t>at admission</w:t>
            </w:r>
            <w:r w:rsidR="001548AA">
              <w:rPr>
                <w:rFonts w:ascii="Arial" w:hAnsi="Arial" w:cs="Arial"/>
                <w:lang w:val="en-GB"/>
              </w:rPr>
              <w:t>, and</w:t>
            </w:r>
            <w:r w:rsidR="00AE2A49" w:rsidRPr="009D2F2A">
              <w:rPr>
                <w:rFonts w:ascii="Arial" w:hAnsi="Arial" w:cs="Arial"/>
                <w:lang w:val="en-GB"/>
              </w:rPr>
              <w:t xml:space="preserve"> </w:t>
            </w:r>
            <w:r w:rsidR="00781E84" w:rsidRPr="009D2F2A">
              <w:rPr>
                <w:rFonts w:ascii="Arial" w:hAnsi="Arial" w:cs="Arial"/>
                <w:lang w:val="en-GB"/>
              </w:rPr>
              <w:t>132 rectal swab</w:t>
            </w:r>
            <w:r w:rsidR="001548AA">
              <w:rPr>
                <w:rFonts w:ascii="Arial" w:hAnsi="Arial" w:cs="Arial"/>
                <w:lang w:val="en-GB"/>
              </w:rPr>
              <w:t xml:space="preserve">s </w:t>
            </w:r>
            <w:r w:rsidR="00AE2A49" w:rsidRPr="009D2F2A">
              <w:rPr>
                <w:rFonts w:ascii="Arial" w:hAnsi="Arial" w:cs="Arial"/>
                <w:lang w:val="en-GB"/>
              </w:rPr>
              <w:t xml:space="preserve">after empirical antibiotic therapy at discharge in </w:t>
            </w:r>
            <w:r w:rsidR="001548AA" w:rsidRPr="009D2F2A">
              <w:rPr>
                <w:rFonts w:ascii="Arial" w:hAnsi="Arial" w:cs="Arial"/>
                <w:lang w:val="en-GB"/>
              </w:rPr>
              <w:t>hospitalized</w:t>
            </w:r>
            <w:r w:rsidR="001548AA" w:rsidRPr="009D2F2A">
              <w:rPr>
                <w:rFonts w:ascii="Arial" w:hAnsi="Arial" w:cs="Arial"/>
                <w:lang w:val="en-GB"/>
              </w:rPr>
              <w:t xml:space="preserve"> </w:t>
            </w:r>
            <w:r w:rsidR="00AE2A49" w:rsidRPr="009D2F2A">
              <w:rPr>
                <w:rFonts w:ascii="Arial" w:hAnsi="Arial" w:cs="Arial"/>
                <w:lang w:val="en-GB"/>
              </w:rPr>
              <w:t>children</w:t>
            </w:r>
            <w:r w:rsidR="00781E84" w:rsidRPr="009D2F2A">
              <w:rPr>
                <w:rFonts w:ascii="Arial" w:hAnsi="Arial" w:cs="Arial"/>
                <w:lang w:val="en-GB"/>
              </w:rPr>
              <w:t>.</w:t>
            </w:r>
            <w:r w:rsidR="00AE2A49" w:rsidRPr="009D2F2A">
              <w:rPr>
                <w:rFonts w:ascii="Arial" w:eastAsia="Calibri" w:hAnsi="Arial" w:cs="Arial"/>
              </w:rPr>
              <w:t xml:space="preserve"> </w:t>
            </w:r>
          </w:p>
          <w:p w14:paraId="098EC47F" w14:textId="1EB37586" w:rsidR="00BA1B01" w:rsidRPr="009D2F2A" w:rsidRDefault="00F91ADD" w:rsidP="00441B6F">
            <w:pPr>
              <w:pStyle w:val="Body"/>
              <w:spacing w:after="0"/>
              <w:rPr>
                <w:rFonts w:ascii="Arial" w:eastAsia="Calibri" w:hAnsi="Arial" w:cs="Arial"/>
                <w:highlight w:val="yellow"/>
              </w:rPr>
            </w:pPr>
            <w:r w:rsidRPr="009D2F2A">
              <w:rPr>
                <w:rFonts w:ascii="Arial" w:hAnsi="Arial" w:cs="Arial"/>
                <w:bCs/>
                <w:lang w:val="en-GB"/>
              </w:rPr>
              <w:t>Screening for resistance was performed using media made selective through the addition of antibiotics. MacConkey medium (Oxoid) was made selective by the addition of cefotaxime (CTX) at a ratio of 20 ml of MacConkey medium+ 20 µl/ml of CTX for ESBL screening, and by adding ertapenem</w:t>
            </w:r>
            <w:r w:rsidRPr="009D2F2A">
              <w:rPr>
                <w:rFonts w:ascii="Arial" w:hAnsi="Arial" w:cs="Arial"/>
                <w:b/>
                <w:bCs/>
                <w:lang w:val="en-GB"/>
              </w:rPr>
              <w:t xml:space="preserve"> </w:t>
            </w:r>
            <w:r w:rsidRPr="009D2F2A">
              <w:rPr>
                <w:rFonts w:ascii="Arial" w:hAnsi="Arial" w:cs="Arial"/>
                <w:bCs/>
                <w:lang w:val="en-GB"/>
              </w:rPr>
              <w:t>(ERT) at a ratio of 20 ml of MacConkey medium +0.5 µl/ml of ERT to screen for carbapenem-resistant strains.</w:t>
            </w:r>
          </w:p>
          <w:p w14:paraId="186E7786" w14:textId="09F3EFB3" w:rsidR="00233872" w:rsidRPr="00BB4305" w:rsidRDefault="00BA1B01" w:rsidP="00233872">
            <w:pPr>
              <w:jc w:val="both"/>
              <w:rPr>
                <w:rFonts w:ascii="Arial" w:hAnsi="Arial" w:cs="Arial"/>
                <w:lang w:val="en-GB"/>
              </w:rPr>
            </w:pPr>
            <w:r w:rsidRPr="009D2F2A">
              <w:rPr>
                <w:rFonts w:ascii="Arial" w:eastAsia="Calibri" w:hAnsi="Arial" w:cs="Arial"/>
                <w:b/>
                <w:bCs/>
              </w:rPr>
              <w:t>Results:</w:t>
            </w:r>
            <w:r w:rsidR="009230AE" w:rsidRPr="009D2F2A">
              <w:rPr>
                <w:rFonts w:ascii="Arial" w:eastAsia="Calibri" w:hAnsi="Arial" w:cs="Arial"/>
                <w:b/>
                <w:bCs/>
              </w:rPr>
              <w:t xml:space="preserve"> </w:t>
            </w:r>
            <w:r w:rsidR="005439B2">
              <w:rPr>
                <w:rFonts w:ascii="Arial" w:hAnsi="Arial" w:cs="Arial"/>
                <w:bCs/>
                <w:lang w:val="en-GB"/>
              </w:rPr>
              <w:t xml:space="preserve">Rectal swab </w:t>
            </w:r>
            <w:r w:rsidR="00233872" w:rsidRPr="009D2F2A">
              <w:rPr>
                <w:rFonts w:ascii="Arial" w:hAnsi="Arial" w:cs="Arial"/>
                <w:bCs/>
                <w:lang w:val="en-GB"/>
              </w:rPr>
              <w:t xml:space="preserve">at admission revealed a carriage rate of 52.7% for Extended-Spectrum Beta-Lactamase-producing Enterobacteriaceae (ESBL-E) and 15.3% for Carbapenem-Resistant Enterobacteriaceae (CRE). The most frequently isolated strain was Escherichia coli in 61.2% of cases. </w:t>
            </w:r>
            <w:r w:rsidR="005439B2">
              <w:rPr>
                <w:rFonts w:ascii="Arial" w:hAnsi="Arial" w:cs="Arial"/>
                <w:bCs/>
                <w:lang w:val="en-GB"/>
              </w:rPr>
              <w:t>Rectal swab</w:t>
            </w:r>
            <w:r w:rsidR="00233872" w:rsidRPr="009D2F2A">
              <w:rPr>
                <w:rFonts w:ascii="Arial" w:hAnsi="Arial" w:cs="Arial"/>
                <w:bCs/>
                <w:lang w:val="en-GB"/>
              </w:rPr>
              <w:t xml:space="preserve"> at discharge isolated 84.1% of ESBL strains and 48.5% of carbapenem-resistant strains. The overall carriage rate of MDR-E (multidrug-resistant Enterobacteriaceae) was 53.2% at admission and 84.8% at discharge. An MDR</w:t>
            </w:r>
            <w:r w:rsidR="00233872" w:rsidRPr="00BB4305">
              <w:rPr>
                <w:rFonts w:ascii="Arial" w:hAnsi="Arial" w:cs="Arial"/>
                <w:bCs/>
                <w:lang w:val="en-GB"/>
              </w:rPr>
              <w:t>-E acquisition rate of 74.2% was observed. The acquisition of MDR-E strains was significantly associated with the length of hospital stay (p=0.003) and age (p=0.0001).</w:t>
            </w:r>
          </w:p>
          <w:p w14:paraId="5052DF08" w14:textId="012D0960" w:rsidR="007646A1" w:rsidRPr="00BA1B01" w:rsidRDefault="00BA1B01" w:rsidP="007646A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33872" w:rsidRPr="00BB4305">
              <w:rPr>
                <w:rFonts w:ascii="Arial" w:hAnsi="Arial" w:cs="Arial"/>
                <w:lang w:val="en-GB"/>
              </w:rPr>
              <w:t>The f</w:t>
            </w:r>
            <w:r w:rsidR="001A2105">
              <w:rPr>
                <w:rFonts w:ascii="Arial" w:hAnsi="Arial" w:cs="Arial"/>
                <w:lang w:val="en-GB"/>
              </w:rPr>
              <w:t>a</w:t>
            </w:r>
            <w:r w:rsidR="00233872" w:rsidRPr="00BB4305">
              <w:rPr>
                <w:rFonts w:ascii="Arial" w:hAnsi="Arial" w:cs="Arial"/>
                <w:lang w:val="en-GB"/>
              </w:rPr>
              <w:t>ecal carriage rate of multidrug-resistant Enterobacteriaceae strains in hospitalized children in this study is very high. It is therefore urgent to take measures to raise awareness about the spread of multidrug-resistant strains among children in Togo.</w:t>
            </w:r>
          </w:p>
          <w:p w14:paraId="1643216E" w14:textId="4864CB71" w:rsidR="00505F06" w:rsidRPr="00BA1B01" w:rsidRDefault="00505F06" w:rsidP="00441B6F">
            <w:pPr>
              <w:pStyle w:val="Body"/>
              <w:spacing w:after="0"/>
              <w:rPr>
                <w:rFonts w:ascii="Arial" w:eastAsia="Calibri" w:hAnsi="Arial" w:cs="Arial"/>
                <w:szCs w:val="22"/>
              </w:rPr>
            </w:pPr>
          </w:p>
        </w:tc>
      </w:tr>
    </w:tbl>
    <w:p w14:paraId="76868B08" w14:textId="77777777" w:rsidR="00636EB2" w:rsidRDefault="00636EB2" w:rsidP="00441B6F">
      <w:pPr>
        <w:pStyle w:val="Body"/>
        <w:spacing w:after="0"/>
        <w:rPr>
          <w:rFonts w:ascii="Arial" w:hAnsi="Arial" w:cs="Arial"/>
          <w:i/>
        </w:rPr>
      </w:pPr>
    </w:p>
    <w:p w14:paraId="2A845298" w14:textId="77777777" w:rsidR="00C662A0" w:rsidRPr="00BB4305" w:rsidRDefault="00A24E7E" w:rsidP="00C662A0">
      <w:pPr>
        <w:spacing w:line="360" w:lineRule="auto"/>
        <w:jc w:val="both"/>
        <w:rPr>
          <w:rFonts w:ascii="Arial" w:hAnsi="Arial" w:cs="Arial"/>
          <w:lang w:val="en-GB"/>
        </w:rPr>
      </w:pPr>
      <w:r>
        <w:rPr>
          <w:rFonts w:ascii="Arial" w:hAnsi="Arial" w:cs="Arial"/>
          <w:i/>
        </w:rPr>
        <w:lastRenderedPageBreak/>
        <w:t xml:space="preserve">Keywords: </w:t>
      </w:r>
      <w:r w:rsidR="00C662A0" w:rsidRPr="00C662A0">
        <w:rPr>
          <w:rFonts w:ascii="Arial" w:hAnsi="Arial" w:cs="Arial"/>
          <w:i/>
        </w:rPr>
        <w:t>Carriage, multidrug-resistant Enterobacteriaceae (MDR-E), ESBL, CRE, pediatrics, Lomé, Togo</w:t>
      </w:r>
    </w:p>
    <w:p w14:paraId="2290B230" w14:textId="316155EE" w:rsidR="00A24E7E" w:rsidRPr="00C662A0" w:rsidRDefault="00A24E7E" w:rsidP="00441B6F">
      <w:pPr>
        <w:pStyle w:val="Body"/>
        <w:spacing w:after="0"/>
        <w:rPr>
          <w:rFonts w:ascii="Arial" w:hAnsi="Arial" w:cs="Arial"/>
          <w:i/>
          <w:lang w:val="en-GB"/>
        </w:rPr>
      </w:pPr>
    </w:p>
    <w:p w14:paraId="138BABD6" w14:textId="77777777" w:rsidR="0024282C" w:rsidRDefault="0024282C" w:rsidP="00441B6F">
      <w:pPr>
        <w:pStyle w:val="Body"/>
        <w:spacing w:after="0"/>
        <w:rPr>
          <w:rFonts w:ascii="Arial" w:hAnsi="Arial" w:cs="Arial"/>
          <w:i/>
          <w:sz w:val="18"/>
        </w:rPr>
      </w:pPr>
    </w:p>
    <w:p w14:paraId="704BED22" w14:textId="77777777" w:rsidR="00505F06" w:rsidRPr="00A24E7E" w:rsidRDefault="00505F06" w:rsidP="00441B6F">
      <w:pPr>
        <w:pStyle w:val="Body"/>
        <w:spacing w:after="0"/>
        <w:rPr>
          <w:rFonts w:ascii="Arial" w:hAnsi="Arial" w:cs="Arial"/>
          <w:i/>
        </w:rPr>
      </w:pPr>
    </w:p>
    <w:p w14:paraId="2BD51AA1" w14:textId="2B1358E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6B4DE8" w14:textId="77777777" w:rsidR="00790ADA" w:rsidRPr="00FB3A86" w:rsidRDefault="00790ADA" w:rsidP="00441B6F">
      <w:pPr>
        <w:pStyle w:val="AbstHead"/>
        <w:spacing w:after="0"/>
        <w:jc w:val="both"/>
        <w:rPr>
          <w:rFonts w:ascii="Arial" w:hAnsi="Arial" w:cs="Arial"/>
        </w:rPr>
      </w:pPr>
    </w:p>
    <w:p w14:paraId="6FD84D27" w14:textId="20E08F1C" w:rsidR="00BA4A3E" w:rsidRPr="00402F97" w:rsidRDefault="00BA4A3E" w:rsidP="00BA4A3E">
      <w:pPr>
        <w:spacing w:after="120"/>
        <w:jc w:val="both"/>
        <w:rPr>
          <w:rFonts w:ascii="Arial" w:hAnsi="Arial" w:cs="Arial"/>
          <w:highlight w:val="yellow"/>
          <w:lang w:val="en-GB"/>
        </w:rPr>
      </w:pPr>
      <w:r w:rsidRPr="00402F97">
        <w:rPr>
          <w:rFonts w:ascii="Arial" w:hAnsi="Arial" w:cs="Arial"/>
          <w:highlight w:val="yellow"/>
          <w:lang w:val="en-GB"/>
        </w:rPr>
        <w:t>The high rate of antibiotic resistance in Enterobacteriaceae now represents a major public health challenge. The World Health Organization (WHO) has declared antimicrobial resistance to be one of the top 10 greatest threats to global public health facing humanity</w:t>
      </w:r>
      <w:r w:rsidR="00B10927" w:rsidRPr="00402F97">
        <w:rPr>
          <w:rFonts w:ascii="Arial" w:hAnsi="Arial" w:cs="Arial"/>
          <w:highlight w:val="yellow"/>
          <w:lang w:val="en-GB"/>
        </w:rPr>
        <w:t xml:space="preserve"> </w:t>
      </w:r>
      <w:r w:rsidRPr="00402F97">
        <w:rPr>
          <w:rFonts w:ascii="Arial" w:hAnsi="Arial" w:cs="Arial"/>
          <w:highlight w:val="yellow"/>
          <w:lang w:val="en-GB"/>
        </w:rPr>
        <w:fldChar w:fldCharType="begin"/>
      </w:r>
      <w:r w:rsidR="005D69EE" w:rsidRPr="00402F97">
        <w:rPr>
          <w:rFonts w:ascii="Arial" w:hAnsi="Arial" w:cs="Arial"/>
          <w:highlight w:val="yellow"/>
          <w:lang w:val="en-GB"/>
        </w:rPr>
        <w:instrText xml:space="preserve"> ADDIN ZOTERO_ITEM CSL_CITATION {"citationID":"9VbnDz53","properties":{"formattedCitation":"(World Health Organization, 2025)","plainCitation":"(World Health Organization, 2025)","noteIndex":0},"citationItems":[{"id":943,"uris":["http://zotero.org/users/local/FaVS37Do/items/99WCKZYC"],"itemData":{"id":943,"type":"document","language":"Français","publisher":"World Health Organization,","title":"Analysis of antimicrobial resistance trends in the WHO African Region Insights from GLASS data, 2024 report","title-short":"WHO/AFRO:2025- 13071-52845-82259","URL":"https://pasteur.dz/images/Rapport_OMS_RAM/WHO-AFRO-2025-13071-52845-82259.pdf","author":[{"literal":"World Health Organization,"}],"accessed":{"date-parts":[["2026",1,31]]},"issued":{"date-parts":[["2025"]]}}}],"schema":"https://github.com/citation-style-language/schema/raw/master/csl-citation.json"} </w:instrText>
      </w:r>
      <w:r w:rsidRPr="00402F97">
        <w:rPr>
          <w:rFonts w:ascii="Arial" w:hAnsi="Arial" w:cs="Arial"/>
          <w:highlight w:val="yellow"/>
          <w:lang w:val="en-GB"/>
        </w:rPr>
        <w:fldChar w:fldCharType="separate"/>
      </w:r>
      <w:r w:rsidR="005D69EE" w:rsidRPr="00402F97">
        <w:rPr>
          <w:rFonts w:ascii="Arial" w:hAnsi="Arial" w:cs="Arial"/>
          <w:highlight w:val="yellow"/>
        </w:rPr>
        <w:t>(World Health Organization, 2025)</w:t>
      </w:r>
      <w:r w:rsidRPr="00402F97">
        <w:rPr>
          <w:rFonts w:ascii="Arial" w:hAnsi="Arial" w:cs="Arial"/>
          <w:highlight w:val="yellow"/>
          <w:lang w:val="en-GB"/>
        </w:rPr>
        <w:fldChar w:fldCharType="end"/>
      </w:r>
      <w:r w:rsidRPr="00402F97">
        <w:rPr>
          <w:rFonts w:ascii="Arial" w:hAnsi="Arial" w:cs="Arial"/>
          <w:highlight w:val="yellow"/>
          <w:lang w:val="en-GB"/>
        </w:rPr>
        <w:t>.</w:t>
      </w:r>
    </w:p>
    <w:p w14:paraId="3882FA79" w14:textId="2C0DEC91" w:rsidR="005D69EE" w:rsidRPr="00402F97" w:rsidRDefault="005D69EE" w:rsidP="005D69EE">
      <w:pPr>
        <w:rPr>
          <w:highlight w:val="yellow"/>
          <w:lang w:val="en-GB"/>
        </w:rPr>
      </w:pPr>
      <w:r w:rsidRPr="00402F97">
        <w:rPr>
          <w:highlight w:val="yellow"/>
          <w:lang w:val="en-GB"/>
        </w:rPr>
        <w:t xml:space="preserve">The carriage or acquisition of multidrug-resistant Enterobacteriaceae in hospital settings in general, and in paediatric settings more specifically, is of particular concern as it compromises the effectiveness of available treatments, increases the risk of serious nosocomial infections and prolongs the length of hospital stay </w:t>
      </w:r>
      <w:r w:rsidR="00402F97" w:rsidRPr="00402F97">
        <w:rPr>
          <w:highlight w:val="yellow"/>
          <w:lang w:val="en-GB"/>
        </w:rPr>
        <w:fldChar w:fldCharType="begin"/>
      </w:r>
      <w:r w:rsidR="00402F97" w:rsidRPr="00402F97">
        <w:rPr>
          <w:highlight w:val="yellow"/>
          <w:lang w:val="en-GB"/>
        </w:rPr>
        <w:instrText xml:space="preserve"> ADDIN ZOTERO_ITEM CSL_CITATION {"citationID":"vNy1TmQY","properties":{"formattedCitation":"(Vodovar et al., 2013)","plainCitation":"(Vodovar et al., 2013)","noteIndex":0},"citationItems":[{"id":200,"uris":["http://zotero.org/users/local/FaVS37Do/items/2DVEYEA6"],"itemData":{"id":200,"type":"article-journal","abstract":"Résumé\nLes bactéries multirésistantes (BMR) représentent un problème de santé publique mondial, majoré par la pression de sélection bactérienne imposée par la prescription toujours croissante d’antibiotiques. En France comme dans d’autres pays, les entérobactéries productrices de bêta-lactamases à spectre élargi (EBLSE), sont aujourd’hui les BMR majoritaires. Les EBLSE sont à l’origine d’infections potentiellement sévères et de prescriptions d’antibiotiques à large spectre bactérien. L’épidémie actuelle est différente de celle de Staphylococcus aureus résistant à la méticilline du début des années 1980. En effet, leur émergence est aussi bien hospitalière que communautaire. De plus, les mesures « habituelles » d’hygiène ne permettent pas de répondre à la propagation des EBLSE, leur prévalence étant en constante augmentation. L’incapacité actuelle à endiguer cette nouvelle épidémie tient à plusieurs raisons : le vaste réservoir d’EBLSE (communautaires et nosocomiales), le non-respect strict des règles d’hygiène élémentaire et la prescription non rationnelle d’antibiotiques en ville comme à l’hôpital.\nMultidrug-resistant bacteria are a major worldwide health public concern. It results from the growing increase in antibiotic prescriptions, which are responsible for selection pressure on bacteria. In France like in other countries, enterobacteriaceae producing extended spectrum beta-lactamase (EESBL) are the predominant multidrug-resistant bacteria. EESBL may be responsible for severe infections and require prescription of broad-spectrum antibacterial agents. The current EESBL outbreak is different from methicillin-resistant Staphylococcus aureus outbreak that occurred in the early 1980. Consistently, EESBL are isolated both in hospital and community. Moreover, standard hygiene measures appear ineffective since EESBL prevalence is still increasing. The current inability to contain EESBL outbreak is due to several factors, including the existence of a wide community- and hospital-acquired tank of EESBL, failure to follow strict rules for hygiene, and the current irrational prescription of antibiotics.","container-title":"La Revue de Médecine Interne","DOI":"10.1016/j.revmed.2012.10.365","ISSN":"0248-8663","issue":"11","journalAbbreviation":"La Revue de Médecine Interne","page":"687-693","source":"ScienceDirect","title":"Entérobactéries productrices de bêta-lactamases à spectre élargi : épidémiologie, facteurs de risque et mesures de prévention","title-short":"Entérobactéries productrices de bêta-lactamases à spectre élargi","volume":"34","author":[{"family":"Vodovar","given":"D."},{"family":"Marcadé","given":"G."},{"family":"Raskine","given":"L."},{"family":"Malissin","given":"I."},{"family":"Mégarbane","given":"B."}],"issued":{"date-parts":[["2013",11,1]]}}}],"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w:t>
      </w:r>
      <w:proofErr w:type="spellStart"/>
      <w:r w:rsidR="00402F97" w:rsidRPr="00402F97">
        <w:rPr>
          <w:rFonts w:cs="Helvetica"/>
          <w:highlight w:val="yellow"/>
        </w:rPr>
        <w:t>Vodovar</w:t>
      </w:r>
      <w:proofErr w:type="spellEnd"/>
      <w:r w:rsidR="00402F97" w:rsidRPr="00402F97">
        <w:rPr>
          <w:rFonts w:cs="Helvetica"/>
          <w:highlight w:val="yellow"/>
        </w:rPr>
        <w:t xml:space="preserve"> et al., 2013)</w:t>
      </w:r>
      <w:r w:rsidR="00402F97" w:rsidRPr="00402F97">
        <w:rPr>
          <w:highlight w:val="yellow"/>
          <w:lang w:val="en-GB"/>
        </w:rPr>
        <w:fldChar w:fldCharType="end"/>
      </w:r>
      <w:r w:rsidRPr="00402F97">
        <w:rPr>
          <w:highlight w:val="yellow"/>
          <w:lang w:val="en-GB"/>
        </w:rPr>
        <w:t xml:space="preserve">. Children who are carriers of multidrug-resistant Enterobacteriaceae are at greater risk of developing infections caused by multidrug-resistant bacteria, which pose a management challenge given the limited choice of antibiotics </w:t>
      </w:r>
      <w:r w:rsidR="00402F97" w:rsidRPr="00402F97">
        <w:rPr>
          <w:highlight w:val="yellow"/>
          <w:lang w:val="en-GB"/>
        </w:rPr>
        <w:fldChar w:fldCharType="begin"/>
      </w:r>
      <w:r w:rsidR="00402F97" w:rsidRPr="00402F97">
        <w:rPr>
          <w:highlight w:val="yellow"/>
          <w:lang w:val="en-GB"/>
        </w:rPr>
        <w:instrText xml:space="preserve"> ADDIN ZOTERO_ITEM CSL_CITATION {"citationID":"YV7y5c53","properties":{"formattedCitation":"(Detsis et al., 2017)","plainCitation":"(Detsis et al., 2017)","noteIndex":0},"citationItems":[{"id":979,"uris":["http://zotero.org/users/local/FaVS37Do/items/GHIRD5WN"],"itemData":{"id":979,"type":"article-journal","abstract":"Objective:\n              To evaluate the acquisition rate, identify risk factors, and estimate the risk for subsequent infection, associated with the colonization of the digestive tract with extended-spectrum beta-lactamase–producing Enterobacteriaceae during ICU-hospitalization.\n            \n            \n              Data Sources:\n              PubMed, EMBASE, and reference lists of all eligible articles.\n            \n            \n              Study Selection:\n              Included studies provided data on ICU-acquired colonization with extended-spectrum beta-lactamase–producing Enterobacteriaceae in previously noncolonized and noninfected patients and used the double disk synergy test for extended-spectrum beta-lactamase–producing Enterobacteriaceae phenotypic confirmation. Studies reporting extended-spectrum beta-lactamase–producing Enterobacteriaceae outbreaks or data on pediatric population were excluded.\n            \n            \n              Data Extraction:\n              Two authors independently assessed study eligibility and performed data extraction.\n            \n            \n              Data Synthesis:\n              Thirteen studies (with 15,045 ICUs-patients) were evaluated using a random-effect model and a meta-regression analysis. The acquisition rate of digestive tract colonization during ICU stay was 7% (95% CI, 5–10) and it varies from 3% (95% CI, 2–4) and 4% (95% CI, 2–6) in the Americas and Europe to 21% (95% CI, 9–35) in the Western Pacific region. Previous hospitalization (risk ratio, 1.57 [95% CI, 1.07–2.31]) or antibiotic use (risk ratio, 1.65 [95% CI, 1.15–2.37]) and exposure to beta-lactams/beta-lactamase inhibitors (risk ratio, 1.78 [95% CI, 1.24–2.56]) and carbapenems (risk ratio, 2.13 [95% CI, 1.49–3.06]) during the ICU stay were independent risk factors for ICU-acquired colonization. Importantly, colonized patients were more likely to develop an extended-spectrum beta-lactamase–producing Enterobacteriaceae infection (risk ratio, 49.62 [95% CI, 20.42–120.58]). The sensitivity and specificity of prior colonization to predict subsequent extended-spectrum beta-lactamase–producing Enterobacteriaceae infection were 95.1% (95% CI, 54.7–99.7) and 89.2% (95% CI, 77.2–95.3), respectively.\n            \n            \n              Conclusions:\n              The ICU acquisition rate of extended-spectrum beta-lactamase–producing Enterobacteriaceae ranged from 5% to 10%. Previous use of beta-lactam/beta-lactamase or carbapenems and recent hospitalization were independent risk factors for extended-spectrum beta-lactamase–producing Enterobacteriaceae colonization, and colonization was associated with significantly higher frequency of extended-spectrum beta-lactamase–producing Enterobacteriaceae subsequent infection and increased mortality.","container-title":"Critical Care Medicine","DOI":"10.1097/CCM.0000000000002253","ISSN":"0090-3493","issue":"4","language":"en","page":"705-714","source":"DOI.org (Crossref)","title":"ICU Acquisition Rate, Risk Factors, and Clinical Significance of Digestive Tract Colonization With Extended-Spectrum Beta-Lactamase–Producing Enterobacteriaceae: A Systematic Review and Meta-Analysis*","title-short":"ICU Acquisition Rate, Risk Factors, and Clinical Significance of Digestive Tract Colonization With Extended-Spectrum Beta-Lactamase–Producing Enterobacteriaceae","volume":"45","author":[{"family":"Detsis","given":"Marios"},{"family":"Karanika","given":"Styliani"},{"family":"Mylonakis","given":"Eleftherios"}],"issued":{"date-parts":[["2017",4]]}}}],"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w:t>
      </w:r>
      <w:proofErr w:type="spellStart"/>
      <w:r w:rsidR="00402F97" w:rsidRPr="00402F97">
        <w:rPr>
          <w:rFonts w:cs="Helvetica"/>
          <w:highlight w:val="yellow"/>
        </w:rPr>
        <w:t>Detsis</w:t>
      </w:r>
      <w:proofErr w:type="spellEnd"/>
      <w:r w:rsidR="00402F97" w:rsidRPr="00402F97">
        <w:rPr>
          <w:rFonts w:cs="Helvetica"/>
          <w:highlight w:val="yellow"/>
        </w:rPr>
        <w:t xml:space="preserve"> et al., 2017)</w:t>
      </w:r>
      <w:r w:rsidR="00402F97" w:rsidRPr="00402F97">
        <w:rPr>
          <w:highlight w:val="yellow"/>
          <w:lang w:val="en-GB"/>
        </w:rPr>
        <w:fldChar w:fldCharType="end"/>
      </w:r>
      <w:r w:rsidRPr="00402F97">
        <w:rPr>
          <w:highlight w:val="yellow"/>
          <w:lang w:val="en-GB"/>
        </w:rPr>
        <w:t>.</w:t>
      </w:r>
    </w:p>
    <w:p w14:paraId="13CFBF1D" w14:textId="45E07729" w:rsidR="005D69EE" w:rsidRPr="00402F97" w:rsidRDefault="005D69EE" w:rsidP="005D69EE">
      <w:pPr>
        <w:rPr>
          <w:highlight w:val="yellow"/>
          <w:lang w:val="en-GB"/>
        </w:rPr>
      </w:pPr>
      <w:r w:rsidRPr="00402F97">
        <w:rPr>
          <w:highlight w:val="yellow"/>
          <w:lang w:val="en-GB"/>
        </w:rPr>
        <w:t xml:space="preserve">Bacteria of the Enterobacteriaceae family are Gram-negative, non-spore-forming, facultative anaerobic rods. This family accounts for approximately three-quarters of isolates in a medical bacteriology laboratory and is of great interest due to the numerous resistance mechanisms they possess </w:t>
      </w:r>
      <w:r w:rsidR="00402F97" w:rsidRPr="00402F97">
        <w:rPr>
          <w:highlight w:val="yellow"/>
          <w:lang w:val="en-GB"/>
        </w:rPr>
        <w:fldChar w:fldCharType="begin"/>
      </w:r>
      <w:r w:rsidR="00402F97" w:rsidRPr="00402F97">
        <w:rPr>
          <w:highlight w:val="yellow"/>
          <w:lang w:val="en-GB"/>
        </w:rPr>
        <w:instrText xml:space="preserve"> ADDIN ZOTERO_ITEM CSL_CITATION {"citationID":"E3sLijs5","properties":{"formattedCitation":"(Fumat and Fran\\uc0\\u231{}ois,Denis, 2016)","plainCitation":"(Fumat and François,Denis, 2016)","dontUpdate":true,"noteIndex":0},"citationItems":[{"id":395,"uris":["http://zotero.org/users/local/FaVS37Do/items/3523QRJ4"],"itemData":{"id":395,"type":"book","call-number":"616.920 1","edition":"3e éd","event-place":"Issy-les-Moulineaux","ISBN":"978-2-294-74616-1","language":"fre","publisher":"Elsevier Masson","publisher-place":"Issy-les-Moulineaux","source":"BnF ISBN","title":"Bactériologie médicale: techniques usuelles","title-short":"Bactériologie médicale","author":[{"family":"Fumat","given":"Carole"},{"literal":"François,Denis"}],"issued":{"date-parts":[["2016"]]}}}],"schema":"https://github.com/citation-style-language/schema/raw/master/csl-citation.json"}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(Fumat et al 2016)</w:t>
      </w:r>
      <w:r w:rsidR="00402F97" w:rsidRPr="00402F97">
        <w:rPr>
          <w:highlight w:val="yellow"/>
          <w:lang w:val="en-GB"/>
        </w:rPr>
        <w:fldChar w:fldCharType="end"/>
      </w:r>
      <w:r w:rsidRPr="00402F97">
        <w:rPr>
          <w:highlight w:val="yellow"/>
          <w:lang w:val="en-GB"/>
        </w:rPr>
        <w:t>.</w:t>
      </w:r>
    </w:p>
    <w:p w14:paraId="23E37622" w14:textId="77777777" w:rsidR="005D69EE" w:rsidRPr="00402F97" w:rsidRDefault="005D69EE" w:rsidP="005D69EE">
      <w:pPr>
        <w:rPr>
          <w:highlight w:val="yellow"/>
          <w:lang w:val="en-GB"/>
        </w:rPr>
      </w:pPr>
      <w:r w:rsidRPr="00402F97">
        <w:rPr>
          <w:highlight w:val="yellow"/>
          <w:lang w:val="en-GB"/>
        </w:rPr>
        <w:t>Hospitalised children are particularly vulnerable to these multi-drug-resistant bacteria due to the immaturity of their immune systems, the high frequency of antibiotic prescriptions that are not always based on informed decisions, and the often poor conditions in hospitals across our regions.</w:t>
      </w:r>
    </w:p>
    <w:p w14:paraId="6837AB79" w14:textId="4C3F87C0" w:rsidR="005D69EE" w:rsidRPr="004B43A7" w:rsidRDefault="005D69EE" w:rsidP="005D69EE">
      <w:pPr>
        <w:rPr>
          <w:lang w:val="en-GB"/>
        </w:rPr>
      </w:pPr>
      <w:r w:rsidRPr="00402F97">
        <w:rPr>
          <w:highlight w:val="yellow"/>
          <w:lang w:val="en-GB"/>
        </w:rPr>
        <w:t xml:space="preserve">The repeated and inappropriate use of antibiotics in hospitalised patients creates selective pressure that promotes the emergence and spread of multidrug-resistant Enterobacteriaceae (MDR-EB) </w:t>
      </w:r>
      <w:r w:rsidR="00402F97" w:rsidRPr="00402F97">
        <w:rPr>
          <w:highlight w:val="yellow"/>
          <w:lang w:val="en-GB"/>
        </w:rPr>
        <w:fldChar w:fldCharType="begin"/>
      </w:r>
      <w:r w:rsidR="00402F97" w:rsidRPr="00402F97">
        <w:rPr>
          <w:highlight w:val="yellow"/>
          <w:lang w:val="en-GB"/>
        </w:rPr>
        <w:instrText xml:space="preserve"> ADDIN ZOTERO_ITEM CSL_CITATION {"citationID":"6nzTxu7H","properties":{"formattedCitation":"(Madec, 2022)","plainCitation":"(Madec, 2022)","noteIndex":0},"citationItems":[{"id":888,"uris":["http://zotero.org/users/local/FaVS37Do/items/72RKM4G7"],"itemData":{"id":888,"type":"article-journal","abstract":"Guide pour un bon usage des antibiotiques chez les animaux de compagnie, AFVAC","container-title":". ffanses-04559052","language":"fr","page":"pp.12-14,","source":"Zotero","title":"Généralités sur les antibiotiques et l'antibiorésistance - Notions générales sur l'antibiorésistance","volume":"04559052","author":[{"family":"Madec","given":"Jean-Yves"}],"issued":{"date-parts":[["2022"]]}}}],"schema":"https://github.com/citation-style-language/schema/raw/master/csl-citation.json"}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(Madec, 2022)</w:t>
      </w:r>
      <w:r w:rsidR="00402F97" w:rsidRPr="00402F97">
        <w:rPr>
          <w:highlight w:val="yellow"/>
          <w:lang w:val="en-GB"/>
        </w:rPr>
        <w:fldChar w:fldCharType="end"/>
      </w:r>
      <w:r w:rsidRPr="00402F97">
        <w:rPr>
          <w:highlight w:val="yellow"/>
          <w:lang w:val="en-GB"/>
        </w:rPr>
        <w:t xml:space="preserve">. The spread of resistant strains among children hospitalised in the same ward, due to their close proximity, is all the more concerning given that mobile genetic elements are often implicated in antibiotic resistance in Enterobacteriaceae </w:t>
      </w:r>
      <w:r w:rsidR="00402F97" w:rsidRPr="00402F97">
        <w:rPr>
          <w:highlight w:val="yellow"/>
          <w:lang w:val="en-GB"/>
        </w:rPr>
        <w:fldChar w:fldCharType="begin"/>
      </w:r>
      <w:r w:rsidR="00402F97" w:rsidRPr="00402F97">
        <w:rPr>
          <w:highlight w:val="yellow"/>
          <w:lang w:val="en-GB"/>
        </w:rPr>
        <w:instrText xml:space="preserve"> ADDIN ZOTERO_ITEM CSL_CITATION {"citationID":"6OmJJW1I","properties":{"formattedCitation":"(Agyeman et al., 2022)","plainCitation":"(Agyeman et al., 2022)","noteIndex":0},"citationItems":[{"id":982,"uris":["http://zotero.org/users/local/FaVS37Do/items/9AIEG6KE"],"itemData":{"id":982,"type":"article-journal","abstract":"Antimicrobial resistance is a major public health challenge described by the World Health Organization as one of the top 10 public health challenges worldwide. Drug-resistant microbes contribute significantly to morbidity and mortality in the hospital, especially in the critical care unit. The primary etiology of increasing antibiotic resistance is inappropriate and excessive use of antibiotics. The alarming rise of drug-resistant microbes worldwide threatens to erode our ability to treat infections with our current armamentarium of antibiotics., Unfortunately, the pace of development of new antibiotics by the pharmaceutical industry has not kept up with rising resistance to expand our options to treat microbial infections. The costs of antibiotic resistance include death and disability, extended hospital stays due to prolonged sickness, need for expensive therapies, rising healthcare expenditure, reduced productivity from time out of the workforce, and rising penury. This review sums up the common mechanisms, trends, and treatment options for hospital-acquired multidrug-resistant microbes.","container-title":"Cureus","DOI":"10.7759/cureus.29956","ISSN":"2168-8184","issue":"10","journalAbbreviation":"Cureus","note":"PMID: 36381838\nPMCID: PMC9635809","page":"e29956","source":"PubMed Central","title":"A Systematic Review of Antibiotic Resistance Trends and Treatment Options for Hospital-Acquired Multidrug-Resistant Infections","volume":"14","author":[{"family":"Agyeman","given":"Walter Y"},{"family":"Bisht","given":"Aakash"},{"family":"Gopinath","given":"Ankit"},{"family":"Cheema","given":"Ameer Haider"},{"family":"Chaludiya","given":"Keyur"},{"family":"Khalid","given":"Maham"},{"family":"Nwosu","given":"Marcellina"},{"family":"Konka","given":"Srujana"},{"family":"Khan","given":"Safeera"}],"issued":{"date-parts":[["2022"]]}}}],"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(Agyeman et al., 2022)</w:t>
      </w:r>
      <w:r w:rsidR="00402F97" w:rsidRPr="00402F97">
        <w:rPr>
          <w:highlight w:val="yellow"/>
          <w:lang w:val="en-GB"/>
        </w:rPr>
        <w:fldChar w:fldCharType="end"/>
      </w:r>
      <w:r w:rsidRPr="00402F97">
        <w:rPr>
          <w:highlight w:val="yellow"/>
          <w:lang w:val="en-GB"/>
        </w:rPr>
        <w:t xml:space="preserve">. The gastrointestinal tract constitutes a major reservoir for these bacteria, allowing asymptomatic carriage and facilitating cross-transmission between patients </w:t>
      </w:r>
      <w:r w:rsidR="00402F97" w:rsidRPr="00402F97">
        <w:rPr>
          <w:highlight w:val="yellow"/>
          <w:lang w:val="en-GB"/>
        </w:rPr>
        <w:fldChar w:fldCharType="begin"/>
      </w:r>
      <w:r w:rsidR="00402F97" w:rsidRPr="00402F97">
        <w:rPr>
          <w:highlight w:val="yellow"/>
          <w:lang w:val="en-GB"/>
        </w:rPr>
        <w:instrText xml:space="preserve"> ADDIN ZOTERO_ITEM CSL_CITATION {"citationID":"i7HcN6Ug","properties":{"formattedCitation":"(Lucet, 2012)","plainCitation":"(Lucet, 2012)","noteIndex":0},"citationItems":[{"id":890,"uris":["http://zotero.org/users/local/FaVS37Do/items/R6XLJB5C"],"itemData":{"id":890,"type":"article-journal","abstract":"Mise au point","container-title":"HYGIÈNES","issue":"n° 3","language":"fr","page":"123-132","source":"Zotero","title":"Transmission croisée : éléments de réflexion pour une analyse de risque","volume":"XX -","author":[{"family":"Lucet","given":"Jean-Christophe"}],"issued":{"date-parts":[["2012"]]}}}],"schema":"https://github.com/citation-style-language/schema/raw/master/csl-citation.json"}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w:t>
      </w:r>
      <w:proofErr w:type="spellStart"/>
      <w:r w:rsidR="00402F97" w:rsidRPr="00402F97">
        <w:rPr>
          <w:rFonts w:cs="Helvetica"/>
          <w:highlight w:val="yellow"/>
        </w:rPr>
        <w:t>Lucet</w:t>
      </w:r>
      <w:proofErr w:type="spellEnd"/>
      <w:r w:rsidR="00402F97" w:rsidRPr="00402F97">
        <w:rPr>
          <w:rFonts w:cs="Helvetica"/>
          <w:highlight w:val="yellow"/>
        </w:rPr>
        <w:t>, 2012)</w:t>
      </w:r>
      <w:r w:rsidR="00402F97" w:rsidRPr="00402F97">
        <w:rPr>
          <w:highlight w:val="yellow"/>
          <w:lang w:val="en-GB"/>
        </w:rPr>
        <w:fldChar w:fldCharType="end"/>
      </w:r>
      <w:r w:rsidRPr="00402F97">
        <w:rPr>
          <w:highlight w:val="yellow"/>
          <w:lang w:val="en-GB"/>
        </w:rPr>
        <w:t xml:space="preserve">. In Togo, studies conducted among children and adults have shown rates of gastrointestinal carriage ranging from 56.9% to 80.9% </w:t>
      </w:r>
      <w:r w:rsidR="00402F97" w:rsidRPr="00402F97">
        <w:rPr>
          <w:highlight w:val="yellow"/>
          <w:lang w:val="en-GB"/>
        </w:rPr>
        <w:fldChar w:fldCharType="begin"/>
      </w:r>
      <w:r w:rsidR="00402F97" w:rsidRPr="00402F97">
        <w:rPr>
          <w:highlight w:val="yellow"/>
          <w:lang w:val="en-GB"/>
        </w:rPr>
        <w:instrText xml:space="preserve"> ADDIN ZOTERO_ITEM CSL_CITATION {"citationID":"Vv2sSBtR","properties":{"formattedCitation":"(Godonou et al., 2022; Lack et al., 2022)","plainCitation":"(Godonou et al., 2022; Lack et al., 2022)","noteIndex":0},"citationItems":[{"id":562,"uris":["http://zotero.org/users/local/FaVS37Do/items/AHYEW5QZ"],"itemData":{"id":562,"type":"article-journal","abstract":"Background: Extended-spectrum beta-lactamase producing Enterobacteriaceae (ESBL-PE) are a global health concern, associated with increased morbidity and mortality. Even in the absence of infections, colonization by these pathogens is still a great threat because of the risk of cross transfer among hospitalized patients. Faecal carriage of ESBL-PE remained poorly documented in Africa. This study aimed to determine faecal carriage rate of ESBL-PE, factors associated with carriage, and antimicrobial susceptibility of the strains among hospitalized patients at Sylvanus Olympio Teaching Hospitals (CHU SO) in Lomé, Togo.\nMethodology: This was a cross-sectional study of 105 randomly selected hospitalized patients between September and November 2019. Socio-demographic and clinical data as well as rectal swabs were collected after obtaining the consent of the selected participants. Rectal swabs were cultured on selective bromocresol purple (BCP) lactose agar containing 6µg/l ceftazidime, for isolation of Enterobacteriaceae. Identification of each isolate was performed using Uriselect 4 medium and API 20E. Antibiotic susceptibility of the bacterial isolates was performed by the Bauer-Kirby agar disc diffusion test and interpreted according to CASFM-EUCAST recommendations.\nResults: The faecal carriage rate of ESBL-PE among selected hospitalized patients was 80.9% (85/105). Escherichia coli was the most frequent bacteria 69.5% (73/105), followed by Klebsiella pneumoniae 22.8% (24/105). The antibiotic profile of ESBL producing Escherichia coli showed resistance to amoxycillin+clavulanic acid (72.6%), ticarcillin+clavulanic acid (82.2%), piperacillin+tazobactam (30.1%), cefoxitin (30.1%) ciprofloxacin (84.9%), levofloxacin (76.7%), nalidixic acid (83.6%), chloramphenicol (26.0%), gentamicin (49.3%), sulfamethoxazole-trimethoprim (86.3%), imipenem (5.5%), and ertapenem (21.9%). All (100%) isolates were sensitive to amikacin and fosfomycin. None of the characteristics or risk factors assessed was significantly associated with faecal carriage of ESBL-PE.\nConclusion: Faecal carriage rate of ESBL-PE in these hospitalized patients was very high, but no factor was associated with carriage of ESBL-PE among the study population. Implementation of infection control measures, and surveillance are needed to limit the spread of these resistant pathogens within CHU SO healthcare facilities.","container-title":"African Journal of Clinical and Experimental Microbiology","DOI":"10.4314/ajcem.v23i1.6","ISSN":"1595-689X","issue":"1","language":"en","license":"Copyright (c) 0","note":"number: 1","page":"40-48","source":"www.ajol.info","title":"High faecal carriage of extended-spectrum beta-lactamase producing Enterobacteriaceae (ESBL-PE) among hospitalized patients at Sylvanus Olympio Teaching Hospital, Lomé, Togo in 2019","volume":"23","author":[{"family":"Godonou","given":"A. M."},{"family":"Lack","given":"F."},{"family":"Gbeasor-Komlanvi","given":"F. A."},{"family":"Konlani","given":"L."},{"family":"Dossim","given":"S."},{"family":"Ameyapoh","given":"Y. A."},{"family":"Ekouevi","given":"K."},{"family":"Dagnra","given":"A. Y."},{"family":"Salou","given":"M."}],"issued":{"date-parts":[["2022",1,31]]}}},{"id":560,"uris":["http://zotero.org/users/local/FaVS37Do/items/LJPATVYY"],"itemData":{"id":560,"type":"article-journal","abstract":"Background: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w:instrText>
      </w:r>
      <w:r w:rsidR="00402F97" w:rsidRPr="00402F97">
        <w:rPr>
          <w:highlight w:val="yellow"/>
          <w:lang w:val="fr-FR"/>
        </w:rPr>
        <w:instrText xml:space="preserve">-producing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lang w:val="fr-FR"/>
        </w:rPr>
        <w:t>(</w:t>
      </w:r>
      <w:proofErr w:type="spellStart"/>
      <w:r w:rsidR="00402F97" w:rsidRPr="00402F97">
        <w:rPr>
          <w:rFonts w:cs="Helvetica"/>
          <w:highlight w:val="yellow"/>
          <w:lang w:val="fr-FR"/>
        </w:rPr>
        <w:t>Godonou</w:t>
      </w:r>
      <w:proofErr w:type="spellEnd"/>
      <w:r w:rsidR="00402F97" w:rsidRPr="00402F97">
        <w:rPr>
          <w:rFonts w:cs="Helvetica"/>
          <w:highlight w:val="yellow"/>
          <w:lang w:val="fr-FR"/>
        </w:rPr>
        <w:t xml:space="preserve"> et al., 2022; Lack et al., 2022)</w:t>
      </w:r>
      <w:r w:rsidR="00402F97" w:rsidRPr="00402F97">
        <w:rPr>
          <w:highlight w:val="yellow"/>
          <w:lang w:val="en-GB"/>
        </w:rPr>
        <w:fldChar w:fldCharType="end"/>
      </w:r>
      <w:r w:rsidRPr="00402F97">
        <w:rPr>
          <w:highlight w:val="yellow"/>
          <w:lang w:val="fr-FR"/>
        </w:rPr>
        <w:t xml:space="preserve">. </w:t>
      </w:r>
      <w:r w:rsidRPr="00402F97">
        <w:rPr>
          <w:highlight w:val="yellow"/>
          <w:lang w:val="en-GB"/>
        </w:rPr>
        <w:t>Although several studies have been conducted in Togo on the prevalence of carriage of multidrug-resistant Enterobacteriaceae, very few have been carried out across the entire paediatric population and have demonstrated the impact of antibiotic therapy on this phenomenon.</w:t>
      </w:r>
    </w:p>
    <w:p w14:paraId="220D978B" w14:textId="77777777" w:rsidR="005D69EE" w:rsidRPr="00123DC4" w:rsidRDefault="005D69EE" w:rsidP="00BA4A3E">
      <w:pPr>
        <w:spacing w:after="120"/>
        <w:jc w:val="both"/>
        <w:rPr>
          <w:rFonts w:ascii="Arial" w:hAnsi="Arial" w:cs="Arial"/>
          <w:bCs/>
          <w:lang w:val="en-GB"/>
        </w:rPr>
      </w:pPr>
    </w:p>
    <w:p w14:paraId="3B07FB77" w14:textId="7E8CA26E" w:rsidR="00790ADA" w:rsidRPr="00BA4A3E" w:rsidRDefault="00BA4A3E" w:rsidP="00BA4A3E">
      <w:pPr>
        <w:spacing w:after="120"/>
        <w:jc w:val="both"/>
        <w:rPr>
          <w:rFonts w:ascii="Arial" w:hAnsi="Arial" w:cs="Arial"/>
          <w:b/>
          <w:lang w:val="en-GB"/>
        </w:rPr>
      </w:pPr>
      <w:r w:rsidRPr="00123DC4">
        <w:rPr>
          <w:rFonts w:ascii="Arial" w:hAnsi="Arial" w:cs="Arial"/>
          <w:lang w:val="en-GB"/>
        </w:rPr>
        <w:t xml:space="preserve">The objective of this study </w:t>
      </w:r>
      <w:r w:rsidR="00734CA1" w:rsidRPr="00123DC4">
        <w:rPr>
          <w:rFonts w:ascii="Arial" w:hAnsi="Arial" w:cs="Arial"/>
          <w:lang w:val="en-GB"/>
        </w:rPr>
        <w:t>was</w:t>
      </w:r>
      <w:r w:rsidRPr="00123DC4">
        <w:rPr>
          <w:rFonts w:ascii="Arial" w:hAnsi="Arial" w:cs="Arial"/>
          <w:lang w:val="en-GB"/>
        </w:rPr>
        <w:t xml:space="preserve"> to estimate the prevalence of digestive carriage of multidrug-resistant Enterobacteriaceae before and after empirical antibiotic therapy.</w:t>
      </w:r>
    </w:p>
    <w:p w14:paraId="32E6C644" w14:textId="7284E244" w:rsidR="00D9243B"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94000A7" w14:textId="77777777" w:rsidR="00D9243B" w:rsidRDefault="00D9243B" w:rsidP="00441B6F">
      <w:pPr>
        <w:pStyle w:val="AbstHead"/>
        <w:spacing w:after="0"/>
        <w:jc w:val="both"/>
        <w:rPr>
          <w:rFonts w:ascii="Arial" w:hAnsi="Arial" w:cs="Arial"/>
        </w:rPr>
      </w:pPr>
    </w:p>
    <w:p w14:paraId="39907EDB" w14:textId="4CC67279" w:rsidR="00AA74E0" w:rsidRDefault="00AA74E0" w:rsidP="00441B6F">
      <w:pPr>
        <w:pStyle w:val="Body"/>
        <w:spacing w:after="0"/>
        <w:rPr>
          <w:rFonts w:ascii="Arial" w:hAnsi="Arial" w:cs="Arial"/>
          <w:b/>
          <w:sz w:val="22"/>
          <w:szCs w:val="22"/>
        </w:rPr>
      </w:pPr>
      <w:r w:rsidRPr="00440FE5">
        <w:rPr>
          <w:rFonts w:ascii="Arial" w:hAnsi="Arial" w:cs="Arial"/>
          <w:b/>
          <w:caps/>
          <w:sz w:val="22"/>
          <w:szCs w:val="22"/>
        </w:rPr>
        <w:t xml:space="preserve">2.1 </w:t>
      </w:r>
      <w:r w:rsidR="00440FE5" w:rsidRPr="00440FE5">
        <w:rPr>
          <w:rFonts w:ascii="Arial" w:hAnsi="Arial" w:cs="Arial"/>
          <w:b/>
          <w:bCs/>
          <w:sz w:val="22"/>
          <w:szCs w:val="22"/>
          <w:lang w:val="en-GB"/>
        </w:rPr>
        <w:t>Study setting and population sampling</w:t>
      </w:r>
      <w:r w:rsidR="00440FE5" w:rsidRPr="00440FE5">
        <w:rPr>
          <w:rFonts w:ascii="Arial" w:hAnsi="Arial" w:cs="Arial"/>
          <w:b/>
          <w:sz w:val="22"/>
          <w:szCs w:val="22"/>
        </w:rPr>
        <w:t xml:space="preserve"> </w:t>
      </w:r>
    </w:p>
    <w:p w14:paraId="4E7262F6" w14:textId="77777777" w:rsidR="0048464D" w:rsidRDefault="0048464D" w:rsidP="00441B6F">
      <w:pPr>
        <w:pStyle w:val="Body"/>
        <w:spacing w:after="0"/>
        <w:rPr>
          <w:rFonts w:ascii="Arial" w:hAnsi="Arial" w:cs="Arial"/>
          <w:b/>
          <w:sz w:val="22"/>
          <w:szCs w:val="22"/>
        </w:rPr>
      </w:pPr>
    </w:p>
    <w:p w14:paraId="4398C7FC" w14:textId="59418148" w:rsidR="0048464D" w:rsidRPr="00BB4305" w:rsidRDefault="0048464D" w:rsidP="0048464D">
      <w:pPr>
        <w:spacing w:after="120"/>
        <w:jc w:val="both"/>
        <w:rPr>
          <w:rFonts w:ascii="Arial" w:hAnsi="Arial" w:cs="Arial"/>
          <w:lang w:val="en-GB"/>
        </w:rPr>
      </w:pPr>
      <w:r w:rsidRPr="00BB4305">
        <w:rPr>
          <w:rFonts w:ascii="Arial" w:hAnsi="Arial" w:cs="Arial"/>
          <w:lang w:val="en-GB"/>
        </w:rPr>
        <w:t xml:space="preserve">This study was conducted at the Sylvanus OLYMPIO </w:t>
      </w:r>
      <w:r>
        <w:rPr>
          <w:rFonts w:ascii="Arial" w:hAnsi="Arial" w:cs="Arial"/>
          <w:lang w:val="en-GB"/>
        </w:rPr>
        <w:t>Teaching</w:t>
      </w:r>
      <w:r w:rsidRPr="00BB4305">
        <w:rPr>
          <w:rFonts w:ascii="Arial" w:hAnsi="Arial" w:cs="Arial"/>
          <w:lang w:val="en-GB"/>
        </w:rPr>
        <w:t xml:space="preserve"> Hospital in Lomé (CHU SO), in the p</w:t>
      </w:r>
      <w:r>
        <w:rPr>
          <w:rFonts w:ascii="Arial" w:hAnsi="Arial" w:cs="Arial"/>
          <w:lang w:val="en-GB"/>
        </w:rPr>
        <w:t>a</w:t>
      </w:r>
      <w:r w:rsidRPr="00BB4305">
        <w:rPr>
          <w:rFonts w:ascii="Arial" w:hAnsi="Arial" w:cs="Arial"/>
          <w:lang w:val="en-GB"/>
        </w:rPr>
        <w:t xml:space="preserve">ediatric department and the </w:t>
      </w:r>
      <w:r w:rsidR="0052742F">
        <w:rPr>
          <w:rFonts w:ascii="Arial" w:hAnsi="Arial" w:cs="Arial"/>
          <w:lang w:val="en-GB"/>
        </w:rPr>
        <w:t>microbiolog</w:t>
      </w:r>
      <w:r w:rsidRPr="00BB4305">
        <w:rPr>
          <w:rFonts w:ascii="Arial" w:hAnsi="Arial" w:cs="Arial"/>
          <w:lang w:val="en-GB"/>
        </w:rPr>
        <w:t>y laboratory.</w:t>
      </w:r>
    </w:p>
    <w:p w14:paraId="573CEC95" w14:textId="381CBE0C" w:rsidR="0048464D" w:rsidRPr="00BB4305" w:rsidRDefault="0048464D" w:rsidP="00D5130A">
      <w:pPr>
        <w:spacing w:after="120"/>
        <w:jc w:val="both"/>
        <w:rPr>
          <w:rFonts w:ascii="Arial" w:hAnsi="Arial" w:cs="Arial"/>
          <w:lang w:val="en-GB"/>
        </w:rPr>
      </w:pPr>
      <w:r w:rsidRPr="00BB4305">
        <w:rPr>
          <w:rFonts w:ascii="Arial" w:hAnsi="Arial" w:cs="Arial"/>
          <w:lang w:val="en-GB"/>
        </w:rPr>
        <w:t>This was a repeated cross-sectional descriptive and analytical study, conducted before and after empirical antibiotic therapy in the intensive care units of the p</w:t>
      </w:r>
      <w:r w:rsidR="00383316">
        <w:rPr>
          <w:rFonts w:ascii="Arial" w:hAnsi="Arial" w:cs="Arial"/>
          <w:lang w:val="en-GB"/>
        </w:rPr>
        <w:t>a</w:t>
      </w:r>
      <w:r w:rsidRPr="00BB4305">
        <w:rPr>
          <w:rFonts w:ascii="Arial" w:hAnsi="Arial" w:cs="Arial"/>
          <w:lang w:val="en-GB"/>
        </w:rPr>
        <w:t xml:space="preserve">ediatric department at the </w:t>
      </w:r>
      <w:r w:rsidRPr="00BB4305">
        <w:rPr>
          <w:rFonts w:ascii="Arial" w:hAnsi="Arial" w:cs="Arial"/>
          <w:lang w:val="en-GB"/>
        </w:rPr>
        <w:lastRenderedPageBreak/>
        <w:t xml:space="preserve">CHU SO in Lomé (Togo). </w:t>
      </w:r>
      <w:r w:rsidR="00985162" w:rsidRPr="00347E3C">
        <w:rPr>
          <w:rFonts w:ascii="Arial" w:hAnsi="Arial" w:cs="Arial"/>
          <w:highlight w:val="yellow"/>
          <w:lang w:val="en-GB"/>
        </w:rPr>
        <w:t xml:space="preserve">The sample size was computed using the standard formula </w:t>
      </w:r>
      <w:r w:rsidR="006A05AE" w:rsidRPr="00347E3C">
        <w:rPr>
          <w:rFonts w:ascii="Times New Roman" w:hAnsi="Times New Roman"/>
          <w:sz w:val="24"/>
          <w:szCs w:val="24"/>
          <w:highlight w:val="yellow"/>
        </w:rPr>
        <w:t>Cochran</w:t>
      </w:r>
      <w:r w:rsidR="006A05AE" w:rsidRPr="00347E3C">
        <w:rPr>
          <w:rFonts w:ascii="Arial" w:hAnsi="Arial" w:cs="Arial"/>
          <w:highlight w:val="yellow"/>
          <w:lang w:val="en-GB"/>
        </w:rPr>
        <w:t xml:space="preserve"> </w:t>
      </w:r>
      <w:r w:rsidR="00985162" w:rsidRPr="00347E3C">
        <w:rPr>
          <w:rFonts w:ascii="Arial" w:hAnsi="Arial" w:cs="Arial"/>
          <w:highlight w:val="yellow"/>
          <w:lang w:val="en-GB"/>
        </w:rPr>
        <w:t>to calculate the minimum sample size  required to estimate a proportion in a population</w:t>
      </w:r>
      <w:r w:rsidR="00D5130A" w:rsidRPr="00347E3C">
        <w:rPr>
          <w:rFonts w:ascii="Arial" w:hAnsi="Arial" w:cs="Arial"/>
          <w:highlight w:val="yellow"/>
          <w:lang w:val="en-GB"/>
        </w:rPr>
        <w:t>.</w:t>
      </w:r>
      <w:r w:rsidR="003C2AED" w:rsidRPr="00347E3C">
        <w:rPr>
          <w:rFonts w:ascii="Arial" w:hAnsi="Arial" w:cs="Arial"/>
          <w:highlight w:val="yellow"/>
          <w:lang w:val="en-GB"/>
        </w:rPr>
        <w:t xml:space="preserve"> </w:t>
      </w:r>
      <w:r w:rsidRPr="00347E3C">
        <w:rPr>
          <w:rFonts w:ascii="Arial" w:hAnsi="Arial" w:cs="Arial"/>
          <w:lang w:val="en-GB"/>
        </w:rPr>
        <w:t xml:space="preserve">The study </w:t>
      </w:r>
      <w:r w:rsidR="007228DD" w:rsidRPr="00347E3C">
        <w:rPr>
          <w:rFonts w:ascii="Arial" w:hAnsi="Arial" w:cs="Arial"/>
          <w:lang w:val="en-GB"/>
        </w:rPr>
        <w:t>was conducted</w:t>
      </w:r>
      <w:r w:rsidRPr="00347E3C">
        <w:rPr>
          <w:rFonts w:ascii="Arial" w:hAnsi="Arial" w:cs="Arial"/>
          <w:lang w:val="en-GB"/>
        </w:rPr>
        <w:t xml:space="preserve"> from June 6 to September 11, 2023.</w:t>
      </w:r>
    </w:p>
    <w:p w14:paraId="574CE865" w14:textId="77777777" w:rsidR="0048464D" w:rsidRPr="00347E3C" w:rsidRDefault="0048464D" w:rsidP="00D5130A">
      <w:pPr>
        <w:spacing w:after="120"/>
        <w:jc w:val="both"/>
        <w:rPr>
          <w:rFonts w:ascii="Arial" w:hAnsi="Arial" w:cs="Arial"/>
          <w:lang w:val="en-GB"/>
        </w:rPr>
      </w:pPr>
      <w:r w:rsidRPr="00D5130A">
        <w:rPr>
          <w:rFonts w:ascii="Arial" w:hAnsi="Arial" w:cs="Arial"/>
          <w:lang w:val="en-GB"/>
        </w:rPr>
        <w:t xml:space="preserve">All patients admitted to the department and placed on empirical antibiotic therapy were eligible for inclusion in the study, regardless of their diagnosis, provided they remained in the hospital for at least one night, whether or </w:t>
      </w:r>
      <w:r w:rsidRPr="00347E3C">
        <w:rPr>
          <w:rFonts w:ascii="Arial" w:hAnsi="Arial" w:cs="Arial"/>
          <w:lang w:val="en-GB"/>
        </w:rPr>
        <w:t>not bacteriological examinations were performed. Patients were recruited within 24 hours of admission to the hospital and remained in the study until discharge, recovery, or death.</w:t>
      </w:r>
    </w:p>
    <w:p w14:paraId="3C7C437B" w14:textId="77777777" w:rsidR="0048464D" w:rsidRPr="00BB4305" w:rsidRDefault="0048464D" w:rsidP="0048464D">
      <w:pPr>
        <w:jc w:val="both"/>
        <w:rPr>
          <w:rFonts w:ascii="Arial" w:hAnsi="Arial" w:cs="Arial"/>
          <w:lang w:val="en-GB"/>
        </w:rPr>
      </w:pPr>
      <w:r w:rsidRPr="00347E3C">
        <w:rPr>
          <w:rFonts w:ascii="Arial" w:hAnsi="Arial" w:cs="Arial"/>
          <w:lang w:val="en-GB"/>
        </w:rPr>
        <w:t>Previously included patients who were readmitted to the hospital during the study period were not included</w:t>
      </w:r>
    </w:p>
    <w:p w14:paraId="7AA34C8D" w14:textId="77777777" w:rsidR="0048464D" w:rsidRPr="0048464D" w:rsidRDefault="0048464D" w:rsidP="00441B6F">
      <w:pPr>
        <w:pStyle w:val="Body"/>
        <w:spacing w:after="0"/>
        <w:rPr>
          <w:rFonts w:ascii="Arial" w:hAnsi="Arial" w:cs="Arial"/>
          <w:sz w:val="22"/>
          <w:szCs w:val="22"/>
          <w:lang w:val="en-GB"/>
        </w:rPr>
      </w:pPr>
    </w:p>
    <w:p w14:paraId="6BF9240E" w14:textId="698D8019" w:rsidR="0048464D" w:rsidRDefault="0048464D" w:rsidP="0048464D">
      <w:pPr>
        <w:pStyle w:val="Body"/>
        <w:spacing w:after="0"/>
        <w:rPr>
          <w:rFonts w:ascii="Arial" w:hAnsi="Arial" w:cs="Arial"/>
          <w:b/>
          <w:bCs/>
          <w:sz w:val="22"/>
          <w:szCs w:val="22"/>
          <w:lang w:val="en-GB"/>
        </w:rPr>
      </w:pPr>
      <w:r w:rsidRPr="00440FE5">
        <w:rPr>
          <w:rFonts w:ascii="Arial" w:hAnsi="Arial" w:cs="Arial"/>
          <w:b/>
          <w:caps/>
          <w:sz w:val="22"/>
          <w:szCs w:val="22"/>
        </w:rPr>
        <w:t>2.</w:t>
      </w:r>
      <w:r w:rsidR="00F24281">
        <w:rPr>
          <w:rFonts w:ascii="Arial" w:hAnsi="Arial" w:cs="Arial"/>
          <w:b/>
          <w:caps/>
          <w:sz w:val="22"/>
          <w:szCs w:val="22"/>
        </w:rPr>
        <w:t>2</w:t>
      </w:r>
      <w:r w:rsidRPr="00440FE5">
        <w:rPr>
          <w:rFonts w:ascii="Arial" w:hAnsi="Arial" w:cs="Arial"/>
          <w:b/>
          <w:caps/>
          <w:sz w:val="22"/>
          <w:szCs w:val="22"/>
        </w:rPr>
        <w:t xml:space="preserve"> </w:t>
      </w:r>
      <w:r w:rsidR="00D11DDD" w:rsidRPr="00D11DDD">
        <w:rPr>
          <w:rFonts w:ascii="Arial" w:hAnsi="Arial" w:cs="Arial"/>
          <w:b/>
          <w:bCs/>
          <w:sz w:val="22"/>
          <w:szCs w:val="22"/>
          <w:lang w:val="en-GB"/>
        </w:rPr>
        <w:t>Data and sample collection</w:t>
      </w:r>
    </w:p>
    <w:p w14:paraId="1E12E28A" w14:textId="77777777" w:rsidR="00673B51" w:rsidRDefault="00673B51" w:rsidP="0048464D">
      <w:pPr>
        <w:pStyle w:val="Body"/>
        <w:spacing w:after="0"/>
        <w:rPr>
          <w:rFonts w:ascii="Arial" w:hAnsi="Arial" w:cs="Arial"/>
          <w:b/>
          <w:sz w:val="22"/>
          <w:szCs w:val="22"/>
        </w:rPr>
      </w:pPr>
    </w:p>
    <w:p w14:paraId="35E2BE8D" w14:textId="77777777" w:rsidR="00673B51" w:rsidRPr="00BB4305" w:rsidRDefault="00673B51" w:rsidP="00673B51">
      <w:pPr>
        <w:spacing w:after="120"/>
        <w:jc w:val="both"/>
        <w:rPr>
          <w:rFonts w:ascii="Arial" w:hAnsi="Arial" w:cs="Arial"/>
          <w:lang w:val="en-GB"/>
        </w:rPr>
      </w:pPr>
      <w:r w:rsidRPr="00BB4305">
        <w:rPr>
          <w:rFonts w:ascii="Arial" w:hAnsi="Arial" w:cs="Arial"/>
          <w:lang w:val="en-GB"/>
        </w:rPr>
        <w:t>A data collection form was used, containing the following variables: sociodemographic data, mode of admission, dates of admission and discharge from the department, suspected infection site, laboratory results (particularly bacteriological examinations), prescribed antibiotics, and clinical outcome.</w:t>
      </w:r>
    </w:p>
    <w:p w14:paraId="56B4E496" w14:textId="77777777" w:rsidR="00673B51" w:rsidRPr="00BB4305" w:rsidRDefault="00673B51" w:rsidP="00673B51">
      <w:pPr>
        <w:spacing w:after="120"/>
        <w:jc w:val="both"/>
        <w:rPr>
          <w:rFonts w:ascii="Arial" w:eastAsiaTheme="majorEastAsia" w:hAnsi="Arial" w:cs="Arial"/>
          <w:bCs/>
          <w:lang w:val="en-GB"/>
        </w:rPr>
      </w:pPr>
      <w:r w:rsidRPr="00BB4305">
        <w:rPr>
          <w:rFonts w:ascii="Arial" w:eastAsiaTheme="majorEastAsia" w:hAnsi="Arial" w:cs="Arial"/>
          <w:bCs/>
          <w:lang w:val="en-GB"/>
        </w:rPr>
        <w:t>For each included patient, two samples were taken: one at admission before the start of antibiotic therapy and one at discharge. This involved a rectal swab using a sterile cotton swab within 24 hours of admission. The swab, soaked in sterile distilled water, was inserted into the anus to a depth of 1 to 2 cm and stool samples were collected by rotating the swab before removing it. The swab was then placed in a sterile tube. A rectal swab was taken under the same conditions upon discharge from the hospital.</w:t>
      </w:r>
    </w:p>
    <w:p w14:paraId="775F645B" w14:textId="01CAA450" w:rsidR="00505F06" w:rsidRDefault="00673B51" w:rsidP="00441B6F">
      <w:pPr>
        <w:pStyle w:val="Body"/>
        <w:spacing w:after="0"/>
        <w:rPr>
          <w:rFonts w:ascii="Arial" w:hAnsi="Arial" w:cs="Arial"/>
          <w:b/>
          <w:bCs/>
          <w:sz w:val="22"/>
          <w:szCs w:val="22"/>
          <w:lang w:val="en-GB"/>
        </w:rPr>
      </w:pPr>
      <w:r w:rsidRPr="00440FE5">
        <w:rPr>
          <w:rFonts w:ascii="Arial" w:hAnsi="Arial" w:cs="Arial"/>
          <w:b/>
          <w:caps/>
          <w:sz w:val="22"/>
          <w:szCs w:val="22"/>
        </w:rPr>
        <w:t>2.</w:t>
      </w:r>
      <w:r>
        <w:rPr>
          <w:rFonts w:ascii="Arial" w:hAnsi="Arial" w:cs="Arial"/>
          <w:b/>
          <w:caps/>
          <w:sz w:val="22"/>
          <w:szCs w:val="22"/>
        </w:rPr>
        <w:t>3</w:t>
      </w:r>
      <w:r w:rsidRPr="00440FE5">
        <w:rPr>
          <w:rFonts w:ascii="Arial" w:hAnsi="Arial" w:cs="Arial"/>
          <w:b/>
          <w:caps/>
          <w:sz w:val="22"/>
          <w:szCs w:val="22"/>
        </w:rPr>
        <w:t xml:space="preserve"> </w:t>
      </w:r>
      <w:r w:rsidRPr="00673B51">
        <w:rPr>
          <w:rFonts w:ascii="Arial" w:hAnsi="Arial" w:cs="Arial"/>
          <w:b/>
          <w:bCs/>
          <w:sz w:val="22"/>
          <w:szCs w:val="22"/>
          <w:lang w:val="en-GB"/>
        </w:rPr>
        <w:t>Screening for carriage of Extended-Spectrum Beta-Lactamase-producing Enterobacteriaceae (ESBL-E) and Carbapenem-Resistant Enterobacteriaceae (CRE)</w:t>
      </w:r>
    </w:p>
    <w:p w14:paraId="1616AFC4" w14:textId="30E01317" w:rsidR="00673B51" w:rsidRPr="00BB4305" w:rsidRDefault="00673B51" w:rsidP="00673B51">
      <w:pPr>
        <w:spacing w:after="120"/>
        <w:jc w:val="both"/>
        <w:rPr>
          <w:rFonts w:ascii="Arial" w:hAnsi="Arial" w:cs="Arial"/>
          <w:b/>
          <w:bCs/>
          <w:lang w:val="en-GB"/>
        </w:rPr>
      </w:pPr>
      <w:r w:rsidRPr="00BB4305">
        <w:rPr>
          <w:rFonts w:ascii="Arial" w:eastAsiaTheme="majorEastAsia" w:hAnsi="Arial" w:cs="Arial"/>
          <w:bCs/>
          <w:lang w:val="en-GB"/>
        </w:rPr>
        <w:t xml:space="preserve">The samples collected were packaged using cold packs and immediately transported to be handled at the CHU SO </w:t>
      </w:r>
      <w:r w:rsidR="0052742F">
        <w:rPr>
          <w:rFonts w:ascii="Arial" w:eastAsiaTheme="majorEastAsia" w:hAnsi="Arial" w:cs="Arial"/>
          <w:bCs/>
          <w:lang w:val="en-GB"/>
        </w:rPr>
        <w:t>microbiolog</w:t>
      </w:r>
      <w:r w:rsidRPr="00BB4305">
        <w:rPr>
          <w:rFonts w:ascii="Arial" w:eastAsiaTheme="majorEastAsia" w:hAnsi="Arial" w:cs="Arial"/>
          <w:bCs/>
          <w:lang w:val="en-GB"/>
        </w:rPr>
        <w:t xml:space="preserve">y laboratory. </w:t>
      </w:r>
      <w:r w:rsidRPr="00BB4305">
        <w:rPr>
          <w:rFonts w:ascii="Arial" w:hAnsi="Arial" w:cs="Arial"/>
          <w:bCs/>
          <w:lang w:val="en-GB"/>
        </w:rPr>
        <w:t>Screening for resistance was performed using media made selective through the addition of antibiotics. MacConkey medium (Oxoid) was made selective by the addition of cefotaxime (CTX) at a ratio of 20 ml of MacConkey medium+ 20 µl/ml of CTX for ESBL screening, and by adding ertapenem</w:t>
      </w:r>
      <w:r w:rsidRPr="00BB4305">
        <w:rPr>
          <w:rFonts w:ascii="Arial" w:hAnsi="Arial" w:cs="Arial"/>
          <w:b/>
          <w:bCs/>
          <w:lang w:val="en-GB"/>
        </w:rPr>
        <w:t xml:space="preserve"> </w:t>
      </w:r>
      <w:r w:rsidRPr="00BB4305">
        <w:rPr>
          <w:rFonts w:ascii="Arial" w:hAnsi="Arial" w:cs="Arial"/>
          <w:bCs/>
          <w:lang w:val="en-GB"/>
        </w:rPr>
        <w:t xml:space="preserve">(ERT) at a ratio of 20 ml of MacConkey medium +0.5 µl/ml of ERT to screen for carbapenem-resistant strains. </w:t>
      </w:r>
      <w:r w:rsidRPr="00BB4305">
        <w:rPr>
          <w:rFonts w:ascii="Arial" w:eastAsiaTheme="majorEastAsia" w:hAnsi="Arial" w:cs="Arial"/>
          <w:bCs/>
          <w:lang w:val="en-GB"/>
        </w:rPr>
        <w:t xml:space="preserve">Known strains of Enterobacteriaceae sensitive and resistant to third-generation cephalosporins (3GC), as well as a non-ESBL </w:t>
      </w:r>
      <w:r w:rsidRPr="00BB4305">
        <w:rPr>
          <w:rFonts w:ascii="Arial" w:eastAsiaTheme="majorEastAsia" w:hAnsi="Arial" w:cs="Arial"/>
          <w:bCs/>
          <w:i/>
          <w:lang w:val="en-GB"/>
        </w:rPr>
        <w:t>Escherichia coli</w:t>
      </w:r>
      <w:r w:rsidRPr="00BB4305">
        <w:rPr>
          <w:rFonts w:ascii="Arial" w:eastAsiaTheme="majorEastAsia" w:hAnsi="Arial" w:cs="Arial"/>
          <w:bCs/>
          <w:lang w:val="en-GB"/>
        </w:rPr>
        <w:t xml:space="preserve"> ATCC 25922 strain and an ESBL </w:t>
      </w:r>
      <w:r w:rsidRPr="00BB4305">
        <w:rPr>
          <w:rFonts w:ascii="Arial" w:eastAsiaTheme="majorEastAsia" w:hAnsi="Arial" w:cs="Arial"/>
          <w:bCs/>
          <w:i/>
          <w:lang w:val="en-GB"/>
        </w:rPr>
        <w:t>Klebsiella pneumoniae</w:t>
      </w:r>
      <w:r w:rsidRPr="00BB4305">
        <w:rPr>
          <w:rFonts w:ascii="Arial" w:eastAsiaTheme="majorEastAsia" w:hAnsi="Arial" w:cs="Arial"/>
          <w:bCs/>
          <w:lang w:val="en-GB"/>
        </w:rPr>
        <w:t xml:space="preserve"> ATCC 700603 strain, were inoculated onto MacConkey</w:t>
      </w:r>
      <w:r w:rsidRPr="00BB4305">
        <w:rPr>
          <w:lang w:val="en-GB"/>
        </w:rPr>
        <w:t xml:space="preserve"> </w:t>
      </w:r>
      <w:r w:rsidRPr="00BB4305">
        <w:rPr>
          <w:rFonts w:ascii="Arial" w:eastAsiaTheme="majorEastAsia" w:hAnsi="Arial" w:cs="Arial"/>
          <w:bCs/>
          <w:lang w:val="en-GB"/>
        </w:rPr>
        <w:t xml:space="preserve">agar + CTX and a </w:t>
      </w:r>
      <w:r w:rsidRPr="00BB4305">
        <w:rPr>
          <w:rFonts w:ascii="Arial" w:eastAsiaTheme="majorEastAsia" w:hAnsi="Arial" w:cs="Arial"/>
          <w:bCs/>
          <w:i/>
          <w:lang w:val="en-GB"/>
        </w:rPr>
        <w:t>carbapenem-resistant  Escherichia coli</w:t>
      </w:r>
      <w:r w:rsidRPr="00BB4305">
        <w:rPr>
          <w:rFonts w:ascii="Arial" w:eastAsiaTheme="majorEastAsia" w:hAnsi="Arial" w:cs="Arial"/>
          <w:bCs/>
          <w:lang w:val="en-GB"/>
        </w:rPr>
        <w:t xml:space="preserve"> strain onto MacConkey agar + ERT to check the selectivity of these media.</w:t>
      </w:r>
      <w:r w:rsidR="00383316">
        <w:rPr>
          <w:rFonts w:ascii="Arial" w:eastAsiaTheme="majorEastAsia" w:hAnsi="Arial" w:cs="Arial"/>
          <w:bCs/>
          <w:lang w:val="en-GB"/>
        </w:rPr>
        <w:t xml:space="preserve"> </w:t>
      </w:r>
      <w:r w:rsidRPr="00BB4305">
        <w:rPr>
          <w:rFonts w:ascii="Arial" w:eastAsiaTheme="majorEastAsia" w:hAnsi="Arial" w:cs="Arial"/>
          <w:bCs/>
          <w:lang w:val="en-GB"/>
        </w:rPr>
        <w:t>The swabs were inoculated onto Petri dishes containing the selective media described above.</w:t>
      </w:r>
    </w:p>
    <w:p w14:paraId="7F61B64F" w14:textId="77777777" w:rsidR="00673B51" w:rsidRPr="00BB4305" w:rsidRDefault="00673B51" w:rsidP="00673B51">
      <w:pPr>
        <w:pStyle w:val="Paragraphedeliste"/>
        <w:spacing w:after="120" w:line="240" w:lineRule="auto"/>
        <w:ind w:left="0"/>
        <w:jc w:val="both"/>
        <w:rPr>
          <w:rFonts w:ascii="Arial" w:eastAsiaTheme="majorEastAsia" w:hAnsi="Arial" w:cs="Arial"/>
          <w:bCs/>
          <w:sz w:val="20"/>
          <w:szCs w:val="20"/>
          <w:lang w:val="en-GB"/>
        </w:rPr>
      </w:pPr>
      <w:r w:rsidRPr="00BB4305">
        <w:rPr>
          <w:rFonts w:ascii="Arial" w:eastAsiaTheme="majorEastAsia" w:hAnsi="Arial" w:cs="Arial"/>
          <w:bCs/>
          <w:sz w:val="20"/>
          <w:szCs w:val="20"/>
          <w:lang w:val="en-GB"/>
        </w:rPr>
        <w:t>After aerobic incubation at 37 °C for 24 hours, the strains obtained on these selective media were identified by subculturing on chromogenic media (Uriselect™4). Identification was confirmed using the commercial API 20E gallery (BioMérieux, France) and other biochemical identification tests as needed (catalase, oxidase).</w:t>
      </w:r>
    </w:p>
    <w:p w14:paraId="629BF92C" w14:textId="5609CEF3" w:rsidR="00673B51" w:rsidRPr="00BB4305" w:rsidRDefault="00673B51" w:rsidP="00673B51">
      <w:pPr>
        <w:pStyle w:val="Paragraphedeliste"/>
        <w:spacing w:after="120" w:line="240" w:lineRule="auto"/>
        <w:ind w:left="0"/>
        <w:jc w:val="both"/>
        <w:rPr>
          <w:rFonts w:ascii="Arial" w:hAnsi="Arial" w:cs="Arial"/>
          <w:b/>
          <w:bCs/>
          <w:sz w:val="20"/>
          <w:szCs w:val="20"/>
          <w:lang w:val="en-GB"/>
        </w:rPr>
      </w:pPr>
      <w:r w:rsidRPr="00BB4305">
        <w:rPr>
          <w:rFonts w:ascii="Arial" w:eastAsiaTheme="majorEastAsia" w:hAnsi="Arial" w:cs="Arial"/>
          <w:bCs/>
          <w:sz w:val="20"/>
          <w:szCs w:val="20"/>
          <w:lang w:val="en-GB"/>
        </w:rPr>
        <w:t xml:space="preserve">Antibiotic sensitivity of the isolates was determined using the Kirby-Bauer agar (Mueller-Hinton) disk diffusion method. A few identical pure colonies a from Mueller-Hinton (MH) culture were collected using a sterile Pasteur loop and emulsified in 5 ml of sterile normal saline solution. The inoculum density was adjusted to match the 0.5 McFarland turbidity standards. The inoculum was spread on Mueller-Hinton agar using a sterile swab and left to dry. Antibiotic disks (Oxoid, UK) were placed on the medium at 30 mm intervals and 15 mm from the edge of the Petri dish, then incubated for 24 hours at 37 °C to obtain a lawn culture </w:t>
      </w:r>
      <w:r>
        <w:rPr>
          <w:rFonts w:ascii="Arial" w:eastAsiaTheme="majorEastAsia" w:hAnsi="Arial" w:cs="Arial"/>
          <w:bCs/>
          <w:sz w:val="20"/>
          <w:szCs w:val="20"/>
          <w:lang w:val="en-GB"/>
        </w:rPr>
        <w:fldChar w:fldCharType="begin"/>
      </w:r>
      <w:r w:rsidR="00B10927">
        <w:rPr>
          <w:rFonts w:ascii="Arial" w:eastAsiaTheme="majorEastAsia" w:hAnsi="Arial" w:cs="Arial"/>
          <w:bCs/>
          <w:sz w:val="20"/>
          <w:szCs w:val="20"/>
          <w:lang w:val="en-GB"/>
        </w:rPr>
        <w:instrText xml:space="preserve"> ADDIN ZOTERO_ITEM CSL_CITATION {"citationID":"wo0IOHgU","properties":{"formattedCitation":"(Dorkenoo Ameyo et al., 2020)","plainCitation":"(Dorkenoo Ameyo et al., 2020)","noteIndex":0},"citationItems":[{"id":695,"uris":["http://zotero.org/users/local/FaVS37Do/items/JJVZRMBP"],"itemData":{"id":695,"type":"document","language":"Français","title":"Manuel des procédures opératoires standardisées de bactériologie au Togo","title-short":"Manuel SOP de bactériologie au Togo","author":[{"literal":"Dorkenoo Ameyo"},{"literal":"Bali Essolakina"},{"literal":"Tigossou Ségla"},{"literal":"Lack Fiali"},{"literal":"Nyasenu Tufa"},{"literal":"Agbo Yao"},{"literal":"Sadji Adodo"},{"literal":"Dossim sika"},{"literal":"Salou Mounerou"},{"literal":"Dagnran Anoumou"},{"literal":"Godonou Amivi"}],"issued":{"date-parts":[["2020",1]]}}}],"schema":"https://github.com/citation-style-language/schema/raw/master/csl-citation.json"} </w:instrText>
      </w:r>
      <w:r>
        <w:rPr>
          <w:rFonts w:ascii="Arial" w:eastAsiaTheme="majorEastAsia" w:hAnsi="Arial" w:cs="Arial"/>
          <w:bCs/>
          <w:sz w:val="20"/>
          <w:szCs w:val="20"/>
          <w:lang w:val="en-GB"/>
        </w:rPr>
        <w:fldChar w:fldCharType="separate"/>
      </w:r>
      <w:r w:rsidR="00123DC4" w:rsidRPr="00123DC4">
        <w:rPr>
          <w:rFonts w:ascii="Arial" w:hAnsi="Arial" w:cs="Arial"/>
          <w:sz w:val="20"/>
          <w:lang w:val="en-GB"/>
        </w:rPr>
        <w:t xml:space="preserve">(Dorkenoo </w:t>
      </w:r>
      <w:proofErr w:type="spellStart"/>
      <w:r w:rsidR="00123DC4" w:rsidRPr="00123DC4">
        <w:rPr>
          <w:rFonts w:ascii="Arial" w:hAnsi="Arial" w:cs="Arial"/>
          <w:sz w:val="20"/>
          <w:lang w:val="en-GB"/>
        </w:rPr>
        <w:t>Ameyo</w:t>
      </w:r>
      <w:proofErr w:type="spellEnd"/>
      <w:r w:rsidR="00123DC4" w:rsidRPr="00123DC4">
        <w:rPr>
          <w:rFonts w:ascii="Arial" w:hAnsi="Arial" w:cs="Arial"/>
          <w:sz w:val="20"/>
          <w:lang w:val="en-GB"/>
        </w:rPr>
        <w:t xml:space="preserve"> et al., 2020)</w:t>
      </w:r>
      <w:r>
        <w:rPr>
          <w:rFonts w:ascii="Arial" w:eastAsiaTheme="majorEastAsia" w:hAnsi="Arial" w:cs="Arial"/>
          <w:bCs/>
          <w:sz w:val="20"/>
          <w:szCs w:val="20"/>
          <w:lang w:val="en-GB"/>
        </w:rPr>
        <w:fldChar w:fldCharType="end"/>
      </w:r>
      <w:r w:rsidRPr="00BB4305">
        <w:rPr>
          <w:rFonts w:ascii="Arial" w:eastAsiaTheme="majorEastAsia" w:hAnsi="Arial" w:cs="Arial"/>
          <w:bCs/>
          <w:sz w:val="20"/>
          <w:szCs w:val="20"/>
          <w:lang w:val="en-GB"/>
        </w:rPr>
        <w:t xml:space="preserve">. The inhibition zone diameter (in mm) was measured using a calibrated </w:t>
      </w:r>
      <w:r w:rsidRPr="00BB4305">
        <w:rPr>
          <w:rFonts w:ascii="Arial" w:eastAsiaTheme="majorEastAsia" w:hAnsi="Arial" w:cs="Arial"/>
          <w:bCs/>
          <w:sz w:val="20"/>
          <w:szCs w:val="20"/>
          <w:lang w:val="en-GB"/>
        </w:rPr>
        <w:lastRenderedPageBreak/>
        <w:t xml:space="preserve">ruler and interpreted according to the standard zone size criteria recommended by the 2022 CASFM-EUCAST </w:t>
      </w:r>
      <w:r w:rsidR="00383316">
        <w:rPr>
          <w:rFonts w:ascii="Arial" w:eastAsiaTheme="majorEastAsia" w:hAnsi="Arial" w:cs="Arial"/>
          <w:bCs/>
          <w:sz w:val="20"/>
          <w:szCs w:val="20"/>
          <w:lang w:val="en-GB"/>
        </w:rPr>
        <w:t>[</w:t>
      </w:r>
      <w:r w:rsidRPr="00BB4305">
        <w:rPr>
          <w:rFonts w:ascii="Arial" w:eastAsiaTheme="majorEastAsia" w:hAnsi="Arial" w:cs="Arial"/>
          <w:bCs/>
          <w:sz w:val="20"/>
          <w:szCs w:val="20"/>
          <w:lang w:val="en-GB"/>
        </w:rPr>
        <w:t>European Committee on Antimicrobial Susceptibility Testing</w:t>
      </w:r>
      <w:r w:rsidR="00383316">
        <w:rPr>
          <w:rFonts w:ascii="Arial" w:eastAsiaTheme="majorEastAsia" w:hAnsi="Arial" w:cs="Arial"/>
          <w:bCs/>
          <w:sz w:val="20"/>
          <w:szCs w:val="20"/>
          <w:lang w:val="en-GB"/>
        </w:rPr>
        <w:t>]</w:t>
      </w:r>
      <w:r w:rsidRPr="00BB4305">
        <w:rPr>
          <w:rFonts w:ascii="Arial" w:eastAsiaTheme="majorEastAsia" w:hAnsi="Arial" w:cs="Arial"/>
          <w:bCs/>
          <w:sz w:val="20"/>
          <w:szCs w:val="20"/>
          <w:lang w:val="en-GB"/>
        </w:rPr>
        <w:t xml:space="preserve"> </w:t>
      </w:r>
      <w:r>
        <w:rPr>
          <w:rFonts w:ascii="Arial" w:eastAsiaTheme="majorEastAsia" w:hAnsi="Arial" w:cs="Arial"/>
          <w:bCs/>
          <w:sz w:val="20"/>
          <w:szCs w:val="20"/>
          <w:lang w:val="en-GB"/>
        </w:rPr>
        <w:fldChar w:fldCharType="begin"/>
      </w:r>
      <w:r w:rsidR="00B10927">
        <w:rPr>
          <w:rFonts w:ascii="Arial" w:eastAsiaTheme="majorEastAsia" w:hAnsi="Arial" w:cs="Arial"/>
          <w:bCs/>
          <w:sz w:val="20"/>
          <w:szCs w:val="20"/>
          <w:lang w:val="en-GB"/>
        </w:rPr>
        <w:instrText xml:space="preserve"> ADDIN ZOTERO_ITEM CSL_CITATION {"citationID":"ZZbK1Jru","properties":{"formattedCitation":"(Cattoir Vincent et al., 2022)","plainCitation":"(Cattoir Vincent et al., 2022)","noteIndex":0},"citationItems":[{"id":693,"uris":["http://zotero.org/users/local/FaVS37Do/items/RDZBW334"],"itemData":{"id":693,"type":"document","abstract":"Recommandations pour l'interprétation des antibiogrammes par  le Comité de l’antibiogramme\nde la\nSociété Française de\nMicrobiologie","language":"Français","publisher":"sfm-microbiologie","title":"Comité de l’antibiogramme de la Société Française de Microbiologie Recommandations 2022 V.1.0 Mai","title-short":"CA-SFM / EUCAST 2022","URL":"https://www.sfm-microbiologie.org/wp-content/uploads/2025/07/CASFM2022_V1.0-Juin.pdf","author":[{"literal":"Cattoir Vincent"},{"literal":"Schramm Frédéric"},{"literal":"Amara Marlène et al."}],"accessed":{"date-parts":[["2022",7,16]]},"issued":{"date-parts":[["2022",5,1]]}}}],"schema":"https://github.com/citation-style-language/schema/raw/master/csl-citation.json"} </w:instrText>
      </w:r>
      <w:r>
        <w:rPr>
          <w:rFonts w:ascii="Arial" w:eastAsiaTheme="majorEastAsia" w:hAnsi="Arial" w:cs="Arial"/>
          <w:bCs/>
          <w:sz w:val="20"/>
          <w:szCs w:val="20"/>
          <w:lang w:val="en-GB"/>
        </w:rPr>
        <w:fldChar w:fldCharType="separate"/>
      </w:r>
      <w:r w:rsidR="00123DC4" w:rsidRPr="00123DC4">
        <w:rPr>
          <w:rFonts w:ascii="Arial" w:hAnsi="Arial" w:cs="Arial"/>
          <w:sz w:val="20"/>
          <w:lang w:val="en-GB"/>
        </w:rPr>
        <w:t>(</w:t>
      </w:r>
      <w:proofErr w:type="spellStart"/>
      <w:r w:rsidR="00123DC4" w:rsidRPr="00123DC4">
        <w:rPr>
          <w:rFonts w:ascii="Arial" w:hAnsi="Arial" w:cs="Arial"/>
          <w:sz w:val="20"/>
          <w:lang w:val="en-GB"/>
        </w:rPr>
        <w:t>Cattoir</w:t>
      </w:r>
      <w:proofErr w:type="spellEnd"/>
      <w:r w:rsidR="00123DC4" w:rsidRPr="00123DC4">
        <w:rPr>
          <w:rFonts w:ascii="Arial" w:hAnsi="Arial" w:cs="Arial"/>
          <w:sz w:val="20"/>
          <w:lang w:val="en-GB"/>
        </w:rPr>
        <w:t xml:space="preserve"> Vincent et al., 2022)</w:t>
      </w:r>
      <w:r>
        <w:rPr>
          <w:rFonts w:ascii="Arial" w:eastAsiaTheme="majorEastAsia" w:hAnsi="Arial" w:cs="Arial"/>
          <w:bCs/>
          <w:sz w:val="20"/>
          <w:szCs w:val="20"/>
          <w:lang w:val="en-GB"/>
        </w:rPr>
        <w:fldChar w:fldCharType="end"/>
      </w:r>
      <w:r w:rsidRPr="00BB4305">
        <w:rPr>
          <w:rFonts w:ascii="Arial" w:eastAsiaTheme="majorEastAsia" w:hAnsi="Arial" w:cs="Arial"/>
          <w:bCs/>
          <w:sz w:val="20"/>
          <w:szCs w:val="20"/>
          <w:lang w:val="en-GB"/>
        </w:rPr>
        <w:t>.</w:t>
      </w:r>
    </w:p>
    <w:p w14:paraId="603CC91D" w14:textId="77777777" w:rsidR="00E9172D" w:rsidRDefault="00E9172D" w:rsidP="00441B6F">
      <w:pPr>
        <w:pStyle w:val="Body"/>
        <w:spacing w:after="0"/>
        <w:rPr>
          <w:rFonts w:ascii="Arial" w:hAnsi="Arial" w:cs="Arial"/>
          <w:b/>
          <w:caps/>
          <w:sz w:val="22"/>
          <w:szCs w:val="22"/>
        </w:rPr>
      </w:pPr>
    </w:p>
    <w:p w14:paraId="0B7312A6" w14:textId="1DEB2024" w:rsidR="00673B51" w:rsidRDefault="00673B51" w:rsidP="00441B6F">
      <w:pPr>
        <w:pStyle w:val="Body"/>
        <w:spacing w:after="0"/>
        <w:rPr>
          <w:rFonts w:ascii="Arial" w:hAnsi="Arial" w:cs="Arial"/>
          <w:b/>
          <w:bCs/>
          <w:lang w:val="en-GB"/>
        </w:rPr>
      </w:pPr>
      <w:r w:rsidRPr="00440FE5">
        <w:rPr>
          <w:rFonts w:ascii="Arial" w:hAnsi="Arial" w:cs="Arial"/>
          <w:b/>
          <w:caps/>
          <w:sz w:val="22"/>
          <w:szCs w:val="22"/>
        </w:rPr>
        <w:t>2.</w:t>
      </w:r>
      <w:r>
        <w:rPr>
          <w:rFonts w:ascii="Arial" w:hAnsi="Arial" w:cs="Arial"/>
          <w:b/>
          <w:caps/>
          <w:sz w:val="22"/>
          <w:szCs w:val="22"/>
        </w:rPr>
        <w:t xml:space="preserve">4 </w:t>
      </w:r>
      <w:r w:rsidRPr="00673B51">
        <w:rPr>
          <w:rFonts w:ascii="Arial" w:hAnsi="Arial" w:cs="Arial"/>
          <w:b/>
          <w:bCs/>
          <w:sz w:val="22"/>
          <w:szCs w:val="22"/>
          <w:lang w:val="en-GB"/>
        </w:rPr>
        <w:t>Data processing and analysis</w:t>
      </w:r>
    </w:p>
    <w:p w14:paraId="4C83A92F" w14:textId="77777777" w:rsidR="00673B51" w:rsidRDefault="00673B51" w:rsidP="00673B51">
      <w:pPr>
        <w:rPr>
          <w:rStyle w:val="lev"/>
          <w:rFonts w:ascii="Arial" w:hAnsi="Arial" w:cs="Arial"/>
          <w:b w:val="0"/>
          <w:bCs w:val="0"/>
          <w:lang w:val="en-GB"/>
        </w:rPr>
      </w:pPr>
    </w:p>
    <w:p w14:paraId="6CB981C9" w14:textId="19B193E6" w:rsidR="00673B51" w:rsidRPr="00673B51" w:rsidRDefault="00673B51" w:rsidP="00673B51">
      <w:pPr>
        <w:rPr>
          <w:rFonts w:ascii="Arial" w:hAnsi="Arial" w:cs="Arial"/>
          <w:b/>
          <w:bCs/>
          <w:i/>
          <w:lang w:val="en-GB"/>
        </w:rPr>
      </w:pPr>
      <w:r w:rsidRPr="00673B51">
        <w:rPr>
          <w:rStyle w:val="lev"/>
          <w:rFonts w:ascii="Arial" w:hAnsi="Arial" w:cs="Arial"/>
          <w:b w:val="0"/>
          <w:bCs w:val="0"/>
          <w:lang w:val="en-GB"/>
        </w:rPr>
        <w:t>Data entry was performed using Microsoft Excel 2020 software. Data processing and statistical analysis were carried out using R, Stata version 16, and Microsoft Excel 2020</w:t>
      </w:r>
      <w:r w:rsidRPr="00673B51">
        <w:rPr>
          <w:b/>
          <w:bCs/>
          <w:lang w:val="en-GB"/>
        </w:rPr>
        <w:t xml:space="preserve"> </w:t>
      </w:r>
      <w:r w:rsidRPr="00673B51">
        <w:rPr>
          <w:rStyle w:val="lev"/>
          <w:rFonts w:ascii="Arial" w:hAnsi="Arial" w:cs="Arial"/>
          <w:b w:val="0"/>
          <w:bCs w:val="0"/>
          <w:lang w:val="en-GB"/>
        </w:rPr>
        <w:t>software.</w:t>
      </w:r>
    </w:p>
    <w:p w14:paraId="23B4FF12" w14:textId="77777777" w:rsidR="00673B51" w:rsidRPr="00BB4305" w:rsidRDefault="00673B51" w:rsidP="00673B51">
      <w:pPr>
        <w:autoSpaceDE w:val="0"/>
        <w:autoSpaceDN w:val="0"/>
        <w:adjustRightInd w:val="0"/>
        <w:jc w:val="both"/>
        <w:rPr>
          <w:rFonts w:ascii="Arial" w:hAnsi="Arial" w:cs="Arial"/>
          <w:lang w:val="en-GB"/>
        </w:rPr>
      </w:pPr>
      <w:r w:rsidRPr="00BB4305">
        <w:rPr>
          <w:rFonts w:ascii="Arial" w:hAnsi="Arial" w:cs="Arial"/>
          <w:lang w:val="en-GB"/>
        </w:rPr>
        <w:t xml:space="preserve">Results were presented as numbers and proportions for qualitative variables, and as means and standard deviations for quantitative variables. Associations between categorical variables were evaluated using the Chi-square test or Fisher's exact test, and the immediate comparison of two proportions </w:t>
      </w:r>
      <w:r w:rsidRPr="00276968">
        <w:rPr>
          <w:rFonts w:ascii="Arial" w:hAnsi="Arial" w:cs="Arial"/>
          <w:lang w:val="en-GB"/>
        </w:rPr>
        <w:t>(</w:t>
      </w:r>
      <w:proofErr w:type="spellStart"/>
      <w:r w:rsidRPr="00276968">
        <w:rPr>
          <w:rFonts w:ascii="Arial" w:hAnsi="Arial" w:cs="Arial"/>
          <w:lang w:val="en-GB"/>
        </w:rPr>
        <w:t>prtest</w:t>
      </w:r>
      <w:proofErr w:type="spellEnd"/>
      <w:r w:rsidRPr="00276968">
        <w:rPr>
          <w:rFonts w:ascii="Arial" w:hAnsi="Arial" w:cs="Arial"/>
          <w:lang w:val="en-GB"/>
        </w:rPr>
        <w:t>)</w:t>
      </w:r>
      <w:r w:rsidRPr="00BB4305">
        <w:rPr>
          <w:rFonts w:ascii="Arial" w:hAnsi="Arial" w:cs="Arial"/>
          <w:lang w:val="en-GB"/>
        </w:rPr>
        <w:t xml:space="preserve"> as appropriate</w:t>
      </w:r>
      <w:r w:rsidRPr="0052742F">
        <w:rPr>
          <w:rFonts w:ascii="Arial" w:hAnsi="Arial" w:cs="Arial"/>
          <w:lang w:val="en-GB"/>
        </w:rPr>
        <w:t xml:space="preserve">. A </w:t>
      </w:r>
      <w:r w:rsidRPr="0052742F">
        <w:rPr>
          <w:rFonts w:ascii="Arial" w:hAnsi="Arial" w:cs="Arial"/>
          <w:i/>
          <w:iCs/>
          <w:lang w:val="en-GB"/>
        </w:rPr>
        <w:t>P</w:t>
      </w:r>
      <w:r w:rsidRPr="0052742F">
        <w:rPr>
          <w:rFonts w:ascii="Arial" w:hAnsi="Arial" w:cs="Arial"/>
          <w:lang w:val="en-GB"/>
        </w:rPr>
        <w:t>-value of less than 0.05 was considered statistically significant.</w:t>
      </w:r>
    </w:p>
    <w:p w14:paraId="71AA2389" w14:textId="77777777" w:rsidR="00673B51" w:rsidRPr="00BB4305" w:rsidRDefault="00673B51" w:rsidP="00673B51">
      <w:pPr>
        <w:spacing w:before="120" w:line="276" w:lineRule="auto"/>
        <w:jc w:val="both"/>
        <w:rPr>
          <w:rFonts w:ascii="Arial" w:hAnsi="Arial" w:cs="Arial"/>
          <w:b/>
          <w:lang w:val="en-GB"/>
        </w:rPr>
      </w:pPr>
    </w:p>
    <w:p w14:paraId="3BD15EB7" w14:textId="5B87042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2DDF6A2" w14:textId="77777777" w:rsidR="00E9172D" w:rsidRPr="00E9172D" w:rsidRDefault="00E9172D" w:rsidP="00E9172D">
      <w:pPr>
        <w:spacing w:line="276" w:lineRule="auto"/>
        <w:jc w:val="both"/>
        <w:rPr>
          <w:rFonts w:ascii="Arial" w:hAnsi="Arial" w:cs="Arial"/>
          <w:b/>
          <w:bCs/>
          <w:sz w:val="22"/>
          <w:szCs w:val="22"/>
          <w:lang w:val="en-GB"/>
        </w:rPr>
      </w:pPr>
    </w:p>
    <w:p w14:paraId="46DB0877" w14:textId="748EA70A" w:rsidR="00E9172D" w:rsidRDefault="00E9172D" w:rsidP="00E9172D">
      <w:pPr>
        <w:spacing w:line="276" w:lineRule="auto"/>
        <w:jc w:val="both"/>
        <w:rPr>
          <w:rFonts w:ascii="Arial" w:hAnsi="Arial" w:cs="Arial"/>
          <w:b/>
          <w:bCs/>
          <w:sz w:val="22"/>
          <w:szCs w:val="22"/>
          <w:lang w:val="en-GB"/>
        </w:rPr>
      </w:pPr>
      <w:r w:rsidRPr="00E9172D">
        <w:rPr>
          <w:rFonts w:ascii="Arial" w:hAnsi="Arial" w:cs="Arial"/>
          <w:b/>
          <w:bCs/>
          <w:sz w:val="22"/>
          <w:szCs w:val="22"/>
          <w:lang w:val="en-GB"/>
        </w:rPr>
        <w:t>3.1 Socio-demographic characteristics and admission data</w:t>
      </w:r>
    </w:p>
    <w:p w14:paraId="2CAC0579" w14:textId="77777777" w:rsidR="009568E6" w:rsidRPr="00E9172D" w:rsidRDefault="009568E6" w:rsidP="00E9172D">
      <w:pPr>
        <w:spacing w:line="276" w:lineRule="auto"/>
        <w:jc w:val="both"/>
        <w:rPr>
          <w:rFonts w:ascii="Arial" w:hAnsi="Arial" w:cs="Arial"/>
          <w:b/>
          <w:bCs/>
          <w:sz w:val="22"/>
          <w:szCs w:val="22"/>
          <w:highlight w:val="yellow"/>
          <w:lang w:val="en-GB"/>
        </w:rPr>
      </w:pPr>
    </w:p>
    <w:p w14:paraId="5BE0926C" w14:textId="77777777" w:rsidR="00E9172D" w:rsidRPr="00E9172D" w:rsidRDefault="00E9172D" w:rsidP="00E9172D">
      <w:pPr>
        <w:autoSpaceDE w:val="0"/>
        <w:autoSpaceDN w:val="0"/>
        <w:adjustRightInd w:val="0"/>
        <w:jc w:val="both"/>
        <w:rPr>
          <w:rFonts w:ascii="Arial" w:hAnsi="Arial" w:cs="Arial"/>
          <w:b/>
          <w:bCs/>
          <w:lang w:val="en-GB"/>
        </w:rPr>
      </w:pPr>
      <w:r w:rsidRPr="00BB4305">
        <w:rPr>
          <w:rFonts w:ascii="Arial" w:hAnsi="Arial" w:cs="Arial"/>
          <w:lang w:val="en-GB"/>
        </w:rPr>
        <w:t xml:space="preserve">A total of 203 children aged 0 days to 17 years were included in this study. Newborns were the most represented age group, accounting for 77.3% of the sample, followed by older children at 8.9%. Slightly over 73% of the children had a fever on admission, and 44.3% had a temperature above 38°C. Most of the children (44.9%) were transferred from the maternity ward for further care, and 37.4% were referred from another facility for better care. </w:t>
      </w:r>
      <w:r w:rsidRPr="00E9172D">
        <w:rPr>
          <w:rStyle w:val="lev"/>
          <w:rFonts w:ascii="Arial" w:hAnsi="Arial" w:cs="Arial"/>
          <w:b w:val="0"/>
          <w:bCs w:val="0"/>
          <w:lang w:val="en-GB"/>
        </w:rPr>
        <w:t>The remaining children were admitted directly for consultation. The average length of hospital stay was 8 days, with extremes of 4 and 25 days; 45.8% of the children had a hospital stay lasting between 5 and 10 days (Table 1).</w:t>
      </w:r>
    </w:p>
    <w:p w14:paraId="36F2B74B" w14:textId="77777777" w:rsidR="00E9172D" w:rsidRDefault="00E9172D" w:rsidP="00E9172D">
      <w:pPr>
        <w:autoSpaceDE w:val="0"/>
        <w:autoSpaceDN w:val="0"/>
        <w:adjustRightInd w:val="0"/>
        <w:spacing w:line="360" w:lineRule="auto"/>
        <w:jc w:val="both"/>
        <w:rPr>
          <w:rFonts w:ascii="Arial" w:hAnsi="Arial" w:cs="Arial"/>
          <w:b/>
          <w:lang w:val="en-GB"/>
        </w:rPr>
      </w:pPr>
    </w:p>
    <w:p w14:paraId="515E273A" w14:textId="1E967DCF" w:rsidR="00E9172D" w:rsidRPr="00F56DC0" w:rsidRDefault="00E9172D" w:rsidP="00F56DC0">
      <w:pPr>
        <w:autoSpaceDE w:val="0"/>
        <w:autoSpaceDN w:val="0"/>
        <w:adjustRightInd w:val="0"/>
        <w:spacing w:line="360" w:lineRule="auto"/>
        <w:jc w:val="both"/>
        <w:rPr>
          <w:rFonts w:ascii="Arial" w:hAnsi="Arial" w:cs="Arial"/>
          <w:b/>
          <w:lang w:val="en-GB"/>
        </w:rPr>
      </w:pPr>
      <w:r w:rsidRPr="00F56DC0">
        <w:rPr>
          <w:rFonts w:ascii="Arial" w:hAnsi="Arial" w:cs="Arial"/>
          <w:b/>
          <w:lang w:val="en-GB"/>
        </w:rPr>
        <w:t>Table 1</w:t>
      </w:r>
      <w:r w:rsidR="00F56DC0">
        <w:rPr>
          <w:rFonts w:ascii="Arial" w:hAnsi="Arial" w:cs="Arial"/>
          <w:b/>
          <w:lang w:val="en-GB"/>
        </w:rPr>
        <w:t>.</w:t>
      </w:r>
      <w:r w:rsidRPr="00F56DC0">
        <w:rPr>
          <w:rFonts w:ascii="Arial" w:hAnsi="Arial" w:cs="Arial"/>
          <w:b/>
          <w:lang w:val="en-GB"/>
        </w:rPr>
        <w:t xml:space="preserve"> </w:t>
      </w:r>
      <w:r w:rsidR="00F56DC0">
        <w:rPr>
          <w:rFonts w:ascii="Arial" w:hAnsi="Arial" w:cs="Arial"/>
          <w:b/>
          <w:lang w:val="en-GB"/>
        </w:rPr>
        <w:t xml:space="preserve">  </w:t>
      </w:r>
      <w:r w:rsidRPr="00F56DC0">
        <w:rPr>
          <w:rFonts w:ascii="Arial" w:hAnsi="Arial" w:cs="Arial"/>
          <w:b/>
          <w:lang w:val="en-GB"/>
        </w:rPr>
        <w:t>Distribution of hospitalized children on antibiotic therapy in p</w:t>
      </w:r>
      <w:r w:rsidR="00F56DC0" w:rsidRPr="00F56DC0">
        <w:rPr>
          <w:rFonts w:ascii="Arial" w:hAnsi="Arial" w:cs="Arial"/>
          <w:b/>
          <w:lang w:val="en-GB"/>
        </w:rPr>
        <w:t>a</w:t>
      </w:r>
      <w:r w:rsidRPr="00F56DC0">
        <w:rPr>
          <w:rFonts w:ascii="Arial" w:hAnsi="Arial" w:cs="Arial"/>
          <w:b/>
          <w:lang w:val="en-GB"/>
        </w:rPr>
        <w:t>ediatrics at CHU SO 2023, according to age, gender, and hospitalization data</w:t>
      </w:r>
    </w:p>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276"/>
        <w:gridCol w:w="1559"/>
      </w:tblGrid>
      <w:tr w:rsidR="00E9172D" w:rsidRPr="00F56DC0" w14:paraId="2CA5796A" w14:textId="77777777" w:rsidTr="00344259">
        <w:trPr>
          <w:trHeight w:val="20"/>
        </w:trPr>
        <w:tc>
          <w:tcPr>
            <w:tcW w:w="0" w:type="auto"/>
            <w:tcBorders>
              <w:top w:val="single" w:sz="4" w:space="0" w:color="auto"/>
              <w:bottom w:val="single" w:sz="4" w:space="0" w:color="auto"/>
            </w:tcBorders>
          </w:tcPr>
          <w:p w14:paraId="29F84DF7"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Characteristics</w:t>
            </w:r>
          </w:p>
        </w:tc>
        <w:tc>
          <w:tcPr>
            <w:tcW w:w="1276" w:type="dxa"/>
            <w:tcBorders>
              <w:top w:val="single" w:sz="4" w:space="0" w:color="auto"/>
              <w:bottom w:val="single" w:sz="4" w:space="0" w:color="auto"/>
            </w:tcBorders>
            <w:vAlign w:val="center"/>
          </w:tcPr>
          <w:p w14:paraId="35D3D286" w14:textId="77777777" w:rsidR="00E9172D" w:rsidRPr="00F56DC0" w:rsidRDefault="00E9172D" w:rsidP="00344259">
            <w:pPr>
              <w:spacing w:before="40" w:after="40"/>
              <w:jc w:val="center"/>
              <w:rPr>
                <w:rFonts w:ascii="Arial" w:hAnsi="Arial" w:cs="Arial"/>
                <w:b/>
                <w:bCs/>
                <w:sz w:val="20"/>
                <w:szCs w:val="20"/>
              </w:rPr>
            </w:pPr>
            <w:r w:rsidRPr="00F56DC0">
              <w:rPr>
                <w:rFonts w:ascii="Arial" w:hAnsi="Arial" w:cs="Arial"/>
                <w:b/>
                <w:bCs/>
                <w:sz w:val="20"/>
                <w:szCs w:val="20"/>
              </w:rPr>
              <w:t>Number (n)</w:t>
            </w:r>
          </w:p>
        </w:tc>
        <w:tc>
          <w:tcPr>
            <w:tcW w:w="1559" w:type="dxa"/>
            <w:tcBorders>
              <w:top w:val="single" w:sz="4" w:space="0" w:color="auto"/>
              <w:bottom w:val="single" w:sz="4" w:space="0" w:color="auto"/>
            </w:tcBorders>
            <w:vAlign w:val="center"/>
          </w:tcPr>
          <w:p w14:paraId="1A4037B2" w14:textId="77777777" w:rsidR="00E9172D" w:rsidRPr="00F56DC0" w:rsidRDefault="00E9172D" w:rsidP="00344259">
            <w:pPr>
              <w:spacing w:before="40" w:after="40"/>
              <w:jc w:val="center"/>
              <w:rPr>
                <w:rFonts w:ascii="Arial" w:hAnsi="Arial" w:cs="Arial"/>
                <w:b/>
                <w:bCs/>
                <w:sz w:val="20"/>
                <w:szCs w:val="20"/>
              </w:rPr>
            </w:pPr>
            <w:r w:rsidRPr="00F56DC0">
              <w:rPr>
                <w:rFonts w:ascii="Arial" w:hAnsi="Arial" w:cs="Arial"/>
                <w:b/>
                <w:bCs/>
                <w:sz w:val="20"/>
                <w:szCs w:val="20"/>
              </w:rPr>
              <w:t>Proportion (%)</w:t>
            </w:r>
          </w:p>
        </w:tc>
      </w:tr>
      <w:tr w:rsidR="00E9172D" w:rsidRPr="00F56DC0" w14:paraId="67531429" w14:textId="77777777" w:rsidTr="00344259">
        <w:trPr>
          <w:trHeight w:val="20"/>
        </w:trPr>
        <w:tc>
          <w:tcPr>
            <w:tcW w:w="0" w:type="auto"/>
            <w:tcBorders>
              <w:top w:val="single" w:sz="4" w:space="0" w:color="auto"/>
            </w:tcBorders>
          </w:tcPr>
          <w:p w14:paraId="632F9180"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Age</w:t>
            </w:r>
          </w:p>
        </w:tc>
        <w:tc>
          <w:tcPr>
            <w:tcW w:w="1276" w:type="dxa"/>
            <w:tcBorders>
              <w:top w:val="single" w:sz="4" w:space="0" w:color="auto"/>
            </w:tcBorders>
            <w:vAlign w:val="center"/>
          </w:tcPr>
          <w:p w14:paraId="32EDCBF8" w14:textId="77777777" w:rsidR="00E9172D" w:rsidRPr="00F56DC0" w:rsidRDefault="00E9172D" w:rsidP="00344259">
            <w:pPr>
              <w:spacing w:before="40" w:after="40"/>
              <w:jc w:val="center"/>
              <w:rPr>
                <w:rFonts w:ascii="Arial" w:hAnsi="Arial" w:cs="Arial"/>
                <w:sz w:val="20"/>
                <w:szCs w:val="20"/>
              </w:rPr>
            </w:pPr>
          </w:p>
        </w:tc>
        <w:tc>
          <w:tcPr>
            <w:tcW w:w="1559" w:type="dxa"/>
            <w:tcBorders>
              <w:top w:val="single" w:sz="4" w:space="0" w:color="auto"/>
            </w:tcBorders>
            <w:vAlign w:val="center"/>
          </w:tcPr>
          <w:p w14:paraId="67B6B538" w14:textId="77777777" w:rsidR="00E9172D" w:rsidRPr="00F56DC0" w:rsidRDefault="00E9172D" w:rsidP="00344259">
            <w:pPr>
              <w:spacing w:before="40" w:after="40"/>
              <w:jc w:val="center"/>
              <w:rPr>
                <w:rFonts w:ascii="Arial" w:hAnsi="Arial" w:cs="Arial"/>
                <w:sz w:val="20"/>
                <w:szCs w:val="20"/>
              </w:rPr>
            </w:pPr>
          </w:p>
        </w:tc>
      </w:tr>
      <w:tr w:rsidR="00E9172D" w:rsidRPr="00F56DC0" w14:paraId="0510FC43" w14:textId="77777777" w:rsidTr="00344259">
        <w:trPr>
          <w:trHeight w:val="20"/>
        </w:trPr>
        <w:tc>
          <w:tcPr>
            <w:tcW w:w="0" w:type="auto"/>
          </w:tcPr>
          <w:p w14:paraId="79395B88"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Newborns (0–28 days)</w:t>
            </w:r>
          </w:p>
        </w:tc>
        <w:tc>
          <w:tcPr>
            <w:tcW w:w="1276" w:type="dxa"/>
            <w:vAlign w:val="center"/>
          </w:tcPr>
          <w:p w14:paraId="28796D2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157</w:t>
            </w:r>
          </w:p>
        </w:tc>
        <w:tc>
          <w:tcPr>
            <w:tcW w:w="1559" w:type="dxa"/>
            <w:vAlign w:val="center"/>
          </w:tcPr>
          <w:p w14:paraId="555DA85E"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77.3</w:t>
            </w:r>
          </w:p>
        </w:tc>
      </w:tr>
      <w:tr w:rsidR="00E9172D" w:rsidRPr="00F56DC0" w14:paraId="46EB4306" w14:textId="77777777" w:rsidTr="00344259">
        <w:trPr>
          <w:trHeight w:val="20"/>
        </w:trPr>
        <w:tc>
          <w:tcPr>
            <w:tcW w:w="0" w:type="auto"/>
          </w:tcPr>
          <w:p w14:paraId="77AA4F35"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Infants (1 month – 2 years)</w:t>
            </w:r>
          </w:p>
        </w:tc>
        <w:tc>
          <w:tcPr>
            <w:tcW w:w="1276" w:type="dxa"/>
            <w:vAlign w:val="center"/>
          </w:tcPr>
          <w:p w14:paraId="5BAD9F49"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6</w:t>
            </w:r>
          </w:p>
        </w:tc>
        <w:tc>
          <w:tcPr>
            <w:tcW w:w="1559" w:type="dxa"/>
            <w:vAlign w:val="center"/>
          </w:tcPr>
          <w:p w14:paraId="2EC49740"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3.0</w:t>
            </w:r>
          </w:p>
        </w:tc>
      </w:tr>
      <w:tr w:rsidR="00E9172D" w:rsidRPr="00F56DC0" w14:paraId="4664E2D4" w14:textId="77777777" w:rsidTr="00344259">
        <w:trPr>
          <w:trHeight w:val="20"/>
        </w:trPr>
        <w:tc>
          <w:tcPr>
            <w:tcW w:w="0" w:type="auto"/>
          </w:tcPr>
          <w:p w14:paraId="4A770FAD"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Young children (2–5 years)</w:t>
            </w:r>
          </w:p>
        </w:tc>
        <w:tc>
          <w:tcPr>
            <w:tcW w:w="1276" w:type="dxa"/>
            <w:vAlign w:val="center"/>
          </w:tcPr>
          <w:p w14:paraId="54A13929"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15</w:t>
            </w:r>
          </w:p>
        </w:tc>
        <w:tc>
          <w:tcPr>
            <w:tcW w:w="1559" w:type="dxa"/>
            <w:vAlign w:val="center"/>
          </w:tcPr>
          <w:p w14:paraId="481AC784"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7.4</w:t>
            </w:r>
          </w:p>
        </w:tc>
      </w:tr>
      <w:tr w:rsidR="00E9172D" w:rsidRPr="00F56DC0" w14:paraId="494F696D" w14:textId="77777777" w:rsidTr="00344259">
        <w:trPr>
          <w:trHeight w:val="20"/>
        </w:trPr>
        <w:tc>
          <w:tcPr>
            <w:tcW w:w="0" w:type="auto"/>
          </w:tcPr>
          <w:p w14:paraId="275EAA9F"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Older children (5–11 years)</w:t>
            </w:r>
          </w:p>
        </w:tc>
        <w:tc>
          <w:tcPr>
            <w:tcW w:w="1276" w:type="dxa"/>
            <w:vAlign w:val="center"/>
          </w:tcPr>
          <w:p w14:paraId="75C453CD"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18</w:t>
            </w:r>
          </w:p>
        </w:tc>
        <w:tc>
          <w:tcPr>
            <w:tcW w:w="1559" w:type="dxa"/>
            <w:vAlign w:val="center"/>
          </w:tcPr>
          <w:p w14:paraId="07CFC89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8.9</w:t>
            </w:r>
          </w:p>
        </w:tc>
      </w:tr>
      <w:tr w:rsidR="00E9172D" w:rsidRPr="00F56DC0" w14:paraId="213F6C5A" w14:textId="77777777" w:rsidTr="00344259">
        <w:trPr>
          <w:trHeight w:val="20"/>
        </w:trPr>
        <w:tc>
          <w:tcPr>
            <w:tcW w:w="0" w:type="auto"/>
          </w:tcPr>
          <w:p w14:paraId="068C5E42"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Teenager (11–17 years)</w:t>
            </w:r>
          </w:p>
        </w:tc>
        <w:tc>
          <w:tcPr>
            <w:tcW w:w="1276" w:type="dxa"/>
            <w:vAlign w:val="center"/>
          </w:tcPr>
          <w:p w14:paraId="5208AD6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w:t>
            </w:r>
          </w:p>
        </w:tc>
        <w:tc>
          <w:tcPr>
            <w:tcW w:w="1559" w:type="dxa"/>
            <w:vAlign w:val="center"/>
          </w:tcPr>
          <w:p w14:paraId="31F1B87D"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3.4</w:t>
            </w:r>
          </w:p>
        </w:tc>
      </w:tr>
      <w:tr w:rsidR="00E9172D" w:rsidRPr="00F56DC0" w14:paraId="42872785" w14:textId="77777777" w:rsidTr="00344259">
        <w:trPr>
          <w:trHeight w:val="20"/>
        </w:trPr>
        <w:tc>
          <w:tcPr>
            <w:tcW w:w="0" w:type="auto"/>
          </w:tcPr>
          <w:p w14:paraId="192C837A"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Gender</w:t>
            </w:r>
          </w:p>
        </w:tc>
        <w:tc>
          <w:tcPr>
            <w:tcW w:w="1276" w:type="dxa"/>
            <w:vAlign w:val="center"/>
          </w:tcPr>
          <w:p w14:paraId="5BBC9D6F"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6DF09B6A" w14:textId="77777777" w:rsidR="00E9172D" w:rsidRPr="00F56DC0" w:rsidRDefault="00E9172D" w:rsidP="00344259">
            <w:pPr>
              <w:spacing w:before="40" w:after="40"/>
              <w:jc w:val="center"/>
              <w:rPr>
                <w:rFonts w:ascii="Arial" w:hAnsi="Arial" w:cs="Arial"/>
                <w:sz w:val="20"/>
                <w:szCs w:val="20"/>
              </w:rPr>
            </w:pPr>
          </w:p>
        </w:tc>
      </w:tr>
      <w:tr w:rsidR="00E9172D" w:rsidRPr="00F56DC0" w14:paraId="754E0460" w14:textId="77777777" w:rsidTr="00344259">
        <w:trPr>
          <w:trHeight w:val="20"/>
        </w:trPr>
        <w:tc>
          <w:tcPr>
            <w:tcW w:w="0" w:type="auto"/>
          </w:tcPr>
          <w:p w14:paraId="5603F674"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Male</w:t>
            </w:r>
          </w:p>
        </w:tc>
        <w:tc>
          <w:tcPr>
            <w:tcW w:w="1276" w:type="dxa"/>
            <w:vAlign w:val="center"/>
          </w:tcPr>
          <w:p w14:paraId="71129183"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121</w:t>
            </w:r>
          </w:p>
        </w:tc>
        <w:tc>
          <w:tcPr>
            <w:tcW w:w="1559" w:type="dxa"/>
            <w:vAlign w:val="center"/>
          </w:tcPr>
          <w:p w14:paraId="70653277"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59.6</w:t>
            </w:r>
          </w:p>
        </w:tc>
      </w:tr>
      <w:tr w:rsidR="00E9172D" w:rsidRPr="00F56DC0" w14:paraId="7B31C1C3" w14:textId="77777777" w:rsidTr="00344259">
        <w:trPr>
          <w:trHeight w:val="20"/>
        </w:trPr>
        <w:tc>
          <w:tcPr>
            <w:tcW w:w="0" w:type="auto"/>
          </w:tcPr>
          <w:p w14:paraId="4D0ACE89"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 xml:space="preserve">Female </w:t>
            </w:r>
          </w:p>
        </w:tc>
        <w:tc>
          <w:tcPr>
            <w:tcW w:w="1276" w:type="dxa"/>
            <w:vAlign w:val="center"/>
          </w:tcPr>
          <w:p w14:paraId="32A23AC2"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82</w:t>
            </w:r>
          </w:p>
        </w:tc>
        <w:tc>
          <w:tcPr>
            <w:tcW w:w="1559" w:type="dxa"/>
            <w:vAlign w:val="center"/>
          </w:tcPr>
          <w:p w14:paraId="14B4E7E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40.4</w:t>
            </w:r>
          </w:p>
        </w:tc>
      </w:tr>
      <w:tr w:rsidR="00E9172D" w:rsidRPr="00F56DC0" w14:paraId="2CD990C0" w14:textId="77777777" w:rsidTr="00344259">
        <w:trPr>
          <w:trHeight w:val="20"/>
        </w:trPr>
        <w:tc>
          <w:tcPr>
            <w:tcW w:w="0" w:type="auto"/>
          </w:tcPr>
          <w:p w14:paraId="3EE35A2A"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Admission Method</w:t>
            </w:r>
          </w:p>
        </w:tc>
        <w:tc>
          <w:tcPr>
            <w:tcW w:w="1276" w:type="dxa"/>
            <w:vAlign w:val="center"/>
          </w:tcPr>
          <w:p w14:paraId="3306CEB5"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2734BA3D" w14:textId="77777777" w:rsidR="00E9172D" w:rsidRPr="00F56DC0" w:rsidRDefault="00E9172D" w:rsidP="00344259">
            <w:pPr>
              <w:spacing w:before="40" w:after="40"/>
              <w:jc w:val="center"/>
              <w:rPr>
                <w:rFonts w:ascii="Arial" w:hAnsi="Arial" w:cs="Arial"/>
                <w:sz w:val="20"/>
                <w:szCs w:val="20"/>
              </w:rPr>
            </w:pPr>
          </w:p>
        </w:tc>
      </w:tr>
      <w:tr w:rsidR="00E9172D" w:rsidRPr="00F56DC0" w14:paraId="092B4864" w14:textId="77777777" w:rsidTr="00344259">
        <w:trPr>
          <w:trHeight w:val="20"/>
        </w:trPr>
        <w:tc>
          <w:tcPr>
            <w:tcW w:w="0" w:type="auto"/>
          </w:tcPr>
          <w:p w14:paraId="3192E061"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Consultation</w:t>
            </w:r>
          </w:p>
        </w:tc>
        <w:tc>
          <w:tcPr>
            <w:tcW w:w="1276" w:type="dxa"/>
            <w:vAlign w:val="bottom"/>
          </w:tcPr>
          <w:p w14:paraId="6AB6BFC7"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w:t>
            </w:r>
          </w:p>
        </w:tc>
        <w:tc>
          <w:tcPr>
            <w:tcW w:w="1559" w:type="dxa"/>
            <w:vAlign w:val="bottom"/>
          </w:tcPr>
          <w:p w14:paraId="7FE82DA0"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21.7</w:t>
            </w:r>
          </w:p>
        </w:tc>
      </w:tr>
      <w:tr w:rsidR="00E9172D" w:rsidRPr="00F56DC0" w14:paraId="3B4B9EAE" w14:textId="77777777" w:rsidTr="00344259">
        <w:trPr>
          <w:trHeight w:val="20"/>
        </w:trPr>
        <w:tc>
          <w:tcPr>
            <w:tcW w:w="0" w:type="auto"/>
          </w:tcPr>
          <w:p w14:paraId="5C84E224"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Referral</w:t>
            </w:r>
          </w:p>
        </w:tc>
        <w:tc>
          <w:tcPr>
            <w:tcW w:w="1276" w:type="dxa"/>
            <w:vAlign w:val="bottom"/>
          </w:tcPr>
          <w:p w14:paraId="70E479A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76</w:t>
            </w:r>
          </w:p>
        </w:tc>
        <w:tc>
          <w:tcPr>
            <w:tcW w:w="1559" w:type="dxa"/>
            <w:vAlign w:val="bottom"/>
          </w:tcPr>
          <w:p w14:paraId="081C288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37.4</w:t>
            </w:r>
          </w:p>
        </w:tc>
      </w:tr>
      <w:tr w:rsidR="00E9172D" w:rsidRPr="00F56DC0" w14:paraId="51828210" w14:textId="77777777" w:rsidTr="00344259">
        <w:trPr>
          <w:trHeight w:val="20"/>
        </w:trPr>
        <w:tc>
          <w:tcPr>
            <w:tcW w:w="0" w:type="auto"/>
          </w:tcPr>
          <w:p w14:paraId="5F1358AB"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Transfer of a service</w:t>
            </w:r>
          </w:p>
        </w:tc>
        <w:tc>
          <w:tcPr>
            <w:tcW w:w="1276" w:type="dxa"/>
            <w:vAlign w:val="bottom"/>
          </w:tcPr>
          <w:p w14:paraId="043D81B3"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83</w:t>
            </w:r>
          </w:p>
        </w:tc>
        <w:tc>
          <w:tcPr>
            <w:tcW w:w="1559" w:type="dxa"/>
            <w:vAlign w:val="bottom"/>
          </w:tcPr>
          <w:p w14:paraId="46A560E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40.9</w:t>
            </w:r>
          </w:p>
        </w:tc>
      </w:tr>
      <w:tr w:rsidR="00E9172D" w:rsidRPr="00F56DC0" w14:paraId="363EA9B5" w14:textId="77777777" w:rsidTr="00344259">
        <w:trPr>
          <w:trHeight w:val="20"/>
        </w:trPr>
        <w:tc>
          <w:tcPr>
            <w:tcW w:w="0" w:type="auto"/>
            <w:shd w:val="clear" w:color="auto" w:fill="FFFFFF" w:themeFill="background1"/>
          </w:tcPr>
          <w:p w14:paraId="16C46FFD" w14:textId="77777777" w:rsidR="00E9172D" w:rsidRPr="00F56DC0" w:rsidRDefault="00E9172D" w:rsidP="00344259">
            <w:pPr>
              <w:spacing w:before="40" w:after="40"/>
              <w:jc w:val="both"/>
              <w:rPr>
                <w:rFonts w:ascii="Arial" w:hAnsi="Arial" w:cs="Arial"/>
                <w:b/>
                <w:sz w:val="20"/>
                <w:szCs w:val="20"/>
              </w:rPr>
            </w:pPr>
            <w:r w:rsidRPr="00F56DC0">
              <w:rPr>
                <w:rFonts w:ascii="Arial" w:hAnsi="Arial" w:cs="Arial"/>
                <w:b/>
                <w:sz w:val="20"/>
                <w:szCs w:val="20"/>
              </w:rPr>
              <w:lastRenderedPageBreak/>
              <w:t>Length of Hospital Stay</w:t>
            </w:r>
          </w:p>
        </w:tc>
        <w:tc>
          <w:tcPr>
            <w:tcW w:w="1276" w:type="dxa"/>
            <w:vAlign w:val="center"/>
          </w:tcPr>
          <w:p w14:paraId="0908FE07"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3906001A" w14:textId="77777777" w:rsidR="00E9172D" w:rsidRPr="00F56DC0" w:rsidRDefault="00E9172D" w:rsidP="00344259">
            <w:pPr>
              <w:spacing w:before="40" w:after="40"/>
              <w:jc w:val="center"/>
              <w:rPr>
                <w:rFonts w:ascii="Arial" w:hAnsi="Arial" w:cs="Arial"/>
                <w:sz w:val="20"/>
                <w:szCs w:val="20"/>
              </w:rPr>
            </w:pPr>
          </w:p>
        </w:tc>
      </w:tr>
      <w:tr w:rsidR="00E9172D" w:rsidRPr="00F56DC0" w14:paraId="19328E07" w14:textId="77777777" w:rsidTr="00344259">
        <w:trPr>
          <w:trHeight w:val="20"/>
        </w:trPr>
        <w:tc>
          <w:tcPr>
            <w:tcW w:w="0" w:type="auto"/>
            <w:shd w:val="clear" w:color="auto" w:fill="FFFFFF" w:themeFill="background1"/>
          </w:tcPr>
          <w:p w14:paraId="1D014A71"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Short stay (1, 2, 3 days)</w:t>
            </w:r>
          </w:p>
        </w:tc>
        <w:tc>
          <w:tcPr>
            <w:tcW w:w="1276" w:type="dxa"/>
            <w:vAlign w:val="bottom"/>
          </w:tcPr>
          <w:p w14:paraId="559181AE"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31</w:t>
            </w:r>
          </w:p>
        </w:tc>
        <w:tc>
          <w:tcPr>
            <w:tcW w:w="1559" w:type="dxa"/>
            <w:vAlign w:val="bottom"/>
          </w:tcPr>
          <w:p w14:paraId="4A28C5A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15.3</w:t>
            </w:r>
          </w:p>
        </w:tc>
      </w:tr>
      <w:tr w:rsidR="00E9172D" w:rsidRPr="00F56DC0" w14:paraId="6BC5238F" w14:textId="77777777" w:rsidTr="00344259">
        <w:trPr>
          <w:trHeight w:val="20"/>
        </w:trPr>
        <w:tc>
          <w:tcPr>
            <w:tcW w:w="0" w:type="auto"/>
            <w:shd w:val="clear" w:color="auto" w:fill="FFFFFF" w:themeFill="background1"/>
          </w:tcPr>
          <w:p w14:paraId="437F628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Medium stay (4, 5 days)</w:t>
            </w:r>
          </w:p>
        </w:tc>
        <w:tc>
          <w:tcPr>
            <w:tcW w:w="1276" w:type="dxa"/>
            <w:vAlign w:val="bottom"/>
          </w:tcPr>
          <w:p w14:paraId="08F3D9E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40</w:t>
            </w:r>
          </w:p>
        </w:tc>
        <w:tc>
          <w:tcPr>
            <w:tcW w:w="1559" w:type="dxa"/>
            <w:vAlign w:val="bottom"/>
          </w:tcPr>
          <w:p w14:paraId="0DFADB8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19.7</w:t>
            </w:r>
          </w:p>
        </w:tc>
      </w:tr>
      <w:tr w:rsidR="00E9172D" w:rsidRPr="00F56DC0" w14:paraId="523468C1" w14:textId="77777777" w:rsidTr="00344259">
        <w:trPr>
          <w:trHeight w:val="20"/>
        </w:trPr>
        <w:tc>
          <w:tcPr>
            <w:tcW w:w="0" w:type="auto"/>
            <w:shd w:val="clear" w:color="auto" w:fill="FFFFFF" w:themeFill="background1"/>
          </w:tcPr>
          <w:p w14:paraId="04F20A6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Long stay (&gt; 5 days)</w:t>
            </w:r>
          </w:p>
        </w:tc>
        <w:tc>
          <w:tcPr>
            <w:tcW w:w="1276" w:type="dxa"/>
            <w:vAlign w:val="bottom"/>
          </w:tcPr>
          <w:p w14:paraId="5485E92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93</w:t>
            </w:r>
          </w:p>
        </w:tc>
        <w:tc>
          <w:tcPr>
            <w:tcW w:w="1559" w:type="dxa"/>
            <w:vAlign w:val="bottom"/>
          </w:tcPr>
          <w:p w14:paraId="304E984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45.8</w:t>
            </w:r>
          </w:p>
        </w:tc>
      </w:tr>
      <w:tr w:rsidR="00E9172D" w:rsidRPr="00F56DC0" w14:paraId="17119D5F" w14:textId="77777777" w:rsidTr="00344259">
        <w:trPr>
          <w:trHeight w:val="20"/>
        </w:trPr>
        <w:tc>
          <w:tcPr>
            <w:tcW w:w="0" w:type="auto"/>
            <w:shd w:val="clear" w:color="auto" w:fill="FFFFFF" w:themeFill="background1"/>
          </w:tcPr>
          <w:p w14:paraId="3FA39E36"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&gt; 10 days</w:t>
            </w:r>
          </w:p>
        </w:tc>
        <w:tc>
          <w:tcPr>
            <w:tcW w:w="1276" w:type="dxa"/>
            <w:vAlign w:val="bottom"/>
          </w:tcPr>
          <w:p w14:paraId="02F95F4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39</w:t>
            </w:r>
          </w:p>
        </w:tc>
        <w:tc>
          <w:tcPr>
            <w:tcW w:w="1559" w:type="dxa"/>
            <w:vAlign w:val="bottom"/>
          </w:tcPr>
          <w:p w14:paraId="33C7E7B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19.2</w:t>
            </w:r>
          </w:p>
        </w:tc>
      </w:tr>
      <w:tr w:rsidR="00E9172D" w:rsidRPr="00F56DC0" w14:paraId="2DF6E0FC" w14:textId="77777777" w:rsidTr="00344259">
        <w:trPr>
          <w:trHeight w:val="20"/>
        </w:trPr>
        <w:tc>
          <w:tcPr>
            <w:tcW w:w="0" w:type="auto"/>
          </w:tcPr>
          <w:p w14:paraId="19CF04FB" w14:textId="77777777" w:rsidR="00E9172D" w:rsidRPr="00F56DC0" w:rsidRDefault="00E9172D" w:rsidP="00344259">
            <w:pPr>
              <w:spacing w:before="40" w:after="40"/>
              <w:jc w:val="both"/>
              <w:rPr>
                <w:rFonts w:ascii="Arial" w:hAnsi="Arial" w:cs="Arial"/>
                <w:b/>
                <w:sz w:val="20"/>
                <w:szCs w:val="20"/>
              </w:rPr>
            </w:pPr>
            <w:r w:rsidRPr="00F56DC0">
              <w:rPr>
                <w:rFonts w:ascii="Arial" w:hAnsi="Arial" w:cs="Arial"/>
                <w:b/>
                <w:sz w:val="20"/>
                <w:szCs w:val="20"/>
              </w:rPr>
              <w:t>Temperature at entry</w:t>
            </w:r>
          </w:p>
        </w:tc>
        <w:tc>
          <w:tcPr>
            <w:tcW w:w="1276" w:type="dxa"/>
            <w:vAlign w:val="center"/>
          </w:tcPr>
          <w:p w14:paraId="35FEBEE4"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08EE0307" w14:textId="77777777" w:rsidR="00E9172D" w:rsidRPr="00F56DC0" w:rsidRDefault="00E9172D" w:rsidP="00344259">
            <w:pPr>
              <w:spacing w:before="40" w:after="40"/>
              <w:jc w:val="center"/>
              <w:rPr>
                <w:rFonts w:ascii="Arial" w:hAnsi="Arial" w:cs="Arial"/>
                <w:sz w:val="20"/>
                <w:szCs w:val="20"/>
              </w:rPr>
            </w:pPr>
          </w:p>
        </w:tc>
      </w:tr>
      <w:tr w:rsidR="00E9172D" w:rsidRPr="00F56DC0" w14:paraId="441280AC" w14:textId="77777777" w:rsidTr="00344259">
        <w:trPr>
          <w:trHeight w:val="20"/>
        </w:trPr>
        <w:tc>
          <w:tcPr>
            <w:tcW w:w="0" w:type="auto"/>
          </w:tcPr>
          <w:p w14:paraId="7321FB49"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&lt; 36°C</w:t>
            </w:r>
          </w:p>
        </w:tc>
        <w:tc>
          <w:tcPr>
            <w:tcW w:w="1276" w:type="dxa"/>
            <w:vAlign w:val="bottom"/>
          </w:tcPr>
          <w:p w14:paraId="79B2144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w:t>
            </w:r>
          </w:p>
        </w:tc>
        <w:tc>
          <w:tcPr>
            <w:tcW w:w="1559" w:type="dxa"/>
            <w:vAlign w:val="bottom"/>
          </w:tcPr>
          <w:p w14:paraId="3FC001D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1.0</w:t>
            </w:r>
          </w:p>
        </w:tc>
      </w:tr>
      <w:tr w:rsidR="00E9172D" w:rsidRPr="00F56DC0" w14:paraId="3721F6DD" w14:textId="77777777" w:rsidTr="00344259">
        <w:trPr>
          <w:trHeight w:val="20"/>
        </w:trPr>
        <w:tc>
          <w:tcPr>
            <w:tcW w:w="0" w:type="auto"/>
          </w:tcPr>
          <w:p w14:paraId="14DF26D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36°-37°5C</w:t>
            </w:r>
          </w:p>
        </w:tc>
        <w:tc>
          <w:tcPr>
            <w:tcW w:w="1276" w:type="dxa"/>
            <w:vAlign w:val="bottom"/>
          </w:tcPr>
          <w:p w14:paraId="4FE1F692"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w:t>
            </w:r>
          </w:p>
        </w:tc>
        <w:tc>
          <w:tcPr>
            <w:tcW w:w="1559" w:type="dxa"/>
            <w:vAlign w:val="bottom"/>
          </w:tcPr>
          <w:p w14:paraId="2ABD318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21.7</w:t>
            </w:r>
          </w:p>
        </w:tc>
      </w:tr>
      <w:tr w:rsidR="00E9172D" w:rsidRPr="00F56DC0" w14:paraId="620B3586" w14:textId="77777777" w:rsidTr="00344259">
        <w:trPr>
          <w:trHeight w:val="20"/>
        </w:trPr>
        <w:tc>
          <w:tcPr>
            <w:tcW w:w="0" w:type="auto"/>
          </w:tcPr>
          <w:p w14:paraId="2D084890"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37°6-38°C</w:t>
            </w:r>
          </w:p>
        </w:tc>
        <w:tc>
          <w:tcPr>
            <w:tcW w:w="1276" w:type="dxa"/>
            <w:vAlign w:val="bottom"/>
          </w:tcPr>
          <w:p w14:paraId="31D492B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67</w:t>
            </w:r>
          </w:p>
        </w:tc>
        <w:tc>
          <w:tcPr>
            <w:tcW w:w="1559" w:type="dxa"/>
            <w:vAlign w:val="bottom"/>
          </w:tcPr>
          <w:p w14:paraId="430CEDC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33.0</w:t>
            </w:r>
          </w:p>
        </w:tc>
      </w:tr>
      <w:tr w:rsidR="00E9172D" w:rsidRPr="00F56DC0" w14:paraId="3C1DDAF3" w14:textId="77777777" w:rsidTr="00344259">
        <w:trPr>
          <w:trHeight w:val="20"/>
        </w:trPr>
        <w:tc>
          <w:tcPr>
            <w:tcW w:w="0" w:type="auto"/>
            <w:tcBorders>
              <w:bottom w:val="single" w:sz="4" w:space="0" w:color="auto"/>
            </w:tcBorders>
          </w:tcPr>
          <w:p w14:paraId="6311390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 38°-40°C</w:t>
            </w:r>
          </w:p>
        </w:tc>
        <w:tc>
          <w:tcPr>
            <w:tcW w:w="1276" w:type="dxa"/>
            <w:tcBorders>
              <w:bottom w:val="single" w:sz="4" w:space="0" w:color="auto"/>
            </w:tcBorders>
            <w:vAlign w:val="bottom"/>
          </w:tcPr>
          <w:p w14:paraId="26C5E29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90</w:t>
            </w:r>
          </w:p>
        </w:tc>
        <w:tc>
          <w:tcPr>
            <w:tcW w:w="1559" w:type="dxa"/>
            <w:tcBorders>
              <w:bottom w:val="single" w:sz="4" w:space="0" w:color="auto"/>
            </w:tcBorders>
            <w:vAlign w:val="bottom"/>
          </w:tcPr>
          <w:p w14:paraId="1091956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44.3</w:t>
            </w:r>
          </w:p>
        </w:tc>
      </w:tr>
    </w:tbl>
    <w:p w14:paraId="7E0BFE63" w14:textId="77777777" w:rsidR="00E9172D" w:rsidRPr="00F84ECC" w:rsidRDefault="00E9172D" w:rsidP="00441B6F">
      <w:pPr>
        <w:pStyle w:val="Head1"/>
        <w:spacing w:after="0"/>
        <w:jc w:val="both"/>
        <w:rPr>
          <w:rFonts w:ascii="Arial" w:hAnsi="Arial" w:cs="Arial"/>
          <w:sz w:val="24"/>
          <w:szCs w:val="22"/>
          <w:lang w:val="en-GB"/>
        </w:rPr>
      </w:pPr>
    </w:p>
    <w:p w14:paraId="796074AD" w14:textId="4C717520" w:rsidR="00EF71B4" w:rsidRDefault="00EF71B4" w:rsidP="00EF71B4">
      <w:pPr>
        <w:rPr>
          <w:rFonts w:ascii="Arial" w:hAnsi="Arial" w:cs="Arial"/>
          <w:b/>
          <w:bCs/>
          <w:sz w:val="22"/>
          <w:szCs w:val="22"/>
        </w:rPr>
      </w:pPr>
      <w:r w:rsidRPr="00F84ECC">
        <w:rPr>
          <w:rFonts w:ascii="Arial" w:hAnsi="Arial" w:cs="Arial"/>
          <w:b/>
          <w:bCs/>
          <w:sz w:val="22"/>
          <w:szCs w:val="22"/>
        </w:rPr>
        <w:t>3.2 Antibiotic therapy data</w:t>
      </w:r>
    </w:p>
    <w:p w14:paraId="5773AF45" w14:textId="77777777" w:rsidR="00F84ECC" w:rsidRPr="00F84ECC" w:rsidRDefault="00F84ECC" w:rsidP="00EF71B4">
      <w:pPr>
        <w:rPr>
          <w:rFonts w:ascii="Arial" w:hAnsi="Arial" w:cs="Arial"/>
          <w:b/>
          <w:bCs/>
          <w:sz w:val="22"/>
          <w:szCs w:val="22"/>
          <w:highlight w:val="yellow"/>
        </w:rPr>
      </w:pPr>
    </w:p>
    <w:p w14:paraId="0468F914" w14:textId="77777777" w:rsidR="00EF71B4" w:rsidRDefault="00EF71B4" w:rsidP="00EF71B4">
      <w:pPr>
        <w:jc w:val="both"/>
        <w:rPr>
          <w:rFonts w:ascii="Arial" w:hAnsi="Arial" w:cs="Arial"/>
          <w:lang w:val="en-GB"/>
        </w:rPr>
      </w:pPr>
      <w:r w:rsidRPr="00BB4305">
        <w:rPr>
          <w:rFonts w:ascii="Arial" w:hAnsi="Arial" w:cs="Arial"/>
          <w:lang w:val="en-GB"/>
        </w:rPr>
        <w:t>For their treatment 83.7% of the children were given dual antibiotic therapy, and approximately 16% of the children included were put on monotherapy. The mean duration of first-line antibiotic treatment was 7 days with extremes ranging from 1 to 13 days). Due to clinical failure or bacteriological results, 20 children (9.8%) required second-line antibiotics; 10% of whom received third-line Meropenem antibiotic therapy based on microbiology findings. First-line antibiotic therapy consisted of cefotaxime plus gentamicin in 81.3% of cases. Neonatal infection and sepsis were diagnosed in 25.6% and 20.2% of cases, respectively. The infection site was either unspecified or blood-borne in 27.6% and 22.2% of cases, respectively (Table 2).</w:t>
      </w:r>
    </w:p>
    <w:p w14:paraId="7BC49F1B" w14:textId="77777777" w:rsidR="00F84ECC" w:rsidRPr="00BB4305" w:rsidRDefault="00F84ECC" w:rsidP="00EF71B4">
      <w:pPr>
        <w:jc w:val="both"/>
        <w:rPr>
          <w:rFonts w:ascii="Arial" w:hAnsi="Arial" w:cs="Arial"/>
          <w:lang w:val="en-GB"/>
        </w:rPr>
      </w:pPr>
    </w:p>
    <w:p w14:paraId="4A281ADA" w14:textId="74404C58" w:rsidR="00EF71B4" w:rsidRPr="009568E6" w:rsidRDefault="00EF71B4" w:rsidP="00EF71B4">
      <w:pPr>
        <w:rPr>
          <w:rFonts w:ascii="Arial" w:hAnsi="Arial" w:cs="Arial"/>
          <w:b/>
          <w:lang w:val="en-GB"/>
        </w:rPr>
      </w:pPr>
      <w:r w:rsidRPr="009568E6">
        <w:rPr>
          <w:rFonts w:ascii="Arial" w:hAnsi="Arial" w:cs="Arial"/>
          <w:b/>
          <w:lang w:val="en-GB"/>
        </w:rPr>
        <w:t>Table 2</w:t>
      </w:r>
      <w:r w:rsidR="009568E6">
        <w:rPr>
          <w:rFonts w:ascii="Arial" w:hAnsi="Arial" w:cs="Arial"/>
          <w:b/>
          <w:lang w:val="en-GB"/>
        </w:rPr>
        <w:t xml:space="preserve">.  </w:t>
      </w:r>
      <w:r w:rsidRPr="009568E6">
        <w:rPr>
          <w:rFonts w:ascii="Arial" w:hAnsi="Arial" w:cs="Arial"/>
          <w:b/>
          <w:lang w:val="en-GB"/>
        </w:rPr>
        <w:t xml:space="preserve"> Distribution of children hospitalized in the P</w:t>
      </w:r>
      <w:r w:rsidR="00734CA1">
        <w:rPr>
          <w:rFonts w:ascii="Arial" w:hAnsi="Arial" w:cs="Arial"/>
          <w:b/>
          <w:lang w:val="en-GB"/>
        </w:rPr>
        <w:t>a</w:t>
      </w:r>
      <w:r w:rsidRPr="009568E6">
        <w:rPr>
          <w:rFonts w:ascii="Arial" w:hAnsi="Arial" w:cs="Arial"/>
          <w:b/>
          <w:lang w:val="en-GB"/>
        </w:rPr>
        <w:t>ediatric Department at CHU SO in 2023, according to first-line antibiotic therapy data</w:t>
      </w:r>
    </w:p>
    <w:p w14:paraId="2D9E2F7A" w14:textId="77777777" w:rsidR="00EF71B4" w:rsidRPr="00BB4305" w:rsidRDefault="00EF71B4" w:rsidP="00EF71B4">
      <w:pPr>
        <w:rPr>
          <w:rFonts w:ascii="Arial" w:hAnsi="Arial" w:cs="Arial"/>
          <w:lang w:val="en-GB"/>
        </w:rPr>
      </w:pP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675"/>
        <w:gridCol w:w="2726"/>
      </w:tblGrid>
      <w:tr w:rsidR="00EF71B4" w14:paraId="5E22AB33" w14:textId="77777777" w:rsidTr="00344259">
        <w:tc>
          <w:tcPr>
            <w:tcW w:w="3020" w:type="dxa"/>
            <w:tcBorders>
              <w:top w:val="single" w:sz="4" w:space="0" w:color="auto"/>
              <w:bottom w:val="single" w:sz="4" w:space="0" w:color="auto"/>
            </w:tcBorders>
          </w:tcPr>
          <w:p w14:paraId="7A431FB2" w14:textId="77777777" w:rsidR="00EF71B4" w:rsidRDefault="00EF71B4" w:rsidP="00344259">
            <w:pPr>
              <w:rPr>
                <w:rFonts w:ascii="Arial" w:hAnsi="Arial" w:cs="Arial"/>
                <w:sz w:val="20"/>
                <w:szCs w:val="20"/>
              </w:rPr>
            </w:pPr>
            <w:r w:rsidRPr="00F85E12">
              <w:rPr>
                <w:rFonts w:ascii="Arial" w:hAnsi="Arial" w:cs="Arial"/>
                <w:b/>
                <w:bCs/>
              </w:rPr>
              <w:t>Characteristics</w:t>
            </w:r>
          </w:p>
        </w:tc>
        <w:tc>
          <w:tcPr>
            <w:tcW w:w="3021" w:type="dxa"/>
            <w:tcBorders>
              <w:top w:val="single" w:sz="4" w:space="0" w:color="auto"/>
              <w:bottom w:val="single" w:sz="4" w:space="0" w:color="auto"/>
            </w:tcBorders>
            <w:vAlign w:val="center"/>
          </w:tcPr>
          <w:p w14:paraId="7C23E440" w14:textId="77777777" w:rsidR="00EF71B4" w:rsidRDefault="00EF71B4" w:rsidP="00344259">
            <w:pPr>
              <w:jc w:val="center"/>
              <w:rPr>
                <w:rFonts w:ascii="Arial" w:hAnsi="Arial" w:cs="Arial"/>
                <w:sz w:val="20"/>
                <w:szCs w:val="20"/>
              </w:rPr>
            </w:pPr>
            <w:r>
              <w:rPr>
                <w:rFonts w:ascii="Arial" w:hAnsi="Arial" w:cs="Arial"/>
                <w:b/>
                <w:bCs/>
              </w:rPr>
              <w:t>Number</w:t>
            </w:r>
            <w:r w:rsidRPr="002E13D8">
              <w:rPr>
                <w:rFonts w:ascii="Arial" w:hAnsi="Arial" w:cs="Arial"/>
                <w:b/>
                <w:bCs/>
              </w:rPr>
              <w:t xml:space="preserve"> (n)</w:t>
            </w:r>
          </w:p>
        </w:tc>
        <w:tc>
          <w:tcPr>
            <w:tcW w:w="3021" w:type="dxa"/>
            <w:tcBorders>
              <w:top w:val="single" w:sz="4" w:space="0" w:color="auto"/>
              <w:bottom w:val="single" w:sz="4" w:space="0" w:color="auto"/>
            </w:tcBorders>
            <w:vAlign w:val="center"/>
          </w:tcPr>
          <w:p w14:paraId="07F85D5F" w14:textId="77777777" w:rsidR="00EF71B4" w:rsidRDefault="00EF71B4" w:rsidP="00344259">
            <w:pPr>
              <w:jc w:val="center"/>
              <w:rPr>
                <w:rFonts w:ascii="Arial" w:hAnsi="Arial" w:cs="Arial"/>
                <w:sz w:val="20"/>
                <w:szCs w:val="20"/>
              </w:rPr>
            </w:pPr>
            <w:r w:rsidRPr="002E13D8">
              <w:rPr>
                <w:rFonts w:ascii="Arial" w:hAnsi="Arial" w:cs="Arial"/>
                <w:b/>
                <w:bCs/>
              </w:rPr>
              <w:t>Proportion (%)</w:t>
            </w:r>
          </w:p>
        </w:tc>
      </w:tr>
      <w:tr w:rsidR="00EF71B4" w14:paraId="14D178A4" w14:textId="77777777" w:rsidTr="00344259">
        <w:tc>
          <w:tcPr>
            <w:tcW w:w="9062" w:type="dxa"/>
            <w:gridSpan w:val="3"/>
            <w:tcBorders>
              <w:top w:val="single" w:sz="4" w:space="0" w:color="auto"/>
            </w:tcBorders>
          </w:tcPr>
          <w:p w14:paraId="730EAB60" w14:textId="77777777" w:rsidR="00EF71B4" w:rsidRPr="001E250C" w:rsidRDefault="00EF71B4" w:rsidP="00344259">
            <w:pPr>
              <w:jc w:val="center"/>
              <w:rPr>
                <w:rFonts w:ascii="Arial" w:hAnsi="Arial" w:cs="Arial"/>
                <w:b/>
                <w:bCs/>
                <w:sz w:val="20"/>
                <w:szCs w:val="20"/>
              </w:rPr>
            </w:pPr>
            <w:r w:rsidRPr="00C44781">
              <w:rPr>
                <w:rFonts w:ascii="Arial" w:hAnsi="Arial" w:cs="Arial"/>
                <w:b/>
                <w:bCs/>
                <w:sz w:val="20"/>
                <w:szCs w:val="20"/>
              </w:rPr>
              <w:t>Antibiotic therapy type</w:t>
            </w:r>
          </w:p>
        </w:tc>
      </w:tr>
      <w:tr w:rsidR="00EF71B4" w14:paraId="5757DCBC" w14:textId="77777777" w:rsidTr="00344259">
        <w:tc>
          <w:tcPr>
            <w:tcW w:w="3020" w:type="dxa"/>
          </w:tcPr>
          <w:p w14:paraId="430DDB4F" w14:textId="77777777" w:rsidR="00EF71B4" w:rsidRDefault="00EF71B4" w:rsidP="00344259">
            <w:pPr>
              <w:rPr>
                <w:rFonts w:ascii="Arial" w:hAnsi="Arial" w:cs="Arial"/>
                <w:sz w:val="20"/>
                <w:szCs w:val="20"/>
              </w:rPr>
            </w:pPr>
            <w:r w:rsidRPr="00C44781">
              <w:rPr>
                <w:rFonts w:ascii="Arial" w:hAnsi="Arial" w:cs="Arial"/>
                <w:sz w:val="20"/>
                <w:szCs w:val="20"/>
              </w:rPr>
              <w:t>Monotherapy</w:t>
            </w:r>
          </w:p>
        </w:tc>
        <w:tc>
          <w:tcPr>
            <w:tcW w:w="3021" w:type="dxa"/>
          </w:tcPr>
          <w:p w14:paraId="05A3343A" w14:textId="77777777" w:rsidR="00EF71B4" w:rsidRDefault="00EF71B4" w:rsidP="00344259">
            <w:pPr>
              <w:jc w:val="center"/>
              <w:rPr>
                <w:rFonts w:ascii="Arial" w:hAnsi="Arial" w:cs="Arial"/>
                <w:sz w:val="20"/>
                <w:szCs w:val="20"/>
              </w:rPr>
            </w:pPr>
            <w:r>
              <w:rPr>
                <w:rFonts w:ascii="Arial" w:hAnsi="Arial" w:cs="Arial"/>
                <w:sz w:val="20"/>
                <w:szCs w:val="20"/>
              </w:rPr>
              <w:t>32</w:t>
            </w:r>
          </w:p>
        </w:tc>
        <w:tc>
          <w:tcPr>
            <w:tcW w:w="3021" w:type="dxa"/>
          </w:tcPr>
          <w:p w14:paraId="61175655" w14:textId="77777777" w:rsidR="00EF71B4" w:rsidRDefault="00EF71B4" w:rsidP="00344259">
            <w:pPr>
              <w:jc w:val="center"/>
              <w:rPr>
                <w:rFonts w:ascii="Arial" w:hAnsi="Arial" w:cs="Arial"/>
                <w:sz w:val="20"/>
                <w:szCs w:val="20"/>
              </w:rPr>
            </w:pPr>
            <w:r w:rsidRPr="002E13D8">
              <w:rPr>
                <w:rFonts w:ascii="Arial" w:hAnsi="Arial" w:cs="Arial"/>
                <w:sz w:val="20"/>
                <w:szCs w:val="20"/>
              </w:rPr>
              <w:t>1</w:t>
            </w:r>
            <w:r>
              <w:rPr>
                <w:rFonts w:ascii="Arial" w:hAnsi="Arial" w:cs="Arial"/>
                <w:sz w:val="20"/>
                <w:szCs w:val="20"/>
              </w:rPr>
              <w:t>5.8</w:t>
            </w:r>
            <w:r w:rsidRPr="002E13D8">
              <w:rPr>
                <w:rFonts w:ascii="Arial" w:hAnsi="Arial" w:cs="Arial"/>
                <w:sz w:val="20"/>
                <w:szCs w:val="20"/>
              </w:rPr>
              <w:t>%</w:t>
            </w:r>
          </w:p>
        </w:tc>
      </w:tr>
      <w:tr w:rsidR="00EF71B4" w14:paraId="3DD90566" w14:textId="77777777" w:rsidTr="00344259">
        <w:tc>
          <w:tcPr>
            <w:tcW w:w="3020" w:type="dxa"/>
          </w:tcPr>
          <w:p w14:paraId="60BBFAAD" w14:textId="77777777" w:rsidR="00EF71B4" w:rsidRDefault="00EF71B4" w:rsidP="00344259">
            <w:pPr>
              <w:rPr>
                <w:rFonts w:ascii="Arial" w:hAnsi="Arial" w:cs="Arial"/>
                <w:sz w:val="20"/>
                <w:szCs w:val="20"/>
              </w:rPr>
            </w:pPr>
            <w:r w:rsidRPr="00C44781">
              <w:rPr>
                <w:rFonts w:ascii="Arial" w:hAnsi="Arial" w:cs="Arial"/>
                <w:sz w:val="20"/>
                <w:szCs w:val="20"/>
              </w:rPr>
              <w:t>Dual therapy</w:t>
            </w:r>
          </w:p>
        </w:tc>
        <w:tc>
          <w:tcPr>
            <w:tcW w:w="3021" w:type="dxa"/>
          </w:tcPr>
          <w:p w14:paraId="268CABA5" w14:textId="77777777" w:rsidR="00EF71B4" w:rsidRDefault="00EF71B4" w:rsidP="00344259">
            <w:pPr>
              <w:jc w:val="center"/>
              <w:rPr>
                <w:rFonts w:ascii="Arial" w:hAnsi="Arial" w:cs="Arial"/>
                <w:sz w:val="20"/>
                <w:szCs w:val="20"/>
              </w:rPr>
            </w:pPr>
            <w:r>
              <w:rPr>
                <w:rFonts w:ascii="Arial" w:hAnsi="Arial" w:cs="Arial"/>
                <w:sz w:val="20"/>
                <w:szCs w:val="20"/>
              </w:rPr>
              <w:t>170</w:t>
            </w:r>
          </w:p>
        </w:tc>
        <w:tc>
          <w:tcPr>
            <w:tcW w:w="3021" w:type="dxa"/>
          </w:tcPr>
          <w:p w14:paraId="7DA1A8E3" w14:textId="77777777" w:rsidR="00EF71B4" w:rsidRDefault="00EF71B4" w:rsidP="00344259">
            <w:pPr>
              <w:jc w:val="center"/>
              <w:rPr>
                <w:rFonts w:ascii="Arial" w:hAnsi="Arial" w:cs="Arial"/>
                <w:sz w:val="20"/>
                <w:szCs w:val="20"/>
              </w:rPr>
            </w:pPr>
            <w:r>
              <w:rPr>
                <w:rFonts w:ascii="Arial" w:hAnsi="Arial" w:cs="Arial"/>
                <w:sz w:val="20"/>
                <w:szCs w:val="20"/>
              </w:rPr>
              <w:t>83.7</w:t>
            </w:r>
            <w:r w:rsidRPr="002E13D8">
              <w:rPr>
                <w:rFonts w:ascii="Arial" w:hAnsi="Arial" w:cs="Arial"/>
                <w:sz w:val="20"/>
                <w:szCs w:val="20"/>
              </w:rPr>
              <w:t>%</w:t>
            </w:r>
          </w:p>
        </w:tc>
      </w:tr>
      <w:tr w:rsidR="00EF71B4" w14:paraId="692778EA" w14:textId="77777777" w:rsidTr="00344259">
        <w:tc>
          <w:tcPr>
            <w:tcW w:w="3020" w:type="dxa"/>
          </w:tcPr>
          <w:p w14:paraId="49B0FA7D" w14:textId="77777777" w:rsidR="00EF71B4" w:rsidRDefault="00EF71B4" w:rsidP="00344259">
            <w:pPr>
              <w:rPr>
                <w:rFonts w:ascii="Arial" w:hAnsi="Arial" w:cs="Arial"/>
                <w:sz w:val="20"/>
                <w:szCs w:val="20"/>
              </w:rPr>
            </w:pPr>
            <w:r w:rsidRPr="00C44781">
              <w:rPr>
                <w:rFonts w:ascii="Arial" w:hAnsi="Arial" w:cs="Arial"/>
                <w:sz w:val="20"/>
                <w:szCs w:val="20"/>
              </w:rPr>
              <w:t>Triple therapy</w:t>
            </w:r>
          </w:p>
        </w:tc>
        <w:tc>
          <w:tcPr>
            <w:tcW w:w="3021" w:type="dxa"/>
          </w:tcPr>
          <w:p w14:paraId="25865E7C" w14:textId="77777777" w:rsidR="00EF71B4" w:rsidRDefault="00EF71B4" w:rsidP="00344259">
            <w:pPr>
              <w:jc w:val="center"/>
              <w:rPr>
                <w:rFonts w:ascii="Arial" w:hAnsi="Arial" w:cs="Arial"/>
                <w:sz w:val="20"/>
                <w:szCs w:val="20"/>
              </w:rPr>
            </w:pPr>
            <w:r>
              <w:rPr>
                <w:rFonts w:ascii="Arial" w:hAnsi="Arial" w:cs="Arial"/>
                <w:sz w:val="20"/>
                <w:szCs w:val="20"/>
              </w:rPr>
              <w:t>1</w:t>
            </w:r>
          </w:p>
        </w:tc>
        <w:tc>
          <w:tcPr>
            <w:tcW w:w="3021" w:type="dxa"/>
          </w:tcPr>
          <w:p w14:paraId="2EE3830E" w14:textId="77777777" w:rsidR="00EF71B4" w:rsidRDefault="00EF71B4" w:rsidP="00344259">
            <w:pPr>
              <w:jc w:val="center"/>
              <w:rPr>
                <w:rFonts w:ascii="Arial" w:hAnsi="Arial" w:cs="Arial"/>
                <w:sz w:val="20"/>
                <w:szCs w:val="20"/>
              </w:rPr>
            </w:pPr>
            <w:r>
              <w:rPr>
                <w:rFonts w:ascii="Arial" w:hAnsi="Arial" w:cs="Arial"/>
                <w:sz w:val="20"/>
                <w:szCs w:val="20"/>
              </w:rPr>
              <w:t>0.5%</w:t>
            </w:r>
          </w:p>
        </w:tc>
      </w:tr>
      <w:tr w:rsidR="00EF71B4" w:rsidRPr="00856E29" w14:paraId="5716EBC6" w14:textId="77777777" w:rsidTr="00344259">
        <w:tc>
          <w:tcPr>
            <w:tcW w:w="9062" w:type="dxa"/>
            <w:gridSpan w:val="3"/>
          </w:tcPr>
          <w:p w14:paraId="2A569821" w14:textId="77777777" w:rsidR="00EF71B4" w:rsidRPr="00BB4305" w:rsidRDefault="00EF71B4" w:rsidP="00344259">
            <w:pPr>
              <w:jc w:val="center"/>
              <w:rPr>
                <w:rFonts w:ascii="Arial" w:hAnsi="Arial" w:cs="Arial"/>
                <w:b/>
                <w:bCs/>
                <w:sz w:val="20"/>
                <w:szCs w:val="20"/>
                <w:lang w:val="en-GB"/>
              </w:rPr>
            </w:pPr>
            <w:r w:rsidRPr="00BB4305">
              <w:rPr>
                <w:rFonts w:ascii="Arial" w:hAnsi="Arial" w:cs="Arial"/>
                <w:b/>
                <w:bCs/>
                <w:sz w:val="20"/>
                <w:szCs w:val="20"/>
                <w:lang w:val="en-GB"/>
              </w:rPr>
              <w:t>Duration of first-line antibiotic therapy</w:t>
            </w:r>
          </w:p>
        </w:tc>
      </w:tr>
      <w:tr w:rsidR="00EF71B4" w14:paraId="717AAD67" w14:textId="77777777" w:rsidTr="00344259">
        <w:tc>
          <w:tcPr>
            <w:tcW w:w="3020" w:type="dxa"/>
          </w:tcPr>
          <w:p w14:paraId="255FF734" w14:textId="77777777" w:rsidR="00EF71B4" w:rsidRDefault="00EF71B4" w:rsidP="00344259">
            <w:pPr>
              <w:rPr>
                <w:rFonts w:ascii="Arial" w:hAnsi="Arial" w:cs="Arial"/>
                <w:sz w:val="20"/>
                <w:szCs w:val="20"/>
              </w:rPr>
            </w:pPr>
            <w:r w:rsidRPr="000335FE">
              <w:rPr>
                <w:rFonts w:ascii="Arial" w:hAnsi="Arial" w:cs="Arial"/>
                <w:sz w:val="20"/>
                <w:szCs w:val="20"/>
              </w:rPr>
              <w:t>1–4 days</w:t>
            </w:r>
          </w:p>
        </w:tc>
        <w:tc>
          <w:tcPr>
            <w:tcW w:w="3021" w:type="dxa"/>
          </w:tcPr>
          <w:p w14:paraId="6D9B4B6C" w14:textId="77777777" w:rsidR="00EF71B4" w:rsidRDefault="00EF71B4" w:rsidP="00344259">
            <w:pPr>
              <w:jc w:val="center"/>
              <w:rPr>
                <w:rFonts w:ascii="Arial" w:hAnsi="Arial" w:cs="Arial"/>
                <w:sz w:val="20"/>
                <w:szCs w:val="20"/>
              </w:rPr>
            </w:pPr>
            <w:r>
              <w:rPr>
                <w:rFonts w:ascii="Arial" w:hAnsi="Arial" w:cs="Arial"/>
                <w:sz w:val="20"/>
                <w:szCs w:val="20"/>
              </w:rPr>
              <w:t>50</w:t>
            </w:r>
          </w:p>
        </w:tc>
        <w:tc>
          <w:tcPr>
            <w:tcW w:w="3021" w:type="dxa"/>
          </w:tcPr>
          <w:p w14:paraId="79A95DA6" w14:textId="77777777" w:rsidR="00EF71B4" w:rsidRDefault="00EF71B4" w:rsidP="00344259">
            <w:pPr>
              <w:jc w:val="center"/>
              <w:rPr>
                <w:rFonts w:ascii="Arial" w:hAnsi="Arial" w:cs="Arial"/>
                <w:sz w:val="20"/>
                <w:szCs w:val="20"/>
              </w:rPr>
            </w:pPr>
            <w:r>
              <w:rPr>
                <w:rFonts w:ascii="Arial" w:hAnsi="Arial" w:cs="Arial"/>
                <w:sz w:val="20"/>
                <w:szCs w:val="20"/>
              </w:rPr>
              <w:t>24.4%</w:t>
            </w:r>
          </w:p>
        </w:tc>
      </w:tr>
      <w:tr w:rsidR="00EF71B4" w14:paraId="0B2A791E" w14:textId="77777777" w:rsidTr="00344259">
        <w:tc>
          <w:tcPr>
            <w:tcW w:w="3020" w:type="dxa"/>
          </w:tcPr>
          <w:p w14:paraId="0A5B2B41" w14:textId="77777777" w:rsidR="00EF71B4" w:rsidRDefault="00EF71B4" w:rsidP="00344259">
            <w:pPr>
              <w:rPr>
                <w:rFonts w:ascii="Arial" w:hAnsi="Arial" w:cs="Arial"/>
                <w:sz w:val="20"/>
                <w:szCs w:val="20"/>
              </w:rPr>
            </w:pPr>
            <w:r w:rsidRPr="000335FE">
              <w:rPr>
                <w:rFonts w:ascii="Arial" w:hAnsi="Arial" w:cs="Arial"/>
                <w:sz w:val="20"/>
                <w:szCs w:val="20"/>
              </w:rPr>
              <w:t>5–8 days</w:t>
            </w:r>
          </w:p>
        </w:tc>
        <w:tc>
          <w:tcPr>
            <w:tcW w:w="3021" w:type="dxa"/>
          </w:tcPr>
          <w:p w14:paraId="66970034" w14:textId="77777777" w:rsidR="00EF71B4" w:rsidRDefault="00EF71B4" w:rsidP="00344259">
            <w:pPr>
              <w:jc w:val="center"/>
              <w:rPr>
                <w:rFonts w:ascii="Arial" w:hAnsi="Arial" w:cs="Arial"/>
                <w:sz w:val="20"/>
                <w:szCs w:val="20"/>
              </w:rPr>
            </w:pPr>
            <w:r>
              <w:rPr>
                <w:rFonts w:ascii="Arial" w:hAnsi="Arial" w:cs="Arial"/>
                <w:sz w:val="20"/>
                <w:szCs w:val="20"/>
              </w:rPr>
              <w:t>125</w:t>
            </w:r>
          </w:p>
        </w:tc>
        <w:tc>
          <w:tcPr>
            <w:tcW w:w="3021" w:type="dxa"/>
          </w:tcPr>
          <w:p w14:paraId="49EFAF72" w14:textId="77777777" w:rsidR="00EF71B4" w:rsidRDefault="00EF71B4" w:rsidP="00344259">
            <w:pPr>
              <w:jc w:val="center"/>
              <w:rPr>
                <w:rFonts w:ascii="Arial" w:hAnsi="Arial" w:cs="Arial"/>
                <w:sz w:val="20"/>
                <w:szCs w:val="20"/>
              </w:rPr>
            </w:pPr>
            <w:r>
              <w:rPr>
                <w:rFonts w:ascii="Arial" w:hAnsi="Arial" w:cs="Arial"/>
                <w:sz w:val="20"/>
                <w:szCs w:val="20"/>
              </w:rPr>
              <w:t>61.7%</w:t>
            </w:r>
          </w:p>
        </w:tc>
      </w:tr>
      <w:tr w:rsidR="00EF71B4" w14:paraId="306D099E" w14:textId="77777777" w:rsidTr="00344259">
        <w:tc>
          <w:tcPr>
            <w:tcW w:w="3020" w:type="dxa"/>
          </w:tcPr>
          <w:p w14:paraId="7775190F" w14:textId="77777777" w:rsidR="00EF71B4" w:rsidRPr="0029354D" w:rsidRDefault="00EF71B4" w:rsidP="00344259">
            <w:pPr>
              <w:rPr>
                <w:rFonts w:ascii="Arial" w:hAnsi="Arial" w:cs="Arial"/>
                <w:sz w:val="20"/>
                <w:szCs w:val="20"/>
              </w:rPr>
            </w:pPr>
            <w:r w:rsidRPr="000335FE">
              <w:rPr>
                <w:rFonts w:ascii="Arial" w:hAnsi="Arial" w:cs="Arial"/>
                <w:sz w:val="20"/>
                <w:szCs w:val="20"/>
              </w:rPr>
              <w:t>&gt;8 days</w:t>
            </w:r>
          </w:p>
        </w:tc>
        <w:tc>
          <w:tcPr>
            <w:tcW w:w="3021" w:type="dxa"/>
          </w:tcPr>
          <w:p w14:paraId="624F583F" w14:textId="77777777" w:rsidR="00EF71B4" w:rsidRDefault="00EF71B4" w:rsidP="00344259">
            <w:pPr>
              <w:jc w:val="center"/>
              <w:rPr>
                <w:rFonts w:ascii="Arial" w:hAnsi="Arial" w:cs="Arial"/>
                <w:sz w:val="20"/>
                <w:szCs w:val="20"/>
              </w:rPr>
            </w:pPr>
            <w:r>
              <w:rPr>
                <w:rFonts w:ascii="Arial" w:hAnsi="Arial" w:cs="Arial"/>
                <w:sz w:val="20"/>
                <w:szCs w:val="20"/>
              </w:rPr>
              <w:t>28</w:t>
            </w:r>
          </w:p>
        </w:tc>
        <w:tc>
          <w:tcPr>
            <w:tcW w:w="3021" w:type="dxa"/>
          </w:tcPr>
          <w:p w14:paraId="18F95636" w14:textId="77777777" w:rsidR="00EF71B4" w:rsidRDefault="00EF71B4" w:rsidP="00344259">
            <w:pPr>
              <w:jc w:val="center"/>
              <w:rPr>
                <w:rFonts w:ascii="Arial" w:hAnsi="Arial" w:cs="Arial"/>
                <w:sz w:val="20"/>
                <w:szCs w:val="20"/>
              </w:rPr>
            </w:pPr>
            <w:r>
              <w:rPr>
                <w:rFonts w:ascii="Arial" w:hAnsi="Arial" w:cs="Arial"/>
                <w:sz w:val="20"/>
                <w:szCs w:val="20"/>
              </w:rPr>
              <w:t>13.9</w:t>
            </w:r>
          </w:p>
        </w:tc>
      </w:tr>
      <w:tr w:rsidR="00EF71B4" w14:paraId="1FFC4DF4" w14:textId="77777777" w:rsidTr="00344259">
        <w:tc>
          <w:tcPr>
            <w:tcW w:w="9062" w:type="dxa"/>
            <w:gridSpan w:val="3"/>
          </w:tcPr>
          <w:p w14:paraId="6216CE7C" w14:textId="77777777" w:rsidR="00EF71B4" w:rsidRPr="00661D18" w:rsidRDefault="00EF71B4" w:rsidP="00344259">
            <w:pPr>
              <w:jc w:val="center"/>
              <w:rPr>
                <w:rFonts w:ascii="Arial" w:hAnsi="Arial" w:cs="Arial"/>
                <w:b/>
                <w:bCs/>
                <w:sz w:val="20"/>
                <w:szCs w:val="20"/>
              </w:rPr>
            </w:pPr>
            <w:r w:rsidRPr="000335FE">
              <w:rPr>
                <w:rFonts w:ascii="Arial" w:hAnsi="Arial" w:cs="Arial"/>
                <w:b/>
                <w:bCs/>
                <w:sz w:val="20"/>
                <w:szCs w:val="20"/>
              </w:rPr>
              <w:t>Therapeutic adjustment</w:t>
            </w:r>
          </w:p>
        </w:tc>
      </w:tr>
      <w:tr w:rsidR="00EF71B4" w14:paraId="34E5ACAC" w14:textId="77777777" w:rsidTr="00344259">
        <w:tc>
          <w:tcPr>
            <w:tcW w:w="3020" w:type="dxa"/>
          </w:tcPr>
          <w:p w14:paraId="2D475A7D" w14:textId="77777777" w:rsidR="00EF71B4" w:rsidRDefault="00EF71B4" w:rsidP="00344259">
            <w:pPr>
              <w:rPr>
                <w:rFonts w:ascii="Arial" w:hAnsi="Arial" w:cs="Arial"/>
                <w:sz w:val="20"/>
                <w:szCs w:val="20"/>
              </w:rPr>
            </w:pPr>
            <w:r w:rsidRPr="00DE4209">
              <w:rPr>
                <w:rFonts w:ascii="Arial" w:hAnsi="Arial" w:cs="Arial"/>
                <w:sz w:val="20"/>
                <w:szCs w:val="20"/>
              </w:rPr>
              <w:t>First-line</w:t>
            </w:r>
            <w:r>
              <w:rPr>
                <w:rFonts w:ascii="Arial" w:hAnsi="Arial" w:cs="Arial"/>
                <w:sz w:val="20"/>
                <w:szCs w:val="20"/>
              </w:rPr>
              <w:t xml:space="preserve"> antibiotic </w:t>
            </w:r>
            <w:r w:rsidRPr="00DE4209">
              <w:rPr>
                <w:rFonts w:ascii="Arial" w:hAnsi="Arial" w:cs="Arial"/>
                <w:sz w:val="20"/>
                <w:szCs w:val="20"/>
              </w:rPr>
              <w:t>therapy</w:t>
            </w:r>
          </w:p>
        </w:tc>
        <w:tc>
          <w:tcPr>
            <w:tcW w:w="3021" w:type="dxa"/>
          </w:tcPr>
          <w:p w14:paraId="256746E0" w14:textId="77777777" w:rsidR="00EF71B4" w:rsidRDefault="00EF71B4" w:rsidP="00344259">
            <w:pPr>
              <w:jc w:val="center"/>
              <w:rPr>
                <w:rFonts w:ascii="Arial" w:hAnsi="Arial" w:cs="Arial"/>
                <w:sz w:val="20"/>
                <w:szCs w:val="20"/>
              </w:rPr>
            </w:pPr>
            <w:r>
              <w:rPr>
                <w:rFonts w:ascii="Arial" w:hAnsi="Arial" w:cs="Arial"/>
                <w:sz w:val="20"/>
                <w:szCs w:val="20"/>
              </w:rPr>
              <w:t>203</w:t>
            </w:r>
          </w:p>
        </w:tc>
        <w:tc>
          <w:tcPr>
            <w:tcW w:w="3021" w:type="dxa"/>
          </w:tcPr>
          <w:p w14:paraId="0616D493" w14:textId="77777777" w:rsidR="00EF71B4" w:rsidRDefault="00EF71B4" w:rsidP="00344259">
            <w:pPr>
              <w:jc w:val="center"/>
              <w:rPr>
                <w:rFonts w:ascii="Arial" w:hAnsi="Arial" w:cs="Arial"/>
                <w:sz w:val="20"/>
                <w:szCs w:val="20"/>
              </w:rPr>
            </w:pPr>
            <w:r>
              <w:rPr>
                <w:rFonts w:ascii="Arial" w:hAnsi="Arial" w:cs="Arial"/>
                <w:sz w:val="20"/>
                <w:szCs w:val="20"/>
              </w:rPr>
              <w:t>100</w:t>
            </w:r>
          </w:p>
        </w:tc>
      </w:tr>
      <w:tr w:rsidR="00EF71B4" w14:paraId="59A53CB9" w14:textId="77777777" w:rsidTr="00344259">
        <w:tc>
          <w:tcPr>
            <w:tcW w:w="3020" w:type="dxa"/>
          </w:tcPr>
          <w:p w14:paraId="6A1E0ED6" w14:textId="77777777" w:rsidR="00EF71B4" w:rsidRDefault="00EF71B4" w:rsidP="00344259">
            <w:pPr>
              <w:rPr>
                <w:rFonts w:ascii="Arial" w:hAnsi="Arial" w:cs="Arial"/>
                <w:sz w:val="20"/>
                <w:szCs w:val="20"/>
              </w:rPr>
            </w:pPr>
            <w:r w:rsidRPr="00DE4209">
              <w:rPr>
                <w:rFonts w:ascii="Arial" w:hAnsi="Arial" w:cs="Arial"/>
                <w:sz w:val="20"/>
                <w:szCs w:val="20"/>
              </w:rPr>
              <w:t>Second-line</w:t>
            </w:r>
            <w:r>
              <w:rPr>
                <w:rFonts w:ascii="Arial" w:hAnsi="Arial" w:cs="Arial"/>
                <w:sz w:val="20"/>
                <w:szCs w:val="20"/>
              </w:rPr>
              <w:t xml:space="preserve"> antibiotic </w:t>
            </w:r>
            <w:r w:rsidRPr="00DE4209">
              <w:rPr>
                <w:rFonts w:ascii="Arial" w:hAnsi="Arial" w:cs="Arial"/>
                <w:sz w:val="20"/>
                <w:szCs w:val="20"/>
              </w:rPr>
              <w:t>therapy</w:t>
            </w:r>
          </w:p>
        </w:tc>
        <w:tc>
          <w:tcPr>
            <w:tcW w:w="3021" w:type="dxa"/>
          </w:tcPr>
          <w:p w14:paraId="1E2C051B" w14:textId="77777777" w:rsidR="00EF71B4" w:rsidRDefault="00EF71B4" w:rsidP="00344259">
            <w:pPr>
              <w:jc w:val="center"/>
              <w:rPr>
                <w:rFonts w:ascii="Arial" w:hAnsi="Arial" w:cs="Arial"/>
                <w:sz w:val="20"/>
                <w:szCs w:val="20"/>
              </w:rPr>
            </w:pPr>
            <w:r>
              <w:rPr>
                <w:rFonts w:ascii="Arial" w:hAnsi="Arial" w:cs="Arial"/>
                <w:sz w:val="20"/>
                <w:szCs w:val="20"/>
              </w:rPr>
              <w:t>20</w:t>
            </w:r>
          </w:p>
        </w:tc>
        <w:tc>
          <w:tcPr>
            <w:tcW w:w="3021" w:type="dxa"/>
          </w:tcPr>
          <w:p w14:paraId="19CC9CBA" w14:textId="77777777" w:rsidR="00EF71B4" w:rsidRDefault="00EF71B4" w:rsidP="00344259">
            <w:pPr>
              <w:jc w:val="center"/>
              <w:rPr>
                <w:rFonts w:ascii="Arial" w:hAnsi="Arial" w:cs="Arial"/>
                <w:sz w:val="20"/>
                <w:szCs w:val="20"/>
              </w:rPr>
            </w:pPr>
            <w:r>
              <w:rPr>
                <w:rFonts w:ascii="Arial" w:hAnsi="Arial" w:cs="Arial"/>
                <w:sz w:val="20"/>
                <w:szCs w:val="20"/>
              </w:rPr>
              <w:t>9.</w:t>
            </w:r>
            <w:r w:rsidRPr="005B75A3">
              <w:rPr>
                <w:rFonts w:ascii="Arial" w:hAnsi="Arial" w:cs="Arial"/>
                <w:sz w:val="20"/>
                <w:szCs w:val="20"/>
              </w:rPr>
              <w:t>8%</w:t>
            </w:r>
          </w:p>
        </w:tc>
      </w:tr>
      <w:tr w:rsidR="00EF71B4" w14:paraId="06A0870F" w14:textId="77777777" w:rsidTr="00344259">
        <w:tc>
          <w:tcPr>
            <w:tcW w:w="3020" w:type="dxa"/>
          </w:tcPr>
          <w:p w14:paraId="3317650B" w14:textId="77777777" w:rsidR="00EF71B4" w:rsidRDefault="00EF71B4" w:rsidP="00344259">
            <w:pPr>
              <w:rPr>
                <w:rFonts w:ascii="Arial" w:hAnsi="Arial" w:cs="Arial"/>
                <w:sz w:val="20"/>
                <w:szCs w:val="20"/>
              </w:rPr>
            </w:pPr>
            <w:r w:rsidRPr="00DE4209">
              <w:rPr>
                <w:rFonts w:ascii="Arial" w:hAnsi="Arial" w:cs="Arial"/>
                <w:sz w:val="20"/>
                <w:szCs w:val="20"/>
              </w:rPr>
              <w:t>Third-line</w:t>
            </w:r>
            <w:r>
              <w:t xml:space="preserve"> </w:t>
            </w:r>
            <w:r w:rsidRPr="00DE4209">
              <w:rPr>
                <w:rFonts w:ascii="Arial" w:hAnsi="Arial" w:cs="Arial"/>
                <w:sz w:val="20"/>
                <w:szCs w:val="20"/>
              </w:rPr>
              <w:t>antibiotic</w:t>
            </w:r>
            <w:r>
              <w:rPr>
                <w:rFonts w:ascii="Arial" w:hAnsi="Arial" w:cs="Arial"/>
                <w:sz w:val="20"/>
                <w:szCs w:val="20"/>
              </w:rPr>
              <w:t xml:space="preserve">  </w:t>
            </w:r>
            <w:r w:rsidRPr="00DE4209">
              <w:rPr>
                <w:rFonts w:ascii="Arial" w:hAnsi="Arial" w:cs="Arial"/>
                <w:sz w:val="20"/>
                <w:szCs w:val="20"/>
              </w:rPr>
              <w:t>therapy</w:t>
            </w:r>
          </w:p>
        </w:tc>
        <w:tc>
          <w:tcPr>
            <w:tcW w:w="3021" w:type="dxa"/>
          </w:tcPr>
          <w:p w14:paraId="238C16B0" w14:textId="77777777" w:rsidR="00EF71B4" w:rsidRDefault="00EF71B4" w:rsidP="00344259">
            <w:pPr>
              <w:jc w:val="center"/>
              <w:rPr>
                <w:rFonts w:ascii="Arial" w:hAnsi="Arial" w:cs="Arial"/>
                <w:sz w:val="20"/>
                <w:szCs w:val="20"/>
              </w:rPr>
            </w:pPr>
            <w:r>
              <w:rPr>
                <w:rFonts w:ascii="Arial" w:hAnsi="Arial" w:cs="Arial"/>
                <w:sz w:val="20"/>
                <w:szCs w:val="20"/>
              </w:rPr>
              <w:t>2</w:t>
            </w:r>
          </w:p>
        </w:tc>
        <w:tc>
          <w:tcPr>
            <w:tcW w:w="3021" w:type="dxa"/>
          </w:tcPr>
          <w:p w14:paraId="504F208C" w14:textId="77777777" w:rsidR="00EF71B4" w:rsidRDefault="00EF71B4" w:rsidP="00344259">
            <w:pPr>
              <w:jc w:val="center"/>
              <w:rPr>
                <w:rFonts w:ascii="Arial" w:hAnsi="Arial" w:cs="Arial"/>
                <w:sz w:val="20"/>
                <w:szCs w:val="20"/>
              </w:rPr>
            </w:pPr>
            <w:r>
              <w:rPr>
                <w:rFonts w:ascii="Arial" w:hAnsi="Arial" w:cs="Arial"/>
                <w:sz w:val="20"/>
                <w:szCs w:val="20"/>
              </w:rPr>
              <w:t>1%</w:t>
            </w:r>
          </w:p>
        </w:tc>
      </w:tr>
    </w:tbl>
    <w:p w14:paraId="6A2B6054" w14:textId="77777777" w:rsidR="00790ADA" w:rsidRPr="00EF71B4" w:rsidRDefault="00790ADA" w:rsidP="00441B6F">
      <w:pPr>
        <w:pStyle w:val="Head1"/>
        <w:spacing w:after="0"/>
        <w:jc w:val="both"/>
        <w:rPr>
          <w:rFonts w:ascii="Arial" w:hAnsi="Arial" w:cs="Arial"/>
          <w:lang w:val="en-GB"/>
        </w:rPr>
      </w:pPr>
    </w:p>
    <w:p w14:paraId="0CF07727" w14:textId="77777777" w:rsidR="00726339" w:rsidRDefault="00726339" w:rsidP="00726339">
      <w:pPr>
        <w:jc w:val="both"/>
        <w:rPr>
          <w:rFonts w:ascii="Arial" w:hAnsi="Arial" w:cs="Arial"/>
          <w:b/>
          <w:bCs/>
          <w:sz w:val="22"/>
          <w:szCs w:val="22"/>
          <w:lang w:val="en-GB"/>
        </w:rPr>
      </w:pPr>
      <w:r w:rsidRPr="00F84ECC">
        <w:rPr>
          <w:rFonts w:ascii="Arial" w:hAnsi="Arial" w:cs="Arial"/>
          <w:b/>
          <w:bCs/>
          <w:sz w:val="22"/>
          <w:szCs w:val="22"/>
          <w:lang w:val="en-GB"/>
        </w:rPr>
        <w:t xml:space="preserve">3.3 Digestive carriage at admission and hospital-acquired multidrug-resistant </w:t>
      </w:r>
      <w:proofErr w:type="spellStart"/>
      <w:r w:rsidRPr="00F84ECC">
        <w:rPr>
          <w:rFonts w:ascii="Arial" w:hAnsi="Arial" w:cs="Arial"/>
          <w:b/>
          <w:bCs/>
          <w:sz w:val="22"/>
          <w:szCs w:val="22"/>
          <w:lang w:val="en-GB"/>
        </w:rPr>
        <w:t>Enterobacterales</w:t>
      </w:r>
      <w:proofErr w:type="spellEnd"/>
      <w:r w:rsidRPr="00F84ECC">
        <w:rPr>
          <w:rFonts w:ascii="Arial" w:hAnsi="Arial" w:cs="Arial"/>
          <w:b/>
          <w:bCs/>
          <w:sz w:val="22"/>
          <w:szCs w:val="22"/>
          <w:lang w:val="en-GB"/>
        </w:rPr>
        <w:t xml:space="preserve"> strains</w:t>
      </w:r>
    </w:p>
    <w:p w14:paraId="6A339F85" w14:textId="77777777" w:rsidR="00F84ECC" w:rsidRPr="00F84ECC" w:rsidRDefault="00F84ECC" w:rsidP="00726339">
      <w:pPr>
        <w:jc w:val="both"/>
        <w:rPr>
          <w:rFonts w:ascii="Arial" w:hAnsi="Arial" w:cs="Arial"/>
          <w:b/>
          <w:bCs/>
          <w:sz w:val="22"/>
          <w:szCs w:val="22"/>
          <w:highlight w:val="yellow"/>
          <w:lang w:val="en-GB"/>
        </w:rPr>
      </w:pPr>
    </w:p>
    <w:p w14:paraId="0017CDFE" w14:textId="77777777" w:rsidR="00726339" w:rsidRPr="00BB4305" w:rsidRDefault="00726339" w:rsidP="00726339">
      <w:pPr>
        <w:jc w:val="both"/>
        <w:rPr>
          <w:rFonts w:ascii="Arial" w:hAnsi="Arial" w:cs="Arial"/>
          <w:lang w:val="en-GB"/>
        </w:rPr>
      </w:pPr>
      <w:r w:rsidRPr="00BB4305">
        <w:rPr>
          <w:rFonts w:ascii="Arial" w:hAnsi="Arial" w:cs="Arial"/>
          <w:lang w:val="en-GB"/>
        </w:rPr>
        <w:t xml:space="preserve">At admission, rectal swabs from the 203 children showed an ESBL-producing </w:t>
      </w:r>
      <w:proofErr w:type="spellStart"/>
      <w:r w:rsidRPr="00BB4305">
        <w:rPr>
          <w:rFonts w:ascii="Arial" w:hAnsi="Arial" w:cs="Arial"/>
          <w:lang w:val="en-GB"/>
        </w:rPr>
        <w:t>Enterobacterales</w:t>
      </w:r>
      <w:proofErr w:type="spellEnd"/>
      <w:r w:rsidRPr="00BB4305">
        <w:rPr>
          <w:rFonts w:ascii="Arial" w:hAnsi="Arial" w:cs="Arial"/>
          <w:lang w:val="en-GB"/>
        </w:rPr>
        <w:t xml:space="preserve"> carriage in 52.7% of cases ; Carbapenem-resistant strains were found in 15.3% of patients, and 14.8% carried both ESBL and carbapenem-resistant strains. The overall MDR carriage rate was 53.2% (Figure 1).</w:t>
      </w:r>
    </w:p>
    <w:p w14:paraId="2C462CF1" w14:textId="77777777" w:rsidR="00726339" w:rsidRPr="00BB4305" w:rsidRDefault="00726339" w:rsidP="00726339">
      <w:pPr>
        <w:jc w:val="both"/>
        <w:rPr>
          <w:rFonts w:ascii="Arial" w:hAnsi="Arial" w:cs="Arial"/>
          <w:lang w:val="en-GB"/>
        </w:rPr>
      </w:pPr>
      <w:r w:rsidRPr="00BB4305">
        <w:rPr>
          <w:rFonts w:ascii="Arial" w:hAnsi="Arial" w:cs="Arial"/>
          <w:lang w:val="en-GB"/>
        </w:rPr>
        <w:lastRenderedPageBreak/>
        <w:t>Follow-up swabbing was performed in 132 of the 203 initially enrolled children. ESBL carriage rose to 84.1%, and carbapenem resistance to 48.5% (Figure 1).</w:t>
      </w:r>
    </w:p>
    <w:p w14:paraId="1B36DEB7" w14:textId="77777777" w:rsidR="00726339" w:rsidRDefault="00726339" w:rsidP="00726339">
      <w:pPr>
        <w:jc w:val="both"/>
        <w:rPr>
          <w:rFonts w:ascii="Arial" w:hAnsi="Arial" w:cs="Arial"/>
          <w:lang w:val="en-GB"/>
        </w:rPr>
      </w:pPr>
    </w:p>
    <w:p w14:paraId="53E47C7F" w14:textId="77777777" w:rsidR="00AA052E" w:rsidRDefault="00AA052E" w:rsidP="00726339">
      <w:pPr>
        <w:jc w:val="both"/>
        <w:rPr>
          <w:rFonts w:ascii="Arial" w:hAnsi="Arial" w:cs="Arial"/>
          <w:lang w:val="en-GB"/>
        </w:rPr>
      </w:pPr>
    </w:p>
    <w:p w14:paraId="58602345" w14:textId="77777777" w:rsidR="00AA052E" w:rsidRDefault="00AA052E" w:rsidP="00726339">
      <w:pPr>
        <w:jc w:val="both"/>
        <w:rPr>
          <w:rFonts w:ascii="Arial" w:hAnsi="Arial" w:cs="Arial"/>
          <w:lang w:val="en-GB"/>
        </w:rPr>
      </w:pPr>
    </w:p>
    <w:p w14:paraId="22C00F81" w14:textId="77777777" w:rsidR="00AA052E" w:rsidRPr="00AA052E" w:rsidRDefault="00AA052E" w:rsidP="00AA052E">
      <w:pPr>
        <w:spacing w:after="160" w:line="259" w:lineRule="auto"/>
        <w:rPr>
          <w:rFonts w:ascii="Times New Roman" w:eastAsia="Calibri" w:hAnsi="Times New Roman"/>
          <w:sz w:val="24"/>
          <w:szCs w:val="24"/>
          <w:lang w:val="en-GB"/>
        </w:rPr>
      </w:pPr>
      <w:bookmarkStart w:id="0" w:name="_Hlk225629017"/>
      <w:r w:rsidRPr="00AA052E">
        <w:rPr>
          <w:rFonts w:ascii="Times New Roman" w:eastAsia="Calibri" w:hAnsi="Times New Roman"/>
          <w:noProof/>
          <w:sz w:val="24"/>
          <w:szCs w:val="24"/>
        </w:rPr>
        <mc:AlternateContent>
          <mc:Choice Requires="wps">
            <w:drawing>
              <wp:anchor distT="0" distB="0" distL="114300" distR="114300" simplePos="0" relativeHeight="251659264" behindDoc="0" locked="0" layoutInCell="1" allowOverlap="1" wp14:anchorId="24CAB4E7" wp14:editId="0F8AD0F8">
                <wp:simplePos x="0" y="0"/>
                <wp:positionH relativeFrom="margin">
                  <wp:posOffset>2104910</wp:posOffset>
                </wp:positionH>
                <wp:positionV relativeFrom="paragraph">
                  <wp:posOffset>116898</wp:posOffset>
                </wp:positionV>
                <wp:extent cx="2273877" cy="326780"/>
                <wp:effectExtent l="19050" t="19050" r="12700" b="16510"/>
                <wp:wrapNone/>
                <wp:docPr id="2" name="Rectangle 2"/>
                <wp:cNvGraphicFramePr/>
                <a:graphic xmlns:a="http://schemas.openxmlformats.org/drawingml/2006/main">
                  <a:graphicData uri="http://schemas.microsoft.com/office/word/2010/wordprocessingShape">
                    <wps:wsp>
                      <wps:cNvSpPr/>
                      <wps:spPr>
                        <a:xfrm flipH="1">
                          <a:off x="0" y="0"/>
                          <a:ext cx="2273877" cy="326780"/>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4704D29D" w14:textId="77777777" w:rsidR="00AA052E" w:rsidRPr="009162DF" w:rsidRDefault="00AA052E" w:rsidP="00AA052E">
                            <w:pPr>
                              <w:shd w:val="clear" w:color="auto" w:fill="FFFFFF"/>
                              <w:jc w:val="center"/>
                              <w:rPr>
                                <w:rFonts w:ascii="Arial" w:hAnsi="Arial" w:cs="Arial"/>
                              </w:rPr>
                            </w:pPr>
                            <w:r w:rsidRPr="009162DF">
                              <w:rPr>
                                <w:rFonts w:ascii="Arial" w:hAnsi="Arial" w:cs="Arial"/>
                              </w:rPr>
                              <w:t>Swabbing on entry (n=203)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B4E7" id="Rectangle 2" o:spid="_x0000_s1026" style="position:absolute;margin-left:165.75pt;margin-top:9.2pt;width:179.05pt;height:25.7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rKdAIAAAQFAAAOAAAAZHJzL2Uyb0RvYy54bWysVE1vGyEQvVfqf0Dcm7WdNHatrCMrkdtK&#10;URIpqXLGLHiRWKCAvev++j7YdeJ8nKruAc0ww3y8ebMXl12jyU74oKwp6fhkRIkw3FbKbEr663H1&#10;ZUZJiMxUTFsjSroXgV4uPn+6aN1cTGxtdSU8QRAT5q0raR2jmxdF4LVoWDixThgYpfUNi1D9pqg8&#10;axG90cVkNDovWusr5y0XIeD2ujfSRY4vpeDxTsogItElRW0xnz6f63QWiws233jmasWHMtg/VNEw&#10;ZZD0OdQ1i4xsvXoXqlHc22BlPOG2KayUiovcA7oZj95081AzJ3IvACe4Z5jC/wvLb3cP7t4DhtaF&#10;eYCYuuikb4jUyv3ATHNfqJR0Gbb9M2yii4TjcjKZns6mU0o4bKeT8+ks41r0cVI850P8LmxDklBS&#10;j7HkqGx3EyJyw/XgktyD1apaKa2zsg9X2pMdwwQx+Mq2lGgWIi5LuspfmiJCvHqmDWlRzWw8wtg5&#10;A7WkZhFi46qSBrOhhOkNOMujz7W8eh3eJX1Et0eJR/n7KHFq5JqFuq84R+1Z1qgIqmvVlHR2/Fqb&#10;1KbIZB3geJlFkmK37oYBrW21v/fE257IwfGVQr4b4HHPPJiLZrGN8Q6H1BYI2EGipLb+z0f3yR+E&#10;gpWSFpsAdH5vmRfo9qcB1b6Nz87S6mTl7Ot0AsUfW9bHFrNtrixGNcbeO57F5B/1QZTeNk9Y2mXK&#10;ChMzHLn7OQzKVew3FGvPxXKZ3bAujsUb8+D4gZMJ6cfuiXk38CpiRrf2sDVs/oZevW8C29jlNlqp&#10;MvcSxD2uYFFSsGqZT8NvIe3ysZ69Xn5ei78AAAD//wMAUEsDBBQABgAIAAAAIQA09zDQ3wAAAAkB&#10;AAAPAAAAZHJzL2Rvd25yZXYueG1sTI9NT8MwDIbvSPyHyEhc0JaOQdSWphNC2okd2GASu3mN+yGa&#10;pGqyrfx7zAlutt5Hrx8Xq8n24kxj6LzTsJgnIMhV3nSu0fDxvp6lIEJEZ7D3jjR8U4BVeX1VYG78&#10;xW3pvIuN4BIXctTQxjjkUoaqJYth7gdynNV+tBh5HRtpRrxwue3lfZIoabFzfKHFgV5aqr52J6th&#10;jbW6O7xtlNzUgwn7xB9e6VPr25vp+QlEpCn+wfCrz+pQstPRn5wJotewXC4eGeUgfQDBgEozBeLI&#10;Q5aBLAv5/4PyBwAA//8DAFBLAQItABQABgAIAAAAIQC2gziS/gAAAOEBAAATAAAAAAAAAAAAAAAA&#10;AAAAAABbQ29udGVudF9UeXBlc10ueG1sUEsBAi0AFAAGAAgAAAAhADj9If/WAAAAlAEAAAsAAAAA&#10;AAAAAAAAAAAALwEAAF9yZWxzLy5yZWxzUEsBAi0AFAAGAAgAAAAhAMiCKsp0AgAABAUAAA4AAAAA&#10;AAAAAAAAAAAALgIAAGRycy9lMm9Eb2MueG1sUEsBAi0AFAAGAAgAAAAhADT3MNDfAAAACQEAAA8A&#10;AAAAAAAAAAAAAAAAzgQAAGRycy9kb3ducmV2LnhtbFBLBQYAAAAABAAEAPMAAADaBQAAAAA=&#10;" fillcolor="window" strokecolor="windowText" strokeweight="3pt">
                <v:textbox>
                  <w:txbxContent>
                    <w:p w14:paraId="4704D29D" w14:textId="77777777" w:rsidR="00AA052E" w:rsidRPr="009162DF" w:rsidRDefault="00AA052E" w:rsidP="00AA052E">
                      <w:pPr>
                        <w:shd w:val="clear" w:color="auto" w:fill="FFFFFF"/>
                        <w:jc w:val="center"/>
                        <w:rPr>
                          <w:rFonts w:ascii="Arial" w:hAnsi="Arial" w:cs="Arial"/>
                        </w:rPr>
                      </w:pPr>
                      <w:r w:rsidRPr="009162DF">
                        <w:rPr>
                          <w:rFonts w:ascii="Arial" w:hAnsi="Arial" w:cs="Arial"/>
                        </w:rPr>
                        <w:t>Swabbing on entry (n=203)</w:t>
                      </w:r>
                    </w:p>
                  </w:txbxContent>
                </v:textbox>
                <w10:wrap anchorx="margin"/>
              </v:rect>
            </w:pict>
          </mc:Fallback>
        </mc:AlternateContent>
      </w:r>
    </w:p>
    <w:p w14:paraId="3D1F9B1C" w14:textId="77777777" w:rsidR="00AA052E" w:rsidRPr="00AA052E" w:rsidRDefault="00AA052E" w:rsidP="00AA052E">
      <w:pPr>
        <w:spacing w:after="160" w:line="259" w:lineRule="auto"/>
        <w:rPr>
          <w:rFonts w:ascii="Times New Roman" w:eastAsia="Calibri" w:hAnsi="Times New Roman"/>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6432" behindDoc="0" locked="0" layoutInCell="1" allowOverlap="1" wp14:anchorId="5B7F85C5" wp14:editId="463BC1F0">
                <wp:simplePos x="0" y="0"/>
                <wp:positionH relativeFrom="column">
                  <wp:posOffset>3166793</wp:posOffset>
                </wp:positionH>
                <wp:positionV relativeFrom="paragraph">
                  <wp:posOffset>141654</wp:posOffset>
                </wp:positionV>
                <wp:extent cx="45719" cy="193430"/>
                <wp:effectExtent l="19050" t="0" r="31115" b="35560"/>
                <wp:wrapNone/>
                <wp:docPr id="1773587059" name="Flèche : bas 11"/>
                <wp:cNvGraphicFramePr/>
                <a:graphic xmlns:a="http://schemas.openxmlformats.org/drawingml/2006/main">
                  <a:graphicData uri="http://schemas.microsoft.com/office/word/2010/wordprocessingShape">
                    <wps:wsp>
                      <wps:cNvSpPr/>
                      <wps:spPr>
                        <a:xfrm flipH="1">
                          <a:off x="0" y="0"/>
                          <a:ext cx="45719" cy="19343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FBD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1" o:spid="_x0000_s1026" type="#_x0000_t67" style="position:absolute;margin-left:249.35pt;margin-top:11.15pt;width:3.6pt;height:15.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DfQIAAA0FAAAOAAAAZHJzL2Uyb0RvYy54bWysVE1PGzEQvVfqf7B8L5sNS4GIDYqCaCsh&#10;QIKKs+P1Zi35q7aTTfrr++xNQoCequ7BmtkZz8ebN7663mhF1sIHaU1Ny5MRJcJw20izrOnP59sv&#10;F5SEyEzDlDWiplsR6PX086er3k3E2HZWNcITBDFh0ruadjG6SVEE3gnNwol1wsDYWq9ZhOqXReNZ&#10;j+haFePR6GvRW984b7kIAX9vBiOd5vhtK3h8aNsgIlE1RW0xnz6fi3QW0ys2WXrmOsl3ZbB/qEIz&#10;aZD0EOqGRUZWXn4IpSX3Ntg2nnCrC9u2kovcA7opR++6eeqYE7kXgBPcAabw/8Ly+/WTe/SAoXdh&#10;EiCmLjat16RV0n3HTHNfqJRsMmzbA2xiEwnHz+rsvLykhMNSXp5WpxnVYoiSojkf4jdhNUlCTRvb&#10;m5n3ts+B2fouRKSH/94v3QlWyeZWKpWVbZgrT9YMQ8TsEeAZuSlRLEQYUFD+0jAR5s1VZUiPssbn&#10;I0yfMzCsVQxXuXZNTYNZUsLUEtTl0ed63twOfrk4ZK6q8/G8Gpw61oihnvIMufeZB/ePVaTObljo&#10;his5xcA8LSPor6Su6cVxD8qkvkUm8A6f1/kkaWGb7aMn3g6MDo7fSiS5AyKPzIPCaBdrGR9wtMoC&#10;A7uTKOms//23/8kfzIKVkh4rAXx+rZgXAPqHAecuy6pKO5QVDH0MxR9bFscWs9Jzi4GVeAAcz2Ly&#10;j2ovtt7qF2zvLGWFiRmO3MMkdso8DquK/ediNstu2BvH4p15cnxPzgTv8+aFebejWAQ97u1+fdjk&#10;HckG34SwsbNVtK3MDHzFFRNMCnYuz3L3PqSlPtaz1+srNv0DAAD//wMAUEsDBBQABgAIAAAAIQBk&#10;No/+3wAAAAkBAAAPAAAAZHJzL2Rvd25yZXYueG1sTI9BTsMwEEX3SNzBGiR21G6gkIQ4FUJUSKgg&#10;teEArj2NI2I7it0m3J5hBbsZzdOf96v17Hp2xjF2wUtYLgQw9DqYzrcSPpvNTQ4sJuWN6oNHCd8Y&#10;YV1fXlSqNGHyOzzvU8soxMdSSbApDSXnUVt0Ki7CgJ5uxzA6lWgdW25GNVG463kmxD13qvP0waoB&#10;ny3qr/3JSdAv07J5+9gc9daI4t2InWlerZTXV/PTI7CEc/qD4Vef1KEmp0M4eRNZL+GuyB8IlZBl&#10;t8AIWIlVAexAQ5YDryv+v0H9AwAA//8DAFBLAQItABQABgAIAAAAIQC2gziS/gAAAOEBAAATAAAA&#10;AAAAAAAAAAAAAAAAAABbQ29udGVudF9UeXBlc10ueG1sUEsBAi0AFAAGAAgAAAAhADj9If/WAAAA&#10;lAEAAAsAAAAAAAAAAAAAAAAALwEAAF9yZWxzLy5yZWxzUEsBAi0AFAAGAAgAAAAhAC/4WIN9AgAA&#10;DQUAAA4AAAAAAAAAAAAAAAAALgIAAGRycy9lMm9Eb2MueG1sUEsBAi0AFAAGAAgAAAAhAGQ2j/7f&#10;AAAACQEAAA8AAAAAAAAAAAAAAAAA1wQAAGRycy9kb3ducmV2LnhtbFBLBQYAAAAABAAEAPMAAADj&#10;BQAAAAA=&#10;" adj="19047" fillcolor="windowText" strokecolor="#172c51" strokeweight="1pt"/>
            </w:pict>
          </mc:Fallback>
        </mc:AlternateContent>
      </w:r>
    </w:p>
    <w:p w14:paraId="008E5373" w14:textId="5C693F15" w:rsidR="00AA052E" w:rsidRPr="00AA052E" w:rsidRDefault="00AA052E" w:rsidP="00AA052E">
      <w:pPr>
        <w:spacing w:after="160" w:line="259" w:lineRule="auto"/>
        <w:rPr>
          <w:rFonts w:ascii="Times New Roman" w:eastAsia="Calibri" w:hAnsi="Times New Roman"/>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0288" behindDoc="0" locked="0" layoutInCell="1" allowOverlap="1" wp14:anchorId="7D8BF930" wp14:editId="12BA2999">
                <wp:simplePos x="0" y="0"/>
                <wp:positionH relativeFrom="margin">
                  <wp:posOffset>3303271</wp:posOffset>
                </wp:positionH>
                <wp:positionV relativeFrom="paragraph">
                  <wp:posOffset>283210</wp:posOffset>
                </wp:positionV>
                <wp:extent cx="1992630" cy="414704"/>
                <wp:effectExtent l="19050" t="19050" r="26670" b="23495"/>
                <wp:wrapNone/>
                <wp:docPr id="14" name="Rectangle 14"/>
                <wp:cNvGraphicFramePr/>
                <a:graphic xmlns:a="http://schemas.openxmlformats.org/drawingml/2006/main">
                  <a:graphicData uri="http://schemas.microsoft.com/office/word/2010/wordprocessingShape">
                    <wps:wsp>
                      <wps:cNvSpPr/>
                      <wps:spPr>
                        <a:xfrm rot="10800000" flipH="1" flipV="1">
                          <a:off x="0" y="0"/>
                          <a:ext cx="1992630" cy="41470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89950" id="Rectangle 14" o:spid="_x0000_s1026" style="position:absolute;margin-left:260.1pt;margin-top:22.3pt;width:156.9pt;height:32.65pt;rotation:180;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QcawIAANkEAAAOAAAAZHJzL2Uyb0RvYy54bWysVMtOGzEU3VfqP1jel5mElEfEBEUg2koI&#10;kICyNh5PxpJftZ1M0q/vsT0BSruqOgvrXt/38blzdr7VimyED9Kahk4OakqE4baVZtXQx4erTyeU&#10;hMhMy5Q1oqE7Eej54uOHs8HNxdT2VrXCEyQxYT64hvYxunlVBd4LzcKBdcLA2FmvWYTqV1Xr2YDs&#10;WlXTuj6qButb5y0XIeD2shjpIufvOsHjbdcFEYlqKHqL+fT5fE5ntThj85Vnrpd8bIP9QxeaSYOi&#10;L6kuWWRk7eUfqbTk3gbbxQNudWW7TnKRZ8A0k/rdNPc9cyLPAnCCe4Ep/L+0/GZz7+48YBhcmAeI&#10;aYpt5zXxFmhN6pM6fZR0SrqvuCjS9yQlV4xAthnP3QueYhsJx+Xk9HR6dIhYDttsMjuuZwnwqhRI&#10;0c6H+EVYTZLQUI/3ylnZ5jrE4rp3Se7GXkml8pspQ4aGHp5MUm+cgTqdYhGidm1Dg1lRwtQKnOTR&#10;55TBKtmm8JQo7MKF8mTDQAuwqbXDA5qmRLEQYcAkZerSwm+hqZ9LFvoSnE2FRVpGUFlJ3dARsxKt&#10;TKooMhnHqV6xTtKzbXd3vuCNYYLjVxJFrtHLHfOgIy6xYvEWR6csxrajRElv/c+/3Sd/sARWSgbQ&#10;G5D8WDMvMOI3A/6cTmYzpI1ZmX0+nkLxby3Pby1mrS8soMLjo7ssJv+o9mLnrX7CJi5TVZiY4ahd&#10;wB+Vi1jWDrvMxXKZ3bADjsVrc+/4nk8J3oftE/Nu5ETEw9zY/Sqw+TtqFN9CjuU62k5m3rziCr4l&#10;BfuTmTfuelrQt3r2ev0jLX4BAAD//wMAUEsDBBQABgAIAAAAIQCQOgaF3wAAAAoBAAAPAAAAZHJz&#10;L2Rvd25yZXYueG1sTI/BTsMwEETvSPyDtUjcqN00rZoQp6qQuHBrQRRubrxNAvE6ip02/XuWExxX&#10;+zTzpthMrhNnHELrScN8pkAgVd62VGt4e31+WIMI0ZA1nSfUcMUAm/L2pjC59Rfa4Xkfa8EhFHKj&#10;oYmxz6UMVYPOhJnvkfh38oMzkc+hlnYwFw53nUyUWklnWuKGxvT41GD1vR+dhp1ffJyuy+3h/etl&#10;3tBYfWbjodf6/m7aPoKIOMU/GH71WR1Kdjr6kWwQnYZlohJGNaTpCgQD60XK445MqiwDWRby/4Ty&#10;BwAA//8DAFBLAQItABQABgAIAAAAIQC2gziS/gAAAOEBAAATAAAAAAAAAAAAAAAAAAAAAABbQ29u&#10;dGVudF9UeXBlc10ueG1sUEsBAi0AFAAGAAgAAAAhADj9If/WAAAAlAEAAAsAAAAAAAAAAAAAAAAA&#10;LwEAAF9yZWxzLy5yZWxzUEsBAi0AFAAGAAgAAAAhAHOh5BxrAgAA2QQAAA4AAAAAAAAAAAAAAAAA&#10;LgIAAGRycy9lMm9Eb2MueG1sUEsBAi0AFAAGAAgAAAAhAJA6BoXfAAAACgEAAA8AAAAAAAAAAAAA&#10;AAAAxQQAAGRycy9kb3ducmV2LnhtbFBLBQYAAAAABAAEAPMAAADRBQAAAAA=&#10;" filled="f" strokecolor="windowText" strokeweight="3pt">
                <w10:wrap anchorx="margin"/>
              </v:rec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68480" behindDoc="0" locked="0" layoutInCell="1" allowOverlap="1" wp14:anchorId="229D1728" wp14:editId="10B95C41">
                <wp:simplePos x="0" y="0"/>
                <wp:positionH relativeFrom="column">
                  <wp:posOffset>3764573</wp:posOffset>
                </wp:positionH>
                <wp:positionV relativeFrom="paragraph">
                  <wp:posOffset>63110</wp:posOffset>
                </wp:positionV>
                <wp:extent cx="45719" cy="210478"/>
                <wp:effectExtent l="19050" t="0" r="31115" b="37465"/>
                <wp:wrapNone/>
                <wp:docPr id="960069715" name="Flèche : bas 11"/>
                <wp:cNvGraphicFramePr/>
                <a:graphic xmlns:a="http://schemas.openxmlformats.org/drawingml/2006/main">
                  <a:graphicData uri="http://schemas.microsoft.com/office/word/2010/wordprocessingShape">
                    <wps:wsp>
                      <wps:cNvSpPr/>
                      <wps:spPr>
                        <a:xfrm>
                          <a:off x="0" y="0"/>
                          <a:ext cx="45719" cy="210478"/>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BC08" id="Flèche : bas 11" o:spid="_x0000_s1026" type="#_x0000_t67" style="position:absolute;margin-left:296.4pt;margin-top:4.95pt;width:3.6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ddgIAAAMFAAAOAAAAZHJzL2Uyb0RvYy54bWysVEtv2zAMvg/YfxB0Xx0HydoadYq0QYcB&#10;RRugHXpWZDk2IIkapcTJfv0o2Xm022lYDooovj9+9M3tzmi2VehbsCXPL0acKSuhau265D9eH75c&#10;ceaDsJXQYFXJ98rz29nnTzedK9QYGtCVQkZBrC86V/ImBFdkmZeNMsJfgFOWlDWgEYFEXGcVio6i&#10;G52NR6OvWQdYOQSpvKfXRa/ksxS/rpUMz3XtVWC65FRbSCemcxXPbHYjijUK17RyKEP8QxVGtJaS&#10;HkMtRBBsg+0foUwrETzU4UKCyaCuW6lSD9RNPvrQzUsjnEq9EDjeHWHy/y+sfNq+uCUSDJ3zhadr&#10;7GJXo4n/VB/bJbD2R7DULjBJj5PpZX7NmSTNOB9NLq8iltnJ16EP3xQYFi8lr6Czc0ToEkxi++hD&#10;b3+wi/k86LZ6aLVOwt7fa2RbQaOjiVOAV8rNmRY+kIIKSr8h7TtXbVlHbBxfjmjmUhCvai3IVRpX&#10;ldzbNWdCr4mwMmCq5523x/XqmHl6d323mPZGjahUX08+pdyHzL15av5dnNjZQvimd0mq6CIK0wYi&#10;vW5Nya/Oe9A2alWi7YDPaSrxtoJqv0SG0PPYO/nQUpJHQmQpkIhL7dIyhmc6ag2EAQw3zhrAX397&#10;j/bEJ9Jy1tEiED4/NwIVAf3dEtOu88kkbk4SaOhjEvBcszrX2I25BxpYTmvvZLpG+6AP1xrBvNHO&#10;zmNWUgkrKXc/iUG4D/2C0tZLNZ8nM9oWJ8KjfXEyBo84RXhfd28C3UCxQPR4gsPSiOIDyXrb6Glh&#10;vglQt4mBJ1xpglGgTUuzHL4KcZXP5WR1+nbNfgMAAP//AwBQSwMEFAAGAAgAAAAhAHRa7kfdAAAA&#10;CAEAAA8AAABkcnMvZG93bnJldi54bWxMj8FOwzAQRO9I/IO1SNyoTSkRSbOpEAJx4AAN/QAnNklo&#10;vA6xk4a/ZznBcTSjmTf5bnG9mO0YOk8I1ysFwlLtTUcNwuH96eoORIiajO49WYRvG2BXnJ/lOjP+&#10;RHs7l7ERXEIh0whtjEMmZahb63RY+cESex9+dDqyHBtpRn3ictfLtVKJdLojXmj1YB9aWx/LySEM&#10;5TJ9Ji9x3ry+6cfqq1H76fmIeHmx3G9BRLvEvzD84jM6FMxU+YlMED3Cbbpm9IiQpiDYT5TibxXC&#10;5kaBLHL5/0DxAwAA//8DAFBLAQItABQABgAIAAAAIQC2gziS/gAAAOEBAAATAAAAAAAAAAAAAAAA&#10;AAAAAABbQ29udGVudF9UeXBlc10ueG1sUEsBAi0AFAAGAAgAAAAhADj9If/WAAAAlAEAAAsAAAAA&#10;AAAAAAAAAAAALwEAAF9yZWxzLy5yZWxzUEsBAi0AFAAGAAgAAAAhAH81uB12AgAAAwUAAA4AAAAA&#10;AAAAAAAAAAAALgIAAGRycy9lMm9Eb2MueG1sUEsBAi0AFAAGAAgAAAAhAHRa7kfdAAAACAEAAA8A&#10;AAAAAAAAAAAAAAAA0AQAAGRycy9kb3ducmV2LnhtbFBLBQYAAAAABAAEAPMAAADaBQAAAAA=&#10;" adj="19254" fillcolor="windowText" strokecolor="#223f59" strokeweight="1p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69504" behindDoc="0" locked="0" layoutInCell="1" allowOverlap="1" wp14:anchorId="0A86F585" wp14:editId="76859CCB">
                <wp:simplePos x="0" y="0"/>
                <wp:positionH relativeFrom="column">
                  <wp:posOffset>2392973</wp:posOffset>
                </wp:positionH>
                <wp:positionV relativeFrom="paragraph">
                  <wp:posOffset>74832</wp:posOffset>
                </wp:positionV>
                <wp:extent cx="45719" cy="199293"/>
                <wp:effectExtent l="19050" t="0" r="31115" b="29845"/>
                <wp:wrapNone/>
                <wp:docPr id="213927347" name="Flèche : bas 11"/>
                <wp:cNvGraphicFramePr/>
                <a:graphic xmlns:a="http://schemas.openxmlformats.org/drawingml/2006/main">
                  <a:graphicData uri="http://schemas.microsoft.com/office/word/2010/wordprocessingShape">
                    <wps:wsp>
                      <wps:cNvSpPr/>
                      <wps:spPr>
                        <a:xfrm>
                          <a:off x="0" y="0"/>
                          <a:ext cx="45719" cy="199293"/>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D54" id="Flèche : bas 11" o:spid="_x0000_s1026" type="#_x0000_t67" style="position:absolute;margin-left:188.4pt;margin-top:5.9pt;width:3.6pt;height:1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cGdgIAAAMFAAAOAAAAZHJzL2Uyb0RvYy54bWysVN1P2zAQf5+0/8Hy+0jT0UEjUlSomCYh&#10;QALEs+s4TSTb553dpt1fv7OTfsD2NK0Prs/3/bvf5ep6azTbKPQt2JLnZyPOlJVQtXZV8teXuy+X&#10;nPkgbCU0WFXynfL8evb501XnCjWGBnSlkFEQ64vOlbwJwRVZ5mWjjPBn4JQlZQ1oRCARV1mFoqPo&#10;Rmfj0ehb1gFWDkEq7+l10Sv5LMWvayXDY117FZguOdUW0onpXMYzm12JYoXCNa0cyhD/UIURraWk&#10;h1ALEQRbY/tHKNNKBA91OJNgMqjrVqrUA3WTjz5089wIp1IvBI53B5j8/wsrHzbP7gkJhs75wtM1&#10;drGt0cR/qo9tE1i7A1hqG5ikx/PJRT7lTJImn07H068Ry+zo69CH7woMi5eSV9DZOSJ0CSaxufeh&#10;t9/bxXwedFvdtVonYedvNbKNoNHRxCnAC+XmTAsfSEEFpd+Q9p2rtqyjssYXI5q5FMSrWgtylcZV&#10;Jfd2xZnQKyKsDJjqeeftcbU8ZJ7cTG8Wk96oEZXq68knlHufuTdPzb+LEztbCN/0LkkVXURh2kCk&#10;160p+eVpD9pGrUq0HfA5TiXellDtnpAh9Dz2Tt61lOSeEHkSSMSldmkZwyMdtQbCAIYbZw3gr7+9&#10;R3viE2k562gRCJ+fa4GKgP5hiWnT/Pw8bk4SaOhjEvBUszzV2LW5BRpYTmvvZLpG+6D31xrBvNHO&#10;zmNWUgkrKXc/iUG4Df2C0tZLNZ8nM9oWJ8K9fXYyBo84RXhftm8C3UCxQPR4gP3SiOIDyXrb6Glh&#10;vg5Qt4mBR1xpglGgTUuzHL4KcZVP5WR1/HbNfgMAAP//AwBQSwMEFAAGAAgAAAAhAHx8OFLfAAAA&#10;CQEAAA8AAABkcnMvZG93bnJldi54bWxMj8FOwzAQRO9I/IO1SNyo06aUNsSpqlKEhLg08AHb2E1S&#10;4rWJnTb8PcsJTqvRjGbf5OvRduJs+tA6UjCdJCAMVU63VCv4eH++W4IIEUlj58go+DYB1sX1VY6Z&#10;dhfam3MZa8ElFDJU0MToMylD1RiLYeK8IfaOrrcYWfa11D1euNx2cpYkC2mxJf7QoDfbxlSf5WAV&#10;jK/eP+12eHr5etuXw8puT5v7Vqnbm3HzCCKaMf6F4Ref0aFgpoMbSAfRKUgfFowe2Zjy5UC6nPO4&#10;g4J5OgNZ5PL/guIHAAD//wMAUEsBAi0AFAAGAAgAAAAhALaDOJL+AAAA4QEAABMAAAAAAAAAAAAA&#10;AAAAAAAAAFtDb250ZW50X1R5cGVzXS54bWxQSwECLQAUAAYACAAAACEAOP0h/9YAAACUAQAACwAA&#10;AAAAAAAAAAAAAAAvAQAAX3JlbHMvLnJlbHNQSwECLQAUAAYACAAAACEAiNsHBnYCAAADBQAADgAA&#10;AAAAAAAAAAAAAAAuAgAAZHJzL2Uyb0RvYy54bWxQSwECLQAUAAYACAAAACEAfHw4Ut8AAAAJAQAA&#10;DwAAAAAAAAAAAAAAAADQBAAAZHJzL2Rvd25yZXYueG1sUEsFBgAAAAAEAAQA8wAAANwFAAAAAA==&#10;" adj="19122" fillcolor="windowText" strokecolor="#223f59" strokeweight="1pt"/>
            </w:pict>
          </mc:Fallback>
        </mc:AlternateContent>
      </w:r>
      <w:r w:rsidRPr="00AA052E">
        <w:rPr>
          <w:rFonts w:ascii="Times New Roman" w:eastAsia="Calibri" w:hAnsi="Times New Roman"/>
          <w:b/>
          <w:noProof/>
          <w:sz w:val="24"/>
          <w:szCs w:val="24"/>
        </w:rPr>
        <mc:AlternateContent>
          <mc:Choice Requires="wps">
            <w:drawing>
              <wp:anchor distT="0" distB="0" distL="114300" distR="114300" simplePos="0" relativeHeight="251665408" behindDoc="0" locked="0" layoutInCell="1" allowOverlap="1" wp14:anchorId="7EDD21C3" wp14:editId="04652629">
                <wp:simplePos x="0" y="0"/>
                <wp:positionH relativeFrom="margin">
                  <wp:posOffset>2400495</wp:posOffset>
                </wp:positionH>
                <wp:positionV relativeFrom="paragraph">
                  <wp:posOffset>59837</wp:posOffset>
                </wp:positionV>
                <wp:extent cx="1409700" cy="7620"/>
                <wp:effectExtent l="19050" t="19050" r="19050" b="30480"/>
                <wp:wrapNone/>
                <wp:docPr id="32" name="Connecteur droit 32"/>
                <wp:cNvGraphicFramePr/>
                <a:graphic xmlns:a="http://schemas.openxmlformats.org/drawingml/2006/main">
                  <a:graphicData uri="http://schemas.microsoft.com/office/word/2010/wordprocessingShape">
                    <wps:wsp>
                      <wps:cNvCnPr/>
                      <wps:spPr>
                        <a:xfrm flipV="1">
                          <a:off x="0" y="0"/>
                          <a:ext cx="1409700" cy="76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B2B3C7" id="Connecteur droit 3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4.7pt" to="30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epwAEAAGcDAAAOAAAAZHJzL2Uyb0RvYy54bWysU01v2zAMvQ/ofxB0X+QEbZMacXpo0F2G&#10;rcDa3llZsgXoC6IaJ/9+lJJl2XYb6oMgieIj3+Pz+n7vLNuphCb4js9nDWfKy9AbP3T85fnx84oz&#10;zOB7sMGrjh8U8vvN1af1FFu1CGOwvUqMQDy2U+z4mHNshUA5Kgc4C1F5CuqQHGQ6pkH0CSZCd1Ys&#10;muZWTCH1MQWpEOl2ewzyTcXXWsn8XWtUmdmOU2+5rqmub2UVmzW0Q4I4GnlqA/6jCwfGU9Ez1BYy&#10;sPdk/oFyRqaAQeeZDE4ErY1UlQOxmTd/sfkxQlSVC4mD8SwTfhys/LZ78E+JZJgithifUmGx18kx&#10;bU18pZlWXtQp21fZDmfZ1D4zSZfz6+Zu2ZC6kmLL20VVVRxRClpMmL+o4FjZdNwaX0hBC7uvmKky&#10;Pf31pFz78GisrYOxnk0dX6xuljeEDuQPbSHT1sW+4+gHzsAOZDyZU4XEYE1f0gsQHvDBJrYDmj1Z&#10;pg/TM7XMmQXMFCAe9SseoBb+SC39bAHHY3INHa3iTCa/WuM6vrrMtr5UVNVxJ1a/BS27t9Afqs6i&#10;nGiatejJecUul2faX/4fm58AAAD//wMAUEsDBBQABgAIAAAAIQB/z/+43gAAAAgBAAAPAAAAZHJz&#10;L2Rvd25yZXYueG1sTI/BTsMwEETvSPyDtUjcqA1UoYQ4FSrlwAEJCgiOrr1NUux1iN02/D3LCY6j&#10;mZ19U83H4MUeh9RF0nA+USCQbHQdNRpeX+7PZiBSNuSMj4QavjHBvD4+qkzp4oGecb/KjeASSqXR&#10;0Obcl1Im22IwaRJ7JPY2cQgmsxwa6QZz4PLg5YVShQymI/7Qmh4XLdrP1S4wxrj8ogf7Pl1utotH&#10;9fS2/bD+TuvTk/H2BkTGMf+F4Refb6BmpnXckUvCa7i8mvGWrOF6CoL9QinWaw6qAmRdyf8D6h8A&#10;AAD//wMAUEsBAi0AFAAGAAgAAAAhALaDOJL+AAAA4QEAABMAAAAAAAAAAAAAAAAAAAAAAFtDb250&#10;ZW50X1R5cGVzXS54bWxQSwECLQAUAAYACAAAACEAOP0h/9YAAACUAQAACwAAAAAAAAAAAAAAAAAv&#10;AQAAX3JlbHMvLnJlbHNQSwECLQAUAAYACAAAACEA5VxXqcABAABnAwAADgAAAAAAAAAAAAAAAAAu&#10;AgAAZHJzL2Uyb0RvYy54bWxQSwECLQAUAAYACAAAACEAf8//uN4AAAAIAQAADwAAAAAAAAAAAAAA&#10;AAAaBAAAZHJzL2Rvd25yZXYueG1sUEsFBgAAAAAEAAQA8wAAACUFAAAAAA==&#10;" strokecolor="windowText" strokeweight="2.25pt">
                <v:stroke joinstyle="miter"/>
                <w10:wrap anchorx="margin"/>
              </v:line>
            </w:pict>
          </mc:Fallback>
        </mc:AlternateContent>
      </w:r>
    </w:p>
    <w:p w14:paraId="6F2400D2" w14:textId="7C07CD7F" w:rsidR="00AA052E" w:rsidRPr="00AA052E" w:rsidRDefault="00AA052E" w:rsidP="00AA052E">
      <w:pPr>
        <w:spacing w:line="259" w:lineRule="auto"/>
        <w:rPr>
          <w:rFonts w:ascii="Times New Roman" w:eastAsia="Calibri" w:hAnsi="Times New Roman"/>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7456" behindDoc="0" locked="0" layoutInCell="1" allowOverlap="1" wp14:anchorId="20A23D28" wp14:editId="4D0CC7DF">
                <wp:simplePos x="0" y="0"/>
                <wp:positionH relativeFrom="margin">
                  <wp:posOffset>267970</wp:posOffset>
                </wp:positionH>
                <wp:positionV relativeFrom="paragraph">
                  <wp:posOffset>635</wp:posOffset>
                </wp:positionV>
                <wp:extent cx="2564765" cy="402590"/>
                <wp:effectExtent l="19050" t="19050" r="26035" b="16510"/>
                <wp:wrapNone/>
                <wp:docPr id="711101454" name="Rectangle 711101454"/>
                <wp:cNvGraphicFramePr/>
                <a:graphic xmlns:a="http://schemas.openxmlformats.org/drawingml/2006/main">
                  <a:graphicData uri="http://schemas.microsoft.com/office/word/2010/wordprocessingShape">
                    <wps:wsp>
                      <wps:cNvSpPr/>
                      <wps:spPr>
                        <a:xfrm rot="10800000" flipH="1" flipV="1">
                          <a:off x="0" y="0"/>
                          <a:ext cx="2564765" cy="40259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7D975" id="Rectangle 711101454" o:spid="_x0000_s1026" style="position:absolute;margin-left:21.1pt;margin-top:.05pt;width:201.95pt;height:31.7pt;rotation:180;flip:x 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bMbwIAANkEAAAOAAAAZHJzL2Uyb0RvYy54bWysVMtu2zAQvBfoPxC8N5JdOw8jcmAkSFsg&#10;aAIkbc4MRVoE+CpJW3a/vkNKTtK0p6I6ELvc5XJnOKvzi53RZCtCVM42dHJUUyIsd62y64Z+e7j+&#10;cEpJTMy2TDsrGroXkV4s37877/1CTF3ndCsCQREbF71vaJeSX1RV5J0wLB45LyyC0gXDEtywrtrA&#10;elQ3uprW9XHVu9D64LiIEbtXQ5AuS30pBU+3UkaRiG4oektlDWV9ymu1PGeLdWC+U3xsg/1DF4Yp&#10;i0ufS12xxMgmqD9KGcWDi06mI+5M5aRUXBQMQDOp36C575gXBQvIif6Zpvj/yvKv23t/F0BD7+Mi&#10;wswodjIYEhzYmtSndf4okVr5z9gYrO/ZyqmAQHaFz/0zn2KXCMfmdH48OzmeU8IRm9XT+VkhvBou&#10;yKd9iOmTcIZko6EB71Wqsu1NTGgKqYeUnG7dtdK6vJm2pG/ox9NJ7o0zSEdqlmAa3zY02jUlTK+h&#10;SZ5CKRmdVm0+ngvFfbzUgWwZZAE1ta5/QNOUaBYTAkAyoB5a+O1o7ueKxW44XEKDioxKkLJWpqEj&#10;Z8NpbfONoohxRPXCdbaeXLu/CwPfABM9v1a45Aa93LEAOWITI5ZusUjtANuNFiWdCz//tp/zoRJE&#10;Kekhb1DyY8OCAMQvFvo5m8xmKJuKM5ufTOGE15Gn1xG7MZcOVOHx0V0xc37SB1MGZx4xiat8K0LM&#10;ctw9kD86l2kYO8wyF6tVScMMeJZu7L3nBz1leh92jyz4URMJD/PVHUaBLd5IY8gdxLHaJCdV0c0L&#10;rxBRdjA/RU7jrOcBfe2XrJc/0vIXAAAA//8DAFBLAwQUAAYACAAAACEAfwpN5NwAAAAGAQAADwAA&#10;AGRycy9kb3ducmV2LnhtbEyOwU7DMBBE70j8g7VI3KjTNI0gxKkqJC7cWioKNzfexoF4HcVOm/49&#10;2xPcZmdGs69cTa4TJxxC60nBfJaAQKq9aalRsHt/fXgEEaImoztPqOCCAVbV7U2pC+PPtMHTNjaC&#10;RygUWoGNsS+kDLVFp8PM90icHf3gdORzaKQZ9JnHXSfTJMml0y3xB6t7fLFY/2xHp2DjF5/Hy3K9&#10;//h+m1sa66+ncd8rdX83rZ9BRJziXxmu+IwOFTMd/EgmiE5BlqbcvPqC0yzLWRwU5IslyKqU//Gr&#10;XwAAAP//AwBQSwECLQAUAAYACAAAACEAtoM4kv4AAADhAQAAEwAAAAAAAAAAAAAAAAAAAAAAW0Nv&#10;bnRlbnRfVHlwZXNdLnhtbFBLAQItABQABgAIAAAAIQA4/SH/1gAAAJQBAAALAAAAAAAAAAAAAAAA&#10;AC8BAABfcmVscy8ucmVsc1BLAQItABQABgAIAAAAIQC2zdbMbwIAANkEAAAOAAAAAAAAAAAAAAAA&#10;AC4CAABkcnMvZTJvRG9jLnhtbFBLAQItABQABgAIAAAAIQB/Ck3k3AAAAAYBAAAPAAAAAAAAAAAA&#10;AAAAAMkEAABkcnMvZG93bnJldi54bWxQSwUGAAAAAAQABADzAAAA0gUAAAAA&#10;" filled="f" strokecolor="windowText" strokeweight="3pt">
                <w10:wrap anchorx="margin"/>
              </v:rect>
            </w:pict>
          </mc:Fallback>
        </mc:AlternateContent>
      </w:r>
      <w:r w:rsidRPr="00AA052E">
        <w:rPr>
          <w:rFonts w:ascii="Times New Roman" w:eastAsia="Calibri" w:hAnsi="Times New Roman"/>
          <w:b/>
          <w:sz w:val="24"/>
          <w:szCs w:val="24"/>
          <w:lang w:val="en-GB"/>
        </w:rPr>
        <w:tab/>
      </w:r>
    </w:p>
    <w:p w14:paraId="53407246" w14:textId="6AF04678" w:rsidR="00AA052E" w:rsidRPr="00AA052E" w:rsidRDefault="00AA052E" w:rsidP="00AA052E">
      <w:pPr>
        <w:tabs>
          <w:tab w:val="left" w:pos="3711"/>
          <w:tab w:val="left" w:pos="3757"/>
          <w:tab w:val="left" w:pos="5556"/>
        </w:tabs>
        <w:spacing w:after="160" w:line="259" w:lineRule="auto"/>
        <w:rPr>
          <w:rFonts w:ascii="Arial" w:eastAsia="Calibri" w:hAnsi="Arial" w:cs="Arial"/>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4384" behindDoc="0" locked="0" layoutInCell="1" allowOverlap="1" wp14:anchorId="1AC98353" wp14:editId="224011A7">
                <wp:simplePos x="0" y="0"/>
                <wp:positionH relativeFrom="margin">
                  <wp:posOffset>2708911</wp:posOffset>
                </wp:positionH>
                <wp:positionV relativeFrom="paragraph">
                  <wp:posOffset>222886</wp:posOffset>
                </wp:positionV>
                <wp:extent cx="11430" cy="842010"/>
                <wp:effectExtent l="19050" t="19050" r="26670" b="34290"/>
                <wp:wrapNone/>
                <wp:docPr id="31" name="Connecteur droit 31"/>
                <wp:cNvGraphicFramePr/>
                <a:graphic xmlns:a="http://schemas.openxmlformats.org/drawingml/2006/main">
                  <a:graphicData uri="http://schemas.microsoft.com/office/word/2010/wordprocessingShape">
                    <wps:wsp>
                      <wps:cNvCnPr/>
                      <wps:spPr>
                        <a:xfrm>
                          <a:off x="0" y="0"/>
                          <a:ext cx="11430" cy="84201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E8A728" id="Connecteur droit 3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3.3pt,17.55pt" to="214.2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SfswEAAF0DAAAOAAAAZHJzL2Uyb0RvYy54bWysU8tu2zAQvBfIPxC8x7TdpDUEyznESC5F&#10;GqDpB2z4kAjwBS5j2X+fJe06bnsrqgNFcrmjmeFofbf3ju10RhtDzxezOWc6yKhsGHr+8+XhesUZ&#10;FggKXAy65weN/G5z9Wk9pU4v4xid0pkRSMBuSj0fS0mdEChH7QFnMelARROzh0LLPAiVYSJ078Ry&#10;Pv8ipphVylFqRNrdHot80/CN0bJ8NwZ1Ya7nxK20MbfxtY5is4ZuyJBGK0804B9YeLCBPnqG2kIB&#10;9pbtX1DeyhwxmjKT0YtojJW6aSA1i/kfan6MkHTTQuZgOtuE/w9WPu3uw3MmG6aEHabnXFXsTfb1&#10;TfzYvpl1OJul94VJ2lwsbj6To5Iqq5tKvnopPnpTxvKoo2d10nNnQ5UCHey+YTke/XWkbof4YJ1r&#10;1+ECm3q+XN1+vSV8oFQYB4WmPqmeYxg4AzdQ3GTJDRKjs6q2VyA84L3LbAd04xQUFacXosyZAyxU&#10;IB3tObH9rbXy2QKOx+ZWOgbE20IpddaT1stuF+oXdcvZSdWHjXX2GtWhuSvqiu6wWXTKWw3J5Zrm&#10;l3/F5h0AAP//AwBQSwMEFAAGAAgAAAAhAG82uqreAAAACgEAAA8AAABkcnMvZG93bnJldi54bWxM&#10;j8tugzAQRfeV+g/WROquMVDqRAQTRX1I2YZGrB08BSt+IOwA+fu6q3Y5ukf3nin3i9FkwtErZzmk&#10;6wQI2tZJZTsO56/P5y0QH4SVQjuLHO7oYV89PpSikG62J5zq0JFYYn0hOPQhDAWlvu3RCL92A9qY&#10;fbvRiBDPsaNyFHMsN5pmScKoEcrGhV4M+NZje61vhsNVT83h/eM4T6dGsWPaKLyfa86fVsthByTg&#10;Ev5g+NWP6lBFp4u7WemJ5pBnjEWUw8trCiQCebbNgVwiyTYboFVJ/79Q/QAAAP//AwBQSwECLQAU&#10;AAYACAAAACEAtoM4kv4AAADhAQAAEwAAAAAAAAAAAAAAAAAAAAAAW0NvbnRlbnRfVHlwZXNdLnht&#10;bFBLAQItABQABgAIAAAAIQA4/SH/1gAAAJQBAAALAAAAAAAAAAAAAAAAAC8BAABfcmVscy8ucmVs&#10;c1BLAQItABQABgAIAAAAIQA0bhSfswEAAF0DAAAOAAAAAAAAAAAAAAAAAC4CAABkcnMvZTJvRG9j&#10;LnhtbFBLAQItABQABgAIAAAAIQBvNrqq3gAAAAoBAAAPAAAAAAAAAAAAAAAAAA0EAABkcnMvZG93&#10;bnJldi54bWxQSwUGAAAAAAQABADzAAAAGAUAAAAA&#10;" strokecolor="windowText" strokeweight="2.25pt">
                <v:stroke joinstyle="miter"/>
                <w10:wrap anchorx="margin"/>
              </v:line>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6672" behindDoc="0" locked="0" layoutInCell="1" allowOverlap="1" wp14:anchorId="0C848DC5" wp14:editId="436427D7">
                <wp:simplePos x="0" y="0"/>
                <wp:positionH relativeFrom="margin">
                  <wp:posOffset>4194811</wp:posOffset>
                </wp:positionH>
                <wp:positionV relativeFrom="paragraph">
                  <wp:posOffset>215265</wp:posOffset>
                </wp:positionV>
                <wp:extent cx="0" cy="887730"/>
                <wp:effectExtent l="19050" t="0" r="19050" b="26670"/>
                <wp:wrapNone/>
                <wp:docPr id="1674821329" name="Connecteur droit 1674821329"/>
                <wp:cNvGraphicFramePr/>
                <a:graphic xmlns:a="http://schemas.openxmlformats.org/drawingml/2006/main">
                  <a:graphicData uri="http://schemas.microsoft.com/office/word/2010/wordprocessingShape">
                    <wps:wsp>
                      <wps:cNvCnPr/>
                      <wps:spPr>
                        <a:xfrm>
                          <a:off x="0" y="0"/>
                          <a:ext cx="0" cy="8877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C8D5F9" id="Connecteur droit 1674821329"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3pt,16.95pt" to="330.3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hAswEAAFkDAAAOAAAAZHJzL2Uyb0RvYy54bWysU01v2zAMvQ/ofxB0b5RmaBMYcXpo0F6G&#10;tcC6H8DqwxagL4hqnPz7UUqWZt1tmA8yRZqPfOTz+n7vHdvpjDaGnt/M5pzpIKOyYej5z9fH6xVn&#10;WCAocDHonh808vvN1Zf1lDq9iGN0SmdGIAG7KfV8LCV1QqActQecxaQDBU3MHgpd8yBUhonQvROL&#10;+fxOTDGrlKPUiOTdHoN80/CN0bI8G4O6MNdz6q20M7fzrZ5is4ZuyJBGK09twD904cEGKnqG2kIB&#10;9p7tX1DeyhwxmjKT0YtojJW6cSA2N/NPbH6MkHTjQsPBdB4T/j9Y+X33EF4yjWFK2GF6yZXF3mRf&#10;39Qf27dhHc7D0vvC5NEpybtaLZdf2xzFR17KWJ509KwaPXc2VBrQwe4bFqpFn/7+pLpDfLTOtVW4&#10;wKaeL1a3y1vOJJAijINCpk+q5xgGzsANJDVZcoPE6Kyq6RUID/jgMtsBbZtEouL0Su1y5gALBYhD&#10;e+rWqYU/Ums/W8DxmNxCR3F4W0ihznriepntQq2om8ZOrD5GWK23qA5tsqLeaH+t6ElrVSCXd7Iv&#10;/4jNLwAAAP//AwBQSwMEFAAGAAgAAAAhAEQ8MqPcAAAACgEAAA8AAABkcnMvZG93bnJldi54bWxM&#10;j8tOwzAQRfdI/IM1SOyoUyK5EOJUFQ+p24YqazceEqt+RLGbpH/PIBawnJmjO+eW28VZNuEYTfAS&#10;1qsMGPo2aOM7CcfPj4cnYDEpr5UNHiVcMcK2ur0pVaHD7A841aljFOJjoST0KQ0F57Ht0am4CgN6&#10;un2F0alE49hxPaqZwp3lj1kmuFPG04deDfjaY3uuL07C2U7N7u19P0+Hxoj9ujF4PdZS3t8tuxdg&#10;CZf0B8OPPqlDRU6ncPE6MitBiEwQKiHPn4ER8Ls4EbnJN8Crkv+vUH0DAAD//wMAUEsBAi0AFAAG&#10;AAgAAAAhALaDOJL+AAAA4QEAABMAAAAAAAAAAAAAAAAAAAAAAFtDb250ZW50X1R5cGVzXS54bWxQ&#10;SwECLQAUAAYACAAAACEAOP0h/9YAAACUAQAACwAAAAAAAAAAAAAAAAAvAQAAX3JlbHMvLnJlbHNQ&#10;SwECLQAUAAYACAAAACEAIUHoQLMBAABZAwAADgAAAAAAAAAAAAAAAAAuAgAAZHJzL2Uyb0RvYy54&#10;bWxQSwECLQAUAAYACAAAACEARDwyo9wAAAAKAQAADwAAAAAAAAAAAAAAAAANBAAAZHJzL2Rvd25y&#10;ZXYueG1sUEsFBgAAAAAEAAQA8wAAABYFAAAAAA==&#10;" strokecolor="windowText" strokeweight="2.25pt">
                <v:stroke joinstyle="miter"/>
                <w10:wrap anchorx="margin"/>
              </v:line>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3600" behindDoc="0" locked="0" layoutInCell="1" allowOverlap="1" wp14:anchorId="3775B129" wp14:editId="391A4990">
                <wp:simplePos x="0" y="0"/>
                <wp:positionH relativeFrom="column">
                  <wp:posOffset>2135700</wp:posOffset>
                </wp:positionH>
                <wp:positionV relativeFrom="paragraph">
                  <wp:posOffset>366395</wp:posOffset>
                </wp:positionV>
                <wp:extent cx="45085" cy="171450"/>
                <wp:effectExtent l="19050" t="0" r="31115" b="38100"/>
                <wp:wrapNone/>
                <wp:docPr id="4530969" name="Flèche : bas 11"/>
                <wp:cNvGraphicFramePr/>
                <a:graphic xmlns:a="http://schemas.openxmlformats.org/drawingml/2006/main">
                  <a:graphicData uri="http://schemas.microsoft.com/office/word/2010/wordprocessingShape">
                    <wps:wsp>
                      <wps:cNvSpPr/>
                      <wps:spPr>
                        <a:xfrm flipH="1">
                          <a:off x="0" y="0"/>
                          <a:ext cx="45085" cy="17145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C783C" id="Flèche : bas 11" o:spid="_x0000_s1026" type="#_x0000_t67" style="position:absolute;margin-left:168.15pt;margin-top:28.85pt;width:3.55pt;height:1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EfewIAAA0FAAAOAAAAZHJzL2Uyb0RvYy54bWysVFtr2zAUfh/sPwi9r46Ds3SmTgkp3Qal&#10;LbSjz4osxQLddqTEyX79jmQnTbs9jflB6Pjcv/MdXV3vjSY7AUE529DyYkKJsNy1ym4a+uP59tMl&#10;JSEy2zLtrGjoQQR6vfj44ar3tZi6zulWAMEgNtS9b2gXo6+LIvBOGBYunBcWldKBYRFF2BQtsB6j&#10;G11MJ5PPRe+g9eC4CAH/3gxKusjxpRQ8PkgZRCS6oVhbzCfkc53OYnHF6g0w3yk+lsH+oQrDlMWk&#10;p1A3LDKyBfVHKKM4uOBkvODOFE5KxUXuAbspJ++6eeqYF7kXBCf4E0zh/4Xl97sn/wgIQ+9DHfCa&#10;uthLMERq5b/hTHNfWCnZZ9gOJ9jEPhKOP6vZ5HJGCUdNOS9RSqgWQ5QUzUOIX4UzJF0a2rreLgFc&#10;nwOz3V2Ig/3RLvkEp1V7q7TOwiGsNJAdwyHi7DHAM+amRLMQUYEF5W9M+8ZVW9JjWdP5BKfPGTJM&#10;aoau3Pi2ocFuKGF6g9TlEXI9b7wDbNanzFU1n66qwahjrRjqKWeY+5h5MM/Nv4mTOrthoRtcsiq5&#10;sNqoiPTXyjT08rwHbZNWZAKP+LzOJ93Wrj08AgE3MDp4fqswyR0i8sgAKYzt4lrGBzykdoiBG2+U&#10;dA5+/e1/skdmoZaSHlcC8fm5ZSAQ6O8WOfelrKq0Q1moZvMpCnCuWZ9r7NasHA6sxAfA83xN9lEf&#10;rxKcecHtXaasqGKWY+5hEqOwisOq4v5zsVxmM9wbz+KdffL8SM4E7/P+hYEfKRaRHvfuuD6sfkey&#10;wTYhbN1yG51UmYGvuOIEk4A7l2c5vg9pqc/lbPX6ii1+AwAA//8DAFBLAwQUAAYACAAAACEA350l&#10;yt8AAAAJAQAADwAAAGRycy9kb3ducmV2LnhtbEyPy07DMBBF90j8gzVI7KhDHZoqxKkipG55tIBY&#10;uvEkDsTjKHab9O8xq7Ic3aN7zxSb2fbshKPvHEm4XyTAkGqnO2olvO+3d2tgPijSqneEEs7oYVNe&#10;XxUq126iNzztQstiCflcSTAhDDnnvjZolV+4ASlmjRutCvEcW65HNcVy2/Nlkqy4VR3FBaMGfDJY&#10;/+yOVkJVefOqt83zcjp/7/Hr48V9po2Utzdz9Qgs4BwuMPzpR3Uoo9PBHUl71ksQYiUiKuEhy4BF&#10;QKQiBXaQsE4z4GXB/39Q/gIAAP//AwBQSwECLQAUAAYACAAAACEAtoM4kv4AAADhAQAAEwAAAAAA&#10;AAAAAAAAAAAAAAAAW0NvbnRlbnRfVHlwZXNdLnhtbFBLAQItABQABgAIAAAAIQA4/SH/1gAAAJQB&#10;AAALAAAAAAAAAAAAAAAAAC8BAABfcmVscy8ucmVsc1BLAQItABQABgAIAAAAIQABHUEfewIAAA0F&#10;AAAOAAAAAAAAAAAAAAAAAC4CAABkcnMvZTJvRG9jLnhtbFBLAQItABQABgAIAAAAIQDfnSXK3wAA&#10;AAkBAAAPAAAAAAAAAAAAAAAAANUEAABkcnMvZG93bnJldi54bWxQSwUGAAAAAAQABADzAAAA4QUA&#10;AAAA&#10;" adj="18760" fillcolor="windowText" strokecolor="#172c51" strokeweight="1p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2576" behindDoc="0" locked="0" layoutInCell="1" allowOverlap="1" wp14:anchorId="4084E0B8" wp14:editId="44ADD0A7">
                <wp:simplePos x="0" y="0"/>
                <wp:positionH relativeFrom="column">
                  <wp:posOffset>220784</wp:posOffset>
                </wp:positionH>
                <wp:positionV relativeFrom="paragraph">
                  <wp:posOffset>352864</wp:posOffset>
                </wp:positionV>
                <wp:extent cx="50800" cy="193040"/>
                <wp:effectExtent l="19050" t="0" r="44450" b="35560"/>
                <wp:wrapNone/>
                <wp:docPr id="1306935367" name="Flèche : bas 11"/>
                <wp:cNvGraphicFramePr/>
                <a:graphic xmlns:a="http://schemas.openxmlformats.org/drawingml/2006/main">
                  <a:graphicData uri="http://schemas.microsoft.com/office/word/2010/wordprocessingShape">
                    <wps:wsp>
                      <wps:cNvSpPr/>
                      <wps:spPr>
                        <a:xfrm>
                          <a:off x="0" y="0"/>
                          <a:ext cx="50800" cy="19304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1758D" id="Flèche : bas 11" o:spid="_x0000_s1026" type="#_x0000_t67" style="position:absolute;margin-left:17.4pt;margin-top:27.8pt;width:4pt;height: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y+dgIAAAMFAAAOAAAAZHJzL2Uyb0RvYy54bWysVMlu2zAQvRfoPxC8N7Jdp0mMyIHhIEWB&#10;IDGQFDnTFGUJ4NYhbdn9+j5SXrL0VNQHeoYznOXNG13fbI1mG0Whdbbkw7MBZ8pKV7V2VfKfz3df&#10;LjkLUdhKaGdVyXcq8Jvp50/XnZ+okWucrhQxBLFh0vmSNzH6SVEE2SgjwpnzysJYOzIiQqVVUZHo&#10;EN3oYjQYfCs6R5UnJ1UIuL3tjXya49e1kvGxroOKTJcctcV8Uj6X6Sym12KyIuGbVu7LEP9QhRGt&#10;RdJjqFsRBVtT+yGUaSW54Op4Jp0pXF23UuUe0M1w8K6bp0Z4lXsBOMEfYQr/L6x82Dz5BQGGzodJ&#10;gJi62NZk0j/qY9sM1u4IltpGJnF5PrgcAFEJy/Dq62CcsSxObz2F+F05w5JQ8sp1dkbkugyT2NyH&#10;iKTwP/ilfMHptrprtc7KLsw1sY3A6DBxBHhGbs60CBEGFJR/aYQI8+aptqxDWaOLXKEAr2ot8FQa&#10;X5U82BVnQq9AWBkp1/PmdaDV8ph5PL4Yzce9UyMq1dczPEfuQ+be/WMVqbNbEZr+SU7R8820EaTX&#10;rSk5MDxF0jb1rTJt9/icppKkpat2C2Lkeh4HL+9aJLkHIgtBIC4GgmWMjzhq7YCB20ucNY5+/+0+&#10;+YNPsHLWYRGAz6+1IAWgf1gw7Wo4xmxZzMr4/GIEhV5blq8tdm3mDgMbYu29zGLyj/og1uTMC3Z2&#10;lrLCJKxE7n4Se2Ue+wXF1ks1m2U3bIsX8d4+eZmCJ5wSvM/bF0F+T7EIejy4w9KIyTuS9b7ppXWz&#10;dXR1mxl4whUTTAo2Lc9y/1VIq/xaz16nb9f0DwAAAP//AwBQSwMEFAAGAAgAAAAhAGLFQkDdAAAA&#10;BwEAAA8AAABkcnMvZG93bnJldi54bWxMzkFOwzAQBdA9EnewBokNog4lDSVkUlUgWLRi0cIBprGJ&#10;Q+1xiN023B6zguXXH/151WJ0Vhz1EDrPCDeTDITmxquOW4T3t+frOYgQiRVZzxrhWwdY1OdnFZXK&#10;n3ijj9vYijTCoSQEE2NfShkaox2Fie81p+7DD45iikMr1UCnNO6snGZZIR11nD4Y6vWj0c1+e3AI&#10;9/l6uTb8svl6aj7t3atbXdGeEC8vxuUDiKjH+HcMv/xEhzqZdv7AKgiLcJsneUSYzQoQqc+nKe8Q&#10;5kUGsq7kf3/9AwAA//8DAFBLAQItABQABgAIAAAAIQC2gziS/gAAAOEBAAATAAAAAAAAAAAAAAAA&#10;AAAAAABbQ29udGVudF9UeXBlc10ueG1sUEsBAi0AFAAGAAgAAAAhADj9If/WAAAAlAEAAAsAAAAA&#10;AAAAAAAAAAAALwEAAF9yZWxzLy5yZWxzUEsBAi0AFAAGAAgAAAAhAIGlPL52AgAAAwUAAA4AAAAA&#10;AAAAAAAAAAAALgIAAGRycy9lMm9Eb2MueG1sUEsBAi0AFAAGAAgAAAAhAGLFQkDdAAAABwEAAA8A&#10;AAAAAAAAAAAAAAAA0AQAAGRycy9kb3ducmV2LnhtbFBLBQYAAAAABAAEAPMAAADaBQAAAAA=&#10;" adj="18758" fillcolor="windowText" strokecolor="#172c51" strokeweight="1pt"/>
            </w:pict>
          </mc:Fallback>
        </mc:AlternateContent>
      </w:r>
      <w:r w:rsidRPr="00AA052E">
        <w:rPr>
          <w:rFonts w:ascii="Times New Roman" w:eastAsia="Calibri" w:hAnsi="Times New Roman"/>
          <w:b/>
          <w:noProof/>
          <w:sz w:val="24"/>
          <w:szCs w:val="24"/>
        </w:rPr>
        <mc:AlternateContent>
          <mc:Choice Requires="wps">
            <w:drawing>
              <wp:anchor distT="0" distB="0" distL="114300" distR="114300" simplePos="0" relativeHeight="251671552" behindDoc="0" locked="0" layoutInCell="1" allowOverlap="1" wp14:anchorId="5B2A8064" wp14:editId="26B83D50">
                <wp:simplePos x="0" y="0"/>
                <wp:positionH relativeFrom="margin">
                  <wp:posOffset>224204</wp:posOffset>
                </wp:positionH>
                <wp:positionV relativeFrom="paragraph">
                  <wp:posOffset>350667</wp:posOffset>
                </wp:positionV>
                <wp:extent cx="1955849" cy="0"/>
                <wp:effectExtent l="0" t="19050" r="25400" b="19050"/>
                <wp:wrapNone/>
                <wp:docPr id="1919973267" name="Connecteur droit 1919973267"/>
                <wp:cNvGraphicFramePr/>
                <a:graphic xmlns:a="http://schemas.openxmlformats.org/drawingml/2006/main">
                  <a:graphicData uri="http://schemas.microsoft.com/office/word/2010/wordprocessingShape">
                    <wps:wsp>
                      <wps:cNvCnPr/>
                      <wps:spPr>
                        <a:xfrm>
                          <a:off x="0" y="0"/>
                          <a:ext cx="1955849"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45080A" id="Connecteur droit 191997326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65pt,27.6pt" to="171.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AtAEAAFoDAAAOAAAAZHJzL2Uyb0RvYy54bWysU8tuGzEMvBfoPwi6x7KNuHUWXucQI70U&#10;bYAmH8DosStAL4iq1/77UrLjuO2t6B60lCgOOeRoc3/wju11RhtDzxezOWc6yKhsGHr+8vx4s+YM&#10;CwQFLgbd86NGfr/9+GEzpU4v4xid0pkRSMBuSj0fS0mdEChH7QFnMelAThOzh0LbPAiVYSJ078Ry&#10;Pv8kpphVylFqRDrdnZx82/CN0bJ8NwZ1Ya7nVFtpa27ra13FdgPdkCGNVp7LgH+owoMNlPQCtYMC&#10;7Ge2f0F5K3PEaMpMRi+iMVbqxoHYLOZ/sPkxQtKNCzUH06VN+P9g5bf9Q3jK1IYpYYfpKVcWB5N9&#10;/VN97NCadbw0Sx8Kk3S4uFut1rd3nMk3n3gPTBnLFx09q0bPnQ2VB3Sw/4qFktHVtyv1OMRH61yb&#10;hQts6vlyvfq8ImggSRgHhUyfVM8xDJyBG0hrsuQGidFZVcMrEB7xwWW2Bxo3qUTF6Znq5cwBFnIQ&#10;ifbVsVMJv4XWenaA4ym4uU7q8LaQRJ31PV9fR7tQM+omsjOr9x5W6zWqY2utqDsaYEt6FltVyPWe&#10;7Osnsf0FAAD//wMAUEsDBBQABgAIAAAAIQABSwSs2wAAAAgBAAAPAAAAZHJzL2Rvd25yZXYueG1s&#10;TI9Lb4MwEITvlfofrI3UW2MSSlRRTBT1IeUaEnF28Aas+IGwA+Tfd6se2uPOjGa/KbazNWzEIWjv&#10;BKyWCTB0jVfatQJOx6/nV2AhSqek8Q4F3DHAtnx8KGSu/OQOOFaxZVTiQi4FdDH2Oeeh6dDKsPQ9&#10;OvIufrAy0jm0XA1yonJr+DpJNtxK7ehDJ3t877C5Vjcr4GrGevfxuZ/GQ603+1Wt8X6qhHhazLs3&#10;YBHn+BeGH3xCh5KYzv7mVGBGQJqllBSQZWtg5KcvKQnnX4GXBf8/oPwGAAD//wMAUEsBAi0AFAAG&#10;AAgAAAAhALaDOJL+AAAA4QEAABMAAAAAAAAAAAAAAAAAAAAAAFtDb250ZW50X1R5cGVzXS54bWxQ&#10;SwECLQAUAAYACAAAACEAOP0h/9YAAACUAQAACwAAAAAAAAAAAAAAAAAvAQAAX3JlbHMvLnJlbHNQ&#10;SwECLQAUAAYACAAAACEAJDPkwLQBAABaAwAADgAAAAAAAAAAAAAAAAAuAgAAZHJzL2Uyb0RvYy54&#10;bWxQSwECLQAUAAYACAAAACEAAUsErNsAAAAIAQAADwAAAAAAAAAAAAAAAAAOBAAAZHJzL2Rvd25y&#10;ZXYueG1sUEsFBgAAAAAEAAQA8wAAABYFAAAAAA==&#10;" strokecolor="windowText" strokeweight="2.25pt">
                <v:stroke joinstyle="miter"/>
                <w10:wrap anchorx="margin"/>
              </v:line>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8720" behindDoc="0" locked="0" layoutInCell="1" allowOverlap="1" wp14:anchorId="1FB0D10F" wp14:editId="5D50FD85">
                <wp:simplePos x="0" y="0"/>
                <wp:positionH relativeFrom="column">
                  <wp:posOffset>1267558</wp:posOffset>
                </wp:positionH>
                <wp:positionV relativeFrom="paragraph">
                  <wp:posOffset>380853</wp:posOffset>
                </wp:positionV>
                <wp:extent cx="45719" cy="158262"/>
                <wp:effectExtent l="19050" t="0" r="31115" b="32385"/>
                <wp:wrapNone/>
                <wp:docPr id="2003694602" name="Flèche : bas 11"/>
                <wp:cNvGraphicFramePr/>
                <a:graphic xmlns:a="http://schemas.openxmlformats.org/drawingml/2006/main">
                  <a:graphicData uri="http://schemas.microsoft.com/office/word/2010/wordprocessingShape">
                    <wps:wsp>
                      <wps:cNvSpPr/>
                      <wps:spPr>
                        <a:xfrm>
                          <a:off x="0" y="0"/>
                          <a:ext cx="45719" cy="158262"/>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F85B2" id="Flèche : bas 11" o:spid="_x0000_s1026" type="#_x0000_t67" style="position:absolute;margin-left:99.8pt;margin-top:30pt;width:3.6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HpdgIAAAMFAAAOAAAAZHJzL2Uyb0RvYy54bWysVMlu2zAQvRfoPxC8N7KMOIsQOXBipCgQ&#10;JAaSIOcxRVkCSA5L0pbdr++QkpekPRX1geZw9jdvdHO71YptpPMtmpLnZyPOpBFYtWZV8rfXh29X&#10;nPkApgKFRpZ8Jz2/nX79ctPZQo6xQVVJxyiI8UVnS96EYIss86KRGvwZWmlIWaPTEEh0q6xy0FF0&#10;rbLxaHSRdegq61BI7+l13iv5NMWvaynCc117GZgqOdUW0unSuYxnNr2BYuXANq0YyoB/qEJDayjp&#10;IdQcArC1a/8IpVvh0GMdzgTqDOu6FTL1QN3ko0/dvDRgZeqFwPH2AJP/f2HF0+bFLhzB0FlfeLrG&#10;Lra10/Gf6mPbBNbuAJbcBibo8XxymV9zJkiTT67GF+OIZXb0tc6H7xI1i5eSV9iZmXPYJZhg8+hD&#10;b7+3i/k8qrZ6aJVKws7fK8c2QKOjiVOAV8rNmQIfSEEFpd+Q9oOrMqyjssaXI5q5AOJVrYBchbZV&#10;yb1ZcQZqRYQVwaV6Pnh7t1oeMk/uru/mk96ogUr29eQTyr3P3Jun5j/EiZ3NwTe9S1JFFyh0G4j0&#10;qtUlvzrtQZmolYm2Az7HqcTbEqvdwjGHPY+9FQ8tJXkkRBbgiLjULi1jeKajVkgY4HDjrEH362/v&#10;0Z74RFrOOloEwufnGpwkoH8YYtp1fn4eNycJNPQxCe5UszzVmLW+RxpYTmtvRbpG+6D219qhfqed&#10;ncWspAIjKHc/iUG4D/2C0tYLOZslM9oWC+HRvFgRg0ecIryv23dwdqBYIHo84X5poPhEst42ehqc&#10;rQPWbWLgEVeaYBRo09Ish69CXOVTOVkdv13T3wAAAP//AwBQSwMEFAAGAAgAAAAhALNNqNTdAAAA&#10;CQEAAA8AAABkcnMvZG93bnJldi54bWxMj0FOwzAQRfdI3MEaJHbUboSsJMSpqiAQUjfQ9gBObOKo&#10;8TjEbhtuz7CC5dd8/Xmv2ix+ZBc7xyGggvVKALPYBTNgr+B4eHnIgcWk0egxoFXwbSNs6tubSpcm&#10;XPHDXvapZzSCsdQKXEpTyXnsnPU6rsJkkW6fYfY6UZx7bmZ9pXE/8kwIyb0ekD44PdnG2e60P3sF&#10;X20YhMPmLTfN6/Pu8N6eMrlT6v5u2T4BS3ZJf2X4xSd0qImpDWc0kY2Ui0JSVYEU5ESFTEhyaRXk&#10;jwXwuuL/DeofAAAA//8DAFBLAQItABQABgAIAAAAIQC2gziS/gAAAOEBAAATAAAAAAAAAAAAAAAA&#10;AAAAAABbQ29udGVudF9UeXBlc10ueG1sUEsBAi0AFAAGAAgAAAAhADj9If/WAAAAlAEAAAsAAAAA&#10;AAAAAAAAAAAALwEAAF9yZWxzLy5yZWxzUEsBAi0AFAAGAAgAAAAhALAwAel2AgAAAwUAAA4AAAAA&#10;AAAAAAAAAAAALgIAAGRycy9lMm9Eb2MueG1sUEsBAi0AFAAGAAgAAAAhALNNqNTdAAAACQEAAA8A&#10;AAAAAAAAAAAAAAAA0AQAAGRycy9kb3ducmV2LnhtbFBLBQYAAAAABAAEAPMAAADaBQAAAAA=&#10;" adj="18480" fillcolor="windowText" strokecolor="#223f59" strokeweight="1p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0528" behindDoc="0" locked="0" layoutInCell="1" allowOverlap="1" wp14:anchorId="071AC5B1" wp14:editId="2A6CD54F">
                <wp:simplePos x="0" y="0"/>
                <wp:positionH relativeFrom="column">
                  <wp:posOffset>1266386</wp:posOffset>
                </wp:positionH>
                <wp:positionV relativeFrom="paragraph">
                  <wp:posOffset>245989</wp:posOffset>
                </wp:positionV>
                <wp:extent cx="45719" cy="110978"/>
                <wp:effectExtent l="19050" t="0" r="31115" b="41910"/>
                <wp:wrapNone/>
                <wp:docPr id="1622824287" name="Flèche : bas 11"/>
                <wp:cNvGraphicFramePr/>
                <a:graphic xmlns:a="http://schemas.openxmlformats.org/drawingml/2006/main">
                  <a:graphicData uri="http://schemas.microsoft.com/office/word/2010/wordprocessingShape">
                    <wps:wsp>
                      <wps:cNvSpPr/>
                      <wps:spPr>
                        <a:xfrm>
                          <a:off x="0" y="0"/>
                          <a:ext cx="45719" cy="110978"/>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09DF6" id="Flèche : bas 11" o:spid="_x0000_s1026" type="#_x0000_t67" style="position:absolute;margin-left:99.7pt;margin-top:19.35pt;width:3.6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CdAIAAAMFAAAOAAAAZHJzL2Uyb0RvYy54bWysVMlu2zAQvRfoPxC8N7IMp04Ey4FhI0WB&#10;IAmQFDmPKcoSwK1D2rL79R1S8pK0p6I+0BzO/uaNZnd7rdhOom+tKXl+NeJMGmGr1mxK/uP1/ssN&#10;Zz6AqUBZI0t+kJ7fzT9/mnWukGPbWFVJZBTE+KJzJW9CcEWWedFIDf7KOmlIWVvUEEjETVYhdBRd&#10;q2w8Gn3NOouVQyuk9/S66pV8nuLXtRThqa69DEyVnGoL6cR0ruOZzWdQbBBc04qhDPiHKjS0hpKe&#10;Qq0gANti+0co3Qq03tbhSlid2bpuhUw9UDf56EM3Lw04mXohcLw7weT/X1jxuHtxz0gwdM4Xnq6x&#10;i32NOv5TfWyfwDqcwJL7wAQ9Tq6n+S1ngjR5Prqd3kQss7OvQx++SatZvJS8sp1ZINouwQS7Bx96&#10;+6NdzOetaqv7VqkkHPxSIdsBjY4mTgFeKTdnCnwgBRWUfkPad67KsI7KGk9HNHMBxKtaAbkK7aqS&#10;e7PhDNSGCCsCpnreeXvcrE+ZJ5PpeDnpjRqoZF9Pfk25j5l789T8uzixsxX4pndJqugChW4DkV61&#10;uuQ3lz0oE7Uy0XbA5zyVeFvb6vCMDG3PY+/EfUtJHgiRZ0AiLrVLyxie6KiVJQzscOOssfjrb+/R&#10;nvhEWs46WgTC5+cWUBLQ3w0x7TafTOLmJIGGPiYBLzXrS43Z6qWlgeW09k6ka7QP6nit0eo32tlF&#10;zEoqMIJy95MYhGXoF5S2XsjFIpnRtjgID+bFiRg84hThfd2/AbqBYoHo8WiPSwPFB5L1ttHT2MU2&#10;2LpNDDzjShOMAm1amuXwVYirfCknq/O3a/4bAAD//wMAUEsDBBQABgAIAAAAIQATzu4q3wAAAAkB&#10;AAAPAAAAZHJzL2Rvd25yZXYueG1sTI/BTsMwEETvSPyDtUhcEHUaituEOBUgccilgoI4u/E2iYjX&#10;Uew24e9ZTnAc7dPM22I7u16ccQydJw3LRQICqfa2o0bDx/vL7QZEiIas6T2hhm8MsC0vLwqTWz/R&#10;G573sRFcQiE3GtoYh1zKULfoTFj4AYlvRz86EzmOjbSjmbjc9TJNEiWd6YgXWjPgc4v11/7kNOzi&#10;mK2qz+l1mXb0dHNcV6oZKq2vr+bHBxAR5/gHw68+q0PJTgd/IhtEzznLVoxquNusQTCQJkqBOGi4&#10;VynIspD/Pyh/AAAA//8DAFBLAQItABQABgAIAAAAIQC2gziS/gAAAOEBAAATAAAAAAAAAAAAAAAA&#10;AAAAAABbQ29udGVudF9UeXBlc10ueG1sUEsBAi0AFAAGAAgAAAAhADj9If/WAAAAlAEAAAsAAAAA&#10;AAAAAAAAAAAALwEAAF9yZWxzLy5yZWxzUEsBAi0AFAAGAAgAAAAhAP8HikJ0AgAAAwUAAA4AAAAA&#10;AAAAAAAAAAAALgIAAGRycy9lMm9Eb2MueG1sUEsBAi0AFAAGAAgAAAAhABPO7irfAAAACQEAAA8A&#10;AAAAAAAAAAAAAAAAzgQAAGRycy9kb3ducmV2LnhtbFBLBQYAAAAABAAEAPMAAADaBQAAAAA=&#10;" adj="17151" fillcolor="windowText" strokecolor="#172c51" strokeweight="1pt"/>
            </w:pict>
          </mc:Fallback>
        </mc:AlternateContent>
      </w:r>
      <w:r w:rsidRPr="00AA052E">
        <w:rPr>
          <w:rFonts w:ascii="Times New Roman" w:eastAsia="Calibri" w:hAnsi="Times New Roman"/>
          <w:sz w:val="24"/>
          <w:szCs w:val="24"/>
          <w:lang w:val="en-GB"/>
        </w:rPr>
        <w:t xml:space="preserve">                 </w:t>
      </w:r>
      <w:r w:rsidRPr="00AA052E">
        <w:rPr>
          <w:rFonts w:ascii="Arial" w:eastAsia="Calibri" w:hAnsi="Arial" w:cs="Arial"/>
          <w:lang w:val="en-GB"/>
        </w:rPr>
        <w:t xml:space="preserve">MDR carriage (n= 108)                                           No MDR carriage (n=95)                                     </w:t>
      </w:r>
      <w:r w:rsidRPr="00AA052E">
        <w:rPr>
          <w:rFonts w:ascii="Arial" w:eastAsia="Calibri" w:hAnsi="Arial" w:cs="Arial"/>
          <w:lang w:val="en-GB"/>
        </w:rPr>
        <w:tab/>
        <w:t xml:space="preserve">                               </w:t>
      </w:r>
    </w:p>
    <w:p w14:paraId="6A6CC1B7" w14:textId="6383733F" w:rsidR="00AA052E" w:rsidRPr="00AA052E" w:rsidRDefault="00AA052E" w:rsidP="00AA052E">
      <w:pPr>
        <w:tabs>
          <w:tab w:val="left" w:pos="3711"/>
          <w:tab w:val="left" w:pos="3757"/>
          <w:tab w:val="left" w:pos="5556"/>
        </w:tabs>
        <w:spacing w:after="160" w:line="259" w:lineRule="auto"/>
        <w:rPr>
          <w:rFonts w:ascii="Arial" w:eastAsia="Calibri" w:hAnsi="Arial" w:cs="Arial"/>
          <w:lang w:val="en-GB"/>
        </w:rPr>
      </w:pPr>
      <w:r w:rsidRPr="00AA052E">
        <w:rPr>
          <w:rFonts w:ascii="Arial" w:eastAsia="Calibri" w:hAnsi="Arial" w:cs="Arial"/>
          <w:noProof/>
        </w:rPr>
        <mc:AlternateContent>
          <mc:Choice Requires="wps">
            <w:drawing>
              <wp:anchor distT="0" distB="0" distL="114300" distR="114300" simplePos="0" relativeHeight="251675648" behindDoc="0" locked="0" layoutInCell="1" allowOverlap="1" wp14:anchorId="3B8C8B76" wp14:editId="4102C892">
                <wp:simplePos x="0" y="0"/>
                <wp:positionH relativeFrom="margin">
                  <wp:posOffset>1759927</wp:posOffset>
                </wp:positionH>
                <wp:positionV relativeFrom="paragraph">
                  <wp:posOffset>70534</wp:posOffset>
                </wp:positionV>
                <wp:extent cx="867410" cy="521628"/>
                <wp:effectExtent l="19050" t="19050" r="27940" b="12065"/>
                <wp:wrapNone/>
                <wp:docPr id="1806961549" name="Rectangle 1806961549"/>
                <wp:cNvGraphicFramePr/>
                <a:graphic xmlns:a="http://schemas.openxmlformats.org/drawingml/2006/main">
                  <a:graphicData uri="http://schemas.microsoft.com/office/word/2010/wordprocessingShape">
                    <wps:wsp>
                      <wps:cNvSpPr/>
                      <wps:spPr>
                        <a:xfrm>
                          <a:off x="0" y="0"/>
                          <a:ext cx="867410" cy="521628"/>
                        </a:xfrm>
                        <a:prstGeom prst="rect">
                          <a:avLst/>
                        </a:prstGeom>
                        <a:noFill/>
                        <a:ln w="38100" cap="flat" cmpd="sng" algn="ctr">
                          <a:solidFill>
                            <a:sysClr val="windowText" lastClr="000000"/>
                          </a:solidFill>
                          <a:prstDash val="solid"/>
                          <a:miter lim="800000"/>
                        </a:ln>
                        <a:effectLst/>
                      </wps:spPr>
                      <wps:txbx>
                        <w:txbxContent>
                          <w:p w14:paraId="5F41307C" w14:textId="77777777" w:rsidR="00AA052E" w:rsidRDefault="00AA052E" w:rsidP="00AA052E">
                            <w:pPr>
                              <w:rPr>
                                <w:rFonts w:ascii="Arial" w:hAnsi="Arial" w:cs="Arial"/>
                              </w:rPr>
                            </w:pPr>
                          </w:p>
                          <w:p w14:paraId="62EDDB5D" w14:textId="77777777" w:rsidR="00AA052E" w:rsidRPr="004358EA" w:rsidRDefault="00AA052E" w:rsidP="00AA052E">
                            <w:pPr>
                              <w:rPr>
                                <w:rFonts w:ascii="Arial" w:hAnsi="Arial" w:cs="Arial"/>
                              </w:rPr>
                            </w:pPr>
                          </w:p>
                          <w:p w14:paraId="5A056237" w14:textId="77777777" w:rsidR="00AA052E" w:rsidRDefault="00AA052E" w:rsidP="00AA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8B76" id="Rectangle 1806961549" o:spid="_x0000_s1027" style="position:absolute;margin-left:138.6pt;margin-top:5.55pt;width:68.3pt;height:41.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ebYQIAAMcEAAAOAAAAZHJzL2Uyb0RvYy54bWysVE1vGjEQvVfqf7B8L8tSQijKEqFEqSpF&#10;CRKpcjZem7Vke1zbsEt/fcfeJdC0p6oczIzn+/nN3tx2RpOD8EGBrWg5GlMiLIda2V1Fv788fJpT&#10;EiKzNdNgRUWPItDb5ccPN61biAk0oGvhCSaxYdG6ijYxukVRBN4Iw8IInLBolOANi6j6XVF71mJ2&#10;o4vJeDwrWvC188BFCHh73xvpMueXUvD4LGUQkeiKYm8xnz6f23QWyxu22HnmGsWHNtg/dGGYslj0&#10;LdU9i4zsvfojlVHcQwAZRxxMAVIqLvIMOE05fjfNpmFO5FkQnODeYAr/Ly1/Omzc2iMMrQuLgGKa&#10;opPepH/sj3QZrOMbWKKLhOPlfHY9LRFSjqarSTmbzBOYxTnY+RC/CjAkCRX1+BYZInZ4DLF3Pbmk&#10;WhYelNb5PbQlbUU/z8txys+QFlKziKJxdUWD3VHC9A75xqPPKQNoVafwlCgcw5325MDwyZEpNbQv&#10;2DMlmoWIBhwk/4ZufwtN/dyz0PTB2dQzxKiINNXK4NyX0dqmiiITbZjqjGOSYrftiMKuy5Qo3Wyh&#10;Pq498dBzMTj+oLDsI3a3Zh7JhzPjQsVnPKQGBAIGiZIG/M+/3Sd/5ARaKWmRzAjSjz3zAof+ZpEt&#10;X8rpNLE/K9Or6wkq/tKyvbTYvbkDBK/E1XU8i8k/6pMoPZhX3LtVqoomZjnW7p9jUO5iv2S4uVys&#10;VtkNGe9YfLQbx1PyhFwC/KV7Zd4NLIn4VE9wIj5bvCNL79vTZbWPIFVm0hlXZGBScFsyF4fNTut4&#10;qWev8/dn+QsAAP//AwBQSwMEFAAGAAgAAAAhAF2ogwveAAAACQEAAA8AAABkcnMvZG93bnJldi54&#10;bWxMj9FOg0AQRd9N/IfNmPhmF2hjKbI0psZEJTER+wELOwIpO0vYbcG/d3zSx8k9uXNuvl/sIC44&#10;+d6RgngVgUBqnOmpVXD8fL5LQfigyejBESr4Rg/74voq15lxM33gpQqt4BLymVbQhTBmUvqmQ6v9&#10;yo1InH25yerA59RKM+mZy+0gkyi6l1b3xB86PeKhw+ZUna2Ct/kUsHx9n8sqjdPN0tZPL4dSqdub&#10;5fEBRMAl/MHwq8/qULBT7c5kvBgUJNttwigHcQyCgU285i21gt06AVnk8v+C4gcAAP//AwBQSwEC&#10;LQAUAAYACAAAACEAtoM4kv4AAADhAQAAEwAAAAAAAAAAAAAAAAAAAAAAW0NvbnRlbnRfVHlwZXNd&#10;LnhtbFBLAQItABQABgAIAAAAIQA4/SH/1gAAAJQBAAALAAAAAAAAAAAAAAAAAC8BAABfcmVscy8u&#10;cmVsc1BLAQItABQABgAIAAAAIQAHPQebYQIAAMcEAAAOAAAAAAAAAAAAAAAAAC4CAABkcnMvZTJv&#10;RG9jLnhtbFBLAQItABQABgAIAAAAIQBdqIML3gAAAAkBAAAPAAAAAAAAAAAAAAAAALsEAABkcnMv&#10;ZG93bnJldi54bWxQSwUGAAAAAAQABADzAAAAxgUAAAAA&#10;" filled="f" strokecolor="windowText" strokeweight="3pt">
                <v:textbox>
                  <w:txbxContent>
                    <w:p w14:paraId="5F41307C" w14:textId="77777777" w:rsidR="00AA052E" w:rsidRDefault="00AA052E" w:rsidP="00AA052E">
                      <w:pPr>
                        <w:rPr>
                          <w:rFonts w:ascii="Arial" w:hAnsi="Arial" w:cs="Arial"/>
                        </w:rPr>
                      </w:pPr>
                    </w:p>
                    <w:p w14:paraId="62EDDB5D" w14:textId="77777777" w:rsidR="00AA052E" w:rsidRPr="004358EA" w:rsidRDefault="00AA052E" w:rsidP="00AA052E">
                      <w:pPr>
                        <w:rPr>
                          <w:rFonts w:ascii="Arial" w:hAnsi="Arial" w:cs="Arial"/>
                        </w:rPr>
                      </w:pPr>
                    </w:p>
                    <w:p w14:paraId="5A056237" w14:textId="77777777" w:rsidR="00AA052E" w:rsidRDefault="00AA052E" w:rsidP="00AA052E"/>
                  </w:txbxContent>
                </v:textbox>
                <w10:wrap anchorx="margin"/>
              </v:rect>
            </w:pict>
          </mc:Fallback>
        </mc:AlternateContent>
      </w:r>
      <w:r w:rsidRPr="00AA052E">
        <w:rPr>
          <w:rFonts w:ascii="Arial" w:eastAsia="Calibri" w:hAnsi="Arial" w:cs="Arial"/>
          <w:noProof/>
        </w:rPr>
        <mc:AlternateContent>
          <mc:Choice Requires="wps">
            <w:drawing>
              <wp:anchor distT="0" distB="0" distL="114300" distR="114300" simplePos="0" relativeHeight="251674624" behindDoc="0" locked="0" layoutInCell="1" allowOverlap="1" wp14:anchorId="335C7F79" wp14:editId="7E93229D">
                <wp:simplePos x="0" y="0"/>
                <wp:positionH relativeFrom="margin">
                  <wp:posOffset>-164122</wp:posOffset>
                </wp:positionH>
                <wp:positionV relativeFrom="paragraph">
                  <wp:posOffset>88118</wp:posOffset>
                </wp:positionV>
                <wp:extent cx="904680" cy="490855"/>
                <wp:effectExtent l="19050" t="19050" r="10160" b="23495"/>
                <wp:wrapNone/>
                <wp:docPr id="1528333540" name="Rectangle 1528333540"/>
                <wp:cNvGraphicFramePr/>
                <a:graphic xmlns:a="http://schemas.openxmlformats.org/drawingml/2006/main">
                  <a:graphicData uri="http://schemas.microsoft.com/office/word/2010/wordprocessingShape">
                    <wps:wsp>
                      <wps:cNvSpPr/>
                      <wps:spPr>
                        <a:xfrm>
                          <a:off x="0" y="0"/>
                          <a:ext cx="904680" cy="49085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E5E7E" id="Rectangle 1528333540" o:spid="_x0000_s1026" style="position:absolute;margin-left:-12.9pt;margin-top:6.95pt;width:71.25pt;height:38.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xoWAIAALUEAAAOAAAAZHJzL2Uyb0RvYy54bWysVE1PGzEQvVfqf7B8L7uhgYaIDYpAVJUQ&#10;RIKKs/HaWUu2xx072aS/vmPvQlLaU9UcnBnP9/ObvbzaOcu2CqMB3/DJSc2Z8hJa49cN//50+2nG&#10;WUzCt8KCVw3fq8ivFh8/XPZhrk6hA9sqZJTEx3kfGt6lFOZVFWWnnIgnEJQnowZ0IpGK66pF0VN2&#10;Z6vTuj6vesA2IEgVI93eDEa+KPm1VjI9aB1VYrbh1FsqJ5bzJZ/V4lLM1yhCZ+TYhviHLpwwnoq+&#10;pboRSbANmj9SOSMRIuh0IsFVoLWRqsxA00zqd9M8diKoMguBE8MbTPH/pZX328ewQoKhD3EeScxT&#10;7DS6/E/9sV0Ba/8GltolJunyop6ezwhSSabpRT07O8tgVofggDF9VeBYFhqO9BYFIrG9i2lwfXXJ&#10;tTzcGmvLe1jP+oZ/nk3qnF8QLbQViUQX2oZHv+ZM2DXxTSYsKSNY0+bwnCju47VFthX05MSUFvon&#10;6pkzK2IiAw1SfmO3v4Xmfm5E7IbgYhoY4kwimlrjGj47jrY+V1SFaONUBxyz9ALtfoUMYWBeDPLW&#10;UJE76mUlkKhGE9L6pAc6tAUaG0aJsw7w59/usz8xgKyc9URdguTHRqCiEb954sbFZDrNXC/K9OzL&#10;KSl4bHk5tviNuwaCakKLGmQRs3+yr6JGcM+0ZctclUzCS6o9gD8q12lYKdpTqZbL4kb8DiLd+ccg&#10;c/KMU4b3afcsMIycSPQw9/BKczF/R43BdyDHcpNAm8KbA67Et6zQbhTmjXucl+9YL16Hr83iFwAA&#10;AP//AwBQSwMEFAAGAAgAAAAhANppGLHfAAAACQEAAA8AAABkcnMvZG93bnJldi54bWxMj9FOg0AU&#10;RN9N/IfNNfGtXUCtFFkaU2OikpiIfsDCXoGUvUvY24J/7/ZJHyczmTmT7xY7iBNOvnekIF5HIJAa&#10;Z3pqFXx9Pq9SEJ41GT04QgU/6GFXXF7kOjNupg88VdyKUEI+0wo65jGT0jcdWu3XbkQK3rebrOYg&#10;p1aaSc+h3A4yiaKNtLqnsNDpEfcdNofqaBW8zQfG8vV9Lqs0Tm+Xtn562ZdKXV8tjw8gGBf+C8MZ&#10;P6BDEZhqdyTjxaBgldwFdA7GzRbEORBv7kHUCrZxArLI5f8HxS8AAAD//wMAUEsBAi0AFAAGAAgA&#10;AAAhALaDOJL+AAAA4QEAABMAAAAAAAAAAAAAAAAAAAAAAFtDb250ZW50X1R5cGVzXS54bWxQSwEC&#10;LQAUAAYACAAAACEAOP0h/9YAAACUAQAACwAAAAAAAAAAAAAAAAAvAQAAX3JlbHMvLnJlbHNQSwEC&#10;LQAUAAYACAAAACEAI2YcaFgCAAC1BAAADgAAAAAAAAAAAAAAAAAuAgAAZHJzL2Uyb0RvYy54bWxQ&#10;SwECLQAUAAYACAAAACEA2mkYsd8AAAAJAQAADwAAAAAAAAAAAAAAAACyBAAAZHJzL2Rvd25yZXYu&#10;eG1sUEsFBgAAAAAEAAQA8wAAAL4FAAAAAA==&#10;" filled="f" strokecolor="windowText" strokeweight="3pt">
                <w10:wrap anchorx="margin"/>
              </v:rect>
            </w:pict>
          </mc:Fallback>
        </mc:AlternateContent>
      </w:r>
      <w:r w:rsidRPr="00AA052E">
        <w:rPr>
          <w:rFonts w:ascii="Arial" w:eastAsia="Calibri" w:hAnsi="Arial" w:cs="Arial"/>
          <w:noProof/>
        </w:rPr>
        <mc:AlternateContent>
          <mc:Choice Requires="wps">
            <w:drawing>
              <wp:anchor distT="0" distB="0" distL="114300" distR="114300" simplePos="0" relativeHeight="251677696" behindDoc="0" locked="0" layoutInCell="1" allowOverlap="1" wp14:anchorId="6DA3E32F" wp14:editId="434F6F8B">
                <wp:simplePos x="0" y="0"/>
                <wp:positionH relativeFrom="margin">
                  <wp:posOffset>845185</wp:posOffset>
                </wp:positionH>
                <wp:positionV relativeFrom="paragraph">
                  <wp:posOffset>81866</wp:posOffset>
                </wp:positionV>
                <wp:extent cx="865505" cy="510052"/>
                <wp:effectExtent l="19050" t="19050" r="10795" b="23495"/>
                <wp:wrapNone/>
                <wp:docPr id="1194542002" name="Rectangle 1194542002"/>
                <wp:cNvGraphicFramePr/>
                <a:graphic xmlns:a="http://schemas.openxmlformats.org/drawingml/2006/main">
                  <a:graphicData uri="http://schemas.microsoft.com/office/word/2010/wordprocessingShape">
                    <wps:wsp>
                      <wps:cNvSpPr/>
                      <wps:spPr>
                        <a:xfrm>
                          <a:off x="0" y="0"/>
                          <a:ext cx="865505" cy="51005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C158E" id="Rectangle 1194542002" o:spid="_x0000_s1026" style="position:absolute;margin-left:66.55pt;margin-top:6.45pt;width:68.15pt;height:40.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EoVwIAALUEAAAOAAAAZHJzL2Uyb0RvYy54bWysVE1PGzEQvVfqf7B8L7tJCaURGxSBqCoh&#10;iAQVZ+O1s5Zsjzt2skl/fcfehQTaU9UcnBnP9/ObvbjcOcu2CqMB3/DJSc2Z8hJa49cN//F48+mc&#10;s5iEb4UFrxq+V5FfLj5+uOjDXE2hA9sqZJTEx3kfGt6lFOZVFWWnnIgnEJQnowZ0IpGK66pF0VN2&#10;Z6tpXZ9VPWAbEKSKkW6vByNflPxaK5nutY4qMdtw6i2VE8v5nM9qcSHmaxShM3JsQ/xDF04YT0Vf&#10;U12LJNgGzR+pnJEIEXQ6keAq0NpIVWagaSb1u2keOhFUmYXAieEVpvj/0sq77UNYIcHQhziPJOYp&#10;dhpd/qf+2K6AtX8FS+0Sk3R5fjab1TPOJJlmk7qeTTOY1SE4YEzfFDiWhYYjvUWBSGxvYxpcX1xy&#10;LQ83xtryHtazvuGfzykr5RdEC21FItGFtuHRrzkTdk18kwlLygjWtDk8J4r7eGWRbQU9OTGlhf6R&#10;eubMipjIQIOU39jtm9Dcz7WI3RBcTANDnElEU2sczX0cbX2uqArRxqkOOGbpGdr9ChnCwLwY5I2h&#10;IrfUy0ogUY0mpPVJ93RoCzQ2jBJnHeCvv91nf2IAWTnriboEyc+NQEUjfvfEja+T09PM9aKczr5M&#10;ScFjy/OxxW/cFRBUE1rUIIuY/ZN9ETWCe6ItW+aqZBJeUu0B/FG5SsNK0Z5KtVwWN+J3EOnWPwSZ&#10;k2ecMryPuyeBYeREooe5gxeai/k7agy+AzmWmwTaFN4ccCW+ZYV2ozBv3OO8fMd68Tp8bRa/AQAA&#10;//8DAFBLAwQUAAYACAAAACEAdFwO9d4AAAAJAQAADwAAAGRycy9kb3ducmV2LnhtbEyP3UrDQBBG&#10;7wXfYRnBO7v5KSVJsylSEdSAYPQBNsk0Cc3Ohuy2iW/veKV38zGHb87kh9WM4oqzGywpCDcBCKTG&#10;tgN1Cr4+nx8SEM5ravVoCRV8o4NDcXuT66y1C33gtfKd4BJymVbQez9lUrqmR6Pdxk5IvDvZ2WjP&#10;ce5kO+uFy80ooyDYSaMH4gu9nvDYY3OuLkbB23L2WL6+L2WVhMl27eqnl2Op1P3d+rgH4XH1fzD8&#10;6rM6FOxU2wu1Toyc4zhklIcoBcFAtEu3IGoFaRyBLHL5/4PiBwAA//8DAFBLAQItABQABgAIAAAA&#10;IQC2gziS/gAAAOEBAAATAAAAAAAAAAAAAAAAAAAAAABbQ29udGVudF9UeXBlc10ueG1sUEsBAi0A&#10;FAAGAAgAAAAhADj9If/WAAAAlAEAAAsAAAAAAAAAAAAAAAAALwEAAF9yZWxzLy5yZWxzUEsBAi0A&#10;FAAGAAgAAAAhAGgfUShXAgAAtQQAAA4AAAAAAAAAAAAAAAAALgIAAGRycy9lMm9Eb2MueG1sUEsB&#10;Ai0AFAAGAAgAAAAhAHRcDvXeAAAACQEAAA8AAAAAAAAAAAAAAAAAsQQAAGRycy9kb3ducmV2Lnht&#10;bFBLBQYAAAAABAAEAPMAAAC8BQAAAAA=&#10;" filled="f" strokecolor="windowText" strokeweight="3pt">
                <w10:wrap anchorx="margin"/>
              </v:rect>
            </w:pict>
          </mc:Fallback>
        </mc:AlternateContent>
      </w:r>
      <w:r w:rsidRPr="00AA052E">
        <w:rPr>
          <w:rFonts w:ascii="Arial" w:eastAsia="Calibri" w:hAnsi="Arial" w:cs="Arial"/>
          <w:lang w:val="en-GB"/>
        </w:rPr>
        <w:t xml:space="preserve">                            </w:t>
      </w:r>
    </w:p>
    <w:p w14:paraId="695084F6" w14:textId="3FBDC18A" w:rsidR="00AA052E" w:rsidRPr="00AA052E" w:rsidRDefault="00AA052E" w:rsidP="00AA052E">
      <w:pPr>
        <w:tabs>
          <w:tab w:val="left" w:pos="3711"/>
          <w:tab w:val="left" w:pos="3757"/>
          <w:tab w:val="left" w:pos="5556"/>
        </w:tabs>
        <w:rPr>
          <w:rFonts w:ascii="Arial" w:eastAsia="Calibri" w:hAnsi="Arial" w:cs="Arial"/>
          <w:lang w:val="en-GB"/>
        </w:rPr>
      </w:pPr>
      <w:r w:rsidRPr="00AA052E">
        <w:rPr>
          <w:rFonts w:ascii="Arial" w:eastAsia="Calibri" w:hAnsi="Arial" w:cs="Arial"/>
          <w:lang w:val="en-GB"/>
        </w:rPr>
        <w:t>ES</w:t>
      </w:r>
      <w:r w:rsidR="00734CA1">
        <w:rPr>
          <w:rFonts w:ascii="Arial" w:eastAsia="Calibri" w:hAnsi="Arial" w:cs="Arial"/>
          <w:lang w:val="en-GB"/>
        </w:rPr>
        <w:t>B</w:t>
      </w:r>
      <w:r w:rsidRPr="00AA052E">
        <w:rPr>
          <w:rFonts w:ascii="Arial" w:eastAsia="Calibri" w:hAnsi="Arial" w:cs="Arial"/>
          <w:lang w:val="en-GB"/>
        </w:rPr>
        <w:t xml:space="preserve">L                </w:t>
      </w:r>
      <w:proofErr w:type="spellStart"/>
      <w:r w:rsidRPr="00AA052E">
        <w:rPr>
          <w:rFonts w:ascii="Arial" w:eastAsia="Calibri" w:hAnsi="Arial" w:cs="Arial"/>
          <w:lang w:val="en-GB"/>
        </w:rPr>
        <w:t>ES</w:t>
      </w:r>
      <w:r w:rsidR="00734CA1">
        <w:rPr>
          <w:rFonts w:ascii="Arial" w:eastAsia="Calibri" w:hAnsi="Arial" w:cs="Arial"/>
          <w:lang w:val="en-GB"/>
        </w:rPr>
        <w:t>B</w:t>
      </w:r>
      <w:r w:rsidRPr="00AA052E">
        <w:rPr>
          <w:rFonts w:ascii="Arial" w:eastAsia="Calibri" w:hAnsi="Arial" w:cs="Arial"/>
          <w:lang w:val="en-GB"/>
        </w:rPr>
        <w:t>L</w:t>
      </w:r>
      <w:proofErr w:type="spellEnd"/>
      <w:r w:rsidRPr="00AA052E">
        <w:rPr>
          <w:rFonts w:ascii="Arial" w:eastAsia="Calibri" w:hAnsi="Arial" w:cs="Arial"/>
          <w:lang w:val="en-GB"/>
        </w:rPr>
        <w:t xml:space="preserve">+ CRE       </w:t>
      </w:r>
      <w:proofErr w:type="spellStart"/>
      <w:r w:rsidRPr="00AA052E">
        <w:rPr>
          <w:rFonts w:ascii="Arial" w:eastAsia="Calibri" w:hAnsi="Arial" w:cs="Arial"/>
          <w:lang w:val="en-GB"/>
        </w:rPr>
        <w:t>CRE</w:t>
      </w:r>
      <w:proofErr w:type="spellEnd"/>
      <w:r w:rsidRPr="00AA052E">
        <w:rPr>
          <w:rFonts w:ascii="Arial" w:eastAsia="Calibri" w:hAnsi="Arial" w:cs="Arial"/>
          <w:lang w:val="en-GB"/>
        </w:rPr>
        <w:t xml:space="preserve">  (n=31)</w:t>
      </w:r>
    </w:p>
    <w:p w14:paraId="5109B865" w14:textId="76CA6F97" w:rsidR="00AA052E" w:rsidRPr="00AA052E" w:rsidRDefault="00AA052E" w:rsidP="00AA052E">
      <w:pPr>
        <w:tabs>
          <w:tab w:val="left" w:pos="3711"/>
          <w:tab w:val="left" w:pos="3757"/>
          <w:tab w:val="left" w:pos="5556"/>
        </w:tabs>
        <w:rPr>
          <w:rFonts w:ascii="Arial" w:eastAsia="Calibri" w:hAnsi="Arial" w:cs="Arial"/>
          <w:lang w:val="en-GB"/>
        </w:rPr>
      </w:pPr>
      <w:r w:rsidRPr="00AA052E">
        <w:rPr>
          <w:rFonts w:ascii="Arial" w:eastAsia="Calibri" w:hAnsi="Arial" w:cs="Arial"/>
          <w:lang w:val="en-GB"/>
        </w:rPr>
        <w:t>(n=107)                (n=30)</w:t>
      </w:r>
    </w:p>
    <w:p w14:paraId="7CF3CB29" w14:textId="77777777" w:rsidR="00AA052E" w:rsidRPr="00AA052E" w:rsidRDefault="00AA052E" w:rsidP="00AA052E">
      <w:pPr>
        <w:tabs>
          <w:tab w:val="left" w:pos="3711"/>
          <w:tab w:val="left" w:pos="3757"/>
          <w:tab w:val="left" w:pos="5556"/>
        </w:tabs>
        <w:rPr>
          <w:rFonts w:ascii="Times New Roman" w:eastAsia="Calibri" w:hAnsi="Times New Roman"/>
          <w:sz w:val="24"/>
          <w:szCs w:val="24"/>
          <w:lang w:val="en-GB"/>
        </w:rPr>
      </w:pPr>
      <w:r w:rsidRPr="00AA052E">
        <w:rPr>
          <w:rFonts w:ascii="Calibri" w:eastAsia="Calibri" w:hAnsi="Calibri"/>
          <w:noProof/>
          <w:sz w:val="24"/>
          <w:szCs w:val="24"/>
        </w:rPr>
        <mc:AlternateContent>
          <mc:Choice Requires="wps">
            <w:drawing>
              <wp:anchor distT="0" distB="0" distL="114300" distR="114300" simplePos="0" relativeHeight="251663360" behindDoc="0" locked="0" layoutInCell="1" allowOverlap="1" wp14:anchorId="59770FDF" wp14:editId="5F168506">
                <wp:simplePos x="0" y="0"/>
                <wp:positionH relativeFrom="margin">
                  <wp:align>center</wp:align>
                </wp:positionH>
                <wp:positionV relativeFrom="paragraph">
                  <wp:posOffset>115570</wp:posOffset>
                </wp:positionV>
                <wp:extent cx="4135120" cy="275199"/>
                <wp:effectExtent l="19050" t="19050" r="17780" b="10795"/>
                <wp:wrapNone/>
                <wp:docPr id="18" name="Rectangle 18"/>
                <wp:cNvGraphicFramePr/>
                <a:graphic xmlns:a="http://schemas.openxmlformats.org/drawingml/2006/main">
                  <a:graphicData uri="http://schemas.microsoft.com/office/word/2010/wordprocessingShape">
                    <wps:wsp>
                      <wps:cNvSpPr/>
                      <wps:spPr>
                        <a:xfrm rot="10800000" flipV="1">
                          <a:off x="0" y="0"/>
                          <a:ext cx="4135120" cy="275199"/>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590A3481" w14:textId="77777777" w:rsidR="00AA052E" w:rsidRPr="003B3E08" w:rsidRDefault="00AA052E" w:rsidP="00AA052E">
                            <w:pPr>
                              <w:jc w:val="center"/>
                              <w:rPr>
                                <w:rFonts w:ascii="Arial" w:hAnsi="Arial" w:cs="Arial"/>
                                <w:b/>
                              </w:rPr>
                            </w:pPr>
                            <w:r w:rsidRPr="00DE7917">
                              <w:rPr>
                                <w:rFonts w:ascii="Arial" w:hAnsi="Arial" w:cs="Arial"/>
                              </w:rPr>
                              <w:t>Empiric antibiotic therapy</w:t>
                            </w:r>
                            <w:r>
                              <w:rPr>
                                <w:rFonts w:ascii="Arial" w:hAnsi="Arial" w:cs="Arial"/>
                              </w:rPr>
                              <w:t xml:space="preserve"> </w:t>
                            </w:r>
                            <w:r w:rsidRPr="003B3E08">
                              <w:rPr>
                                <w:rFonts w:ascii="Arial" w:hAnsi="Arial" w:cs="Arial"/>
                                <w:bCs/>
                              </w:rPr>
                              <w:t>n=203</w:t>
                            </w:r>
                          </w:p>
                          <w:p w14:paraId="778D10AD" w14:textId="77777777" w:rsidR="00AA052E" w:rsidRPr="00D80CF4" w:rsidRDefault="00AA052E" w:rsidP="00AA052E">
                            <w:pPr>
                              <w:jc w:val="center"/>
                              <w:rPr>
                                <w:rFonts w:ascii="Times New Roman" w:hAnsi="Times New Roman"/>
                                <w:sz w:val="24"/>
                                <w:szCs w:val="24"/>
                              </w:rPr>
                            </w:pPr>
                          </w:p>
                          <w:p w14:paraId="79C5B88D" w14:textId="77777777" w:rsidR="00AA052E" w:rsidRDefault="00AA052E" w:rsidP="00AA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70FDF" id="Rectangle 18" o:spid="_x0000_s1028" style="position:absolute;margin-left:0;margin-top:9.1pt;width:325.6pt;height:21.65pt;rotation:180;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6SfwIAABoFAAAOAAAAZHJzL2Uyb0RvYy54bWysVE1v2zAMvQ/YfxB0Xx2n6doEdYqgRYYB&#10;RRug3XpWZCkWIImapMTOfv0o2WmTdqdhPggUSfHj8dHXN53RZCd8UGArWp6NKBGWQ63spqI/npdf&#10;rigJkdmaabCionsR6M3886fr1s3EGBrQtfAEg9gwa11FmxjdrCgCb4Rh4QycsGiU4A2LePWbovas&#10;xehGF+PR6GvRgq+dBy5CQO1db6TzHF9KweOjlEFEoiuKtcV8+nyu01nMr9ls45lrFB/KYP9QhWHK&#10;YtLXUHcsMrL16kMoo7iHADKecTAFSKm4yD1gN+XoXTdPDXMi94LgBPcKU/h/YfnD7smtPMLQujAL&#10;KKYuOukN8YBolaOrUfookVq5n6jIbWLhpMso7l9RFF0kHJWT8vyiHOMLjrbx5UU5nSaYiz5sCu98&#10;iN8EGJKEinqcUo7Kdvch9q4Hl+QeQKt6qbTOl3241Z7sGA4UeVBDS4lmIaKyosv8DdlOnmlL2oqe&#10;X5WpFc6QaVKziKJxdUWD3VDC9AYpzKPPtZy8Dh+SPmO3R4kzRplN2ObJ09TIHQtNX3E29aQzKiLz&#10;tTIVHSDuO9c2tSkydwc43kaTpNitO6Kw6nEKlDRrqPcr3w8M2wuOLxWmvUdYVswjn1GJOxof8ZAa&#10;EAgYJEoa8L//pk/+SDO0UtLifiBIv7bMC2z6u0UCTsvJBMPGfJlcXKaB+2PL+thit+YWcGJlri6L&#10;yT/qgyg9mBdc5UXKiiZmOebuxzFcbmO/t/gz4GKxyG64RI7Fe/vk+IGaCfDn7oV5N9Ar4qge4LBL&#10;bPaOZb1vwtzCYhtBqkzBN1yRuumCC5hJPPws0oYf37PX2y9t/gcAAP//AwBQSwMEFAAGAAgAAAAh&#10;AKNseCjcAAAABgEAAA8AAABkcnMvZG93bnJldi54bWxMj81Ow0AMhO9IfYeVK3FBdJNKDVXIpkIV&#10;OXGitBJHJ+smUfcnym7TwNNjTnAbe+zx52I3WyMmGkPvnYJ0lYAg13jdu1bB8aN63IIIEZ1G4x0p&#10;+KIAu3JxV2Cu/c2903SIreAQF3JU0MU45FKGpiOLYeUHcuyd/Wgxcjm2Uo9443Br5DpJMmmxd3yh&#10;w4H2HTWXw9Uyxlt6ms7V99NDv69Oc/35iia7KHW/nF+eQUSa498w/OLzDpTMVPur00EYBfxI5O52&#10;DYLdbJOyqFmkG5BlIf/jlz8AAAD//wMAUEsBAi0AFAAGAAgAAAAhALaDOJL+AAAA4QEAABMAAAAA&#10;AAAAAAAAAAAAAAAAAFtDb250ZW50X1R5cGVzXS54bWxQSwECLQAUAAYACAAAACEAOP0h/9YAAACU&#10;AQAACwAAAAAAAAAAAAAAAAAvAQAAX3JlbHMvLnJlbHNQSwECLQAUAAYACAAAACEAUSrOkn8CAAAa&#10;BQAADgAAAAAAAAAAAAAAAAAuAgAAZHJzL2Uyb0RvYy54bWxQSwECLQAUAAYACAAAACEAo2x4KNwA&#10;AAAGAQAADwAAAAAAAAAAAAAAAADZBAAAZHJzL2Rvd25yZXYueG1sUEsFBgAAAAAEAAQA8wAAAOIF&#10;AAAAAA==&#10;" fillcolor="window" strokecolor="windowText" strokeweight="3pt">
                <v:textbox>
                  <w:txbxContent>
                    <w:p w14:paraId="590A3481" w14:textId="77777777" w:rsidR="00AA052E" w:rsidRPr="003B3E08" w:rsidRDefault="00AA052E" w:rsidP="00AA052E">
                      <w:pPr>
                        <w:jc w:val="center"/>
                        <w:rPr>
                          <w:rFonts w:ascii="Arial" w:hAnsi="Arial" w:cs="Arial"/>
                          <w:b/>
                        </w:rPr>
                      </w:pPr>
                      <w:r w:rsidRPr="00DE7917">
                        <w:rPr>
                          <w:rFonts w:ascii="Arial" w:hAnsi="Arial" w:cs="Arial"/>
                        </w:rPr>
                        <w:t>Empiric antibiotic therapy</w:t>
                      </w:r>
                      <w:r>
                        <w:rPr>
                          <w:rFonts w:ascii="Arial" w:hAnsi="Arial" w:cs="Arial"/>
                        </w:rPr>
                        <w:t xml:space="preserve"> </w:t>
                      </w:r>
                      <w:r w:rsidRPr="003B3E08">
                        <w:rPr>
                          <w:rFonts w:ascii="Arial" w:hAnsi="Arial" w:cs="Arial"/>
                          <w:bCs/>
                        </w:rPr>
                        <w:t>n=203</w:t>
                      </w:r>
                    </w:p>
                    <w:p w14:paraId="778D10AD" w14:textId="77777777" w:rsidR="00AA052E" w:rsidRPr="00D80CF4" w:rsidRDefault="00AA052E" w:rsidP="00AA052E">
                      <w:pPr>
                        <w:jc w:val="center"/>
                        <w:rPr>
                          <w:rFonts w:ascii="Times New Roman" w:hAnsi="Times New Roman"/>
                          <w:sz w:val="24"/>
                          <w:szCs w:val="24"/>
                        </w:rPr>
                      </w:pPr>
                    </w:p>
                    <w:p w14:paraId="79C5B88D" w14:textId="77777777" w:rsidR="00AA052E" w:rsidRDefault="00AA052E" w:rsidP="00AA052E"/>
                  </w:txbxContent>
                </v:textbox>
                <w10:wrap anchorx="margin"/>
              </v:rect>
            </w:pict>
          </mc:Fallback>
        </mc:AlternateContent>
      </w:r>
      <w:r w:rsidRPr="00AA052E">
        <w:rPr>
          <w:rFonts w:ascii="Times New Roman" w:eastAsia="Calibri" w:hAnsi="Times New Roman"/>
          <w:sz w:val="24"/>
          <w:szCs w:val="24"/>
          <w:lang w:val="en-GB"/>
        </w:rPr>
        <w:t xml:space="preserve">                           </w:t>
      </w:r>
    </w:p>
    <w:p w14:paraId="2FC5E73F" w14:textId="65F4C84E" w:rsidR="00AA052E" w:rsidRPr="00AA052E" w:rsidRDefault="00B640CF" w:rsidP="00AA052E">
      <w:pPr>
        <w:tabs>
          <w:tab w:val="left" w:pos="5556"/>
        </w:tabs>
        <w:spacing w:after="160" w:line="259" w:lineRule="auto"/>
        <w:jc w:val="center"/>
        <w:rPr>
          <w:rFonts w:ascii="Times New Roman" w:eastAsia="Calibri" w:hAnsi="Times New Roman"/>
          <w:b/>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87936" behindDoc="0" locked="0" layoutInCell="1" allowOverlap="1" wp14:anchorId="77A9357E" wp14:editId="1384BDA9">
                <wp:simplePos x="0" y="0"/>
                <wp:positionH relativeFrom="column">
                  <wp:posOffset>2701290</wp:posOffset>
                </wp:positionH>
                <wp:positionV relativeFrom="paragraph">
                  <wp:posOffset>203200</wp:posOffset>
                </wp:positionV>
                <wp:extent cx="45719" cy="278130"/>
                <wp:effectExtent l="19050" t="0" r="31115" b="45720"/>
                <wp:wrapNone/>
                <wp:docPr id="1833606179" name="Flèche : bas 11"/>
                <wp:cNvGraphicFramePr/>
                <a:graphic xmlns:a="http://schemas.openxmlformats.org/drawingml/2006/main">
                  <a:graphicData uri="http://schemas.microsoft.com/office/word/2010/wordprocessingShape">
                    <wps:wsp>
                      <wps:cNvSpPr/>
                      <wps:spPr>
                        <a:xfrm>
                          <a:off x="0" y="0"/>
                          <a:ext cx="45719" cy="27813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2FF67" id="Flèche : bas 11" o:spid="_x0000_s1026" type="#_x0000_t67" style="position:absolute;margin-left:212.7pt;margin-top:16pt;width:3.6pt;height:2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OdwIAAAMFAAAOAAAAZHJzL2Uyb0RvYy54bWysVNtOGzEQfa/Uf7D8XjabkhIiNigQUVVC&#10;gAQVz47Xzq7kW20nm/Tre+zNDehT1Tw4M57xXM6c2avrjVZkLXxoraloeTagRBhu69YsK/rz5e7L&#10;mJIQmamZskZUdCsCvZ5+/nTVuYkY2saqWniCICZMOlfRJkY3KYrAG6FZOLNOGBil9ZpFqH5Z1J51&#10;iK5VMRwMvhWd9bXzlosQcDvvjXSa40speHyUMohIVEVRW8ynz+cincX0ik2Wnrmm5bsy2D9UoVlr&#10;kPQQas4iIyvffgilW+5tsDKecasLK2XLRe4B3ZSDd908N8yJ3AvACe4AU/h/YfnD+tk9ecDQuTAJ&#10;EFMXG+l1+kd9ZJPB2h7AEptIOC7PRxflJSUcluHFuPyasSyOb50P8buwmiShorXtzMx722WY2Po+&#10;RCSF/94v5QtWtfVdq1RWtuFWebJmGB0mjgAvyE2JYiHCgILyL40QYd48VYZ0YOPwYoCZcwZeScXw&#10;lGtXVzSYJSVMLUFYHn2u583r4JeLQ+bRzeXNfNQ7NawWfT3lCLn3mXv3j1WkzuYsNP2TnKLnm24j&#10;SK9aXdHxaQ/KpL5Fpu0On+NUkrSw9fbJE297HgfH71okuQciT8yDuGgXyxgfcUhlgYHdSZQ01v/+&#10;233yB59gpaTDIgCfXyvmBYD+YcC0y/L8PG1OVjD0IRR/almcWsxK31oMrMTaO57F5B/VXpTe6lfs&#10;7CxlhYkZjtz9JHbKbewXFFvPxWyW3bAtjsV78+x4Cp5wSvC+bF6ZdzuKRdDjwe6Xhk3ekaz3TS+N&#10;na2ilW1m4BFXTDAp2LQ8y91XIa3yqZ69jt+u6R8AAAD//wMAUEsDBBQABgAIAAAAIQDiyckp3wAA&#10;AAkBAAAPAAAAZHJzL2Rvd25yZXYueG1sTI9BbsIwEEX3lXoHayp1VxxMoJBmgtpI0A2bUg5gYjeJ&#10;iMchNpDevtNVuxzN0//v5+vRdeJqh9B6QphOEhCWKm9aqhEOn5unJYgQNRndebII3zbAuri/y3Vm&#10;/I0+7HUfa8EhFDKN0MTYZ1KGqrFOh4nvLfHvyw9ORz6HWppB3zjcdVIlyUI63RI3NLq3ZWOr0/7i&#10;ELbpandSSbk5J9tzeXhfVdO3MiA+PoyvLyCiHeMfDL/6rA4FOx39hUwQHUKq5imjCDPFmxhIZ2oB&#10;4ojwPF+CLHL5f0HxAwAA//8DAFBLAQItABQABgAIAAAAIQC2gziS/gAAAOEBAAATAAAAAAAAAAAA&#10;AAAAAAAAAABbQ29udGVudF9UeXBlc10ueG1sUEsBAi0AFAAGAAgAAAAhADj9If/WAAAAlAEAAAsA&#10;AAAAAAAAAAAAAAAALwEAAF9yZWxzLy5yZWxzUEsBAi0AFAAGAAgAAAAhAN8/8M53AgAAAwUAAA4A&#10;AAAAAAAAAAAAAAAALgIAAGRycy9lMm9Eb2MueG1sUEsBAi0AFAAGAAgAAAAhAOLJySnfAAAACQEA&#10;AA8AAAAAAAAAAAAAAAAA0QQAAGRycy9kb3ducmV2LnhtbFBLBQYAAAAABAAEAPMAAADdBQAAAAA=&#10;" adj="19825" fillcolor="windowText" strokecolor="#223f59" strokeweight="1pt"/>
            </w:pict>
          </mc:Fallback>
        </mc:AlternateContent>
      </w:r>
      <w:r w:rsidR="00AA052E" w:rsidRPr="00AA052E">
        <w:rPr>
          <w:rFonts w:ascii="Times New Roman" w:eastAsia="Calibri" w:hAnsi="Times New Roman"/>
          <w:noProof/>
          <w:sz w:val="24"/>
          <w:szCs w:val="24"/>
        </w:rPr>
        <mc:AlternateContent>
          <mc:Choice Requires="wps">
            <w:drawing>
              <wp:anchor distT="0" distB="0" distL="114300" distR="114300" simplePos="0" relativeHeight="251688960" behindDoc="0" locked="0" layoutInCell="1" allowOverlap="1" wp14:anchorId="2EC75630" wp14:editId="0371F375">
                <wp:simplePos x="0" y="0"/>
                <wp:positionH relativeFrom="column">
                  <wp:posOffset>4204188</wp:posOffset>
                </wp:positionH>
                <wp:positionV relativeFrom="paragraph">
                  <wp:posOffset>244133</wp:posOffset>
                </wp:positionV>
                <wp:extent cx="45719" cy="222739"/>
                <wp:effectExtent l="19050" t="0" r="31115" b="44450"/>
                <wp:wrapNone/>
                <wp:docPr id="1377787709" name="Flèche : bas 11"/>
                <wp:cNvGraphicFramePr/>
                <a:graphic xmlns:a="http://schemas.openxmlformats.org/drawingml/2006/main">
                  <a:graphicData uri="http://schemas.microsoft.com/office/word/2010/wordprocessingShape">
                    <wps:wsp>
                      <wps:cNvSpPr/>
                      <wps:spPr>
                        <a:xfrm>
                          <a:off x="0" y="0"/>
                          <a:ext cx="45719" cy="222739"/>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EB1C" id="Flèche : bas 11" o:spid="_x0000_s1026" type="#_x0000_t67" style="position:absolute;margin-left:331.05pt;margin-top:19.2pt;width:3.6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XdgIAAAMFAAAOAAAAZHJzL2Uyb0RvYy54bWysVN1P2zAQf5+0/8Hy+0ib0UEjUlSomCYh&#10;QALEs+s4TSTb553dpt1fv7OTfsD2NK0Prs/3/bvf5ep6azTbKPQt2JKPz0acKSuhau2q5K8vd18u&#10;OfNB2EposKrkO+X59ezzp6vOFSqHBnSlkFEQ64vOlbwJwRVZ5mWjjPBn4JQlZQ1oRCARV1mFoqPo&#10;Rmf5aPQt6wArhyCV9/S66JV8luLXtZLhsa69CkyXnGoL6cR0LuOZza5EsULhmlYOZYh/qMKI1lLS&#10;Q6iFCIKtsf0jlGklgoc6nEkwGdR1K1XqgboZjz5089wIp1IvBI53B5j8/wsrHzbP7gkJhs75wtM1&#10;drGt0cR/qo9tE1i7A1hqG5ikx/PJxXjKmSRNnucXX6cRy+zo69CH7woMi5eSV9DZOSJ0CSaxufeh&#10;t9/bxXwedFvdtVonYedvNbKNoNHRxCnAC+XmTAsfSEEFpd+Q9p2rtqwjNuYXI5q5FMSrWgtylcZV&#10;Jfd2xZnQKyKsDJjqeeftcbU8ZJ7cTG8Wk96oEZXq6xlPKPc+c2+emn8XJ3a2EL7pXZIquojCtIFI&#10;r1tT8svTHrSNWpVoO+BznEq8LaHaPSFD6HnsnbxrKck9IfIkkIhL7dIyhkc6ag2EAQw3zhrAX397&#10;j/bEJ9Jy1tEiED4/1wIVAf3DEtOm4/PzuDlJoKHnJOCpZnmqsWtzCzSwMa29k+ka7YPeX2sE80Y7&#10;O49ZSSWspNz9JAbhNvQLSlsv1XyezGhbnAj39tnJGDziFOF92b4JdAPFAtHjAfZLI4oPJOtto6eF&#10;+TpA3SYGHnGlCUaBNi3NcvgqxFU+lZPV8ds1+w0AAP//AwBQSwMEFAAGAAgAAAAhAEsXqVzeAAAA&#10;CQEAAA8AAABkcnMvZG93bnJldi54bWxMjzFPwzAQhXck/oN1SCyIOm2oG0IuVUFiYKRl6OjERxIR&#10;n6PYScO/x0wwnt6n974r9ovtxUyj7xwjrFcJCOLamY4bhI/T630GwgfNRveOCeGbPOzL66tC58Zd&#10;+J3mY2hELGGfa4Q2hCGX0tctWe1XbiCO2acbrQ7xHBtpRn2J5baXmyRR0uqO40KrB3ppqf46ThYh&#10;26lDP4XmPN9Vw6l6tm9On7eItzfL4QlEoCX8wfCrH9WhjE6Vm9h40SMotVlHFCHNHkBEQKnHFESF&#10;sEu3IMtC/v+g/AEAAP//AwBQSwECLQAUAAYACAAAACEAtoM4kv4AAADhAQAAEwAAAAAAAAAAAAAA&#10;AAAAAAAAW0NvbnRlbnRfVHlwZXNdLnhtbFBLAQItABQABgAIAAAAIQA4/SH/1gAAAJQBAAALAAAA&#10;AAAAAAAAAAAAAC8BAABfcmVscy8ucmVsc1BLAQItABQABgAIAAAAIQAJdN+XdgIAAAMFAAAOAAAA&#10;AAAAAAAAAAAAAC4CAABkcnMvZTJvRG9jLnhtbFBLAQItABQABgAIAAAAIQBLF6lc3gAAAAkBAAAP&#10;AAAAAAAAAAAAAAAAANAEAABkcnMvZG93bnJldi54bWxQSwUGAAAAAAQABADzAAAA2wUAAAAA&#10;" adj="19383" fillcolor="windowText" strokecolor="#223f59" strokeweight="1pt"/>
            </w:pict>
          </mc:Fallback>
        </mc:AlternateContent>
      </w:r>
      <w:r w:rsidR="00AA052E" w:rsidRPr="00AA052E">
        <w:rPr>
          <w:rFonts w:ascii="Times New Roman" w:eastAsia="Calibri" w:hAnsi="Times New Roman"/>
          <w:sz w:val="24"/>
          <w:szCs w:val="24"/>
          <w:lang w:val="en-GB"/>
        </w:rPr>
        <w:t xml:space="preserve">                                                                                                       </w:t>
      </w:r>
    </w:p>
    <w:p w14:paraId="56451F65" w14:textId="4CA7C0E7" w:rsidR="00AA052E" w:rsidRPr="00AA052E" w:rsidRDefault="00AA052E" w:rsidP="00AA052E">
      <w:pPr>
        <w:spacing w:after="160" w:line="259" w:lineRule="auto"/>
        <w:jc w:val="center"/>
        <w:rPr>
          <w:rFonts w:ascii="Times New Roman" w:eastAsia="Calibri" w:hAnsi="Times New Roman"/>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1312" behindDoc="0" locked="0" layoutInCell="1" allowOverlap="1" wp14:anchorId="18EFA79D" wp14:editId="3CFDDE8B">
                <wp:simplePos x="0" y="0"/>
                <wp:positionH relativeFrom="column">
                  <wp:posOffset>2048217</wp:posOffset>
                </wp:positionH>
                <wp:positionV relativeFrom="paragraph">
                  <wp:posOffset>189865</wp:posOffset>
                </wp:positionV>
                <wp:extent cx="2369820" cy="338504"/>
                <wp:effectExtent l="19050" t="19050" r="11430" b="23495"/>
                <wp:wrapNone/>
                <wp:docPr id="16" name="Rectangle 16"/>
                <wp:cNvGraphicFramePr/>
                <a:graphic xmlns:a="http://schemas.openxmlformats.org/drawingml/2006/main">
                  <a:graphicData uri="http://schemas.microsoft.com/office/word/2010/wordprocessingShape">
                    <wps:wsp>
                      <wps:cNvSpPr/>
                      <wps:spPr>
                        <a:xfrm flipH="1" flipV="1">
                          <a:off x="0" y="0"/>
                          <a:ext cx="2369820" cy="33850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50BBC" id="Rectangle 16" o:spid="_x0000_s1026" style="position:absolute;margin-left:161.3pt;margin-top:14.95pt;width:186.6pt;height:26.6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nZZAIAAMoEAAAOAAAAZHJzL2Uyb0RvYy54bWysVMFOGzEQvVfqP1i+l01CoCFigyIQbSUE&#10;SEA5D147a8n2uLaTTfr1HXs3kNKequ7BGnvGzzNv3uz5xdYatpEhanQ1Hx+NOJNOYKPdquZPj9ef&#10;ZpzFBK4Bg07WfCcjv1h8/HDe+bmcYIumkYERiIvzzte8TcnPqyqKVlqIR+ilI6fCYCHRNqyqJkBH&#10;6NZUk9HotOowND6gkDHS6VXv5IuCr5QU6U6pKBMzNafcUllDWV/yWi3OYb4K4FsthjTgH7KwoB09&#10;+gp1BQnYOug/oKwWASOqdCTQVqiUFrLUQNWMR++qeWjBy1ILkRP9K03x/8GK282Dvw9EQ+fjPJKZ&#10;q9iqYJky2n+lnvJifc9W9lHObFsI3L0SKLeJCTqcHJ+ezSbEsyDf8fHsZDTNDFc9Yr7tQ0xfJFqW&#10;jZoHalBBhc1NTH3oPiSHO7zWxpQmGcc6Ap2NRxkfSCvKQCLT+qbm0a04A7MiEYoUCmREo5t8PQPF&#10;Xbw0gW2AdEDyabB7pKQ5MxATOaiS8g3Z/nY153MFse0vF1cvG6sTaddoW/PZ4W3j8ouyqG+o6o3c&#10;bL1gs7sPLGAvx+jFtaZHbiiXewikP6qQZird0aIMUtk4WJy1GH7+7TzHkyzIy1lHeiZKfqwhSCrx&#10;myPBnI2n0zwAZTM9+Zy7FA49L4cet7aXSFRR8ym7Yub4ZPamCmifafSW+VVygRP0dk/+sLlM/ZzR&#10;8Aq5XJYwEr2HdOMevNjrKdP7uH2G4AdNJGrMLe61D/N30uhje3Es1wmVLrp545X0ljc0MEV5w3Dn&#10;iTzcl6i3X9DiFwAAAP//AwBQSwMEFAAGAAgAAAAhAJh+wULeAAAACQEAAA8AAABkcnMvZG93bnJl&#10;di54bWxMj8FOwzAQRO9I/IO1SNyogytCnMapqkbcQKIF9ezE2yQitkPstoGvZznBcbVPM2+K9WwH&#10;dsYp9N4puF8kwNA13vSuVfD+9nSXAQtRO6MH71DBFwZYl9dXhc6Nv7gdnvexZRTiQq4VdDGOOeeh&#10;6dDqsPAjOvod/WR1pHNquZn0hcLtwEWSpNzq3lFDp0fcdth87E+Wer+P+Pz4KqpKb6rD5za+1DKT&#10;St3ezJsVsIhz/IPhV5/UoSSn2p+cCWxQsBQiJVSBkBIYAal8oC21gmwpgJcF/7+g/AEAAP//AwBQ&#10;SwECLQAUAAYACAAAACEAtoM4kv4AAADhAQAAEwAAAAAAAAAAAAAAAAAAAAAAW0NvbnRlbnRfVHlw&#10;ZXNdLnhtbFBLAQItABQABgAIAAAAIQA4/SH/1gAAAJQBAAALAAAAAAAAAAAAAAAAAC8BAABfcmVs&#10;cy8ucmVsc1BLAQItABQABgAIAAAAIQDmMJnZZAIAAMoEAAAOAAAAAAAAAAAAAAAAAC4CAABkcnMv&#10;ZTJvRG9jLnhtbFBLAQItABQABgAIAAAAIQCYfsFC3gAAAAkBAAAPAAAAAAAAAAAAAAAAAL4EAABk&#10;cnMvZG93bnJldi54bWxQSwUGAAAAAAQABADzAAAAyQUAAAAA&#10;" filled="f" strokecolor="windowText" strokeweight="3pt"/>
            </w:pict>
          </mc:Fallback>
        </mc:AlternateContent>
      </w:r>
    </w:p>
    <w:p w14:paraId="34D258C8" w14:textId="02008CE7" w:rsidR="00AA052E" w:rsidRPr="00AA052E" w:rsidRDefault="00AA052E" w:rsidP="00825ADF">
      <w:pPr>
        <w:tabs>
          <w:tab w:val="left" w:pos="5556"/>
        </w:tabs>
        <w:spacing w:line="259" w:lineRule="auto"/>
        <w:rPr>
          <w:rFonts w:ascii="Calibri" w:eastAsia="Calibri" w:hAnsi="Calibri"/>
          <w:lang w:val="en-GB"/>
        </w:rPr>
      </w:pPr>
      <w:r w:rsidRPr="00AA052E">
        <w:rPr>
          <w:rFonts w:ascii="Arial" w:eastAsia="Calibri" w:hAnsi="Arial" w:cs="Arial"/>
          <w:sz w:val="22"/>
          <w:szCs w:val="22"/>
          <w:lang w:val="en-GB"/>
        </w:rPr>
        <w:t xml:space="preserve">                                                          </w:t>
      </w:r>
      <w:r w:rsidRPr="00AA052E">
        <w:rPr>
          <w:rFonts w:ascii="Arial" w:eastAsia="Calibri" w:hAnsi="Arial" w:cs="Arial"/>
          <w:lang w:val="en-GB"/>
        </w:rPr>
        <w:t>Swabbing</w:t>
      </w:r>
      <w:r w:rsidRPr="00AA052E">
        <w:rPr>
          <w:rFonts w:ascii="Calibri" w:eastAsia="Calibri" w:hAnsi="Calibri"/>
          <w:lang w:val="en-GB"/>
        </w:rPr>
        <w:t xml:space="preserve">   </w:t>
      </w:r>
      <w:r w:rsidRPr="00AA052E">
        <w:rPr>
          <w:rFonts w:ascii="Arial" w:eastAsia="Calibri" w:hAnsi="Arial" w:cs="Arial"/>
          <w:lang w:val="en-GB"/>
        </w:rPr>
        <w:t xml:space="preserve">at discharge                                                                  </w:t>
      </w:r>
    </w:p>
    <w:p w14:paraId="04A4CA80" w14:textId="43C8F141" w:rsidR="00AA052E" w:rsidRPr="00AA052E" w:rsidRDefault="00825ADF" w:rsidP="00825ADF">
      <w:pPr>
        <w:tabs>
          <w:tab w:val="left" w:pos="5556"/>
        </w:tabs>
        <w:spacing w:after="160" w:line="259" w:lineRule="auto"/>
        <w:rPr>
          <w:rFonts w:ascii="Calibri" w:eastAsia="Calibri" w:hAnsi="Calibri"/>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79744" behindDoc="0" locked="0" layoutInCell="1" allowOverlap="1" wp14:anchorId="66A6942A" wp14:editId="62E409DD">
                <wp:simplePos x="0" y="0"/>
                <wp:positionH relativeFrom="margin">
                  <wp:posOffset>-102870</wp:posOffset>
                </wp:positionH>
                <wp:positionV relativeFrom="paragraph">
                  <wp:posOffset>290195</wp:posOffset>
                </wp:positionV>
                <wp:extent cx="2381250" cy="760095"/>
                <wp:effectExtent l="19050" t="19050" r="19050" b="20955"/>
                <wp:wrapNone/>
                <wp:docPr id="269407609" name="Rectangle 269407609"/>
                <wp:cNvGraphicFramePr/>
                <a:graphic xmlns:a="http://schemas.openxmlformats.org/drawingml/2006/main">
                  <a:graphicData uri="http://schemas.microsoft.com/office/word/2010/wordprocessingShape">
                    <wps:wsp>
                      <wps:cNvSpPr/>
                      <wps:spPr>
                        <a:xfrm flipH="1" flipV="1">
                          <a:off x="0" y="0"/>
                          <a:ext cx="2381250" cy="76009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A1515" id="Rectangle 269407609" o:spid="_x0000_s1026" style="position:absolute;margin-left:-8.1pt;margin-top:22.85pt;width:187.5pt;height:59.85pt;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cYgIAAMoEAAAOAAAAZHJzL2Uyb0RvYy54bWysVE1PGzEQvVfqf7B8L7tJ+YzYoAhEWwkB&#10;ElDOxmtnLfmrtpNN+uv77N1ASnuqmoM1szN+M/P8JucXG6PJWoSonG3o5KCmRFjuWmWXDX16vP50&#10;SklMzLZMOysauhWRXsw/fjjv/UxMXed0KwIBiI2z3je0S8nPqiryThgWD5wXFkHpgmEJblhWbWA9&#10;0I2upnV9XPUutD44LmLE16shSOcFX0rB052UUSSiG4reUjlDOV/yWc3P2WwZmO8UH9tg/9CFYcqi&#10;6CvUFUuMrIL6A8ooHlx0Mh1wZyonpeKizIBpJvW7aR465kWZBeRE/0pT/H+w/Hb94O8DaOh9nEWY&#10;eYqNDIZIrfxXvCkt1vds5Rh6JptC4PaVQLFJhOPj9PPpZHoEnjliJ8d1fXaUGa4GxHzbh5i+CGdI&#10;Nhoa8EAFla1vYhpSdyk53bprpXV5JG1J31AUqDM+g1akZgmm8W1Do11SwvQSIuQpFMjotGrz9QwU&#10;t/FSB7Jm0AHk07r+EU1TollMCGCS8hu7/e1q7ueKxW64XEKDbIxK0K5WpqGn+7e1zRVFUd841Ru5&#10;2Xpx7fY+kOAGOUbPrxWK3KCXexagP0yInUp3OKR2GNuNFiWdCz//9j3nQxaIUtJDz6Dkx4oFgRG/&#10;WQjmbHJ4mBegOIdHJ1M4YT/ysh+xK3PpQBUeH90VM+cnvTNlcOYZq7fIVRFilqP2QP7oXKZhz7C8&#10;XCwWJQ2i9yzd2AfPd3rK9D5unlnwoyYSHubW7bTPZu+kMeQO4liskpOq6OaNV+gtO1iYorxxufNG&#10;7vsl6+0vaP4LAAD//wMAUEsDBBQABgAIAAAAIQBTH9b53wAAAAoBAAAPAAAAZHJzL2Rvd25yZXYu&#10;eG1sTI9BT4NAEIXvJv6HzZh4a5dioRRZmqbEmyZajecFpkBkZ5Hdtthf7/Skx8l8ee972WYyvTjh&#10;6DpLChbzAARSZeuOGgUf70+zBITzmmrdW0IFP+hgk9/eZDqt7Zne8LT3jeAQcqlW0Ho/pFK6qkWj&#10;3dwOSPw72NFoz+fYyHrUZw43vQyDIJZGd8QNrR5w12L1tT8a7r0c8Hn1GhaF3haf3zv/Uq6TtVL3&#10;d9P2EYTHyf/BcNVndcjZqbRHqp3oFcwWcciogmW0AsHAQ5TwlpLJOFqCzDP5f0L+CwAA//8DAFBL&#10;AQItABQABgAIAAAAIQC2gziS/gAAAOEBAAATAAAAAAAAAAAAAAAAAAAAAABbQ29udGVudF9UeXBl&#10;c10ueG1sUEsBAi0AFAAGAAgAAAAhADj9If/WAAAAlAEAAAsAAAAAAAAAAAAAAAAALwEAAF9yZWxz&#10;Ly5yZWxzUEsBAi0AFAAGAAgAAAAhACd96hxiAgAAygQAAA4AAAAAAAAAAAAAAAAALgIAAGRycy9l&#10;Mm9Eb2MueG1sUEsBAi0AFAAGAAgAAAAhAFMf1vnfAAAACgEAAA8AAAAAAAAAAAAAAAAAvAQAAGRy&#10;cy9kb3ducmV2LnhtbFBLBQYAAAAABAAEAPMAAADIBQAAAAA=&#10;" filled="f" strokecolor="windowText" strokeweight="3pt">
                <w10:wrap anchorx="margin"/>
              </v:rec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80768" behindDoc="0" locked="0" layoutInCell="1" allowOverlap="1" wp14:anchorId="4A9F3E16" wp14:editId="48181D87">
                <wp:simplePos x="0" y="0"/>
                <wp:positionH relativeFrom="column">
                  <wp:posOffset>2579370</wp:posOffset>
                </wp:positionH>
                <wp:positionV relativeFrom="paragraph">
                  <wp:posOffset>275590</wp:posOffset>
                </wp:positionV>
                <wp:extent cx="2663190" cy="803910"/>
                <wp:effectExtent l="19050" t="19050" r="22860" b="15240"/>
                <wp:wrapNone/>
                <wp:docPr id="1673613242" name="Rectangle 1673613242"/>
                <wp:cNvGraphicFramePr/>
                <a:graphic xmlns:a="http://schemas.openxmlformats.org/drawingml/2006/main">
                  <a:graphicData uri="http://schemas.microsoft.com/office/word/2010/wordprocessingShape">
                    <wps:wsp>
                      <wps:cNvSpPr/>
                      <wps:spPr>
                        <a:xfrm flipH="1" flipV="1">
                          <a:off x="0" y="0"/>
                          <a:ext cx="2663190" cy="80391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43B89" id="Rectangle 1673613242" o:spid="_x0000_s1026" style="position:absolute;margin-left:203.1pt;margin-top:21.7pt;width:209.7pt;height:63.3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WZwIAAMoEAAAOAAAAZHJzL2Uyb0RvYy54bWysVE1PGzEQvVfqf7B8L5sEmkLEBkVBtJUi&#10;QIKWs/HaWUv+qu1kk/76Pns3gdKequ7BmvF8eObNm7282hlNtiJE5WxNxycjSoTlrlF2XdNvjzcf&#10;zimJidmGaWdFTfci0qv5+3eXnZ+JiWudbkQgSGLjrPM1bVPys6qKvBWGxRPnhYVRumBYghrWVRNY&#10;h+xGV5PRaFp1LjQ+OC5ixO11b6Tzkl9KwdOdlFEkomuK2lI5Qzmf81nNL9lsHZhvFR/KYP9QhWHK&#10;4tFjqmuWGNkE9Ucqo3hw0cl0wp2pnJSKi9IDuhmP3nTz0DIvSi8AJ/ojTPH/peW32wd/HwBD5+Ms&#10;Qsxd7GQwRGrlv2CmtEjfs5RtqJnsCoD7I4BilwjH5WQ6PR1fAGcO2/no9GJcEK76jDnah5g+C2dI&#10;FmoaMKCSlW1XMaEKuB5csrt1N0rrMiRtSVfT0/PxKOdn4IrULEE0vqlptGtKmF6DhDyFkjI6rZoc&#10;nhPFfVzqQLYMPAB9Gtc9omhKNIsJBnRSvswHlPBbaK7nmsW2Dy6mnjZGJXBXK5N7zd8QrW1+URT2&#10;DV29gJulZ9fs7wMJrqdj9PxG4ZEVarlnAfxDh9ipdIdDaoe23SBR0rrw82/32R+0gJWSDnwGJD82&#10;LAi0+NWCMBfjs7O8AEU5+/hpAiW8tjy/ttiNWTpAheGjuiJm/6QPogzOPGH1FvlVmJjleLsHf1CW&#10;qd8zLC8Xi0VxA+k9Syv74PmBTxnex90TC37gRMJgbt2B+2z2hhq9b0+OxSY5qQpvXnDFBLOChSmz&#10;HJY7b+RrvXi9/ILmvwAAAP//AwBQSwMEFAAGAAgAAAAhAPZ2BinfAAAACgEAAA8AAABkcnMvZG93&#10;bnJldi54bWxMj8FOwzAMhu9IvENkJG4soYyu65pO0ypuII2BdnZbr61oktJkW+HpMSe42fKn//+c&#10;rSfTizONvnNWw/1MgSBbubqzjYb3t6e7BIQPaGvsnSUNX+RhnV9fZZjW7mJf6bwPjeAQ61PU0IYw&#10;pFL6qiWDfuYGsnw7utFg4HVsZD3ihcNNLyOlYmmws9zQ4kDblqqP/clw7/eRnhe7qChwUxw+t+Gl&#10;XCZLrW9vps0KRKAp/MHwq8/qkLNT6U629qLXMFdxxCgPD3MQDCTRYwyiZHKhFMg8k/9fyH8AAAD/&#10;/wMAUEsBAi0AFAAGAAgAAAAhALaDOJL+AAAA4QEAABMAAAAAAAAAAAAAAAAAAAAAAFtDb250ZW50&#10;X1R5cGVzXS54bWxQSwECLQAUAAYACAAAACEAOP0h/9YAAACUAQAACwAAAAAAAAAAAAAAAAAvAQAA&#10;X3JlbHMvLnJlbHNQSwECLQAUAAYACAAAACEAYvsQlmcCAADKBAAADgAAAAAAAAAAAAAAAAAuAgAA&#10;ZHJzL2Uyb0RvYy54bWxQSwECLQAUAAYACAAAACEA9nYGKd8AAAAKAQAADwAAAAAAAAAAAAAAAADB&#10;BAAAZHJzL2Rvd25yZXYueG1sUEsFBgAAAAAEAAQA8wAAAM0FAAAAAA==&#10;" filled="f" strokecolor="windowText" strokeweight="3pt"/>
            </w:pict>
          </mc:Fallback>
        </mc:AlternateContent>
      </w:r>
      <w:r w:rsidR="00B640CF" w:rsidRPr="00AA052E">
        <w:rPr>
          <w:rFonts w:ascii="Times New Roman" w:eastAsia="Calibri" w:hAnsi="Times New Roman"/>
          <w:noProof/>
          <w:sz w:val="24"/>
          <w:szCs w:val="24"/>
        </w:rPr>
        <mc:AlternateContent>
          <mc:Choice Requires="wps">
            <w:drawing>
              <wp:anchor distT="0" distB="0" distL="114300" distR="114300" simplePos="0" relativeHeight="251682816" behindDoc="0" locked="0" layoutInCell="1" allowOverlap="1" wp14:anchorId="08F27017" wp14:editId="0697EE31">
                <wp:simplePos x="0" y="0"/>
                <wp:positionH relativeFrom="margin">
                  <wp:posOffset>2164080</wp:posOffset>
                </wp:positionH>
                <wp:positionV relativeFrom="paragraph">
                  <wp:posOffset>130810</wp:posOffset>
                </wp:positionV>
                <wp:extent cx="0" cy="163830"/>
                <wp:effectExtent l="19050" t="0" r="19050" b="26670"/>
                <wp:wrapNone/>
                <wp:docPr id="1281649158" name="Connecteur droit 1281649158"/>
                <wp:cNvGraphicFramePr/>
                <a:graphic xmlns:a="http://schemas.openxmlformats.org/drawingml/2006/main">
                  <a:graphicData uri="http://schemas.microsoft.com/office/word/2010/wordprocessingShape">
                    <wps:wsp>
                      <wps:cNvCnPr/>
                      <wps:spPr>
                        <a:xfrm flipH="1">
                          <a:off x="0" y="0"/>
                          <a:ext cx="0" cy="1638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DC9D10" id="Connecteur droit 1281649158" o:spid="_x0000_s1026" style="position:absolute;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4pt,10.3pt" to="170.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sSvAEAAGMDAAAOAAAAZHJzL2Uyb0RvYy54bWysU01v2zAMvQ/ofxB0X5SkaBcYUXpo0O4w&#10;bAXW/QBWlmwB+oKoxcm/HyVnWbbdhvkgUKT4yEc+bx+O3rGDzmhjkHy1WHKmg4q9DYPk316f3m84&#10;wwKhBxeDlvykkT/sbt5tp9TpdRyj63VmBBKwm5LkYympEwLVqD3gIiYdKGhi9lDomgfRZ5gI3Tux&#10;Xi7vxRRzn3JUGpG8+znIdw3fGK3KF2NQF+Ykp95KO3M73+opdlvohgxptOrcBvxDFx5soKIXqD0U&#10;YN+z/QvKW5UjRlMWKnoRjbFKNw7EZrX8g83XEZJuXGg4mC5jwv8Hqz4fHsNLpjFMCTtML7myOJrs&#10;mXE2faSdNl7UKTu2sZ0uY9PHwtTsVORd3d9ubttExYxQkVLG8qyjZ9WQ3NlQCUEHh09YqCo9/fmk&#10;ukN8ss61pbjAJsnXm7sPd5wpIG0YB4VMn3rJMQycgRtIdKrkBonR2b6mVyA84aPL7AC0d5JLH6dX&#10;apczB1goQBzaV/dPLfyWWvvZA45zcgvNMvG2kFad9ZJvrrNdqBV1U9uZ1a9hVust9qc2Y1FvtMlW&#10;9Ky6KpXrO9nX/8buBwAAAP//AwBQSwMEFAAGAAgAAAAhAADrHFneAAAACQEAAA8AAABkcnMvZG93&#10;bnJldi54bWxMj0FPwzAMhe9I/IfISNxYwqgqVJpOaIwDByQYTOOYNV7bkTilybby7/HEAY5+fn7v&#10;czkbvRMHHGIXSMP1RIFAqoPtqNHw/vZ4dQsiJkPWuECo4RsjzKrzs9IUNhzpFQ/L1AgOoVgYDW1K&#10;fSFlrFv0Jk5Cj8S7bRi8STwOjbSDOXK4d3KqVC696YgbWtPjvMX6c7n3jDEuvuipXmeL7W7+rF5W&#10;u4/aPWh9eTHe34FIOKY/M5zw+QYqZtqEPdkonIabTDF60jBVOQg2/AobDVmegaxK+f+D6gcAAP//&#10;AwBQSwECLQAUAAYACAAAACEAtoM4kv4AAADhAQAAEwAAAAAAAAAAAAAAAAAAAAAAW0NvbnRlbnRf&#10;VHlwZXNdLnhtbFBLAQItABQABgAIAAAAIQA4/SH/1gAAAJQBAAALAAAAAAAAAAAAAAAAAC8BAABf&#10;cmVscy8ucmVsc1BLAQItABQABgAIAAAAIQB0AqsSvAEAAGMDAAAOAAAAAAAAAAAAAAAAAC4CAABk&#10;cnMvZTJvRG9jLnhtbFBLAQItABQABgAIAAAAIQAA6xxZ3gAAAAkBAAAPAAAAAAAAAAAAAAAAABYE&#10;AABkcnMvZG93bnJldi54bWxQSwUGAAAAAAQABADzAAAAIQUAAAAA&#10;" strokecolor="windowText" strokeweight="2.25pt">
                <v:stroke joinstyle="miter"/>
                <w10:wrap anchorx="margin"/>
              </v:line>
            </w:pict>
          </mc:Fallback>
        </mc:AlternateContent>
      </w:r>
      <w:r w:rsidR="00B640CF" w:rsidRPr="00AA052E">
        <w:rPr>
          <w:rFonts w:ascii="Times New Roman" w:eastAsia="Calibri" w:hAnsi="Times New Roman"/>
          <w:noProof/>
          <w:sz w:val="24"/>
          <w:szCs w:val="24"/>
        </w:rPr>
        <mc:AlternateContent>
          <mc:Choice Requires="wps">
            <w:drawing>
              <wp:anchor distT="0" distB="0" distL="114300" distR="114300" simplePos="0" relativeHeight="251683840" behindDoc="0" locked="0" layoutInCell="1" allowOverlap="1" wp14:anchorId="7EB0EC4C" wp14:editId="1F9AA146">
                <wp:simplePos x="0" y="0"/>
                <wp:positionH relativeFrom="margin">
                  <wp:posOffset>3943350</wp:posOffset>
                </wp:positionH>
                <wp:positionV relativeFrom="paragraph">
                  <wp:posOffset>134620</wp:posOffset>
                </wp:positionV>
                <wp:extent cx="11430" cy="148590"/>
                <wp:effectExtent l="19050" t="19050" r="26670" b="22860"/>
                <wp:wrapNone/>
                <wp:docPr id="1190489703" name="Connecteur droit 1190489703"/>
                <wp:cNvGraphicFramePr/>
                <a:graphic xmlns:a="http://schemas.openxmlformats.org/drawingml/2006/main">
                  <a:graphicData uri="http://schemas.microsoft.com/office/word/2010/wordprocessingShape">
                    <wps:wsp>
                      <wps:cNvCnPr/>
                      <wps:spPr>
                        <a:xfrm>
                          <a:off x="0" y="0"/>
                          <a:ext cx="11430" cy="14859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262A14" id="Connecteur droit 119048970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5pt,10.6pt" to="311.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28uQEAAF0DAAAOAAAAZHJzL2Uyb0RvYy54bWysU8tu2zAQvBfoPxC817ScuHUEyznESC5F&#10;G6DJB2woUiLAF7iMZf99l7TruMmtqA7Ukqud3RmO1rd7Z9lOJTTBd7yZzTlTXobe+KHjz0/3X1ac&#10;YQbfgw1edfygkN9uPn9aT7FVizAG26vECMRjO8WOjznHVgiUo3KAsxCVp6QOyUGmbRpEn2AidGfF&#10;Yj7/KqaQ+piCVIh0uj0m+abia61k/qk1qsxsx2m2XNdU15eyis0a2iFBHI08jQH/MIUD46npGWoL&#10;GdhrMh+gnJEpYNB5JoMTQWsjVeVAbJr5Oza/RoiqciFxMJ5lwv8HK3/s7vxjIhmmiC3Gx1RY7HVy&#10;5U3zsX0V63AWS+0zk3TYNNdXpKikTHO9Wt5ULcVbbUyYH1RwrAQdt8YXKtDC7jtm6kef/vmkHPtw&#10;b6yt12E9mzq+WC2/LQkfyBXaQqbQxb7j6AfOwA5kN5lThcRgTV/KCxAe8M4mtgO6cTJKH6YnGpkz&#10;C5gpQTzqU26eRvirtMyzBRyPxTV1NIgzmVxqjev46rLa+tJRVZ+dWL3JWKKX0B+quqLs6A5r05Pf&#10;ikku9xRf/hWb3wAAAP//AwBQSwMEFAAGAAgAAAAhAGJVEYncAAAACQEAAA8AAABkcnMvZG93bnJl&#10;di54bWxMj8tqwzAQRfeF/oOYQneNbBFMcTwOoQ/INm7wWrGmtogexlJs5++rrtrlMJd7z6n2qzVs&#10;pilo7xDyTQaMXOeVdj3C+evz5RVYiNIpabwjhDsF2NePD5UslV/cieYm9iyVuFBKhCHGseQ8dANZ&#10;GTZ+JJd+336yMqZz6rma5JLKreEiywpupXZpYZAjvQ3UXZubRbiauT28fxyX+dTq4pi3mu7nBvH5&#10;aT3sgEVa418YfvETOtSJ6eJvTgVmEAqRJ5eIIHIBLAUKIZLLBWG7LYDXFf9vUP8AAAD//wMAUEsB&#10;Ai0AFAAGAAgAAAAhALaDOJL+AAAA4QEAABMAAAAAAAAAAAAAAAAAAAAAAFtDb250ZW50X1R5cGVz&#10;XS54bWxQSwECLQAUAAYACAAAACEAOP0h/9YAAACUAQAACwAAAAAAAAAAAAAAAAAvAQAAX3JlbHMv&#10;LnJlbHNQSwECLQAUAAYACAAAACEAGfUNvLkBAABdAwAADgAAAAAAAAAAAAAAAAAuAgAAZHJzL2Uy&#10;b0RvYy54bWxQSwECLQAUAAYACAAAACEAYlURidwAAAAJAQAADwAAAAAAAAAAAAAAAAATBAAAZHJz&#10;L2Rvd25yZXYueG1sUEsFBgAAAAAEAAQA8wAAABwFAAAAAA==&#10;" strokecolor="windowText" strokeweight="2.25pt">
                <v:stroke joinstyle="miter"/>
                <w10:wrap anchorx="margin"/>
              </v:line>
            </w:pict>
          </mc:Fallback>
        </mc:AlternateContent>
      </w:r>
      <w:r w:rsidR="00B640CF" w:rsidRPr="00AA052E">
        <w:rPr>
          <w:rFonts w:ascii="Calibri" w:eastAsia="Calibri" w:hAnsi="Calibri"/>
          <w:noProof/>
          <w:sz w:val="24"/>
          <w:szCs w:val="24"/>
        </w:rPr>
        <mc:AlternateContent>
          <mc:Choice Requires="wps">
            <w:drawing>
              <wp:anchor distT="0" distB="0" distL="114300" distR="114300" simplePos="0" relativeHeight="251662336" behindDoc="0" locked="0" layoutInCell="1" allowOverlap="1" wp14:anchorId="724F5049" wp14:editId="0A3C227B">
                <wp:simplePos x="0" y="0"/>
                <wp:positionH relativeFrom="margin">
                  <wp:posOffset>2160270</wp:posOffset>
                </wp:positionH>
                <wp:positionV relativeFrom="paragraph">
                  <wp:posOffset>134620</wp:posOffset>
                </wp:positionV>
                <wp:extent cx="1802130" cy="19050"/>
                <wp:effectExtent l="19050" t="19050" r="26670" b="19050"/>
                <wp:wrapNone/>
                <wp:docPr id="17" name="Connecteur droit 17"/>
                <wp:cNvGraphicFramePr/>
                <a:graphic xmlns:a="http://schemas.openxmlformats.org/drawingml/2006/main">
                  <a:graphicData uri="http://schemas.microsoft.com/office/word/2010/wordprocessingShape">
                    <wps:wsp>
                      <wps:cNvCnPr/>
                      <wps:spPr>
                        <a:xfrm>
                          <a:off x="0" y="0"/>
                          <a:ext cx="180213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D28E0B" id="Connecteur droit 1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1pt,10.6pt" to="3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D1uQEAAF4DAAAOAAAAZHJzL2Uyb0RvYy54bWysU8tu2zAQvBfIPxC815JcuHUE0znESC9F&#10;G6DJB2woUiLAF7iMZf99l7TruM2tqA7Ukqud3RmONncHZ9leJTTBC94tWs6Ul2EwfhT8+enh45oz&#10;zOAHsMErwY8K+d325sNmjr1ahinYQSVGIB77OQo+5Rz7pkE5KQe4CFF5SuqQHGTaprEZEsyE7myz&#10;bNvPzRzSEFOQCpFOd6ck31Z8rZXMP7RGlZkVnGbLdU11fSlrs91APyaIk5HnMeAfpnBgPDW9QO0g&#10;A3tN5h2UMzIFDDovZHBN0NpIVTkQm679i83PCaKqXEgcjBeZ8P/Byu/7e/+YSIY5Yo/xMRUWB51c&#10;edN87FDFOl7EUofMJB1263bZfSJNJeW623ZVxWzeimPC/FUFx0oguDW+cIEe9t8wU0P69Pcn5diH&#10;B2NtvQ/r2Sz4cr36siJ4IFtoC5lCFwfB0Y+cgR3JbzKnConBmqGUFyA84r1NbA905eSUIcxPNDNn&#10;FjBTgojUp1w9jfBHaZlnBzidimvq5BBnMtnUGif4+rra+tJRVaOdWb3pWKKXMByrvE3Z0SXWpmfD&#10;FZdc7ym+/i22vwAAAP//AwBQSwMEFAAGAAgAAAAhAJGilGrdAAAACQEAAA8AAABkcnMvZG93bnJl&#10;di54bWxMj0tvgzAQhO+V+h+sjdRbY3ARqigmivqQcg2NODt4Ayh+IOwA+ffdntrTandGs9+Uu9Ua&#10;NuMUBu8kpNsEGLrW68F1Ek7fX8+vwEJUTivjHUq4Y4Bd9fhQqkL7xR1xrmPHKMSFQknoYxwLzkPb&#10;o1Vh60d0pF38ZFWkdeq4ntRC4dZwkSQ5t2pw9KFXI7732F7rm5VwNXOz//g8LPOxGfJD2gx4P9VS&#10;Pm3W/RuwiGv8M8MvPqFDRUxnf3M6MCPhJUsEWSWIlCYZcpFRuTMdMgG8Kvn/BtUPAAAA//8DAFBL&#10;AQItABQABgAIAAAAIQC2gziS/gAAAOEBAAATAAAAAAAAAAAAAAAAAAAAAABbQ29udGVudF9UeXBl&#10;c10ueG1sUEsBAi0AFAAGAAgAAAAhADj9If/WAAAAlAEAAAsAAAAAAAAAAAAAAAAALwEAAF9yZWxz&#10;Ly5yZWxzUEsBAi0AFAAGAAgAAAAhAPJY8PW5AQAAXgMAAA4AAAAAAAAAAAAAAAAALgIAAGRycy9l&#10;Mm9Eb2MueG1sUEsBAi0AFAAGAAgAAAAhAJGilGrdAAAACQEAAA8AAAAAAAAAAAAAAAAAEwQAAGRy&#10;cy9kb3ducmV2LnhtbFBLBQYAAAAABAAEAPMAAAAdBQAAAAA=&#10;" strokecolor="windowText" strokeweight="2.25pt">
                <v:stroke joinstyle="miter"/>
                <w10:wrap anchorx="margin"/>
              </v:line>
            </w:pict>
          </mc:Fallback>
        </mc:AlternateContent>
      </w:r>
      <w:r w:rsidR="00F20B26" w:rsidRPr="00AA052E">
        <w:rPr>
          <w:rFonts w:ascii="Times New Roman" w:eastAsia="Calibri" w:hAnsi="Times New Roman"/>
          <w:noProof/>
          <w:sz w:val="24"/>
          <w:szCs w:val="24"/>
        </w:rPr>
        <mc:AlternateContent>
          <mc:Choice Requires="wps">
            <w:drawing>
              <wp:anchor distT="0" distB="0" distL="114300" distR="114300" simplePos="0" relativeHeight="251681792" behindDoc="0" locked="0" layoutInCell="1" allowOverlap="1" wp14:anchorId="3DD95522" wp14:editId="5905419F">
                <wp:simplePos x="0" y="0"/>
                <wp:positionH relativeFrom="column">
                  <wp:posOffset>3257550</wp:posOffset>
                </wp:positionH>
                <wp:positionV relativeFrom="paragraph">
                  <wp:posOffset>73660</wp:posOffset>
                </wp:positionV>
                <wp:extent cx="45719" cy="201930"/>
                <wp:effectExtent l="19050" t="0" r="31115" b="45720"/>
                <wp:wrapNone/>
                <wp:docPr id="1551494900" name="Flèche : bas 11"/>
                <wp:cNvGraphicFramePr/>
                <a:graphic xmlns:a="http://schemas.openxmlformats.org/drawingml/2006/main">
                  <a:graphicData uri="http://schemas.microsoft.com/office/word/2010/wordprocessingShape">
                    <wps:wsp>
                      <wps:cNvSpPr/>
                      <wps:spPr>
                        <a:xfrm>
                          <a:off x="0" y="0"/>
                          <a:ext cx="45719" cy="20193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6ABA3" id="Flèche : bas 11" o:spid="_x0000_s1026" type="#_x0000_t67" style="position:absolute;margin-left:256.5pt;margin-top:5.8pt;width:3.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GbdQIAAAMFAAAOAAAAZHJzL2Uyb0RvYy54bWysVNtuGjEQfa/Uf7D83ixQaALKEhFQqkpR&#10;Eimp8my8NruSb7UNC/36Hnu5JelTVR7MjGc8lzNn9vpmqxXZCB8aa0rav+hRIgy3VWNWJf35cvfl&#10;ipIQmamYskaUdCcCvZl+/nTduokY2NqqSniCICZMWlfSOkY3KYrAa6FZuLBOGBil9ZpFqH5VVJ61&#10;iK5VMej1vhWt9ZXzlosQcLvojHSa40speHyUMohIVElRW8ynz+cyncX0mk1Wnrm64fsy2D9UoVlj&#10;kPQYasEiI2vffAilG+5tsDJecKsLK2XDRe4B3fR777p5rpkTuReAE9wRpvD/wvKHzbN78oChdWES&#10;IKYuttLr9I/6yDaDtTuCJbaRcFwOR5f9MSUcFpQ+/pqxLE5vnQ/xu7CaJKGklW3NzHvbZpjY5j5E&#10;JIX/wS/lC1Y11V2jVFZ2Ya482TCMDhNHgBfkpkSxEGFAQfmXRogwb54qQ1qwcXDZw8w5A6+kYnjK&#10;tatKGsyKEqZWICyPPtfz5nXwq+Ux8+h2fLsYdU41q0RXT3+E3IfMnfvHKlJnCxbq7klO0fFNNxGk&#10;V40u6dV5D8qkvkWm7R6f01SStLTV7skTbzseB8fvGiS5ByJPzIO4aBfLGB9xSGWBgd1LlNTW//7b&#10;ffIHn2ClpMUiAJ9fa+YFgP5hwLRxfzhMm5MVDH0AxZ9blucWs9Zzi4H1sfaOZzH5R3UQpbf6FTs7&#10;S1lhYoYjdzeJvTKP3YJi67mYzbIbtsWxeG+eHU/BE04J3pftK/NuT7EIejzYw9KwyTuSdb7ppbGz&#10;dbSyyQw84YoJJgWblme5/yqkVT7Xs9fp2zX9AwAA//8DAFBLAwQUAAYACAAAACEADhaiq+AAAAAJ&#10;AQAADwAAAGRycy9kb3ducmV2LnhtbEyPMU/DMBSEdyT+g/WQ2KjjpK1oiFNVRSAWighd2NzYTSLi&#10;58h20vDveUwwnu50912xnW3PJuND51CCWCTADNZOd9hIOH483d0DC1GhVr1DI+HbBNiW11eFyrW7&#10;4LuZqtgwKsGQKwltjEPOeahbY1VYuMEgeWfnrYokfcO1Vxcqtz1Pk2TNreqQFlo1mH1r6q9qtBIm&#10;v3/cPItsIw4vu8Pr+W2ojuOnlLc38+4BWDRz/AvDLz6hQ0lMJzeiDqyXsBIZfYlkiDUwCqzSJAV2&#10;krDMlsDLgv9/UP4AAAD//wMAUEsBAi0AFAAGAAgAAAAhALaDOJL+AAAA4QEAABMAAAAAAAAAAAAA&#10;AAAAAAAAAFtDb250ZW50X1R5cGVzXS54bWxQSwECLQAUAAYACAAAACEAOP0h/9YAAACUAQAACwAA&#10;AAAAAAAAAAAAAAAvAQAAX3JlbHMvLnJlbHNQSwECLQAUAAYACAAAACEAX05xm3UCAAADBQAADgAA&#10;AAAAAAAAAAAAAAAuAgAAZHJzL2Uyb0RvYy54bWxQSwECLQAUAAYACAAAACEADhaiq+AAAAAJAQAA&#10;DwAAAAAAAAAAAAAAAADPBAAAZHJzL2Rvd25yZXYueG1sUEsFBgAAAAAEAAQA8wAAANwFAAAAAA==&#10;" adj="19155" fillcolor="windowText" strokecolor="#223f59" strokeweight="1pt"/>
            </w:pict>
          </mc:Fallback>
        </mc:AlternateContent>
      </w:r>
      <w:r w:rsidR="00AA052E" w:rsidRPr="00AA052E">
        <w:rPr>
          <w:rFonts w:ascii="Calibri" w:eastAsia="Calibri" w:hAnsi="Calibri"/>
          <w:sz w:val="24"/>
          <w:szCs w:val="24"/>
          <w:lang w:val="en-GB"/>
        </w:rPr>
        <w:t xml:space="preserve">                                                                       </w:t>
      </w:r>
    </w:p>
    <w:p w14:paraId="16499C7C" w14:textId="0083FFA2" w:rsidR="00F20B26" w:rsidRDefault="00B640CF" w:rsidP="00825ADF">
      <w:pPr>
        <w:spacing w:after="160" w:line="259" w:lineRule="auto"/>
        <w:rPr>
          <w:rFonts w:ascii="Times New Roman" w:eastAsia="Calibri" w:hAnsi="Times New Roman"/>
          <w:sz w:val="24"/>
          <w:szCs w:val="24"/>
          <w:lang w:val="en-GB"/>
        </w:rPr>
      </w:pPr>
      <w:r w:rsidRPr="00AA052E">
        <w:rPr>
          <w:rFonts w:ascii="Arial" w:eastAsia="Calibri" w:hAnsi="Arial" w:cs="Arial"/>
          <w:lang w:val="en-GB"/>
        </w:rPr>
        <w:t>Swab Testing performed at</w:t>
      </w:r>
      <w:r w:rsidRPr="00825ADF">
        <w:rPr>
          <w:rFonts w:ascii="Arial" w:eastAsia="Calibri" w:hAnsi="Arial" w:cs="Arial"/>
          <w:lang w:val="en-GB"/>
        </w:rPr>
        <w:t xml:space="preserve">                        </w:t>
      </w:r>
      <w:r w:rsidR="00825ADF">
        <w:rPr>
          <w:rFonts w:ascii="Arial" w:eastAsia="Calibri" w:hAnsi="Arial" w:cs="Arial"/>
          <w:lang w:val="en-GB"/>
        </w:rPr>
        <w:t xml:space="preserve">         </w:t>
      </w:r>
      <w:r w:rsidRPr="00825ADF">
        <w:rPr>
          <w:rFonts w:ascii="Arial" w:eastAsia="Calibri" w:hAnsi="Arial" w:cs="Arial"/>
          <w:lang w:val="en-GB"/>
        </w:rPr>
        <w:t xml:space="preserve"> Failure to perform swabbing at discharge</w:t>
      </w:r>
      <w:r w:rsidRPr="00825ADF">
        <w:rPr>
          <w:rFonts w:ascii="Arial" w:eastAsia="Calibri" w:hAnsi="Arial" w:cs="Arial"/>
          <w:bdr w:val="single" w:sz="4" w:space="0" w:color="auto"/>
          <w:lang w:val="en-GB"/>
        </w:rPr>
        <w:t xml:space="preserve"> </w:t>
      </w:r>
      <w:r w:rsidRPr="00825ADF">
        <w:rPr>
          <w:rFonts w:ascii="Arial" w:eastAsia="Calibri" w:hAnsi="Arial" w:cs="Arial"/>
          <w:sz w:val="22"/>
          <w:szCs w:val="22"/>
          <w:lang w:val="en-GB"/>
        </w:rPr>
        <w:t>d</w:t>
      </w:r>
      <w:r w:rsidRPr="00AA052E">
        <w:rPr>
          <w:rFonts w:ascii="Arial" w:eastAsia="Calibri" w:hAnsi="Arial" w:cs="Arial"/>
          <w:sz w:val="22"/>
          <w:szCs w:val="22"/>
          <w:lang w:val="en-GB"/>
        </w:rPr>
        <w:t>ischarge</w:t>
      </w:r>
      <w:r w:rsidRPr="00AA052E">
        <w:rPr>
          <w:rFonts w:ascii="Times New Roman" w:eastAsia="Calibri" w:hAnsi="Times New Roman"/>
          <w:sz w:val="24"/>
          <w:szCs w:val="24"/>
          <w:lang w:val="en-GB"/>
        </w:rPr>
        <w:t xml:space="preserve">                                             </w:t>
      </w:r>
      <w:r w:rsidR="00AA052E" w:rsidRPr="00AA052E">
        <w:rPr>
          <w:rFonts w:ascii="Calibri" w:eastAsia="Calibri" w:hAnsi="Calibri"/>
          <w:sz w:val="24"/>
          <w:szCs w:val="24"/>
          <w:lang w:val="en-GB"/>
        </w:rPr>
        <w:t xml:space="preserve">         </w:t>
      </w:r>
      <w:r w:rsidR="00AA052E" w:rsidRPr="00AA052E">
        <w:rPr>
          <w:rFonts w:ascii="Times New Roman" w:eastAsia="Calibri" w:hAnsi="Times New Roman"/>
          <w:sz w:val="24"/>
          <w:szCs w:val="24"/>
          <w:lang w:val="en-GB"/>
        </w:rPr>
        <w:t xml:space="preserve">              </w:t>
      </w:r>
      <w:r w:rsidR="00825ADF">
        <w:rPr>
          <w:rFonts w:ascii="Times New Roman" w:eastAsia="Calibri" w:hAnsi="Times New Roman"/>
          <w:sz w:val="24"/>
          <w:szCs w:val="24"/>
          <w:lang w:val="en-GB"/>
        </w:rPr>
        <w:t xml:space="preserve">      </w:t>
      </w:r>
      <w:r w:rsidRPr="00825ADF">
        <w:rPr>
          <w:rFonts w:ascii="Times New Roman" w:eastAsia="Calibri" w:hAnsi="Times New Roman"/>
          <w:b/>
          <w:bCs/>
          <w:sz w:val="24"/>
          <w:szCs w:val="24"/>
          <w:lang w:val="en-GB"/>
        </w:rPr>
        <w:t>R</w:t>
      </w:r>
      <w:r w:rsidR="00825ADF" w:rsidRPr="00825ADF">
        <w:rPr>
          <w:rFonts w:ascii="Times New Roman" w:eastAsia="Calibri" w:hAnsi="Times New Roman"/>
          <w:b/>
          <w:bCs/>
          <w:sz w:val="24"/>
          <w:szCs w:val="24"/>
          <w:lang w:val="en-GB"/>
        </w:rPr>
        <w:t>easons</w:t>
      </w:r>
      <w:r w:rsidR="00AA052E" w:rsidRPr="00AA052E">
        <w:rPr>
          <w:rFonts w:ascii="Times New Roman" w:eastAsia="Calibri" w:hAnsi="Times New Roman"/>
          <w:b/>
          <w:bCs/>
          <w:sz w:val="24"/>
          <w:szCs w:val="24"/>
          <w:lang w:val="en-GB"/>
        </w:rPr>
        <w:t xml:space="preserve"> </w:t>
      </w:r>
      <w:r w:rsidR="00AA052E" w:rsidRPr="00AA052E">
        <w:rPr>
          <w:rFonts w:ascii="Times New Roman" w:eastAsia="Calibri" w:hAnsi="Times New Roman"/>
          <w:sz w:val="24"/>
          <w:szCs w:val="24"/>
          <w:lang w:val="en-GB"/>
        </w:rPr>
        <w:t xml:space="preserve">      </w:t>
      </w:r>
      <w:r w:rsidR="00F20B26" w:rsidRPr="00825ADF">
        <w:rPr>
          <w:rFonts w:ascii="Times New Roman" w:eastAsia="Calibri" w:hAnsi="Times New Roman"/>
          <w:sz w:val="24"/>
          <w:szCs w:val="24"/>
          <w:lang w:val="en-GB"/>
        </w:rPr>
        <w:t xml:space="preserve">                                         </w:t>
      </w:r>
      <w:r w:rsidR="00AA052E" w:rsidRPr="00AA052E">
        <w:rPr>
          <w:rFonts w:ascii="Times New Roman" w:eastAsia="Calibri" w:hAnsi="Times New Roman"/>
          <w:sz w:val="24"/>
          <w:szCs w:val="24"/>
          <w:lang w:val="en-GB"/>
        </w:rPr>
        <w:t xml:space="preserve"> </w:t>
      </w:r>
      <w:r w:rsidRPr="00825ADF">
        <w:rPr>
          <w:rFonts w:ascii="Times New Roman" w:eastAsia="Calibri" w:hAnsi="Times New Roman"/>
          <w:sz w:val="24"/>
          <w:szCs w:val="24"/>
          <w:lang w:val="en-GB"/>
        </w:rPr>
        <w:t xml:space="preserve">                              </w:t>
      </w:r>
    </w:p>
    <w:p w14:paraId="528D7BCC" w14:textId="41FF706F" w:rsidR="00B640CF" w:rsidRPr="00BB4305" w:rsidRDefault="00F20B26" w:rsidP="00B640CF">
      <w:pPr>
        <w:rPr>
          <w:rFonts w:ascii="Arial" w:hAnsi="Arial" w:cs="Arial"/>
          <w:lang w:val="en-GB"/>
        </w:rPr>
      </w:pPr>
      <w:r>
        <w:rPr>
          <w:rFonts w:ascii="Arial" w:eastAsia="Calibri" w:hAnsi="Arial" w:cs="Arial"/>
          <w:sz w:val="22"/>
          <w:szCs w:val="22"/>
          <w:lang w:val="en-GB"/>
        </w:rPr>
        <w:t xml:space="preserve">   </w:t>
      </w:r>
      <w:r w:rsidR="00B640CF" w:rsidRPr="00BB4305">
        <w:rPr>
          <w:rFonts w:ascii="Arial" w:hAnsi="Arial" w:cs="Arial"/>
          <w:lang w:val="en-GB"/>
        </w:rPr>
        <w:t xml:space="preserve">                         (n=132)    </w:t>
      </w:r>
      <w:r w:rsidR="00825ADF">
        <w:rPr>
          <w:rFonts w:ascii="Arial" w:hAnsi="Arial" w:cs="Arial"/>
          <w:lang w:val="en-GB"/>
        </w:rPr>
        <w:t xml:space="preserve">                                      </w:t>
      </w:r>
      <w:r w:rsidR="00825ADF" w:rsidRPr="00BB4305">
        <w:rPr>
          <w:rFonts w:ascii="Arial" w:hAnsi="Arial" w:cs="Arial"/>
          <w:lang w:val="en-GB"/>
        </w:rPr>
        <w:t>Death, Lost to follow-up</w:t>
      </w:r>
      <w:r w:rsidR="00825ADF">
        <w:rPr>
          <w:rFonts w:ascii="Arial" w:hAnsi="Arial" w:cs="Arial"/>
          <w:lang w:val="en-GB"/>
        </w:rPr>
        <w:t xml:space="preserve"> (n=71)</w:t>
      </w:r>
    </w:p>
    <w:p w14:paraId="18D31CAD" w14:textId="6C47BD34" w:rsidR="00B640CF" w:rsidRPr="00BB4305" w:rsidRDefault="00B640CF" w:rsidP="00B640CF">
      <w:pPr>
        <w:rPr>
          <w:rFonts w:ascii="Arial" w:hAnsi="Arial" w:cs="Arial"/>
          <w:lang w:val="en-GB"/>
        </w:rPr>
      </w:pPr>
      <w:r w:rsidRPr="00543792">
        <w:rPr>
          <w:rFonts w:ascii="Arial" w:hAnsi="Arial" w:cs="Arial"/>
          <w:noProof/>
        </w:rPr>
        <mc:AlternateContent>
          <mc:Choice Requires="wps">
            <w:drawing>
              <wp:anchor distT="0" distB="0" distL="114300" distR="114300" simplePos="0" relativeHeight="251713536" behindDoc="0" locked="0" layoutInCell="1" allowOverlap="1" wp14:anchorId="711AA026" wp14:editId="257ECF03">
                <wp:simplePos x="0" y="0"/>
                <wp:positionH relativeFrom="column">
                  <wp:posOffset>1839009</wp:posOffset>
                </wp:positionH>
                <wp:positionV relativeFrom="paragraph">
                  <wp:posOffset>163683</wp:posOffset>
                </wp:positionV>
                <wp:extent cx="45719" cy="199293"/>
                <wp:effectExtent l="19050" t="0" r="31115" b="29845"/>
                <wp:wrapNone/>
                <wp:docPr id="1127012466" name="Flèche : bas 11"/>
                <wp:cNvGraphicFramePr/>
                <a:graphic xmlns:a="http://schemas.openxmlformats.org/drawingml/2006/main">
                  <a:graphicData uri="http://schemas.microsoft.com/office/word/2010/wordprocessingShape">
                    <wps:wsp>
                      <wps:cNvSpPr/>
                      <wps:spPr>
                        <a:xfrm>
                          <a:off x="0" y="0"/>
                          <a:ext cx="45719" cy="199293"/>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5A27" id="Flèche : bas 11" o:spid="_x0000_s1026" type="#_x0000_t67" style="position:absolute;margin-left:144.8pt;margin-top:12.9pt;width:3.6pt;height:1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cGdgIAAAMFAAAOAAAAZHJzL2Uyb0RvYy54bWysVN1P2zAQf5+0/8Hy+0jT0UEjUlSomCYh&#10;QALEs+s4TSTb553dpt1fv7OTfsD2NK0Prs/3/bvf5ep6azTbKPQt2JLnZyPOlJVQtXZV8teXuy+X&#10;nPkgbCU0WFXynfL8evb501XnCjWGBnSlkFEQ64vOlbwJwRVZ5mWjjPBn4JQlZQ1oRCARV1mFoqPo&#10;Rmfj0ehb1gFWDkEq7+l10Sv5LMWvayXDY117FZguOdUW0onpXMYzm12JYoXCNa0cyhD/UIURraWk&#10;h1ALEQRbY/tHKNNKBA91OJNgMqjrVqrUA3WTjz5089wIp1IvBI53B5j8/wsrHzbP7gkJhs75wtM1&#10;drGt0cR/qo9tE1i7A1hqG5ikx/PJRT7lTJImn07H068Ry+zo69CH7woMi5eSV9DZOSJ0CSaxufeh&#10;t9/bxXwedFvdtVonYedvNbKNoNHRxCnAC+XmTAsfSEEFpd+Q9p2rtqyjssYXI5q5FMSrWgtylcZV&#10;Jfd2xZnQKyKsDJjqeeftcbU8ZJ7cTG8Wk96oEZXq68knlHufuTdPzb+LEztbCN/0LkkVXURh2kCk&#10;160p+eVpD9pGrUq0HfA5TiXellDtnpAh9Dz2Tt61lOSeEHkSSMSldmkZwyMdtQbCAIYbZw3gr7+9&#10;R3viE2k562gRCJ+fa4GKgP5hiWnT/Pw8bk4SaOhjEvBUszzV2LW5BRpYTmvvZLpG+6D31xrBvNHO&#10;zmNWUgkrKXc/iUG4Df2C0tZLNZ8nM9oWJ8K9fXYyBo84RXhftm8C3UCxQPR4gP3SiOIDyXrb6Glh&#10;vg5Qt4mBR1xpglGgTUuzHL4KcZVP5WR1/HbNfgMAAP//AwBQSwMEFAAGAAgAAAAhAOSbxg3fAAAA&#10;CQEAAA8AAABkcnMvZG93bnJldi54bWxMj8FOwzAQRO9I/IO1SNyoQ6SEJsSpqlKEhLg08AFuvE3S&#10;xusQO234e5ZTuc1on2ZnitVse3HG0XeOFDwuIhBItTMdNQq+Pl8fliB80GR07wgV/KCHVXl7U+jc&#10;uAvt8FyFRnAI+VwraEMYcil93aLVfuEGJL4d3Gh1YDs20oz6wuG2l3EUpdLqjvhDqwfctFifqskq&#10;mN+H4WW71ce3749dNWV2c1wnnVL3d/P6GUTAOVxh+KvP1aHkTns3kfGiVxAvs5RRFglPYCDOUhZ7&#10;BclTDLIs5P8F5S8AAAD//wMAUEsBAi0AFAAGAAgAAAAhALaDOJL+AAAA4QEAABMAAAAAAAAAAAAA&#10;AAAAAAAAAFtDb250ZW50X1R5cGVzXS54bWxQSwECLQAUAAYACAAAACEAOP0h/9YAAACUAQAACwAA&#10;AAAAAAAAAAAAAAAvAQAAX3JlbHMvLnJlbHNQSwECLQAUAAYACAAAACEAiNsHBnYCAAADBQAADgAA&#10;AAAAAAAAAAAAAAAuAgAAZHJzL2Uyb0RvYy54bWxQSwECLQAUAAYACAAAACEA5JvGDd8AAAAJAQAA&#10;DwAAAAAAAAAAAAAAAADQBAAAZHJzL2Rvd25yZXYueG1sUEsFBgAAAAAEAAQA8wAAANwFAAAAAA==&#10;" adj="19122" fillcolor="windowText" strokecolor="#223f59" strokeweight="1pt"/>
            </w:pict>
          </mc:Fallback>
        </mc:AlternateContent>
      </w:r>
      <w:r w:rsidRPr="00BB4305">
        <w:rPr>
          <w:rFonts w:ascii="Arial" w:hAnsi="Arial" w:cs="Arial"/>
          <w:lang w:val="en-GB"/>
        </w:rPr>
        <w:t xml:space="preserve">                                                                                          </w:t>
      </w:r>
    </w:p>
    <w:p w14:paraId="0FF2B095" w14:textId="77777777" w:rsidR="00AA052E" w:rsidRPr="00AA052E" w:rsidRDefault="00AA052E"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91008" behindDoc="0" locked="0" layoutInCell="1" allowOverlap="1" wp14:anchorId="10EFF108" wp14:editId="5FFE77F3">
                <wp:simplePos x="0" y="0"/>
                <wp:positionH relativeFrom="column">
                  <wp:posOffset>4963990</wp:posOffset>
                </wp:positionH>
                <wp:positionV relativeFrom="paragraph">
                  <wp:posOffset>197485</wp:posOffset>
                </wp:positionV>
                <wp:extent cx="47234" cy="228600"/>
                <wp:effectExtent l="19050" t="0" r="29210" b="38100"/>
                <wp:wrapNone/>
                <wp:docPr id="239803159" name="Flèche : bas 11"/>
                <wp:cNvGraphicFramePr/>
                <a:graphic xmlns:a="http://schemas.openxmlformats.org/drawingml/2006/main">
                  <a:graphicData uri="http://schemas.microsoft.com/office/word/2010/wordprocessingShape">
                    <wps:wsp>
                      <wps:cNvSpPr/>
                      <wps:spPr>
                        <a:xfrm flipH="1">
                          <a:off x="0" y="0"/>
                          <a:ext cx="47234"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26EA3" id="Flèche : bas 11" o:spid="_x0000_s1026" type="#_x0000_t67" style="position:absolute;margin-left:390.85pt;margin-top:15.55pt;width:3.7pt;height:1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XdfwIAAA0FAAAOAAAAZHJzL2Uyb0RvYy54bWysVMlu2zAQvRfoPxC8N7JVO4sROXBipC0Q&#10;JAGSImeaoiwC3ErSlt2v7yNlO07SU1EdiBnNcJY3b3h5tdGKrIUP0pqKDk8GlAjDbS3NsqI/n2+/&#10;nFMSIjM1U9aIim5FoFfTz58uOzcRpW2tqoUnCGLCpHMVbWN0k6IIvBWahRPrhIGxsV6zCNUvi9qz&#10;DtG1KsrB4LTorK+dt1yEgL/z3kinOX7TCB4fmiaISFRFUVvMp8/nIp3F9JJNlp65VvJdGewfqtBM&#10;GiQ9hJqzyMjKyw+htOTeBtvEE251YZtGcpF7QDfDwbtunlrmRO4F4AR3gCn8v7D8fv3kHj1g6FyY&#10;BIipi03jNWmUdN8x09wXKiWbDNv2AJvYRMLxc3RWfh1RwmEpy/PTQUa16KOkaM6H+E1YTZJQ0dp2&#10;Zua97XJgtr4LEenhv/dLd4JVsr6VSmVlG26UJ2uGIWL2CPCM3JQoFiIMKCh/aZgI8+aqMqRDD+UZ&#10;qiKcgWGNYrjKtasrGsySEqaWoC6PPtfz5nbwy8Uh8/j64no+7p1aVou+nuEYufeZe/ePVaTO5iy0&#10;/ZWcomeelhH0V1JX9Py4B2VS3yITeIfP63yStLD19tETb3tGB8dvJZLcAZFH5kFhtIu1jA84GmWB&#10;gd1JlLTW//7b/+QPZsFKSYeVAD6/VswLAP3DgHMXw9Eo7VBWRuOzEoo/tiyOLWalbywGNsQD4HgW&#10;k39Ue7HxVr9ge2cpK0zMcOTuJ7FTbmK/qth/Lmaz7Ia9cSzemSfH9+RM8D5vXph3O4pF0OPe7teH&#10;Td6RrPdNCBs7W0XbyMzAV1wxwaRg5/Isd+9DWupjPXu9vmLTPwAAAP//AwBQSwMEFAAGAAgAAAAh&#10;AC1YtOnfAAAACQEAAA8AAABkcnMvZG93bnJldi54bWxMj8FKxDAQhu+C7xBG8OamqbCt3aaLyApe&#10;RFwFr9lktik2k9qk2+rTG0/ubYb5+Of76+3ienbCMXSeJIhVBgxJe9NRK+H97fGmBBaiIqN6Tyjh&#10;GwNsm8uLWlXGz/SKp31sWQqhUCkJNsah4jxoi06FlR+Q0u3oR6diWseWm1HNKdz1PM+yNXeqo/TB&#10;qgEfLOrP/eQkfPTDrPnTT65fpqXcPdv8S+2clNdXy/0GWMQl/sPwp5/UoUlOBz+RCayXUJSiSKiE&#10;WyGAJaAo79JwkLAuBPCm5ucNml8AAAD//wMAUEsBAi0AFAAGAAgAAAAhALaDOJL+AAAA4QEAABMA&#10;AAAAAAAAAAAAAAAAAAAAAFtDb250ZW50X1R5cGVzXS54bWxQSwECLQAUAAYACAAAACEAOP0h/9YA&#10;AACUAQAACwAAAAAAAAAAAAAAAAAvAQAAX3JlbHMvLnJlbHNQSwECLQAUAAYACAAAACEAZnDV3X8C&#10;AAANBQAADgAAAAAAAAAAAAAAAAAuAgAAZHJzL2Uyb0RvYy54bWxQSwECLQAUAAYACAAAACEALVi0&#10;6d8AAAAJAQAADwAAAAAAAAAAAAAAAADZBAAAZHJzL2Rvd25yZXYueG1sUEsFBgAAAAAEAAQA8wAA&#10;AOUFAAAAAA==&#10;" adj="19368" fillcolor="windowText" strokecolor="#223f59" strokeweight="1pt"/>
            </w:pict>
          </mc:Fallback>
        </mc:AlternateContent>
      </w:r>
      <w:r w:rsidRPr="00AA052E">
        <w:rPr>
          <w:rFonts w:ascii="Calibri" w:eastAsia="Calibri" w:hAnsi="Calibri"/>
          <w:noProof/>
          <w:sz w:val="24"/>
          <w:szCs w:val="24"/>
        </w:rPr>
        <mc:AlternateContent>
          <mc:Choice Requires="wps">
            <w:drawing>
              <wp:anchor distT="0" distB="0" distL="114300" distR="114300" simplePos="0" relativeHeight="251686912" behindDoc="0" locked="0" layoutInCell="1" allowOverlap="1" wp14:anchorId="404CA063" wp14:editId="56B1BA26">
                <wp:simplePos x="0" y="0"/>
                <wp:positionH relativeFrom="margin">
                  <wp:posOffset>585372</wp:posOffset>
                </wp:positionH>
                <wp:positionV relativeFrom="paragraph">
                  <wp:posOffset>195873</wp:posOffset>
                </wp:positionV>
                <wp:extent cx="4396154" cy="7327"/>
                <wp:effectExtent l="19050" t="19050" r="23495" b="31115"/>
                <wp:wrapNone/>
                <wp:docPr id="1953629306" name="Connecteur droit 1953629306"/>
                <wp:cNvGraphicFramePr/>
                <a:graphic xmlns:a="http://schemas.openxmlformats.org/drawingml/2006/main">
                  <a:graphicData uri="http://schemas.microsoft.com/office/word/2010/wordprocessingShape">
                    <wps:wsp>
                      <wps:cNvCnPr/>
                      <wps:spPr>
                        <a:xfrm flipV="1">
                          <a:off x="0" y="0"/>
                          <a:ext cx="4396154" cy="7327"/>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213EAA" id="Connecteur droit 1953629306"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15.4pt" to="39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BRvwEAAGcDAAAOAAAAZHJzL2Uyb0RvYy54bWysU01vEzEQvSPxHyzfGydp06SrbHpoVC4I&#10;KlG4T732riV/yWOyyb9n7A0hwA2xB2vs8TzPe/N2+3h0lh1UQhN8yxezOWfKy9AZ37f86+vzzYYz&#10;zOA7sMGrlp8U8sfd+3fbMTZqGYZgO5UYgXhsxtjyIefYCIFyUA5wFqLylNQhOci0Tb3oEoyE7qxY&#10;zuf3YgypiylIhUin+ynJdxVfayXzZ61RZWZbTr3luqa6vpVV7LbQ9AniYOS5DfiHLhwYT49eoPaQ&#10;gX1P5i8oZ2QKGHSeyeBE0NpIVTkQm8X8DzZfBoiqciFxMF5kwv8HKz8dnvxLIhnGiA3Gl1RYHHVy&#10;TFsTv9FMKy/qlB2rbKeLbOqYmaTDu9uH+8XqjjNJufXtcl1UFRNKQYsJ8wcVHCtBy63xhRQ0cPiI&#10;ebr680o59uHZWFsHYz0bW77crNYrQgfyh7aQKXSxazn6njOwPRlP5lQhMVjTlfIChCd8sokdgGZP&#10;lunC+Eotc2YBMyWIR/3O3f5WWvrZAw5TcU1NVnEmk1+tcS3fXFdbX15U1XFnVr8ELdFb6E5VZ1F2&#10;NM0q0dl5xS7Xe4qv/4/dDwAAAP//AwBQSwMEFAAGAAgAAAAhACVJPXzfAAAACAEAAA8AAABkcnMv&#10;ZG93bnJldi54bWxMj0FPwzAMhe9I/IfISNxYQhlslKYTGuPAYRJsIDhmidd2NE5psq38e8wJjvZ7&#10;fv5eMRt8Kw7YxyaQhsuRAoFkg2uo0vC6fryYgojJkDNtINTwjRFm5elJYXIXjvSCh1WqBIdQzI2G&#10;OqUulzLaGr2Jo9AhsbYNvTeJx76SrjdHDvetzJS6kd40xB9q0+G8Rvu52nvGGBZf9GTfx4vtbr5U&#10;z2+7D9s+aH1+NtzfgUg4pD8z/OLzDZTMtAl7clG0Gm6zjJ0arhQ3YH0yHV+D2PAiUyDLQv4vUP4A&#10;AAD//wMAUEsBAi0AFAAGAAgAAAAhALaDOJL+AAAA4QEAABMAAAAAAAAAAAAAAAAAAAAAAFtDb250&#10;ZW50X1R5cGVzXS54bWxQSwECLQAUAAYACAAAACEAOP0h/9YAAACUAQAACwAAAAAAAAAAAAAAAAAv&#10;AQAAX3JlbHMvLnJlbHNQSwECLQAUAAYACAAAACEASlugUb8BAABnAwAADgAAAAAAAAAAAAAAAAAu&#10;AgAAZHJzL2Uyb0RvYy54bWxQSwECLQAUAAYACAAAACEAJUk9fN8AAAAIAQAADwAAAAAAAAAAAAAA&#10;AAAZBAAAZHJzL2Rvd25yZXYueG1sUEsFBgAAAAAEAAQA8wAAACUFAAAAAA==&#10;" strokecolor="windowText" strokeweight="2.25pt">
                <v:stroke joinstyle="miter"/>
                <w10:wrap anchorx="margin"/>
              </v:line>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92032" behindDoc="0" locked="0" layoutInCell="1" allowOverlap="1" wp14:anchorId="7B3F28E1" wp14:editId="41104137">
                <wp:simplePos x="0" y="0"/>
                <wp:positionH relativeFrom="column">
                  <wp:posOffset>556846</wp:posOffset>
                </wp:positionH>
                <wp:positionV relativeFrom="paragraph">
                  <wp:posOffset>192063</wp:posOffset>
                </wp:positionV>
                <wp:extent cx="45719" cy="228600"/>
                <wp:effectExtent l="19050" t="0" r="31115" b="38100"/>
                <wp:wrapNone/>
                <wp:docPr id="1453460166"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0596" id="Flèche : bas 11" o:spid="_x0000_s1026" type="#_x0000_t67" style="position:absolute;margin-left:43.85pt;margin-top:15.1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MDoOkLdAAAA&#10;BwEAAA8AAABkcnMvZG93bnJldi54bWxMjsFOwzAQRO9I/IO1SFwQdRIgbUM2FQJxQUKI0Etvbrwk&#10;Ue11FLtp4OsxJziOZvTmlZvZGjHR6HvHCOkiAUHcON1zi7D9eL5egfBBsVbGMSF8kYdNdX5WqkK7&#10;E7/TVIdWRAj7QiF0IQyFlL7pyCq/cANx7D7daFWIcWylHtUpwq2RWZLk0qqe40OnBnrsqDnUR4vw&#10;fbjjOn3RpHdPs3x9m1LKrgzi5cX8cA8i0Bz+xvCrH9Whik57d2TthUFYLZdxiXCTZCBiv75dg9gj&#10;5HkGsirlf//qBwAA//8DAFBLAQItABQABgAIAAAAIQC2gziS/gAAAOEBAAATAAAAAAAAAAAAAAAA&#10;AAAAAABbQ29udGVudF9UeXBlc10ueG1sUEsBAi0AFAAGAAgAAAAhADj9If/WAAAAlAEAAAsAAAAA&#10;AAAAAAAAAAAALwEAAF9yZWxzLy5yZWxzUEsBAi0AFAAGAAgAAAAhABwZ4pt2AgAAAwUAAA4AAAAA&#10;AAAAAAAAAAAALgIAAGRycy9lMm9Eb2MueG1sUEsBAi0AFAAGAAgAAAAhAMDoOkLdAAAABwEAAA8A&#10;AAAAAAAAAAAAAAAA0AQAAGRycy9kb3ducmV2LnhtbFBLBQYAAAAABAAEAPMAAADaBQAAAAA=&#10;" adj="19440" fillcolor="windowText" strokecolor="#223f59" strokeweight="1pt"/>
            </w:pict>
          </mc:Fallback>
        </mc:AlternateContent>
      </w:r>
    </w:p>
    <w:p w14:paraId="6C6CFEA5" w14:textId="386BCA91" w:rsidR="00AA052E" w:rsidRPr="00AA052E" w:rsidRDefault="00825ADF" w:rsidP="00AA052E">
      <w:pPr>
        <w:spacing w:after="160" w:line="259" w:lineRule="auto"/>
        <w:rPr>
          <w:rFonts w:ascii="Times New Roman" w:eastAsia="Calibri" w:hAnsi="Times New Roman"/>
          <w:b/>
          <w:bCs/>
          <w:sz w:val="22"/>
          <w:szCs w:val="22"/>
          <w:lang w:val="en-GB"/>
        </w:rPr>
      </w:pPr>
      <w:r w:rsidRPr="00AA052E">
        <w:rPr>
          <w:rFonts w:ascii="Calibri" w:eastAsia="Calibri" w:hAnsi="Calibri"/>
          <w:noProof/>
          <w:sz w:val="24"/>
          <w:szCs w:val="24"/>
        </w:rPr>
        <mc:AlternateContent>
          <mc:Choice Requires="wps">
            <w:drawing>
              <wp:anchor distT="0" distB="0" distL="114300" distR="114300" simplePos="0" relativeHeight="251685888" behindDoc="0" locked="0" layoutInCell="1" allowOverlap="1" wp14:anchorId="052716C2" wp14:editId="30154287">
                <wp:simplePos x="0" y="0"/>
                <wp:positionH relativeFrom="margin">
                  <wp:align>left</wp:align>
                </wp:positionH>
                <wp:positionV relativeFrom="paragraph">
                  <wp:posOffset>130810</wp:posOffset>
                </wp:positionV>
                <wp:extent cx="2061845" cy="396875"/>
                <wp:effectExtent l="19050" t="19050" r="14605" b="22225"/>
                <wp:wrapNone/>
                <wp:docPr id="2144137230" name="Rectangle 2144137230"/>
                <wp:cNvGraphicFramePr/>
                <a:graphic xmlns:a="http://schemas.openxmlformats.org/drawingml/2006/main">
                  <a:graphicData uri="http://schemas.microsoft.com/office/word/2010/wordprocessingShape">
                    <wps:wsp>
                      <wps:cNvSpPr/>
                      <wps:spPr>
                        <a:xfrm>
                          <a:off x="0" y="0"/>
                          <a:ext cx="2061845" cy="3968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EDA3F" id="Rectangle 2144137230" o:spid="_x0000_s1026" style="position:absolute;margin-left:0;margin-top:10.3pt;width:162.35pt;height:31.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y1WQIAALYEAAAOAAAAZHJzL2Uyb0RvYy54bWysVE1PGzEQvVfqf7B8L5ukAULEBkUgqkoI&#10;IkHF2XjtrCXb446dbNJf37F3IYH2VDUHZ8bz/fxmL692zrKtwmjA13x8MuJMeQmN8eua/3i6/TLj&#10;LCbhG2HBq5rvVeRXi8+fLrswVxNowTYKGSXxcd6FmrcphXlVRdkqJ+IJBOXJqAGdSKTiumpQdJTd&#10;2WoyGp1VHWATEKSKkW5veiNflPxaK5ketI4qMVtz6i2VE8v5ks9qcSnmaxShNXJoQ/xDF04YT0Xf&#10;Ut2IJNgGzR+pnJEIEXQ6keAq0NpIVWagacajD9M8tiKoMguBE8MbTPH/pZX328ewQoKhC3EeScxT&#10;7DS6/E/9sV0Ba/8GltolJulyMjobz6annEmyfb04m52fZjSrQ3TAmL4pcCwLNUd6jIKR2N7F1Lu+&#10;uuRiHm6NteVBrGcdJZ2NR/RmUhAvtBWJRBeamke/5kzYNRFOJiwpI1jT5PCcKO7jtUW2FfTmRJUG&#10;uidqmjMrYiIDTVJ+Q7fvQnM/NyK2fXAx9RRxJhFPrXE1nx1HW58rqsK0YaoDkFl6gWa/QobQUy8G&#10;eWuoyB31shJIXKMJaX/SAx3aAo0Ng8RZC/jrb/fZnyhAVs464i5B8nMjUNGI3z2R42I8nWayF2V6&#10;ej4hBY8tL8cWv3HXQFCNaVODLGL2T/ZV1AjumdZsmauSSXhJtXvwB+U69TtFiyrVclnciOBBpDv/&#10;GGROnnHK8D7tngWGgROJHuYeXnku5h+o0fv25FhuEmhTeHPAlfiWFVqOwrxhkfP2HevF6/C5WfwG&#10;AAD//wMAUEsDBBQABgAIAAAAIQCOKy503QAAAAYBAAAPAAAAZHJzL2Rvd25yZXYueG1sTI/RSsNA&#10;FETfBf9huYJvdpO01JDmpkhFUAMFox+wyd4modm7Ibtt4t+7PunjMMPMmXy/mEFcaXK9ZYR4FYEg&#10;bqzuuUX4+nx5SEE4r1irwTIhfJODfXF7k6tM25k/6Fr5VoQSdplC6LwfMyld05FRbmVH4uCd7GSU&#10;D3JqpZ7UHMrNIJMo2kqjeg4LnRrp0FFzri4G4X0+eyrfjnNZpXG6Wdr6+fVQIt7fLU87EJ4W/xeG&#10;X/yADkVgqu2FtRMDQjjiEZJoCyK462TzCKJGSNcxyCKX//GLHwAAAP//AwBQSwECLQAUAAYACAAA&#10;ACEAtoM4kv4AAADhAQAAEwAAAAAAAAAAAAAAAAAAAAAAW0NvbnRlbnRfVHlwZXNdLnhtbFBLAQIt&#10;ABQABgAIAAAAIQA4/SH/1gAAAJQBAAALAAAAAAAAAAAAAAAAAC8BAABfcmVscy8ucmVsc1BLAQIt&#10;ABQABgAIAAAAIQDkuXy1WQIAALYEAAAOAAAAAAAAAAAAAAAAAC4CAABkcnMvZTJvRG9jLnhtbFBL&#10;AQItABQABgAIAAAAIQCOKy503QAAAAYBAAAPAAAAAAAAAAAAAAAAALMEAABkcnMvZG93bnJldi54&#10;bWxQSwUGAAAAAAQABADzAAAAvQUAAAAA&#10;" filled="f" strokecolor="windowText" strokeweight="3pt">
                <w10:wrap anchorx="margin"/>
              </v:rect>
            </w:pict>
          </mc:Fallback>
        </mc:AlternateContent>
      </w:r>
      <w:r w:rsidR="00AA052E" w:rsidRPr="00AA052E">
        <w:rPr>
          <w:rFonts w:ascii="Calibri" w:eastAsia="Calibri" w:hAnsi="Calibri"/>
          <w:noProof/>
          <w:sz w:val="24"/>
          <w:szCs w:val="24"/>
        </w:rPr>
        <mc:AlternateContent>
          <mc:Choice Requires="wps">
            <w:drawing>
              <wp:anchor distT="0" distB="0" distL="114300" distR="114300" simplePos="0" relativeHeight="251684864" behindDoc="0" locked="0" layoutInCell="1" allowOverlap="1" wp14:anchorId="27A2B007" wp14:editId="7C0970D5">
                <wp:simplePos x="0" y="0"/>
                <wp:positionH relativeFrom="margin">
                  <wp:posOffset>3432810</wp:posOffset>
                </wp:positionH>
                <wp:positionV relativeFrom="paragraph">
                  <wp:posOffset>107950</wp:posOffset>
                </wp:positionV>
                <wp:extent cx="2457450" cy="397120"/>
                <wp:effectExtent l="19050" t="19050" r="19050" b="22225"/>
                <wp:wrapNone/>
                <wp:docPr id="413901679" name="Rectangle 413901679"/>
                <wp:cNvGraphicFramePr/>
                <a:graphic xmlns:a="http://schemas.openxmlformats.org/drawingml/2006/main">
                  <a:graphicData uri="http://schemas.microsoft.com/office/word/2010/wordprocessingShape">
                    <wps:wsp>
                      <wps:cNvSpPr/>
                      <wps:spPr>
                        <a:xfrm>
                          <a:off x="0" y="0"/>
                          <a:ext cx="2457450" cy="39712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1E2B2" id="Rectangle 413901679" o:spid="_x0000_s1026" style="position:absolute;margin-left:270.3pt;margin-top:8.5pt;width:193.5pt;height:3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vRWQIAALYEAAAOAAAAZHJzL2Uyb0RvYy54bWysVE1PGzEQvVfqf7B8L5ukoUDEBkUgqkoI&#10;IkHF2Xi9WUu2x7WdbNJf32dvICntqWoOztjz/ebNXl5trWEbFaImV/PxyYgz5SQ12q1q/v3p9tM5&#10;ZzEJ1whDTtV8pyK/mn/8cNn7mZpQR6ZRgSGIi7Pe17xLyc+qKspOWRFPyCsHZUvBioRrWFVNED2i&#10;W1NNRqMvVU+h8YGkihGvN4OSz0v8tlUyPbRtVImZmqO2VM5Qzpd8VvNLMVsF4Tst92WIf6jCCu2Q&#10;9C3UjUiCrYP+I5TVMlCkNp1IshW1rZaq9IBuxqN33Tx2wqvSC8CJ/g2m+P/CyvvNo18GwND7OIsQ&#10;cxfbNtj8j/rYtoC1ewNLbROTeJxMT8+mp8BUQvf54mw8KWhWB28fYvqqyLIs1DxgGAUjsbmLCRlh&#10;+mqSkzm61caUgRjHegQ9H49yfAFetEYkiNY3NY9uxZkwKxBOplBCRjK6ye45UNzFaxPYRmDmoEpD&#10;/ROK5syImKBAJ+WXZ48SfnPN9dyI2A3ORTVQxOoEnhpta35+7G1czqgK0/ZdHYDM0gs1u2VggQbq&#10;RS9vNZLcoZalCOAaOsT+pAccrSG0TXuJs47Cz7+9Z3tQAFrOenAXkPxYi6DQ4jcHclyMp9NM9nLB&#10;mDAZFo41L8cat7bXBKjG2FQvi5jtk3kV20D2GWu2yFmhEk4i9wD+/nKdhp3Cokq1WBQzENyLdOce&#10;vczBM04Z3qftswh+z4mEwdzTK8/F7B01BtuBHIt1olYX3hxwxQTzBctRZrlf5Lx9x/didfjczH8B&#10;AAD//wMAUEsDBBQABgAIAAAAIQCQ7qD93wAAAAkBAAAPAAAAZHJzL2Rvd25yZXYueG1sTI9RS8NA&#10;EITfBf/DsYJv9tLSNmnMpUhFsAYEoz/gkluT0NxeyF2b+O/dPunjznzMzmT72fbigqPvHClYLiIQ&#10;SLUzHTUKvj5fHhIQPmgyuneECn7Qwz6/vcl0atxEH3gpQyM4hHyqFbQhDKmUvm7Rar9wAxJ73260&#10;OvA5NtKMeuJw28tVFG2l1R3xh1YPeGixPpVnq+BtOgUsju9TUSbLZD031fProVDq/m5+egQRcA5/&#10;MFzrc3XIuVPlzmS86BVs1tGWUTZi3sTAbhWzUCmIdxuQeSb/L8h/AQAA//8DAFBLAQItABQABgAI&#10;AAAAIQC2gziS/gAAAOEBAAATAAAAAAAAAAAAAAAAAAAAAABbQ29udGVudF9UeXBlc10ueG1sUEsB&#10;Ai0AFAAGAAgAAAAhADj9If/WAAAAlAEAAAsAAAAAAAAAAAAAAAAALwEAAF9yZWxzLy5yZWxzUEsB&#10;Ai0AFAAGAAgAAAAhABhu+9FZAgAAtgQAAA4AAAAAAAAAAAAAAAAALgIAAGRycy9lMm9Eb2MueG1s&#10;UEsBAi0AFAAGAAgAAAAhAJDuoP3fAAAACQEAAA8AAAAAAAAAAAAAAAAAswQAAGRycy9kb3ducmV2&#10;LnhtbFBLBQYAAAAABAAEAPMAAAC/BQAAAAA=&#10;" filled="f" strokecolor="windowText" strokeweight="3pt">
                <w10:wrap anchorx="margin"/>
              </v:rect>
            </w:pict>
          </mc:Fallback>
        </mc:AlternateContent>
      </w:r>
    </w:p>
    <w:p w14:paraId="2C71FAD3" w14:textId="0568956C" w:rsidR="00AA052E" w:rsidRPr="00AA052E" w:rsidRDefault="00AA052E" w:rsidP="00AA052E">
      <w:pPr>
        <w:tabs>
          <w:tab w:val="left" w:pos="1302"/>
        </w:tabs>
        <w:spacing w:after="160" w:line="259" w:lineRule="auto"/>
        <w:jc w:val="center"/>
        <w:rPr>
          <w:rFonts w:ascii="Times New Roman" w:eastAsia="Calibri" w:hAnsi="Times New Roman"/>
          <w:b/>
          <w:bCs/>
          <w:sz w:val="24"/>
          <w:szCs w:val="24"/>
          <w:lang w:val="en-GB"/>
        </w:rPr>
      </w:pPr>
      <w:r w:rsidRPr="00AA052E">
        <w:rPr>
          <w:rFonts w:ascii="Times New Roman" w:eastAsia="Calibri" w:hAnsi="Times New Roman"/>
          <w:noProof/>
          <w:sz w:val="22"/>
          <w:szCs w:val="22"/>
        </w:rPr>
        <mc:AlternateContent>
          <mc:Choice Requires="wps">
            <w:drawing>
              <wp:anchor distT="0" distB="0" distL="114300" distR="114300" simplePos="0" relativeHeight="251696128" behindDoc="0" locked="0" layoutInCell="1" allowOverlap="1" wp14:anchorId="7DF49486" wp14:editId="607AF5D4">
                <wp:simplePos x="0" y="0"/>
                <wp:positionH relativeFrom="column">
                  <wp:posOffset>4941570</wp:posOffset>
                </wp:positionH>
                <wp:positionV relativeFrom="paragraph">
                  <wp:posOffset>240665</wp:posOffset>
                </wp:positionV>
                <wp:extent cx="45719" cy="480060"/>
                <wp:effectExtent l="19050" t="0" r="31115" b="34290"/>
                <wp:wrapNone/>
                <wp:docPr id="763552604" name="Flèche : bas 11"/>
                <wp:cNvGraphicFramePr/>
                <a:graphic xmlns:a="http://schemas.openxmlformats.org/drawingml/2006/main">
                  <a:graphicData uri="http://schemas.microsoft.com/office/word/2010/wordprocessingShape">
                    <wps:wsp>
                      <wps:cNvSpPr/>
                      <wps:spPr>
                        <a:xfrm>
                          <a:off x="0" y="0"/>
                          <a:ext cx="45719" cy="48006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4A720" id="Flèche : bas 11" o:spid="_x0000_s1026" type="#_x0000_t67" style="position:absolute;margin-left:389.1pt;margin-top:18.95pt;width:3.6pt;height:3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6BdwIAAAMFAAAOAAAAZHJzL2Uyb0RvYy54bWysVNtuGjEQfa/Uf7D83iwgaBKUJSJBqSpF&#10;aaSkyrPxetmVbI9rGxb69T32csmlT1V5MDOe8VzOnNmr663RbKN8aMmWfHg24ExZSVVrVyX/+Xz3&#10;5YKzEIWthCarSr5TgV/PPn+66txUjaghXSnPEMSGaedK3sTopkURZKOMCGfklIWxJm9EhOpXReVF&#10;h+hGF6PB4GvRka+cJ6lCwO2iN/JZjl/XSsYfdR1UZLrkqC3m0+dzmc5idiWmKy9c08p9GeIfqjCi&#10;tUh6DLUQUbC1bz+EMq30FKiOZ5JMQXXdSpV7QDfDwbtunhrhVO4F4AR3hCn8v7DyYfPkHj1g6FyY&#10;Boipi23tTfpHfWybwdodwVLbyCQux5Pz4SVnEpbxBSaRsSxOb50P8Zsiw5JQ8oo6O/eeugyT2NyH&#10;iKTwP/ilfIF0W921WmdlF261ZxuB0WHiCPCM3JxpESIMKCj/0ggR5s1TbVkHNo7OB5i5FOBVrQWe&#10;SuOqkge74kzoFQgro8/1vHkd/Gp5zDy5ubxZTHqnRlSqr2c4Qe5D5t79YxWps4UITf8kp+j5ZtoI&#10;0uvWlBzInSJpm/pWmbZ7fE5TSdKSqt2jZ556Hgcn71okuQcij8KDuGgXyxh/4Kg1AQPaS5w15H//&#10;7T75g0+wctZhEYDPr7XwCkB/t2Da5XA8TpuTFQx9BMW/tixfW+za3BIGNsTaO5nF5B/1Qaw9mRfs&#10;7DxlhUlYidz9JPbKbewXFFsv1Xye3bAtTsR7++RkCp5wSvA+b1+Ed3uKRdDjgQ5LI6bvSNb7ppeW&#10;5utIdZsZeMIVE0wKNi3Pcv9VSKv8Ws9ep2/X7A8AAAD//wMAUEsDBBQABgAIAAAAIQBBKkmi3wAA&#10;AAoBAAAPAAAAZHJzL2Rvd25yZXYueG1sTI/BToNAEIbvJr7DZky8GLuUilBkadRET71Y+wDLMgKB&#10;nSXs0lKf3vGkx8n/5f+/KXaLHcQJJ985UrBeRSCQjKs7ahQcP9/uMxA+aKr14AgVXNDDrry+KnRe&#10;uzN94OkQGsEl5HOtoA1hzKX0pkWr/cqNSJx9ucnqwOfUyHrSZy63g4yj6FFa3REvtHrE1xZNf5gt&#10;j1yM+e6W3r/PVbyfs5fxro8TpW5vlucnEAGX8AfDrz6rQ8lOlZup9mJQkKZZzKiCTboFwUCaJQ8g&#10;KibXmwRkWcj/L5Q/AAAA//8DAFBLAQItABQABgAIAAAAIQC2gziS/gAAAOEBAAATAAAAAAAAAAAA&#10;AAAAAAAAAABbQ29udGVudF9UeXBlc10ueG1sUEsBAi0AFAAGAAgAAAAhADj9If/WAAAAlAEAAAsA&#10;AAAAAAAAAAAAAAAALwEAAF9yZWxzLy5yZWxzUEsBAi0AFAAGAAgAAAAhAAgfLoF3AgAAAwUAAA4A&#10;AAAAAAAAAAAAAAAALgIAAGRycy9lMm9Eb2MueG1sUEsBAi0AFAAGAAgAAAAhAEEqSaLfAAAACgEA&#10;AA8AAAAAAAAAAAAAAAAA0QQAAGRycy9kb3ducmV2LnhtbFBLBQYAAAAABAAEAPMAAADdBQAAAAA=&#10;" adj="20571" fillcolor="windowText" strokecolor="#223f59" strokeweight="1pt"/>
            </w:pict>
          </mc:Fallback>
        </mc:AlternateContent>
      </w:r>
      <w:r w:rsidRPr="00AA052E">
        <w:rPr>
          <w:rFonts w:ascii="Arial" w:eastAsia="Calibri" w:hAnsi="Arial" w:cs="Arial"/>
          <w:lang w:val="en-GB"/>
        </w:rPr>
        <w:t xml:space="preserve">  MDR carriage (n= 112)</w:t>
      </w:r>
      <w:r w:rsidRPr="00AA052E">
        <w:rPr>
          <w:rFonts w:ascii="Times New Roman" w:eastAsia="Calibri" w:hAnsi="Times New Roman"/>
          <w:b/>
          <w:bCs/>
          <w:lang w:val="en-GB"/>
        </w:rPr>
        <w:t xml:space="preserve">    </w:t>
      </w:r>
      <w:r w:rsidRPr="00AA052E">
        <w:rPr>
          <w:rFonts w:ascii="Times New Roman" w:eastAsia="Calibri" w:hAnsi="Times New Roman"/>
          <w:sz w:val="22"/>
          <w:szCs w:val="22"/>
          <w:lang w:val="en-GB"/>
        </w:rPr>
        <w:t xml:space="preserve">                                                </w:t>
      </w:r>
      <w:r w:rsidR="00825ADF">
        <w:rPr>
          <w:rFonts w:ascii="Times New Roman" w:eastAsia="Calibri" w:hAnsi="Times New Roman"/>
          <w:sz w:val="22"/>
          <w:szCs w:val="22"/>
          <w:lang w:val="en-GB"/>
        </w:rPr>
        <w:t xml:space="preserve">      </w:t>
      </w:r>
      <w:r w:rsidRPr="00AA052E">
        <w:rPr>
          <w:rFonts w:ascii="Arial" w:eastAsia="Calibri" w:hAnsi="Arial" w:cs="Arial"/>
          <w:lang w:val="en-GB"/>
        </w:rPr>
        <w:t>No MDR carriage (n=20)</w:t>
      </w:r>
    </w:p>
    <w:p w14:paraId="2BB0464C" w14:textId="04D64EEC" w:rsidR="00AA052E" w:rsidRPr="00AA052E" w:rsidRDefault="00825ADF"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2"/>
          <w:szCs w:val="22"/>
        </w:rPr>
        <mc:AlternateContent>
          <mc:Choice Requires="wps">
            <w:drawing>
              <wp:anchor distT="0" distB="0" distL="114300" distR="114300" simplePos="0" relativeHeight="251693056" behindDoc="0" locked="0" layoutInCell="1" allowOverlap="1" wp14:anchorId="418B4705" wp14:editId="554BE462">
                <wp:simplePos x="0" y="0"/>
                <wp:positionH relativeFrom="column">
                  <wp:posOffset>971550</wp:posOffset>
                </wp:positionH>
                <wp:positionV relativeFrom="paragraph">
                  <wp:posOffset>4445</wp:posOffset>
                </wp:positionV>
                <wp:extent cx="45719" cy="922020"/>
                <wp:effectExtent l="19050" t="0" r="31115" b="30480"/>
                <wp:wrapNone/>
                <wp:docPr id="422481015" name="Flèche : bas 11"/>
                <wp:cNvGraphicFramePr/>
                <a:graphic xmlns:a="http://schemas.openxmlformats.org/drawingml/2006/main">
                  <a:graphicData uri="http://schemas.microsoft.com/office/word/2010/wordprocessingShape">
                    <wps:wsp>
                      <wps:cNvSpPr/>
                      <wps:spPr>
                        <a:xfrm>
                          <a:off x="0" y="0"/>
                          <a:ext cx="45719" cy="92202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D11DC" id="Flèche : bas 11" o:spid="_x0000_s1026" type="#_x0000_t67" style="position:absolute;margin-left:76.5pt;margin-top:.35pt;width:3.6pt;height:7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RdwIAAAMFAAAOAAAAZHJzL2Uyb0RvYy54bWysVE1vGjEQvVfqf7B8bxZQaALKEpGgVJWi&#10;NFJS5Wy8XnYlf3VsWOiv77MXCEl6qsrBzHjG8/HmzV5db41mG0Whdbbkw7MBZ8pKV7V2VfKfz3df&#10;LjkLUdhKaGdVyXcq8OvZ509XnZ+qkWucrhQxBLFh2vmSNzH6aVEE2SgjwpnzysJYOzIiQqVVUZHo&#10;EN3oYjQYfC06R5UnJ1UIuF30Rj7L8etayfijroOKTJcctcV8Uj6X6SxmV2K6IuGbVu7LEP9QhRGt&#10;RdJjqIWIgq2p/RDKtJJccHU8k84Urq5bqXIP6GY4eNfNUyO8yr0AnOCPMIX/F1Y+bJ78IwGGzodp&#10;gJi62NZk0j/qY9sM1u4IltpGJnF5Pr4YTjiTsExGo8EoY1m8vvUU4jflDEtCySvX2TmR6zJMYnMf&#10;IpLC/+CX8gWn2+qu1Toru3CriW0ERoeJI8AzcnOmRYgwoKD8SyNEmDdPtWUd2Di6GGDmUoBXtRZ4&#10;Ko2vSh7sijOhVyCsjJTrefM60Gp5zDy+mdwsxr1TIyrV1zMcI/chc+/+sYrU2UKEpn+SU/R8M20E&#10;6XVrSn552oO2qW+VabvH53UqSVq6avdIjFzP4+DlXYsk90DkURCIi3axjPEHjlo7YOD2EmeNo99/&#10;u0/+4BOsnHVYBODzay1IAejvFkybDM/P0+ZkBUPHoBmdWpanFrs2tw4DG2Ltvcxi8o/6INbkzAt2&#10;dp6ywiSsRO5+EnvlNvYLiq2Xaj7PbtgWL+K9ffIyBU84JXifty+C/J5iEfR4cIelEdN3JOt900vr&#10;5uvo6jYz8BVXTDAp2LQ8y/1XIa3yqZ69Xr9dsz8AAAD//wMAUEsDBBQABgAIAAAAIQCK2bKa3wAA&#10;AAgBAAAPAAAAZHJzL2Rvd25yZXYueG1sTI9LT8MwEITvSPwHa5G4UaelL0KcCiE4IFQkWhDi5sZL&#10;EjVeR7bz4N93e4LbjmY0+022GW0jevShdqRgOklAIBXO1FQq+Ng/36xBhKjJ6MYRKvjFAJv88iLT&#10;qXEDvWO/i6XgEgqpVlDF2KZShqJCq8PEtUjs/ThvdWTpS2m8HrjcNnKWJEtpdU38odItPlZYHHed&#10;VeCO26F82X5Pv16tfPrs5+vuzRdKXV+ND/cgIo7xLwxnfEaHnJkOriMTRMN6cctbooIViLO9TGYg&#10;DnzMF3cg80z+H5CfAAAA//8DAFBLAQItABQABgAIAAAAIQC2gziS/gAAAOEBAAATAAAAAAAAAAAA&#10;AAAAAAAAAABbQ29udGVudF9UeXBlc10ueG1sUEsBAi0AFAAGAAgAAAAhADj9If/WAAAAlAEAAAsA&#10;AAAAAAAAAAAAAAAALwEAAF9yZWxzLy5yZWxzUEsBAi0AFAAGAAgAAAAhAL8QLFF3AgAAAwUAAA4A&#10;AAAAAAAAAAAAAAAALgIAAGRycy9lMm9Eb2MueG1sUEsBAi0AFAAGAAgAAAAhAIrZsprfAAAACAEA&#10;AA8AAAAAAAAAAAAAAAAA0QQAAGRycy9kb3ducmV2LnhtbFBLBQYAAAAABAAEAPMAAADdBQAAAAA=&#10;" adj="21064" fillcolor="windowText" strokecolor="#223f59" strokeweight="1pt"/>
            </w:pict>
          </mc:Fallback>
        </mc:AlternateContent>
      </w:r>
      <w:r w:rsidR="00AA052E" w:rsidRPr="00AA052E">
        <w:rPr>
          <w:rFonts w:ascii="Times New Roman" w:eastAsia="Calibri" w:hAnsi="Times New Roman"/>
          <w:noProof/>
          <w:sz w:val="24"/>
          <w:szCs w:val="24"/>
        </w:rPr>
        <mc:AlternateContent>
          <mc:Choice Requires="wps">
            <w:drawing>
              <wp:anchor distT="0" distB="0" distL="114300" distR="114300" simplePos="0" relativeHeight="251697152" behindDoc="0" locked="0" layoutInCell="1" allowOverlap="1" wp14:anchorId="34450D37" wp14:editId="5818D131">
                <wp:simplePos x="0" y="0"/>
                <wp:positionH relativeFrom="column">
                  <wp:posOffset>2080016</wp:posOffset>
                </wp:positionH>
                <wp:positionV relativeFrom="paragraph">
                  <wp:posOffset>174723</wp:posOffset>
                </wp:positionV>
                <wp:extent cx="45719" cy="228600"/>
                <wp:effectExtent l="19050" t="0" r="31115" b="38100"/>
                <wp:wrapNone/>
                <wp:docPr id="552448847"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CE4D2" id="Flèche : bas 11" o:spid="_x0000_s1026" type="#_x0000_t67" style="position:absolute;margin-left:163.8pt;margin-top:13.75pt;width:3.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D9J7gvgAAAA&#10;CQEAAA8AAABkcnMvZG93bnJldi54bWxMj01Lw0AQhu+C/2EZwYvYzYdJJWZTRPEiSDH20ts2Oyah&#10;2dmQ3abRX+940uMwD+/7vOVmsYOYcfK9IwXxKgKB1DjTU6tg9/Fyew/CB01GD45QwRd62FSXF6Uu&#10;jDvTO851aAWHkC+0gi6EsZDSNx1a7VduROLfp5usDnxOrTSTPnO4HWQSRbm0uidu6PSITx02x/pk&#10;FXwfM6rjV4Nm/7zIt+0cY3IzKHV9tTw+gAi4hD8YfvVZHSp2OrgTGS8GBWmyzhlVkKwzEAyk6R1v&#10;OSjI0wxkVcr/C6ofAAAA//8DAFBLAQItABQABgAIAAAAIQC2gziS/gAAAOEBAAATAAAAAAAAAAAA&#10;AAAAAAAAAABbQ29udGVudF9UeXBlc10ueG1sUEsBAi0AFAAGAAgAAAAhADj9If/WAAAAlAEAAAsA&#10;AAAAAAAAAAAAAAAALwEAAF9yZWxzLy5yZWxzUEsBAi0AFAAGAAgAAAAhABwZ4pt2AgAAAwUAAA4A&#10;AAAAAAAAAAAAAAAALgIAAGRycy9lMm9Eb2MueG1sUEsBAi0AFAAGAAgAAAAhAD9J7gvgAAAACQEA&#10;AA8AAAAAAAAAAAAAAAAA0AQAAGRycy9kb3ducmV2LnhtbFBLBQYAAAAABAAEAPMAAADdBQAAAAA=&#10;" adj="19440" fillcolor="windowText" strokecolor="#223f59" strokeweight="1pt"/>
            </w:pict>
          </mc:Fallback>
        </mc:AlternateContent>
      </w:r>
      <w:r w:rsidR="00AA052E" w:rsidRPr="00AA052E">
        <w:rPr>
          <w:rFonts w:ascii="Calibri" w:eastAsia="Calibri" w:hAnsi="Calibri"/>
          <w:noProof/>
          <w:sz w:val="24"/>
          <w:szCs w:val="24"/>
        </w:rPr>
        <mc:AlternateContent>
          <mc:Choice Requires="wps">
            <w:drawing>
              <wp:anchor distT="0" distB="0" distL="114300" distR="114300" simplePos="0" relativeHeight="251699200" behindDoc="0" locked="0" layoutInCell="1" allowOverlap="1" wp14:anchorId="4B1E3950" wp14:editId="61899D35">
                <wp:simplePos x="0" y="0"/>
                <wp:positionH relativeFrom="margin">
                  <wp:posOffset>-89437</wp:posOffset>
                </wp:positionH>
                <wp:positionV relativeFrom="paragraph">
                  <wp:posOffset>170277</wp:posOffset>
                </wp:positionV>
                <wp:extent cx="2214196" cy="32873"/>
                <wp:effectExtent l="19050" t="19050" r="34290" b="24765"/>
                <wp:wrapNone/>
                <wp:docPr id="1214207572" name="Connecteur droit 1214207572"/>
                <wp:cNvGraphicFramePr/>
                <a:graphic xmlns:a="http://schemas.openxmlformats.org/drawingml/2006/main">
                  <a:graphicData uri="http://schemas.microsoft.com/office/word/2010/wordprocessingShape">
                    <wps:wsp>
                      <wps:cNvCnPr/>
                      <wps:spPr>
                        <a:xfrm flipV="1">
                          <a:off x="0" y="0"/>
                          <a:ext cx="2214196" cy="32873"/>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19661E" id="Connecteur droit 1214207572"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3.4pt" to="167.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QWvwEAAGgDAAAOAAAAZHJzL2Uyb0RvYy54bWysU01v2zAMvQ/YfxB0X5S4a5sacXpo0F2G&#10;rcC63VlZsgXoC6IWJ/9+lJyl2XYb6oNAieIT3+Pz5v7gLNurhCb4jq8WS86Ul6E3fuj49+fHD2vO&#10;MIPvwQavOn5UyO+3799tptiqJozB9ioxAvHYTrHjY86xFQLlqBzgIkTlKalDcpBpmwbRJ5gI3VnR&#10;LJc3YgqpjylIhUinuznJtxVfayXzV61RZWY7Tr3luqa6vpRVbDfQDgniaOSpDfiPLhwYT4+eoXaQ&#10;gf1M5h8oZ2QKGHReyOBE0NpIVTkQm9XyLzbfRoiqciFxMJ5lwreDlV/2D/4pkQxTxBbjUyosDjo5&#10;pq2JP2imlRd1yg5VtuNZNnXITNJh06w+ru5uOJOUu2rWt1dFVjHDFLiYMH9SwbESdNwaX1hBC/vP&#10;mOerv6+UYx8ejbV1MtaziR5YX99eEzyQQbSFTKGLfcfRD5yBHch5MqcKicGavpQXIDzig01sDzR8&#10;8kwfpmfqmTMLmClBROp36vaP0tLPDnCci2tq9oozmQxrjev4+rLa+vKiqpY7sXpVtEQvoT9WoUXZ&#10;0TirRCfrFb9c7im+/EG2vwAAAP//AwBQSwMEFAAGAAgAAAAhAIujk3jgAAAACQEAAA8AAABkcnMv&#10;ZG93bnJldi54bWxMj8FOwzAQRO9I/IO1SNxaO2kUoRCnQqUcOCBBAcHRtd0kxV6H2G3D37M9wW1X&#10;OzP7pl5O3rGjHWMfUEI2F8As6mB6bCW8vT7MboDFpNAoF9BK+LERls3lRa0qE074Yo+b1DIKwVgp&#10;CV1KQ8V51J31Ks7DYJFuuzB6lWgdW25GdaJw73guRMm96pE+dGqwq87qr83BE8a0/sZH/VGsd/vV&#10;k3h+339qdy/l9dV0dwss2Sn9ieGMTx5oiGkbDmgicxJmWZGRVEJeUgUSLBZFCWxLQy6ANzX/36D5&#10;BQAA//8DAFBLAQItABQABgAIAAAAIQC2gziS/gAAAOEBAAATAAAAAAAAAAAAAAAAAAAAAABbQ29u&#10;dGVudF9UeXBlc10ueG1sUEsBAi0AFAAGAAgAAAAhADj9If/WAAAAlAEAAAsAAAAAAAAAAAAAAAAA&#10;LwEAAF9yZWxzLy5yZWxzUEsBAi0AFAAGAAgAAAAhAHgIlBa/AQAAaAMAAA4AAAAAAAAAAAAAAAAA&#10;LgIAAGRycy9lMm9Eb2MueG1sUEsBAi0AFAAGAAgAAAAhAIujk3jgAAAACQEAAA8AAAAAAAAAAAAA&#10;AAAAGQQAAGRycy9kb3ducmV2LnhtbFBLBQYAAAAABAAEAPMAAAAmBQAAAAA=&#10;" strokecolor="windowText" strokeweight="2.25pt">
                <v:stroke joinstyle="miter"/>
                <w10:wrap anchorx="margin"/>
              </v:line>
            </w:pict>
          </mc:Fallback>
        </mc:AlternateContent>
      </w:r>
      <w:r w:rsidR="00AA052E" w:rsidRPr="00AA052E">
        <w:rPr>
          <w:rFonts w:ascii="Times New Roman" w:eastAsia="Calibri" w:hAnsi="Times New Roman"/>
          <w:noProof/>
          <w:sz w:val="24"/>
          <w:szCs w:val="24"/>
        </w:rPr>
        <mc:AlternateContent>
          <mc:Choice Requires="wps">
            <w:drawing>
              <wp:anchor distT="0" distB="0" distL="114300" distR="114300" simplePos="0" relativeHeight="251708416" behindDoc="0" locked="0" layoutInCell="1" allowOverlap="1" wp14:anchorId="7760F0B6" wp14:editId="5CFF7CFD">
                <wp:simplePos x="0" y="0"/>
                <wp:positionH relativeFrom="column">
                  <wp:posOffset>627576</wp:posOffset>
                </wp:positionH>
                <wp:positionV relativeFrom="paragraph">
                  <wp:posOffset>205838</wp:posOffset>
                </wp:positionV>
                <wp:extent cx="45719" cy="228600"/>
                <wp:effectExtent l="19050" t="0" r="31115" b="38100"/>
                <wp:wrapNone/>
                <wp:docPr id="1256222583"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720BF" id="Flèche : bas 11" o:spid="_x0000_s1026" type="#_x0000_t67" style="position:absolute;margin-left:49.4pt;margin-top:16.2pt;width:3.6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BsNxy7eAAAA&#10;CAEAAA8AAABkcnMvZG93bnJldi54bWxMj0FLxDAUhO+C/yE8wYu4aetaau3rIooXQRarF2/Z5tmW&#10;TV5Kk+1Wf73Zkx6HGWa+qTaLNWKmyQ+OEdJVAoK4dXrgDuHj/fm6AOGDYq2MY0L4Jg+b+vysUqV2&#10;R36juQmdiCXsS4XQhzCWUvq2J6v8yo3E0ftyk1UhyqmTelLHWG6NzJIkl1YNHBd6NdJjT+2+OViE&#10;n/0tN+mLJv35tMjX7ZxSdmUQLy+Wh3sQgZbwF4YTfkSHOjLt3IG1FwbhrojkAeEmW4M4+Ukev+0Q&#10;8mINsq7k/wP1LwAAAP//AwBQSwECLQAUAAYACAAAACEAtoM4kv4AAADhAQAAEwAAAAAAAAAAAAAA&#10;AAAAAAAAW0NvbnRlbnRfVHlwZXNdLnhtbFBLAQItABQABgAIAAAAIQA4/SH/1gAAAJQBAAALAAAA&#10;AAAAAAAAAAAAAC8BAABfcmVscy8ucmVsc1BLAQItABQABgAIAAAAIQAcGeKbdgIAAAMFAAAOAAAA&#10;AAAAAAAAAAAAAC4CAABkcnMvZTJvRG9jLnhtbFBLAQItABQABgAIAAAAIQAbDccu3gAAAAgBAAAP&#10;AAAAAAAAAAAAAAAAANAEAABkcnMvZG93bnJldi54bWxQSwUGAAAAAAQABADzAAAA2wUAAAAA&#10;" adj="19440" fillcolor="windowText" strokecolor="#223f59" strokeweight="1pt"/>
            </w:pict>
          </mc:Fallback>
        </mc:AlternateContent>
      </w:r>
      <w:r w:rsidR="00AA052E" w:rsidRPr="00AA052E">
        <w:rPr>
          <w:rFonts w:ascii="Times New Roman" w:eastAsia="Calibri" w:hAnsi="Times New Roman"/>
          <w:noProof/>
          <w:sz w:val="24"/>
          <w:szCs w:val="24"/>
        </w:rPr>
        <mc:AlternateContent>
          <mc:Choice Requires="wps">
            <w:drawing>
              <wp:anchor distT="0" distB="0" distL="114300" distR="114300" simplePos="0" relativeHeight="251694080" behindDoc="0" locked="0" layoutInCell="1" allowOverlap="1" wp14:anchorId="506ACDF3" wp14:editId="2C6BCD87">
                <wp:simplePos x="0" y="0"/>
                <wp:positionH relativeFrom="column">
                  <wp:posOffset>-105410</wp:posOffset>
                </wp:positionH>
                <wp:positionV relativeFrom="paragraph">
                  <wp:posOffset>217805</wp:posOffset>
                </wp:positionV>
                <wp:extent cx="45719" cy="228600"/>
                <wp:effectExtent l="19050" t="0" r="31115" b="38100"/>
                <wp:wrapNone/>
                <wp:docPr id="967892967"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8F567" id="Flèche : bas 11" o:spid="_x0000_s1026" type="#_x0000_t67" style="position:absolute;margin-left:-8.3pt;margin-top:17.15pt;width:3.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NZM+nHfAAAA&#10;CAEAAA8AAABkcnMvZG93bnJldi54bWxMj0FPhDAQhe8m/odmTLwYtrCsqMiwMRovJsaIXrx16Qhk&#10;2ymhXRb99daTHifvy3vfVNvFGjHT5AfHCNkqBUHcOj1wh/D+9phcg/BBsVbGMSF8kYdtfXpSqVK7&#10;I7/S3IROxBL2pULoQxhLKX3bk1V+5UbimH26yaoQz6mTelLHWG6NXKdpIa0aOC70aqT7ntp9c7AI&#10;3/tLbrInTfrjYZHPL3NG6wuDeH623N2CCLSEPxh+9aM61NFp5w6svTAISVYUEUXINzmICCQ3GxA7&#10;hKs0B1lX8v8D9Q8AAAD//wMAUEsBAi0AFAAGAAgAAAAhALaDOJL+AAAA4QEAABMAAAAAAAAAAAAA&#10;AAAAAAAAAFtDb250ZW50X1R5cGVzXS54bWxQSwECLQAUAAYACAAAACEAOP0h/9YAAACUAQAACwAA&#10;AAAAAAAAAAAAAAAvAQAAX3JlbHMvLnJlbHNQSwECLQAUAAYACAAAACEAHBnim3YCAAADBQAADgAA&#10;AAAAAAAAAAAAAAAuAgAAZHJzL2Uyb0RvYy54bWxQSwECLQAUAAYACAAAACEA1kz6cd8AAAAIAQAA&#10;DwAAAAAAAAAAAAAAAADQBAAAZHJzL2Rvd25yZXYueG1sUEsFBgAAAAAEAAQA8wAAANwFAAAAAA==&#10;" adj="19440" fillcolor="windowText" strokecolor="#223f59" strokeweight="1pt"/>
            </w:pict>
          </mc:Fallback>
        </mc:AlternateContent>
      </w:r>
    </w:p>
    <w:p w14:paraId="24859CB1" w14:textId="468CCEC5" w:rsidR="00AA052E" w:rsidRPr="00AA052E" w:rsidRDefault="00825ADF"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95104" behindDoc="0" locked="0" layoutInCell="1" allowOverlap="1" wp14:anchorId="3EB87D40" wp14:editId="17976AF4">
                <wp:simplePos x="0" y="0"/>
                <wp:positionH relativeFrom="column">
                  <wp:posOffset>6016625</wp:posOffset>
                </wp:positionH>
                <wp:positionV relativeFrom="paragraph">
                  <wp:posOffset>207645</wp:posOffset>
                </wp:positionV>
                <wp:extent cx="48651" cy="603738"/>
                <wp:effectExtent l="19050" t="0" r="46990" b="44450"/>
                <wp:wrapNone/>
                <wp:docPr id="2116131235" name="Flèche : bas 11"/>
                <wp:cNvGraphicFramePr/>
                <a:graphic xmlns:a="http://schemas.openxmlformats.org/drawingml/2006/main">
                  <a:graphicData uri="http://schemas.microsoft.com/office/word/2010/wordprocessingShape">
                    <wps:wsp>
                      <wps:cNvSpPr/>
                      <wps:spPr>
                        <a:xfrm>
                          <a:off x="0" y="0"/>
                          <a:ext cx="48651" cy="603738"/>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80B9C" id="Flèche : bas 11" o:spid="_x0000_s1026" type="#_x0000_t67" style="position:absolute;margin-left:473.75pt;margin-top:16.35pt;width:3.85pt;height:4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d7dgIAAAMFAAAOAAAAZHJzL2Uyb0RvYy54bWysVEtPGzEQvlfqf7B8L5uEBMKKDQpEVJUQ&#10;IAHiPPF6syv51bGTTfrrO/ZuHtCequbgeDzvb77Z65utVmwj0TfWFHx4NuBMGmHLxqwK/vZ6/23K&#10;mQ9gSlDWyILvpOc3s69frluXy5GtrSolMgpifN66gtchuDzLvKilBn9mnTSkrCxqCCTiKisRWoqu&#10;VTYaDC6y1mLp0ArpPb0uOiWfpfhVJUV4qiovA1MFp9pCOjGdy3hms2vIVwiubkRfBvxDFRoaQ0kP&#10;oRYQgK2x+SOUbgRab6twJqzObFU1QqYeqJvh4FM3LzU4mXohcLw7wOT/X1jxuHlxz0gwtM7nnq6x&#10;i22FOv5TfWybwNodwJLbwAQ9jqcXkyFngjQXg/PL82nEMjv6OvThu7SaxUvBS9uaOaJtE0ywefCh&#10;s9/bxXzeqqa8b5RKws7fKWQboNHRxCnAK+XmTIEPpKCC0q9P+8FVGdYSG0eXA5q5AOJVpYBchXZl&#10;wb1ZcQZqRYQVAVM9H7w9rpaHzJPbq9vFpDOqoZRdPcMJ5d5n7sxT8x/ixM4W4OvOJamiC+S6CUR6&#10;1eiCT097UCZqZaJtj89xKvG2tOXuGRnajsfeifuGkjwQIs+ARFxql5YxPNFRKUsY2P7GWW3x19/e&#10;oz3xibSctbQIhM/PNaAkoH8YYtrVcDyOm5OE8eRyRAKeapanGrPWd5YGRsyg6tI12ge1v1Zo9Tvt&#10;7DxmJRUYQbm7SfTCXegWlLZeyPk8mdG2OAgP5sWJGDziFOF93b4Dup5igejxaPdLA/knknW20dPY&#10;+TrYqkkMPOJKE4wCbVqaZf9ViKt8Kier47dr9hsAAP//AwBQSwMEFAAGAAgAAAAhABLUs/XhAAAA&#10;CgEAAA8AAABkcnMvZG93bnJldi54bWxMj8tOwzAQRfdI/IM1SGwQdRoIaUOcCvHoEqktApaT2CSh&#10;foTYbczfM6xgObpH954pV9FodlSj750VMJ8lwJRtnOxtK+Bl93S5AOYDWonaWSXgW3lYVacnJRbS&#10;TXajjtvQMiqxvkABXQhDwblvOmXQz9ygLGUfbjQY6BxbLkecqNxonibJDTfYW1rocFD3nWr224MR&#10;sH/8fNPvcYMXz3xdv0b98DXNd0Kcn8W7W2BBxfAHw68+qUNFTrU7WOmZFrC8zjNCBVylOTACllmW&#10;AquJTPMF8Krk/1+ofgAAAP//AwBQSwECLQAUAAYACAAAACEAtoM4kv4AAADhAQAAEwAAAAAAAAAA&#10;AAAAAAAAAAAAW0NvbnRlbnRfVHlwZXNdLnhtbFBLAQItABQABgAIAAAAIQA4/SH/1gAAAJQBAAAL&#10;AAAAAAAAAAAAAAAAAC8BAABfcmVscy8ucmVsc1BLAQItABQABgAIAAAAIQB4+8d7dgIAAAMFAAAO&#10;AAAAAAAAAAAAAAAAAC4CAABkcnMvZTJvRG9jLnhtbFBLAQItABQABgAIAAAAIQAS1LP14QAAAAoB&#10;AAAPAAAAAAAAAAAAAAAAANAEAABkcnMvZG93bnJldi54bWxQSwUGAAAAAAQABADzAAAA3gUAAAAA&#10;" adj="20730" fillcolor="windowText" strokecolor="#223f59" strokeweight="1p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98176" behindDoc="0" locked="0" layoutInCell="1" allowOverlap="1" wp14:anchorId="3969271F" wp14:editId="1F0D1632">
                <wp:simplePos x="0" y="0"/>
                <wp:positionH relativeFrom="column">
                  <wp:posOffset>3757930</wp:posOffset>
                </wp:positionH>
                <wp:positionV relativeFrom="paragraph">
                  <wp:posOffset>222250</wp:posOffset>
                </wp:positionV>
                <wp:extent cx="57150" cy="603250"/>
                <wp:effectExtent l="19050" t="0" r="38100" b="44450"/>
                <wp:wrapNone/>
                <wp:docPr id="2130581892" name="Flèche : bas 11"/>
                <wp:cNvGraphicFramePr/>
                <a:graphic xmlns:a="http://schemas.openxmlformats.org/drawingml/2006/main">
                  <a:graphicData uri="http://schemas.microsoft.com/office/word/2010/wordprocessingShape">
                    <wps:wsp>
                      <wps:cNvSpPr/>
                      <wps:spPr>
                        <a:xfrm>
                          <a:off x="0" y="0"/>
                          <a:ext cx="57150" cy="60325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5FB4A" id="Flèche : bas 11" o:spid="_x0000_s1026" type="#_x0000_t67" style="position:absolute;margin-left:295.9pt;margin-top:17.5pt;width:4.5pt;height: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56dQIAAAMFAAAOAAAAZHJzL2Uyb0RvYy54bWysVEtvGjEQvlfqf7B8bxZoyGOVJSJBqSpF&#10;SaSkynnwellLtse1DQv99R17N0DSnqpyMDOe9+dv9up6azTbSB8U2oqPT0acSSuwVnZV8R8vd18u&#10;OAsRbA0araz4TgZ+Pfv86apzpZxgi7qWnlESG8rOVbyN0ZVFEUQrDYQTdNKSsUFvIJLqV0XtoaPs&#10;RheT0eis6NDXzqOQIdDtojfyWc7fNFLEx6YJMjJdceot5tPnc5nOYnYF5cqDa5UY2oB/6MKAslR0&#10;n2oBEdjaqz9SGSU8BmziiUBTYNMoIfMMNM149GGa5xaczLMQOMHtYQr/L6142Dy7J08wdC6UgcQ0&#10;xbbxJv1Tf2ybwdrtwZLbyARdTs/HU0JUkOVs9HVCMiUpDrHOh/hNomFJqHiNnZ17j12GCTb3Ifb+&#10;b36pXkCt6juldVZ24VZ7tgF6OnpxSvBCtTnTECIZqKH8G8q+C9WWdcTGyfkodQjEq0YDhQrj6ooH&#10;u+IM9IoIK6LP/byLDn613Fee3lzeLKa9Uwu17Puh0Sl1P8Dgnod/lydNtoDQ9iHZlEKgNCoS6bUy&#10;Fb84nkHbZJWZtgM+h1dJ0hLr3ZNnHnseByfuFBW5J0SewBNxaVxaxvhIR6ORMMBB4qxF/+tv98mf&#10;+ERWzjpaBMLn5xq8JKC/W2La5fj0NG1OVk6n5xNS/LFleWyxa3OL9GBjWnsnspj8o34TG4/mlXZ2&#10;nqqSCayg2v1LDMpt7BeUtl7I+Ty70bY4iPf22YmUPOGU4H3ZvoJ3A8Ui0eMB35YGyg8k631TpMX5&#10;OmKjMgMPuNILJoU2Lb/l8FVIq3ysZ6/Dt2v2GwAA//8DAFBLAwQUAAYACAAAACEATJ2W6N4AAAAK&#10;AQAADwAAAGRycy9kb3ducmV2LnhtbEyPwU7DMAyG70i8Q2QkbiwppdMoTSeExAWJSQzYOWtMW5Y4&#10;VZOt3dtjTnC0/en391fr2TtxwjH2gTRkCwUCqQm2p1bDx/vzzQpETIascYFQwxkjrOvLi8qUNkz0&#10;hqdtagWHUCyNhi6loZQyNh16ExdhQOLbVxi9STyOrbSjmTjcO3mr1FJ60xN/6MyATx02h+3Ra/je&#10;FPk5P7z0c9zdFZmbNq+fE2p9fTU/PoBIOKc/GH71WR1qdtqHI9konIbiPmP1pCEvuBMDS6V4sWcy&#10;VwpkXcn/FeofAAAA//8DAFBLAQItABQABgAIAAAAIQC2gziS/gAAAOEBAAATAAAAAAAAAAAAAAAA&#10;AAAAAABbQ29udGVudF9UeXBlc10ueG1sUEsBAi0AFAAGAAgAAAAhADj9If/WAAAAlAEAAAsAAAAA&#10;AAAAAAAAAAAALwEAAF9yZWxzLy5yZWxzUEsBAi0AFAAGAAgAAAAhADyljnp1AgAAAwUAAA4AAAAA&#10;AAAAAAAAAAAALgIAAGRycy9lMm9Eb2MueG1sUEsBAi0AFAAGAAgAAAAhAEydlujeAAAACgEAAA8A&#10;AAAAAAAAAAAAAAAAzwQAAGRycy9kb3ducmV2LnhtbFBLBQYAAAAABAAEAPMAAADaBQAAAAA=&#10;" adj="20577" fillcolor="windowText" strokecolor="#223f59" strokeweight="1pt"/>
            </w:pict>
          </mc:Fallback>
        </mc:AlternateContent>
      </w:r>
      <w:r w:rsidRPr="00AA052E">
        <w:rPr>
          <w:rFonts w:ascii="Calibri" w:eastAsia="Calibri" w:hAnsi="Calibri"/>
          <w:noProof/>
          <w:sz w:val="24"/>
          <w:szCs w:val="24"/>
        </w:rPr>
        <mc:AlternateContent>
          <mc:Choice Requires="wps">
            <w:drawing>
              <wp:anchor distT="0" distB="0" distL="114300" distR="114300" simplePos="0" relativeHeight="251700224" behindDoc="0" locked="0" layoutInCell="1" allowOverlap="1" wp14:anchorId="57D9F688" wp14:editId="42B4793D">
                <wp:simplePos x="0" y="0"/>
                <wp:positionH relativeFrom="margin">
                  <wp:posOffset>3763645</wp:posOffset>
                </wp:positionH>
                <wp:positionV relativeFrom="paragraph">
                  <wp:posOffset>197485</wp:posOffset>
                </wp:positionV>
                <wp:extent cx="2312670" cy="0"/>
                <wp:effectExtent l="0" t="19050" r="30480" b="19050"/>
                <wp:wrapNone/>
                <wp:docPr id="624246970" name="Connecteur droit 624246970"/>
                <wp:cNvGraphicFramePr/>
                <a:graphic xmlns:a="http://schemas.openxmlformats.org/drawingml/2006/main">
                  <a:graphicData uri="http://schemas.microsoft.com/office/word/2010/wordprocessingShape">
                    <wps:wsp>
                      <wps:cNvCnPr/>
                      <wps:spPr>
                        <a:xfrm>
                          <a:off x="0" y="0"/>
                          <a:ext cx="231267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E2C563" id="Connecteur droit 624246970"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35pt,15.55pt" to="478.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xDswEAAFoDAAAOAAAAZHJzL2Uyb0RvYy54bWysU8tu2zAQvAfoPxC817RdJDEEyznESC5B&#10;G6DJB2z4kAjwBS5r2X/fJe04bnorqgO15Gpnd4aj9d3eO7bTGW0MPV/M5pzpIKOyYej568vD1xVn&#10;WCAocDHonh808rvNl6v1lDq9jGN0SmdGIAG7KfV8LCV1QqActQecxaQDJU3MHgpt8yBUhonQvRPL&#10;+fxGTDGrlKPUiHS6PSb5puEbo2X5YQzqwlzPabbS1tzWt7qKzRq6IUMarTyNAf8whQcbqOkZagsF&#10;2K9s/4LyVuaI0ZSZjF5EY6zUjQOxWcw/sfk5QtKNC4mD6SwT/j9Y+X13H54zyTAl7DA958pib7Kv&#10;b5qP7ZtYh7NYel+YpMPlt8Xy5pY0le858VGYMpZHHT2rQc+dDZUHdLB7wkLN6NP3T+pxiA/WuXYX&#10;LrCJwFfXt9cEDWQJ46BQ6JPqOYaBM3ADeU2W3CAxOqtqeQXCA967zHZA100uUXF6oXk5c4CFEkSi&#10;PfXaaYQ/Sus8W8DxWNxSR3d4W8iizvqery6rXagddTPZidWHhjV6i+rQpBV1RxfYmp7MVh1yuaf4&#10;8pfY/AYAAP//AwBQSwMEFAAGAAgAAAAhAHjpL+XdAAAACQEAAA8AAABkcnMvZG93bnJldi54bWxM&#10;j8tOwzAQRfdI/IM1SOyok6IGEuJUFQ+p24YqazceEqv2OIrdJP17jFjAcmaO7pxbbhdr2ISj144E&#10;pKsEGFLrlKZOwPHz4+EZmA+SlDSOUMAVPWyr25tSFsrNdMCpDh2LIeQLKaAPYSg4922PVvqVG5Di&#10;7cuNVoY4jh1Xo5xjuDV8nSQZt1JT/NDLAV97bM/1xQo4m6nZvb3v5+nQ6GyfNhqvx1qI+7tl9wIs&#10;4BL+YPjRj+pQRaeTu5DyzAjY5OuniAp4TFNgEcg3WQ7s9LvgVcn/N6i+AQAA//8DAFBLAQItABQA&#10;BgAIAAAAIQC2gziS/gAAAOEBAAATAAAAAAAAAAAAAAAAAAAAAABbQ29udGVudF9UeXBlc10ueG1s&#10;UEsBAi0AFAAGAAgAAAAhADj9If/WAAAAlAEAAAsAAAAAAAAAAAAAAAAALwEAAF9yZWxzLy5yZWxz&#10;UEsBAi0AFAAGAAgAAAAhANJjPEOzAQAAWgMAAA4AAAAAAAAAAAAAAAAALgIAAGRycy9lMm9Eb2Mu&#10;eG1sUEsBAi0AFAAGAAgAAAAhAHjpL+XdAAAACQEAAA8AAAAAAAAAAAAAAAAADQQAAGRycy9kb3du&#10;cmV2LnhtbFBLBQYAAAAABAAEAPMAAAAXBQAAAAA=&#10;" strokecolor="windowText" strokeweight="2.25pt">
                <v:stroke joinstyle="miter"/>
                <w10:wrap anchorx="margin"/>
              </v:line>
            </w:pict>
          </mc:Fallback>
        </mc:AlternateContent>
      </w:r>
      <w:r w:rsidRPr="00AA052E">
        <w:rPr>
          <w:rFonts w:ascii="Arial" w:eastAsia="Calibri" w:hAnsi="Arial" w:cs="Arial"/>
          <w:noProof/>
          <w:sz w:val="22"/>
          <w:szCs w:val="22"/>
        </w:rPr>
        <mc:AlternateContent>
          <mc:Choice Requires="wps">
            <w:drawing>
              <wp:anchor distT="45720" distB="45720" distL="114300" distR="114300" simplePos="0" relativeHeight="251705344" behindDoc="0" locked="0" layoutInCell="1" allowOverlap="1" wp14:anchorId="2E1B94AE" wp14:editId="329237AC">
                <wp:simplePos x="0" y="0"/>
                <wp:positionH relativeFrom="column">
                  <wp:posOffset>-381000</wp:posOffset>
                </wp:positionH>
                <wp:positionV relativeFrom="paragraph">
                  <wp:posOffset>155575</wp:posOffset>
                </wp:positionV>
                <wp:extent cx="685800" cy="396240"/>
                <wp:effectExtent l="0" t="0" r="19050" b="22860"/>
                <wp:wrapSquare wrapText="bothSides"/>
                <wp:docPr id="20336957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96240"/>
                        </a:xfrm>
                        <a:prstGeom prst="rect">
                          <a:avLst/>
                        </a:prstGeom>
                        <a:solidFill>
                          <a:srgbClr val="FFFFFF"/>
                        </a:solidFill>
                        <a:ln w="9525">
                          <a:solidFill>
                            <a:srgbClr val="000000"/>
                          </a:solidFill>
                          <a:miter lim="800000"/>
                          <a:headEnd/>
                          <a:tailEnd/>
                        </a:ln>
                      </wps:spPr>
                      <wps:txbx>
                        <w:txbxContent>
                          <w:p w14:paraId="43A81F86" w14:textId="12F2157C"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      (n=111)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B94AE" id="_x0000_t202" coordsize="21600,21600" o:spt="202" path="m,l,21600r21600,l21600,xe">
                <v:stroke joinstyle="miter"/>
                <v:path gradientshapeok="t" o:connecttype="rect"/>
              </v:shapetype>
              <v:shape id="Zone de texte 2" o:spid="_x0000_s1029" type="#_x0000_t202" style="position:absolute;margin-left:-30pt;margin-top:12.25pt;width:54pt;height:31.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evFAIAACUEAAAOAAAAZHJzL2Uyb0RvYy54bWysk82O0zAQx+9IvIPlO01a2tJGTVdLlyKk&#10;5UNaeADXcRoLx2PGbpPy9Iydbrda4ILwwfJ47L9nfjNe3fStYUeFXoMt+XiUc6ashErbfcm/fd2+&#10;WnDmg7CVMGBVyU/K85v1yxerzhVqAg2YSiEjEeuLzpW8CcEVWeZlo1rhR+CUJWcN2IpAJu6zCkVH&#10;6q3JJnk+zzrAyiFI5T3t3g1Ovk76da1k+FzXXgVmSk6xhTRjmndxztYrUexRuEbLcxjiH6Johbb0&#10;6EXqTgTBDqh/k2q1RPBQh5GENoO61lKlHCibcf4sm4dGOJVyITjeXTD5/ycrPx0f3BdkoX8LPRUw&#10;JeHdPcjvnlnYNMLu1S0idI0SFT08jsiyzvnifDWi9oWPIrvuI1RUZHEIkIT6GttIhfJkpE4FOF2g&#10;qz4wSZvzxWyRk0eS6/VyPpmmomSieLzs0If3CloWFyVHqmkSF8d7H2Iwong8Et/yYHS11cYkA/e7&#10;jUF2FFT/bRop/mfHjGVdyZezyWzI/68SeRp/kmh1oEY2ui05pUNjaK1I7Z2tUpsFoc2wppCNPWOM&#10;5AaGod/1TFeEId6NVHdQnYgrwtC39M9o0QD+5Kyjni25/3EQqDgzHyzVZjmeEj0WkjGdvZmQgdee&#10;3bVHWElSJQ+cDctNSB8jcrNwSzWsdeL7FMk5ZOrFhP38b2KzX9vp1NPvXv8CAAD//wMAUEsDBBQA&#10;BgAIAAAAIQA12Hna3gAAAAgBAAAPAAAAZHJzL2Rvd25yZXYueG1sTI/BTsMwEETvSPyDtUhcUOtQ&#10;QkhDnAohgegN2gqubrJNIux1sN00/D3LCY6jHb19U64ma8SIPvSOFFzPExBItWt6ahXstk+zHESI&#10;mhptHKGCbwywqs7PSl007kRvOG5iKxhCodAKuhiHQspQd2h1mLsBiW8H562OHH0rG69PDLdGLpIk&#10;k1b3xB86PeBjh/Xn5mgV5OnL+BHWN6/vdXYwy3h1Nz5/eaUuL6aHexARp/hXhl99VoeKnfbuSE0Q&#10;RsEsS3hLVLBIb0FwIc057xmeLUFWpfw/oPoBAAD//wMAUEsBAi0AFAAGAAgAAAAhALaDOJL+AAAA&#10;4QEAABMAAAAAAAAAAAAAAAAAAAAAAFtDb250ZW50X1R5cGVzXS54bWxQSwECLQAUAAYACAAAACEA&#10;OP0h/9YAAACUAQAACwAAAAAAAAAAAAAAAAAvAQAAX3JlbHMvLnJlbHNQSwECLQAUAAYACAAAACEA&#10;zI3XrxQCAAAlBAAADgAAAAAAAAAAAAAAAAAuAgAAZHJzL2Uyb0RvYy54bWxQSwECLQAUAAYACAAA&#10;ACEANdh52t4AAAAIAQAADwAAAAAAAAAAAAAAAABuBAAAZHJzL2Rvd25yZXYueG1sUEsFBgAAAAAE&#10;AAQA8wAAAHkFAAAAAA==&#10;">
                <v:textbox>
                  <w:txbxContent>
                    <w:p w14:paraId="43A81F86" w14:textId="12F2157C"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      (n=111)</w:t>
                      </w:r>
                    </w:p>
                  </w:txbxContent>
                </v:textbox>
                <w10:wrap type="square"/>
              </v:shape>
            </w:pict>
          </mc:Fallback>
        </mc:AlternateContent>
      </w:r>
      <w:r w:rsidRPr="00AA052E">
        <w:rPr>
          <w:rFonts w:ascii="Arial" w:eastAsia="Calibri" w:hAnsi="Arial" w:cs="Arial"/>
          <w:noProof/>
          <w:sz w:val="22"/>
          <w:szCs w:val="22"/>
        </w:rPr>
        <mc:AlternateContent>
          <mc:Choice Requires="wps">
            <w:drawing>
              <wp:anchor distT="45720" distB="45720" distL="114300" distR="114300" simplePos="0" relativeHeight="251706368" behindDoc="0" locked="0" layoutInCell="1" allowOverlap="1" wp14:anchorId="7A09F997" wp14:editId="7D537610">
                <wp:simplePos x="0" y="0"/>
                <wp:positionH relativeFrom="column">
                  <wp:posOffset>350520</wp:posOffset>
                </wp:positionH>
                <wp:positionV relativeFrom="paragraph">
                  <wp:posOffset>163195</wp:posOffset>
                </wp:positionV>
                <wp:extent cx="574040" cy="396240"/>
                <wp:effectExtent l="0" t="0" r="16510" b="22860"/>
                <wp:wrapSquare wrapText="bothSides"/>
                <wp:docPr id="17666689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96240"/>
                        </a:xfrm>
                        <a:prstGeom prst="rect">
                          <a:avLst/>
                        </a:prstGeom>
                        <a:solidFill>
                          <a:srgbClr val="FFFFFF"/>
                        </a:solidFill>
                        <a:ln w="9525">
                          <a:solidFill>
                            <a:srgbClr val="000000"/>
                          </a:solidFill>
                          <a:miter lim="800000"/>
                          <a:headEnd/>
                          <a:tailEnd/>
                        </a:ln>
                      </wps:spPr>
                      <wps:txbx>
                        <w:txbxContent>
                          <w:p w14:paraId="63DDA396" w14:textId="77777777" w:rsidR="00AA052E" w:rsidRPr="00825ADF" w:rsidRDefault="00AA052E" w:rsidP="00AA052E">
                            <w:pPr>
                              <w:rPr>
                                <w:rFonts w:ascii="Arial" w:hAnsi="Arial" w:cs="Arial"/>
                              </w:rPr>
                            </w:pPr>
                            <w:bookmarkStart w:id="1" w:name="_Hlk225629529"/>
                            <w:r w:rsidRPr="00825ADF">
                              <w:rPr>
                                <w:rFonts w:ascii="Arial" w:hAnsi="Arial" w:cs="Arial"/>
                              </w:rPr>
                              <w:t xml:space="preserve">CRE </w:t>
                            </w:r>
                            <w:bookmarkEnd w:id="1"/>
                            <w:r w:rsidRPr="00825ADF">
                              <w:rPr>
                                <w:rFonts w:ascii="Arial" w:hAnsi="Arial" w:cs="Arial"/>
                              </w:rPr>
                              <w:t>(n=64)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9F997" id="_x0000_s1030" type="#_x0000_t202" style="position:absolute;margin-left:27.6pt;margin-top:12.85pt;width:45.2pt;height:31.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WEQIAACU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5Tyfk0WS6fXyYkZyjCCKp88OfXinoGVRKDlSTxO4ON75MLg+ucRYHoyuttqYpOB+tzHI&#10;joL6v01nRP/JzVjWlXy5mC2G+v8KkafzJ4hWBxpko9uSX52cRBFZe2urNGZBaDPIVJ2xI42RuYHD&#10;0O96pquSz2OAyOoOqgfiFWGYW9ozEhrAH5x1NLMl998PAhVn5r2l3iyn88hkSMp8cTkjBc8tu3OL&#10;sJKgSh44G8RNSIsRebNwQz2sdeL3OZMxZZrF1KFxb+Kwn+vJ63m7148AAAD//wMAUEsDBBQABgAI&#10;AAAAIQDTB5oJ3wAAAAgBAAAPAAAAZHJzL2Rvd25yZXYueG1sTI/BTsMwEETvSPyDtUhcUOs0NGkI&#10;cSqEBKI3aBFc3XibRNjrYLtp+HvcExxXM3rztlpPRrMRne8tCVjME2BIjVU9tQLed0+zApgPkpTU&#10;llDAD3pY15cXlSyVPdEbjtvQsgghX0oBXQhDyblvOjTSz+2AFLODdUaGeLqWKydPEW40T5Mk50b2&#10;FBc6OeBjh83X9mgEFMuX8dNvbl8/mvyg78LNanz+dkJcX00P98ACTuGvDGf9qA51dNrbIynPtIAs&#10;S2NTQJqtgJ3zZZYD20d4sQBeV/z/A/UvAAAA//8DAFBLAQItABQABgAIAAAAIQC2gziS/gAAAOEB&#10;AAATAAAAAAAAAAAAAAAAAAAAAABbQ29udGVudF9UeXBlc10ueG1sUEsBAi0AFAAGAAgAAAAhADj9&#10;If/WAAAAlAEAAAsAAAAAAAAAAAAAAAAALwEAAF9yZWxzLy5yZWxzUEsBAi0AFAAGAAgAAAAhALX7&#10;ltYRAgAAJQQAAA4AAAAAAAAAAAAAAAAALgIAAGRycy9lMm9Eb2MueG1sUEsBAi0AFAAGAAgAAAAh&#10;ANMHmgnfAAAACAEAAA8AAAAAAAAAAAAAAAAAawQAAGRycy9kb3ducmV2LnhtbFBLBQYAAAAABAAE&#10;APMAAAB3BQAAAAA=&#10;">
                <v:textbox>
                  <w:txbxContent>
                    <w:p w14:paraId="63DDA396" w14:textId="77777777" w:rsidR="00AA052E" w:rsidRPr="00825ADF" w:rsidRDefault="00AA052E" w:rsidP="00AA052E">
                      <w:pPr>
                        <w:rPr>
                          <w:rFonts w:ascii="Arial" w:hAnsi="Arial" w:cs="Arial"/>
                        </w:rPr>
                      </w:pPr>
                      <w:bookmarkStart w:id="2" w:name="_Hlk225629529"/>
                      <w:r w:rsidRPr="00825ADF">
                        <w:rPr>
                          <w:rFonts w:ascii="Arial" w:hAnsi="Arial" w:cs="Arial"/>
                        </w:rPr>
                        <w:t xml:space="preserve">CRE </w:t>
                      </w:r>
                      <w:bookmarkEnd w:id="2"/>
                      <w:r w:rsidRPr="00825ADF">
                        <w:rPr>
                          <w:rFonts w:ascii="Arial" w:hAnsi="Arial" w:cs="Arial"/>
                        </w:rPr>
                        <w:t>(n=64)</w:t>
                      </w:r>
                    </w:p>
                  </w:txbxContent>
                </v:textbox>
                <w10:wrap type="square"/>
              </v:shape>
            </w:pict>
          </mc:Fallback>
        </mc:AlternateContent>
      </w:r>
      <w:r w:rsidRPr="00AA052E">
        <w:rPr>
          <w:rFonts w:ascii="Arial" w:eastAsia="Calibri" w:hAnsi="Arial" w:cs="Arial"/>
          <w:noProof/>
          <w:sz w:val="22"/>
          <w:szCs w:val="22"/>
        </w:rPr>
        <mc:AlternateContent>
          <mc:Choice Requires="wps">
            <w:drawing>
              <wp:anchor distT="45720" distB="45720" distL="114300" distR="114300" simplePos="0" relativeHeight="251707392" behindDoc="0" locked="0" layoutInCell="1" allowOverlap="1" wp14:anchorId="33DB4E71" wp14:editId="13E0C6E0">
                <wp:simplePos x="0" y="0"/>
                <wp:positionH relativeFrom="column">
                  <wp:posOffset>1440180</wp:posOffset>
                </wp:positionH>
                <wp:positionV relativeFrom="paragraph">
                  <wp:posOffset>117475</wp:posOffset>
                </wp:positionV>
                <wp:extent cx="831215" cy="396240"/>
                <wp:effectExtent l="0" t="0" r="26035" b="22860"/>
                <wp:wrapSquare wrapText="bothSides"/>
                <wp:docPr id="14535023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96240"/>
                        </a:xfrm>
                        <a:prstGeom prst="rect">
                          <a:avLst/>
                        </a:prstGeom>
                        <a:solidFill>
                          <a:srgbClr val="FFFFFF"/>
                        </a:solidFill>
                        <a:ln w="9525">
                          <a:solidFill>
                            <a:srgbClr val="000000"/>
                          </a:solidFill>
                          <a:miter lim="800000"/>
                          <a:headEnd/>
                          <a:tailEnd/>
                        </a:ln>
                      </wps:spPr>
                      <wps:txbx>
                        <w:txbxContent>
                          <w:p w14:paraId="5DD42143" w14:textId="615C6D59"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L+CRE (n=112)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B4E71" id="_x0000_s1031" type="#_x0000_t202" style="position:absolute;margin-left:113.4pt;margin-top:9.25pt;width:65.45pt;height:31.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qEFAIAACUEAAAOAAAAZHJzL2Uyb0RvYy54bWysU81u2zAMvg/YOwi6L07cpGuMOEWXLsOA&#10;7gfo9gCyLMfCZFGjlNjd05eS0zTotsswHQRSpD6SH8nV9dAZdlDoNdiSzyZTzpSVUGu7K/n3b9s3&#10;V5z5IGwtDFhV8gfl+fX69atV7wqVQwumVsgIxPqidyVvQ3BFlnnZqk74CThlydgAdiKQirusRtET&#10;emeyfDq9zHrA2iFI5T293o5Gvk74TaNk+NI0XgVmSk65hXRjuqt4Z+uVKHYoXKvlMQ3xD1l0QlsK&#10;eoK6FUGwPerfoDotETw0YSKhy6BptFSpBqpmNn1RzX0rnEq1EDnenWjy/w9Wfj7cu6/IwvAOBmpg&#10;KsK7O5A/PLOwaYXdqRtE6Fslago8i5RlvfPF8Wuk2hc+glT9J6ipyWIfIAENDXaRFaqTETo14OFE&#10;uhoCk/R4dTHLZwvOJJkulpf5PDUlE8XTZ4c+fFDQsSiUHKmnCVwc7nyIyYjiySXG8mB0vdXGJAV3&#10;1cYgOwjq/zadlP8LN2NZX/LlIl+M9f8VYprOnyA6HWiQje6oopOTKCJr722dxiwIbUaZUjb2SGNk&#10;buQwDNXAdF3yRQwQWa2gfiBeEca5pT0joQX8xVlPM1ty/3MvUHFmPlrqzXI2J/ZYSMp88TYnBc8t&#10;1blFWElQJQ+cjeImpMWIvFm4oR42OvH7nMkxZZrFRPtxb+Kwn+vJ63m7148AAAD//wMAUEsDBBQA&#10;BgAIAAAAIQAXL+k73wAAAAkBAAAPAAAAZHJzL2Rvd25yZXYueG1sTI/BTsMwEETvSPyDtUhcEHVI&#10;aZKGOBVCAsENCoKrG2+TiHgdbDcNf89yguNqRm/eVpvZDmJCH3pHCq4WCQikxpmeWgVvr/eXBYgQ&#10;NRk9OEIF3xhgU5+eVLo07kgvOG1jKxhCodQKuhjHUsrQdGh1WLgRibO981ZHPn0rjddHhttBpkmS&#10;Sat74oVOj3jXYfO5PVgFxfXj9BGels/vTbYf1vEinx6+vFLnZ/PtDYiIc/wrw68+q0PNTjt3IBPE&#10;oCBNM1aPHBQrEFxYrvIcxI7pyRpkXcn/H9Q/AAAA//8DAFBLAQItABQABgAIAAAAIQC2gziS/gAA&#10;AOEBAAATAAAAAAAAAAAAAAAAAAAAAABbQ29udGVudF9UeXBlc10ueG1sUEsBAi0AFAAGAAgAAAAh&#10;ADj9If/WAAAAlAEAAAsAAAAAAAAAAAAAAAAALwEAAF9yZWxzLy5yZWxzUEsBAi0AFAAGAAgAAAAh&#10;ACTLuoQUAgAAJQQAAA4AAAAAAAAAAAAAAAAALgIAAGRycy9lMm9Eb2MueG1sUEsBAi0AFAAGAAgA&#10;AAAhABcv6TvfAAAACQEAAA8AAAAAAAAAAAAAAAAAbgQAAGRycy9kb3ducmV2LnhtbFBLBQYAAAAA&#10;BAAEAPMAAAB6BQAAAAA=&#10;">
                <v:textbox>
                  <w:txbxContent>
                    <w:p w14:paraId="5DD42143" w14:textId="615C6D59"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L+CRE (n=112)</w:t>
                      </w:r>
                    </w:p>
                  </w:txbxContent>
                </v:textbox>
                <w10:wrap type="square"/>
              </v:shape>
            </w:pict>
          </mc:Fallback>
        </mc:AlternateContent>
      </w:r>
    </w:p>
    <w:p w14:paraId="34D8E5ED" w14:textId="6A036590" w:rsidR="00AA052E" w:rsidRPr="00AA052E" w:rsidRDefault="00AA052E" w:rsidP="00AA052E">
      <w:pPr>
        <w:spacing w:after="160" w:line="259" w:lineRule="auto"/>
        <w:jc w:val="both"/>
        <w:rPr>
          <w:rFonts w:ascii="Arial" w:eastAsia="Calibri" w:hAnsi="Arial" w:cs="Arial"/>
          <w:sz w:val="22"/>
          <w:szCs w:val="22"/>
          <w:lang w:val="en-GB"/>
        </w:rPr>
      </w:pPr>
    </w:p>
    <w:p w14:paraId="7FF994B4" w14:textId="655E3A00" w:rsidR="00AA052E" w:rsidRPr="00AA052E" w:rsidRDefault="000661E7" w:rsidP="00AA052E">
      <w:pPr>
        <w:spacing w:after="160" w:line="259" w:lineRule="auto"/>
        <w:jc w:val="center"/>
        <w:rPr>
          <w:rFonts w:ascii="Times New Roman" w:eastAsia="Calibri" w:hAnsi="Times New Roman"/>
          <w:b/>
          <w:bCs/>
          <w:sz w:val="24"/>
          <w:szCs w:val="24"/>
          <w:lang w:val="en-GB"/>
        </w:rPr>
      </w:pPr>
      <w:r w:rsidRPr="00AA052E">
        <w:rPr>
          <w:rFonts w:ascii="Times New Roman" w:eastAsia="Calibri" w:hAnsi="Times New Roman"/>
          <w:b/>
          <w:bCs/>
          <w:noProof/>
          <w:sz w:val="24"/>
          <w:szCs w:val="24"/>
        </w:rPr>
        <mc:AlternateContent>
          <mc:Choice Requires="wps">
            <w:drawing>
              <wp:anchor distT="45720" distB="45720" distL="114300" distR="114300" simplePos="0" relativeHeight="251701248" behindDoc="0" locked="0" layoutInCell="1" allowOverlap="1" wp14:anchorId="19417B59" wp14:editId="4DEFF274">
                <wp:simplePos x="0" y="0"/>
                <wp:positionH relativeFrom="page">
                  <wp:posOffset>2245262</wp:posOffset>
                </wp:positionH>
                <wp:positionV relativeFrom="paragraph">
                  <wp:posOffset>275737</wp:posOffset>
                </wp:positionV>
                <wp:extent cx="1434465" cy="880110"/>
                <wp:effectExtent l="19050" t="19050" r="13335"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880110"/>
                        </a:xfrm>
                        <a:prstGeom prst="rect">
                          <a:avLst/>
                        </a:prstGeom>
                        <a:solidFill>
                          <a:srgbClr val="FFFFFF"/>
                        </a:solidFill>
                        <a:ln w="28575">
                          <a:solidFill>
                            <a:srgbClr val="000000"/>
                          </a:solidFill>
                          <a:miter lim="800000"/>
                          <a:headEnd/>
                          <a:tailEnd/>
                        </a:ln>
                      </wps:spPr>
                      <wps:txbx>
                        <w:txbxContent>
                          <w:p w14:paraId="2B07893A" w14:textId="77777777" w:rsidR="00AA052E" w:rsidRPr="00BB4305" w:rsidRDefault="00AA052E" w:rsidP="00AA052E">
                            <w:pPr>
                              <w:rPr>
                                <w:rFonts w:ascii="Arial" w:hAnsi="Arial" w:cs="Arial"/>
                                <w:lang w:val="en-GB"/>
                              </w:rPr>
                            </w:pPr>
                            <w:r w:rsidRPr="00BB4305">
                              <w:rPr>
                                <w:rFonts w:ascii="Arial" w:hAnsi="Arial" w:cs="Arial"/>
                                <w:lang w:val="en-GB"/>
                              </w:rPr>
                              <w:t>MDR carriage at discharge and No MDR carriage at admission</w:t>
                            </w:r>
                          </w:p>
                          <w:p w14:paraId="5B28342F" w14:textId="77777777" w:rsidR="00AA052E" w:rsidRPr="008C305F" w:rsidRDefault="00AA052E" w:rsidP="00AA052E">
                            <w:pPr>
                              <w:rPr>
                                <w:rFonts w:ascii="Arial" w:hAnsi="Arial" w:cs="Arial"/>
                              </w:rPr>
                            </w:pPr>
                            <w:r>
                              <w:rPr>
                                <w:rFonts w:ascii="Arial" w:hAnsi="Arial" w:cs="Arial"/>
                              </w:rPr>
                              <w:t>n= 49 (37.</w:t>
                            </w:r>
                            <w:r w:rsidRPr="008C305F">
                              <w:rPr>
                                <w:rFonts w:ascii="Arial" w:hAnsi="Arial" w:cs="Arial"/>
                              </w:rPr>
                              <w:t>1%)</w:t>
                            </w:r>
                          </w:p>
                          <w:p w14:paraId="3066DF2B"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17B59" id="_x0000_s1032" type="#_x0000_t202" style="position:absolute;left:0;text-align:left;margin-left:176.8pt;margin-top:21.7pt;width:112.95pt;height:69.3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8PQFQIAACcEAAAOAAAAZHJzL2Uyb0RvYy54bWysU9uO0zAQfUfiHyy/0yQl7Zao6WrpUoS0&#10;XKSFD3Bsp7FwPMZ2myxfz9jpdqsFXhB5sDyZ8Zk5Z2bW12OvyVE6r8DUtJjllEjDQSizr+m3r7tX&#10;K0p8YEYwDUbW9EF6er15+WI92ErOoQMtpCMIYnw12Jp2IdgqyzzvZM/8DKw06GzB9Syg6faZcGxA&#10;9F5n8zxfZgM4YR1w6T3+vZ2cdJPw21by8LltvQxE1xRrC+l06WzimW3WrNo7ZjvFT2Wwf6iiZ8pg&#10;0jPULQuMHJz6DapX3IGHNsw49Bm0reIycUA2Rf6MzX3HrExcUBxvzzL5/wfLPx3v7RdHwvgWRmxg&#10;IuHtHfDvnhjYdszs5Y1zMHSSCUxcRMmywfrq9DRK7SsfQZrhIwhsMjsESEBj6/qoCvIkiI4NeDiL&#10;LsdAeExZvi7L5YISjr7VKi+K1JWMVY+vrfPhvYSexEtNHTY1obPjnQ+xGlY9hsRkHrQSO6V1Mty+&#10;2WpHjgwHYJe+ROBZmDZkqOl8tbhaTAr8FSNP358wehVwlLXqkcY5iFVRt3dGpEELTOnpjjVrcxIy&#10;ajepGMZmJErUdBkTRF0bEA+orINpcnHT8NKB+0nJgFNbU//jwJykRH8w2J03RVnGMU9Gubiao+Eu&#10;Pc2lhxmOUDUNlEzXbUirEYUzcINdbFUS+KmSU8k4jUn30+bEcb+0U9TTfm9+AQAA//8DAFBLAwQU&#10;AAYACAAAACEAV7dCzuEAAAAKAQAADwAAAGRycy9kb3ducmV2LnhtbEyPQU7DMBBF90jcwRokdtSh&#10;aZIS4lQVFHXRBaLpASbxkKSN7ch223D7mhUsR//p/zfFalIDu5B1vdECnmcRMNKNkb1uBRyqj6cl&#10;MOdRSxyMJgE/5GBV3t8VmEtz1V902fuWhRLtchTQeT/mnLumI4VuZkbSIfs2VqEPp225tHgN5Wrg&#10;8yhKucJeh4UOR3rrqDntz0rAkeqq3a13tvrM0vfNFjen7HgQ4vFhWr8C8zT5Pxh+9YM6lMGpNmct&#10;HRsExEmcBlTAIl4AC0CSvSTA6kAu5xHwsuD/XyhvAAAA//8DAFBLAQItABQABgAIAAAAIQC2gziS&#10;/gAAAOEBAAATAAAAAAAAAAAAAAAAAAAAAABbQ29udGVudF9UeXBlc10ueG1sUEsBAi0AFAAGAAgA&#10;AAAhADj9If/WAAAAlAEAAAsAAAAAAAAAAAAAAAAALwEAAF9yZWxzLy5yZWxzUEsBAi0AFAAGAAgA&#10;AAAhAPpDw9AVAgAAJwQAAA4AAAAAAAAAAAAAAAAALgIAAGRycy9lMm9Eb2MueG1sUEsBAi0AFAAG&#10;AAgAAAAhAFe3Qs7hAAAACgEAAA8AAAAAAAAAAAAAAAAAbwQAAGRycy9kb3ducmV2LnhtbFBLBQYA&#10;AAAABAAEAPMAAAB9BQAAAAA=&#10;" strokeweight="2.25pt">
                <v:textbox>
                  <w:txbxContent>
                    <w:p w14:paraId="2B07893A" w14:textId="77777777" w:rsidR="00AA052E" w:rsidRPr="00BB4305" w:rsidRDefault="00AA052E" w:rsidP="00AA052E">
                      <w:pPr>
                        <w:rPr>
                          <w:rFonts w:ascii="Arial" w:hAnsi="Arial" w:cs="Arial"/>
                          <w:lang w:val="en-GB"/>
                        </w:rPr>
                      </w:pPr>
                      <w:r w:rsidRPr="00BB4305">
                        <w:rPr>
                          <w:rFonts w:ascii="Arial" w:hAnsi="Arial" w:cs="Arial"/>
                          <w:lang w:val="en-GB"/>
                        </w:rPr>
                        <w:t>MDR carriage at discharge and No MDR carriage at admission</w:t>
                      </w:r>
                    </w:p>
                    <w:p w14:paraId="5B28342F" w14:textId="77777777" w:rsidR="00AA052E" w:rsidRPr="008C305F" w:rsidRDefault="00AA052E" w:rsidP="00AA052E">
                      <w:pPr>
                        <w:rPr>
                          <w:rFonts w:ascii="Arial" w:hAnsi="Arial" w:cs="Arial"/>
                        </w:rPr>
                      </w:pPr>
                      <w:r>
                        <w:rPr>
                          <w:rFonts w:ascii="Arial" w:hAnsi="Arial" w:cs="Arial"/>
                        </w:rPr>
                        <w:t>n= 49 (37.</w:t>
                      </w:r>
                      <w:r w:rsidRPr="008C305F">
                        <w:rPr>
                          <w:rFonts w:ascii="Arial" w:hAnsi="Arial" w:cs="Arial"/>
                        </w:rPr>
                        <w:t>1%)</w:t>
                      </w:r>
                    </w:p>
                    <w:p w14:paraId="3066DF2B" w14:textId="77777777" w:rsidR="00AA052E" w:rsidRDefault="00AA052E" w:rsidP="00AA052E"/>
                  </w:txbxContent>
                </v:textbox>
                <w10:wrap type="square" anchorx="page"/>
              </v:shape>
            </w:pict>
          </mc:Fallback>
        </mc:AlternateContent>
      </w:r>
      <w:r w:rsidR="00825ADF" w:rsidRPr="00AA052E">
        <w:rPr>
          <w:rFonts w:ascii="Times New Roman" w:eastAsia="Calibri" w:hAnsi="Times New Roman"/>
          <w:b/>
          <w:bCs/>
          <w:noProof/>
          <w:sz w:val="24"/>
          <w:szCs w:val="24"/>
        </w:rPr>
        <mc:AlternateContent>
          <mc:Choice Requires="wps">
            <w:drawing>
              <wp:anchor distT="45720" distB="45720" distL="114300" distR="114300" simplePos="0" relativeHeight="251703296" behindDoc="0" locked="0" layoutInCell="1" allowOverlap="1" wp14:anchorId="3983C134" wp14:editId="63AE8CB2">
                <wp:simplePos x="0" y="0"/>
                <wp:positionH relativeFrom="margin">
                  <wp:posOffset>4812030</wp:posOffset>
                </wp:positionH>
                <wp:positionV relativeFrom="paragraph">
                  <wp:posOffset>264795</wp:posOffset>
                </wp:positionV>
                <wp:extent cx="1512570" cy="872490"/>
                <wp:effectExtent l="19050" t="19050" r="11430" b="22860"/>
                <wp:wrapSquare wrapText="bothSides"/>
                <wp:docPr id="6965030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872490"/>
                        </a:xfrm>
                        <a:prstGeom prst="rect">
                          <a:avLst/>
                        </a:prstGeom>
                        <a:solidFill>
                          <a:srgbClr val="FFFFFF"/>
                        </a:solidFill>
                        <a:ln w="28575">
                          <a:solidFill>
                            <a:srgbClr val="000000"/>
                          </a:solidFill>
                          <a:miter lim="800000"/>
                          <a:headEnd/>
                          <a:tailEnd/>
                        </a:ln>
                      </wps:spPr>
                      <wps:txbx>
                        <w:txbxContent>
                          <w:p w14:paraId="37CD32CF"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No MDR carriage at discharge admission</w:t>
                            </w:r>
                          </w:p>
                          <w:p w14:paraId="56230238" w14:textId="77777777" w:rsidR="00AA052E" w:rsidRPr="008C305F" w:rsidRDefault="00AA052E" w:rsidP="00AA052E">
                            <w:pPr>
                              <w:rPr>
                                <w:rFonts w:ascii="Arial" w:hAnsi="Arial" w:cs="Arial"/>
                              </w:rPr>
                            </w:pPr>
                            <w:r w:rsidRPr="00BB4305">
                              <w:rPr>
                                <w:rFonts w:ascii="Arial" w:hAnsi="Arial" w:cs="Arial"/>
                                <w:lang w:val="en-GB"/>
                              </w:rPr>
                              <w:t xml:space="preserve"> </w:t>
                            </w:r>
                            <w:r>
                              <w:rPr>
                                <w:rFonts w:ascii="Arial" w:hAnsi="Arial" w:cs="Arial"/>
                              </w:rPr>
                              <w:t>n=17 (12.</w:t>
                            </w:r>
                            <w:r w:rsidRPr="008C305F">
                              <w:rPr>
                                <w:rFonts w:ascii="Arial" w:hAnsi="Arial" w:cs="Arial"/>
                              </w:rPr>
                              <w:t>8%)</w:t>
                            </w:r>
                          </w:p>
                          <w:p w14:paraId="18190213"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3C134" id="_x0000_s1033" type="#_x0000_t202" style="position:absolute;left:0;text-align:left;margin-left:378.9pt;margin-top:20.85pt;width:119.1pt;height:68.7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SWFAIAACcEAAAOAAAAZHJzL2Uyb0RvYy54bWysU1Fv0zAQfkfiP1h+p2mjlm5R02l0FCGN&#10;gTT4ARfHaSwcn7HdJuXXc3a6rhrwgsiD5cudv7vvu7vVzdBpdpDOKzQln02mnEkjsFZmV/JvX7dv&#10;rjjzAUwNGo0s+VF6frN+/WrV20Lm2KKupWMEYnzR25K3Idgiy7xoZQd+glYacjboOghkul1WO+gJ&#10;vdNZPp2+zXp0tXUopPf092508nXCbxopwuem8TIwXXKqLaTTpbOKZ7ZeQbFzYFslTmXAP1TRgTKU&#10;9Ax1BwHY3qnfoDolHHpswkRgl2HTKCETB2Izm75g89iClYkLiePtWSb//2DFw+HRfnEsDO9woAYm&#10;Et7eo/jumcFNC2Ynb53DvpVQU+JZlCzrrS9OT6PUvvARpOo/YU1Nhn3ABDQ0rouqEE9G6NSA41l0&#10;OQQmYsrFLF8sySXId7XM59epKxkUT6+t8+GDxI7FS8kdNTWhw+Heh1gNFE8hMZlHreqt0joZbldt&#10;tGMHoAHYpi8ReBGmDetLnl8tlotRgb9iTNP3J4xOBRplrTqicQ6CIur23tRp0AIoPd6pZm1OQkbt&#10;RhXDUA1M1SVfxgRR1wrrIynrcJxc2jS6tOh+ctbT1Jbc/9iDk5zpj4a6cz2bz+OYJ2O+WOZkuEtP&#10;dekBIwiq5IGz8boJaTWicAZvqYuNSgI/V3IqmaYx6X7anDjul3aKet7v9S8AAAD//wMAUEsDBBQA&#10;BgAIAAAAIQDH4mrq3wAAAAoBAAAPAAAAZHJzL2Rvd25yZXYueG1sTI9BTsMwEEX3SNzBGiR21AmC&#10;mKRxqgqKWHSBaHoAJ54maWM7st023J5hBcvRPP3/frmazcgu6MPgrIR0kQBD2zo92E7Cvn5/eAEW&#10;orJajc6ihG8MsKpub0pVaHe1X3jZxY5RiA2FktDHOBWch7ZHo8LCTWjpd3DeqEin77j26krhZuSP&#10;SZJxowZLDb2a8LXH9rQ7GwlHbOpuu976+lNkb5sPtTmJ417K+7t5vQQWcY5/MPzqkzpU5NS4s9WB&#10;jRLEsyD1KOEpFcAIyPOMxjVEijwFXpX8/4TqBwAA//8DAFBLAQItABQABgAIAAAAIQC2gziS/gAA&#10;AOEBAAATAAAAAAAAAAAAAAAAAAAAAABbQ29udGVudF9UeXBlc10ueG1sUEsBAi0AFAAGAAgAAAAh&#10;ADj9If/WAAAAlAEAAAsAAAAAAAAAAAAAAAAALwEAAF9yZWxzLy5yZWxzUEsBAi0AFAAGAAgAAAAh&#10;AGZhBJYUAgAAJwQAAA4AAAAAAAAAAAAAAAAALgIAAGRycy9lMm9Eb2MueG1sUEsBAi0AFAAGAAgA&#10;AAAhAMfiaurfAAAACgEAAA8AAAAAAAAAAAAAAAAAbgQAAGRycy9kb3ducmV2LnhtbFBLBQYAAAAA&#10;BAAEAPMAAAB6BQAAAAA=&#10;" strokeweight="2.25pt">
                <v:textbox>
                  <w:txbxContent>
                    <w:p w14:paraId="37CD32CF"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No MDR carriage at discharge admission</w:t>
                      </w:r>
                    </w:p>
                    <w:p w14:paraId="56230238" w14:textId="77777777" w:rsidR="00AA052E" w:rsidRPr="008C305F" w:rsidRDefault="00AA052E" w:rsidP="00AA052E">
                      <w:pPr>
                        <w:rPr>
                          <w:rFonts w:ascii="Arial" w:hAnsi="Arial" w:cs="Arial"/>
                        </w:rPr>
                      </w:pPr>
                      <w:r w:rsidRPr="00BB4305">
                        <w:rPr>
                          <w:rFonts w:ascii="Arial" w:hAnsi="Arial" w:cs="Arial"/>
                          <w:lang w:val="en-GB"/>
                        </w:rPr>
                        <w:t xml:space="preserve"> </w:t>
                      </w:r>
                      <w:r>
                        <w:rPr>
                          <w:rFonts w:ascii="Arial" w:hAnsi="Arial" w:cs="Arial"/>
                        </w:rPr>
                        <w:t>n=17 (12.</w:t>
                      </w:r>
                      <w:r w:rsidRPr="008C305F">
                        <w:rPr>
                          <w:rFonts w:ascii="Arial" w:hAnsi="Arial" w:cs="Arial"/>
                        </w:rPr>
                        <w:t>8%)</w:t>
                      </w:r>
                    </w:p>
                    <w:p w14:paraId="18190213" w14:textId="77777777" w:rsidR="00AA052E" w:rsidRDefault="00AA052E" w:rsidP="00AA052E"/>
                  </w:txbxContent>
                </v:textbox>
                <w10:wrap type="square" anchorx="margin"/>
              </v:shape>
            </w:pict>
          </mc:Fallback>
        </mc:AlternateContent>
      </w:r>
      <w:r w:rsidR="00825ADF" w:rsidRPr="00AA052E">
        <w:rPr>
          <w:rFonts w:ascii="Times New Roman" w:eastAsia="Calibri" w:hAnsi="Times New Roman"/>
          <w:b/>
          <w:bCs/>
          <w:noProof/>
          <w:sz w:val="24"/>
          <w:szCs w:val="24"/>
        </w:rPr>
        <mc:AlternateContent>
          <mc:Choice Requires="wps">
            <w:drawing>
              <wp:anchor distT="45720" distB="45720" distL="114300" distR="114300" simplePos="0" relativeHeight="251704320" behindDoc="0" locked="0" layoutInCell="1" allowOverlap="1" wp14:anchorId="2E10CCF5" wp14:editId="061A7E91">
                <wp:simplePos x="0" y="0"/>
                <wp:positionH relativeFrom="page">
                  <wp:posOffset>4026535</wp:posOffset>
                </wp:positionH>
                <wp:positionV relativeFrom="paragraph">
                  <wp:posOffset>278130</wp:posOffset>
                </wp:positionV>
                <wp:extent cx="1598295" cy="880110"/>
                <wp:effectExtent l="19050" t="19050" r="20955" b="15240"/>
                <wp:wrapSquare wrapText="bothSides"/>
                <wp:docPr id="4706570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880110"/>
                        </a:xfrm>
                        <a:prstGeom prst="rect">
                          <a:avLst/>
                        </a:prstGeom>
                        <a:solidFill>
                          <a:srgbClr val="FFFFFF"/>
                        </a:solidFill>
                        <a:ln w="28575">
                          <a:solidFill>
                            <a:srgbClr val="000000"/>
                          </a:solidFill>
                          <a:miter lim="800000"/>
                          <a:headEnd/>
                          <a:tailEnd/>
                        </a:ln>
                      </wps:spPr>
                      <wps:txbx>
                        <w:txbxContent>
                          <w:p w14:paraId="2309B659"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MDR carriage at admission</w:t>
                            </w:r>
                          </w:p>
                          <w:p w14:paraId="46A52748" w14:textId="77777777" w:rsidR="00AA052E" w:rsidRPr="008C305F" w:rsidRDefault="00AA052E" w:rsidP="00AA052E">
                            <w:pPr>
                              <w:jc w:val="center"/>
                              <w:rPr>
                                <w:rFonts w:ascii="Arial" w:hAnsi="Arial" w:cs="Arial"/>
                              </w:rPr>
                            </w:pPr>
                            <w:r>
                              <w:rPr>
                                <w:rFonts w:ascii="Arial" w:hAnsi="Arial" w:cs="Arial"/>
                              </w:rPr>
                              <w:t>n=3 (1.</w:t>
                            </w:r>
                            <w:r w:rsidRPr="008C305F">
                              <w:rPr>
                                <w:rFonts w:ascii="Arial" w:hAnsi="Arial" w:cs="Arial"/>
                              </w:rPr>
                              <w:t>4%)</w:t>
                            </w:r>
                          </w:p>
                          <w:p w14:paraId="48E0E2C7"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0CCF5" id="_x0000_s1034" type="#_x0000_t202" style="position:absolute;left:0;text-align:left;margin-left:317.05pt;margin-top:21.9pt;width:125.85pt;height:69.3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pnFAIAACcEAAAOAAAAZHJzL2Uyb0RvYy54bWysU1Fv0zAQfkfiP1h+p0mqlrVR02l0FCGN&#10;gTT4AY7jNBaOz5zdJuPXc3a7rhrwgsiD5cudv7vvu7vV9dgbdlDoNdiKF5OcM2UlNNruKv7t6/bN&#10;gjMfhG2EAasq/qg8v16/frUaXKmm0IFpFDICsb4cXMW7EFyZZV52qhd+Ak5ZcraAvQhk4i5rUAyE&#10;3ptsmudvswGwcQhSeU9/b49Ovk74batk+Ny2XgVmKk61hXRiOut4ZuuVKHcoXKflqQzxD1X0QltK&#10;eoa6FUGwPerfoHotETy0YSKhz6BttVSJA7Ep8hdsHjrhVOJC4nh3lsn/P1h5f3hwX5CF8R2M1MBE&#10;wrs7kN89s7DphN2pG0QYOiUaSlxEybLB+fL0NErtSx9B6uETNNRksQ+QgMYW+6gK8WSETg14PIuu&#10;xsBkTDlfLqbLOWeSfItFXhSpK5kon1479OGDgp7FS8WRmprQxeHOh1iNKJ9CYjIPRjdbbUwycFdv&#10;DLKDoAHYpi8ReBFmLBsqPl3Mr+ZHBf6KkafvTxi9DjTKRvdE4xwkyqjbe9ukQQtCm+Odajb2JGTU&#10;7qhiGOuR6YYAYoKoaw3NIymLcJxc2jS6dIA/ORtoaivuf+wFKs7MR0vdWRazWRzzZMzmV1My8NJT&#10;X3qElQRV8cDZ8boJaTWicBZuqIutTgI/V3IqmaYx6X7anDjul3aKet7v9S8AAAD//wMAUEsDBBQA&#10;BgAIAAAAIQDPzq+24AAAAAoBAAAPAAAAZHJzL2Rvd25yZXYueG1sTI/BTsMwDIbvSLxDZCRuLN1W&#10;uqo0nSYY4rADYt0DpI1puzVO1WRbeXvMadxs+dPv78/Xk+3FBUffOVIwn0UgkGpnOmoUHMr3pxSE&#10;D5qM7h2hgh/0sC7u73KdGXelL7zsQyM4hHymFbQhDJmUvm7Raj9zAxLfvt1odeB1bKQZ9ZXDbS8X&#10;UZRIqzviD60e8LXF+rQ/WwVHrMpmt9mN5ecqedt+6O1pdTwo9fgwbV5ABJzCDYY/fVaHgp0qdybj&#10;Ra8gWcZzRhXES67AQJo+81AxmS5ikEUu/1cofgEAAP//AwBQSwECLQAUAAYACAAAACEAtoM4kv4A&#10;AADhAQAAEwAAAAAAAAAAAAAAAAAAAAAAW0NvbnRlbnRfVHlwZXNdLnhtbFBLAQItABQABgAIAAAA&#10;IQA4/SH/1gAAAJQBAAALAAAAAAAAAAAAAAAAAC8BAABfcmVscy8ucmVsc1BLAQItABQABgAIAAAA&#10;IQARh4pnFAIAACcEAAAOAAAAAAAAAAAAAAAAAC4CAABkcnMvZTJvRG9jLnhtbFBLAQItABQABgAI&#10;AAAAIQDPzq+24AAAAAoBAAAPAAAAAAAAAAAAAAAAAG4EAABkcnMvZG93bnJldi54bWxQSwUGAAAA&#10;AAQABADzAAAAewUAAAAA&#10;" strokeweight="2.25pt">
                <v:textbox>
                  <w:txbxContent>
                    <w:p w14:paraId="2309B659"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MDR carriage at admission</w:t>
                      </w:r>
                    </w:p>
                    <w:p w14:paraId="46A52748" w14:textId="77777777" w:rsidR="00AA052E" w:rsidRPr="008C305F" w:rsidRDefault="00AA052E" w:rsidP="00AA052E">
                      <w:pPr>
                        <w:jc w:val="center"/>
                        <w:rPr>
                          <w:rFonts w:ascii="Arial" w:hAnsi="Arial" w:cs="Arial"/>
                        </w:rPr>
                      </w:pPr>
                      <w:r>
                        <w:rPr>
                          <w:rFonts w:ascii="Arial" w:hAnsi="Arial" w:cs="Arial"/>
                        </w:rPr>
                        <w:t>n=3 (1.</w:t>
                      </w:r>
                      <w:r w:rsidRPr="008C305F">
                        <w:rPr>
                          <w:rFonts w:ascii="Arial" w:hAnsi="Arial" w:cs="Arial"/>
                        </w:rPr>
                        <w:t>4%)</w:t>
                      </w:r>
                    </w:p>
                    <w:p w14:paraId="48E0E2C7" w14:textId="77777777" w:rsidR="00AA052E" w:rsidRDefault="00AA052E" w:rsidP="00AA052E"/>
                  </w:txbxContent>
                </v:textbox>
                <w10:wrap type="square" anchorx="page"/>
              </v:shape>
            </w:pict>
          </mc:Fallback>
        </mc:AlternateContent>
      </w:r>
      <w:r w:rsidR="00825ADF" w:rsidRPr="00AA052E">
        <w:rPr>
          <w:rFonts w:ascii="Times New Roman" w:eastAsia="Calibri" w:hAnsi="Times New Roman"/>
          <w:b/>
          <w:bCs/>
          <w:noProof/>
          <w:sz w:val="24"/>
          <w:szCs w:val="24"/>
        </w:rPr>
        <mc:AlternateContent>
          <mc:Choice Requires="wps">
            <w:drawing>
              <wp:anchor distT="45720" distB="45720" distL="114300" distR="114300" simplePos="0" relativeHeight="251702272" behindDoc="0" locked="0" layoutInCell="1" allowOverlap="1" wp14:anchorId="23044283" wp14:editId="3A319760">
                <wp:simplePos x="0" y="0"/>
                <wp:positionH relativeFrom="page">
                  <wp:posOffset>377190</wp:posOffset>
                </wp:positionH>
                <wp:positionV relativeFrom="paragraph">
                  <wp:posOffset>346710</wp:posOffset>
                </wp:positionV>
                <wp:extent cx="1553210" cy="842010"/>
                <wp:effectExtent l="19050" t="19050" r="27940" b="15240"/>
                <wp:wrapSquare wrapText="bothSides"/>
                <wp:docPr id="16958538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842010"/>
                        </a:xfrm>
                        <a:prstGeom prst="rect">
                          <a:avLst/>
                        </a:prstGeom>
                        <a:solidFill>
                          <a:srgbClr val="FFFFFF"/>
                        </a:solidFill>
                        <a:ln w="28575">
                          <a:solidFill>
                            <a:srgbClr val="000000"/>
                          </a:solidFill>
                          <a:miter lim="800000"/>
                          <a:headEnd/>
                          <a:tailEnd/>
                        </a:ln>
                      </wps:spPr>
                      <wps:txbx>
                        <w:txbxContent>
                          <w:p w14:paraId="2123E821" w14:textId="77777777" w:rsidR="00AA052E" w:rsidRPr="00BB4305" w:rsidRDefault="00AA052E" w:rsidP="00AA052E">
                            <w:pPr>
                              <w:rPr>
                                <w:rFonts w:ascii="Arial" w:hAnsi="Arial" w:cs="Arial"/>
                                <w:lang w:val="en-GB"/>
                              </w:rPr>
                            </w:pPr>
                            <w:r w:rsidRPr="00BB4305">
                              <w:rPr>
                                <w:rFonts w:ascii="Arial" w:hAnsi="Arial" w:cs="Arial"/>
                                <w:lang w:val="en-GB"/>
                              </w:rPr>
                              <w:t>MDR carriage at admission and discharge</w:t>
                            </w:r>
                          </w:p>
                          <w:p w14:paraId="7C4C40C7" w14:textId="2E36D8E1" w:rsidR="00AA052E" w:rsidRPr="00825ADF" w:rsidRDefault="00AA052E" w:rsidP="00AA052E">
                            <w:pPr>
                              <w:rPr>
                                <w:rFonts w:ascii="Arial" w:hAnsi="Arial" w:cs="Arial"/>
                              </w:rPr>
                            </w:pPr>
                            <w:r>
                              <w:rPr>
                                <w:rFonts w:ascii="Arial" w:hAnsi="Arial" w:cs="Arial"/>
                              </w:rPr>
                              <w:t>n=63 (47.</w:t>
                            </w:r>
                            <w:r w:rsidRPr="008C305F">
                              <w:rPr>
                                <w:rFonts w:ascii="Arial" w:hAnsi="Arial" w:cs="Arial"/>
                              </w:rPr>
                              <w:t>7</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44283" id="_x0000_s1035" type="#_x0000_t202" style="position:absolute;left:0;text-align:left;margin-left:29.7pt;margin-top:27.3pt;width:122.3pt;height:66.3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wJEwIAACcEAAAOAAAAZHJzL2Uyb0RvYy54bWysk9tu2zAMhu8H7B0E3S9OsmRNjThFly7D&#10;gO4AdHsAWpZjYbKoSUrs7OlHyW6anW6G+UIQTekn+ZFa3/StZkfpvEJT8Nlkypk0Aitl9gX/8nn3&#10;YsWZD2Aq0GhkwU/S85vN82frzuZyjg3qSjpGIsbnnS14E4LNs8yLRrbgJ2ilIWeNroVApttnlYOO&#10;1FudzafTV1mHrrIOhfSe/t4NTr5J+nUtRfhY114GpgtOuYW0urSWcc02a8j3DmyjxJgG/EMWLShD&#10;Qc9SdxCAHZz6TapVwqHHOkwEthnWtRIy1UDVzKa/VPPQgJWpFoLj7RmT/3+y4sPxwX5yLPSvsacG&#10;piK8vUfx1TOD2wbMXt46h10joaLAs4gs66zPx6sRtc99FCm791hRk+EQMAn1tWsjFaqTkTo14HSG&#10;LvvARAy5XL6cz8glyLdaRAwpBOSPt63z4a3ElsVNwR01NanD8d6HmA3kj0diMI9aVTuldTLcvtxq&#10;x45AA7BL36j+0zFtWFfw+Wp5tRwI/FVjmr4/abQq0Chr1VIZ50OQR25vTJUGLYDSw55y1mYEGdkN&#10;FENf9kxVBb+OASLXEqsTkXU4TC69NNo06L5z1tHUFtx/O4CTnOl3hrpzPVss4pgnY7G8mpPhLj3l&#10;pQeMIKmCB86G7TakpxHBGbylLtYqAX7KZEyZpjFxH19OHPdLO516et+bHwAAAP//AwBQSwMEFAAG&#10;AAgAAAAhAPmAdSbgAAAACQEAAA8AAABkcnMvZG93bnJldi54bWxMj8FOwzAQRO9I/IO1SNyo0xKS&#10;ksapKiji0AOi6Qc48ZKkjddR7Lbh71lOcFqN5ml2Jl9PthcXHH3nSMF8FoFAqp3pqFFwKN8eliB8&#10;0GR07wgVfKOHdXF7k+vMuCt94mUfGsEh5DOtoA1hyKT0dYtW+5kbkNj7cqPVgeXYSDPqK4fbXi6i&#10;KJFWd8QfWj3gS4v1aX+2Co5Ylc1usxvLjzR53b7r7Sk9HpS6v5s2KxABp/AHw299rg4Fd6rcmYwX&#10;vYKn55hJvnECgv3HKOZtFYPLdAGyyOX/BcUPAAAA//8DAFBLAQItABQABgAIAAAAIQC2gziS/gAA&#10;AOEBAAATAAAAAAAAAAAAAAAAAAAAAABbQ29udGVudF9UeXBlc10ueG1sUEsBAi0AFAAGAAgAAAAh&#10;ADj9If/WAAAAlAEAAAsAAAAAAAAAAAAAAAAALwEAAF9yZWxzLy5yZWxzUEsBAi0AFAAGAAgAAAAh&#10;AF6CrAkTAgAAJwQAAA4AAAAAAAAAAAAAAAAALgIAAGRycy9lMm9Eb2MueG1sUEsBAi0AFAAGAAgA&#10;AAAhAPmAdSbgAAAACQEAAA8AAAAAAAAAAAAAAAAAbQQAAGRycy9kb3ducmV2LnhtbFBLBQYAAAAA&#10;BAAEAPMAAAB6BQAAAAA=&#10;" strokeweight="2.25pt">
                <v:textbox>
                  <w:txbxContent>
                    <w:p w14:paraId="2123E821" w14:textId="77777777" w:rsidR="00AA052E" w:rsidRPr="00BB4305" w:rsidRDefault="00AA052E" w:rsidP="00AA052E">
                      <w:pPr>
                        <w:rPr>
                          <w:rFonts w:ascii="Arial" w:hAnsi="Arial" w:cs="Arial"/>
                          <w:lang w:val="en-GB"/>
                        </w:rPr>
                      </w:pPr>
                      <w:r w:rsidRPr="00BB4305">
                        <w:rPr>
                          <w:rFonts w:ascii="Arial" w:hAnsi="Arial" w:cs="Arial"/>
                          <w:lang w:val="en-GB"/>
                        </w:rPr>
                        <w:t>MDR carriage at admission and discharge</w:t>
                      </w:r>
                    </w:p>
                    <w:p w14:paraId="7C4C40C7" w14:textId="2E36D8E1" w:rsidR="00AA052E" w:rsidRPr="00825ADF" w:rsidRDefault="00AA052E" w:rsidP="00AA052E">
                      <w:pPr>
                        <w:rPr>
                          <w:rFonts w:ascii="Arial" w:hAnsi="Arial" w:cs="Arial"/>
                        </w:rPr>
                      </w:pPr>
                      <w:r>
                        <w:rPr>
                          <w:rFonts w:ascii="Arial" w:hAnsi="Arial" w:cs="Arial"/>
                        </w:rPr>
                        <w:t>n=63 (47.</w:t>
                      </w:r>
                      <w:r w:rsidRPr="008C305F">
                        <w:rPr>
                          <w:rFonts w:ascii="Arial" w:hAnsi="Arial" w:cs="Arial"/>
                        </w:rPr>
                        <w:t>7</w:t>
                      </w:r>
                      <w:r>
                        <w:rPr>
                          <w:rFonts w:ascii="Arial" w:hAnsi="Arial" w:cs="Arial"/>
                        </w:rPr>
                        <w:t>%)</w:t>
                      </w:r>
                    </w:p>
                  </w:txbxContent>
                </v:textbox>
                <w10:wrap type="square" anchorx="page"/>
              </v:shape>
            </w:pict>
          </mc:Fallback>
        </mc:AlternateContent>
      </w:r>
      <w:r w:rsidR="00825ADF" w:rsidRPr="00AA052E">
        <w:rPr>
          <w:rFonts w:ascii="Times New Roman" w:eastAsia="Calibri" w:hAnsi="Times New Roman"/>
          <w:noProof/>
          <w:sz w:val="24"/>
          <w:szCs w:val="24"/>
        </w:rPr>
        <mc:AlternateContent>
          <mc:Choice Requires="wps">
            <w:drawing>
              <wp:anchor distT="0" distB="0" distL="114300" distR="114300" simplePos="0" relativeHeight="251711488" behindDoc="0" locked="0" layoutInCell="1" allowOverlap="1" wp14:anchorId="6FDBAA00" wp14:editId="627DF544">
                <wp:simplePos x="0" y="0"/>
                <wp:positionH relativeFrom="margin">
                  <wp:align>left</wp:align>
                </wp:positionH>
                <wp:positionV relativeFrom="paragraph">
                  <wp:posOffset>98425</wp:posOffset>
                </wp:positionV>
                <wp:extent cx="45085" cy="228600"/>
                <wp:effectExtent l="19050" t="0" r="31115" b="38100"/>
                <wp:wrapNone/>
                <wp:docPr id="1028219958" name="Flèche : bas 11"/>
                <wp:cNvGraphicFramePr/>
                <a:graphic xmlns:a="http://schemas.openxmlformats.org/drawingml/2006/main">
                  <a:graphicData uri="http://schemas.microsoft.com/office/word/2010/wordprocessingShape">
                    <wps:wsp>
                      <wps:cNvSpPr/>
                      <wps:spPr>
                        <a:xfrm>
                          <a:off x="0" y="0"/>
                          <a:ext cx="45085"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A54BA" id="Flèche : bas 11" o:spid="_x0000_s1026" type="#_x0000_t67" style="position:absolute;margin-left:0;margin-top:7.75pt;width:3.55pt;height:18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rdwIAAAMFAAAOAAAAZHJzL2Uyb0RvYy54bWysVEtvGjEQvlfqf7B8bxYQJARliUhQqkpR&#10;gpRUORuvza5ke9yxYaG/vmMvryQ9VeVgZjzjeXzzzd7cbq1hG4WhAVfy/kWPM+UkVI1blfzn68O3&#10;MWchClcJA06VfKcCv51+/XLT+okaQA2mUsgoiAuT1pe8jtFPiiLIWlkRLsArR0YNaEUkFVdFhaKl&#10;6NYUg17vsmgBK48gVQh0O++MfJrja61kfNY6qMhMyam2mE/M5zKdxfRGTFYofN3IfRniH6qwonGU&#10;9BhqLqJga2w+hbKNRAig44UEW4DWjVS5B+qm3/vQzUstvMq9EDjBH2EK/y+sfNq8+AUSDK0Pk0Bi&#10;6mKr0aZ/qo9tM1i7I1hqG5mky+GoNx5xJskyGIwvexnL4vTWY4jfFViWhJJX0LoZIrQZJrF5DJGS&#10;kv/BL+ULYJrqoTEmK7twb5BtBI2OJk4BXik3Z0aESAYqKP/SCCnMu6fGsZbYOLiiqpgUxCttBD2V&#10;1lclD27FmTArIqyMmOt59zrgannMPLq7vpuPOqdaVKqrpz+i3IfMnfvnKlJncxHq7klO0fHNNpFI&#10;bxpb8vF5D8alvlWm7R6f01SStIRqt0CG0PE4ePnQUJJHQmQhkIhL7dIyxmc6tAHCAPYSZzXg77/d&#10;J3/iE1k5a2kRCJ9fa4GKgP7hiGnX/eEwbU5WhqOrASl4blmeW9za3gMNrE9r72UWk380B1Ej2Dfa&#10;2VnKSibhJOXuJrFX7mO3oLT1Us1m2Y22xYv46F68TMETTgne1+2bQL+nWCR6PMFhacTkA8k63/TS&#10;wWwdQTeZgSdcaYJJoU3Ls9x/FdIqn+vZ6/Ttmv4BAAD//wMAUEsDBBQABgAIAAAAIQAP1zk32AAA&#10;AAQBAAAPAAAAZHJzL2Rvd25yZXYueG1sTI/BTsMwDIbvSLxDZCRuLA2owErTaQJx48LGxNVrvLbQ&#10;OKXJtu7t8U5wtP9fnz+Xi8n36kBj7AJbMLMMFHEdXMeNhY/1680jqJiQHfaBycKJIiyqy4sSCxeO&#10;/E6HVWqUQDgWaKFNaSi0jnVLHuMsDMSS7cLoMck4NtqNeBS47/Vtlt1rjx3LhRYHem6p/l7tvQV3&#10;Z6bPzfKM2OD866c7mZe3ztrrq2n5BCrRlP7KcNYXdajEaRv27KLqLcgjSbZ5DkrSBwNqayE3Oeiq&#10;1P/lq18AAAD//wMAUEsBAi0AFAAGAAgAAAAhALaDOJL+AAAA4QEAABMAAAAAAAAAAAAAAAAAAAAA&#10;AFtDb250ZW50X1R5cGVzXS54bWxQSwECLQAUAAYACAAAACEAOP0h/9YAAACUAQAACwAAAAAAAAAA&#10;AAAAAAAvAQAAX3JlbHMvLnJlbHNQSwECLQAUAAYACAAAACEA1DPXq3cCAAADBQAADgAAAAAAAAAA&#10;AAAAAAAuAgAAZHJzL2Uyb0RvYy54bWxQSwECLQAUAAYACAAAACEAD9c5N9gAAAAEAQAADwAAAAAA&#10;AAAAAAAAAADRBAAAZHJzL2Rvd25yZXYueG1sUEsFBgAAAAAEAAQA8wAAANYFAAAAAA==&#10;" adj="19470" fillcolor="windowText" strokecolor="#223f59" strokeweight="1pt">
                <w10:wrap anchorx="margin"/>
              </v:shape>
            </w:pict>
          </mc:Fallback>
        </mc:AlternateContent>
      </w:r>
      <w:r w:rsidR="00825ADF" w:rsidRPr="00AA052E">
        <w:rPr>
          <w:rFonts w:ascii="Times New Roman" w:eastAsia="Calibri" w:hAnsi="Times New Roman"/>
          <w:noProof/>
          <w:sz w:val="24"/>
          <w:szCs w:val="24"/>
        </w:rPr>
        <mc:AlternateContent>
          <mc:Choice Requires="wps">
            <w:drawing>
              <wp:anchor distT="0" distB="0" distL="114300" distR="114300" simplePos="0" relativeHeight="251710464" behindDoc="0" locked="0" layoutInCell="1" allowOverlap="1" wp14:anchorId="52BF222A" wp14:editId="3F1A90F7">
                <wp:simplePos x="0" y="0"/>
                <wp:positionH relativeFrom="column">
                  <wp:posOffset>2230120</wp:posOffset>
                </wp:positionH>
                <wp:positionV relativeFrom="paragraph">
                  <wp:posOffset>109220</wp:posOffset>
                </wp:positionV>
                <wp:extent cx="45085" cy="228600"/>
                <wp:effectExtent l="19050" t="0" r="31115" b="38100"/>
                <wp:wrapNone/>
                <wp:docPr id="662532433" name="Flèche : bas 11"/>
                <wp:cNvGraphicFramePr/>
                <a:graphic xmlns:a="http://schemas.openxmlformats.org/drawingml/2006/main">
                  <a:graphicData uri="http://schemas.microsoft.com/office/word/2010/wordprocessingShape">
                    <wps:wsp>
                      <wps:cNvSpPr/>
                      <wps:spPr>
                        <a:xfrm>
                          <a:off x="0" y="0"/>
                          <a:ext cx="45085"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D56CE" id="Flèche : bas 11" o:spid="_x0000_s1026" type="#_x0000_t67" style="position:absolute;margin-left:175.6pt;margin-top:8.6pt;width:3.5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rdwIAAAMFAAAOAAAAZHJzL2Uyb0RvYy54bWysVEtvGjEQvlfqf7B8bxYQJARliUhQqkpR&#10;gpRUORuvza5ke9yxYaG/vmMvryQ9VeVgZjzjeXzzzd7cbq1hG4WhAVfy/kWPM+UkVI1blfzn68O3&#10;MWchClcJA06VfKcCv51+/XLT+okaQA2mUsgoiAuT1pe8jtFPiiLIWlkRLsArR0YNaEUkFVdFhaKl&#10;6NYUg17vsmgBK48gVQh0O++MfJrja61kfNY6qMhMyam2mE/M5zKdxfRGTFYofN3IfRniH6qwonGU&#10;9BhqLqJga2w+hbKNRAig44UEW4DWjVS5B+qm3/vQzUstvMq9EDjBH2EK/y+sfNq8+AUSDK0Pk0Bi&#10;6mKr0aZ/qo9tM1i7I1hqG5mky+GoNx5xJskyGIwvexnL4vTWY4jfFViWhJJX0LoZIrQZJrF5DJGS&#10;kv/BL+ULYJrqoTEmK7twb5BtBI2OJk4BXik3Z0aESAYqKP/SCCnMu6fGsZbYOLiiqpgUxCttBD2V&#10;1lclD27FmTArIqyMmOt59zrgannMPLq7vpuPOqdaVKqrpz+i3IfMnfvnKlJncxHq7klO0fHNNpFI&#10;bxpb8vF5D8alvlWm7R6f01SStIRqt0CG0PE4ePnQUJJHQmQhkIhL7dIyxmc6tAHCAPYSZzXg77/d&#10;J3/iE1k5a2kRCJ9fa4GKgP7hiGnX/eEwbU5WhqOrASl4blmeW9za3gMNrE9r72UWk380B1Ej2Dfa&#10;2VnKSibhJOXuJrFX7mO3oLT1Us1m2Y22xYv46F68TMETTgne1+2bQL+nWCR6PMFhacTkA8k63/TS&#10;wWwdQTeZgSdcaYJJoU3Ls9x/FdIqn+vZ6/Ttmv4BAAD//wMAUEsDBBQABgAIAAAAIQASyLxM3AAA&#10;AAkBAAAPAAAAZHJzL2Rvd25yZXYueG1sTI/BTsMwDIbvSLxDZCRuLG2jwihNpwnEjQuDiavXhDbQ&#10;OKXJtu7t8U5wsqz/1+fP9Wr2gzjYKbpAGvJFBsJSG4yjTsP72/PNEkRMSAaHQFbDyUZYNZcXNVYm&#10;HOnVHjapEwyhWKGGPqWxkjK2vfUYF2G0xNlnmDwmXqdOmgmPDPeDLLLsVnp0xBd6HO1jb9vvzd5r&#10;MCqfP7brM2KL918/7pQ/vTitr6/m9QOIZOf0V4azPqtDw067sCcTxaBBlXnBVQ7ueHJBlUsFYqeh&#10;VAXIppb/P2h+AQAA//8DAFBLAQItABQABgAIAAAAIQC2gziS/gAAAOEBAAATAAAAAAAAAAAAAAAA&#10;AAAAAABbQ29udGVudF9UeXBlc10ueG1sUEsBAi0AFAAGAAgAAAAhADj9If/WAAAAlAEAAAsAAAAA&#10;AAAAAAAAAAAALwEAAF9yZWxzLy5yZWxzUEsBAi0AFAAGAAgAAAAhANQz16t3AgAAAwUAAA4AAAAA&#10;AAAAAAAAAAAALgIAAGRycy9lMm9Eb2MueG1sUEsBAi0AFAAGAAgAAAAhABLIvEzcAAAACQEAAA8A&#10;AAAAAAAAAAAAAAAA0QQAAGRycy9kb3ducmV2LnhtbFBLBQYAAAAABAAEAPMAAADaBQAAAAA=&#10;" adj="19470" fillcolor="windowText" strokecolor="#223f59" strokeweight="1pt"/>
            </w:pict>
          </mc:Fallback>
        </mc:AlternateContent>
      </w:r>
      <w:r w:rsidR="00825ADF" w:rsidRPr="00AA052E">
        <w:rPr>
          <w:rFonts w:ascii="Calibri" w:eastAsia="Calibri" w:hAnsi="Calibri"/>
          <w:noProof/>
          <w:sz w:val="24"/>
          <w:szCs w:val="24"/>
        </w:rPr>
        <mc:AlternateContent>
          <mc:Choice Requires="wps">
            <w:drawing>
              <wp:anchor distT="0" distB="0" distL="114300" distR="114300" simplePos="0" relativeHeight="251709440" behindDoc="0" locked="0" layoutInCell="1" allowOverlap="1" wp14:anchorId="435201CF" wp14:editId="3BF5A5E0">
                <wp:simplePos x="0" y="0"/>
                <wp:positionH relativeFrom="margin">
                  <wp:align>left</wp:align>
                </wp:positionH>
                <wp:positionV relativeFrom="paragraph">
                  <wp:posOffset>86360</wp:posOffset>
                </wp:positionV>
                <wp:extent cx="2248242" cy="6595"/>
                <wp:effectExtent l="19050" t="19050" r="19050" b="31750"/>
                <wp:wrapNone/>
                <wp:docPr id="2145411743" name="Connecteur droit 2145411743"/>
                <wp:cNvGraphicFramePr/>
                <a:graphic xmlns:a="http://schemas.openxmlformats.org/drawingml/2006/main">
                  <a:graphicData uri="http://schemas.microsoft.com/office/word/2010/wordprocessingShape">
                    <wps:wsp>
                      <wps:cNvCnPr/>
                      <wps:spPr>
                        <a:xfrm flipV="1">
                          <a:off x="0" y="0"/>
                          <a:ext cx="2248242" cy="659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FBA4F" id="Connecteur droit 2145411743" o:spid="_x0000_s1026" style="position:absolute;flip:y;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177.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VKvQEAAGcDAAAOAAAAZHJzL2Uyb0RvYy54bWysU01v2zAMvQ/YfxB0X5QaTZcacXpo0F2G&#10;rsDa3llZsgXoC6IWJ/9+lJxlWXcb5oNAieIT3+Pz5u7gLNurhCb4jl8tlpwpL0Nv/NDxl+eHT2vO&#10;MIPvwQavOn5UyO+2Hz9sptiqJozB9ioxAvHYTrHjY86xFQLlqBzgIkTlKalDcpBpmwbRJ5gI3VnR&#10;LJc3YgqpjylIhUinuznJtxVfayXzN61RZWY7Tr3luqa6vpVVbDfQDgniaOSpDfiHLhwYT4+eoXaQ&#10;gf1I5i8oZ2QKGHReyOBE0NpIVTkQm6vlOzbfR4iqciFxMJ5lwv8HKx/39/4pkQxTxBbjUyosDjo5&#10;pq2JrzTTyos6ZYcq2/EsmzpkJumwaa7XzXXDmaTczep2VVQVM0pBiwnzFxUcK0HHrfGFFLSw/4p5&#10;vvrrSjn24cFYWwdjPZsIf736vCJ0IH9oC5lCF/uOox84AzuQ8WROFRKDNX0pL0B4xHub2B5o9mSZ&#10;PkzP1DJnFjBTgnjU79TtH6Wlnx3gOBfX1GwVZzL51RrX8fVltfXlRVUdd2L1W9ASvYX+WHUWZUfT&#10;rBKdnFfscrmn+PL/2P4EAAD//wMAUEsDBBQABgAIAAAAIQC/z3dJ3QAAAAYBAAAPAAAAZHJzL2Rv&#10;d25yZXYueG1sTI9BT8MwDIXvSPyHyEjcWDpWKlSaTmiMAwckGEzjmCVe25E4pcm28u8xJzj6vefn&#10;z9V89E4ccYhdIAXTSQYCyQTbUaPg/e3x6hZETJqsdoFQwTdGmNfnZ5UubTjRKx5XqRFcQrHUCtqU&#10;+lLKaFr0Ok5Cj8TeLgxeJx6HRtpBn7jcO3mdZYX0uiO+0OoeFy2az9XBM8a4/KIns8mXu/3iOXtZ&#10;7z+Me1Dq8mK8vwORcEx/YfjF5x2omWkbDmSjcAr4kcTqrADB7uwmn4LYspAXIOtK/sevfwAAAP//&#10;AwBQSwECLQAUAAYACAAAACEAtoM4kv4AAADhAQAAEwAAAAAAAAAAAAAAAAAAAAAAW0NvbnRlbnRf&#10;VHlwZXNdLnhtbFBLAQItABQABgAIAAAAIQA4/SH/1gAAAJQBAAALAAAAAAAAAAAAAAAAAC8BAABf&#10;cmVscy8ucmVsc1BLAQItABQABgAIAAAAIQDHmMVKvQEAAGcDAAAOAAAAAAAAAAAAAAAAAC4CAABk&#10;cnMvZTJvRG9jLnhtbFBLAQItABQABgAIAAAAIQC/z3dJ3QAAAAYBAAAPAAAAAAAAAAAAAAAAABcE&#10;AABkcnMvZG93bnJldi54bWxQSwUGAAAAAAQABADzAAAAIQUAAAAA&#10;" strokecolor="windowText" strokeweight="2.25pt">
                <v:stroke joinstyle="miter"/>
                <w10:wrap anchorx="margin"/>
              </v:line>
            </w:pict>
          </mc:Fallback>
        </mc:AlternateContent>
      </w:r>
    </w:p>
    <w:bookmarkEnd w:id="0"/>
    <w:p w14:paraId="5B79A50E" w14:textId="05B3FF85" w:rsidR="00AA052E" w:rsidRDefault="00AA052E" w:rsidP="00726339">
      <w:pPr>
        <w:jc w:val="both"/>
        <w:rPr>
          <w:rFonts w:ascii="Arial" w:hAnsi="Arial" w:cs="Arial"/>
          <w:lang w:val="en-GB"/>
        </w:rPr>
      </w:pPr>
    </w:p>
    <w:p w14:paraId="65DC9F81" w14:textId="77777777" w:rsidR="000661E7" w:rsidRDefault="000661E7" w:rsidP="00F84ECC">
      <w:pPr>
        <w:jc w:val="both"/>
        <w:rPr>
          <w:rFonts w:ascii="Arial" w:hAnsi="Arial" w:cs="Arial"/>
          <w:b/>
          <w:bCs/>
          <w:lang w:val="en-GB"/>
        </w:rPr>
      </w:pPr>
    </w:p>
    <w:p w14:paraId="63B78A30" w14:textId="2C8ADA12" w:rsidR="00F1770F" w:rsidRPr="0028514E" w:rsidRDefault="00F1770F" w:rsidP="00F84ECC">
      <w:pPr>
        <w:jc w:val="both"/>
        <w:rPr>
          <w:rFonts w:ascii="Arial" w:hAnsi="Arial" w:cs="Arial"/>
          <w:b/>
          <w:bCs/>
          <w:lang w:val="en-GB"/>
        </w:rPr>
      </w:pPr>
      <w:r w:rsidRPr="0028514E">
        <w:rPr>
          <w:rFonts w:ascii="Arial" w:hAnsi="Arial" w:cs="Arial"/>
          <w:b/>
          <w:bCs/>
          <w:lang w:val="en-GB"/>
        </w:rPr>
        <w:t>Fig</w:t>
      </w:r>
      <w:r w:rsidR="00F84ECC" w:rsidRPr="0028514E">
        <w:rPr>
          <w:rFonts w:ascii="Arial" w:hAnsi="Arial" w:cs="Arial"/>
          <w:b/>
          <w:bCs/>
          <w:lang w:val="en-GB"/>
        </w:rPr>
        <w:t>.</w:t>
      </w:r>
      <w:r w:rsidR="0028514E" w:rsidRPr="0028514E">
        <w:rPr>
          <w:rFonts w:ascii="Arial" w:hAnsi="Arial" w:cs="Arial"/>
          <w:b/>
          <w:bCs/>
          <w:lang w:val="en-GB"/>
        </w:rPr>
        <w:t xml:space="preserve"> </w:t>
      </w:r>
      <w:r w:rsidRPr="0028514E">
        <w:rPr>
          <w:rFonts w:ascii="Arial" w:hAnsi="Arial" w:cs="Arial"/>
          <w:b/>
          <w:bCs/>
          <w:lang w:val="en-GB"/>
        </w:rPr>
        <w:t>1</w:t>
      </w:r>
      <w:r w:rsidR="00F84ECC" w:rsidRPr="0028514E">
        <w:rPr>
          <w:rFonts w:ascii="Arial" w:hAnsi="Arial" w:cs="Arial"/>
          <w:b/>
          <w:bCs/>
          <w:lang w:val="en-GB"/>
        </w:rPr>
        <w:t xml:space="preserve">. </w:t>
      </w:r>
      <w:r w:rsidRPr="0028514E">
        <w:rPr>
          <w:rFonts w:ascii="Arial" w:hAnsi="Arial" w:cs="Arial"/>
          <w:b/>
          <w:bCs/>
          <w:lang w:val="en-GB"/>
        </w:rPr>
        <w:t xml:space="preserve"> Flowchart showing the inclusion of paediatric inpatients and the results of for multidrug-resistant Enterobacteriaceae carriage</w:t>
      </w:r>
    </w:p>
    <w:p w14:paraId="6F677907" w14:textId="77777777" w:rsidR="00726339" w:rsidRPr="00BB4305" w:rsidRDefault="00726339" w:rsidP="00726339">
      <w:pPr>
        <w:jc w:val="both"/>
        <w:rPr>
          <w:rFonts w:ascii="Arial" w:hAnsi="Arial" w:cs="Arial"/>
          <w:lang w:val="en-GB"/>
        </w:rPr>
      </w:pPr>
    </w:p>
    <w:p w14:paraId="7275AE08" w14:textId="77777777" w:rsidR="00313F9C" w:rsidRPr="00CD0896" w:rsidRDefault="00313F9C" w:rsidP="00313F9C">
      <w:pPr>
        <w:jc w:val="both"/>
        <w:rPr>
          <w:rFonts w:ascii="Arial" w:hAnsi="Arial" w:cs="Arial"/>
          <w:bCs/>
        </w:rPr>
      </w:pPr>
      <w:r w:rsidRPr="00CD0896">
        <w:rPr>
          <w:rFonts w:ascii="Arial" w:hAnsi="Arial" w:cs="Arial"/>
          <w:color w:val="000000"/>
          <w:lang w:val="en-GB"/>
        </w:rPr>
        <w:t xml:space="preserve">The most frequently isolated strain of ESBL at admission was </w:t>
      </w:r>
      <w:r w:rsidRPr="00CD0896">
        <w:rPr>
          <w:rFonts w:ascii="Arial" w:hAnsi="Arial" w:cs="Arial"/>
          <w:i/>
          <w:iCs/>
          <w:color w:val="000000"/>
          <w:lang w:val="en-GB"/>
        </w:rPr>
        <w:t>Escherichia coli</w:t>
      </w:r>
      <w:r w:rsidRPr="00CD0896">
        <w:rPr>
          <w:rFonts w:ascii="Arial" w:hAnsi="Arial" w:cs="Arial"/>
          <w:color w:val="000000"/>
          <w:lang w:val="en-GB"/>
        </w:rPr>
        <w:t xml:space="preserve"> (61.2%), followed by </w:t>
      </w:r>
      <w:r w:rsidRPr="00CD0896">
        <w:rPr>
          <w:rFonts w:ascii="Arial" w:hAnsi="Arial" w:cs="Arial"/>
          <w:i/>
          <w:iCs/>
          <w:color w:val="000000"/>
          <w:lang w:val="en-GB"/>
        </w:rPr>
        <w:t>Klebsiella pneumoniae</w:t>
      </w:r>
      <w:r w:rsidRPr="00CD0896">
        <w:rPr>
          <w:rFonts w:ascii="Arial" w:hAnsi="Arial" w:cs="Arial"/>
          <w:color w:val="000000"/>
          <w:lang w:val="en-GB"/>
        </w:rPr>
        <w:t xml:space="preserve"> (17.8%) and </w:t>
      </w:r>
      <w:r w:rsidRPr="00CD0896">
        <w:rPr>
          <w:rFonts w:ascii="Arial" w:hAnsi="Arial" w:cs="Arial"/>
          <w:i/>
          <w:iCs/>
          <w:color w:val="000000"/>
          <w:lang w:val="en-GB"/>
        </w:rPr>
        <w:t>Enterobacter cloacae</w:t>
      </w:r>
      <w:r w:rsidRPr="00CD0896">
        <w:rPr>
          <w:rFonts w:ascii="Arial" w:hAnsi="Arial" w:cs="Arial"/>
          <w:color w:val="000000"/>
          <w:lang w:val="en-GB"/>
        </w:rPr>
        <w:t xml:space="preserve"> (17.1%). Twenty-two children, or 20.5% of ESBL carriers (n=107), carried two different ESBL species at the same time. The combination of </w:t>
      </w:r>
      <w:r w:rsidRPr="00CD0896">
        <w:rPr>
          <w:rFonts w:ascii="Arial" w:hAnsi="Arial" w:cs="Arial"/>
          <w:i/>
          <w:iCs/>
          <w:color w:val="000000"/>
          <w:lang w:val="en-GB"/>
        </w:rPr>
        <w:t>Escherichia coli</w:t>
      </w:r>
      <w:r w:rsidRPr="00CD0896">
        <w:rPr>
          <w:rFonts w:ascii="Arial" w:hAnsi="Arial" w:cs="Arial"/>
          <w:color w:val="000000"/>
          <w:lang w:val="en-GB"/>
        </w:rPr>
        <w:t xml:space="preserve"> and </w:t>
      </w:r>
      <w:r w:rsidRPr="00CD0896">
        <w:rPr>
          <w:rFonts w:ascii="Arial" w:hAnsi="Arial" w:cs="Arial"/>
          <w:i/>
          <w:iCs/>
          <w:color w:val="000000"/>
          <w:lang w:val="en-GB"/>
        </w:rPr>
        <w:t>Klebsiella pneumoniae</w:t>
      </w:r>
      <w:r w:rsidRPr="00CD0896">
        <w:rPr>
          <w:rFonts w:ascii="Arial" w:hAnsi="Arial" w:cs="Arial"/>
          <w:color w:val="000000"/>
          <w:lang w:val="en-GB"/>
        </w:rPr>
        <w:t xml:space="preserve"> was the most common, found in 63% (n=22) of these cases.  </w:t>
      </w:r>
      <w:bookmarkStart w:id="3" w:name="_Hlk213831355"/>
      <w:r w:rsidRPr="00CD0896">
        <w:rPr>
          <w:rFonts w:ascii="Arial" w:hAnsi="Arial" w:cs="Arial"/>
          <w:bCs/>
          <w:lang w:val="en-GB"/>
        </w:rPr>
        <w:t xml:space="preserve">For carbapenem resistance, </w:t>
      </w:r>
      <w:r w:rsidRPr="00CD0896">
        <w:rPr>
          <w:rFonts w:ascii="Arial" w:hAnsi="Arial" w:cs="Arial"/>
          <w:bCs/>
          <w:i/>
          <w:iCs/>
          <w:lang w:val="en-GB"/>
        </w:rPr>
        <w:t>Enterobacter cloacae</w:t>
      </w:r>
      <w:r w:rsidRPr="00CD0896">
        <w:rPr>
          <w:rFonts w:ascii="Arial" w:hAnsi="Arial" w:cs="Arial"/>
          <w:bCs/>
          <w:lang w:val="en-GB"/>
        </w:rPr>
        <w:t xml:space="preserve"> and </w:t>
      </w:r>
      <w:r w:rsidRPr="00CD0896">
        <w:rPr>
          <w:rFonts w:ascii="Arial" w:hAnsi="Arial" w:cs="Arial"/>
          <w:i/>
          <w:iCs/>
          <w:color w:val="000000"/>
          <w:lang w:val="en-GB"/>
        </w:rPr>
        <w:t>Escherichia coli</w:t>
      </w:r>
      <w:r w:rsidRPr="00CD0896">
        <w:rPr>
          <w:rFonts w:ascii="Arial" w:hAnsi="Arial" w:cs="Arial"/>
          <w:color w:val="000000"/>
          <w:lang w:val="en-GB"/>
        </w:rPr>
        <w:t xml:space="preserve"> </w:t>
      </w:r>
      <w:r w:rsidRPr="00CD0896">
        <w:rPr>
          <w:rFonts w:ascii="Arial" w:hAnsi="Arial" w:cs="Arial"/>
          <w:bCs/>
          <w:lang w:val="en-GB"/>
        </w:rPr>
        <w:t xml:space="preserve">were identified in 47.1% and 44.1% of cases, respectively. The second swab revealed a predominance of </w:t>
      </w:r>
      <w:r w:rsidRPr="00CD0896">
        <w:rPr>
          <w:rFonts w:ascii="Arial" w:hAnsi="Arial" w:cs="Arial"/>
          <w:bCs/>
          <w:i/>
          <w:iCs/>
          <w:lang w:val="en-GB"/>
        </w:rPr>
        <w:t>Escherichia coli</w:t>
      </w:r>
      <w:r w:rsidRPr="00CD0896">
        <w:rPr>
          <w:rFonts w:ascii="Arial" w:hAnsi="Arial" w:cs="Arial"/>
          <w:bCs/>
          <w:lang w:val="en-GB"/>
        </w:rPr>
        <w:t xml:space="preserve"> (63.0%), followed by </w:t>
      </w:r>
      <w:r w:rsidRPr="00CD0896">
        <w:rPr>
          <w:rFonts w:ascii="Arial" w:hAnsi="Arial" w:cs="Arial"/>
          <w:bCs/>
          <w:i/>
          <w:iCs/>
          <w:lang w:val="en-GB"/>
        </w:rPr>
        <w:t>Klebsiella pneumoniae</w:t>
      </w:r>
      <w:r w:rsidRPr="00CD0896">
        <w:rPr>
          <w:rFonts w:ascii="Arial" w:hAnsi="Arial" w:cs="Arial"/>
          <w:bCs/>
          <w:lang w:val="en-GB"/>
        </w:rPr>
        <w:t xml:space="preserve"> (18.8%) and </w:t>
      </w:r>
      <w:r w:rsidRPr="00CD0896">
        <w:rPr>
          <w:rFonts w:ascii="Arial" w:hAnsi="Arial" w:cs="Arial"/>
          <w:bCs/>
          <w:i/>
          <w:iCs/>
          <w:lang w:val="en-GB"/>
        </w:rPr>
        <w:t>Enterobacter cloacae</w:t>
      </w:r>
      <w:r w:rsidRPr="00CD0896">
        <w:rPr>
          <w:rFonts w:ascii="Arial" w:hAnsi="Arial" w:cs="Arial"/>
          <w:bCs/>
          <w:lang w:val="en-GB"/>
        </w:rPr>
        <w:t xml:space="preserve"> (13.8%). </w:t>
      </w:r>
      <w:r w:rsidRPr="00CD0896">
        <w:rPr>
          <w:rFonts w:ascii="Arial" w:hAnsi="Arial" w:cs="Arial"/>
          <w:bCs/>
          <w:i/>
          <w:iCs/>
        </w:rPr>
        <w:t xml:space="preserve">Klebsiella </w:t>
      </w:r>
      <w:proofErr w:type="spellStart"/>
      <w:r w:rsidRPr="00CD0896">
        <w:rPr>
          <w:rFonts w:ascii="Arial" w:hAnsi="Arial" w:cs="Arial"/>
          <w:bCs/>
          <w:i/>
          <w:iCs/>
        </w:rPr>
        <w:t>oxytoca</w:t>
      </w:r>
      <w:proofErr w:type="spellEnd"/>
      <w:r w:rsidRPr="00CD0896">
        <w:rPr>
          <w:rFonts w:ascii="Arial" w:hAnsi="Arial" w:cs="Arial"/>
          <w:bCs/>
        </w:rPr>
        <w:t xml:space="preserve"> represented only 4.3% of the isolates (Figures 2 and 3).</w:t>
      </w:r>
    </w:p>
    <w:bookmarkEnd w:id="3"/>
    <w:p w14:paraId="6F9AECB0" w14:textId="77777777" w:rsidR="00726339" w:rsidRPr="00BB4305" w:rsidRDefault="00726339" w:rsidP="00726339">
      <w:pPr>
        <w:jc w:val="both"/>
        <w:rPr>
          <w:rFonts w:ascii="Arial" w:hAnsi="Arial" w:cs="Arial"/>
          <w:lang w:val="en-GB"/>
        </w:rPr>
      </w:pPr>
    </w:p>
    <w:p w14:paraId="03B5238B" w14:textId="25B21E7D" w:rsidR="00790ADA" w:rsidRDefault="00CA130B" w:rsidP="00441B6F">
      <w:pPr>
        <w:pStyle w:val="Body"/>
        <w:spacing w:after="0"/>
        <w:rPr>
          <w:rFonts w:ascii="Arial" w:hAnsi="Arial" w:cs="Arial"/>
        </w:rPr>
      </w:pPr>
      <w:r w:rsidRPr="002E13D8">
        <w:rPr>
          <w:rFonts w:ascii="Arial" w:hAnsi="Arial" w:cs="Arial"/>
          <w:noProof/>
        </w:rPr>
        <w:drawing>
          <wp:inline distT="0" distB="0" distL="0" distR="0" wp14:anchorId="3D487242" wp14:editId="266CC006">
            <wp:extent cx="5212080" cy="2585267"/>
            <wp:effectExtent l="0" t="0" r="7620" b="5715"/>
            <wp:docPr id="26244198" name="Graphique 1">
              <a:extLst xmlns:a="http://schemas.openxmlformats.org/drawingml/2006/main">
                <a:ext uri="{FF2B5EF4-FFF2-40B4-BE49-F238E27FC236}">
                  <a16:creationId xmlns:a16="http://schemas.microsoft.com/office/drawing/2014/main" id="{8E882576-F9BD-02D9-D7CC-400377DD9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011638" w14:textId="77777777" w:rsidR="00F84ECC" w:rsidRDefault="00F84ECC" w:rsidP="00972574">
      <w:pPr>
        <w:jc w:val="both"/>
        <w:rPr>
          <w:rFonts w:ascii="Arial" w:hAnsi="Arial" w:cs="Arial"/>
          <w:b/>
          <w:bCs/>
          <w:lang w:val="en-GB"/>
        </w:rPr>
      </w:pPr>
    </w:p>
    <w:p w14:paraId="179FC8FE" w14:textId="3C5D2A9E" w:rsidR="00972574" w:rsidRDefault="00972574" w:rsidP="00972574">
      <w:pPr>
        <w:jc w:val="both"/>
        <w:rPr>
          <w:rFonts w:ascii="Arial" w:hAnsi="Arial" w:cs="Arial"/>
          <w:b/>
          <w:bCs/>
          <w:lang w:val="en-GB"/>
        </w:rPr>
      </w:pPr>
      <w:r w:rsidRPr="00BB4305">
        <w:rPr>
          <w:rFonts w:ascii="Arial" w:hAnsi="Arial" w:cs="Arial"/>
          <w:b/>
          <w:bCs/>
          <w:lang w:val="en-GB"/>
        </w:rPr>
        <w:t>Fig</w:t>
      </w:r>
      <w:r w:rsidR="00F84ECC">
        <w:rPr>
          <w:rFonts w:ascii="Arial" w:hAnsi="Arial" w:cs="Arial"/>
          <w:b/>
          <w:bCs/>
          <w:lang w:val="en-GB"/>
        </w:rPr>
        <w:t>.</w:t>
      </w:r>
      <w:r w:rsidR="0028514E">
        <w:rPr>
          <w:rFonts w:ascii="Arial" w:hAnsi="Arial" w:cs="Arial"/>
          <w:b/>
          <w:bCs/>
          <w:lang w:val="en-GB"/>
        </w:rPr>
        <w:t xml:space="preserve"> </w:t>
      </w:r>
      <w:r w:rsidR="00F84ECC">
        <w:rPr>
          <w:rFonts w:ascii="Arial" w:hAnsi="Arial" w:cs="Arial"/>
          <w:b/>
          <w:bCs/>
          <w:lang w:val="en-GB"/>
        </w:rPr>
        <w:t xml:space="preserve">2.  </w:t>
      </w:r>
      <w:r w:rsidRPr="00BB4305">
        <w:rPr>
          <w:rFonts w:ascii="Arial" w:hAnsi="Arial" w:cs="Arial"/>
          <w:b/>
          <w:bCs/>
          <w:lang w:val="en-GB"/>
        </w:rPr>
        <w:t xml:space="preserve"> Distribution of ESBL strains isolated from digestive carriage in children receiving empirical antibiotic therapy at the CHU SO in 2023, at admission and discharge</w:t>
      </w:r>
    </w:p>
    <w:p w14:paraId="36777ED2" w14:textId="77777777" w:rsidR="00972574" w:rsidRPr="00BB4305" w:rsidRDefault="00972574" w:rsidP="00972574">
      <w:pPr>
        <w:jc w:val="both"/>
        <w:rPr>
          <w:rFonts w:ascii="Arial" w:hAnsi="Arial" w:cs="Arial"/>
          <w:bCs/>
          <w:lang w:val="en-GB"/>
        </w:rPr>
      </w:pPr>
    </w:p>
    <w:p w14:paraId="67EE8778" w14:textId="0C4AE08A" w:rsidR="00972574" w:rsidRPr="00BB4305" w:rsidRDefault="00972574" w:rsidP="00972574">
      <w:pPr>
        <w:jc w:val="both"/>
        <w:rPr>
          <w:rFonts w:ascii="Arial" w:hAnsi="Arial" w:cs="Arial"/>
          <w:bCs/>
          <w:lang w:val="en-GB"/>
        </w:rPr>
      </w:pPr>
      <w:r w:rsidRPr="002E13D8">
        <w:rPr>
          <w:rFonts w:ascii="Arial" w:hAnsi="Arial" w:cs="Arial"/>
          <w:noProof/>
        </w:rPr>
        <w:lastRenderedPageBreak/>
        <w:drawing>
          <wp:inline distT="0" distB="0" distL="0" distR="0" wp14:anchorId="2F94D1DF" wp14:editId="169FA87C">
            <wp:extent cx="5212080" cy="2831359"/>
            <wp:effectExtent l="0" t="0" r="7620" b="7620"/>
            <wp:docPr id="917765874" name="Graphique 1">
              <a:extLst xmlns:a="http://schemas.openxmlformats.org/drawingml/2006/main">
                <a:ext uri="{FF2B5EF4-FFF2-40B4-BE49-F238E27FC236}">
                  <a16:creationId xmlns:a16="http://schemas.microsoft.com/office/drawing/2014/main" id="{2484C034-2EA4-F486-FF7A-FA84C0491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241ACB" w14:textId="77777777" w:rsidR="00CA130B" w:rsidRDefault="00CA130B" w:rsidP="00441B6F">
      <w:pPr>
        <w:jc w:val="both"/>
        <w:rPr>
          <w:rFonts w:ascii="Arial" w:hAnsi="Arial" w:cs="Arial"/>
          <w:u w:val="single"/>
          <w:lang w:val="en-GB" w:eastAsia="en-GB"/>
        </w:rPr>
      </w:pPr>
    </w:p>
    <w:p w14:paraId="2C5F0672" w14:textId="77777777" w:rsidR="00CA130B" w:rsidRDefault="00CA130B" w:rsidP="00441B6F">
      <w:pPr>
        <w:jc w:val="both"/>
        <w:rPr>
          <w:rFonts w:ascii="Arial" w:hAnsi="Arial" w:cs="Arial"/>
          <w:u w:val="single"/>
          <w:lang w:val="en-GB" w:eastAsia="en-GB"/>
        </w:rPr>
      </w:pPr>
    </w:p>
    <w:p w14:paraId="25BFC49D" w14:textId="4E066C6C" w:rsidR="00972574" w:rsidRPr="00BB4305" w:rsidRDefault="00972574" w:rsidP="00972574">
      <w:pPr>
        <w:jc w:val="both"/>
        <w:rPr>
          <w:rFonts w:ascii="Arial" w:hAnsi="Arial" w:cs="Arial"/>
          <w:bCs/>
          <w:lang w:val="en-GB"/>
        </w:rPr>
      </w:pPr>
      <w:r w:rsidRPr="00BB4305">
        <w:rPr>
          <w:rFonts w:ascii="Arial" w:hAnsi="Arial" w:cs="Arial"/>
          <w:b/>
          <w:bCs/>
          <w:lang w:val="en-GB"/>
        </w:rPr>
        <w:t>Fig</w:t>
      </w:r>
      <w:r w:rsidR="00F84ECC">
        <w:rPr>
          <w:rFonts w:ascii="Arial" w:hAnsi="Arial" w:cs="Arial"/>
          <w:b/>
          <w:bCs/>
          <w:lang w:val="en-GB"/>
        </w:rPr>
        <w:t>.</w:t>
      </w:r>
      <w:r w:rsidR="0052742F">
        <w:rPr>
          <w:rFonts w:ascii="Arial" w:hAnsi="Arial" w:cs="Arial"/>
          <w:b/>
          <w:bCs/>
          <w:lang w:val="en-GB"/>
        </w:rPr>
        <w:t xml:space="preserve"> </w:t>
      </w:r>
      <w:r w:rsidRPr="00BB4305">
        <w:rPr>
          <w:rFonts w:ascii="Arial" w:hAnsi="Arial" w:cs="Arial"/>
          <w:b/>
          <w:bCs/>
          <w:lang w:val="en-GB"/>
        </w:rPr>
        <w:t>3</w:t>
      </w:r>
      <w:r w:rsidR="00F84ECC">
        <w:rPr>
          <w:rFonts w:ascii="Arial" w:hAnsi="Arial" w:cs="Arial"/>
          <w:b/>
          <w:bCs/>
          <w:lang w:val="en-GB"/>
        </w:rPr>
        <w:t xml:space="preserve">. </w:t>
      </w:r>
      <w:r w:rsidRPr="00BB4305">
        <w:rPr>
          <w:rFonts w:ascii="Arial" w:hAnsi="Arial" w:cs="Arial"/>
          <w:b/>
          <w:bCs/>
          <w:lang w:val="en-GB"/>
        </w:rPr>
        <w:t xml:space="preserve"> Distribution of carbapenem-resistant strains isolated from digestive carriage in children receiving empirical antibiotic therapy at the CHU SO in 2023, at admission and discharge</w:t>
      </w:r>
    </w:p>
    <w:p w14:paraId="62B6F52D" w14:textId="77777777" w:rsidR="00CA130B" w:rsidRDefault="00CA130B" w:rsidP="00441B6F">
      <w:pPr>
        <w:jc w:val="both"/>
        <w:rPr>
          <w:rFonts w:ascii="Arial" w:hAnsi="Arial" w:cs="Arial"/>
          <w:u w:val="single"/>
          <w:lang w:val="en-GB" w:eastAsia="en-GB"/>
        </w:rPr>
      </w:pPr>
    </w:p>
    <w:p w14:paraId="52C84F94" w14:textId="77777777" w:rsidR="00972574" w:rsidRPr="00BB4305" w:rsidRDefault="00972574" w:rsidP="007B103E">
      <w:pPr>
        <w:pStyle w:val="Paragraphedeliste"/>
        <w:spacing w:line="240" w:lineRule="auto"/>
        <w:ind w:left="0"/>
        <w:jc w:val="both"/>
        <w:rPr>
          <w:rFonts w:ascii="Arial" w:hAnsi="Arial" w:cs="Arial"/>
          <w:sz w:val="20"/>
          <w:szCs w:val="20"/>
          <w:lang w:val="en-GB"/>
        </w:rPr>
      </w:pPr>
      <w:r w:rsidRPr="00BB4305">
        <w:rPr>
          <w:rFonts w:ascii="Arial" w:hAnsi="Arial" w:cs="Arial"/>
          <w:sz w:val="20"/>
          <w:szCs w:val="20"/>
          <w:lang w:val="en-GB"/>
        </w:rPr>
        <w:t>ESBL-producing strains of Enterobacter cloacae, E. coli, and Klebsiella pneumoniae were resistant to cefotaxime in 95.5%, 98.7%, and 100% of cases at admission, and in 100%, 97.7%, and 100% at discharge, respectively. ESBL-producing strains of Enterobacter cloacae, E. coli, and Klebsiella pneumoniae were resistant to cefepime in 72.7%, 98.7%, and 100% of cases at admission, respectively, and in 100% of cases for all strains at discharge. These strains showed resistance to ertapenem ranging from 12.7% to 57.9%, and resistance to imipenem from 12.7% to 50%. Carbapenem-resistant Enterobacteriaceae (CRE) strains were resistant to ertapenem in 80% to 100% of cases at admission, and in 66.7% to 100% of cases at discharge. These strains exhibited resistance to meropenem ranging from 26.6% at admission to 100% at discharge, and resistance to imipenem in 31.3% to 100% at admission and in 32.5% to 100% at discharge. Carbapenem-resistant strains were resistant to third-generation cephalosporins (3GC) in 93.7–100% of cases and to fourth-generation cephalosporins (4GC) in 97.5% to 100% of cases. Klebsiella pneumoniae strains isolated on selective ertapenem medium were resistant to all antibiotics tested. Beyond this beta-lactam resistance, gentamicin resistance ranged from 54.4% to 100% in more than 99% of the strains, and ciprofloxacin resistance ranged from 63.7% to 100% across all ESBL-producing strains. Carbapenem-resistant strains showed resistance rates ranging from 33.3% to 91.7% for gentamicin and 50% to 100% for ciprofloxacin (Tables 3 and 4).</w:t>
      </w:r>
    </w:p>
    <w:p w14:paraId="602C3AFB" w14:textId="77777777" w:rsidR="007B103E" w:rsidRPr="00BB4305" w:rsidRDefault="007B103E" w:rsidP="007B103E">
      <w:pPr>
        <w:jc w:val="both"/>
        <w:rPr>
          <w:rFonts w:ascii="Arial" w:hAnsi="Arial" w:cs="Arial"/>
          <w:bCs/>
          <w:lang w:val="en-GB"/>
        </w:rPr>
      </w:pPr>
      <w:r w:rsidRPr="00BB4305">
        <w:rPr>
          <w:rFonts w:ascii="Arial" w:hAnsi="Arial" w:cs="Arial"/>
          <w:bCs/>
          <w:lang w:val="en-GB"/>
        </w:rPr>
        <w:t>To evaluate the acquisition of resistant strains, we took into account children who did not carry any resistant strain at admission (swab 1) (N= 95). Among them, due to loss to follow-up, swabbing was repeated on 66 individuals (swab 2), 49 of whom carried a beta-lactam resistant strain, representing a multidrug-resistant strain acquisition rate of 74.2%.</w:t>
      </w:r>
    </w:p>
    <w:p w14:paraId="3C68A774" w14:textId="6225A11E" w:rsidR="00CA130B" w:rsidRDefault="003F1DE4" w:rsidP="00441B6F">
      <w:pPr>
        <w:jc w:val="both"/>
        <w:rPr>
          <w:rFonts w:ascii="Arial" w:hAnsi="Arial" w:cs="Arial"/>
          <w:lang w:val="en-GB"/>
        </w:rPr>
      </w:pPr>
      <w:r w:rsidRPr="00BB4305">
        <w:rPr>
          <w:rFonts w:ascii="Arial" w:hAnsi="Arial" w:cs="Arial"/>
          <w:lang w:val="en-GB"/>
        </w:rPr>
        <w:t>A statistically significant association was found between the carriage of multidrug-resistant germs and age for children aged 5–11 years (P=0.0046). Additionally, hospitalization of more than 6 days and</w:t>
      </w:r>
      <w:r>
        <w:rPr>
          <w:rFonts w:ascii="Arial" w:hAnsi="Arial" w:cs="Arial"/>
          <w:lang w:val="en-GB"/>
        </w:rPr>
        <w:t xml:space="preserve"> </w:t>
      </w:r>
      <w:r w:rsidRPr="00BB4305">
        <w:rPr>
          <w:rFonts w:ascii="Arial" w:hAnsi="Arial" w:cs="Arial"/>
          <w:lang w:val="en-GB"/>
        </w:rPr>
        <w:t>antibiotic therapy lasting between 5–8 days (p=0.0003, p=0.001) were statistically significantly associated with the acquisition of multidrug-resistant strains. Newborns were the most likely to acquire multidrug-resistant strains (p=0.0001) (Table 5).</w:t>
      </w:r>
    </w:p>
    <w:p w14:paraId="28B2F9DD" w14:textId="77777777" w:rsidR="005C2394" w:rsidRDefault="005C2394" w:rsidP="00441B6F">
      <w:pPr>
        <w:jc w:val="both"/>
        <w:rPr>
          <w:rFonts w:ascii="Arial" w:hAnsi="Arial" w:cs="Arial"/>
          <w:lang w:val="en-GB"/>
        </w:rPr>
      </w:pPr>
    </w:p>
    <w:p w14:paraId="4FC70A58" w14:textId="77777777" w:rsidR="005C2394" w:rsidRDefault="005C2394" w:rsidP="00441B6F">
      <w:pPr>
        <w:jc w:val="both"/>
        <w:rPr>
          <w:rFonts w:ascii="Arial" w:hAnsi="Arial" w:cs="Arial"/>
          <w:lang w:val="en-GB"/>
        </w:rPr>
      </w:pPr>
    </w:p>
    <w:p w14:paraId="46A4DA9D" w14:textId="77777777" w:rsidR="005C2394" w:rsidRDefault="005C2394" w:rsidP="00441B6F">
      <w:pPr>
        <w:jc w:val="both"/>
        <w:rPr>
          <w:rFonts w:ascii="Arial" w:hAnsi="Arial" w:cs="Arial"/>
          <w:lang w:val="en-GB"/>
        </w:rPr>
      </w:pPr>
    </w:p>
    <w:p w14:paraId="69BA454D" w14:textId="77777777" w:rsidR="005C2394" w:rsidRDefault="005C2394" w:rsidP="00441B6F">
      <w:pPr>
        <w:jc w:val="both"/>
        <w:rPr>
          <w:rFonts w:ascii="Arial" w:hAnsi="Arial" w:cs="Arial"/>
          <w:lang w:val="en-GB"/>
        </w:rPr>
      </w:pPr>
    </w:p>
    <w:p w14:paraId="75909F69" w14:textId="77777777" w:rsidR="005C2394" w:rsidRDefault="005C2394" w:rsidP="00441B6F">
      <w:pPr>
        <w:jc w:val="both"/>
        <w:rPr>
          <w:rFonts w:ascii="Arial" w:hAnsi="Arial" w:cs="Arial"/>
          <w:lang w:val="en-GB"/>
        </w:rPr>
      </w:pPr>
    </w:p>
    <w:p w14:paraId="6E877DE3" w14:textId="77777777" w:rsidR="005C2394" w:rsidRDefault="005C2394" w:rsidP="00441B6F">
      <w:pPr>
        <w:jc w:val="both"/>
        <w:rPr>
          <w:rFonts w:ascii="Arial" w:hAnsi="Arial" w:cs="Arial"/>
          <w:lang w:val="en-GB"/>
        </w:rPr>
      </w:pPr>
    </w:p>
    <w:p w14:paraId="6690A908" w14:textId="77777777" w:rsidR="005C2394" w:rsidRDefault="005C2394" w:rsidP="00441B6F">
      <w:pPr>
        <w:jc w:val="both"/>
        <w:rPr>
          <w:rFonts w:ascii="Arial" w:hAnsi="Arial" w:cs="Arial"/>
          <w:lang w:val="en-GB"/>
        </w:rPr>
      </w:pPr>
    </w:p>
    <w:p w14:paraId="4F8BA6BC" w14:textId="77777777" w:rsidR="005C2394" w:rsidRDefault="005C2394" w:rsidP="00441B6F">
      <w:pPr>
        <w:jc w:val="both"/>
        <w:rPr>
          <w:rFonts w:ascii="Arial" w:hAnsi="Arial" w:cs="Arial"/>
          <w:lang w:val="en-GB"/>
        </w:rPr>
      </w:pPr>
    </w:p>
    <w:p w14:paraId="631737D6" w14:textId="77777777" w:rsidR="005C2394" w:rsidRDefault="005C2394" w:rsidP="00441B6F">
      <w:pPr>
        <w:jc w:val="both"/>
        <w:rPr>
          <w:rFonts w:ascii="Arial" w:hAnsi="Arial" w:cs="Arial"/>
          <w:lang w:val="en-GB"/>
        </w:rPr>
      </w:pPr>
    </w:p>
    <w:p w14:paraId="7A395B3A" w14:textId="77777777" w:rsidR="005C2394" w:rsidRDefault="005C2394" w:rsidP="00441B6F">
      <w:pPr>
        <w:jc w:val="both"/>
        <w:rPr>
          <w:rFonts w:ascii="Arial" w:hAnsi="Arial" w:cs="Arial"/>
          <w:lang w:val="en-GB"/>
        </w:rPr>
      </w:pPr>
    </w:p>
    <w:p w14:paraId="5E1A1350" w14:textId="77777777" w:rsidR="005C2394" w:rsidRDefault="005C2394" w:rsidP="00441B6F">
      <w:pPr>
        <w:jc w:val="both"/>
        <w:rPr>
          <w:rFonts w:ascii="Arial" w:hAnsi="Arial" w:cs="Arial"/>
          <w:lang w:val="en-GB"/>
        </w:rPr>
      </w:pPr>
    </w:p>
    <w:p w14:paraId="5258DCB0" w14:textId="77777777" w:rsidR="005C2394" w:rsidRDefault="005C2394" w:rsidP="00441B6F">
      <w:pPr>
        <w:jc w:val="both"/>
        <w:rPr>
          <w:rFonts w:ascii="Arial" w:hAnsi="Arial" w:cs="Arial"/>
          <w:lang w:val="en-GB"/>
        </w:rPr>
      </w:pPr>
    </w:p>
    <w:p w14:paraId="3BA2A7DC" w14:textId="77777777" w:rsidR="005C2394" w:rsidRDefault="005C2394" w:rsidP="00441B6F">
      <w:pPr>
        <w:jc w:val="both"/>
        <w:rPr>
          <w:rFonts w:ascii="Arial" w:hAnsi="Arial" w:cs="Arial"/>
          <w:lang w:val="en-GB"/>
        </w:rPr>
      </w:pPr>
    </w:p>
    <w:p w14:paraId="04965DA7" w14:textId="77777777" w:rsidR="005C2394" w:rsidRDefault="005C2394" w:rsidP="00441B6F">
      <w:pPr>
        <w:jc w:val="both"/>
        <w:rPr>
          <w:rFonts w:ascii="Arial" w:hAnsi="Arial" w:cs="Arial"/>
          <w:lang w:val="en-GB"/>
        </w:rPr>
      </w:pPr>
    </w:p>
    <w:p w14:paraId="1621E12D" w14:textId="77777777" w:rsidR="005C2394" w:rsidRDefault="005C2394" w:rsidP="00441B6F">
      <w:pPr>
        <w:jc w:val="both"/>
        <w:rPr>
          <w:rFonts w:ascii="Arial" w:hAnsi="Arial" w:cs="Arial"/>
          <w:lang w:val="en-GB"/>
        </w:rPr>
      </w:pPr>
    </w:p>
    <w:p w14:paraId="79ADBCE7" w14:textId="77777777" w:rsidR="005C2394" w:rsidRDefault="005C2394" w:rsidP="00441B6F">
      <w:pPr>
        <w:jc w:val="both"/>
        <w:rPr>
          <w:rFonts w:ascii="Arial" w:hAnsi="Arial" w:cs="Arial"/>
          <w:lang w:val="en-GB"/>
        </w:rPr>
      </w:pPr>
    </w:p>
    <w:p w14:paraId="0CF277DA" w14:textId="77777777" w:rsidR="005C2394" w:rsidRDefault="005C2394" w:rsidP="00441B6F">
      <w:pPr>
        <w:jc w:val="both"/>
        <w:rPr>
          <w:rFonts w:ascii="Arial" w:hAnsi="Arial" w:cs="Arial"/>
          <w:lang w:val="en-GB"/>
        </w:rPr>
      </w:pPr>
    </w:p>
    <w:p w14:paraId="0BAC7956" w14:textId="77777777" w:rsidR="005C2394" w:rsidRDefault="005C2394" w:rsidP="00441B6F">
      <w:pPr>
        <w:jc w:val="both"/>
        <w:rPr>
          <w:rFonts w:ascii="Arial" w:hAnsi="Arial" w:cs="Arial"/>
          <w:lang w:val="en-GB"/>
        </w:rPr>
      </w:pPr>
    </w:p>
    <w:p w14:paraId="129C7907" w14:textId="77777777" w:rsidR="005C2394" w:rsidRDefault="005C2394" w:rsidP="00441B6F">
      <w:pPr>
        <w:jc w:val="both"/>
        <w:rPr>
          <w:rFonts w:ascii="Arial" w:hAnsi="Arial" w:cs="Arial"/>
          <w:lang w:val="en-GB"/>
        </w:rPr>
      </w:pPr>
    </w:p>
    <w:p w14:paraId="628894D0" w14:textId="77777777" w:rsidR="005C2394" w:rsidRDefault="005C2394" w:rsidP="00441B6F">
      <w:pPr>
        <w:jc w:val="both"/>
        <w:rPr>
          <w:rFonts w:ascii="Arial" w:hAnsi="Arial" w:cs="Arial"/>
          <w:lang w:val="en-GB"/>
        </w:rPr>
      </w:pPr>
    </w:p>
    <w:p w14:paraId="36E05244" w14:textId="77777777" w:rsidR="005C2394" w:rsidRDefault="005C2394" w:rsidP="00441B6F">
      <w:pPr>
        <w:jc w:val="both"/>
        <w:rPr>
          <w:rFonts w:ascii="Arial" w:hAnsi="Arial" w:cs="Arial"/>
          <w:lang w:val="en-GB"/>
        </w:rPr>
      </w:pPr>
    </w:p>
    <w:p w14:paraId="01B625FD" w14:textId="77777777" w:rsidR="005C2394" w:rsidRDefault="005C2394" w:rsidP="00441B6F">
      <w:pPr>
        <w:jc w:val="both"/>
        <w:rPr>
          <w:rFonts w:ascii="Arial" w:hAnsi="Arial" w:cs="Arial"/>
          <w:lang w:val="en-GB"/>
        </w:rPr>
      </w:pPr>
    </w:p>
    <w:p w14:paraId="6880BFE7" w14:textId="77777777" w:rsidR="005C2394" w:rsidRDefault="005C2394" w:rsidP="00441B6F">
      <w:pPr>
        <w:jc w:val="both"/>
        <w:rPr>
          <w:rFonts w:ascii="Arial" w:hAnsi="Arial" w:cs="Arial"/>
          <w:lang w:val="en-GB"/>
        </w:rPr>
      </w:pPr>
    </w:p>
    <w:p w14:paraId="3F1DD0C0" w14:textId="77777777" w:rsidR="005C2394" w:rsidRDefault="005C2394" w:rsidP="00441B6F">
      <w:pPr>
        <w:jc w:val="both"/>
        <w:rPr>
          <w:rFonts w:ascii="Arial" w:hAnsi="Arial" w:cs="Arial"/>
          <w:lang w:val="en-GB"/>
        </w:rPr>
      </w:pPr>
    </w:p>
    <w:p w14:paraId="3702A46D" w14:textId="77777777" w:rsidR="005C2394" w:rsidRDefault="005C2394" w:rsidP="00441B6F">
      <w:pPr>
        <w:jc w:val="both"/>
        <w:rPr>
          <w:rFonts w:ascii="Arial" w:hAnsi="Arial" w:cs="Arial"/>
          <w:lang w:val="en-GB"/>
        </w:rPr>
      </w:pPr>
    </w:p>
    <w:p w14:paraId="414AB0DB" w14:textId="77777777" w:rsidR="005C2394" w:rsidRDefault="005C2394" w:rsidP="00441B6F">
      <w:pPr>
        <w:jc w:val="both"/>
        <w:rPr>
          <w:rFonts w:ascii="Arial" w:hAnsi="Arial" w:cs="Arial"/>
          <w:lang w:val="en-GB"/>
        </w:rPr>
      </w:pPr>
    </w:p>
    <w:p w14:paraId="6F178BEF" w14:textId="77777777" w:rsidR="005C2394" w:rsidRDefault="005C2394" w:rsidP="00441B6F">
      <w:pPr>
        <w:jc w:val="both"/>
        <w:rPr>
          <w:rFonts w:ascii="Arial" w:hAnsi="Arial" w:cs="Arial"/>
          <w:lang w:val="en-GB"/>
        </w:rPr>
      </w:pPr>
    </w:p>
    <w:p w14:paraId="245B05EC" w14:textId="77777777" w:rsidR="005C2394" w:rsidRDefault="005C2394" w:rsidP="00441B6F">
      <w:pPr>
        <w:jc w:val="both"/>
        <w:rPr>
          <w:rFonts w:ascii="Arial" w:hAnsi="Arial" w:cs="Arial"/>
          <w:lang w:val="en-GB"/>
        </w:rPr>
      </w:pPr>
    </w:p>
    <w:p w14:paraId="2559B275" w14:textId="77777777" w:rsidR="005C2394" w:rsidRDefault="005C2394" w:rsidP="00441B6F">
      <w:pPr>
        <w:jc w:val="both"/>
        <w:rPr>
          <w:rFonts w:ascii="Arial" w:hAnsi="Arial" w:cs="Arial"/>
          <w:lang w:val="en-GB"/>
        </w:rPr>
      </w:pPr>
    </w:p>
    <w:p w14:paraId="6FCB512C" w14:textId="77777777" w:rsidR="005C2394" w:rsidRDefault="005C2394" w:rsidP="00441B6F">
      <w:pPr>
        <w:jc w:val="both"/>
        <w:rPr>
          <w:rFonts w:ascii="Arial" w:hAnsi="Arial" w:cs="Arial"/>
          <w:lang w:val="en-GB"/>
        </w:rPr>
      </w:pPr>
    </w:p>
    <w:p w14:paraId="10B374A9" w14:textId="77777777" w:rsidR="005C2394" w:rsidRDefault="005C2394" w:rsidP="00441B6F">
      <w:pPr>
        <w:jc w:val="both"/>
        <w:rPr>
          <w:rFonts w:ascii="Arial" w:hAnsi="Arial" w:cs="Arial"/>
          <w:lang w:val="en-GB"/>
        </w:rPr>
      </w:pPr>
    </w:p>
    <w:p w14:paraId="76B51DD8" w14:textId="77777777" w:rsidR="005C2394" w:rsidRDefault="005C2394" w:rsidP="00441B6F">
      <w:pPr>
        <w:jc w:val="both"/>
        <w:rPr>
          <w:rFonts w:ascii="Arial" w:hAnsi="Arial" w:cs="Arial"/>
          <w:u w:val="single"/>
          <w:lang w:val="en-GB" w:eastAsia="en-GB"/>
        </w:rPr>
        <w:sectPr w:rsidR="005C2394" w:rsidSect="00E5304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2FDA4BE" w14:textId="21A12760" w:rsidR="005C2394" w:rsidRPr="00BB4305" w:rsidRDefault="005C2394" w:rsidP="002221BB">
      <w:pPr>
        <w:jc w:val="both"/>
        <w:rPr>
          <w:rFonts w:ascii="Arial" w:hAnsi="Arial" w:cs="Arial"/>
          <w:b/>
          <w:bCs/>
          <w:lang w:val="en-GB"/>
        </w:rPr>
      </w:pPr>
      <w:r w:rsidRPr="00BB4305">
        <w:rPr>
          <w:rFonts w:ascii="Arial" w:hAnsi="Arial" w:cs="Arial"/>
          <w:b/>
          <w:bCs/>
          <w:lang w:val="en-GB"/>
        </w:rPr>
        <w:lastRenderedPageBreak/>
        <w:t>Table 3</w:t>
      </w:r>
      <w:r w:rsidR="002221BB">
        <w:rPr>
          <w:rFonts w:ascii="Arial" w:hAnsi="Arial" w:cs="Arial"/>
          <w:b/>
          <w:bCs/>
          <w:lang w:val="en-GB"/>
        </w:rPr>
        <w:t>.</w:t>
      </w:r>
      <w:r w:rsidRPr="00BB4305">
        <w:rPr>
          <w:rFonts w:ascii="Arial" w:hAnsi="Arial" w:cs="Arial"/>
          <w:b/>
          <w:bCs/>
          <w:lang w:val="en-GB"/>
        </w:rPr>
        <w:t xml:space="preserve"> Distribution of resistance profiles of ESBL-producing </w:t>
      </w:r>
      <w:proofErr w:type="spellStart"/>
      <w:r w:rsidRPr="00BB4305">
        <w:rPr>
          <w:rFonts w:ascii="Arial" w:hAnsi="Arial" w:cs="Arial"/>
          <w:b/>
          <w:bCs/>
          <w:lang w:val="en-GB"/>
        </w:rPr>
        <w:t>Enterobacterales</w:t>
      </w:r>
      <w:proofErr w:type="spellEnd"/>
      <w:r w:rsidRPr="00BB4305">
        <w:rPr>
          <w:rFonts w:ascii="Arial" w:hAnsi="Arial" w:cs="Arial"/>
          <w:b/>
          <w:bCs/>
          <w:lang w:val="en-GB"/>
        </w:rPr>
        <w:t xml:space="preserve"> (ESBL-E) strains isolated from digestive carriage in children receiving empirical antibiotic therapy at the CHU SO in 2023, at admission and discharge</w:t>
      </w:r>
    </w:p>
    <w:p w14:paraId="4D0F085E" w14:textId="77777777" w:rsidR="005C2394" w:rsidRDefault="005C2394" w:rsidP="00441B6F">
      <w:pPr>
        <w:jc w:val="both"/>
        <w:rPr>
          <w:rFonts w:ascii="Arial" w:hAnsi="Arial" w:cs="Arial"/>
          <w:u w:val="single"/>
          <w:lang w:val="en-GB" w:eastAsia="en-GB"/>
        </w:rPr>
      </w:pPr>
    </w:p>
    <w:tbl>
      <w:tblPr>
        <w:tblStyle w:val="Grilledutableau"/>
        <w:tblW w:w="14454"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424"/>
        <w:gridCol w:w="1132"/>
        <w:gridCol w:w="1134"/>
        <w:gridCol w:w="1276"/>
        <w:gridCol w:w="1276"/>
        <w:gridCol w:w="1134"/>
        <w:gridCol w:w="1134"/>
        <w:gridCol w:w="1276"/>
        <w:gridCol w:w="1275"/>
        <w:gridCol w:w="1134"/>
        <w:gridCol w:w="851"/>
      </w:tblGrid>
      <w:tr w:rsidR="005C2394" w:rsidRPr="002E13D8" w14:paraId="2AFFCE42" w14:textId="77777777" w:rsidTr="003B0E4A">
        <w:tc>
          <w:tcPr>
            <w:tcW w:w="2408" w:type="dxa"/>
            <w:tcBorders>
              <w:top w:val="single" w:sz="4" w:space="0" w:color="auto"/>
              <w:bottom w:val="single" w:sz="4" w:space="0" w:color="auto"/>
            </w:tcBorders>
            <w:vAlign w:val="center"/>
          </w:tcPr>
          <w:p w14:paraId="1FB9F326" w14:textId="77777777" w:rsidR="005C2394" w:rsidRPr="002E13D8" w:rsidRDefault="005C2394" w:rsidP="00344259">
            <w:pPr>
              <w:jc w:val="center"/>
              <w:rPr>
                <w:rFonts w:ascii="Arial" w:hAnsi="Arial" w:cs="Arial"/>
                <w:b/>
                <w:bCs/>
                <w:sz w:val="20"/>
                <w:szCs w:val="20"/>
              </w:rPr>
            </w:pPr>
            <w:r w:rsidRPr="009C2991">
              <w:rPr>
                <w:rFonts w:ascii="Arial" w:hAnsi="Arial" w:cs="Arial"/>
                <w:b/>
                <w:bCs/>
                <w:sz w:val="20"/>
                <w:szCs w:val="20"/>
              </w:rPr>
              <w:t>Antibiotics</w:t>
            </w:r>
          </w:p>
        </w:tc>
        <w:tc>
          <w:tcPr>
            <w:tcW w:w="12046" w:type="dxa"/>
            <w:gridSpan w:val="11"/>
            <w:tcBorders>
              <w:top w:val="single" w:sz="4" w:space="0" w:color="auto"/>
              <w:bottom w:val="single" w:sz="4" w:space="0" w:color="auto"/>
            </w:tcBorders>
            <w:vAlign w:val="center"/>
          </w:tcPr>
          <w:p w14:paraId="3BB1B1D3" w14:textId="77777777" w:rsidR="005C2394" w:rsidRPr="002E13D8" w:rsidRDefault="005C2394" w:rsidP="00344259">
            <w:pPr>
              <w:jc w:val="center"/>
              <w:rPr>
                <w:rFonts w:ascii="Arial" w:hAnsi="Arial" w:cs="Arial"/>
                <w:b/>
                <w:bCs/>
                <w:sz w:val="20"/>
                <w:szCs w:val="20"/>
              </w:rPr>
            </w:pPr>
            <w:r w:rsidRPr="009C2991">
              <w:rPr>
                <w:rFonts w:ascii="Arial" w:hAnsi="Arial" w:cs="Arial"/>
                <w:b/>
                <w:bCs/>
                <w:sz w:val="20"/>
                <w:szCs w:val="20"/>
              </w:rPr>
              <w:t>Isolated Enterobacteriaceae strains</w:t>
            </w:r>
          </w:p>
        </w:tc>
      </w:tr>
      <w:tr w:rsidR="005C2394" w:rsidRPr="002E13D8" w14:paraId="54CB4F16" w14:textId="77777777" w:rsidTr="003B0E4A">
        <w:trPr>
          <w:trHeight w:val="82"/>
        </w:trPr>
        <w:tc>
          <w:tcPr>
            <w:tcW w:w="2408" w:type="dxa"/>
            <w:tcBorders>
              <w:top w:val="single" w:sz="4" w:space="0" w:color="auto"/>
            </w:tcBorders>
            <w:vAlign w:val="center"/>
          </w:tcPr>
          <w:p w14:paraId="32989551" w14:textId="77777777" w:rsidR="005C2394" w:rsidRPr="002E13D8" w:rsidRDefault="005C2394" w:rsidP="00344259">
            <w:pPr>
              <w:jc w:val="center"/>
              <w:rPr>
                <w:rFonts w:ascii="Arial" w:hAnsi="Arial" w:cs="Arial"/>
                <w:sz w:val="20"/>
                <w:szCs w:val="20"/>
              </w:rPr>
            </w:pPr>
            <w:bookmarkStart w:id="4" w:name="_Hlk213745614"/>
          </w:p>
        </w:tc>
        <w:tc>
          <w:tcPr>
            <w:tcW w:w="424" w:type="dxa"/>
            <w:tcBorders>
              <w:top w:val="single" w:sz="4" w:space="0" w:color="auto"/>
            </w:tcBorders>
            <w:vAlign w:val="center"/>
          </w:tcPr>
          <w:p w14:paraId="22A50803" w14:textId="77777777" w:rsidR="005C2394" w:rsidRPr="002E13D8" w:rsidRDefault="005C2394" w:rsidP="00344259">
            <w:pPr>
              <w:jc w:val="center"/>
              <w:rPr>
                <w:rFonts w:ascii="Arial" w:eastAsia="Times New Roman" w:hAnsi="Arial" w:cs="Arial"/>
                <w:i/>
                <w:iCs/>
                <w:color w:val="000000"/>
                <w:sz w:val="20"/>
                <w:szCs w:val="20"/>
              </w:rPr>
            </w:pPr>
          </w:p>
        </w:tc>
        <w:tc>
          <w:tcPr>
            <w:tcW w:w="2266" w:type="dxa"/>
            <w:gridSpan w:val="2"/>
            <w:tcBorders>
              <w:top w:val="single" w:sz="4" w:space="0" w:color="auto"/>
            </w:tcBorders>
            <w:vAlign w:val="center"/>
          </w:tcPr>
          <w:p w14:paraId="30312EC9"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Escherichia coli</w:t>
            </w:r>
          </w:p>
        </w:tc>
        <w:tc>
          <w:tcPr>
            <w:tcW w:w="2552" w:type="dxa"/>
            <w:gridSpan w:val="2"/>
            <w:tcBorders>
              <w:top w:val="single" w:sz="4" w:space="0" w:color="auto"/>
            </w:tcBorders>
            <w:vAlign w:val="center"/>
          </w:tcPr>
          <w:p w14:paraId="69DCAABC"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Enterobacter cloacae</w:t>
            </w:r>
          </w:p>
        </w:tc>
        <w:tc>
          <w:tcPr>
            <w:tcW w:w="2268" w:type="dxa"/>
            <w:gridSpan w:val="2"/>
            <w:tcBorders>
              <w:top w:val="single" w:sz="4" w:space="0" w:color="auto"/>
            </w:tcBorders>
            <w:vAlign w:val="center"/>
          </w:tcPr>
          <w:p w14:paraId="518EE6B5"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 xml:space="preserve">Klebsiella </w:t>
            </w:r>
            <w:proofErr w:type="spellStart"/>
            <w:r w:rsidRPr="002E13D8">
              <w:rPr>
                <w:rFonts w:ascii="Arial" w:eastAsia="Times New Roman" w:hAnsi="Arial" w:cs="Arial"/>
                <w:b/>
                <w:bCs/>
                <w:i/>
                <w:iCs/>
                <w:color w:val="000000"/>
                <w:sz w:val="20"/>
                <w:szCs w:val="20"/>
              </w:rPr>
              <w:t>oxytoca</w:t>
            </w:r>
            <w:proofErr w:type="spellEnd"/>
          </w:p>
        </w:tc>
        <w:tc>
          <w:tcPr>
            <w:tcW w:w="2551" w:type="dxa"/>
            <w:gridSpan w:val="2"/>
            <w:tcBorders>
              <w:top w:val="single" w:sz="4" w:space="0" w:color="auto"/>
            </w:tcBorders>
            <w:vAlign w:val="center"/>
          </w:tcPr>
          <w:p w14:paraId="7235839E"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Klebsiella pneumoniae</w:t>
            </w:r>
          </w:p>
        </w:tc>
        <w:tc>
          <w:tcPr>
            <w:tcW w:w="1985" w:type="dxa"/>
            <w:gridSpan w:val="2"/>
            <w:tcBorders>
              <w:top w:val="single" w:sz="4" w:space="0" w:color="auto"/>
            </w:tcBorders>
            <w:vAlign w:val="center"/>
          </w:tcPr>
          <w:p w14:paraId="0A074AC0"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Proteus mirabilis</w:t>
            </w:r>
          </w:p>
        </w:tc>
      </w:tr>
      <w:bookmarkEnd w:id="4"/>
      <w:tr w:rsidR="005C2394" w:rsidRPr="002E13D8" w14:paraId="3A7A2834" w14:textId="77777777" w:rsidTr="003B0E4A">
        <w:tc>
          <w:tcPr>
            <w:tcW w:w="2408" w:type="dxa"/>
            <w:tcBorders>
              <w:bottom w:val="single" w:sz="4" w:space="0" w:color="auto"/>
            </w:tcBorders>
            <w:vAlign w:val="center"/>
          </w:tcPr>
          <w:p w14:paraId="16A5E6B2" w14:textId="77777777" w:rsidR="005C2394" w:rsidRPr="002E13D8" w:rsidRDefault="005C2394" w:rsidP="00344259">
            <w:pPr>
              <w:jc w:val="center"/>
              <w:rPr>
                <w:rFonts w:ascii="Arial" w:hAnsi="Arial" w:cs="Arial"/>
                <w:sz w:val="20"/>
                <w:szCs w:val="20"/>
              </w:rPr>
            </w:pPr>
          </w:p>
        </w:tc>
        <w:tc>
          <w:tcPr>
            <w:tcW w:w="424" w:type="dxa"/>
            <w:tcBorders>
              <w:bottom w:val="single" w:sz="4" w:space="0" w:color="auto"/>
            </w:tcBorders>
            <w:vAlign w:val="center"/>
          </w:tcPr>
          <w:p w14:paraId="758FFD1F" w14:textId="77777777" w:rsidR="005C2394" w:rsidRPr="002E13D8" w:rsidRDefault="005C2394" w:rsidP="00344259">
            <w:pPr>
              <w:jc w:val="center"/>
              <w:rPr>
                <w:rFonts w:ascii="Arial" w:hAnsi="Arial" w:cs="Arial"/>
                <w:sz w:val="20"/>
                <w:szCs w:val="20"/>
              </w:rPr>
            </w:pPr>
          </w:p>
        </w:tc>
        <w:tc>
          <w:tcPr>
            <w:tcW w:w="1132" w:type="dxa"/>
            <w:tcBorders>
              <w:bottom w:val="single" w:sz="4" w:space="0" w:color="auto"/>
            </w:tcBorders>
            <w:vAlign w:val="center"/>
          </w:tcPr>
          <w:p w14:paraId="2FEE92E3"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79 (%)</w:t>
            </w:r>
          </w:p>
        </w:tc>
        <w:tc>
          <w:tcPr>
            <w:tcW w:w="1134" w:type="dxa"/>
            <w:tcBorders>
              <w:bottom w:val="single" w:sz="4" w:space="0" w:color="auto"/>
            </w:tcBorders>
            <w:vAlign w:val="center"/>
          </w:tcPr>
          <w:p w14:paraId="6E85D56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**n=87</w:t>
            </w:r>
          </w:p>
          <w:p w14:paraId="1F596A9A"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445B4BD2" w14:textId="77777777" w:rsidR="005C2394" w:rsidRPr="002E13D8" w:rsidRDefault="005C2394" w:rsidP="00344259">
            <w:pPr>
              <w:jc w:val="center"/>
              <w:rPr>
                <w:rFonts w:ascii="Arial" w:eastAsia="Times New Roman" w:hAnsi="Arial" w:cs="Arial"/>
                <w:color w:val="000000"/>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22</w:t>
            </w:r>
          </w:p>
          <w:p w14:paraId="7D7881C4"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13172B2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**n=19</w:t>
            </w:r>
          </w:p>
          <w:p w14:paraId="7AE01145"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134" w:type="dxa"/>
            <w:tcBorders>
              <w:bottom w:val="single" w:sz="4" w:space="0" w:color="auto"/>
            </w:tcBorders>
            <w:vAlign w:val="center"/>
          </w:tcPr>
          <w:p w14:paraId="01037F8D"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4 (%)</w:t>
            </w:r>
          </w:p>
        </w:tc>
        <w:tc>
          <w:tcPr>
            <w:tcW w:w="1134" w:type="dxa"/>
            <w:tcBorders>
              <w:bottom w:val="single" w:sz="4" w:space="0" w:color="auto"/>
            </w:tcBorders>
            <w:vAlign w:val="center"/>
          </w:tcPr>
          <w:p w14:paraId="7E4104E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**n=6</w:t>
            </w:r>
          </w:p>
          <w:p w14:paraId="1F6548F1"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0BAC07B7"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 xml:space="preserve">*n= </w:t>
            </w:r>
            <w:r w:rsidRPr="002E13D8">
              <w:rPr>
                <w:rFonts w:ascii="Arial" w:eastAsia="Times New Roman" w:hAnsi="Arial" w:cs="Arial"/>
                <w:color w:val="000000"/>
                <w:sz w:val="20"/>
                <w:szCs w:val="20"/>
              </w:rPr>
              <w:t>23 (%)</w:t>
            </w:r>
          </w:p>
        </w:tc>
        <w:tc>
          <w:tcPr>
            <w:tcW w:w="1275" w:type="dxa"/>
            <w:tcBorders>
              <w:bottom w:val="single" w:sz="4" w:space="0" w:color="auto"/>
            </w:tcBorders>
            <w:vAlign w:val="center"/>
          </w:tcPr>
          <w:p w14:paraId="61B0B9D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**n=26</w:t>
            </w:r>
          </w:p>
          <w:p w14:paraId="53D750F0"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134" w:type="dxa"/>
            <w:tcBorders>
              <w:bottom w:val="single" w:sz="4" w:space="0" w:color="auto"/>
            </w:tcBorders>
            <w:vAlign w:val="center"/>
          </w:tcPr>
          <w:p w14:paraId="0648F87C"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 xml:space="preserve">*n=1 </w:t>
            </w:r>
            <w:r w:rsidRPr="002E13D8">
              <w:rPr>
                <w:rFonts w:ascii="Arial" w:eastAsia="Times New Roman" w:hAnsi="Arial" w:cs="Arial"/>
                <w:color w:val="000000"/>
                <w:sz w:val="20"/>
                <w:szCs w:val="20"/>
              </w:rPr>
              <w:t>(%)</w:t>
            </w:r>
          </w:p>
        </w:tc>
        <w:tc>
          <w:tcPr>
            <w:tcW w:w="851" w:type="dxa"/>
            <w:tcBorders>
              <w:bottom w:val="single" w:sz="4" w:space="0" w:color="auto"/>
            </w:tcBorders>
            <w:vAlign w:val="center"/>
          </w:tcPr>
          <w:p w14:paraId="387152B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**n=0</w:t>
            </w:r>
          </w:p>
          <w:p w14:paraId="6E7FDE2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E9B793B" w14:textId="77777777" w:rsidTr="003B0E4A">
        <w:tc>
          <w:tcPr>
            <w:tcW w:w="2408" w:type="dxa"/>
            <w:tcBorders>
              <w:top w:val="single" w:sz="4" w:space="0" w:color="auto"/>
            </w:tcBorders>
            <w:vAlign w:val="center"/>
          </w:tcPr>
          <w:p w14:paraId="7B6528FB" w14:textId="60ADA407" w:rsidR="005C2394" w:rsidRPr="002E13D8" w:rsidRDefault="005C2394"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I</w:t>
            </w:r>
            <w:r w:rsidR="008D219E">
              <w:rPr>
                <w:rFonts w:ascii="Arial" w:eastAsia="Times New Roman" w:hAnsi="Arial" w:cs="Arial"/>
                <w:color w:val="000000"/>
                <w:sz w:val="20"/>
                <w:szCs w:val="20"/>
                <w:lang w:eastAsia="fr-FR"/>
              </w:rPr>
              <w:t>mipenem</w:t>
            </w:r>
          </w:p>
        </w:tc>
        <w:tc>
          <w:tcPr>
            <w:tcW w:w="424" w:type="dxa"/>
            <w:tcBorders>
              <w:top w:val="single" w:sz="4" w:space="0" w:color="auto"/>
            </w:tcBorders>
            <w:vAlign w:val="center"/>
          </w:tcPr>
          <w:p w14:paraId="72E21A1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tcBorders>
              <w:top w:val="single" w:sz="4" w:space="0" w:color="auto"/>
            </w:tcBorders>
            <w:vAlign w:val="center"/>
          </w:tcPr>
          <w:p w14:paraId="670F0C2A" w14:textId="77777777" w:rsidR="005C2394" w:rsidRPr="002E13D8" w:rsidRDefault="005C2394" w:rsidP="00344259">
            <w:pPr>
              <w:rPr>
                <w:rFonts w:ascii="Arial" w:hAnsi="Arial" w:cs="Arial"/>
                <w:sz w:val="20"/>
                <w:szCs w:val="20"/>
              </w:rPr>
            </w:pPr>
            <w:r w:rsidRPr="002E13D8">
              <w:rPr>
                <w:rFonts w:ascii="Arial" w:hAnsi="Arial" w:cs="Arial"/>
                <w:sz w:val="20"/>
                <w:szCs w:val="20"/>
              </w:rPr>
              <w:t>10 (</w:t>
            </w:r>
            <w:r>
              <w:rPr>
                <w:rFonts w:ascii="Arial" w:hAnsi="Arial" w:cs="Arial"/>
                <w:sz w:val="20"/>
                <w:szCs w:val="20"/>
              </w:rPr>
              <w:t>12.</w:t>
            </w:r>
            <w:r w:rsidRPr="002E13D8">
              <w:rPr>
                <w:rFonts w:ascii="Arial" w:hAnsi="Arial" w:cs="Arial"/>
                <w:sz w:val="20"/>
                <w:szCs w:val="20"/>
              </w:rPr>
              <w:t>7)</w:t>
            </w:r>
          </w:p>
        </w:tc>
        <w:tc>
          <w:tcPr>
            <w:tcW w:w="1134" w:type="dxa"/>
            <w:tcBorders>
              <w:top w:val="single" w:sz="4" w:space="0" w:color="auto"/>
            </w:tcBorders>
            <w:vAlign w:val="center"/>
          </w:tcPr>
          <w:p w14:paraId="4752893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w:t>
            </w:r>
            <w:r>
              <w:rPr>
                <w:rFonts w:ascii="Arial" w:hAnsi="Arial" w:cs="Arial"/>
                <w:sz w:val="20"/>
                <w:szCs w:val="20"/>
              </w:rPr>
              <w:t>12.</w:t>
            </w:r>
            <w:r w:rsidRPr="002E13D8">
              <w:rPr>
                <w:rFonts w:ascii="Arial" w:hAnsi="Arial" w:cs="Arial"/>
                <w:sz w:val="20"/>
                <w:szCs w:val="20"/>
              </w:rPr>
              <w:t>7)</w:t>
            </w:r>
          </w:p>
        </w:tc>
        <w:tc>
          <w:tcPr>
            <w:tcW w:w="1276" w:type="dxa"/>
            <w:tcBorders>
              <w:top w:val="single" w:sz="4" w:space="0" w:color="auto"/>
            </w:tcBorders>
            <w:vAlign w:val="center"/>
          </w:tcPr>
          <w:p w14:paraId="4465DFC9"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3 (</w:t>
            </w:r>
            <w:r>
              <w:rPr>
                <w:rFonts w:ascii="Arial" w:hAnsi="Arial" w:cs="Arial"/>
                <w:sz w:val="20"/>
                <w:szCs w:val="20"/>
              </w:rPr>
              <w:t>13.</w:t>
            </w:r>
            <w:r w:rsidRPr="002E13D8">
              <w:rPr>
                <w:rFonts w:ascii="Arial" w:hAnsi="Arial" w:cs="Arial"/>
                <w:sz w:val="20"/>
                <w:szCs w:val="20"/>
              </w:rPr>
              <w:t>7)</w:t>
            </w:r>
          </w:p>
        </w:tc>
        <w:tc>
          <w:tcPr>
            <w:tcW w:w="1276" w:type="dxa"/>
            <w:tcBorders>
              <w:top w:val="single" w:sz="4" w:space="0" w:color="auto"/>
            </w:tcBorders>
            <w:vAlign w:val="center"/>
          </w:tcPr>
          <w:p w14:paraId="13470AB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(21</w:t>
            </w:r>
            <w:r>
              <w:rPr>
                <w:rFonts w:ascii="Arial" w:hAnsi="Arial" w:cs="Arial"/>
                <w:sz w:val="20"/>
                <w:szCs w:val="20"/>
              </w:rPr>
              <w:t>.</w:t>
            </w:r>
            <w:r w:rsidRPr="002E13D8">
              <w:rPr>
                <w:rFonts w:ascii="Arial" w:hAnsi="Arial" w:cs="Arial"/>
                <w:sz w:val="20"/>
                <w:szCs w:val="20"/>
              </w:rPr>
              <w:t>0)</w:t>
            </w:r>
          </w:p>
        </w:tc>
        <w:tc>
          <w:tcPr>
            <w:tcW w:w="1134" w:type="dxa"/>
            <w:tcBorders>
              <w:top w:val="single" w:sz="4" w:space="0" w:color="auto"/>
            </w:tcBorders>
            <w:vAlign w:val="center"/>
          </w:tcPr>
          <w:p w14:paraId="27721EF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tcBorders>
              <w:top w:val="single" w:sz="4" w:space="0" w:color="auto"/>
            </w:tcBorders>
            <w:vAlign w:val="center"/>
          </w:tcPr>
          <w:p w14:paraId="601B9EF5" w14:textId="77777777" w:rsidR="005C2394" w:rsidRPr="002E13D8" w:rsidRDefault="005C2394" w:rsidP="00344259">
            <w:pPr>
              <w:rPr>
                <w:rFonts w:ascii="Arial" w:hAnsi="Arial" w:cs="Arial"/>
                <w:sz w:val="20"/>
                <w:szCs w:val="20"/>
              </w:rPr>
            </w:pPr>
            <w:r w:rsidRPr="002E13D8">
              <w:rPr>
                <w:rFonts w:ascii="Arial" w:hAnsi="Arial" w:cs="Arial"/>
                <w:sz w:val="20"/>
                <w:szCs w:val="20"/>
              </w:rPr>
              <w:t>3 (50</w:t>
            </w:r>
            <w:r>
              <w:rPr>
                <w:rFonts w:ascii="Arial" w:hAnsi="Arial" w:cs="Arial"/>
                <w:sz w:val="20"/>
                <w:szCs w:val="20"/>
              </w:rPr>
              <w:t>.</w:t>
            </w:r>
            <w:r w:rsidRPr="002E13D8">
              <w:rPr>
                <w:rFonts w:ascii="Arial" w:hAnsi="Arial" w:cs="Arial"/>
                <w:sz w:val="20"/>
                <w:szCs w:val="20"/>
              </w:rPr>
              <w:t>0)</w:t>
            </w:r>
          </w:p>
        </w:tc>
        <w:tc>
          <w:tcPr>
            <w:tcW w:w="1276" w:type="dxa"/>
            <w:tcBorders>
              <w:top w:val="single" w:sz="4" w:space="0" w:color="auto"/>
            </w:tcBorders>
            <w:vAlign w:val="center"/>
          </w:tcPr>
          <w:p w14:paraId="1EAE0F0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tcBorders>
              <w:top w:val="single" w:sz="4" w:space="0" w:color="auto"/>
            </w:tcBorders>
            <w:vAlign w:val="center"/>
          </w:tcPr>
          <w:p w14:paraId="1684045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15.</w:t>
            </w:r>
            <w:r w:rsidRPr="002E13D8">
              <w:rPr>
                <w:rFonts w:ascii="Arial" w:hAnsi="Arial" w:cs="Arial"/>
                <w:sz w:val="20"/>
                <w:szCs w:val="20"/>
              </w:rPr>
              <w:t>4)</w:t>
            </w:r>
          </w:p>
        </w:tc>
        <w:tc>
          <w:tcPr>
            <w:tcW w:w="1134" w:type="dxa"/>
            <w:tcBorders>
              <w:top w:val="single" w:sz="4" w:space="0" w:color="auto"/>
            </w:tcBorders>
            <w:vAlign w:val="center"/>
          </w:tcPr>
          <w:p w14:paraId="61A86F2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Borders>
              <w:top w:val="single" w:sz="4" w:space="0" w:color="auto"/>
            </w:tcBorders>
            <w:vAlign w:val="center"/>
          </w:tcPr>
          <w:p w14:paraId="15BCFF5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48813AC" w14:textId="77777777" w:rsidTr="003B0E4A">
        <w:tc>
          <w:tcPr>
            <w:tcW w:w="2408" w:type="dxa"/>
            <w:vAlign w:val="center"/>
          </w:tcPr>
          <w:p w14:paraId="7D8685C0" w14:textId="75B2F366"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Meropenem</w:t>
            </w:r>
          </w:p>
        </w:tc>
        <w:tc>
          <w:tcPr>
            <w:tcW w:w="424" w:type="dxa"/>
            <w:vAlign w:val="center"/>
          </w:tcPr>
          <w:p w14:paraId="2CC6153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629434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4 </w:t>
            </w:r>
            <w:r>
              <w:rPr>
                <w:rFonts w:ascii="Arial" w:hAnsi="Arial" w:cs="Arial"/>
                <w:sz w:val="20"/>
                <w:szCs w:val="20"/>
              </w:rPr>
              <w:t>(5.</w:t>
            </w:r>
            <w:r w:rsidRPr="002E13D8">
              <w:rPr>
                <w:rFonts w:ascii="Arial" w:hAnsi="Arial" w:cs="Arial"/>
                <w:sz w:val="20"/>
                <w:szCs w:val="20"/>
              </w:rPr>
              <w:t>1)</w:t>
            </w:r>
          </w:p>
        </w:tc>
        <w:tc>
          <w:tcPr>
            <w:tcW w:w="1134" w:type="dxa"/>
            <w:vAlign w:val="center"/>
          </w:tcPr>
          <w:p w14:paraId="380732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11 </w:t>
            </w:r>
            <w:r>
              <w:rPr>
                <w:rFonts w:ascii="Arial" w:hAnsi="Arial" w:cs="Arial"/>
                <w:sz w:val="20"/>
                <w:szCs w:val="20"/>
              </w:rPr>
              <w:t>(12.</w:t>
            </w:r>
            <w:r w:rsidRPr="002E13D8">
              <w:rPr>
                <w:rFonts w:ascii="Arial" w:hAnsi="Arial" w:cs="Arial"/>
                <w:sz w:val="20"/>
                <w:szCs w:val="20"/>
              </w:rPr>
              <w:t>7)</w:t>
            </w:r>
          </w:p>
        </w:tc>
        <w:tc>
          <w:tcPr>
            <w:tcW w:w="1276" w:type="dxa"/>
            <w:vAlign w:val="center"/>
          </w:tcPr>
          <w:p w14:paraId="073B19B5" w14:textId="77777777" w:rsidR="005C2394" w:rsidRPr="002E13D8" w:rsidRDefault="005C2394" w:rsidP="00344259">
            <w:pPr>
              <w:jc w:val="center"/>
              <w:rPr>
                <w:rFonts w:ascii="Arial" w:hAnsi="Arial" w:cs="Arial"/>
                <w:sz w:val="20"/>
                <w:szCs w:val="20"/>
              </w:rPr>
            </w:pPr>
            <w:r>
              <w:rPr>
                <w:rFonts w:ascii="Arial" w:hAnsi="Arial" w:cs="Arial"/>
                <w:sz w:val="20"/>
                <w:szCs w:val="20"/>
              </w:rPr>
              <w:t>2 (9.</w:t>
            </w:r>
            <w:r w:rsidRPr="002E13D8">
              <w:rPr>
                <w:rFonts w:ascii="Arial" w:hAnsi="Arial" w:cs="Arial"/>
                <w:sz w:val="20"/>
                <w:szCs w:val="20"/>
              </w:rPr>
              <w:t>1)</w:t>
            </w:r>
          </w:p>
        </w:tc>
        <w:tc>
          <w:tcPr>
            <w:tcW w:w="1276" w:type="dxa"/>
            <w:vAlign w:val="center"/>
          </w:tcPr>
          <w:p w14:paraId="0155DE6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w:t>
            </w:r>
            <w:r>
              <w:rPr>
                <w:rFonts w:ascii="Arial" w:hAnsi="Arial" w:cs="Arial"/>
                <w:sz w:val="20"/>
                <w:szCs w:val="20"/>
              </w:rPr>
              <w:t xml:space="preserve"> (21.</w:t>
            </w:r>
            <w:r w:rsidRPr="002E13D8">
              <w:rPr>
                <w:rFonts w:ascii="Arial" w:hAnsi="Arial" w:cs="Arial"/>
                <w:sz w:val="20"/>
                <w:szCs w:val="20"/>
              </w:rPr>
              <w:t>0)</w:t>
            </w:r>
          </w:p>
        </w:tc>
        <w:tc>
          <w:tcPr>
            <w:tcW w:w="1134" w:type="dxa"/>
            <w:vAlign w:val="center"/>
          </w:tcPr>
          <w:p w14:paraId="5642620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4BB84286" w14:textId="77777777" w:rsidR="005C2394" w:rsidRPr="002E13D8" w:rsidRDefault="005C2394" w:rsidP="00344259">
            <w:pPr>
              <w:rPr>
                <w:rFonts w:ascii="Arial" w:hAnsi="Arial" w:cs="Arial"/>
                <w:sz w:val="20"/>
                <w:szCs w:val="20"/>
              </w:rPr>
            </w:pPr>
            <w:r w:rsidRPr="002E13D8">
              <w:rPr>
                <w:rFonts w:ascii="Arial" w:hAnsi="Arial" w:cs="Arial"/>
                <w:sz w:val="20"/>
                <w:szCs w:val="20"/>
              </w:rPr>
              <w:t>2 (</w:t>
            </w:r>
            <w:r>
              <w:rPr>
                <w:rFonts w:ascii="Arial" w:hAnsi="Arial" w:cs="Arial"/>
                <w:sz w:val="20"/>
                <w:szCs w:val="20"/>
              </w:rPr>
              <w:t>33.</w:t>
            </w:r>
            <w:r w:rsidRPr="002E13D8">
              <w:rPr>
                <w:rFonts w:ascii="Arial" w:hAnsi="Arial" w:cs="Arial"/>
                <w:sz w:val="20"/>
                <w:szCs w:val="20"/>
              </w:rPr>
              <w:t>3)</w:t>
            </w:r>
          </w:p>
        </w:tc>
        <w:tc>
          <w:tcPr>
            <w:tcW w:w="1276" w:type="dxa"/>
            <w:vAlign w:val="center"/>
          </w:tcPr>
          <w:p w14:paraId="76DCDDA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vAlign w:val="center"/>
          </w:tcPr>
          <w:p w14:paraId="12303ABE"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11.</w:t>
            </w:r>
            <w:r w:rsidRPr="002E13D8">
              <w:rPr>
                <w:rFonts w:ascii="Arial" w:hAnsi="Arial" w:cs="Arial"/>
                <w:sz w:val="20"/>
                <w:szCs w:val="20"/>
              </w:rPr>
              <w:t>5)</w:t>
            </w:r>
          </w:p>
        </w:tc>
        <w:tc>
          <w:tcPr>
            <w:tcW w:w="1134" w:type="dxa"/>
            <w:vAlign w:val="center"/>
          </w:tcPr>
          <w:p w14:paraId="5F4A543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418E20A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CFC974E" w14:textId="77777777" w:rsidTr="003B0E4A">
        <w:tc>
          <w:tcPr>
            <w:tcW w:w="2408" w:type="dxa"/>
            <w:vAlign w:val="center"/>
          </w:tcPr>
          <w:p w14:paraId="73674EE6" w14:textId="7BA7EAD9"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Ertapenem</w:t>
            </w:r>
          </w:p>
        </w:tc>
        <w:tc>
          <w:tcPr>
            <w:tcW w:w="424" w:type="dxa"/>
            <w:vAlign w:val="center"/>
          </w:tcPr>
          <w:p w14:paraId="5D4ACE3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9D59C73" w14:textId="77777777" w:rsidR="005C2394" w:rsidRPr="002E13D8" w:rsidRDefault="005C2394" w:rsidP="00344259">
            <w:pPr>
              <w:rPr>
                <w:rFonts w:ascii="Arial" w:hAnsi="Arial" w:cs="Arial"/>
                <w:sz w:val="20"/>
                <w:szCs w:val="20"/>
              </w:rPr>
            </w:pPr>
            <w:r>
              <w:rPr>
                <w:rFonts w:ascii="Arial" w:hAnsi="Arial" w:cs="Arial"/>
                <w:sz w:val="20"/>
                <w:szCs w:val="20"/>
              </w:rPr>
              <w:t>10 (12.</w:t>
            </w:r>
            <w:r w:rsidRPr="002E13D8">
              <w:rPr>
                <w:rFonts w:ascii="Arial" w:hAnsi="Arial" w:cs="Arial"/>
                <w:sz w:val="20"/>
                <w:szCs w:val="20"/>
              </w:rPr>
              <w:t>7)</w:t>
            </w:r>
          </w:p>
        </w:tc>
        <w:tc>
          <w:tcPr>
            <w:tcW w:w="1134" w:type="dxa"/>
            <w:vAlign w:val="center"/>
          </w:tcPr>
          <w:p w14:paraId="32DFAF69" w14:textId="77777777" w:rsidR="005C2394" w:rsidRPr="002E13D8" w:rsidRDefault="005C2394" w:rsidP="00344259">
            <w:pPr>
              <w:jc w:val="center"/>
              <w:rPr>
                <w:rFonts w:ascii="Arial" w:hAnsi="Arial" w:cs="Arial"/>
                <w:sz w:val="20"/>
                <w:szCs w:val="20"/>
              </w:rPr>
            </w:pPr>
            <w:r>
              <w:rPr>
                <w:rFonts w:ascii="Arial" w:hAnsi="Arial" w:cs="Arial"/>
                <w:sz w:val="20"/>
                <w:szCs w:val="20"/>
              </w:rPr>
              <w:t>31 (35.</w:t>
            </w:r>
            <w:r w:rsidRPr="002E13D8">
              <w:rPr>
                <w:rFonts w:ascii="Arial" w:hAnsi="Arial" w:cs="Arial"/>
                <w:sz w:val="20"/>
                <w:szCs w:val="20"/>
              </w:rPr>
              <w:t>6)</w:t>
            </w:r>
          </w:p>
        </w:tc>
        <w:tc>
          <w:tcPr>
            <w:tcW w:w="1276" w:type="dxa"/>
            <w:vAlign w:val="center"/>
          </w:tcPr>
          <w:p w14:paraId="4A591B7F"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6 (27.</w:t>
            </w:r>
            <w:r w:rsidRPr="002E13D8">
              <w:rPr>
                <w:rFonts w:ascii="Arial" w:hAnsi="Arial" w:cs="Arial"/>
                <w:sz w:val="20"/>
                <w:szCs w:val="20"/>
              </w:rPr>
              <w:t>3)</w:t>
            </w:r>
          </w:p>
        </w:tc>
        <w:tc>
          <w:tcPr>
            <w:tcW w:w="1276" w:type="dxa"/>
            <w:vAlign w:val="center"/>
          </w:tcPr>
          <w:p w14:paraId="5780B47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(57</w:t>
            </w:r>
            <w:r>
              <w:rPr>
                <w:rFonts w:ascii="Arial" w:hAnsi="Arial" w:cs="Arial"/>
                <w:sz w:val="20"/>
                <w:szCs w:val="20"/>
              </w:rPr>
              <w:t>.</w:t>
            </w:r>
            <w:r w:rsidRPr="002E13D8">
              <w:rPr>
                <w:rFonts w:ascii="Arial" w:hAnsi="Arial" w:cs="Arial"/>
                <w:sz w:val="20"/>
                <w:szCs w:val="20"/>
              </w:rPr>
              <w:t>9)</w:t>
            </w:r>
          </w:p>
        </w:tc>
        <w:tc>
          <w:tcPr>
            <w:tcW w:w="1134" w:type="dxa"/>
            <w:vAlign w:val="center"/>
          </w:tcPr>
          <w:p w14:paraId="7F99526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37FB8406" w14:textId="77777777" w:rsidR="005C2394" w:rsidRPr="002E13D8" w:rsidRDefault="005C2394" w:rsidP="00344259">
            <w:pPr>
              <w:rPr>
                <w:rFonts w:ascii="Arial" w:hAnsi="Arial" w:cs="Arial"/>
                <w:sz w:val="20"/>
                <w:szCs w:val="20"/>
              </w:rPr>
            </w:pPr>
            <w:r>
              <w:rPr>
                <w:rFonts w:ascii="Arial" w:hAnsi="Arial" w:cs="Arial"/>
                <w:sz w:val="20"/>
                <w:szCs w:val="20"/>
              </w:rPr>
              <w:t>3 (50.</w:t>
            </w:r>
            <w:r w:rsidRPr="002E13D8">
              <w:rPr>
                <w:rFonts w:ascii="Arial" w:hAnsi="Arial" w:cs="Arial"/>
                <w:sz w:val="20"/>
                <w:szCs w:val="20"/>
              </w:rPr>
              <w:t>0)</w:t>
            </w:r>
          </w:p>
        </w:tc>
        <w:tc>
          <w:tcPr>
            <w:tcW w:w="1276" w:type="dxa"/>
            <w:vAlign w:val="center"/>
          </w:tcPr>
          <w:p w14:paraId="4704BA0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vAlign w:val="center"/>
          </w:tcPr>
          <w:p w14:paraId="1B60EB2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23.</w:t>
            </w:r>
            <w:r w:rsidRPr="002E13D8">
              <w:rPr>
                <w:rFonts w:ascii="Arial" w:hAnsi="Arial" w:cs="Arial"/>
                <w:sz w:val="20"/>
                <w:szCs w:val="20"/>
              </w:rPr>
              <w:t>1)</w:t>
            </w:r>
          </w:p>
        </w:tc>
        <w:tc>
          <w:tcPr>
            <w:tcW w:w="1134" w:type="dxa"/>
            <w:vAlign w:val="center"/>
          </w:tcPr>
          <w:p w14:paraId="7029AD0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09E0B7E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7B28D71B" w14:textId="77777777" w:rsidTr="003B0E4A">
        <w:tc>
          <w:tcPr>
            <w:tcW w:w="2408" w:type="dxa"/>
            <w:vAlign w:val="center"/>
          </w:tcPr>
          <w:p w14:paraId="51453226" w14:textId="5F3389EE" w:rsidR="005C2394" w:rsidRPr="002E13D8" w:rsidRDefault="008D219E" w:rsidP="00344259">
            <w:pPr>
              <w:jc w:val="center"/>
              <w:rPr>
                <w:rFonts w:ascii="Arial" w:hAnsi="Arial" w:cs="Arial"/>
                <w:sz w:val="20"/>
                <w:szCs w:val="20"/>
              </w:rPr>
            </w:pPr>
            <w:r w:rsidRPr="002E13D8">
              <w:rPr>
                <w:rFonts w:ascii="Arial" w:eastAsia="Times New Roman" w:hAnsi="Arial" w:cs="Arial"/>
                <w:color w:val="000000"/>
                <w:sz w:val="20"/>
                <w:szCs w:val="20"/>
                <w:lang w:eastAsia="fr-FR"/>
              </w:rPr>
              <w:t>Ceftazidime-avibactam</w:t>
            </w:r>
          </w:p>
        </w:tc>
        <w:tc>
          <w:tcPr>
            <w:tcW w:w="424" w:type="dxa"/>
            <w:vAlign w:val="center"/>
          </w:tcPr>
          <w:p w14:paraId="66A1B91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54686AA" w14:textId="77777777" w:rsidR="005C2394" w:rsidRPr="002E13D8" w:rsidRDefault="005C2394" w:rsidP="00344259">
            <w:pPr>
              <w:rPr>
                <w:rFonts w:ascii="Arial" w:hAnsi="Arial" w:cs="Arial"/>
                <w:sz w:val="20"/>
                <w:szCs w:val="20"/>
              </w:rPr>
            </w:pPr>
            <w:r>
              <w:rPr>
                <w:rFonts w:ascii="Arial" w:hAnsi="Arial" w:cs="Arial"/>
                <w:sz w:val="20"/>
                <w:szCs w:val="20"/>
              </w:rPr>
              <w:t>11 (13.</w:t>
            </w:r>
            <w:r w:rsidRPr="002E13D8">
              <w:rPr>
                <w:rFonts w:ascii="Arial" w:hAnsi="Arial" w:cs="Arial"/>
                <w:sz w:val="20"/>
                <w:szCs w:val="20"/>
              </w:rPr>
              <w:t>9)</w:t>
            </w:r>
          </w:p>
        </w:tc>
        <w:tc>
          <w:tcPr>
            <w:tcW w:w="1134" w:type="dxa"/>
            <w:vAlign w:val="center"/>
          </w:tcPr>
          <w:p w14:paraId="5DA90365" w14:textId="77777777" w:rsidR="005C2394" w:rsidRPr="002E13D8" w:rsidRDefault="005C2394" w:rsidP="00344259">
            <w:pPr>
              <w:jc w:val="center"/>
              <w:rPr>
                <w:rFonts w:ascii="Arial" w:hAnsi="Arial" w:cs="Arial"/>
                <w:sz w:val="20"/>
                <w:szCs w:val="20"/>
              </w:rPr>
            </w:pPr>
            <w:r>
              <w:rPr>
                <w:rFonts w:ascii="Arial" w:hAnsi="Arial" w:cs="Arial"/>
                <w:sz w:val="20"/>
                <w:szCs w:val="20"/>
              </w:rPr>
              <w:t>23 (26.</w:t>
            </w:r>
            <w:r w:rsidRPr="002E13D8">
              <w:rPr>
                <w:rFonts w:ascii="Arial" w:hAnsi="Arial" w:cs="Arial"/>
                <w:sz w:val="20"/>
                <w:szCs w:val="20"/>
              </w:rPr>
              <w:t>4)</w:t>
            </w:r>
          </w:p>
        </w:tc>
        <w:tc>
          <w:tcPr>
            <w:tcW w:w="1276" w:type="dxa"/>
            <w:vAlign w:val="center"/>
          </w:tcPr>
          <w:p w14:paraId="37F41927" w14:textId="77777777" w:rsidR="005C2394" w:rsidRPr="002E13D8" w:rsidRDefault="005C2394" w:rsidP="00344259">
            <w:pPr>
              <w:jc w:val="center"/>
              <w:rPr>
                <w:rFonts w:ascii="Arial" w:hAnsi="Arial" w:cs="Arial"/>
                <w:sz w:val="20"/>
                <w:szCs w:val="20"/>
              </w:rPr>
            </w:pPr>
            <w:r>
              <w:rPr>
                <w:rFonts w:ascii="Arial" w:hAnsi="Arial" w:cs="Arial"/>
                <w:sz w:val="20"/>
                <w:szCs w:val="20"/>
              </w:rPr>
              <w:t>5 (22.</w:t>
            </w:r>
            <w:r w:rsidRPr="002E13D8">
              <w:rPr>
                <w:rFonts w:ascii="Arial" w:hAnsi="Arial" w:cs="Arial"/>
                <w:sz w:val="20"/>
                <w:szCs w:val="20"/>
              </w:rPr>
              <w:t>7)</w:t>
            </w:r>
          </w:p>
        </w:tc>
        <w:tc>
          <w:tcPr>
            <w:tcW w:w="1276" w:type="dxa"/>
            <w:vAlign w:val="center"/>
          </w:tcPr>
          <w:p w14:paraId="2A75B06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9 (</w:t>
            </w:r>
            <w:r>
              <w:rPr>
                <w:rFonts w:ascii="Arial" w:hAnsi="Arial" w:cs="Arial"/>
                <w:sz w:val="20"/>
                <w:szCs w:val="20"/>
              </w:rPr>
              <w:t>47.</w:t>
            </w:r>
            <w:r w:rsidRPr="002E13D8">
              <w:rPr>
                <w:rFonts w:ascii="Arial" w:hAnsi="Arial" w:cs="Arial"/>
                <w:sz w:val="20"/>
                <w:szCs w:val="20"/>
              </w:rPr>
              <w:t>3)</w:t>
            </w:r>
          </w:p>
        </w:tc>
        <w:tc>
          <w:tcPr>
            <w:tcW w:w="1134" w:type="dxa"/>
            <w:vAlign w:val="center"/>
          </w:tcPr>
          <w:p w14:paraId="7FFC507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25.</w:t>
            </w:r>
            <w:r w:rsidRPr="002E13D8">
              <w:rPr>
                <w:rFonts w:ascii="Arial" w:hAnsi="Arial" w:cs="Arial"/>
                <w:sz w:val="20"/>
                <w:szCs w:val="20"/>
              </w:rPr>
              <w:t>0)</w:t>
            </w:r>
          </w:p>
        </w:tc>
        <w:tc>
          <w:tcPr>
            <w:tcW w:w="1134" w:type="dxa"/>
            <w:vAlign w:val="center"/>
          </w:tcPr>
          <w:p w14:paraId="0DA75C78" w14:textId="77777777" w:rsidR="005C2394" w:rsidRPr="002E13D8" w:rsidRDefault="005C2394" w:rsidP="00344259">
            <w:pPr>
              <w:rPr>
                <w:rFonts w:ascii="Arial" w:hAnsi="Arial" w:cs="Arial"/>
                <w:sz w:val="20"/>
                <w:szCs w:val="20"/>
              </w:rPr>
            </w:pPr>
            <w:r>
              <w:rPr>
                <w:rFonts w:ascii="Arial" w:hAnsi="Arial" w:cs="Arial"/>
                <w:sz w:val="20"/>
                <w:szCs w:val="20"/>
              </w:rPr>
              <w:t>2 (33.</w:t>
            </w:r>
            <w:r w:rsidRPr="002E13D8">
              <w:rPr>
                <w:rFonts w:ascii="Arial" w:hAnsi="Arial" w:cs="Arial"/>
                <w:sz w:val="20"/>
                <w:szCs w:val="20"/>
              </w:rPr>
              <w:t>3)</w:t>
            </w:r>
          </w:p>
        </w:tc>
        <w:tc>
          <w:tcPr>
            <w:tcW w:w="1276" w:type="dxa"/>
            <w:vAlign w:val="center"/>
          </w:tcPr>
          <w:p w14:paraId="6893117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 (</w:t>
            </w:r>
            <w:r>
              <w:rPr>
                <w:rFonts w:ascii="Arial" w:hAnsi="Arial" w:cs="Arial"/>
                <w:sz w:val="20"/>
                <w:szCs w:val="20"/>
              </w:rPr>
              <w:t>8.</w:t>
            </w:r>
            <w:r w:rsidRPr="002E13D8">
              <w:rPr>
                <w:rFonts w:ascii="Arial" w:hAnsi="Arial" w:cs="Arial"/>
                <w:sz w:val="20"/>
                <w:szCs w:val="20"/>
              </w:rPr>
              <w:t>7)</w:t>
            </w:r>
          </w:p>
        </w:tc>
        <w:tc>
          <w:tcPr>
            <w:tcW w:w="1275" w:type="dxa"/>
            <w:vAlign w:val="center"/>
          </w:tcPr>
          <w:p w14:paraId="6D1263C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23.</w:t>
            </w:r>
            <w:r w:rsidRPr="002E13D8">
              <w:rPr>
                <w:rFonts w:ascii="Arial" w:hAnsi="Arial" w:cs="Arial"/>
                <w:sz w:val="20"/>
                <w:szCs w:val="20"/>
              </w:rPr>
              <w:t>1)</w:t>
            </w:r>
          </w:p>
        </w:tc>
        <w:tc>
          <w:tcPr>
            <w:tcW w:w="1134" w:type="dxa"/>
            <w:vAlign w:val="center"/>
          </w:tcPr>
          <w:p w14:paraId="758A260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4FE0B91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298DCD4A" w14:textId="77777777" w:rsidTr="003B0E4A">
        <w:tc>
          <w:tcPr>
            <w:tcW w:w="2408" w:type="dxa"/>
            <w:vAlign w:val="center"/>
          </w:tcPr>
          <w:p w14:paraId="68D11267" w14:textId="3607F150"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Cefoxitin</w:t>
            </w:r>
          </w:p>
        </w:tc>
        <w:tc>
          <w:tcPr>
            <w:tcW w:w="424" w:type="dxa"/>
            <w:vAlign w:val="center"/>
          </w:tcPr>
          <w:p w14:paraId="37BBF35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072A54C" w14:textId="77777777" w:rsidR="005C2394" w:rsidRPr="002E13D8" w:rsidRDefault="005C2394" w:rsidP="00344259">
            <w:pPr>
              <w:rPr>
                <w:rFonts w:ascii="Arial" w:hAnsi="Arial" w:cs="Arial"/>
                <w:sz w:val="20"/>
                <w:szCs w:val="20"/>
              </w:rPr>
            </w:pPr>
            <w:r>
              <w:rPr>
                <w:rFonts w:ascii="Arial" w:hAnsi="Arial" w:cs="Arial"/>
                <w:sz w:val="20"/>
                <w:szCs w:val="20"/>
              </w:rPr>
              <w:t>15 (19.</w:t>
            </w:r>
            <w:r w:rsidRPr="002E13D8">
              <w:rPr>
                <w:rFonts w:ascii="Arial" w:hAnsi="Arial" w:cs="Arial"/>
                <w:sz w:val="20"/>
                <w:szCs w:val="20"/>
              </w:rPr>
              <w:t>0)</w:t>
            </w:r>
          </w:p>
        </w:tc>
        <w:tc>
          <w:tcPr>
            <w:tcW w:w="1134" w:type="dxa"/>
            <w:vAlign w:val="center"/>
          </w:tcPr>
          <w:p w14:paraId="093C2EE7" w14:textId="77777777" w:rsidR="005C2394" w:rsidRPr="002E13D8" w:rsidRDefault="005C2394" w:rsidP="00344259">
            <w:pPr>
              <w:jc w:val="center"/>
              <w:rPr>
                <w:rFonts w:ascii="Arial" w:hAnsi="Arial" w:cs="Arial"/>
                <w:sz w:val="20"/>
                <w:szCs w:val="20"/>
              </w:rPr>
            </w:pPr>
            <w:r>
              <w:rPr>
                <w:rFonts w:ascii="Arial" w:hAnsi="Arial" w:cs="Arial"/>
                <w:sz w:val="20"/>
                <w:szCs w:val="20"/>
              </w:rPr>
              <w:t>44 (50.</w:t>
            </w:r>
            <w:r w:rsidRPr="002E13D8">
              <w:rPr>
                <w:rFonts w:ascii="Arial" w:hAnsi="Arial" w:cs="Arial"/>
                <w:sz w:val="20"/>
                <w:szCs w:val="20"/>
              </w:rPr>
              <w:t>6)</w:t>
            </w:r>
          </w:p>
        </w:tc>
        <w:tc>
          <w:tcPr>
            <w:tcW w:w="1276" w:type="dxa"/>
            <w:vAlign w:val="center"/>
          </w:tcPr>
          <w:p w14:paraId="64E002AC"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22 (</w:t>
            </w:r>
            <w:r>
              <w:rPr>
                <w:rFonts w:ascii="Arial" w:hAnsi="Arial" w:cs="Arial"/>
                <w:sz w:val="20"/>
                <w:szCs w:val="20"/>
              </w:rPr>
              <w:t>100.</w:t>
            </w:r>
            <w:r w:rsidRPr="002E13D8">
              <w:rPr>
                <w:rFonts w:ascii="Arial" w:hAnsi="Arial" w:cs="Arial"/>
                <w:sz w:val="20"/>
                <w:szCs w:val="20"/>
              </w:rPr>
              <w:t>0)</w:t>
            </w:r>
          </w:p>
        </w:tc>
        <w:tc>
          <w:tcPr>
            <w:tcW w:w="1276" w:type="dxa"/>
            <w:vAlign w:val="center"/>
          </w:tcPr>
          <w:p w14:paraId="00D3678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15.</w:t>
            </w:r>
            <w:r w:rsidRPr="002E13D8">
              <w:rPr>
                <w:rFonts w:ascii="Arial" w:hAnsi="Arial" w:cs="Arial"/>
                <w:sz w:val="20"/>
                <w:szCs w:val="20"/>
              </w:rPr>
              <w:t>8)</w:t>
            </w:r>
          </w:p>
        </w:tc>
        <w:tc>
          <w:tcPr>
            <w:tcW w:w="1134" w:type="dxa"/>
            <w:vAlign w:val="center"/>
          </w:tcPr>
          <w:p w14:paraId="4936DD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 (</w:t>
            </w:r>
            <w:r>
              <w:rPr>
                <w:rFonts w:ascii="Arial" w:hAnsi="Arial" w:cs="Arial"/>
                <w:sz w:val="20"/>
                <w:szCs w:val="20"/>
              </w:rPr>
              <w:t>50.</w:t>
            </w:r>
            <w:r w:rsidRPr="002E13D8">
              <w:rPr>
                <w:rFonts w:ascii="Arial" w:hAnsi="Arial" w:cs="Arial"/>
                <w:sz w:val="20"/>
                <w:szCs w:val="20"/>
              </w:rPr>
              <w:t>0)</w:t>
            </w:r>
          </w:p>
        </w:tc>
        <w:tc>
          <w:tcPr>
            <w:tcW w:w="1134" w:type="dxa"/>
            <w:vAlign w:val="center"/>
          </w:tcPr>
          <w:p w14:paraId="58CB8BCC" w14:textId="77777777" w:rsidR="005C2394" w:rsidRPr="002E13D8" w:rsidRDefault="005C2394" w:rsidP="00344259">
            <w:pPr>
              <w:rPr>
                <w:rFonts w:ascii="Arial" w:hAnsi="Arial" w:cs="Arial"/>
                <w:sz w:val="20"/>
                <w:szCs w:val="20"/>
              </w:rPr>
            </w:pPr>
            <w:r>
              <w:rPr>
                <w:rFonts w:ascii="Arial" w:hAnsi="Arial" w:cs="Arial"/>
                <w:sz w:val="20"/>
                <w:szCs w:val="20"/>
              </w:rPr>
              <w:t>3 (50.</w:t>
            </w:r>
            <w:r w:rsidRPr="002E13D8">
              <w:rPr>
                <w:rFonts w:ascii="Arial" w:hAnsi="Arial" w:cs="Arial"/>
                <w:sz w:val="20"/>
                <w:szCs w:val="20"/>
              </w:rPr>
              <w:t>0)</w:t>
            </w:r>
          </w:p>
        </w:tc>
        <w:tc>
          <w:tcPr>
            <w:tcW w:w="1276" w:type="dxa"/>
            <w:vAlign w:val="center"/>
          </w:tcPr>
          <w:p w14:paraId="13BF066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14.</w:t>
            </w:r>
            <w:r w:rsidRPr="002E13D8">
              <w:rPr>
                <w:rFonts w:ascii="Arial" w:hAnsi="Arial" w:cs="Arial"/>
                <w:sz w:val="20"/>
                <w:szCs w:val="20"/>
              </w:rPr>
              <w:t>3)</w:t>
            </w:r>
          </w:p>
        </w:tc>
        <w:tc>
          <w:tcPr>
            <w:tcW w:w="1275" w:type="dxa"/>
            <w:vAlign w:val="center"/>
          </w:tcPr>
          <w:p w14:paraId="22644E9E"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10 (</w:t>
            </w:r>
            <w:r>
              <w:rPr>
                <w:rFonts w:ascii="Arial" w:hAnsi="Arial" w:cs="Arial"/>
                <w:sz w:val="20"/>
                <w:szCs w:val="20"/>
              </w:rPr>
              <w:t>38.</w:t>
            </w:r>
            <w:r w:rsidRPr="002E13D8">
              <w:rPr>
                <w:rFonts w:ascii="Arial" w:hAnsi="Arial" w:cs="Arial"/>
                <w:sz w:val="20"/>
                <w:szCs w:val="20"/>
              </w:rPr>
              <w:t>5)</w:t>
            </w:r>
          </w:p>
        </w:tc>
        <w:tc>
          <w:tcPr>
            <w:tcW w:w="1134" w:type="dxa"/>
            <w:vAlign w:val="center"/>
          </w:tcPr>
          <w:p w14:paraId="7D28D0A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21D9549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6B7D2A60" w14:textId="77777777" w:rsidTr="003B0E4A">
        <w:tc>
          <w:tcPr>
            <w:tcW w:w="2408" w:type="dxa"/>
            <w:vAlign w:val="center"/>
          </w:tcPr>
          <w:p w14:paraId="40095378" w14:textId="7E51050B"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Piperacillin</w:t>
            </w:r>
            <w:r w:rsidRPr="002E13D8">
              <w:rPr>
                <w:rFonts w:ascii="Arial" w:eastAsia="Times New Roman" w:hAnsi="Arial" w:cs="Arial"/>
                <w:color w:val="000000"/>
                <w:sz w:val="20"/>
                <w:szCs w:val="20"/>
                <w:lang w:eastAsia="fr-FR"/>
              </w:rPr>
              <w:t>-tazobactam</w:t>
            </w:r>
          </w:p>
        </w:tc>
        <w:tc>
          <w:tcPr>
            <w:tcW w:w="424" w:type="dxa"/>
            <w:vAlign w:val="center"/>
          </w:tcPr>
          <w:p w14:paraId="40D3F64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E9C4A9A" w14:textId="77777777" w:rsidR="005C2394" w:rsidRPr="002E13D8" w:rsidRDefault="005C2394" w:rsidP="00344259">
            <w:pPr>
              <w:rPr>
                <w:rFonts w:ascii="Arial" w:hAnsi="Arial" w:cs="Arial"/>
                <w:sz w:val="20"/>
                <w:szCs w:val="20"/>
              </w:rPr>
            </w:pPr>
            <w:r>
              <w:rPr>
                <w:rFonts w:ascii="Arial" w:hAnsi="Arial" w:cs="Arial"/>
                <w:sz w:val="20"/>
                <w:szCs w:val="20"/>
              </w:rPr>
              <w:t>17 (21.</w:t>
            </w:r>
            <w:r w:rsidRPr="002E13D8">
              <w:rPr>
                <w:rFonts w:ascii="Arial" w:hAnsi="Arial" w:cs="Arial"/>
                <w:sz w:val="20"/>
                <w:szCs w:val="20"/>
              </w:rPr>
              <w:t>5)</w:t>
            </w:r>
          </w:p>
        </w:tc>
        <w:tc>
          <w:tcPr>
            <w:tcW w:w="1134" w:type="dxa"/>
            <w:vAlign w:val="center"/>
          </w:tcPr>
          <w:p w14:paraId="6CE6C7FD" w14:textId="77777777" w:rsidR="005C2394" w:rsidRPr="002E13D8" w:rsidRDefault="005C2394" w:rsidP="00344259">
            <w:pPr>
              <w:jc w:val="center"/>
              <w:rPr>
                <w:rFonts w:ascii="Arial" w:hAnsi="Arial" w:cs="Arial"/>
                <w:sz w:val="20"/>
                <w:szCs w:val="20"/>
              </w:rPr>
            </w:pPr>
            <w:r>
              <w:rPr>
                <w:rFonts w:ascii="Arial" w:hAnsi="Arial" w:cs="Arial"/>
                <w:sz w:val="20"/>
                <w:szCs w:val="20"/>
              </w:rPr>
              <w:t>49 (56.</w:t>
            </w:r>
            <w:r w:rsidRPr="002E13D8">
              <w:rPr>
                <w:rFonts w:ascii="Arial" w:hAnsi="Arial" w:cs="Arial"/>
                <w:sz w:val="20"/>
                <w:szCs w:val="20"/>
              </w:rPr>
              <w:t>3)</w:t>
            </w:r>
          </w:p>
        </w:tc>
        <w:tc>
          <w:tcPr>
            <w:tcW w:w="1276" w:type="dxa"/>
            <w:vAlign w:val="center"/>
          </w:tcPr>
          <w:p w14:paraId="6C93312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27.</w:t>
            </w:r>
            <w:r w:rsidRPr="002E13D8">
              <w:rPr>
                <w:rFonts w:ascii="Arial" w:hAnsi="Arial" w:cs="Arial"/>
                <w:sz w:val="20"/>
                <w:szCs w:val="20"/>
              </w:rPr>
              <w:t>3)</w:t>
            </w:r>
          </w:p>
        </w:tc>
        <w:tc>
          <w:tcPr>
            <w:tcW w:w="1276" w:type="dxa"/>
            <w:vAlign w:val="center"/>
          </w:tcPr>
          <w:p w14:paraId="65D1123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w:t>
            </w:r>
            <w:r>
              <w:rPr>
                <w:rFonts w:ascii="Arial" w:hAnsi="Arial" w:cs="Arial"/>
                <w:sz w:val="20"/>
                <w:szCs w:val="20"/>
              </w:rPr>
              <w:t>57.</w:t>
            </w:r>
            <w:r w:rsidRPr="002E13D8">
              <w:rPr>
                <w:rFonts w:ascii="Arial" w:hAnsi="Arial" w:cs="Arial"/>
                <w:sz w:val="20"/>
                <w:szCs w:val="20"/>
              </w:rPr>
              <w:t>9)</w:t>
            </w:r>
          </w:p>
        </w:tc>
        <w:tc>
          <w:tcPr>
            <w:tcW w:w="1134" w:type="dxa"/>
            <w:vAlign w:val="center"/>
          </w:tcPr>
          <w:p w14:paraId="20B47D4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25.</w:t>
            </w:r>
            <w:r w:rsidRPr="002E13D8">
              <w:rPr>
                <w:rFonts w:ascii="Arial" w:hAnsi="Arial" w:cs="Arial"/>
                <w:sz w:val="20"/>
                <w:szCs w:val="20"/>
              </w:rPr>
              <w:t>0)</w:t>
            </w:r>
          </w:p>
        </w:tc>
        <w:tc>
          <w:tcPr>
            <w:tcW w:w="1134" w:type="dxa"/>
            <w:vAlign w:val="center"/>
          </w:tcPr>
          <w:p w14:paraId="47360612" w14:textId="77777777" w:rsidR="005C2394" w:rsidRPr="002E13D8" w:rsidRDefault="005C2394" w:rsidP="00344259">
            <w:pPr>
              <w:rPr>
                <w:rFonts w:ascii="Arial" w:hAnsi="Arial" w:cs="Arial"/>
                <w:sz w:val="20"/>
                <w:szCs w:val="20"/>
              </w:rPr>
            </w:pPr>
            <w:r w:rsidRPr="002E13D8">
              <w:rPr>
                <w:rFonts w:ascii="Arial" w:hAnsi="Arial" w:cs="Arial"/>
                <w:sz w:val="20"/>
                <w:szCs w:val="20"/>
              </w:rPr>
              <w:t xml:space="preserve">4 </w:t>
            </w:r>
            <w:r>
              <w:rPr>
                <w:rFonts w:ascii="Arial" w:hAnsi="Arial" w:cs="Arial"/>
                <w:sz w:val="20"/>
                <w:szCs w:val="20"/>
              </w:rPr>
              <w:t>(66.</w:t>
            </w:r>
            <w:r w:rsidRPr="002E13D8">
              <w:rPr>
                <w:rFonts w:ascii="Arial" w:hAnsi="Arial" w:cs="Arial"/>
                <w:sz w:val="20"/>
                <w:szCs w:val="20"/>
              </w:rPr>
              <w:t>7)</w:t>
            </w:r>
          </w:p>
        </w:tc>
        <w:tc>
          <w:tcPr>
            <w:tcW w:w="1276" w:type="dxa"/>
            <w:vAlign w:val="center"/>
          </w:tcPr>
          <w:p w14:paraId="7E93CA1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17.</w:t>
            </w:r>
            <w:r w:rsidRPr="002E13D8">
              <w:rPr>
                <w:rFonts w:ascii="Arial" w:hAnsi="Arial" w:cs="Arial"/>
                <w:sz w:val="20"/>
                <w:szCs w:val="20"/>
              </w:rPr>
              <w:t>4)</w:t>
            </w:r>
          </w:p>
        </w:tc>
        <w:tc>
          <w:tcPr>
            <w:tcW w:w="1275" w:type="dxa"/>
            <w:vAlign w:val="center"/>
          </w:tcPr>
          <w:p w14:paraId="06BD91C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w:t>
            </w:r>
            <w:r>
              <w:rPr>
                <w:rFonts w:ascii="Arial" w:hAnsi="Arial" w:cs="Arial"/>
                <w:sz w:val="20"/>
                <w:szCs w:val="20"/>
              </w:rPr>
              <w:t>57.</w:t>
            </w:r>
            <w:r w:rsidRPr="002E13D8">
              <w:rPr>
                <w:rFonts w:ascii="Arial" w:hAnsi="Arial" w:cs="Arial"/>
                <w:sz w:val="20"/>
                <w:szCs w:val="20"/>
              </w:rPr>
              <w:t>6)</w:t>
            </w:r>
          </w:p>
        </w:tc>
        <w:tc>
          <w:tcPr>
            <w:tcW w:w="1134" w:type="dxa"/>
            <w:vAlign w:val="center"/>
          </w:tcPr>
          <w:p w14:paraId="318D5D1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738721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A2FED58" w14:textId="77777777" w:rsidTr="003B0E4A">
        <w:tc>
          <w:tcPr>
            <w:tcW w:w="2408" w:type="dxa"/>
            <w:vAlign w:val="center"/>
          </w:tcPr>
          <w:p w14:paraId="3BCF9F29" w14:textId="55A92DA7"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Gentamicin</w:t>
            </w:r>
          </w:p>
        </w:tc>
        <w:tc>
          <w:tcPr>
            <w:tcW w:w="424" w:type="dxa"/>
            <w:vAlign w:val="center"/>
          </w:tcPr>
          <w:p w14:paraId="2719AC2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EEE403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43 </w:t>
            </w:r>
            <w:r>
              <w:rPr>
                <w:rFonts w:ascii="Arial" w:hAnsi="Arial" w:cs="Arial"/>
                <w:sz w:val="20"/>
                <w:szCs w:val="20"/>
              </w:rPr>
              <w:t>(54.</w:t>
            </w:r>
            <w:r w:rsidRPr="002E13D8">
              <w:rPr>
                <w:rFonts w:ascii="Arial" w:hAnsi="Arial" w:cs="Arial"/>
                <w:sz w:val="20"/>
                <w:szCs w:val="20"/>
              </w:rPr>
              <w:t>4)</w:t>
            </w:r>
          </w:p>
        </w:tc>
        <w:tc>
          <w:tcPr>
            <w:tcW w:w="1134" w:type="dxa"/>
            <w:vAlign w:val="center"/>
          </w:tcPr>
          <w:p w14:paraId="352254F9" w14:textId="77777777" w:rsidR="005C2394" w:rsidRPr="002E13D8" w:rsidRDefault="005C2394" w:rsidP="00344259">
            <w:pPr>
              <w:jc w:val="center"/>
              <w:rPr>
                <w:rFonts w:ascii="Arial" w:hAnsi="Arial" w:cs="Arial"/>
                <w:sz w:val="20"/>
                <w:szCs w:val="20"/>
              </w:rPr>
            </w:pPr>
            <w:r>
              <w:rPr>
                <w:rFonts w:ascii="Arial" w:hAnsi="Arial" w:cs="Arial"/>
                <w:sz w:val="20"/>
                <w:szCs w:val="20"/>
              </w:rPr>
              <w:t>57 (65.</w:t>
            </w:r>
            <w:r w:rsidRPr="002E13D8">
              <w:rPr>
                <w:rFonts w:ascii="Arial" w:hAnsi="Arial" w:cs="Arial"/>
                <w:sz w:val="20"/>
                <w:szCs w:val="20"/>
              </w:rPr>
              <w:t>5)</w:t>
            </w:r>
          </w:p>
        </w:tc>
        <w:tc>
          <w:tcPr>
            <w:tcW w:w="1276" w:type="dxa"/>
            <w:vAlign w:val="center"/>
          </w:tcPr>
          <w:p w14:paraId="0122A9E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14 (</w:t>
            </w:r>
            <w:r>
              <w:rPr>
                <w:rFonts w:ascii="Arial" w:hAnsi="Arial" w:cs="Arial"/>
                <w:sz w:val="20"/>
                <w:szCs w:val="20"/>
              </w:rPr>
              <w:t>63.</w:t>
            </w:r>
            <w:r w:rsidRPr="002E13D8">
              <w:rPr>
                <w:rFonts w:ascii="Arial" w:hAnsi="Arial" w:cs="Arial"/>
                <w:sz w:val="20"/>
                <w:szCs w:val="20"/>
              </w:rPr>
              <w:t>6)</w:t>
            </w:r>
          </w:p>
        </w:tc>
        <w:tc>
          <w:tcPr>
            <w:tcW w:w="1276" w:type="dxa"/>
            <w:vAlign w:val="center"/>
          </w:tcPr>
          <w:p w14:paraId="29DBD2E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(79</w:t>
            </w:r>
            <w:r>
              <w:rPr>
                <w:rFonts w:ascii="Arial" w:hAnsi="Arial" w:cs="Arial"/>
                <w:sz w:val="20"/>
                <w:szCs w:val="20"/>
              </w:rPr>
              <w:t>.</w:t>
            </w:r>
            <w:r w:rsidRPr="002E13D8">
              <w:rPr>
                <w:rFonts w:ascii="Arial" w:hAnsi="Arial" w:cs="Arial"/>
                <w:sz w:val="20"/>
                <w:szCs w:val="20"/>
              </w:rPr>
              <w:t>0)</w:t>
            </w:r>
          </w:p>
        </w:tc>
        <w:tc>
          <w:tcPr>
            <w:tcW w:w="1134" w:type="dxa"/>
            <w:vAlign w:val="center"/>
          </w:tcPr>
          <w:p w14:paraId="71371AF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(100</w:t>
            </w:r>
            <w:r>
              <w:rPr>
                <w:rFonts w:ascii="Arial" w:hAnsi="Arial" w:cs="Arial"/>
                <w:sz w:val="20"/>
                <w:szCs w:val="20"/>
              </w:rPr>
              <w:t>.</w:t>
            </w:r>
            <w:r w:rsidRPr="002E13D8">
              <w:rPr>
                <w:rFonts w:ascii="Arial" w:hAnsi="Arial" w:cs="Arial"/>
                <w:sz w:val="20"/>
                <w:szCs w:val="20"/>
              </w:rPr>
              <w:t>0)</w:t>
            </w:r>
          </w:p>
        </w:tc>
        <w:tc>
          <w:tcPr>
            <w:tcW w:w="1134" w:type="dxa"/>
            <w:vAlign w:val="center"/>
          </w:tcPr>
          <w:p w14:paraId="6A13929F"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0BECC83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4.</w:t>
            </w:r>
            <w:r w:rsidRPr="002E13D8">
              <w:rPr>
                <w:rFonts w:ascii="Arial" w:hAnsi="Arial" w:cs="Arial"/>
                <w:sz w:val="20"/>
                <w:szCs w:val="20"/>
              </w:rPr>
              <w:t>3)</w:t>
            </w:r>
          </w:p>
        </w:tc>
        <w:tc>
          <w:tcPr>
            <w:tcW w:w="1275" w:type="dxa"/>
            <w:vAlign w:val="center"/>
          </w:tcPr>
          <w:p w14:paraId="15CA83E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19 (</w:t>
            </w:r>
            <w:r>
              <w:rPr>
                <w:rFonts w:ascii="Arial" w:hAnsi="Arial" w:cs="Arial"/>
                <w:sz w:val="20"/>
                <w:szCs w:val="20"/>
              </w:rPr>
              <w:t>73.</w:t>
            </w:r>
            <w:r w:rsidRPr="002E13D8">
              <w:rPr>
                <w:rFonts w:ascii="Arial" w:hAnsi="Arial" w:cs="Arial"/>
                <w:sz w:val="20"/>
                <w:szCs w:val="20"/>
              </w:rPr>
              <w:t>1)</w:t>
            </w:r>
          </w:p>
        </w:tc>
        <w:tc>
          <w:tcPr>
            <w:tcW w:w="1134" w:type="dxa"/>
            <w:vAlign w:val="center"/>
          </w:tcPr>
          <w:p w14:paraId="15333A8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958AE9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1FB7090D" w14:textId="77777777" w:rsidTr="003B0E4A">
        <w:tc>
          <w:tcPr>
            <w:tcW w:w="2408" w:type="dxa"/>
            <w:vAlign w:val="center"/>
          </w:tcPr>
          <w:p w14:paraId="6BB10BCD" w14:textId="0C94873E"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Ciprof</w:t>
            </w:r>
            <w:r w:rsidR="00431CD7">
              <w:rPr>
                <w:rFonts w:ascii="Arial" w:eastAsia="Times New Roman" w:hAnsi="Arial" w:cs="Arial"/>
                <w:color w:val="000000"/>
                <w:sz w:val="20"/>
                <w:szCs w:val="20"/>
                <w:lang w:eastAsia="fr-FR"/>
              </w:rPr>
              <w:t>l</w:t>
            </w:r>
            <w:r>
              <w:rPr>
                <w:rFonts w:ascii="Arial" w:eastAsia="Times New Roman" w:hAnsi="Arial" w:cs="Arial"/>
                <w:color w:val="000000"/>
                <w:sz w:val="20"/>
                <w:szCs w:val="20"/>
                <w:lang w:eastAsia="fr-FR"/>
              </w:rPr>
              <w:t>oxacin</w:t>
            </w:r>
          </w:p>
        </w:tc>
        <w:tc>
          <w:tcPr>
            <w:tcW w:w="424" w:type="dxa"/>
            <w:vAlign w:val="center"/>
          </w:tcPr>
          <w:p w14:paraId="021EB89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F9BB80A" w14:textId="77777777" w:rsidR="005C2394" w:rsidRPr="002E13D8" w:rsidRDefault="005C2394" w:rsidP="00344259">
            <w:pPr>
              <w:jc w:val="center"/>
              <w:rPr>
                <w:rFonts w:ascii="Arial" w:hAnsi="Arial" w:cs="Arial"/>
                <w:sz w:val="20"/>
                <w:szCs w:val="20"/>
              </w:rPr>
            </w:pPr>
            <w:r>
              <w:rPr>
                <w:rFonts w:ascii="Arial" w:hAnsi="Arial" w:cs="Arial"/>
                <w:sz w:val="20"/>
                <w:szCs w:val="20"/>
              </w:rPr>
              <w:t>70 (88.</w:t>
            </w:r>
            <w:r w:rsidRPr="002E13D8">
              <w:rPr>
                <w:rFonts w:ascii="Arial" w:hAnsi="Arial" w:cs="Arial"/>
                <w:sz w:val="20"/>
                <w:szCs w:val="20"/>
              </w:rPr>
              <w:t>6)</w:t>
            </w:r>
          </w:p>
        </w:tc>
        <w:tc>
          <w:tcPr>
            <w:tcW w:w="1134" w:type="dxa"/>
            <w:vAlign w:val="center"/>
          </w:tcPr>
          <w:p w14:paraId="43F05344" w14:textId="77777777" w:rsidR="005C2394" w:rsidRPr="002E13D8" w:rsidRDefault="005C2394" w:rsidP="00344259">
            <w:pPr>
              <w:jc w:val="center"/>
              <w:rPr>
                <w:rFonts w:ascii="Arial" w:hAnsi="Arial" w:cs="Arial"/>
                <w:sz w:val="20"/>
                <w:szCs w:val="20"/>
              </w:rPr>
            </w:pPr>
            <w:r>
              <w:rPr>
                <w:rFonts w:ascii="Arial" w:hAnsi="Arial" w:cs="Arial"/>
                <w:sz w:val="20"/>
                <w:szCs w:val="20"/>
              </w:rPr>
              <w:t>83 (95.</w:t>
            </w:r>
            <w:r w:rsidRPr="002E13D8">
              <w:rPr>
                <w:rFonts w:ascii="Arial" w:hAnsi="Arial" w:cs="Arial"/>
                <w:sz w:val="20"/>
                <w:szCs w:val="20"/>
              </w:rPr>
              <w:t>4)</w:t>
            </w:r>
          </w:p>
        </w:tc>
        <w:tc>
          <w:tcPr>
            <w:tcW w:w="1276" w:type="dxa"/>
            <w:vAlign w:val="center"/>
          </w:tcPr>
          <w:p w14:paraId="75B73D6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14 (</w:t>
            </w:r>
            <w:r>
              <w:rPr>
                <w:rFonts w:ascii="Arial" w:hAnsi="Arial" w:cs="Arial"/>
                <w:sz w:val="20"/>
                <w:szCs w:val="20"/>
              </w:rPr>
              <w:t>63.</w:t>
            </w:r>
            <w:r w:rsidRPr="002E13D8">
              <w:rPr>
                <w:rFonts w:ascii="Arial" w:hAnsi="Arial" w:cs="Arial"/>
                <w:sz w:val="20"/>
                <w:szCs w:val="20"/>
              </w:rPr>
              <w:t>7)</w:t>
            </w:r>
          </w:p>
        </w:tc>
        <w:tc>
          <w:tcPr>
            <w:tcW w:w="1276" w:type="dxa"/>
            <w:vAlign w:val="center"/>
          </w:tcPr>
          <w:p w14:paraId="11BA9EB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16 (</w:t>
            </w:r>
            <w:r>
              <w:rPr>
                <w:rFonts w:ascii="Arial" w:hAnsi="Arial" w:cs="Arial"/>
                <w:sz w:val="20"/>
                <w:szCs w:val="20"/>
              </w:rPr>
              <w:t>84.</w:t>
            </w:r>
            <w:r w:rsidRPr="002E13D8">
              <w:rPr>
                <w:rFonts w:ascii="Arial" w:hAnsi="Arial" w:cs="Arial"/>
                <w:sz w:val="20"/>
                <w:szCs w:val="20"/>
              </w:rPr>
              <w:t>3)</w:t>
            </w:r>
          </w:p>
        </w:tc>
        <w:tc>
          <w:tcPr>
            <w:tcW w:w="1134" w:type="dxa"/>
            <w:vAlign w:val="center"/>
          </w:tcPr>
          <w:p w14:paraId="3F686CBC" w14:textId="77777777" w:rsidR="005C2394" w:rsidRPr="002E13D8" w:rsidRDefault="005C2394" w:rsidP="00344259">
            <w:pP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3 (</w:t>
            </w:r>
            <w:r>
              <w:rPr>
                <w:rFonts w:ascii="Arial" w:hAnsi="Arial" w:cs="Arial"/>
                <w:sz w:val="20"/>
                <w:szCs w:val="20"/>
              </w:rPr>
              <w:t>75.</w:t>
            </w:r>
            <w:r w:rsidRPr="002E13D8">
              <w:rPr>
                <w:rFonts w:ascii="Arial" w:hAnsi="Arial" w:cs="Arial"/>
                <w:sz w:val="20"/>
                <w:szCs w:val="20"/>
              </w:rPr>
              <w:t>0)</w:t>
            </w:r>
          </w:p>
        </w:tc>
        <w:tc>
          <w:tcPr>
            <w:tcW w:w="1134" w:type="dxa"/>
            <w:vAlign w:val="center"/>
          </w:tcPr>
          <w:p w14:paraId="24204B5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05F79A7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w:t>
            </w:r>
            <w:r>
              <w:rPr>
                <w:rFonts w:ascii="Arial" w:hAnsi="Arial" w:cs="Arial"/>
                <w:sz w:val="20"/>
                <w:szCs w:val="20"/>
              </w:rPr>
              <w:t>65.</w:t>
            </w:r>
            <w:r w:rsidRPr="002E13D8">
              <w:rPr>
                <w:rFonts w:ascii="Arial" w:hAnsi="Arial" w:cs="Arial"/>
                <w:sz w:val="20"/>
                <w:szCs w:val="20"/>
              </w:rPr>
              <w:t>2)</w:t>
            </w:r>
          </w:p>
        </w:tc>
        <w:tc>
          <w:tcPr>
            <w:tcW w:w="1275" w:type="dxa"/>
            <w:vAlign w:val="center"/>
          </w:tcPr>
          <w:p w14:paraId="06EE31E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 (</w:t>
            </w:r>
            <w:r>
              <w:rPr>
                <w:rFonts w:ascii="Arial" w:hAnsi="Arial" w:cs="Arial"/>
                <w:sz w:val="20"/>
                <w:szCs w:val="20"/>
              </w:rPr>
              <w:t>88.</w:t>
            </w:r>
            <w:r w:rsidRPr="002E13D8">
              <w:rPr>
                <w:rFonts w:ascii="Arial" w:hAnsi="Arial" w:cs="Arial"/>
                <w:sz w:val="20"/>
                <w:szCs w:val="20"/>
              </w:rPr>
              <w:t>5)</w:t>
            </w:r>
          </w:p>
        </w:tc>
        <w:tc>
          <w:tcPr>
            <w:tcW w:w="1134" w:type="dxa"/>
            <w:vAlign w:val="center"/>
          </w:tcPr>
          <w:p w14:paraId="7AFD673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66DDCA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3E89EAFC" w14:textId="77777777" w:rsidTr="003B0E4A">
        <w:tc>
          <w:tcPr>
            <w:tcW w:w="2408" w:type="dxa"/>
            <w:vAlign w:val="center"/>
          </w:tcPr>
          <w:p w14:paraId="4BE30067" w14:textId="4A6CEBF8"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Cefotaxime</w:t>
            </w:r>
          </w:p>
        </w:tc>
        <w:tc>
          <w:tcPr>
            <w:tcW w:w="424" w:type="dxa"/>
            <w:vAlign w:val="center"/>
          </w:tcPr>
          <w:p w14:paraId="5E93509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5487EDF9" w14:textId="77777777" w:rsidR="005C2394" w:rsidRPr="002E13D8" w:rsidRDefault="005C2394" w:rsidP="00344259">
            <w:pPr>
              <w:jc w:val="center"/>
              <w:rPr>
                <w:rFonts w:ascii="Arial" w:hAnsi="Arial" w:cs="Arial"/>
                <w:sz w:val="20"/>
                <w:szCs w:val="20"/>
              </w:rPr>
            </w:pPr>
            <w:r>
              <w:rPr>
                <w:rFonts w:ascii="Arial" w:hAnsi="Arial" w:cs="Arial"/>
                <w:sz w:val="20"/>
                <w:szCs w:val="20"/>
              </w:rPr>
              <w:t>78 (98.</w:t>
            </w:r>
            <w:r w:rsidRPr="002E13D8">
              <w:rPr>
                <w:rFonts w:ascii="Arial" w:hAnsi="Arial" w:cs="Arial"/>
                <w:sz w:val="20"/>
                <w:szCs w:val="20"/>
              </w:rPr>
              <w:t>7)</w:t>
            </w:r>
          </w:p>
        </w:tc>
        <w:tc>
          <w:tcPr>
            <w:tcW w:w="1134" w:type="dxa"/>
            <w:vAlign w:val="center"/>
          </w:tcPr>
          <w:p w14:paraId="7DC154FA" w14:textId="77777777" w:rsidR="005C2394" w:rsidRPr="002E13D8" w:rsidRDefault="005C2394" w:rsidP="00344259">
            <w:pPr>
              <w:jc w:val="center"/>
              <w:rPr>
                <w:rFonts w:ascii="Arial" w:hAnsi="Arial" w:cs="Arial"/>
                <w:sz w:val="20"/>
                <w:szCs w:val="20"/>
              </w:rPr>
            </w:pPr>
            <w:r>
              <w:rPr>
                <w:rFonts w:ascii="Arial" w:hAnsi="Arial" w:cs="Arial"/>
                <w:sz w:val="20"/>
                <w:szCs w:val="20"/>
              </w:rPr>
              <w:t>85 (97.</w:t>
            </w:r>
            <w:r w:rsidRPr="002E13D8">
              <w:rPr>
                <w:rFonts w:ascii="Arial" w:hAnsi="Arial" w:cs="Arial"/>
                <w:sz w:val="20"/>
                <w:szCs w:val="20"/>
              </w:rPr>
              <w:t>7)</w:t>
            </w:r>
          </w:p>
        </w:tc>
        <w:tc>
          <w:tcPr>
            <w:tcW w:w="1276" w:type="dxa"/>
            <w:vAlign w:val="center"/>
          </w:tcPr>
          <w:p w14:paraId="7CE5EDC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21 (9</w:t>
            </w:r>
            <w:r>
              <w:rPr>
                <w:rFonts w:ascii="Arial" w:hAnsi="Arial" w:cs="Arial"/>
                <w:sz w:val="20"/>
                <w:szCs w:val="20"/>
              </w:rPr>
              <w:t>5.</w:t>
            </w:r>
            <w:r w:rsidRPr="002E13D8">
              <w:rPr>
                <w:rFonts w:ascii="Arial" w:hAnsi="Arial" w:cs="Arial"/>
                <w:sz w:val="20"/>
                <w:szCs w:val="20"/>
              </w:rPr>
              <w:t>5)</w:t>
            </w:r>
          </w:p>
        </w:tc>
        <w:tc>
          <w:tcPr>
            <w:tcW w:w="1276" w:type="dxa"/>
            <w:vAlign w:val="center"/>
          </w:tcPr>
          <w:p w14:paraId="1BDF1DE5"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19 (100</w:t>
            </w:r>
            <w:r>
              <w:rPr>
                <w:rFonts w:ascii="Arial" w:hAnsi="Arial" w:cs="Arial"/>
                <w:sz w:val="20"/>
                <w:szCs w:val="20"/>
              </w:rPr>
              <w:t>.</w:t>
            </w:r>
            <w:r w:rsidRPr="002E13D8">
              <w:rPr>
                <w:rFonts w:ascii="Arial" w:hAnsi="Arial" w:cs="Arial"/>
                <w:sz w:val="20"/>
                <w:szCs w:val="20"/>
              </w:rPr>
              <w:t>0)</w:t>
            </w:r>
          </w:p>
        </w:tc>
        <w:tc>
          <w:tcPr>
            <w:tcW w:w="1134" w:type="dxa"/>
            <w:vAlign w:val="center"/>
          </w:tcPr>
          <w:p w14:paraId="598A9BC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3586127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737FCA9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w:t>
            </w:r>
            <w:r>
              <w:rPr>
                <w:rFonts w:ascii="Arial" w:hAnsi="Arial" w:cs="Arial"/>
                <w:sz w:val="20"/>
                <w:szCs w:val="20"/>
              </w:rPr>
              <w:t>100.</w:t>
            </w:r>
            <w:r w:rsidRPr="002E13D8">
              <w:rPr>
                <w:rFonts w:ascii="Arial" w:hAnsi="Arial" w:cs="Arial"/>
                <w:sz w:val="20"/>
                <w:szCs w:val="20"/>
              </w:rPr>
              <w:t>0)</w:t>
            </w:r>
          </w:p>
        </w:tc>
        <w:tc>
          <w:tcPr>
            <w:tcW w:w="1275" w:type="dxa"/>
            <w:vAlign w:val="center"/>
          </w:tcPr>
          <w:p w14:paraId="088B7E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w:t>
            </w:r>
            <w:r>
              <w:rPr>
                <w:rFonts w:ascii="Arial" w:hAnsi="Arial" w:cs="Arial"/>
                <w:sz w:val="20"/>
                <w:szCs w:val="20"/>
              </w:rPr>
              <w:t xml:space="preserve"> (100.</w:t>
            </w:r>
            <w:r w:rsidRPr="002E13D8">
              <w:rPr>
                <w:rFonts w:ascii="Arial" w:hAnsi="Arial" w:cs="Arial"/>
                <w:sz w:val="20"/>
                <w:szCs w:val="20"/>
              </w:rPr>
              <w:t>0)</w:t>
            </w:r>
          </w:p>
        </w:tc>
        <w:tc>
          <w:tcPr>
            <w:tcW w:w="1134" w:type="dxa"/>
            <w:vAlign w:val="center"/>
          </w:tcPr>
          <w:p w14:paraId="6A6FEDA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2FDD2B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1050300" w14:textId="77777777" w:rsidTr="003B0E4A">
        <w:tc>
          <w:tcPr>
            <w:tcW w:w="2408" w:type="dxa"/>
            <w:vAlign w:val="center"/>
          </w:tcPr>
          <w:p w14:paraId="4C088EFA" w14:textId="16E55B98"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Cefepime</w:t>
            </w:r>
          </w:p>
        </w:tc>
        <w:tc>
          <w:tcPr>
            <w:tcW w:w="424" w:type="dxa"/>
            <w:vAlign w:val="center"/>
          </w:tcPr>
          <w:p w14:paraId="7F61E6F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9E6328C" w14:textId="77777777" w:rsidR="005C2394" w:rsidRPr="002E13D8" w:rsidRDefault="005C2394" w:rsidP="00344259">
            <w:pPr>
              <w:jc w:val="center"/>
              <w:rPr>
                <w:rFonts w:ascii="Arial" w:hAnsi="Arial" w:cs="Arial"/>
                <w:sz w:val="20"/>
                <w:szCs w:val="20"/>
              </w:rPr>
            </w:pPr>
            <w:r>
              <w:rPr>
                <w:rFonts w:ascii="Arial" w:hAnsi="Arial" w:cs="Arial"/>
                <w:sz w:val="20"/>
                <w:szCs w:val="20"/>
              </w:rPr>
              <w:t>78 (98.</w:t>
            </w:r>
            <w:r w:rsidRPr="002E13D8">
              <w:rPr>
                <w:rFonts w:ascii="Arial" w:hAnsi="Arial" w:cs="Arial"/>
                <w:sz w:val="20"/>
                <w:szCs w:val="20"/>
              </w:rPr>
              <w:t>7)</w:t>
            </w:r>
          </w:p>
        </w:tc>
        <w:tc>
          <w:tcPr>
            <w:tcW w:w="1134" w:type="dxa"/>
            <w:vAlign w:val="center"/>
          </w:tcPr>
          <w:p w14:paraId="3F2E1447"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65CCC57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16 (</w:t>
            </w:r>
            <w:r>
              <w:rPr>
                <w:rFonts w:ascii="Arial" w:hAnsi="Arial" w:cs="Arial"/>
                <w:sz w:val="20"/>
                <w:szCs w:val="20"/>
              </w:rPr>
              <w:t>72.</w:t>
            </w:r>
            <w:r w:rsidRPr="002E13D8">
              <w:rPr>
                <w:rFonts w:ascii="Arial" w:hAnsi="Arial" w:cs="Arial"/>
                <w:sz w:val="20"/>
                <w:szCs w:val="20"/>
              </w:rPr>
              <w:t>7)</w:t>
            </w:r>
          </w:p>
        </w:tc>
        <w:tc>
          <w:tcPr>
            <w:tcW w:w="1276" w:type="dxa"/>
            <w:vAlign w:val="center"/>
          </w:tcPr>
          <w:p w14:paraId="7BBFCEED"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19 (100</w:t>
            </w:r>
            <w:r>
              <w:rPr>
                <w:rFonts w:ascii="Arial" w:hAnsi="Arial" w:cs="Arial"/>
                <w:sz w:val="20"/>
                <w:szCs w:val="20"/>
              </w:rPr>
              <w:t>.</w:t>
            </w:r>
            <w:r w:rsidRPr="002E13D8">
              <w:rPr>
                <w:rFonts w:ascii="Arial" w:hAnsi="Arial" w:cs="Arial"/>
                <w:sz w:val="20"/>
                <w:szCs w:val="20"/>
              </w:rPr>
              <w:t>0)</w:t>
            </w:r>
          </w:p>
        </w:tc>
        <w:tc>
          <w:tcPr>
            <w:tcW w:w="1134" w:type="dxa"/>
            <w:vAlign w:val="center"/>
          </w:tcPr>
          <w:p w14:paraId="0872477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232D8E1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25B179C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(100</w:t>
            </w:r>
            <w:r>
              <w:rPr>
                <w:rFonts w:ascii="Arial" w:hAnsi="Arial" w:cs="Arial"/>
                <w:sz w:val="20"/>
                <w:szCs w:val="20"/>
              </w:rPr>
              <w:t>.</w:t>
            </w:r>
            <w:r w:rsidRPr="002E13D8">
              <w:rPr>
                <w:rFonts w:ascii="Arial" w:hAnsi="Arial" w:cs="Arial"/>
                <w:sz w:val="20"/>
                <w:szCs w:val="20"/>
              </w:rPr>
              <w:t>0)</w:t>
            </w:r>
          </w:p>
        </w:tc>
        <w:tc>
          <w:tcPr>
            <w:tcW w:w="1275" w:type="dxa"/>
            <w:vAlign w:val="center"/>
          </w:tcPr>
          <w:p w14:paraId="2499843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 (100</w:t>
            </w:r>
            <w:r>
              <w:rPr>
                <w:rFonts w:ascii="Arial" w:hAnsi="Arial" w:cs="Arial"/>
                <w:sz w:val="20"/>
                <w:szCs w:val="20"/>
              </w:rPr>
              <w:t>.</w:t>
            </w:r>
            <w:r w:rsidRPr="002E13D8">
              <w:rPr>
                <w:rFonts w:ascii="Arial" w:hAnsi="Arial" w:cs="Arial"/>
                <w:sz w:val="20"/>
                <w:szCs w:val="20"/>
              </w:rPr>
              <w:t>0)</w:t>
            </w:r>
          </w:p>
        </w:tc>
        <w:tc>
          <w:tcPr>
            <w:tcW w:w="1134" w:type="dxa"/>
            <w:vAlign w:val="center"/>
          </w:tcPr>
          <w:p w14:paraId="3071D8F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A9C80C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48B67327" w14:textId="77777777" w:rsidTr="003B0E4A">
        <w:tc>
          <w:tcPr>
            <w:tcW w:w="2408" w:type="dxa"/>
            <w:vAlign w:val="center"/>
          </w:tcPr>
          <w:p w14:paraId="3850CD06" w14:textId="6FC613AF"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Ceftazidime</w:t>
            </w:r>
          </w:p>
        </w:tc>
        <w:tc>
          <w:tcPr>
            <w:tcW w:w="424" w:type="dxa"/>
            <w:vAlign w:val="center"/>
          </w:tcPr>
          <w:p w14:paraId="0ED6379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B1FB469" w14:textId="77777777" w:rsidR="005C2394" w:rsidRPr="002E13D8" w:rsidRDefault="005C2394" w:rsidP="00344259">
            <w:pPr>
              <w:jc w:val="center"/>
              <w:rPr>
                <w:rFonts w:ascii="Arial" w:hAnsi="Arial" w:cs="Arial"/>
                <w:sz w:val="20"/>
                <w:szCs w:val="20"/>
              </w:rPr>
            </w:pPr>
            <w:r>
              <w:rPr>
                <w:rFonts w:ascii="Arial" w:hAnsi="Arial" w:cs="Arial"/>
                <w:sz w:val="20"/>
                <w:szCs w:val="20"/>
              </w:rPr>
              <w:t>76 (96.</w:t>
            </w:r>
            <w:r w:rsidRPr="002E13D8">
              <w:rPr>
                <w:rFonts w:ascii="Arial" w:hAnsi="Arial" w:cs="Arial"/>
                <w:sz w:val="20"/>
                <w:szCs w:val="20"/>
              </w:rPr>
              <w:t>2)</w:t>
            </w:r>
          </w:p>
        </w:tc>
        <w:tc>
          <w:tcPr>
            <w:tcW w:w="1134" w:type="dxa"/>
            <w:vAlign w:val="center"/>
          </w:tcPr>
          <w:p w14:paraId="1A58F318"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6172961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21 (</w:t>
            </w:r>
            <w:r>
              <w:rPr>
                <w:rFonts w:ascii="Arial" w:hAnsi="Arial" w:cs="Arial"/>
                <w:sz w:val="20"/>
                <w:szCs w:val="20"/>
              </w:rPr>
              <w:t>95.</w:t>
            </w:r>
            <w:r w:rsidRPr="002E13D8">
              <w:rPr>
                <w:rFonts w:ascii="Arial" w:hAnsi="Arial" w:cs="Arial"/>
                <w:sz w:val="20"/>
                <w:szCs w:val="20"/>
              </w:rPr>
              <w:t>5)</w:t>
            </w:r>
          </w:p>
        </w:tc>
        <w:tc>
          <w:tcPr>
            <w:tcW w:w="1276" w:type="dxa"/>
            <w:vAlign w:val="center"/>
          </w:tcPr>
          <w:p w14:paraId="03F5D1CC"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vAlign w:val="center"/>
          </w:tcPr>
          <w:p w14:paraId="087E2AD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6B3F637B" w14:textId="77777777" w:rsidR="005C2394" w:rsidRPr="002E13D8" w:rsidRDefault="005C2394" w:rsidP="00344259">
            <w:pPr>
              <w:rPr>
                <w:rFonts w:ascii="Arial" w:hAnsi="Arial" w:cs="Arial"/>
                <w:sz w:val="20"/>
                <w:szCs w:val="20"/>
              </w:rPr>
            </w:pPr>
            <w:r w:rsidRPr="002E13D8">
              <w:rPr>
                <w:rFonts w:ascii="Arial" w:hAnsi="Arial" w:cs="Arial"/>
                <w:sz w:val="20"/>
                <w:szCs w:val="20"/>
              </w:rPr>
              <w:t>6 (10</w:t>
            </w:r>
            <w:r>
              <w:rPr>
                <w:rFonts w:ascii="Arial" w:hAnsi="Arial" w:cs="Arial"/>
                <w:sz w:val="20"/>
                <w:szCs w:val="20"/>
              </w:rPr>
              <w:t>0.</w:t>
            </w:r>
            <w:r w:rsidRPr="002E13D8">
              <w:rPr>
                <w:rFonts w:ascii="Arial" w:hAnsi="Arial" w:cs="Arial"/>
                <w:sz w:val="20"/>
                <w:szCs w:val="20"/>
              </w:rPr>
              <w:t>0)</w:t>
            </w:r>
          </w:p>
        </w:tc>
        <w:tc>
          <w:tcPr>
            <w:tcW w:w="1276" w:type="dxa"/>
            <w:vAlign w:val="center"/>
          </w:tcPr>
          <w:p w14:paraId="79D867E8" w14:textId="77777777" w:rsidR="005C2394" w:rsidRPr="002E13D8" w:rsidRDefault="005C2394" w:rsidP="00344259">
            <w:pP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20 (</w:t>
            </w:r>
            <w:r>
              <w:rPr>
                <w:rFonts w:ascii="Arial" w:hAnsi="Arial" w:cs="Arial"/>
                <w:sz w:val="20"/>
                <w:szCs w:val="20"/>
              </w:rPr>
              <w:t>87.</w:t>
            </w:r>
            <w:r w:rsidRPr="002E13D8">
              <w:rPr>
                <w:rFonts w:ascii="Arial" w:hAnsi="Arial" w:cs="Arial"/>
                <w:sz w:val="20"/>
                <w:szCs w:val="20"/>
              </w:rPr>
              <w:t>0)</w:t>
            </w:r>
          </w:p>
        </w:tc>
        <w:tc>
          <w:tcPr>
            <w:tcW w:w="1275" w:type="dxa"/>
            <w:vAlign w:val="center"/>
          </w:tcPr>
          <w:p w14:paraId="7E1723C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58C50D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AB5BA3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33E9D98" w14:textId="77777777" w:rsidTr="003B0E4A">
        <w:tc>
          <w:tcPr>
            <w:tcW w:w="2408" w:type="dxa"/>
            <w:vAlign w:val="center"/>
          </w:tcPr>
          <w:p w14:paraId="1A6C7377" w14:textId="7660C48E"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Amoxicillin</w:t>
            </w:r>
          </w:p>
        </w:tc>
        <w:tc>
          <w:tcPr>
            <w:tcW w:w="424" w:type="dxa"/>
            <w:vAlign w:val="center"/>
          </w:tcPr>
          <w:p w14:paraId="4D965C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C796D8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79 (</w:t>
            </w:r>
            <w:r>
              <w:rPr>
                <w:rFonts w:ascii="Arial" w:hAnsi="Arial" w:cs="Arial"/>
                <w:sz w:val="20"/>
                <w:szCs w:val="20"/>
              </w:rPr>
              <w:t>100.</w:t>
            </w:r>
            <w:r w:rsidRPr="002E13D8">
              <w:rPr>
                <w:rFonts w:ascii="Arial" w:hAnsi="Arial" w:cs="Arial"/>
                <w:sz w:val="20"/>
                <w:szCs w:val="20"/>
              </w:rPr>
              <w:t>0)</w:t>
            </w:r>
          </w:p>
        </w:tc>
        <w:tc>
          <w:tcPr>
            <w:tcW w:w="1134" w:type="dxa"/>
            <w:vAlign w:val="center"/>
          </w:tcPr>
          <w:p w14:paraId="796BF9A2"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3E54A606"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22 (</w:t>
            </w:r>
            <w:r>
              <w:rPr>
                <w:rFonts w:ascii="Arial" w:hAnsi="Arial" w:cs="Arial"/>
                <w:sz w:val="20"/>
                <w:szCs w:val="20"/>
              </w:rPr>
              <w:t>100.</w:t>
            </w:r>
            <w:r w:rsidRPr="002E13D8">
              <w:rPr>
                <w:rFonts w:ascii="Arial" w:hAnsi="Arial" w:cs="Arial"/>
                <w:sz w:val="20"/>
                <w:szCs w:val="20"/>
              </w:rPr>
              <w:t>0)</w:t>
            </w:r>
          </w:p>
        </w:tc>
        <w:tc>
          <w:tcPr>
            <w:tcW w:w="1276" w:type="dxa"/>
            <w:vAlign w:val="center"/>
          </w:tcPr>
          <w:p w14:paraId="50721CDB"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vAlign w:val="center"/>
          </w:tcPr>
          <w:p w14:paraId="44C9CDE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0CEC2628"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5A8071D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w:t>
            </w:r>
            <w:r>
              <w:rPr>
                <w:rFonts w:ascii="Arial" w:hAnsi="Arial" w:cs="Arial"/>
                <w:sz w:val="20"/>
                <w:szCs w:val="20"/>
              </w:rPr>
              <w:t>100.</w:t>
            </w:r>
            <w:r w:rsidRPr="002E13D8">
              <w:rPr>
                <w:rFonts w:ascii="Arial" w:hAnsi="Arial" w:cs="Arial"/>
                <w:sz w:val="20"/>
                <w:szCs w:val="20"/>
              </w:rPr>
              <w:t>0)</w:t>
            </w:r>
          </w:p>
        </w:tc>
        <w:tc>
          <w:tcPr>
            <w:tcW w:w="1275" w:type="dxa"/>
            <w:vAlign w:val="center"/>
          </w:tcPr>
          <w:p w14:paraId="0C9C56D8" w14:textId="77777777" w:rsidR="005C2394" w:rsidRPr="002E13D8" w:rsidRDefault="005C2394" w:rsidP="00344259">
            <w:pPr>
              <w:jc w:val="center"/>
              <w:rPr>
                <w:rFonts w:ascii="Arial" w:hAnsi="Arial" w:cs="Arial"/>
                <w:sz w:val="20"/>
                <w:szCs w:val="20"/>
              </w:rPr>
            </w:pPr>
            <w:r>
              <w:rPr>
                <w:rFonts w:ascii="Arial" w:hAnsi="Arial" w:cs="Arial"/>
                <w:sz w:val="20"/>
                <w:szCs w:val="20"/>
              </w:rPr>
              <w:t>26 (100.</w:t>
            </w:r>
            <w:r w:rsidRPr="002E13D8">
              <w:rPr>
                <w:rFonts w:ascii="Arial" w:hAnsi="Arial" w:cs="Arial"/>
                <w:sz w:val="20"/>
                <w:szCs w:val="20"/>
              </w:rPr>
              <w:t>0)</w:t>
            </w:r>
          </w:p>
        </w:tc>
        <w:tc>
          <w:tcPr>
            <w:tcW w:w="1134" w:type="dxa"/>
            <w:vAlign w:val="center"/>
          </w:tcPr>
          <w:p w14:paraId="64BC5B1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2900155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7C1DF6D1" w14:textId="77777777" w:rsidTr="003B0E4A">
        <w:trPr>
          <w:trHeight w:val="58"/>
        </w:trPr>
        <w:tc>
          <w:tcPr>
            <w:tcW w:w="2408" w:type="dxa"/>
            <w:tcBorders>
              <w:bottom w:val="single" w:sz="4" w:space="0" w:color="auto"/>
            </w:tcBorders>
            <w:vAlign w:val="center"/>
          </w:tcPr>
          <w:p w14:paraId="1430898B" w14:textId="4624F4F5"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Amoxicillin</w:t>
            </w:r>
            <w:r w:rsidRPr="002E13D8">
              <w:rPr>
                <w:rFonts w:ascii="Arial" w:eastAsia="Times New Roman" w:hAnsi="Arial" w:cs="Arial"/>
                <w:color w:val="000000"/>
                <w:sz w:val="20"/>
                <w:szCs w:val="20"/>
                <w:lang w:eastAsia="fr-FR"/>
              </w:rPr>
              <w:t>- clavulani</w:t>
            </w:r>
            <w:r>
              <w:rPr>
                <w:rFonts w:ascii="Arial" w:eastAsia="Times New Roman" w:hAnsi="Arial" w:cs="Arial"/>
                <w:color w:val="000000"/>
                <w:sz w:val="20"/>
                <w:szCs w:val="20"/>
                <w:lang w:eastAsia="fr-FR"/>
              </w:rPr>
              <w:t>c</w:t>
            </w:r>
            <w:r w:rsidR="005C2394">
              <w:t xml:space="preserve"> </w:t>
            </w:r>
            <w:r>
              <w:rPr>
                <w:rFonts w:ascii="Arial" w:eastAsia="Times New Roman" w:hAnsi="Arial" w:cs="Arial"/>
                <w:color w:val="000000"/>
                <w:sz w:val="20"/>
                <w:szCs w:val="20"/>
                <w:lang w:eastAsia="fr-FR"/>
              </w:rPr>
              <w:t>acid</w:t>
            </w:r>
          </w:p>
        </w:tc>
        <w:tc>
          <w:tcPr>
            <w:tcW w:w="424" w:type="dxa"/>
            <w:tcBorders>
              <w:bottom w:val="single" w:sz="4" w:space="0" w:color="auto"/>
            </w:tcBorders>
            <w:vAlign w:val="center"/>
          </w:tcPr>
          <w:p w14:paraId="25194B4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tcBorders>
              <w:bottom w:val="single" w:sz="4" w:space="0" w:color="auto"/>
            </w:tcBorders>
            <w:vAlign w:val="center"/>
          </w:tcPr>
          <w:p w14:paraId="5668B81B" w14:textId="77777777" w:rsidR="005C2394" w:rsidRPr="002E13D8" w:rsidRDefault="005C2394" w:rsidP="00344259">
            <w:pPr>
              <w:rPr>
                <w:rFonts w:ascii="Arial" w:hAnsi="Arial" w:cs="Arial"/>
                <w:sz w:val="20"/>
                <w:szCs w:val="20"/>
              </w:rPr>
            </w:pPr>
            <w:r>
              <w:rPr>
                <w:rFonts w:ascii="Arial" w:hAnsi="Arial" w:cs="Arial"/>
                <w:sz w:val="20"/>
                <w:szCs w:val="20"/>
              </w:rPr>
              <w:t xml:space="preserve"> 70 (88.</w:t>
            </w:r>
            <w:r w:rsidRPr="002E13D8">
              <w:rPr>
                <w:rFonts w:ascii="Arial" w:hAnsi="Arial" w:cs="Arial"/>
                <w:sz w:val="20"/>
                <w:szCs w:val="20"/>
              </w:rPr>
              <w:t>6)</w:t>
            </w:r>
          </w:p>
        </w:tc>
        <w:tc>
          <w:tcPr>
            <w:tcW w:w="1134" w:type="dxa"/>
            <w:tcBorders>
              <w:bottom w:val="single" w:sz="4" w:space="0" w:color="auto"/>
            </w:tcBorders>
            <w:vAlign w:val="center"/>
          </w:tcPr>
          <w:p w14:paraId="0A6BC631" w14:textId="77777777" w:rsidR="005C2394" w:rsidRPr="002E13D8" w:rsidRDefault="005C2394" w:rsidP="00344259">
            <w:pPr>
              <w:rPr>
                <w:rFonts w:ascii="Arial" w:hAnsi="Arial" w:cs="Arial"/>
                <w:sz w:val="20"/>
                <w:szCs w:val="20"/>
              </w:rPr>
            </w:pPr>
            <w:r>
              <w:rPr>
                <w:rFonts w:ascii="Arial" w:hAnsi="Arial" w:cs="Arial"/>
                <w:sz w:val="20"/>
                <w:szCs w:val="20"/>
              </w:rPr>
              <w:t>78 (89.</w:t>
            </w:r>
            <w:r w:rsidRPr="002E13D8">
              <w:rPr>
                <w:rFonts w:ascii="Arial" w:hAnsi="Arial" w:cs="Arial"/>
                <w:sz w:val="20"/>
                <w:szCs w:val="20"/>
              </w:rPr>
              <w:t>6)</w:t>
            </w:r>
          </w:p>
        </w:tc>
        <w:tc>
          <w:tcPr>
            <w:tcW w:w="1276" w:type="dxa"/>
            <w:tcBorders>
              <w:bottom w:val="single" w:sz="4" w:space="0" w:color="auto"/>
            </w:tcBorders>
            <w:vAlign w:val="center"/>
          </w:tcPr>
          <w:p w14:paraId="639F0C3B"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22 (100.</w:t>
            </w:r>
            <w:r w:rsidRPr="002E13D8">
              <w:rPr>
                <w:rFonts w:ascii="Arial" w:hAnsi="Arial" w:cs="Arial"/>
                <w:sz w:val="20"/>
                <w:szCs w:val="20"/>
              </w:rPr>
              <w:t>0)</w:t>
            </w:r>
          </w:p>
        </w:tc>
        <w:tc>
          <w:tcPr>
            <w:tcW w:w="1276" w:type="dxa"/>
            <w:tcBorders>
              <w:bottom w:val="single" w:sz="4" w:space="0" w:color="auto"/>
            </w:tcBorders>
            <w:vAlign w:val="center"/>
          </w:tcPr>
          <w:p w14:paraId="67A529BE"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tcBorders>
              <w:bottom w:val="single" w:sz="4" w:space="0" w:color="auto"/>
            </w:tcBorders>
            <w:vAlign w:val="center"/>
          </w:tcPr>
          <w:p w14:paraId="463F56F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tcBorders>
              <w:bottom w:val="single" w:sz="4" w:space="0" w:color="auto"/>
            </w:tcBorders>
            <w:vAlign w:val="center"/>
          </w:tcPr>
          <w:p w14:paraId="06F7D54A"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tcBorders>
              <w:bottom w:val="single" w:sz="4" w:space="0" w:color="auto"/>
            </w:tcBorders>
            <w:vAlign w:val="center"/>
          </w:tcPr>
          <w:p w14:paraId="6CBE3B0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 (</w:t>
            </w:r>
            <w:r>
              <w:rPr>
                <w:rFonts w:ascii="Arial" w:hAnsi="Arial" w:cs="Arial"/>
                <w:sz w:val="20"/>
                <w:szCs w:val="20"/>
              </w:rPr>
              <w:t>100.</w:t>
            </w:r>
            <w:r w:rsidRPr="002E13D8">
              <w:rPr>
                <w:rFonts w:ascii="Arial" w:hAnsi="Arial" w:cs="Arial"/>
                <w:sz w:val="20"/>
                <w:szCs w:val="20"/>
              </w:rPr>
              <w:t>0)</w:t>
            </w:r>
          </w:p>
        </w:tc>
        <w:tc>
          <w:tcPr>
            <w:tcW w:w="1275" w:type="dxa"/>
            <w:tcBorders>
              <w:bottom w:val="single" w:sz="4" w:space="0" w:color="auto"/>
            </w:tcBorders>
            <w:vAlign w:val="center"/>
          </w:tcPr>
          <w:p w14:paraId="58EAFF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 (</w:t>
            </w:r>
            <w:r>
              <w:rPr>
                <w:rFonts w:ascii="Arial" w:hAnsi="Arial" w:cs="Arial"/>
                <w:sz w:val="20"/>
                <w:szCs w:val="20"/>
              </w:rPr>
              <w:t>100.</w:t>
            </w:r>
            <w:r w:rsidRPr="002E13D8">
              <w:rPr>
                <w:rFonts w:ascii="Arial" w:hAnsi="Arial" w:cs="Arial"/>
                <w:sz w:val="20"/>
                <w:szCs w:val="20"/>
              </w:rPr>
              <w:t>0)</w:t>
            </w:r>
          </w:p>
        </w:tc>
        <w:tc>
          <w:tcPr>
            <w:tcW w:w="1134" w:type="dxa"/>
            <w:tcBorders>
              <w:bottom w:val="single" w:sz="4" w:space="0" w:color="auto"/>
            </w:tcBorders>
            <w:vAlign w:val="center"/>
          </w:tcPr>
          <w:p w14:paraId="4A47F75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Borders>
              <w:bottom w:val="single" w:sz="4" w:space="0" w:color="auto"/>
            </w:tcBorders>
            <w:vAlign w:val="center"/>
          </w:tcPr>
          <w:p w14:paraId="45E84EA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bl>
    <w:p w14:paraId="29CE3C43" w14:textId="77777777" w:rsidR="002221BB" w:rsidRPr="00BB4305" w:rsidRDefault="002221BB" w:rsidP="002221BB">
      <w:pPr>
        <w:pStyle w:val="Paragraphedeliste"/>
        <w:rPr>
          <w:rFonts w:ascii="Arial" w:hAnsi="Arial" w:cs="Arial"/>
          <w:sz w:val="20"/>
          <w:szCs w:val="20"/>
          <w:lang w:val="en-GB"/>
        </w:rPr>
      </w:pPr>
      <w:r w:rsidRPr="00BB4305">
        <w:rPr>
          <w:rFonts w:ascii="Arial" w:hAnsi="Arial" w:cs="Arial"/>
          <w:sz w:val="20"/>
          <w:szCs w:val="20"/>
          <w:lang w:val="en-GB"/>
        </w:rPr>
        <w:t>*Strains isolated at admission; **Strains isolated at discharge.</w:t>
      </w:r>
    </w:p>
    <w:p w14:paraId="7A18EFCC" w14:textId="77777777" w:rsidR="005C2394" w:rsidRDefault="005C2394" w:rsidP="00441B6F">
      <w:pPr>
        <w:jc w:val="both"/>
        <w:rPr>
          <w:rFonts w:ascii="Arial" w:hAnsi="Arial" w:cs="Arial"/>
          <w:u w:val="single"/>
          <w:lang w:val="en-GB" w:eastAsia="en-GB"/>
        </w:rPr>
      </w:pPr>
    </w:p>
    <w:p w14:paraId="155FF8C0" w14:textId="77777777" w:rsidR="00506F74" w:rsidRPr="002E13D8" w:rsidRDefault="00506F74" w:rsidP="00506F74">
      <w:pPr>
        <w:rPr>
          <w:rFonts w:ascii="Arial" w:hAnsi="Arial" w:cs="Arial"/>
        </w:rPr>
      </w:pPr>
    </w:p>
    <w:p w14:paraId="7194710E" w14:textId="77777777" w:rsidR="003D7AC9" w:rsidRDefault="003D7AC9" w:rsidP="00506F74">
      <w:pPr>
        <w:jc w:val="both"/>
        <w:rPr>
          <w:rFonts w:ascii="Arial" w:hAnsi="Arial" w:cs="Arial"/>
          <w:b/>
          <w:bCs/>
          <w:lang w:val="en-GB"/>
        </w:rPr>
      </w:pPr>
    </w:p>
    <w:p w14:paraId="50555F9D" w14:textId="77777777" w:rsidR="003D7AC9" w:rsidRDefault="003D7AC9" w:rsidP="00506F74">
      <w:pPr>
        <w:jc w:val="both"/>
        <w:rPr>
          <w:rFonts w:ascii="Arial" w:hAnsi="Arial" w:cs="Arial"/>
          <w:b/>
          <w:bCs/>
          <w:lang w:val="en-GB"/>
        </w:rPr>
      </w:pPr>
    </w:p>
    <w:p w14:paraId="633D8321" w14:textId="77777777" w:rsidR="003D7AC9" w:rsidRDefault="003D7AC9" w:rsidP="00506F74">
      <w:pPr>
        <w:jc w:val="both"/>
        <w:rPr>
          <w:rFonts w:ascii="Arial" w:hAnsi="Arial" w:cs="Arial"/>
          <w:b/>
          <w:bCs/>
          <w:lang w:val="en-GB"/>
        </w:rPr>
      </w:pPr>
    </w:p>
    <w:p w14:paraId="23A692D0" w14:textId="77777777" w:rsidR="003D7AC9" w:rsidRDefault="003D7AC9" w:rsidP="00506F74">
      <w:pPr>
        <w:jc w:val="both"/>
        <w:rPr>
          <w:rFonts w:ascii="Arial" w:hAnsi="Arial" w:cs="Arial"/>
          <w:b/>
          <w:bCs/>
          <w:lang w:val="en-GB"/>
        </w:rPr>
      </w:pPr>
    </w:p>
    <w:p w14:paraId="25515526" w14:textId="77777777" w:rsidR="003D7AC9" w:rsidRDefault="003D7AC9" w:rsidP="00506F74">
      <w:pPr>
        <w:jc w:val="both"/>
        <w:rPr>
          <w:rFonts w:ascii="Arial" w:hAnsi="Arial" w:cs="Arial"/>
          <w:b/>
          <w:bCs/>
          <w:lang w:val="en-GB"/>
        </w:rPr>
      </w:pPr>
    </w:p>
    <w:p w14:paraId="41CF1AF7" w14:textId="77777777" w:rsidR="003D7AC9" w:rsidRDefault="003D7AC9" w:rsidP="00506F74">
      <w:pPr>
        <w:jc w:val="both"/>
        <w:rPr>
          <w:rFonts w:ascii="Arial" w:hAnsi="Arial" w:cs="Arial"/>
          <w:b/>
          <w:bCs/>
          <w:lang w:val="en-GB"/>
        </w:rPr>
      </w:pPr>
    </w:p>
    <w:p w14:paraId="0DAE7CC2" w14:textId="77777777" w:rsidR="00EF7B00" w:rsidRDefault="00EF7B00" w:rsidP="00506F74">
      <w:pPr>
        <w:jc w:val="both"/>
        <w:rPr>
          <w:rFonts w:ascii="Arial" w:hAnsi="Arial" w:cs="Arial"/>
          <w:b/>
          <w:bCs/>
          <w:lang w:val="en-GB"/>
        </w:rPr>
      </w:pPr>
    </w:p>
    <w:p w14:paraId="0D25B9BA" w14:textId="77777777" w:rsidR="00EF7B00" w:rsidRDefault="00EF7B00" w:rsidP="00506F74">
      <w:pPr>
        <w:jc w:val="both"/>
        <w:rPr>
          <w:rFonts w:ascii="Arial" w:hAnsi="Arial" w:cs="Arial"/>
          <w:b/>
          <w:bCs/>
          <w:lang w:val="en-GB"/>
        </w:rPr>
      </w:pPr>
    </w:p>
    <w:p w14:paraId="25B3CF13" w14:textId="77777777" w:rsidR="003D7AC9" w:rsidRDefault="003D7AC9" w:rsidP="00506F74">
      <w:pPr>
        <w:jc w:val="both"/>
        <w:rPr>
          <w:rFonts w:ascii="Arial" w:hAnsi="Arial" w:cs="Arial"/>
          <w:b/>
          <w:bCs/>
          <w:lang w:val="en-GB"/>
        </w:rPr>
      </w:pPr>
    </w:p>
    <w:p w14:paraId="08DB0D5C" w14:textId="1783CB33" w:rsidR="00506F74" w:rsidRPr="00BB4305" w:rsidRDefault="00506F74" w:rsidP="00506F74">
      <w:pPr>
        <w:jc w:val="both"/>
        <w:rPr>
          <w:rFonts w:ascii="Arial" w:hAnsi="Arial" w:cs="Arial"/>
          <w:b/>
          <w:bCs/>
          <w:lang w:val="en-GB"/>
        </w:rPr>
      </w:pPr>
      <w:r w:rsidRPr="00BB4305">
        <w:rPr>
          <w:rFonts w:ascii="Arial" w:hAnsi="Arial" w:cs="Arial"/>
          <w:b/>
          <w:bCs/>
          <w:lang w:val="en-GB"/>
        </w:rPr>
        <w:lastRenderedPageBreak/>
        <w:t>Table 4</w:t>
      </w:r>
      <w:r w:rsidR="00054FF6">
        <w:rPr>
          <w:rFonts w:ascii="Arial" w:hAnsi="Arial" w:cs="Arial"/>
          <w:b/>
          <w:bCs/>
          <w:lang w:val="en-GB"/>
        </w:rPr>
        <w:t>.</w:t>
      </w:r>
      <w:r w:rsidRPr="00BB4305">
        <w:rPr>
          <w:rFonts w:ascii="Arial" w:hAnsi="Arial" w:cs="Arial"/>
          <w:b/>
          <w:bCs/>
          <w:lang w:val="en-GB"/>
        </w:rPr>
        <w:t xml:space="preserve"> Distribution of resistance profiles for carbapenem-resistant strains isolated from digestive carriage at admission and discharge in children receiving empirical antibiotic therapy at CHU SO (2023) at admission and discharge</w:t>
      </w:r>
    </w:p>
    <w:p w14:paraId="569C26D6" w14:textId="77777777" w:rsidR="00506F74" w:rsidRPr="00BB4305" w:rsidRDefault="00506F74" w:rsidP="00506F74">
      <w:pPr>
        <w:rPr>
          <w:rFonts w:ascii="Arial" w:hAnsi="Arial" w:cs="Arial"/>
          <w:lang w:val="en-GB"/>
        </w:rPr>
      </w:pPr>
    </w:p>
    <w:tbl>
      <w:tblPr>
        <w:tblStyle w:val="Grilledutableau"/>
        <w:tblW w:w="12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62"/>
        <w:gridCol w:w="1231"/>
        <w:gridCol w:w="1037"/>
        <w:gridCol w:w="1187"/>
        <w:gridCol w:w="1228"/>
        <w:gridCol w:w="638"/>
        <w:gridCol w:w="1180"/>
        <w:gridCol w:w="1172"/>
        <w:gridCol w:w="1172"/>
      </w:tblGrid>
      <w:tr w:rsidR="00506F74" w:rsidRPr="00054FF6" w14:paraId="3CFA8EA8" w14:textId="77777777" w:rsidTr="00B52876">
        <w:tc>
          <w:tcPr>
            <w:tcW w:w="2977" w:type="dxa"/>
            <w:tcBorders>
              <w:top w:val="single" w:sz="4" w:space="0" w:color="auto"/>
              <w:bottom w:val="nil"/>
            </w:tcBorders>
            <w:vAlign w:val="center"/>
          </w:tcPr>
          <w:p w14:paraId="461BDD5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Antibiotics</w:t>
            </w:r>
          </w:p>
        </w:tc>
        <w:tc>
          <w:tcPr>
            <w:tcW w:w="562" w:type="dxa"/>
            <w:tcBorders>
              <w:top w:val="single" w:sz="4" w:space="0" w:color="auto"/>
              <w:bottom w:val="nil"/>
            </w:tcBorders>
            <w:vAlign w:val="center"/>
          </w:tcPr>
          <w:p w14:paraId="3606E39D" w14:textId="77777777" w:rsidR="00506F74" w:rsidRPr="00054FF6" w:rsidRDefault="00506F74" w:rsidP="008D219E">
            <w:pPr>
              <w:jc w:val="center"/>
              <w:rPr>
                <w:rFonts w:ascii="Arial" w:hAnsi="Arial" w:cs="Arial"/>
                <w:b/>
                <w:bCs/>
                <w:sz w:val="20"/>
                <w:szCs w:val="20"/>
              </w:rPr>
            </w:pPr>
          </w:p>
        </w:tc>
        <w:tc>
          <w:tcPr>
            <w:tcW w:w="8845" w:type="dxa"/>
            <w:gridSpan w:val="8"/>
            <w:tcBorders>
              <w:top w:val="single" w:sz="4" w:space="0" w:color="auto"/>
              <w:bottom w:val="nil"/>
            </w:tcBorders>
            <w:vAlign w:val="center"/>
          </w:tcPr>
          <w:p w14:paraId="4156E0CA"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Isolated Enterobacteriaceae strains</w:t>
            </w:r>
          </w:p>
        </w:tc>
      </w:tr>
      <w:tr w:rsidR="00522308" w:rsidRPr="00054FF6" w14:paraId="55C981D0" w14:textId="77777777" w:rsidTr="00B52876">
        <w:tc>
          <w:tcPr>
            <w:tcW w:w="2977" w:type="dxa"/>
            <w:tcBorders>
              <w:top w:val="nil"/>
              <w:bottom w:val="nil"/>
            </w:tcBorders>
            <w:vAlign w:val="center"/>
          </w:tcPr>
          <w:p w14:paraId="733FA4BC" w14:textId="77777777" w:rsidR="00506F74" w:rsidRPr="00054FF6" w:rsidRDefault="00506F74" w:rsidP="008D219E">
            <w:pPr>
              <w:jc w:val="center"/>
              <w:rPr>
                <w:rFonts w:ascii="Arial" w:hAnsi="Arial" w:cs="Arial"/>
                <w:sz w:val="20"/>
                <w:szCs w:val="20"/>
              </w:rPr>
            </w:pPr>
          </w:p>
        </w:tc>
        <w:tc>
          <w:tcPr>
            <w:tcW w:w="562" w:type="dxa"/>
            <w:tcBorders>
              <w:top w:val="nil"/>
              <w:bottom w:val="nil"/>
            </w:tcBorders>
            <w:vAlign w:val="center"/>
          </w:tcPr>
          <w:p w14:paraId="6B9FBB1A" w14:textId="77777777" w:rsidR="00506F74" w:rsidRPr="00054FF6" w:rsidRDefault="00506F74" w:rsidP="008D219E">
            <w:pPr>
              <w:jc w:val="center"/>
              <w:rPr>
                <w:rFonts w:ascii="Arial" w:hAnsi="Arial" w:cs="Arial"/>
                <w:sz w:val="20"/>
                <w:szCs w:val="20"/>
              </w:rPr>
            </w:pPr>
          </w:p>
        </w:tc>
        <w:tc>
          <w:tcPr>
            <w:tcW w:w="2268" w:type="dxa"/>
            <w:gridSpan w:val="2"/>
            <w:tcBorders>
              <w:top w:val="nil"/>
              <w:bottom w:val="nil"/>
            </w:tcBorders>
            <w:vAlign w:val="center"/>
          </w:tcPr>
          <w:p w14:paraId="69D9C98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Escherichia coli</w:t>
            </w:r>
          </w:p>
        </w:tc>
        <w:tc>
          <w:tcPr>
            <w:tcW w:w="2415" w:type="dxa"/>
            <w:gridSpan w:val="2"/>
            <w:tcBorders>
              <w:top w:val="nil"/>
              <w:bottom w:val="nil"/>
            </w:tcBorders>
            <w:vAlign w:val="center"/>
          </w:tcPr>
          <w:p w14:paraId="63164931"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Enterobacter cloacae</w:t>
            </w:r>
          </w:p>
        </w:tc>
        <w:tc>
          <w:tcPr>
            <w:tcW w:w="1818" w:type="dxa"/>
            <w:gridSpan w:val="2"/>
            <w:tcBorders>
              <w:top w:val="nil"/>
              <w:bottom w:val="nil"/>
            </w:tcBorders>
            <w:vAlign w:val="center"/>
          </w:tcPr>
          <w:p w14:paraId="6902B943"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 xml:space="preserve">Klebsiella </w:t>
            </w:r>
            <w:proofErr w:type="spellStart"/>
            <w:r w:rsidRPr="00054FF6">
              <w:rPr>
                <w:rFonts w:ascii="Arial" w:eastAsia="Times New Roman" w:hAnsi="Arial" w:cs="Arial"/>
                <w:b/>
                <w:bCs/>
                <w:i/>
                <w:iCs/>
                <w:color w:val="000000"/>
                <w:sz w:val="20"/>
                <w:szCs w:val="20"/>
              </w:rPr>
              <w:t>oxytoca</w:t>
            </w:r>
            <w:proofErr w:type="spellEnd"/>
          </w:p>
        </w:tc>
        <w:tc>
          <w:tcPr>
            <w:tcW w:w="2344" w:type="dxa"/>
            <w:gridSpan w:val="2"/>
            <w:tcBorders>
              <w:top w:val="nil"/>
              <w:bottom w:val="nil"/>
            </w:tcBorders>
            <w:vAlign w:val="center"/>
          </w:tcPr>
          <w:p w14:paraId="288A1EBA"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Klebsiella pneumoniae</w:t>
            </w:r>
          </w:p>
        </w:tc>
      </w:tr>
      <w:tr w:rsidR="00522308" w:rsidRPr="00054FF6" w14:paraId="6F9146D0" w14:textId="77777777" w:rsidTr="00B52876">
        <w:tc>
          <w:tcPr>
            <w:tcW w:w="2977" w:type="dxa"/>
            <w:tcBorders>
              <w:top w:val="nil"/>
              <w:bottom w:val="single" w:sz="4" w:space="0" w:color="auto"/>
            </w:tcBorders>
            <w:vAlign w:val="center"/>
          </w:tcPr>
          <w:p w14:paraId="2E85E3E7" w14:textId="77777777" w:rsidR="00506F74" w:rsidRPr="00054FF6" w:rsidRDefault="00506F74" w:rsidP="008D219E">
            <w:pPr>
              <w:jc w:val="center"/>
              <w:rPr>
                <w:rFonts w:ascii="Arial" w:hAnsi="Arial" w:cs="Arial"/>
                <w:sz w:val="20"/>
                <w:szCs w:val="20"/>
              </w:rPr>
            </w:pPr>
          </w:p>
        </w:tc>
        <w:tc>
          <w:tcPr>
            <w:tcW w:w="562" w:type="dxa"/>
            <w:tcBorders>
              <w:top w:val="nil"/>
              <w:bottom w:val="single" w:sz="4" w:space="0" w:color="auto"/>
            </w:tcBorders>
            <w:vAlign w:val="center"/>
          </w:tcPr>
          <w:p w14:paraId="6184D880" w14:textId="77777777" w:rsidR="00506F74" w:rsidRPr="00054FF6" w:rsidRDefault="00506F74" w:rsidP="008D219E">
            <w:pPr>
              <w:jc w:val="center"/>
              <w:rPr>
                <w:rFonts w:ascii="Arial" w:hAnsi="Arial" w:cs="Arial"/>
                <w:sz w:val="20"/>
                <w:szCs w:val="20"/>
              </w:rPr>
            </w:pPr>
          </w:p>
        </w:tc>
        <w:tc>
          <w:tcPr>
            <w:tcW w:w="1231" w:type="dxa"/>
            <w:tcBorders>
              <w:top w:val="nil"/>
              <w:bottom w:val="single" w:sz="4" w:space="0" w:color="auto"/>
            </w:tcBorders>
            <w:vAlign w:val="center"/>
          </w:tcPr>
          <w:p w14:paraId="4072A08F"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*n=15</w:t>
            </w:r>
          </w:p>
          <w:p w14:paraId="088663AC"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037" w:type="dxa"/>
            <w:tcBorders>
              <w:top w:val="nil"/>
              <w:bottom w:val="single" w:sz="4" w:space="0" w:color="auto"/>
            </w:tcBorders>
            <w:vAlign w:val="center"/>
          </w:tcPr>
          <w:p w14:paraId="26AA692B"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**n=40</w:t>
            </w:r>
          </w:p>
          <w:p w14:paraId="72916C7C"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87" w:type="dxa"/>
            <w:tcBorders>
              <w:top w:val="nil"/>
              <w:bottom w:val="single" w:sz="4" w:space="0" w:color="auto"/>
            </w:tcBorders>
            <w:vAlign w:val="center"/>
          </w:tcPr>
          <w:p w14:paraId="4FFBD76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*n=16</w:t>
            </w:r>
          </w:p>
          <w:p w14:paraId="0B830B6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228" w:type="dxa"/>
            <w:tcBorders>
              <w:top w:val="nil"/>
              <w:bottom w:val="single" w:sz="4" w:space="0" w:color="auto"/>
            </w:tcBorders>
            <w:vAlign w:val="center"/>
          </w:tcPr>
          <w:p w14:paraId="3D58E308"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**n=18</w:t>
            </w:r>
          </w:p>
          <w:p w14:paraId="160A6C5F"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638" w:type="dxa"/>
            <w:tcBorders>
              <w:top w:val="nil"/>
              <w:bottom w:val="single" w:sz="4" w:space="0" w:color="auto"/>
            </w:tcBorders>
            <w:vAlign w:val="center"/>
          </w:tcPr>
          <w:p w14:paraId="28EC3069"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*n=0</w:t>
            </w:r>
          </w:p>
          <w:p w14:paraId="0809F2F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80" w:type="dxa"/>
            <w:tcBorders>
              <w:top w:val="nil"/>
              <w:bottom w:val="single" w:sz="4" w:space="0" w:color="auto"/>
            </w:tcBorders>
            <w:vAlign w:val="center"/>
          </w:tcPr>
          <w:p w14:paraId="00BA4712"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**n=2</w:t>
            </w:r>
          </w:p>
          <w:p w14:paraId="05453B82"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72" w:type="dxa"/>
            <w:tcBorders>
              <w:top w:val="nil"/>
              <w:bottom w:val="single" w:sz="4" w:space="0" w:color="auto"/>
            </w:tcBorders>
            <w:vAlign w:val="center"/>
          </w:tcPr>
          <w:p w14:paraId="4C08A60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 xml:space="preserve">*n=3 </w:t>
            </w:r>
          </w:p>
          <w:p w14:paraId="02D5F13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172" w:type="dxa"/>
            <w:tcBorders>
              <w:top w:val="nil"/>
              <w:bottom w:val="single" w:sz="4" w:space="0" w:color="auto"/>
            </w:tcBorders>
            <w:vAlign w:val="center"/>
          </w:tcPr>
          <w:p w14:paraId="64933B3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**n=12</w:t>
            </w:r>
          </w:p>
          <w:p w14:paraId="7F54B42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r>
      <w:tr w:rsidR="00522308" w:rsidRPr="00054FF6" w14:paraId="6B801302" w14:textId="77777777" w:rsidTr="00B52876">
        <w:tc>
          <w:tcPr>
            <w:tcW w:w="2977" w:type="dxa"/>
            <w:tcBorders>
              <w:top w:val="single" w:sz="4" w:space="0" w:color="auto"/>
            </w:tcBorders>
            <w:vAlign w:val="center"/>
          </w:tcPr>
          <w:p w14:paraId="33568E60" w14:textId="66B9760B" w:rsidR="00506F74" w:rsidRPr="00054FF6" w:rsidRDefault="008D219E" w:rsidP="008D219E">
            <w:pPr>
              <w:jc w:val="center"/>
              <w:rPr>
                <w:rFonts w:ascii="Arial" w:eastAsia="Times New Roman" w:hAnsi="Arial" w:cs="Arial"/>
                <w:color w:val="000000"/>
                <w:sz w:val="20"/>
                <w:szCs w:val="20"/>
                <w:lang w:eastAsia="fr-FR"/>
              </w:rPr>
            </w:pPr>
            <w:r w:rsidRPr="00054FF6">
              <w:rPr>
                <w:rFonts w:ascii="Arial" w:eastAsia="Times New Roman" w:hAnsi="Arial" w:cs="Arial"/>
                <w:color w:val="000000"/>
                <w:sz w:val="20"/>
                <w:szCs w:val="20"/>
                <w:lang w:eastAsia="fr-FR"/>
              </w:rPr>
              <w:t>Imipenem</w:t>
            </w:r>
          </w:p>
        </w:tc>
        <w:tc>
          <w:tcPr>
            <w:tcW w:w="562" w:type="dxa"/>
            <w:tcBorders>
              <w:top w:val="single" w:sz="4" w:space="0" w:color="auto"/>
            </w:tcBorders>
            <w:vAlign w:val="center"/>
          </w:tcPr>
          <w:p w14:paraId="1AA0D99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Borders>
              <w:top w:val="single" w:sz="4" w:space="0" w:color="auto"/>
            </w:tcBorders>
            <w:vAlign w:val="center"/>
          </w:tcPr>
          <w:p w14:paraId="27C8FC4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(33.3)</w:t>
            </w:r>
          </w:p>
        </w:tc>
        <w:tc>
          <w:tcPr>
            <w:tcW w:w="1037" w:type="dxa"/>
            <w:tcBorders>
              <w:top w:val="single" w:sz="4" w:space="0" w:color="auto"/>
            </w:tcBorders>
            <w:vAlign w:val="center"/>
          </w:tcPr>
          <w:p w14:paraId="6482277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(32.5)</w:t>
            </w:r>
          </w:p>
        </w:tc>
        <w:tc>
          <w:tcPr>
            <w:tcW w:w="1187" w:type="dxa"/>
            <w:tcBorders>
              <w:top w:val="single" w:sz="4" w:space="0" w:color="auto"/>
            </w:tcBorders>
            <w:vAlign w:val="center"/>
          </w:tcPr>
          <w:p w14:paraId="703223D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(31.3)</w:t>
            </w:r>
          </w:p>
        </w:tc>
        <w:tc>
          <w:tcPr>
            <w:tcW w:w="1228" w:type="dxa"/>
            <w:tcBorders>
              <w:top w:val="single" w:sz="4" w:space="0" w:color="auto"/>
            </w:tcBorders>
            <w:vAlign w:val="center"/>
          </w:tcPr>
          <w:p w14:paraId="4E955D0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(50.0)</w:t>
            </w:r>
          </w:p>
        </w:tc>
        <w:tc>
          <w:tcPr>
            <w:tcW w:w="638" w:type="dxa"/>
            <w:tcBorders>
              <w:top w:val="single" w:sz="4" w:space="0" w:color="auto"/>
            </w:tcBorders>
            <w:vAlign w:val="center"/>
          </w:tcPr>
          <w:p w14:paraId="531F77E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tcBorders>
              <w:top w:val="single" w:sz="4" w:space="0" w:color="auto"/>
            </w:tcBorders>
            <w:vAlign w:val="center"/>
          </w:tcPr>
          <w:p w14:paraId="79473A3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Borders>
              <w:top w:val="single" w:sz="4" w:space="0" w:color="auto"/>
            </w:tcBorders>
            <w:vAlign w:val="center"/>
          </w:tcPr>
          <w:p w14:paraId="3C907E3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tcBorders>
              <w:top w:val="single" w:sz="4" w:space="0" w:color="auto"/>
            </w:tcBorders>
            <w:vAlign w:val="center"/>
          </w:tcPr>
          <w:p w14:paraId="0E47973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(75.0)</w:t>
            </w:r>
          </w:p>
        </w:tc>
      </w:tr>
      <w:tr w:rsidR="00522308" w:rsidRPr="00054FF6" w14:paraId="12DE0964" w14:textId="77777777" w:rsidTr="00B52876">
        <w:tc>
          <w:tcPr>
            <w:tcW w:w="2977" w:type="dxa"/>
            <w:vAlign w:val="center"/>
          </w:tcPr>
          <w:p w14:paraId="2B661642" w14:textId="38287CD3"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Meropenem</w:t>
            </w:r>
          </w:p>
        </w:tc>
        <w:tc>
          <w:tcPr>
            <w:tcW w:w="562" w:type="dxa"/>
            <w:vAlign w:val="center"/>
          </w:tcPr>
          <w:p w14:paraId="0670B66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2D131BE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 (26.6)</w:t>
            </w:r>
          </w:p>
        </w:tc>
        <w:tc>
          <w:tcPr>
            <w:tcW w:w="1037" w:type="dxa"/>
            <w:vAlign w:val="center"/>
          </w:tcPr>
          <w:p w14:paraId="512288D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(32.5)</w:t>
            </w:r>
          </w:p>
        </w:tc>
        <w:tc>
          <w:tcPr>
            <w:tcW w:w="1187" w:type="dxa"/>
            <w:vAlign w:val="center"/>
          </w:tcPr>
          <w:p w14:paraId="34E8A0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(31.3)</w:t>
            </w:r>
          </w:p>
        </w:tc>
        <w:tc>
          <w:tcPr>
            <w:tcW w:w="1228" w:type="dxa"/>
            <w:vAlign w:val="center"/>
          </w:tcPr>
          <w:p w14:paraId="5B5228C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(38.9)</w:t>
            </w:r>
          </w:p>
        </w:tc>
        <w:tc>
          <w:tcPr>
            <w:tcW w:w="638" w:type="dxa"/>
            <w:vAlign w:val="center"/>
          </w:tcPr>
          <w:p w14:paraId="79F2803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672E248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703C722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59F4794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 (33.3)</w:t>
            </w:r>
          </w:p>
        </w:tc>
      </w:tr>
      <w:tr w:rsidR="00522308" w:rsidRPr="00054FF6" w14:paraId="070BB3BE" w14:textId="77777777" w:rsidTr="00B52876">
        <w:tc>
          <w:tcPr>
            <w:tcW w:w="2977" w:type="dxa"/>
            <w:vAlign w:val="center"/>
          </w:tcPr>
          <w:p w14:paraId="6B1AFE51" w14:textId="10534B24"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Ertapenem</w:t>
            </w:r>
          </w:p>
        </w:tc>
        <w:tc>
          <w:tcPr>
            <w:tcW w:w="562" w:type="dxa"/>
            <w:vAlign w:val="center"/>
          </w:tcPr>
          <w:p w14:paraId="059B64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355B60C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(80.0)</w:t>
            </w:r>
          </w:p>
        </w:tc>
        <w:tc>
          <w:tcPr>
            <w:tcW w:w="1037" w:type="dxa"/>
            <w:vAlign w:val="center"/>
          </w:tcPr>
          <w:p w14:paraId="0D9D9D4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72A64EA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vAlign w:val="center"/>
          </w:tcPr>
          <w:p w14:paraId="712361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754E7B7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5EE4A04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03E4FE3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vAlign w:val="center"/>
          </w:tcPr>
          <w:p w14:paraId="02F834B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(66.7)</w:t>
            </w:r>
          </w:p>
        </w:tc>
      </w:tr>
      <w:tr w:rsidR="00522308" w:rsidRPr="00054FF6" w14:paraId="2CE5DD4B" w14:textId="77777777" w:rsidTr="00B52876">
        <w:tc>
          <w:tcPr>
            <w:tcW w:w="2977" w:type="dxa"/>
            <w:vAlign w:val="center"/>
          </w:tcPr>
          <w:p w14:paraId="66FB3047" w14:textId="68B2CA18"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Ceftazidime-avibactam</w:t>
            </w:r>
          </w:p>
        </w:tc>
        <w:tc>
          <w:tcPr>
            <w:tcW w:w="562" w:type="dxa"/>
            <w:vAlign w:val="center"/>
          </w:tcPr>
          <w:p w14:paraId="4D7803B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033CF5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6 (40.0)</w:t>
            </w:r>
          </w:p>
        </w:tc>
        <w:tc>
          <w:tcPr>
            <w:tcW w:w="1037" w:type="dxa"/>
            <w:vAlign w:val="center"/>
          </w:tcPr>
          <w:p w14:paraId="2EA6DFA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17 (42.5)</w:t>
            </w:r>
          </w:p>
        </w:tc>
        <w:tc>
          <w:tcPr>
            <w:tcW w:w="1187" w:type="dxa"/>
            <w:vAlign w:val="center"/>
          </w:tcPr>
          <w:p w14:paraId="52DDE9D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(50.0)</w:t>
            </w:r>
          </w:p>
        </w:tc>
        <w:tc>
          <w:tcPr>
            <w:tcW w:w="1228" w:type="dxa"/>
            <w:vAlign w:val="center"/>
          </w:tcPr>
          <w:p w14:paraId="2660F2D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(66.7)</w:t>
            </w:r>
          </w:p>
        </w:tc>
        <w:tc>
          <w:tcPr>
            <w:tcW w:w="638" w:type="dxa"/>
            <w:vAlign w:val="center"/>
          </w:tcPr>
          <w:p w14:paraId="704FEC4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5275986" w14:textId="435C67DA" w:rsidR="00506F74" w:rsidRPr="00054FF6" w:rsidRDefault="008D219E" w:rsidP="008D219E">
            <w:pPr>
              <w:rPr>
                <w:rFonts w:ascii="Arial" w:hAnsi="Arial" w:cs="Arial"/>
                <w:sz w:val="20"/>
                <w:szCs w:val="20"/>
              </w:rPr>
            </w:pPr>
            <w:r>
              <w:rPr>
                <w:rFonts w:ascii="Arial" w:hAnsi="Arial" w:cs="Arial"/>
                <w:sz w:val="20"/>
                <w:szCs w:val="20"/>
              </w:rPr>
              <w:t xml:space="preserve"> </w:t>
            </w:r>
            <w:r w:rsidR="00506F74" w:rsidRPr="00054FF6">
              <w:rPr>
                <w:rFonts w:ascii="Arial" w:hAnsi="Arial" w:cs="Arial"/>
                <w:sz w:val="20"/>
                <w:szCs w:val="20"/>
              </w:rPr>
              <w:t>1 (50.0)</w:t>
            </w:r>
          </w:p>
        </w:tc>
        <w:tc>
          <w:tcPr>
            <w:tcW w:w="1172" w:type="dxa"/>
            <w:vAlign w:val="center"/>
          </w:tcPr>
          <w:p w14:paraId="11A23057"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(33.3)</w:t>
            </w:r>
          </w:p>
        </w:tc>
        <w:tc>
          <w:tcPr>
            <w:tcW w:w="1172" w:type="dxa"/>
            <w:vAlign w:val="center"/>
          </w:tcPr>
          <w:p w14:paraId="1625381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3(25.0)</w:t>
            </w:r>
          </w:p>
        </w:tc>
      </w:tr>
      <w:tr w:rsidR="00522308" w:rsidRPr="00054FF6" w14:paraId="1E251A3B" w14:textId="77777777" w:rsidTr="00B52876">
        <w:tc>
          <w:tcPr>
            <w:tcW w:w="2977" w:type="dxa"/>
            <w:vAlign w:val="center"/>
          </w:tcPr>
          <w:p w14:paraId="0967414B" w14:textId="501C037A"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Cefoxitin</w:t>
            </w:r>
          </w:p>
        </w:tc>
        <w:tc>
          <w:tcPr>
            <w:tcW w:w="562" w:type="dxa"/>
            <w:vAlign w:val="center"/>
          </w:tcPr>
          <w:p w14:paraId="594092D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D4D3B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(53.3)</w:t>
            </w:r>
          </w:p>
        </w:tc>
        <w:tc>
          <w:tcPr>
            <w:tcW w:w="1037" w:type="dxa"/>
            <w:vAlign w:val="center"/>
          </w:tcPr>
          <w:p w14:paraId="36E088B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33 (82.5)</w:t>
            </w:r>
          </w:p>
        </w:tc>
        <w:tc>
          <w:tcPr>
            <w:tcW w:w="1187" w:type="dxa"/>
            <w:vAlign w:val="center"/>
          </w:tcPr>
          <w:p w14:paraId="5EE8D60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vAlign w:val="center"/>
          </w:tcPr>
          <w:p w14:paraId="2566A6D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6E1ACAE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14E739D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05A1D36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2C38E7E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(58.3)</w:t>
            </w:r>
          </w:p>
        </w:tc>
      </w:tr>
      <w:tr w:rsidR="00522308" w:rsidRPr="00054FF6" w14:paraId="0A674E2B" w14:textId="77777777" w:rsidTr="00B52876">
        <w:tc>
          <w:tcPr>
            <w:tcW w:w="2977" w:type="dxa"/>
            <w:vAlign w:val="center"/>
          </w:tcPr>
          <w:p w14:paraId="106BFB57" w14:textId="63F47EF7"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Piperacillin-tazobactam</w:t>
            </w:r>
          </w:p>
        </w:tc>
        <w:tc>
          <w:tcPr>
            <w:tcW w:w="562" w:type="dxa"/>
            <w:vAlign w:val="center"/>
          </w:tcPr>
          <w:p w14:paraId="1995EB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2766751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(47.3)</w:t>
            </w:r>
          </w:p>
        </w:tc>
        <w:tc>
          <w:tcPr>
            <w:tcW w:w="1037" w:type="dxa"/>
            <w:vAlign w:val="center"/>
          </w:tcPr>
          <w:p w14:paraId="20A79FE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34 (85.0)</w:t>
            </w:r>
          </w:p>
        </w:tc>
        <w:tc>
          <w:tcPr>
            <w:tcW w:w="1187" w:type="dxa"/>
            <w:vAlign w:val="center"/>
          </w:tcPr>
          <w:p w14:paraId="59ADDD2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(56.2)</w:t>
            </w:r>
          </w:p>
        </w:tc>
        <w:tc>
          <w:tcPr>
            <w:tcW w:w="1228" w:type="dxa"/>
            <w:vAlign w:val="center"/>
          </w:tcPr>
          <w:p w14:paraId="7E0AB7A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7C3547C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230EA423" w14:textId="69CB6600" w:rsidR="00506F74" w:rsidRPr="00054FF6" w:rsidRDefault="00506F74" w:rsidP="008D219E">
            <w:pPr>
              <w:jc w:val="center"/>
              <w:rPr>
                <w:rFonts w:ascii="Arial" w:hAnsi="Arial" w:cs="Arial"/>
                <w:sz w:val="20"/>
                <w:szCs w:val="20"/>
              </w:rPr>
            </w:pPr>
            <w:r w:rsidRPr="00054FF6">
              <w:rPr>
                <w:rFonts w:ascii="Arial" w:hAnsi="Arial" w:cs="Arial"/>
                <w:sz w:val="20"/>
                <w:szCs w:val="20"/>
              </w:rPr>
              <w:t>2 (100</w:t>
            </w:r>
            <w:r w:rsidR="00431CD7">
              <w:rPr>
                <w:rFonts w:ascii="Arial" w:hAnsi="Arial" w:cs="Arial"/>
                <w:sz w:val="20"/>
                <w:szCs w:val="20"/>
              </w:rPr>
              <w:t>.</w:t>
            </w:r>
            <w:r w:rsidRPr="00054FF6">
              <w:rPr>
                <w:rFonts w:ascii="Arial" w:hAnsi="Arial" w:cs="Arial"/>
                <w:sz w:val="20"/>
                <w:szCs w:val="20"/>
              </w:rPr>
              <w:t>0)</w:t>
            </w:r>
          </w:p>
        </w:tc>
        <w:tc>
          <w:tcPr>
            <w:tcW w:w="1172" w:type="dxa"/>
            <w:vAlign w:val="center"/>
          </w:tcPr>
          <w:p w14:paraId="03BB914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4DC1445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(66.7)</w:t>
            </w:r>
          </w:p>
        </w:tc>
      </w:tr>
      <w:tr w:rsidR="00522308" w:rsidRPr="00054FF6" w14:paraId="2E6EA847" w14:textId="77777777" w:rsidTr="00B52876">
        <w:tc>
          <w:tcPr>
            <w:tcW w:w="2977" w:type="dxa"/>
            <w:vAlign w:val="center"/>
          </w:tcPr>
          <w:p w14:paraId="382E8091" w14:textId="61A062FC"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Gentamicin</w:t>
            </w:r>
          </w:p>
        </w:tc>
        <w:tc>
          <w:tcPr>
            <w:tcW w:w="562" w:type="dxa"/>
            <w:vAlign w:val="center"/>
          </w:tcPr>
          <w:p w14:paraId="6B07165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09EFDA8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10 (66.7)</w:t>
            </w:r>
          </w:p>
        </w:tc>
        <w:tc>
          <w:tcPr>
            <w:tcW w:w="1037" w:type="dxa"/>
            <w:vAlign w:val="center"/>
          </w:tcPr>
          <w:p w14:paraId="519F0A0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30 (75.0)</w:t>
            </w:r>
          </w:p>
        </w:tc>
        <w:tc>
          <w:tcPr>
            <w:tcW w:w="1187" w:type="dxa"/>
            <w:vAlign w:val="center"/>
          </w:tcPr>
          <w:p w14:paraId="5D5106C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(56.2)</w:t>
            </w:r>
          </w:p>
        </w:tc>
        <w:tc>
          <w:tcPr>
            <w:tcW w:w="1228" w:type="dxa"/>
            <w:vAlign w:val="center"/>
          </w:tcPr>
          <w:p w14:paraId="087E2F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(83.3)</w:t>
            </w:r>
          </w:p>
        </w:tc>
        <w:tc>
          <w:tcPr>
            <w:tcW w:w="638" w:type="dxa"/>
            <w:vAlign w:val="center"/>
          </w:tcPr>
          <w:p w14:paraId="6BE1C95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FF6FB9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511E5447"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(33.3)</w:t>
            </w:r>
          </w:p>
        </w:tc>
        <w:tc>
          <w:tcPr>
            <w:tcW w:w="1172" w:type="dxa"/>
            <w:vAlign w:val="center"/>
          </w:tcPr>
          <w:p w14:paraId="1393F6C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11 (91.7)</w:t>
            </w:r>
          </w:p>
        </w:tc>
      </w:tr>
      <w:tr w:rsidR="00522308" w:rsidRPr="00054FF6" w14:paraId="6E11B1C2" w14:textId="77777777" w:rsidTr="00B52876">
        <w:tc>
          <w:tcPr>
            <w:tcW w:w="2977" w:type="dxa"/>
            <w:vAlign w:val="center"/>
          </w:tcPr>
          <w:p w14:paraId="663A74EC" w14:textId="39150E65"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Ciprof</w:t>
            </w:r>
            <w:r w:rsidR="00431CD7">
              <w:rPr>
                <w:rFonts w:ascii="Arial" w:eastAsia="Times New Roman" w:hAnsi="Arial" w:cs="Arial"/>
                <w:color w:val="000000"/>
                <w:sz w:val="20"/>
                <w:szCs w:val="20"/>
                <w:lang w:eastAsia="fr-FR"/>
              </w:rPr>
              <w:t>l</w:t>
            </w:r>
            <w:r w:rsidRPr="00054FF6">
              <w:rPr>
                <w:rFonts w:ascii="Arial" w:eastAsia="Times New Roman" w:hAnsi="Arial" w:cs="Arial"/>
                <w:color w:val="000000"/>
                <w:sz w:val="20"/>
                <w:szCs w:val="20"/>
                <w:lang w:eastAsia="fr-FR"/>
              </w:rPr>
              <w:t>oxacin</w:t>
            </w:r>
          </w:p>
        </w:tc>
        <w:tc>
          <w:tcPr>
            <w:tcW w:w="562" w:type="dxa"/>
            <w:vAlign w:val="center"/>
          </w:tcPr>
          <w:p w14:paraId="6BA4665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CF7D57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14 (93.3)</w:t>
            </w:r>
          </w:p>
        </w:tc>
        <w:tc>
          <w:tcPr>
            <w:tcW w:w="1037" w:type="dxa"/>
            <w:vAlign w:val="center"/>
          </w:tcPr>
          <w:p w14:paraId="6AC48AB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37 (92.5)</w:t>
            </w:r>
          </w:p>
        </w:tc>
        <w:tc>
          <w:tcPr>
            <w:tcW w:w="1187" w:type="dxa"/>
            <w:vAlign w:val="center"/>
          </w:tcPr>
          <w:p w14:paraId="1109BA6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(75.0)</w:t>
            </w:r>
          </w:p>
        </w:tc>
        <w:tc>
          <w:tcPr>
            <w:tcW w:w="1228" w:type="dxa"/>
            <w:vAlign w:val="center"/>
          </w:tcPr>
          <w:p w14:paraId="3D412FA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08CCF30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39942E9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(50.0)</w:t>
            </w:r>
          </w:p>
        </w:tc>
        <w:tc>
          <w:tcPr>
            <w:tcW w:w="1172" w:type="dxa"/>
          </w:tcPr>
          <w:p w14:paraId="04CBD83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vAlign w:val="center"/>
          </w:tcPr>
          <w:p w14:paraId="1B322713" w14:textId="2E5F1A23"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3394B10D" w14:textId="77777777" w:rsidTr="00B52876">
        <w:tc>
          <w:tcPr>
            <w:tcW w:w="2977" w:type="dxa"/>
            <w:vAlign w:val="center"/>
          </w:tcPr>
          <w:p w14:paraId="37DD3F9C" w14:textId="687F324D"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Cefotaxime</w:t>
            </w:r>
          </w:p>
        </w:tc>
        <w:tc>
          <w:tcPr>
            <w:tcW w:w="562" w:type="dxa"/>
            <w:vAlign w:val="center"/>
          </w:tcPr>
          <w:p w14:paraId="3DDE1F4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0D63F92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tcPr>
          <w:p w14:paraId="4F5A5D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58B2AC0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(93.7)</w:t>
            </w:r>
          </w:p>
        </w:tc>
        <w:tc>
          <w:tcPr>
            <w:tcW w:w="1228" w:type="dxa"/>
          </w:tcPr>
          <w:p w14:paraId="597E4C8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5D49C1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717F5DB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3E3C3C4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27E266F6" w14:textId="24534492"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2562EDAA" w14:textId="77777777" w:rsidTr="00B52876">
        <w:tc>
          <w:tcPr>
            <w:tcW w:w="2977" w:type="dxa"/>
            <w:vAlign w:val="center"/>
          </w:tcPr>
          <w:p w14:paraId="6A5916B6" w14:textId="57A9C662"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Cefepime</w:t>
            </w:r>
          </w:p>
        </w:tc>
        <w:tc>
          <w:tcPr>
            <w:tcW w:w="562" w:type="dxa"/>
            <w:vAlign w:val="center"/>
          </w:tcPr>
          <w:p w14:paraId="76C93FE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21A53718" w14:textId="6007276E" w:rsidR="00506F74" w:rsidRPr="00054FF6" w:rsidRDefault="00B52876" w:rsidP="008D219E">
            <w:pPr>
              <w:rPr>
                <w:rFonts w:ascii="Arial" w:hAnsi="Arial" w:cs="Arial"/>
                <w:sz w:val="20"/>
                <w:szCs w:val="20"/>
              </w:rPr>
            </w:pPr>
            <w:r>
              <w:rPr>
                <w:rFonts w:ascii="Arial" w:hAnsi="Arial" w:cs="Arial"/>
                <w:sz w:val="20"/>
                <w:szCs w:val="20"/>
              </w:rPr>
              <w:t xml:space="preserve"> </w:t>
            </w:r>
            <w:r w:rsidR="00506F74" w:rsidRPr="00054FF6">
              <w:rPr>
                <w:rFonts w:ascii="Arial" w:hAnsi="Arial" w:cs="Arial"/>
                <w:sz w:val="20"/>
                <w:szCs w:val="20"/>
              </w:rPr>
              <w:t>15 (100.0)</w:t>
            </w:r>
          </w:p>
        </w:tc>
        <w:tc>
          <w:tcPr>
            <w:tcW w:w="1037" w:type="dxa"/>
          </w:tcPr>
          <w:p w14:paraId="5A3F53C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4A7E051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14 (87.5)</w:t>
            </w:r>
          </w:p>
        </w:tc>
        <w:tc>
          <w:tcPr>
            <w:tcW w:w="1228" w:type="dxa"/>
          </w:tcPr>
          <w:p w14:paraId="5F96DAC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395351A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C6FE28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7B517E9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0071B615" w14:textId="576451C6"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39DFE327" w14:textId="77777777" w:rsidTr="00B52876">
        <w:tc>
          <w:tcPr>
            <w:tcW w:w="2977" w:type="dxa"/>
            <w:vAlign w:val="center"/>
          </w:tcPr>
          <w:p w14:paraId="5F4468C6" w14:textId="71536BAF"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Ceftazidime</w:t>
            </w:r>
          </w:p>
        </w:tc>
        <w:tc>
          <w:tcPr>
            <w:tcW w:w="562" w:type="dxa"/>
            <w:vAlign w:val="center"/>
          </w:tcPr>
          <w:p w14:paraId="5E746D5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3393E9C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tcPr>
          <w:p w14:paraId="4C7BD66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tcPr>
          <w:p w14:paraId="45DCEAD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tcPr>
          <w:p w14:paraId="472AD1A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50BA352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1295330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00D3F0B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5DC71790" w14:textId="674FB133"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29EC750B" w14:textId="77777777" w:rsidTr="00B52876">
        <w:tc>
          <w:tcPr>
            <w:tcW w:w="2977" w:type="dxa"/>
            <w:vAlign w:val="center"/>
          </w:tcPr>
          <w:p w14:paraId="5D1A2D6D" w14:textId="2E75B207"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Amoxicillin</w:t>
            </w:r>
          </w:p>
        </w:tc>
        <w:tc>
          <w:tcPr>
            <w:tcW w:w="562" w:type="dxa"/>
            <w:vAlign w:val="center"/>
          </w:tcPr>
          <w:p w14:paraId="504D9BC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4C5DA0F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vAlign w:val="center"/>
          </w:tcPr>
          <w:p w14:paraId="3EF6149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40 (100.0)</w:t>
            </w:r>
          </w:p>
        </w:tc>
        <w:tc>
          <w:tcPr>
            <w:tcW w:w="1187" w:type="dxa"/>
          </w:tcPr>
          <w:p w14:paraId="01813A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tcPr>
          <w:p w14:paraId="559ECF5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4884F28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2F5A0E8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2CEB00F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4E90F3F9" w14:textId="0256BA98"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14A2BF2E" w14:textId="77777777" w:rsidTr="00B52876">
        <w:tc>
          <w:tcPr>
            <w:tcW w:w="2977" w:type="dxa"/>
            <w:vAlign w:val="center"/>
          </w:tcPr>
          <w:p w14:paraId="6F52FBD0" w14:textId="28DA56E9"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Amoxicillin- clavulanic acid</w:t>
            </w:r>
          </w:p>
        </w:tc>
        <w:tc>
          <w:tcPr>
            <w:tcW w:w="562" w:type="dxa"/>
            <w:vAlign w:val="center"/>
          </w:tcPr>
          <w:p w14:paraId="5D934C1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76DA7C4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(80.0)</w:t>
            </w:r>
          </w:p>
        </w:tc>
        <w:tc>
          <w:tcPr>
            <w:tcW w:w="1037" w:type="dxa"/>
            <w:vAlign w:val="center"/>
          </w:tcPr>
          <w:p w14:paraId="36DF521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305C23B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(81.2)</w:t>
            </w:r>
          </w:p>
        </w:tc>
        <w:tc>
          <w:tcPr>
            <w:tcW w:w="1228" w:type="dxa"/>
          </w:tcPr>
          <w:p w14:paraId="59D3705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1F895DF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73E5EA6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565F257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1B2C7C21" w14:textId="6000C9C8"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bl>
    <w:p w14:paraId="7045966F" w14:textId="77777777" w:rsidR="003C36B9" w:rsidRPr="003C36B9" w:rsidRDefault="003C36B9" w:rsidP="003C36B9">
      <w:pPr>
        <w:rPr>
          <w:rFonts w:ascii="Arial" w:hAnsi="Arial" w:cs="Arial"/>
          <w:lang w:val="en-GB"/>
        </w:rPr>
      </w:pPr>
      <w:r w:rsidRPr="003C36B9">
        <w:rPr>
          <w:rFonts w:ascii="Arial" w:hAnsi="Arial" w:cs="Arial"/>
          <w:lang w:val="en-GB"/>
        </w:rPr>
        <w:t>*Strains isolated at admission; **Strains isolated at discharge.</w:t>
      </w:r>
    </w:p>
    <w:p w14:paraId="322BB8DF" w14:textId="77777777" w:rsidR="00522308" w:rsidRDefault="00522308" w:rsidP="00441B6F">
      <w:pPr>
        <w:jc w:val="both"/>
        <w:rPr>
          <w:rFonts w:ascii="Arial" w:hAnsi="Arial" w:cs="Arial"/>
          <w:u w:val="single"/>
          <w:lang w:val="en-GB" w:eastAsia="en-GB"/>
        </w:rPr>
      </w:pPr>
    </w:p>
    <w:p w14:paraId="0FED5D3E" w14:textId="77777777" w:rsidR="003D7AC9" w:rsidRDefault="003D7AC9" w:rsidP="00441B6F">
      <w:pPr>
        <w:jc w:val="both"/>
        <w:rPr>
          <w:rFonts w:ascii="Arial" w:hAnsi="Arial" w:cs="Arial"/>
          <w:u w:val="single"/>
          <w:lang w:val="en-GB" w:eastAsia="en-GB"/>
        </w:rPr>
      </w:pPr>
    </w:p>
    <w:p w14:paraId="0838BEE4" w14:textId="77777777" w:rsidR="003D7AC9" w:rsidRDefault="003D7AC9" w:rsidP="00441B6F">
      <w:pPr>
        <w:jc w:val="both"/>
        <w:rPr>
          <w:rFonts w:ascii="Arial" w:hAnsi="Arial" w:cs="Arial"/>
          <w:u w:val="single"/>
          <w:lang w:val="en-GB" w:eastAsia="en-GB"/>
        </w:rPr>
      </w:pPr>
    </w:p>
    <w:p w14:paraId="254939F3" w14:textId="77777777" w:rsidR="003D7AC9" w:rsidRDefault="003D7AC9" w:rsidP="00441B6F">
      <w:pPr>
        <w:jc w:val="both"/>
        <w:rPr>
          <w:rFonts w:ascii="Arial" w:hAnsi="Arial" w:cs="Arial"/>
          <w:u w:val="single"/>
          <w:lang w:val="en-GB" w:eastAsia="en-GB"/>
        </w:rPr>
      </w:pPr>
    </w:p>
    <w:p w14:paraId="3750B6BE" w14:textId="77777777" w:rsidR="003D7AC9" w:rsidRDefault="003D7AC9" w:rsidP="00441B6F">
      <w:pPr>
        <w:jc w:val="both"/>
        <w:rPr>
          <w:rFonts w:ascii="Arial" w:hAnsi="Arial" w:cs="Arial"/>
          <w:u w:val="single"/>
          <w:lang w:val="en-GB" w:eastAsia="en-GB"/>
        </w:rPr>
      </w:pPr>
    </w:p>
    <w:p w14:paraId="7A25B267" w14:textId="77777777" w:rsidR="003D7AC9" w:rsidRDefault="003D7AC9" w:rsidP="00441B6F">
      <w:pPr>
        <w:jc w:val="both"/>
        <w:rPr>
          <w:rFonts w:ascii="Arial" w:hAnsi="Arial" w:cs="Arial"/>
          <w:u w:val="single"/>
          <w:lang w:val="en-GB" w:eastAsia="en-GB"/>
        </w:rPr>
        <w:sectPr w:rsidR="003D7AC9" w:rsidSect="00E53040">
          <w:pgSz w:w="15840" w:h="12240" w:orient="landscape"/>
          <w:pgMar w:top="2016" w:right="1440" w:bottom="2016" w:left="2016" w:header="720" w:footer="1123" w:gutter="0"/>
          <w:cols w:space="720"/>
          <w:docGrid w:linePitch="272"/>
        </w:sectPr>
      </w:pPr>
    </w:p>
    <w:p w14:paraId="6CFF970B" w14:textId="77777777" w:rsidR="009E7490" w:rsidRPr="009E7490" w:rsidRDefault="009E7490" w:rsidP="009E7490">
      <w:pPr>
        <w:jc w:val="both"/>
        <w:rPr>
          <w:rFonts w:ascii="Arial" w:hAnsi="Arial" w:cs="Arial"/>
          <w:b/>
          <w:bCs/>
          <w:lang w:val="en-GB"/>
        </w:rPr>
      </w:pPr>
      <w:r w:rsidRPr="009E7490">
        <w:rPr>
          <w:rFonts w:ascii="Arial" w:hAnsi="Arial" w:cs="Arial"/>
          <w:b/>
          <w:bCs/>
          <w:lang w:val="en"/>
        </w:rPr>
        <w:lastRenderedPageBreak/>
        <w:t>Table 5. Relationship between intestinal carriage of multidrug-resistant Enterobacteriaceae, age and sex, and relationship between acquisition of multidrug-resistant Enterobacteriaceae, age and length of hospital stay in children receiving empirical antibiotic therapy at the CHU SO in 2023</w:t>
      </w:r>
    </w:p>
    <w:p w14:paraId="6035E906" w14:textId="77777777" w:rsidR="003D7AC9" w:rsidRPr="009E7490" w:rsidRDefault="003D7AC9" w:rsidP="003D7AC9">
      <w:pPr>
        <w:rPr>
          <w:rFonts w:ascii="Arial" w:hAnsi="Arial" w:cs="Arial"/>
          <w:lang w:val="en-GB"/>
        </w:rPr>
      </w:pP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753"/>
        <w:gridCol w:w="1640"/>
        <w:gridCol w:w="1156"/>
        <w:gridCol w:w="1067"/>
      </w:tblGrid>
      <w:tr w:rsidR="003D7AC9" w:rsidRPr="002E13D8" w14:paraId="5CE2C0D9" w14:textId="77777777" w:rsidTr="00A06D36">
        <w:tc>
          <w:tcPr>
            <w:tcW w:w="2830" w:type="dxa"/>
            <w:tcBorders>
              <w:top w:val="single" w:sz="4" w:space="0" w:color="auto"/>
            </w:tcBorders>
          </w:tcPr>
          <w:p w14:paraId="0F39640C" w14:textId="77777777" w:rsidR="003D7AC9" w:rsidRPr="00591365" w:rsidRDefault="003D7AC9" w:rsidP="00A06D36">
            <w:pPr>
              <w:rPr>
                <w:rFonts w:ascii="Arial" w:hAnsi="Arial" w:cs="Arial"/>
                <w:b/>
                <w:bCs/>
                <w:sz w:val="20"/>
                <w:szCs w:val="20"/>
              </w:rPr>
            </w:pPr>
            <w:bookmarkStart w:id="5" w:name="_Hlk219540073"/>
            <w:r w:rsidRPr="00804EC8">
              <w:rPr>
                <w:rFonts w:ascii="Arial" w:hAnsi="Arial" w:cs="Arial"/>
                <w:b/>
                <w:bCs/>
                <w:sz w:val="20"/>
                <w:szCs w:val="20"/>
              </w:rPr>
              <w:t>Characteristics</w:t>
            </w:r>
            <w:r w:rsidRPr="00591365">
              <w:rPr>
                <w:rFonts w:ascii="Arial" w:hAnsi="Arial" w:cs="Arial"/>
                <w:b/>
                <w:bCs/>
                <w:sz w:val="20"/>
                <w:szCs w:val="20"/>
              </w:rPr>
              <w:t xml:space="preserve"> </w:t>
            </w:r>
          </w:p>
        </w:tc>
        <w:tc>
          <w:tcPr>
            <w:tcW w:w="1985" w:type="dxa"/>
            <w:tcBorders>
              <w:top w:val="single" w:sz="4" w:space="0" w:color="auto"/>
            </w:tcBorders>
          </w:tcPr>
          <w:p w14:paraId="27BFE42C" w14:textId="77777777" w:rsidR="003D7AC9" w:rsidRPr="00591365" w:rsidRDefault="003D7AC9" w:rsidP="00A06D36">
            <w:pPr>
              <w:jc w:val="center"/>
              <w:rPr>
                <w:rFonts w:ascii="Arial" w:hAnsi="Arial" w:cs="Arial"/>
                <w:b/>
                <w:bCs/>
                <w:sz w:val="20"/>
                <w:szCs w:val="20"/>
              </w:rPr>
            </w:pPr>
            <w:r>
              <w:rPr>
                <w:rFonts w:ascii="Arial" w:eastAsia="Times New Roman" w:hAnsi="Arial" w:cs="Arial"/>
                <w:b/>
                <w:bCs/>
                <w:color w:val="000000" w:themeColor="text1"/>
                <w:sz w:val="20"/>
                <w:szCs w:val="20"/>
              </w:rPr>
              <w:t>Yes</w:t>
            </w:r>
            <w:r w:rsidRPr="00591365">
              <w:rPr>
                <w:rFonts w:ascii="Arial" w:eastAsia="Times New Roman" w:hAnsi="Arial" w:cs="Arial"/>
                <w:b/>
                <w:bCs/>
                <w:color w:val="000000" w:themeColor="text1"/>
                <w:sz w:val="20"/>
                <w:szCs w:val="20"/>
              </w:rPr>
              <w:t xml:space="preserve"> n(%)</w:t>
            </w:r>
          </w:p>
        </w:tc>
        <w:tc>
          <w:tcPr>
            <w:tcW w:w="1843" w:type="dxa"/>
            <w:tcBorders>
              <w:top w:val="single" w:sz="4" w:space="0" w:color="auto"/>
            </w:tcBorders>
          </w:tcPr>
          <w:p w14:paraId="07A12E3A" w14:textId="77777777" w:rsidR="003D7AC9" w:rsidRPr="00591365" w:rsidRDefault="003D7AC9" w:rsidP="00A06D36">
            <w:pPr>
              <w:jc w:val="center"/>
              <w:rPr>
                <w:rFonts w:ascii="Arial" w:hAnsi="Arial" w:cs="Arial"/>
                <w:b/>
                <w:bCs/>
                <w:sz w:val="20"/>
                <w:szCs w:val="20"/>
              </w:rPr>
            </w:pPr>
            <w:r>
              <w:rPr>
                <w:rFonts w:ascii="Arial" w:eastAsia="Times New Roman" w:hAnsi="Arial" w:cs="Arial"/>
                <w:b/>
                <w:bCs/>
                <w:color w:val="000000" w:themeColor="text1"/>
                <w:sz w:val="20"/>
                <w:szCs w:val="20"/>
              </w:rPr>
              <w:t>No n</w:t>
            </w:r>
            <w:r w:rsidRPr="00591365">
              <w:rPr>
                <w:rFonts w:ascii="Arial" w:eastAsia="Times New Roman" w:hAnsi="Arial" w:cs="Arial"/>
                <w:b/>
                <w:bCs/>
                <w:color w:val="000000" w:themeColor="text1"/>
                <w:sz w:val="20"/>
                <w:szCs w:val="20"/>
              </w:rPr>
              <w:t>(%)</w:t>
            </w:r>
          </w:p>
        </w:tc>
        <w:tc>
          <w:tcPr>
            <w:tcW w:w="1275" w:type="dxa"/>
            <w:tcBorders>
              <w:top w:val="single" w:sz="4" w:space="0" w:color="auto"/>
            </w:tcBorders>
          </w:tcPr>
          <w:p w14:paraId="4D770A10" w14:textId="77777777" w:rsidR="003D7AC9" w:rsidRPr="00591365" w:rsidRDefault="003D7AC9" w:rsidP="00A06D36">
            <w:pPr>
              <w:jc w:val="center"/>
              <w:rPr>
                <w:rFonts w:ascii="Arial" w:eastAsia="Times New Roman" w:hAnsi="Arial" w:cs="Arial"/>
                <w:b/>
                <w:bCs/>
                <w:color w:val="000000" w:themeColor="text1"/>
                <w:sz w:val="20"/>
                <w:szCs w:val="20"/>
              </w:rPr>
            </w:pPr>
            <w:r w:rsidRPr="00591365">
              <w:rPr>
                <w:rFonts w:ascii="Arial" w:eastAsia="Times New Roman" w:hAnsi="Arial" w:cs="Arial"/>
                <w:b/>
                <w:bCs/>
                <w:color w:val="000000" w:themeColor="text1"/>
                <w:sz w:val="20"/>
                <w:szCs w:val="20"/>
              </w:rPr>
              <w:t>Total</w:t>
            </w:r>
          </w:p>
        </w:tc>
        <w:tc>
          <w:tcPr>
            <w:tcW w:w="1129" w:type="dxa"/>
            <w:tcBorders>
              <w:top w:val="single" w:sz="4" w:space="0" w:color="auto"/>
            </w:tcBorders>
          </w:tcPr>
          <w:p w14:paraId="6AC9DAFB" w14:textId="77777777" w:rsidR="003D7AC9" w:rsidRPr="00591365" w:rsidRDefault="003D7AC9" w:rsidP="00A06D36">
            <w:pPr>
              <w:jc w:val="center"/>
              <w:rPr>
                <w:rFonts w:ascii="Arial" w:hAnsi="Arial" w:cs="Arial"/>
                <w:b/>
                <w:bCs/>
                <w:sz w:val="20"/>
                <w:szCs w:val="20"/>
              </w:rPr>
            </w:pPr>
            <w:r w:rsidRPr="00591365">
              <w:rPr>
                <w:rFonts w:ascii="Arial" w:eastAsia="Times New Roman" w:hAnsi="Arial" w:cs="Arial"/>
                <w:b/>
                <w:bCs/>
                <w:color w:val="000000" w:themeColor="text1"/>
                <w:sz w:val="20"/>
                <w:szCs w:val="20"/>
              </w:rPr>
              <w:t>P</w:t>
            </w:r>
            <w:r>
              <w:rPr>
                <w:rFonts w:ascii="Arial" w:eastAsia="Times New Roman" w:hAnsi="Arial" w:cs="Arial"/>
                <w:b/>
                <w:bCs/>
                <w:color w:val="000000" w:themeColor="text1"/>
                <w:sz w:val="20"/>
                <w:szCs w:val="20"/>
              </w:rPr>
              <w:t>-value</w:t>
            </w:r>
          </w:p>
        </w:tc>
      </w:tr>
      <w:tr w:rsidR="003D7AC9" w:rsidRPr="002E13D8" w14:paraId="59AB4317" w14:textId="77777777" w:rsidTr="00A06D36">
        <w:tc>
          <w:tcPr>
            <w:tcW w:w="2830" w:type="dxa"/>
            <w:tcBorders>
              <w:top w:val="single" w:sz="4" w:space="0" w:color="auto"/>
            </w:tcBorders>
          </w:tcPr>
          <w:p w14:paraId="020D33CE" w14:textId="77777777" w:rsidR="003D7AC9" w:rsidRPr="002E13D8" w:rsidRDefault="003D7AC9" w:rsidP="00A06D36">
            <w:pPr>
              <w:rPr>
                <w:rFonts w:ascii="Arial" w:hAnsi="Arial" w:cs="Arial"/>
                <w:sz w:val="20"/>
                <w:szCs w:val="20"/>
              </w:rPr>
            </w:pPr>
          </w:p>
        </w:tc>
        <w:tc>
          <w:tcPr>
            <w:tcW w:w="6232" w:type="dxa"/>
            <w:gridSpan w:val="4"/>
            <w:tcBorders>
              <w:top w:val="single" w:sz="4" w:space="0" w:color="auto"/>
            </w:tcBorders>
          </w:tcPr>
          <w:p w14:paraId="4F8919B0" w14:textId="77777777" w:rsidR="003D7AC9" w:rsidRPr="002E13D8" w:rsidRDefault="003D7AC9" w:rsidP="00A06D36">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    </w:t>
            </w:r>
            <w:r w:rsidRPr="00007347">
              <w:rPr>
                <w:rFonts w:ascii="Arial" w:eastAsia="Times New Roman" w:hAnsi="Arial" w:cs="Arial"/>
                <w:b/>
                <w:bCs/>
                <w:color w:val="000000" w:themeColor="text1"/>
                <w:sz w:val="20"/>
                <w:szCs w:val="20"/>
              </w:rPr>
              <w:t>MDRO carriage at admission</w:t>
            </w:r>
          </w:p>
        </w:tc>
      </w:tr>
      <w:tr w:rsidR="003D7AC9" w:rsidRPr="002E13D8" w14:paraId="70EF8DDC" w14:textId="77777777" w:rsidTr="00A06D36">
        <w:tc>
          <w:tcPr>
            <w:tcW w:w="2830" w:type="dxa"/>
          </w:tcPr>
          <w:p w14:paraId="1A39A525" w14:textId="77777777" w:rsidR="003D7AC9" w:rsidRPr="002E13D8" w:rsidRDefault="003D7AC9" w:rsidP="00A06D36">
            <w:pPr>
              <w:rPr>
                <w:rFonts w:ascii="Arial" w:hAnsi="Arial" w:cs="Arial"/>
                <w:b/>
                <w:bCs/>
                <w:color w:val="000000"/>
                <w:sz w:val="20"/>
                <w:szCs w:val="20"/>
              </w:rPr>
            </w:pPr>
            <w:r>
              <w:rPr>
                <w:rFonts w:ascii="Arial" w:hAnsi="Arial" w:cs="Arial"/>
                <w:b/>
                <w:bCs/>
                <w:color w:val="000000"/>
                <w:sz w:val="20"/>
                <w:szCs w:val="20"/>
              </w:rPr>
              <w:t>Gender</w:t>
            </w:r>
          </w:p>
        </w:tc>
        <w:tc>
          <w:tcPr>
            <w:tcW w:w="1985" w:type="dxa"/>
          </w:tcPr>
          <w:p w14:paraId="3081437A" w14:textId="77777777" w:rsidR="003D7AC9" w:rsidRPr="002E13D8" w:rsidRDefault="003D7AC9" w:rsidP="00A06D36">
            <w:pPr>
              <w:jc w:val="center"/>
              <w:rPr>
                <w:rFonts w:ascii="Arial" w:hAnsi="Arial" w:cs="Arial"/>
                <w:sz w:val="20"/>
                <w:szCs w:val="20"/>
              </w:rPr>
            </w:pPr>
          </w:p>
        </w:tc>
        <w:tc>
          <w:tcPr>
            <w:tcW w:w="1843" w:type="dxa"/>
          </w:tcPr>
          <w:p w14:paraId="6A065A49" w14:textId="77777777" w:rsidR="003D7AC9" w:rsidRPr="002E13D8" w:rsidRDefault="003D7AC9" w:rsidP="00A06D36">
            <w:pPr>
              <w:jc w:val="center"/>
              <w:rPr>
                <w:rFonts w:ascii="Arial" w:hAnsi="Arial" w:cs="Arial"/>
                <w:sz w:val="20"/>
                <w:szCs w:val="20"/>
              </w:rPr>
            </w:pPr>
          </w:p>
        </w:tc>
        <w:tc>
          <w:tcPr>
            <w:tcW w:w="1275" w:type="dxa"/>
          </w:tcPr>
          <w:p w14:paraId="10C2A0DA" w14:textId="77777777" w:rsidR="003D7AC9" w:rsidRPr="002E13D8" w:rsidRDefault="003D7AC9" w:rsidP="00A06D36">
            <w:pPr>
              <w:jc w:val="center"/>
              <w:rPr>
                <w:rFonts w:ascii="Arial" w:hAnsi="Arial" w:cs="Arial"/>
                <w:sz w:val="20"/>
                <w:szCs w:val="20"/>
              </w:rPr>
            </w:pPr>
          </w:p>
        </w:tc>
        <w:tc>
          <w:tcPr>
            <w:tcW w:w="1129" w:type="dxa"/>
          </w:tcPr>
          <w:p w14:paraId="15A1881D" w14:textId="77777777" w:rsidR="003D7AC9" w:rsidRPr="002E13D8" w:rsidRDefault="003D7AC9" w:rsidP="00A06D36">
            <w:pPr>
              <w:jc w:val="center"/>
              <w:rPr>
                <w:rFonts w:ascii="Arial" w:hAnsi="Arial" w:cs="Arial"/>
                <w:sz w:val="20"/>
                <w:szCs w:val="20"/>
              </w:rPr>
            </w:pPr>
          </w:p>
        </w:tc>
      </w:tr>
      <w:tr w:rsidR="003D7AC9" w:rsidRPr="002E13D8" w14:paraId="509E9932" w14:textId="77777777" w:rsidTr="00A06D36">
        <w:tc>
          <w:tcPr>
            <w:tcW w:w="2830" w:type="dxa"/>
          </w:tcPr>
          <w:p w14:paraId="31221C25" w14:textId="77777777" w:rsidR="003D7AC9" w:rsidRPr="002E13D8" w:rsidRDefault="003D7AC9" w:rsidP="00A06D36">
            <w:pPr>
              <w:rPr>
                <w:rFonts w:ascii="Arial" w:hAnsi="Arial" w:cs="Arial"/>
                <w:color w:val="000000"/>
                <w:sz w:val="20"/>
                <w:szCs w:val="20"/>
              </w:rPr>
            </w:pPr>
            <w:r w:rsidRPr="002E13D8">
              <w:rPr>
                <w:rFonts w:ascii="Arial" w:hAnsi="Arial" w:cs="Arial"/>
                <w:color w:val="000000"/>
                <w:sz w:val="20"/>
                <w:szCs w:val="20"/>
              </w:rPr>
              <w:t>F</w:t>
            </w:r>
            <w:r>
              <w:rPr>
                <w:rFonts w:ascii="Arial" w:hAnsi="Arial" w:cs="Arial"/>
                <w:color w:val="000000"/>
                <w:sz w:val="20"/>
                <w:szCs w:val="20"/>
              </w:rPr>
              <w:t>emale</w:t>
            </w:r>
          </w:p>
        </w:tc>
        <w:tc>
          <w:tcPr>
            <w:tcW w:w="1985" w:type="dxa"/>
          </w:tcPr>
          <w:p w14:paraId="049E8E9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39</w:t>
            </w:r>
            <w:r>
              <w:rPr>
                <w:rFonts w:ascii="Arial" w:hAnsi="Arial" w:cs="Arial"/>
                <w:sz w:val="20"/>
                <w:szCs w:val="20"/>
              </w:rPr>
              <w:t xml:space="preserve"> (47.6)</w:t>
            </w:r>
          </w:p>
        </w:tc>
        <w:tc>
          <w:tcPr>
            <w:tcW w:w="1843" w:type="dxa"/>
          </w:tcPr>
          <w:p w14:paraId="51D0CD7C"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43</w:t>
            </w:r>
            <w:r>
              <w:rPr>
                <w:rFonts w:ascii="Arial" w:hAnsi="Arial" w:cs="Arial"/>
                <w:sz w:val="20"/>
                <w:szCs w:val="20"/>
              </w:rPr>
              <w:t xml:space="preserve"> (52.4)</w:t>
            </w:r>
          </w:p>
        </w:tc>
        <w:tc>
          <w:tcPr>
            <w:tcW w:w="1275" w:type="dxa"/>
          </w:tcPr>
          <w:p w14:paraId="5267E25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82</w:t>
            </w:r>
          </w:p>
        </w:tc>
        <w:tc>
          <w:tcPr>
            <w:tcW w:w="1129" w:type="dxa"/>
          </w:tcPr>
          <w:p w14:paraId="76630AB4"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237</w:t>
            </w:r>
          </w:p>
        </w:tc>
      </w:tr>
      <w:tr w:rsidR="003D7AC9" w:rsidRPr="002E13D8" w14:paraId="4DD264D2" w14:textId="77777777" w:rsidTr="00A06D36">
        <w:tc>
          <w:tcPr>
            <w:tcW w:w="2830" w:type="dxa"/>
          </w:tcPr>
          <w:p w14:paraId="6F67EC1A" w14:textId="77777777" w:rsidR="003D7AC9" w:rsidRPr="002E13D8" w:rsidRDefault="003D7AC9" w:rsidP="00A06D36">
            <w:pPr>
              <w:rPr>
                <w:rFonts w:ascii="Arial" w:hAnsi="Arial" w:cs="Arial"/>
                <w:color w:val="000000"/>
                <w:sz w:val="20"/>
                <w:szCs w:val="20"/>
              </w:rPr>
            </w:pPr>
            <w:r w:rsidRPr="002E13D8">
              <w:rPr>
                <w:rFonts w:ascii="Arial" w:hAnsi="Arial" w:cs="Arial"/>
                <w:color w:val="000000"/>
                <w:sz w:val="20"/>
                <w:szCs w:val="20"/>
              </w:rPr>
              <w:t>Ma</w:t>
            </w:r>
            <w:r>
              <w:rPr>
                <w:rFonts w:ascii="Arial" w:hAnsi="Arial" w:cs="Arial"/>
                <w:color w:val="000000"/>
                <w:sz w:val="20"/>
                <w:szCs w:val="20"/>
              </w:rPr>
              <w:t>le</w:t>
            </w:r>
          </w:p>
        </w:tc>
        <w:tc>
          <w:tcPr>
            <w:tcW w:w="1985" w:type="dxa"/>
          </w:tcPr>
          <w:p w14:paraId="00D9929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69</w:t>
            </w:r>
            <w:r>
              <w:rPr>
                <w:rFonts w:ascii="Arial" w:hAnsi="Arial" w:cs="Arial"/>
                <w:sz w:val="20"/>
                <w:szCs w:val="20"/>
              </w:rPr>
              <w:t xml:space="preserve"> (57.0)</w:t>
            </w:r>
          </w:p>
        </w:tc>
        <w:tc>
          <w:tcPr>
            <w:tcW w:w="1843" w:type="dxa"/>
          </w:tcPr>
          <w:p w14:paraId="35D9691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52</w:t>
            </w:r>
            <w:r>
              <w:rPr>
                <w:rFonts w:ascii="Arial" w:hAnsi="Arial" w:cs="Arial"/>
                <w:sz w:val="20"/>
                <w:szCs w:val="20"/>
              </w:rPr>
              <w:t xml:space="preserve"> (43.0)</w:t>
            </w:r>
          </w:p>
        </w:tc>
        <w:tc>
          <w:tcPr>
            <w:tcW w:w="1275" w:type="dxa"/>
          </w:tcPr>
          <w:p w14:paraId="70A2A1ED"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121</w:t>
            </w:r>
          </w:p>
        </w:tc>
        <w:tc>
          <w:tcPr>
            <w:tcW w:w="1129" w:type="dxa"/>
          </w:tcPr>
          <w:p w14:paraId="2A2AFA55" w14:textId="77777777" w:rsidR="003D7AC9" w:rsidRPr="002E13D8" w:rsidRDefault="003D7AC9" w:rsidP="00A06D36">
            <w:pPr>
              <w:jc w:val="center"/>
              <w:rPr>
                <w:rFonts w:ascii="Arial" w:hAnsi="Arial" w:cs="Arial"/>
                <w:sz w:val="20"/>
                <w:szCs w:val="20"/>
              </w:rPr>
            </w:pPr>
          </w:p>
        </w:tc>
      </w:tr>
      <w:tr w:rsidR="003D7AC9" w:rsidRPr="002E13D8" w14:paraId="41D5C5AF" w14:textId="77777777" w:rsidTr="00A06D36">
        <w:tc>
          <w:tcPr>
            <w:tcW w:w="2830" w:type="dxa"/>
          </w:tcPr>
          <w:p w14:paraId="1B72B33E" w14:textId="77777777" w:rsidR="003D7AC9" w:rsidRPr="002E13D8" w:rsidRDefault="003D7AC9" w:rsidP="00A06D36">
            <w:pPr>
              <w:rPr>
                <w:rFonts w:ascii="Arial" w:hAnsi="Arial" w:cs="Arial"/>
                <w:b/>
                <w:bCs/>
                <w:color w:val="000000"/>
                <w:sz w:val="20"/>
                <w:szCs w:val="20"/>
              </w:rPr>
            </w:pPr>
            <w:r w:rsidRPr="002E13D8">
              <w:rPr>
                <w:rFonts w:ascii="Arial" w:hAnsi="Arial" w:cs="Arial"/>
                <w:b/>
                <w:bCs/>
                <w:color w:val="000000"/>
                <w:sz w:val="20"/>
                <w:szCs w:val="20"/>
              </w:rPr>
              <w:t>Age</w:t>
            </w:r>
          </w:p>
        </w:tc>
        <w:tc>
          <w:tcPr>
            <w:tcW w:w="1985" w:type="dxa"/>
          </w:tcPr>
          <w:p w14:paraId="1A531B08" w14:textId="77777777" w:rsidR="003D7AC9" w:rsidRPr="002E13D8" w:rsidRDefault="003D7AC9" w:rsidP="00A06D36">
            <w:pPr>
              <w:jc w:val="center"/>
              <w:rPr>
                <w:rFonts w:ascii="Arial" w:hAnsi="Arial" w:cs="Arial"/>
                <w:sz w:val="20"/>
                <w:szCs w:val="20"/>
              </w:rPr>
            </w:pPr>
          </w:p>
        </w:tc>
        <w:tc>
          <w:tcPr>
            <w:tcW w:w="1843" w:type="dxa"/>
          </w:tcPr>
          <w:p w14:paraId="0140BCA7" w14:textId="77777777" w:rsidR="003D7AC9" w:rsidRPr="002E13D8" w:rsidRDefault="003D7AC9" w:rsidP="00A06D36">
            <w:pPr>
              <w:jc w:val="center"/>
              <w:rPr>
                <w:rFonts w:ascii="Arial" w:hAnsi="Arial" w:cs="Arial"/>
                <w:sz w:val="20"/>
                <w:szCs w:val="20"/>
              </w:rPr>
            </w:pPr>
          </w:p>
        </w:tc>
        <w:tc>
          <w:tcPr>
            <w:tcW w:w="1275" w:type="dxa"/>
          </w:tcPr>
          <w:p w14:paraId="2B9215BB" w14:textId="77777777" w:rsidR="003D7AC9" w:rsidRPr="002E13D8" w:rsidRDefault="003D7AC9" w:rsidP="00A06D36">
            <w:pPr>
              <w:jc w:val="center"/>
              <w:rPr>
                <w:rFonts w:ascii="Arial" w:hAnsi="Arial" w:cs="Arial"/>
                <w:sz w:val="20"/>
                <w:szCs w:val="20"/>
              </w:rPr>
            </w:pPr>
          </w:p>
        </w:tc>
        <w:tc>
          <w:tcPr>
            <w:tcW w:w="1129" w:type="dxa"/>
          </w:tcPr>
          <w:p w14:paraId="1E587038" w14:textId="77777777" w:rsidR="003D7AC9" w:rsidRPr="002E13D8" w:rsidRDefault="003D7AC9" w:rsidP="00A06D36">
            <w:pPr>
              <w:jc w:val="center"/>
              <w:rPr>
                <w:rFonts w:ascii="Arial" w:hAnsi="Arial" w:cs="Arial"/>
                <w:sz w:val="20"/>
                <w:szCs w:val="20"/>
              </w:rPr>
            </w:pPr>
          </w:p>
        </w:tc>
      </w:tr>
      <w:tr w:rsidR="003D7AC9" w:rsidRPr="002E13D8" w14:paraId="3D085BAB" w14:textId="77777777" w:rsidTr="00A06D36">
        <w:tc>
          <w:tcPr>
            <w:tcW w:w="2830" w:type="dxa"/>
          </w:tcPr>
          <w:p w14:paraId="410DA8A6" w14:textId="0390394C" w:rsidR="003D7AC9" w:rsidRPr="002E13D8" w:rsidRDefault="003D7AC9" w:rsidP="00A06D36">
            <w:pPr>
              <w:rPr>
                <w:rFonts w:ascii="Arial" w:hAnsi="Arial" w:cs="Arial"/>
                <w:sz w:val="20"/>
                <w:szCs w:val="20"/>
              </w:rPr>
            </w:pPr>
            <w:r w:rsidRPr="00007347">
              <w:rPr>
                <w:rFonts w:ascii="Arial" w:hAnsi="Arial" w:cs="Arial"/>
                <w:color w:val="000000"/>
                <w:sz w:val="20"/>
                <w:szCs w:val="20"/>
              </w:rPr>
              <w:t xml:space="preserve">0-28 </w:t>
            </w:r>
            <w:r w:rsidR="007656B1">
              <w:rPr>
                <w:rFonts w:ascii="Arial" w:hAnsi="Arial" w:cs="Arial"/>
                <w:color w:val="000000"/>
                <w:sz w:val="20"/>
                <w:szCs w:val="20"/>
              </w:rPr>
              <w:t>days</w:t>
            </w:r>
          </w:p>
        </w:tc>
        <w:tc>
          <w:tcPr>
            <w:tcW w:w="1985" w:type="dxa"/>
          </w:tcPr>
          <w:p w14:paraId="440BB0D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68</w:t>
            </w:r>
            <w:r>
              <w:rPr>
                <w:rFonts w:ascii="Arial" w:hAnsi="Arial" w:cs="Arial"/>
                <w:sz w:val="20"/>
                <w:szCs w:val="20"/>
              </w:rPr>
              <w:t xml:space="preserve"> (43.</w:t>
            </w:r>
            <w:r w:rsidRPr="002E13D8">
              <w:rPr>
                <w:rFonts w:ascii="Arial" w:hAnsi="Arial" w:cs="Arial"/>
                <w:sz w:val="20"/>
                <w:szCs w:val="20"/>
              </w:rPr>
              <w:t>3)</w:t>
            </w:r>
          </w:p>
        </w:tc>
        <w:tc>
          <w:tcPr>
            <w:tcW w:w="1843" w:type="dxa"/>
          </w:tcPr>
          <w:p w14:paraId="0F8BD4FE"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89</w:t>
            </w:r>
            <w:r>
              <w:rPr>
                <w:rFonts w:ascii="Arial" w:hAnsi="Arial" w:cs="Arial"/>
                <w:sz w:val="20"/>
                <w:szCs w:val="20"/>
              </w:rPr>
              <w:t xml:space="preserve"> </w:t>
            </w:r>
            <w:r w:rsidRPr="002E13D8">
              <w:rPr>
                <w:rFonts w:ascii="Arial" w:hAnsi="Arial" w:cs="Arial"/>
                <w:sz w:val="20"/>
                <w:szCs w:val="20"/>
              </w:rPr>
              <w:t>(5</w:t>
            </w:r>
            <w:r>
              <w:rPr>
                <w:rFonts w:ascii="Arial" w:hAnsi="Arial" w:cs="Arial"/>
                <w:sz w:val="20"/>
                <w:szCs w:val="20"/>
              </w:rPr>
              <w:t>6.7</w:t>
            </w:r>
            <w:r w:rsidRPr="002E13D8">
              <w:rPr>
                <w:rFonts w:ascii="Arial" w:hAnsi="Arial" w:cs="Arial"/>
                <w:sz w:val="20"/>
                <w:szCs w:val="20"/>
              </w:rPr>
              <w:t>)</w:t>
            </w:r>
          </w:p>
        </w:tc>
        <w:tc>
          <w:tcPr>
            <w:tcW w:w="1275" w:type="dxa"/>
          </w:tcPr>
          <w:p w14:paraId="0276C02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157</w:t>
            </w:r>
          </w:p>
        </w:tc>
        <w:tc>
          <w:tcPr>
            <w:tcW w:w="1129" w:type="dxa"/>
          </w:tcPr>
          <w:p w14:paraId="20B78F7C"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0368</w:t>
            </w:r>
          </w:p>
        </w:tc>
      </w:tr>
      <w:tr w:rsidR="003D7AC9" w:rsidRPr="002E13D8" w14:paraId="1B03F6E0" w14:textId="77777777" w:rsidTr="00A06D36">
        <w:tc>
          <w:tcPr>
            <w:tcW w:w="2830" w:type="dxa"/>
          </w:tcPr>
          <w:p w14:paraId="04B194E1"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1–24 months</w:t>
            </w:r>
          </w:p>
        </w:tc>
        <w:tc>
          <w:tcPr>
            <w:tcW w:w="1985" w:type="dxa"/>
          </w:tcPr>
          <w:p w14:paraId="2BA9227A"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5</w:t>
            </w:r>
            <w:r>
              <w:rPr>
                <w:rFonts w:ascii="Arial" w:hAnsi="Arial" w:cs="Arial"/>
                <w:sz w:val="20"/>
                <w:szCs w:val="20"/>
              </w:rPr>
              <w:t xml:space="preserve"> (83.</w:t>
            </w:r>
            <w:r w:rsidRPr="002E13D8">
              <w:rPr>
                <w:rFonts w:ascii="Arial" w:hAnsi="Arial" w:cs="Arial"/>
                <w:sz w:val="20"/>
                <w:szCs w:val="20"/>
              </w:rPr>
              <w:t>3)</w:t>
            </w:r>
          </w:p>
        </w:tc>
        <w:tc>
          <w:tcPr>
            <w:tcW w:w="1843" w:type="dxa"/>
          </w:tcPr>
          <w:p w14:paraId="129C78A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w:t>
            </w:r>
            <w:r>
              <w:rPr>
                <w:rFonts w:ascii="Arial" w:hAnsi="Arial" w:cs="Arial"/>
                <w:sz w:val="20"/>
                <w:szCs w:val="20"/>
              </w:rPr>
              <w:t xml:space="preserve"> (16.</w:t>
            </w:r>
            <w:r w:rsidRPr="002E13D8">
              <w:rPr>
                <w:rFonts w:ascii="Arial" w:hAnsi="Arial" w:cs="Arial"/>
                <w:sz w:val="20"/>
                <w:szCs w:val="20"/>
              </w:rPr>
              <w:t>7)</w:t>
            </w:r>
          </w:p>
        </w:tc>
        <w:tc>
          <w:tcPr>
            <w:tcW w:w="1275" w:type="dxa"/>
          </w:tcPr>
          <w:p w14:paraId="17CCE8A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w:t>
            </w:r>
          </w:p>
        </w:tc>
        <w:tc>
          <w:tcPr>
            <w:tcW w:w="1129" w:type="dxa"/>
          </w:tcPr>
          <w:p w14:paraId="2B05DD35"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0874</w:t>
            </w:r>
          </w:p>
        </w:tc>
      </w:tr>
      <w:tr w:rsidR="003D7AC9" w:rsidRPr="002E13D8" w14:paraId="5F0EDD98" w14:textId="77777777" w:rsidTr="00A06D36">
        <w:tc>
          <w:tcPr>
            <w:tcW w:w="2830" w:type="dxa"/>
          </w:tcPr>
          <w:p w14:paraId="0222A0D5"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2–5 years</w:t>
            </w:r>
          </w:p>
        </w:tc>
        <w:tc>
          <w:tcPr>
            <w:tcW w:w="1985" w:type="dxa"/>
          </w:tcPr>
          <w:p w14:paraId="0580BA5D"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w:t>
            </w:r>
            <w:r>
              <w:rPr>
                <w:rFonts w:ascii="Arial" w:hAnsi="Arial" w:cs="Arial"/>
                <w:sz w:val="20"/>
                <w:szCs w:val="20"/>
              </w:rPr>
              <w:t xml:space="preserve"> </w:t>
            </w:r>
            <w:r w:rsidRPr="002E13D8">
              <w:rPr>
                <w:rFonts w:ascii="Arial" w:hAnsi="Arial" w:cs="Arial"/>
                <w:sz w:val="20"/>
                <w:szCs w:val="20"/>
              </w:rPr>
              <w:t>(100</w:t>
            </w:r>
            <w:r>
              <w:rPr>
                <w:rFonts w:ascii="Arial" w:hAnsi="Arial" w:cs="Arial"/>
                <w:sz w:val="20"/>
                <w:szCs w:val="20"/>
              </w:rPr>
              <w:t>.</w:t>
            </w:r>
            <w:r w:rsidRPr="002E13D8">
              <w:rPr>
                <w:rFonts w:ascii="Arial" w:hAnsi="Arial" w:cs="Arial"/>
                <w:sz w:val="20"/>
                <w:szCs w:val="20"/>
              </w:rPr>
              <w:t>0)</w:t>
            </w:r>
          </w:p>
        </w:tc>
        <w:tc>
          <w:tcPr>
            <w:tcW w:w="1843" w:type="dxa"/>
          </w:tcPr>
          <w:p w14:paraId="367A30FE"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0</w:t>
            </w:r>
            <w:r>
              <w:rPr>
                <w:rFonts w:ascii="Arial" w:hAnsi="Arial" w:cs="Arial"/>
                <w:sz w:val="20"/>
                <w:szCs w:val="20"/>
              </w:rPr>
              <w:t xml:space="preserve"> (0.</w:t>
            </w:r>
            <w:r w:rsidRPr="002E13D8">
              <w:rPr>
                <w:rFonts w:ascii="Arial" w:hAnsi="Arial" w:cs="Arial"/>
                <w:sz w:val="20"/>
                <w:szCs w:val="20"/>
              </w:rPr>
              <w:t>0)</w:t>
            </w:r>
          </w:p>
        </w:tc>
        <w:tc>
          <w:tcPr>
            <w:tcW w:w="1275" w:type="dxa"/>
          </w:tcPr>
          <w:p w14:paraId="08B65B61"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w:t>
            </w:r>
          </w:p>
        </w:tc>
        <w:tc>
          <w:tcPr>
            <w:tcW w:w="1129" w:type="dxa"/>
          </w:tcPr>
          <w:p w14:paraId="56DC5DF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w:t>
            </w:r>
          </w:p>
        </w:tc>
      </w:tr>
      <w:tr w:rsidR="003D7AC9" w:rsidRPr="002E13D8" w14:paraId="2AD66D79" w14:textId="77777777" w:rsidTr="00A06D36">
        <w:tc>
          <w:tcPr>
            <w:tcW w:w="2830" w:type="dxa"/>
          </w:tcPr>
          <w:p w14:paraId="585807E1"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5–11 years</w:t>
            </w:r>
          </w:p>
        </w:tc>
        <w:tc>
          <w:tcPr>
            <w:tcW w:w="1985" w:type="dxa"/>
          </w:tcPr>
          <w:p w14:paraId="44331FA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16</w:t>
            </w:r>
            <w:r>
              <w:rPr>
                <w:rFonts w:ascii="Arial" w:hAnsi="Arial" w:cs="Arial"/>
                <w:sz w:val="20"/>
                <w:szCs w:val="20"/>
              </w:rPr>
              <w:t xml:space="preserve"> (88.</w:t>
            </w:r>
            <w:r w:rsidRPr="002E13D8">
              <w:rPr>
                <w:rFonts w:ascii="Arial" w:hAnsi="Arial" w:cs="Arial"/>
                <w:sz w:val="20"/>
                <w:szCs w:val="20"/>
              </w:rPr>
              <w:t>9)</w:t>
            </w:r>
          </w:p>
        </w:tc>
        <w:tc>
          <w:tcPr>
            <w:tcW w:w="1843" w:type="dxa"/>
          </w:tcPr>
          <w:p w14:paraId="78520622"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2</w:t>
            </w:r>
            <w:r>
              <w:rPr>
                <w:rFonts w:ascii="Arial" w:hAnsi="Arial" w:cs="Arial"/>
                <w:sz w:val="20"/>
                <w:szCs w:val="20"/>
              </w:rPr>
              <w:t xml:space="preserve"> (11.</w:t>
            </w:r>
            <w:r w:rsidRPr="002E13D8">
              <w:rPr>
                <w:rFonts w:ascii="Arial" w:hAnsi="Arial" w:cs="Arial"/>
                <w:sz w:val="20"/>
                <w:szCs w:val="20"/>
              </w:rPr>
              <w:t>1)</w:t>
            </w:r>
          </w:p>
        </w:tc>
        <w:tc>
          <w:tcPr>
            <w:tcW w:w="1275" w:type="dxa"/>
          </w:tcPr>
          <w:p w14:paraId="7DC2369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18</w:t>
            </w:r>
          </w:p>
        </w:tc>
        <w:tc>
          <w:tcPr>
            <w:tcW w:w="1129" w:type="dxa"/>
          </w:tcPr>
          <w:p w14:paraId="1EB542F5"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0046</w:t>
            </w:r>
          </w:p>
        </w:tc>
      </w:tr>
      <w:tr w:rsidR="003D7AC9" w:rsidRPr="002E13D8" w14:paraId="79542AFE" w14:textId="77777777" w:rsidTr="00A06D36">
        <w:tc>
          <w:tcPr>
            <w:tcW w:w="2830" w:type="dxa"/>
          </w:tcPr>
          <w:p w14:paraId="7F3284D5"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11–17 years</w:t>
            </w:r>
          </w:p>
        </w:tc>
        <w:tc>
          <w:tcPr>
            <w:tcW w:w="1985" w:type="dxa"/>
          </w:tcPr>
          <w:p w14:paraId="501EE35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4</w:t>
            </w:r>
            <w:r>
              <w:rPr>
                <w:rFonts w:ascii="Arial" w:hAnsi="Arial" w:cs="Arial"/>
                <w:sz w:val="20"/>
                <w:szCs w:val="20"/>
              </w:rPr>
              <w:t xml:space="preserve"> (57.</w:t>
            </w:r>
            <w:r w:rsidRPr="002E13D8">
              <w:rPr>
                <w:rFonts w:ascii="Arial" w:hAnsi="Arial" w:cs="Arial"/>
                <w:sz w:val="20"/>
                <w:szCs w:val="20"/>
              </w:rPr>
              <w:t>1)</w:t>
            </w:r>
          </w:p>
        </w:tc>
        <w:tc>
          <w:tcPr>
            <w:tcW w:w="1843" w:type="dxa"/>
          </w:tcPr>
          <w:p w14:paraId="4C03E269"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3</w:t>
            </w:r>
            <w:r>
              <w:rPr>
                <w:rFonts w:ascii="Arial" w:hAnsi="Arial" w:cs="Arial"/>
                <w:sz w:val="20"/>
                <w:szCs w:val="20"/>
              </w:rPr>
              <w:t xml:space="preserve"> (42.</w:t>
            </w:r>
            <w:r w:rsidRPr="002E13D8">
              <w:rPr>
                <w:rFonts w:ascii="Arial" w:hAnsi="Arial" w:cs="Arial"/>
                <w:sz w:val="20"/>
                <w:szCs w:val="20"/>
              </w:rPr>
              <w:t>9)</w:t>
            </w:r>
          </w:p>
        </w:tc>
        <w:tc>
          <w:tcPr>
            <w:tcW w:w="1275" w:type="dxa"/>
          </w:tcPr>
          <w:p w14:paraId="4C11A84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7</w:t>
            </w:r>
          </w:p>
        </w:tc>
        <w:tc>
          <w:tcPr>
            <w:tcW w:w="1129" w:type="dxa"/>
          </w:tcPr>
          <w:p w14:paraId="5C71158A"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3550</w:t>
            </w:r>
          </w:p>
        </w:tc>
      </w:tr>
      <w:tr w:rsidR="003D7AC9" w:rsidRPr="002E13D8" w14:paraId="1F6311D7" w14:textId="77777777" w:rsidTr="00A06D36">
        <w:tc>
          <w:tcPr>
            <w:tcW w:w="2830" w:type="dxa"/>
          </w:tcPr>
          <w:p w14:paraId="2D0246A3" w14:textId="77777777" w:rsidR="003D7AC9" w:rsidRPr="002E13D8" w:rsidRDefault="003D7AC9" w:rsidP="00A06D36">
            <w:pPr>
              <w:rPr>
                <w:rFonts w:ascii="Arial" w:hAnsi="Arial" w:cs="Arial"/>
                <w:color w:val="000000"/>
                <w:sz w:val="20"/>
                <w:szCs w:val="20"/>
              </w:rPr>
            </w:pPr>
          </w:p>
        </w:tc>
        <w:tc>
          <w:tcPr>
            <w:tcW w:w="6232" w:type="dxa"/>
            <w:gridSpan w:val="4"/>
            <w:vAlign w:val="center"/>
          </w:tcPr>
          <w:p w14:paraId="4B5CB880" w14:textId="77777777" w:rsidR="003D7AC9" w:rsidRDefault="003D7AC9" w:rsidP="00A06D36">
            <w:pPr>
              <w:jc w:val="center"/>
              <w:rPr>
                <w:rFonts w:ascii="Arial" w:eastAsia="Times New Roman" w:hAnsi="Arial" w:cs="Arial"/>
                <w:b/>
                <w:bCs/>
                <w:color w:val="000000" w:themeColor="text1"/>
                <w:sz w:val="20"/>
                <w:szCs w:val="20"/>
              </w:rPr>
            </w:pPr>
          </w:p>
          <w:p w14:paraId="3F1EE5CF" w14:textId="77777777" w:rsidR="003D7AC9" w:rsidRPr="002E13D8" w:rsidRDefault="003D7AC9" w:rsidP="00A06D36">
            <w:pPr>
              <w:rPr>
                <w:rFonts w:ascii="Arial" w:hAnsi="Arial" w:cs="Arial"/>
                <w:sz w:val="20"/>
                <w:szCs w:val="20"/>
              </w:rPr>
            </w:pPr>
            <w:r w:rsidRPr="00007347">
              <w:rPr>
                <w:rFonts w:ascii="Arial" w:eastAsia="Times New Roman" w:hAnsi="Arial" w:cs="Arial"/>
                <w:b/>
                <w:bCs/>
                <w:color w:val="000000" w:themeColor="text1"/>
                <w:sz w:val="20"/>
                <w:szCs w:val="20"/>
              </w:rPr>
              <w:t>MDRO acquisition at discharge</w:t>
            </w:r>
          </w:p>
        </w:tc>
      </w:tr>
      <w:tr w:rsidR="003D7AC9" w:rsidRPr="002E13D8" w14:paraId="10ABBCEF" w14:textId="77777777" w:rsidTr="00A06D36">
        <w:tc>
          <w:tcPr>
            <w:tcW w:w="2830" w:type="dxa"/>
          </w:tcPr>
          <w:p w14:paraId="36B01E34"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b/>
                <w:bCs/>
                <w:color w:val="000000" w:themeColor="text1"/>
                <w:sz w:val="20"/>
                <w:szCs w:val="20"/>
              </w:rPr>
              <w:t>Age</w:t>
            </w:r>
          </w:p>
        </w:tc>
        <w:tc>
          <w:tcPr>
            <w:tcW w:w="1985" w:type="dxa"/>
          </w:tcPr>
          <w:p w14:paraId="1D83741B" w14:textId="77777777" w:rsidR="003D7AC9" w:rsidRDefault="003D7AC9" w:rsidP="00A06D36">
            <w:pPr>
              <w:jc w:val="center"/>
              <w:rPr>
                <w:rFonts w:ascii="Arial" w:hAnsi="Arial" w:cs="Arial"/>
                <w:sz w:val="20"/>
                <w:szCs w:val="20"/>
              </w:rPr>
            </w:pPr>
          </w:p>
        </w:tc>
        <w:tc>
          <w:tcPr>
            <w:tcW w:w="1843" w:type="dxa"/>
          </w:tcPr>
          <w:p w14:paraId="5709E0A9" w14:textId="77777777" w:rsidR="003D7AC9" w:rsidRDefault="003D7AC9" w:rsidP="00A06D36">
            <w:pPr>
              <w:jc w:val="center"/>
              <w:rPr>
                <w:rFonts w:ascii="Arial" w:hAnsi="Arial" w:cs="Arial"/>
                <w:sz w:val="20"/>
                <w:szCs w:val="20"/>
              </w:rPr>
            </w:pPr>
          </w:p>
        </w:tc>
        <w:tc>
          <w:tcPr>
            <w:tcW w:w="1275" w:type="dxa"/>
          </w:tcPr>
          <w:p w14:paraId="30FC9DB8" w14:textId="77777777" w:rsidR="003D7AC9" w:rsidRDefault="003D7AC9" w:rsidP="00A06D36">
            <w:pPr>
              <w:jc w:val="center"/>
              <w:rPr>
                <w:rFonts w:ascii="Arial" w:hAnsi="Arial" w:cs="Arial"/>
                <w:sz w:val="20"/>
                <w:szCs w:val="20"/>
              </w:rPr>
            </w:pPr>
          </w:p>
        </w:tc>
        <w:tc>
          <w:tcPr>
            <w:tcW w:w="1129" w:type="dxa"/>
          </w:tcPr>
          <w:p w14:paraId="663B6C04" w14:textId="77777777" w:rsidR="003D7AC9" w:rsidRPr="002E13D8" w:rsidRDefault="003D7AC9" w:rsidP="00A06D36">
            <w:pPr>
              <w:jc w:val="center"/>
              <w:rPr>
                <w:rFonts w:ascii="Arial" w:hAnsi="Arial" w:cs="Arial"/>
                <w:sz w:val="20"/>
                <w:szCs w:val="20"/>
              </w:rPr>
            </w:pPr>
          </w:p>
        </w:tc>
      </w:tr>
      <w:tr w:rsidR="003D7AC9" w:rsidRPr="002E13D8" w14:paraId="21BBB2AF" w14:textId="77777777" w:rsidTr="00A06D36">
        <w:tc>
          <w:tcPr>
            <w:tcW w:w="2830" w:type="dxa"/>
            <w:vAlign w:val="center"/>
          </w:tcPr>
          <w:p w14:paraId="277BCA62"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0–28 days</w:t>
            </w:r>
          </w:p>
        </w:tc>
        <w:tc>
          <w:tcPr>
            <w:tcW w:w="1985" w:type="dxa"/>
            <w:vAlign w:val="center"/>
          </w:tcPr>
          <w:p w14:paraId="530FD5DC"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49</w:t>
            </w:r>
            <w:r>
              <w:rPr>
                <w:rFonts w:ascii="Arial" w:eastAsia="Times New Roman" w:hAnsi="Arial" w:cs="Arial"/>
                <w:color w:val="000000" w:themeColor="text1"/>
                <w:sz w:val="20"/>
                <w:szCs w:val="20"/>
              </w:rPr>
              <w:t xml:space="preserve"> (75.</w:t>
            </w:r>
            <w:r w:rsidRPr="002E13D8">
              <w:rPr>
                <w:rFonts w:ascii="Arial" w:eastAsia="Times New Roman" w:hAnsi="Arial" w:cs="Arial"/>
                <w:color w:val="000000" w:themeColor="text1"/>
                <w:sz w:val="20"/>
                <w:szCs w:val="20"/>
              </w:rPr>
              <w:t>4)</w:t>
            </w:r>
          </w:p>
        </w:tc>
        <w:tc>
          <w:tcPr>
            <w:tcW w:w="1843" w:type="dxa"/>
            <w:vAlign w:val="center"/>
          </w:tcPr>
          <w:p w14:paraId="218C44F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16</w:t>
            </w:r>
            <w:r>
              <w:rPr>
                <w:rFonts w:ascii="Arial" w:eastAsia="Times New Roman" w:hAnsi="Arial" w:cs="Arial"/>
                <w:color w:val="000000" w:themeColor="text1"/>
                <w:sz w:val="20"/>
                <w:szCs w:val="20"/>
              </w:rPr>
              <w:t xml:space="preserve"> (24.</w:t>
            </w:r>
            <w:r w:rsidRPr="002E13D8">
              <w:rPr>
                <w:rFonts w:ascii="Arial" w:eastAsia="Times New Roman" w:hAnsi="Arial" w:cs="Arial"/>
                <w:color w:val="000000" w:themeColor="text1"/>
                <w:sz w:val="20"/>
                <w:szCs w:val="20"/>
              </w:rPr>
              <w:t>6)</w:t>
            </w:r>
          </w:p>
        </w:tc>
        <w:tc>
          <w:tcPr>
            <w:tcW w:w="1275" w:type="dxa"/>
            <w:vAlign w:val="center"/>
          </w:tcPr>
          <w:p w14:paraId="1D3EB51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65</w:t>
            </w:r>
          </w:p>
        </w:tc>
        <w:tc>
          <w:tcPr>
            <w:tcW w:w="1129" w:type="dxa"/>
            <w:vAlign w:val="center"/>
          </w:tcPr>
          <w:p w14:paraId="09B5E26A"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0001</w:t>
            </w:r>
          </w:p>
        </w:tc>
      </w:tr>
      <w:tr w:rsidR="003D7AC9" w:rsidRPr="002E13D8" w14:paraId="02FDDD4A" w14:textId="77777777" w:rsidTr="00A06D36">
        <w:tc>
          <w:tcPr>
            <w:tcW w:w="2830" w:type="dxa"/>
          </w:tcPr>
          <w:p w14:paraId="38C2A390"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1–24 months</w:t>
            </w:r>
          </w:p>
        </w:tc>
        <w:tc>
          <w:tcPr>
            <w:tcW w:w="1985" w:type="dxa"/>
            <w:vAlign w:val="center"/>
          </w:tcPr>
          <w:p w14:paraId="1E09A9CD"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73C3D2D2"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3A7BA8B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35045A02"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04877664" w14:textId="77777777" w:rsidTr="00A06D36">
        <w:tc>
          <w:tcPr>
            <w:tcW w:w="2830" w:type="dxa"/>
          </w:tcPr>
          <w:p w14:paraId="601F1C33"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2–5 years</w:t>
            </w:r>
          </w:p>
        </w:tc>
        <w:tc>
          <w:tcPr>
            <w:tcW w:w="1985" w:type="dxa"/>
            <w:vAlign w:val="center"/>
          </w:tcPr>
          <w:p w14:paraId="2489B2D6"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519E923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4B5BEC9F"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209162C9"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2DE1E530" w14:textId="77777777" w:rsidTr="00A06D36">
        <w:tc>
          <w:tcPr>
            <w:tcW w:w="2830" w:type="dxa"/>
          </w:tcPr>
          <w:p w14:paraId="5BD584BC"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5–11 years</w:t>
            </w:r>
          </w:p>
        </w:tc>
        <w:tc>
          <w:tcPr>
            <w:tcW w:w="1985" w:type="dxa"/>
            <w:vAlign w:val="center"/>
          </w:tcPr>
          <w:p w14:paraId="2952192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4D9BECD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71DA0816"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54752A3A"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04AD8D0C" w14:textId="77777777" w:rsidTr="00A06D36">
        <w:tc>
          <w:tcPr>
            <w:tcW w:w="2830" w:type="dxa"/>
          </w:tcPr>
          <w:p w14:paraId="4E222E6A"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11–17 years</w:t>
            </w:r>
          </w:p>
        </w:tc>
        <w:tc>
          <w:tcPr>
            <w:tcW w:w="1985" w:type="dxa"/>
            <w:vAlign w:val="center"/>
          </w:tcPr>
          <w:p w14:paraId="105B796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204CC5D9"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w:t>
            </w:r>
            <w:r>
              <w:rPr>
                <w:rFonts w:ascii="Arial" w:eastAsia="Times New Roman" w:hAnsi="Arial" w:cs="Arial"/>
                <w:color w:val="000000" w:themeColor="text1"/>
                <w:sz w:val="20"/>
                <w:szCs w:val="20"/>
              </w:rPr>
              <w:t xml:space="preserve"> (100.</w:t>
            </w:r>
            <w:r w:rsidRPr="002E13D8">
              <w:rPr>
                <w:rFonts w:ascii="Arial" w:eastAsia="Times New Roman" w:hAnsi="Arial" w:cs="Arial"/>
                <w:color w:val="000000" w:themeColor="text1"/>
                <w:sz w:val="20"/>
                <w:szCs w:val="20"/>
              </w:rPr>
              <w:t>0)</w:t>
            </w:r>
          </w:p>
        </w:tc>
        <w:tc>
          <w:tcPr>
            <w:tcW w:w="1275" w:type="dxa"/>
            <w:vAlign w:val="center"/>
          </w:tcPr>
          <w:p w14:paraId="3C4EEB7A"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w:t>
            </w:r>
          </w:p>
        </w:tc>
        <w:tc>
          <w:tcPr>
            <w:tcW w:w="1129" w:type="dxa"/>
            <w:vAlign w:val="center"/>
          </w:tcPr>
          <w:p w14:paraId="3AAC7266"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856E29" w14:paraId="0046C10B" w14:textId="77777777" w:rsidTr="00A06D36">
        <w:tc>
          <w:tcPr>
            <w:tcW w:w="2830" w:type="dxa"/>
            <w:vAlign w:val="center"/>
          </w:tcPr>
          <w:p w14:paraId="1108BE9C" w14:textId="77777777" w:rsidR="003D7AC9" w:rsidRPr="00BB4305" w:rsidRDefault="003D7AC9" w:rsidP="00A06D36">
            <w:pPr>
              <w:rPr>
                <w:rFonts w:ascii="Arial" w:eastAsia="Times New Roman" w:hAnsi="Arial" w:cs="Arial"/>
                <w:b/>
                <w:bCs/>
                <w:color w:val="000000" w:themeColor="text1"/>
                <w:sz w:val="20"/>
                <w:szCs w:val="20"/>
                <w:lang w:val="en-GB"/>
              </w:rPr>
            </w:pPr>
            <w:r w:rsidRPr="00BB4305">
              <w:rPr>
                <w:rFonts w:ascii="Arial" w:eastAsia="Times New Roman" w:hAnsi="Arial" w:cs="Arial"/>
                <w:b/>
                <w:bCs/>
                <w:color w:val="000000" w:themeColor="text1"/>
                <w:sz w:val="20"/>
                <w:szCs w:val="20"/>
                <w:lang w:val="en-GB"/>
              </w:rPr>
              <w:t xml:space="preserve">Length of Hospital </w:t>
            </w:r>
          </w:p>
          <w:p w14:paraId="17851175" w14:textId="77777777" w:rsidR="003D7AC9" w:rsidRPr="00BB4305" w:rsidRDefault="003D7AC9" w:rsidP="00A06D36">
            <w:pPr>
              <w:rPr>
                <w:rFonts w:ascii="Arial" w:hAnsi="Arial" w:cs="Arial"/>
                <w:color w:val="000000"/>
                <w:sz w:val="20"/>
                <w:szCs w:val="20"/>
                <w:lang w:val="en-GB"/>
              </w:rPr>
            </w:pPr>
            <w:r w:rsidRPr="00BB4305">
              <w:rPr>
                <w:rFonts w:ascii="Arial" w:eastAsia="Times New Roman" w:hAnsi="Arial" w:cs="Arial"/>
                <w:b/>
                <w:bCs/>
                <w:color w:val="000000" w:themeColor="text1"/>
                <w:sz w:val="20"/>
                <w:szCs w:val="20"/>
                <w:lang w:val="en-GB"/>
              </w:rPr>
              <w:t>stay (days)</w:t>
            </w:r>
          </w:p>
        </w:tc>
        <w:tc>
          <w:tcPr>
            <w:tcW w:w="1985" w:type="dxa"/>
          </w:tcPr>
          <w:p w14:paraId="66FB847A" w14:textId="77777777" w:rsidR="003D7AC9" w:rsidRPr="00BB4305" w:rsidRDefault="003D7AC9" w:rsidP="00A06D36">
            <w:pPr>
              <w:jc w:val="center"/>
              <w:rPr>
                <w:rFonts w:ascii="Arial" w:hAnsi="Arial" w:cs="Arial"/>
                <w:sz w:val="20"/>
                <w:szCs w:val="20"/>
                <w:lang w:val="en-GB"/>
              </w:rPr>
            </w:pPr>
          </w:p>
        </w:tc>
        <w:tc>
          <w:tcPr>
            <w:tcW w:w="1843" w:type="dxa"/>
          </w:tcPr>
          <w:p w14:paraId="5A162764" w14:textId="77777777" w:rsidR="003D7AC9" w:rsidRPr="00BB4305" w:rsidRDefault="003D7AC9" w:rsidP="00A06D36">
            <w:pPr>
              <w:jc w:val="center"/>
              <w:rPr>
                <w:rFonts w:ascii="Arial" w:hAnsi="Arial" w:cs="Arial"/>
                <w:sz w:val="20"/>
                <w:szCs w:val="20"/>
                <w:lang w:val="en-GB"/>
              </w:rPr>
            </w:pPr>
          </w:p>
        </w:tc>
        <w:tc>
          <w:tcPr>
            <w:tcW w:w="1275" w:type="dxa"/>
          </w:tcPr>
          <w:p w14:paraId="1EF216D3" w14:textId="77777777" w:rsidR="003D7AC9" w:rsidRPr="00BB4305" w:rsidRDefault="003D7AC9" w:rsidP="00A06D36">
            <w:pPr>
              <w:jc w:val="center"/>
              <w:rPr>
                <w:rFonts w:ascii="Arial" w:hAnsi="Arial" w:cs="Arial"/>
                <w:sz w:val="20"/>
                <w:szCs w:val="20"/>
                <w:lang w:val="en-GB"/>
              </w:rPr>
            </w:pPr>
          </w:p>
        </w:tc>
        <w:tc>
          <w:tcPr>
            <w:tcW w:w="1129" w:type="dxa"/>
          </w:tcPr>
          <w:p w14:paraId="48625AEB" w14:textId="77777777" w:rsidR="003D7AC9" w:rsidRPr="00BB4305" w:rsidRDefault="003D7AC9" w:rsidP="00A06D36">
            <w:pPr>
              <w:jc w:val="center"/>
              <w:rPr>
                <w:rFonts w:ascii="Arial" w:hAnsi="Arial" w:cs="Arial"/>
                <w:sz w:val="20"/>
                <w:szCs w:val="20"/>
                <w:lang w:val="en-GB"/>
              </w:rPr>
            </w:pPr>
          </w:p>
        </w:tc>
      </w:tr>
      <w:tr w:rsidR="003D7AC9" w:rsidRPr="002E13D8" w14:paraId="2E01971F" w14:textId="77777777" w:rsidTr="00A06D36">
        <w:tc>
          <w:tcPr>
            <w:tcW w:w="2830" w:type="dxa"/>
            <w:vAlign w:val="center"/>
          </w:tcPr>
          <w:p w14:paraId="3568640A" w14:textId="77777777" w:rsidR="003D7AC9" w:rsidRPr="002E13D8" w:rsidRDefault="003D7AC9" w:rsidP="00A06D36">
            <w:pPr>
              <w:rPr>
                <w:rFonts w:ascii="Arial" w:hAnsi="Arial" w:cs="Arial"/>
                <w:color w:val="000000"/>
                <w:sz w:val="20"/>
                <w:szCs w:val="20"/>
              </w:rPr>
            </w:pPr>
            <w:r w:rsidRPr="00BB4305">
              <w:rPr>
                <w:rFonts w:ascii="Arial" w:eastAsia="Times New Roman" w:hAnsi="Arial" w:cs="Arial"/>
                <w:color w:val="000000" w:themeColor="text1"/>
                <w:sz w:val="20"/>
                <w:szCs w:val="20"/>
                <w:lang w:val="en-GB"/>
              </w:rPr>
              <w:t>    </w:t>
            </w:r>
            <w:r w:rsidRPr="002E13D8">
              <w:rPr>
                <w:rFonts w:ascii="Arial" w:eastAsia="Times New Roman" w:hAnsi="Arial" w:cs="Arial"/>
                <w:color w:val="000000" w:themeColor="text1"/>
                <w:sz w:val="20"/>
                <w:szCs w:val="20"/>
              </w:rPr>
              <w:t>1-3</w:t>
            </w:r>
          </w:p>
        </w:tc>
        <w:tc>
          <w:tcPr>
            <w:tcW w:w="1985" w:type="dxa"/>
            <w:vAlign w:val="center"/>
          </w:tcPr>
          <w:p w14:paraId="00D2B173"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2 (33</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843" w:type="dxa"/>
            <w:vAlign w:val="center"/>
          </w:tcPr>
          <w:p w14:paraId="2DEE342A"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4 (67</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275" w:type="dxa"/>
            <w:vAlign w:val="center"/>
          </w:tcPr>
          <w:p w14:paraId="2653E941"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w:t>
            </w:r>
          </w:p>
        </w:tc>
        <w:tc>
          <w:tcPr>
            <w:tcW w:w="1129" w:type="dxa"/>
            <w:vAlign w:val="center"/>
          </w:tcPr>
          <w:p w14:paraId="7C283837" w14:textId="77777777" w:rsidR="003D7AC9" w:rsidRPr="002E13D8" w:rsidRDefault="003D7AC9" w:rsidP="00A06D36">
            <w:pPr>
              <w:rPr>
                <w:rFonts w:ascii="Arial" w:hAnsi="Arial" w:cs="Arial"/>
                <w:sz w:val="20"/>
                <w:szCs w:val="20"/>
              </w:rPr>
            </w:pP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210</w:t>
            </w:r>
          </w:p>
        </w:tc>
      </w:tr>
      <w:tr w:rsidR="003D7AC9" w:rsidRPr="002E13D8" w14:paraId="0368D01D" w14:textId="77777777" w:rsidTr="00A06D36">
        <w:tc>
          <w:tcPr>
            <w:tcW w:w="2830" w:type="dxa"/>
            <w:vAlign w:val="center"/>
          </w:tcPr>
          <w:p w14:paraId="0E0F492C"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4-5</w:t>
            </w:r>
          </w:p>
        </w:tc>
        <w:tc>
          <w:tcPr>
            <w:tcW w:w="1985" w:type="dxa"/>
            <w:vAlign w:val="center"/>
          </w:tcPr>
          <w:p w14:paraId="7B76C65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 (43</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843" w:type="dxa"/>
            <w:vAlign w:val="center"/>
          </w:tcPr>
          <w:p w14:paraId="16A40200"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8 (57</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275" w:type="dxa"/>
            <w:vAlign w:val="center"/>
          </w:tcPr>
          <w:p w14:paraId="2CED805C"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14</w:t>
            </w:r>
          </w:p>
        </w:tc>
        <w:tc>
          <w:tcPr>
            <w:tcW w:w="1129" w:type="dxa"/>
            <w:vAlign w:val="center"/>
          </w:tcPr>
          <w:p w14:paraId="2E621267"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3020</w:t>
            </w:r>
          </w:p>
        </w:tc>
      </w:tr>
      <w:tr w:rsidR="003D7AC9" w:rsidRPr="002E13D8" w14:paraId="549AA313" w14:textId="77777777" w:rsidTr="00A06D36">
        <w:tc>
          <w:tcPr>
            <w:tcW w:w="2830" w:type="dxa"/>
            <w:vAlign w:val="center"/>
          </w:tcPr>
          <w:p w14:paraId="6704A214"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6-10</w:t>
            </w:r>
          </w:p>
        </w:tc>
        <w:tc>
          <w:tcPr>
            <w:tcW w:w="1985" w:type="dxa"/>
            <w:vAlign w:val="center"/>
          </w:tcPr>
          <w:p w14:paraId="37CAC64A"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28 (87.</w:t>
            </w:r>
            <w:r w:rsidRPr="002E13D8">
              <w:rPr>
                <w:rFonts w:ascii="Arial" w:eastAsia="Times New Roman" w:hAnsi="Arial" w:cs="Arial"/>
                <w:color w:val="000000" w:themeColor="text1"/>
                <w:sz w:val="20"/>
                <w:szCs w:val="20"/>
              </w:rPr>
              <w:t>5)</w:t>
            </w:r>
          </w:p>
        </w:tc>
        <w:tc>
          <w:tcPr>
            <w:tcW w:w="1843" w:type="dxa"/>
            <w:vAlign w:val="center"/>
          </w:tcPr>
          <w:p w14:paraId="7925C35F"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4 (12.</w:t>
            </w:r>
            <w:r w:rsidRPr="002E13D8">
              <w:rPr>
                <w:rFonts w:ascii="Arial" w:eastAsia="Times New Roman" w:hAnsi="Arial" w:cs="Arial"/>
                <w:color w:val="000000" w:themeColor="text1"/>
                <w:sz w:val="20"/>
                <w:szCs w:val="20"/>
              </w:rPr>
              <w:t>5)</w:t>
            </w:r>
          </w:p>
        </w:tc>
        <w:tc>
          <w:tcPr>
            <w:tcW w:w="1275" w:type="dxa"/>
            <w:vAlign w:val="center"/>
          </w:tcPr>
          <w:p w14:paraId="38C5001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32</w:t>
            </w:r>
          </w:p>
        </w:tc>
        <w:tc>
          <w:tcPr>
            <w:tcW w:w="1129" w:type="dxa"/>
            <w:vAlign w:val="center"/>
          </w:tcPr>
          <w:p w14:paraId="78A1071C"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0003</w:t>
            </w:r>
          </w:p>
        </w:tc>
      </w:tr>
      <w:tr w:rsidR="003D7AC9" w:rsidRPr="002E13D8" w14:paraId="38835A2B" w14:textId="77777777" w:rsidTr="00A06D36">
        <w:tc>
          <w:tcPr>
            <w:tcW w:w="2830" w:type="dxa"/>
            <w:vAlign w:val="center"/>
          </w:tcPr>
          <w:p w14:paraId="4B6EEAF1"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10+</w:t>
            </w:r>
          </w:p>
        </w:tc>
        <w:tc>
          <w:tcPr>
            <w:tcW w:w="1985" w:type="dxa"/>
            <w:vAlign w:val="center"/>
          </w:tcPr>
          <w:p w14:paraId="7937ED9F"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13 (92.</w:t>
            </w:r>
            <w:r w:rsidRPr="002E13D8">
              <w:rPr>
                <w:rFonts w:ascii="Arial" w:eastAsia="Times New Roman" w:hAnsi="Arial" w:cs="Arial"/>
                <w:color w:val="000000" w:themeColor="text1"/>
                <w:sz w:val="20"/>
                <w:szCs w:val="20"/>
              </w:rPr>
              <w:t>9)</w:t>
            </w:r>
          </w:p>
        </w:tc>
        <w:tc>
          <w:tcPr>
            <w:tcW w:w="1843" w:type="dxa"/>
            <w:vAlign w:val="center"/>
          </w:tcPr>
          <w:p w14:paraId="71A3F74D"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1 (7.</w:t>
            </w:r>
            <w:r w:rsidRPr="002E13D8">
              <w:rPr>
                <w:rFonts w:ascii="Arial" w:eastAsia="Times New Roman" w:hAnsi="Arial" w:cs="Arial"/>
                <w:color w:val="000000" w:themeColor="text1"/>
                <w:sz w:val="20"/>
                <w:szCs w:val="20"/>
              </w:rPr>
              <w:t>1)</w:t>
            </w:r>
          </w:p>
        </w:tc>
        <w:tc>
          <w:tcPr>
            <w:tcW w:w="1275" w:type="dxa"/>
            <w:vAlign w:val="center"/>
          </w:tcPr>
          <w:p w14:paraId="3A533FA2"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14</w:t>
            </w:r>
          </w:p>
        </w:tc>
        <w:tc>
          <w:tcPr>
            <w:tcW w:w="1129" w:type="dxa"/>
            <w:vAlign w:val="center"/>
          </w:tcPr>
          <w:p w14:paraId="26BCEAAB"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0073</w:t>
            </w:r>
          </w:p>
        </w:tc>
      </w:tr>
      <w:tr w:rsidR="003D7AC9" w:rsidRPr="002E13D8" w14:paraId="1EA17D9C" w14:textId="77777777" w:rsidTr="00A06D36">
        <w:tc>
          <w:tcPr>
            <w:tcW w:w="2830" w:type="dxa"/>
          </w:tcPr>
          <w:p w14:paraId="2226F85E" w14:textId="77777777" w:rsidR="003D7AC9" w:rsidRPr="002E13D8" w:rsidRDefault="003D7AC9" w:rsidP="00A06D36">
            <w:pPr>
              <w:rPr>
                <w:rFonts w:ascii="Arial" w:hAnsi="Arial" w:cs="Arial"/>
                <w:color w:val="000000"/>
                <w:sz w:val="20"/>
                <w:szCs w:val="20"/>
              </w:rPr>
            </w:pPr>
          </w:p>
        </w:tc>
        <w:tc>
          <w:tcPr>
            <w:tcW w:w="1985" w:type="dxa"/>
          </w:tcPr>
          <w:p w14:paraId="4C12F255" w14:textId="77777777" w:rsidR="003D7AC9" w:rsidRDefault="003D7AC9" w:rsidP="00A06D36">
            <w:pPr>
              <w:rPr>
                <w:rFonts w:ascii="Arial" w:hAnsi="Arial" w:cs="Arial"/>
                <w:sz w:val="20"/>
                <w:szCs w:val="20"/>
              </w:rPr>
            </w:pPr>
          </w:p>
        </w:tc>
        <w:tc>
          <w:tcPr>
            <w:tcW w:w="1843" w:type="dxa"/>
          </w:tcPr>
          <w:p w14:paraId="0DE78BF6" w14:textId="77777777" w:rsidR="003D7AC9" w:rsidRDefault="003D7AC9" w:rsidP="00A06D36">
            <w:pPr>
              <w:rPr>
                <w:rFonts w:ascii="Arial" w:hAnsi="Arial" w:cs="Arial"/>
                <w:sz w:val="20"/>
                <w:szCs w:val="20"/>
              </w:rPr>
            </w:pPr>
          </w:p>
        </w:tc>
        <w:tc>
          <w:tcPr>
            <w:tcW w:w="1275" w:type="dxa"/>
          </w:tcPr>
          <w:p w14:paraId="06F1111F" w14:textId="77777777" w:rsidR="003D7AC9" w:rsidRDefault="003D7AC9" w:rsidP="00A06D36">
            <w:pPr>
              <w:rPr>
                <w:rFonts w:ascii="Arial" w:hAnsi="Arial" w:cs="Arial"/>
                <w:sz w:val="20"/>
                <w:szCs w:val="20"/>
              </w:rPr>
            </w:pPr>
          </w:p>
        </w:tc>
        <w:tc>
          <w:tcPr>
            <w:tcW w:w="1129" w:type="dxa"/>
          </w:tcPr>
          <w:p w14:paraId="692A80F1" w14:textId="77777777" w:rsidR="003D7AC9" w:rsidRPr="002E13D8" w:rsidRDefault="003D7AC9" w:rsidP="00A06D36">
            <w:pPr>
              <w:jc w:val="center"/>
              <w:rPr>
                <w:rFonts w:ascii="Arial" w:hAnsi="Arial" w:cs="Arial"/>
                <w:sz w:val="20"/>
                <w:szCs w:val="20"/>
              </w:rPr>
            </w:pPr>
          </w:p>
        </w:tc>
      </w:tr>
      <w:bookmarkEnd w:id="5"/>
    </w:tbl>
    <w:p w14:paraId="2711E443" w14:textId="77777777" w:rsidR="003D7AC9" w:rsidRDefault="003D7AC9" w:rsidP="003D7AC9">
      <w:pPr>
        <w:rPr>
          <w:rFonts w:ascii="Arial" w:hAnsi="Arial" w:cs="Arial"/>
          <w:b/>
          <w:bCs/>
        </w:rPr>
      </w:pPr>
    </w:p>
    <w:p w14:paraId="07392D3C" w14:textId="648C413C" w:rsidR="003D7AC9" w:rsidRDefault="003D7AC9" w:rsidP="003D7AC9">
      <w:pPr>
        <w:pStyle w:val="Head1"/>
        <w:spacing w:after="0"/>
        <w:jc w:val="both"/>
        <w:rPr>
          <w:rFonts w:ascii="Arial" w:hAnsi="Arial" w:cs="Arial"/>
        </w:rPr>
      </w:pPr>
      <w:r>
        <w:rPr>
          <w:rFonts w:ascii="Arial" w:hAnsi="Arial" w:cs="Arial"/>
        </w:rPr>
        <w:t xml:space="preserve">3. DISCUSSION </w:t>
      </w:r>
    </w:p>
    <w:p w14:paraId="7F050195" w14:textId="77777777" w:rsidR="003D7AC9" w:rsidRPr="004E3CC9" w:rsidRDefault="003D7AC9" w:rsidP="003D7AC9">
      <w:pPr>
        <w:pStyle w:val="Paragraphedeliste"/>
        <w:ind w:left="360"/>
        <w:rPr>
          <w:rFonts w:ascii="Arial" w:hAnsi="Arial" w:cs="Arial"/>
          <w:b/>
          <w:bCs/>
          <w:sz w:val="20"/>
          <w:szCs w:val="20"/>
          <w:highlight w:val="yellow"/>
          <w:lang w:val="en-GB"/>
        </w:rPr>
      </w:pPr>
    </w:p>
    <w:p w14:paraId="5DD04121" w14:textId="77777777" w:rsidR="003D7AC9" w:rsidRPr="00BB4305" w:rsidRDefault="003D7AC9" w:rsidP="00345A30">
      <w:pPr>
        <w:pStyle w:val="Paragraphedeliste"/>
        <w:ind w:left="0"/>
        <w:jc w:val="both"/>
        <w:rPr>
          <w:rFonts w:ascii="Arial" w:hAnsi="Arial" w:cs="Arial"/>
          <w:sz w:val="20"/>
          <w:szCs w:val="20"/>
          <w:lang w:val="en-GB"/>
        </w:rPr>
      </w:pPr>
      <w:r w:rsidRPr="00BB4305">
        <w:rPr>
          <w:rFonts w:ascii="Arial" w:hAnsi="Arial" w:cs="Arial"/>
          <w:sz w:val="20"/>
          <w:szCs w:val="20"/>
          <w:lang w:val="en-GB"/>
        </w:rPr>
        <w:t>Our study revealed a digestive carriage rate of ESBLE and carbapenem-resistant Enterobacteriaceae at admission of 52.7% and 15.3%, respectively. A significant increase in these rates was observed at discharge, reaching 84.1% and 48.5%, respectively. Furthermore, the acquisition rate of multidrug-resistant (MDR) Enterobacteriaceae strains was 74.2% in children who were non-carriers at admission.</w:t>
      </w:r>
    </w:p>
    <w:p w14:paraId="195F7545" w14:textId="7E52017E" w:rsidR="003D7AC9" w:rsidRPr="00BB4305" w:rsidRDefault="003D7AC9" w:rsidP="00345A30">
      <w:pPr>
        <w:pStyle w:val="Paragraphedeliste"/>
        <w:ind w:left="0"/>
        <w:jc w:val="both"/>
        <w:rPr>
          <w:rFonts w:ascii="Arial" w:hAnsi="Arial" w:cs="Arial"/>
          <w:sz w:val="20"/>
          <w:szCs w:val="20"/>
          <w:lang w:val="en-GB"/>
        </w:rPr>
      </w:pPr>
      <w:r w:rsidRPr="00BB4305">
        <w:rPr>
          <w:rFonts w:ascii="Arial" w:hAnsi="Arial" w:cs="Arial"/>
          <w:sz w:val="20"/>
          <w:szCs w:val="20"/>
          <w:lang w:val="en-GB"/>
        </w:rPr>
        <w:t xml:space="preserve">The digestive carriage rate of multidrug-resistant (MDR) Enterobacteriaceae strains varies widely across countries and continues to evolve over time ; This is consistent with a systematic review and analysis of the presence of third-generation cephalosporin-resistant and carbapenem-resistant Enterobacteriaceae in sub-Saharan Africa, which reported high heterogeneity among studies in the sub-region. The carriage rate reported in that review was 32.2%, significantly lower than the rate found in our study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{"citationID":"TQPrbUjK","properties":{"formattedCitation":"(Ruef et al., 2024)","plainCitation":"(Ruef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(Ruef et al., 2024)</w:t>
      </w:r>
      <w:r>
        <w:rPr>
          <w:rFonts w:ascii="Arial" w:hAnsi="Arial" w:cs="Arial"/>
          <w:sz w:val="20"/>
          <w:szCs w:val="20"/>
          <w:lang w:val="en-GB"/>
        </w:rPr>
        <w:fldChar w:fldCharType="end"/>
      </w:r>
      <w:r w:rsidRPr="00BB4305">
        <w:rPr>
          <w:rFonts w:ascii="Arial" w:hAnsi="Arial" w:cs="Arial"/>
          <w:sz w:val="20"/>
          <w:szCs w:val="20"/>
          <w:lang w:val="en-GB"/>
        </w:rPr>
        <w:t>.</w:t>
      </w:r>
    </w:p>
    <w:p w14:paraId="7E228937" w14:textId="23B12E24" w:rsidR="003D7AC9" w:rsidRPr="00BB4305" w:rsidRDefault="003D7AC9" w:rsidP="00345A30">
      <w:pPr>
        <w:pStyle w:val="Paragraphedeliste"/>
        <w:ind w:left="0"/>
        <w:jc w:val="both"/>
        <w:rPr>
          <w:rFonts w:ascii="Arial" w:hAnsi="Arial" w:cs="Arial"/>
          <w:sz w:val="20"/>
          <w:szCs w:val="20"/>
          <w:lang w:val="en-GB"/>
        </w:rPr>
      </w:pPr>
      <w:r w:rsidRPr="00BB4305">
        <w:rPr>
          <w:rFonts w:ascii="Arial" w:hAnsi="Arial" w:cs="Arial"/>
          <w:sz w:val="20"/>
          <w:szCs w:val="20"/>
          <w:lang w:val="en-GB"/>
        </w:rPr>
        <w:t xml:space="preserve">Studies conducted during the same period in Togo, including both adult and children, reported higher overall prevalences, reaching 64.6% for ESBL carriage and 9.2% for carbapenem resistance. However, in that same study, the prevalences reported specifically among children were lower: 17.7% for ESBL-producing Enterobacteriaceae and 3.1% for carbapenem resistance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{"citationID":"HpX7XuSC","properties":{"formattedCitation":"(Atoun et al., 2025)","plainCitation":"(Atoun et al., 2025)","noteIndex":0},"citationItems":[{"id":656,"uris":["http://zotero.org/users/local/FaVS37Do/items/HSHM6K92"],"itemData":{"id":656,"type":"article-journal","abstract":"Introduction\nThe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(Atoun et al., 2025)</w:t>
      </w:r>
      <w:r>
        <w:rPr>
          <w:rFonts w:ascii="Arial" w:hAnsi="Arial" w:cs="Arial"/>
          <w:sz w:val="20"/>
          <w:szCs w:val="20"/>
          <w:lang w:val="en-GB"/>
        </w:rPr>
        <w:fldChar w:fldCharType="end"/>
      </w:r>
      <w:r w:rsidRPr="00BB4305">
        <w:rPr>
          <w:rFonts w:ascii="Arial" w:hAnsi="Arial" w:cs="Arial"/>
          <w:sz w:val="20"/>
          <w:szCs w:val="20"/>
          <w:lang w:val="en-GB"/>
        </w:rPr>
        <w:t>.</w:t>
      </w:r>
    </w:p>
    <w:p w14:paraId="5927E979" w14:textId="6F8E1A8E" w:rsidR="003D7AC9" w:rsidRPr="00BB4305" w:rsidRDefault="003D7AC9" w:rsidP="00345A30">
      <w:pPr>
        <w:pStyle w:val="Paragraphedeliste"/>
        <w:ind w:left="0"/>
        <w:jc w:val="both"/>
        <w:rPr>
          <w:rFonts w:ascii="Arial" w:hAnsi="Arial" w:cs="Arial"/>
          <w:sz w:val="20"/>
          <w:szCs w:val="20"/>
          <w:lang w:val="en-GB"/>
        </w:rPr>
      </w:pPr>
      <w:r w:rsidRPr="00BB4305">
        <w:rPr>
          <w:rFonts w:ascii="Arial" w:hAnsi="Arial" w:cs="Arial"/>
          <w:sz w:val="20"/>
          <w:szCs w:val="20"/>
          <w:lang w:val="en-GB"/>
        </w:rPr>
        <w:lastRenderedPageBreak/>
        <w:t xml:space="preserve">In Ghana, a study on the carriage of multidrug-resistant (MDR) Gram-negative bacteria reported a prevalence of 49.6% and a 46.1% carriage rate of third-generation cephalosporin resistance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{"citationID":"eAbiyD1x","properties":{"formattedCitation":"(Labi et al., 2020)","plainCitation":"(Labi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(Labi et al., 2020)</w:t>
      </w:r>
      <w:r>
        <w:rPr>
          <w:rFonts w:ascii="Arial" w:hAnsi="Arial" w:cs="Arial"/>
          <w:sz w:val="20"/>
          <w:szCs w:val="20"/>
          <w:lang w:val="en-GB"/>
        </w:rPr>
        <w:fldChar w:fldCharType="end"/>
      </w:r>
      <w:r w:rsidRPr="00BB4305">
        <w:rPr>
          <w:rFonts w:ascii="Arial" w:hAnsi="Arial" w:cs="Arial"/>
          <w:sz w:val="20"/>
          <w:szCs w:val="20"/>
          <w:lang w:val="en-GB"/>
        </w:rPr>
        <w:t xml:space="preserve">. </w:t>
      </w:r>
    </w:p>
    <w:p w14:paraId="6B34B6E6" w14:textId="10DF88AB" w:rsidR="003D7AC9" w:rsidRPr="00BB4305" w:rsidRDefault="003D7AC9" w:rsidP="00345A30">
      <w:pPr>
        <w:jc w:val="both"/>
        <w:rPr>
          <w:rFonts w:ascii="Arial" w:hAnsi="Arial" w:cs="Arial"/>
          <w:lang w:val="en-GB"/>
        </w:rPr>
      </w:pPr>
      <w:r w:rsidRPr="00BB4305">
        <w:rPr>
          <w:rFonts w:ascii="Arial" w:hAnsi="Arial" w:cs="Arial"/>
          <w:lang w:val="en-GB"/>
        </w:rPr>
        <w:t xml:space="preserve">In Morocco, </w:t>
      </w:r>
      <w:proofErr w:type="spellStart"/>
      <w:r w:rsidRPr="00BB4305">
        <w:rPr>
          <w:rFonts w:ascii="Arial" w:hAnsi="Arial" w:cs="Arial"/>
          <w:lang w:val="en-GB"/>
        </w:rPr>
        <w:t>Arhoune</w:t>
      </w:r>
      <w:proofErr w:type="spellEnd"/>
      <w:r w:rsidRPr="00BB4305">
        <w:rPr>
          <w:rFonts w:ascii="Arial" w:hAnsi="Arial" w:cs="Arial"/>
          <w:lang w:val="en-GB"/>
        </w:rPr>
        <w:t xml:space="preserve"> et al., in a study on the rectal carriage of extended-spectrum </w:t>
      </w:r>
      <w:r w:rsidRPr="00075584">
        <w:rPr>
          <w:rFonts w:ascii="Arial" w:hAnsi="Arial" w:cs="Arial"/>
        </w:rPr>
        <w:t>β</w:t>
      </w:r>
      <w:r w:rsidRPr="00BB4305">
        <w:rPr>
          <w:rFonts w:ascii="Arial" w:hAnsi="Arial" w:cs="Arial"/>
          <w:lang w:val="en-GB"/>
        </w:rPr>
        <w:t xml:space="preserve">-lactamase (ESBL) and </w:t>
      </w:r>
      <w:proofErr w:type="spellStart"/>
      <w:r w:rsidRPr="00BB4305">
        <w:rPr>
          <w:rFonts w:ascii="Arial" w:hAnsi="Arial" w:cs="Arial"/>
          <w:lang w:val="en-GB"/>
        </w:rPr>
        <w:t>carbapenemase</w:t>
      </w:r>
      <w:proofErr w:type="spellEnd"/>
      <w:r w:rsidRPr="00BB4305">
        <w:rPr>
          <w:rFonts w:ascii="Arial" w:hAnsi="Arial" w:cs="Arial"/>
          <w:lang w:val="en-GB"/>
        </w:rPr>
        <w:t xml:space="preserve">-producing Enterobacteriaceae in newborns hospitalized in a neonatal intensive care unit (NICU) in Fes, reported an ESBL carriage prevalence of 58% which is fairly comparable to the prevalence reported in our study </w:t>
      </w:r>
      <w:r>
        <w:rPr>
          <w:rFonts w:ascii="Arial" w:hAnsi="Arial" w:cs="Arial"/>
          <w:lang w:val="en-GB"/>
        </w:rPr>
        <w:fldChar w:fldCharType="begin"/>
      </w:r>
      <w:r w:rsidR="00B10927">
        <w:rPr>
          <w:rFonts w:ascii="Arial" w:hAnsi="Arial" w:cs="Arial"/>
          <w:lang w:val="en-GB"/>
        </w:rPr>
        <w:instrText xml:space="preserve"> ADDIN ZOTERO_ITEM CSL_CITATION {"citationID":"vlRdhxJi","properties":{"formattedCitation":"(Arhoune et al., 2017)","plainCitation":"(Arhoune et al., 2017)","noteIndex":0},"citationItems":[{"id":672,"uris":["http://zotero.org/users/local/FaVS37Do/items/JXAPVK5M"],"itemData":{"id":672,"type":"article-journal","abstract":"Objectives\nThe aim of this study was to investigate the faecal carriage and molecular epidemiology of extended-spectrum β-lactamase (ESBL)-producing Enterobacteriaceae (ESBLE) isolated from rectal samples of neonates hospitalised in a neonatal intensive care unit (NICU) of a university hospital in Fez, Morocco.\nMethods\nFrom February–July 2013, all neonates hospitalised in the NICU were screened for ESBLE carriage at discharge. ESBLs were identified by double-disk synergy test, PCR and DNA sequencing analysis. ESBLE were analysed by pulsed-field gel electrophoresis (PFGE), and conjugation was performed by the broth mating method.\nResults\nIn this study, 169 Enterobacteriaceae were collected from 164 neonates. The prevalence of faecal carriage of ESBLE was 58.0% (98/169), predominantly Klebsiella pneumoniae (65/98; 66.3%). A high rate of multiresistance in ESBLE was noted. blaCTX-M-1 group (78.5%) was the most frequent ESBL gene detected, and all isolates harboured the CTX-M-15 variant. The prevalence of carbapenemase-producing Enterobacteriaceae was 1.8%, and blaOXA-48 was the only gene found in these isolates. Sequencing revealed subgroups corresponding to bla(CTX-M-15,TEM-1,TEM-104,SHV-1,SHV-44,SHV-49andSHV-133) genes. Conjugation experiments showed the transferability of blaCTX-M-15 and blaTEM, but not blaSHV. These genes were carried by a high-molecular-weight conjugative plasmid (ca. 125kb). PFGE profiles demonstrated high clonal dissemination of ESBL-positive strains in the NICU.\nConclusions\nThese results demonstrate the existence of high clonal transmission of ESBLE in a Moroccan NICU. This finding provides useful information to implement a screening policy for resistant Enterobacteriaceae among neonates hospitalised in this ward.","container-title":"Journal of Global Antimicrobial Resistance","DOI":"10.1016/j.jgar.2016.11.004","ISSN":"2213-7165","journalAbbreviation":"Journal of Global Antimicrobial Resistance","page":"90-96","source":"ScienceDirect","title":"Rectal carriage of extended-spectrum β-lactamase- and carbapenemase-producing Enterobacteriaceae among hospitalised neonates in a neonatal intensive care unit in Fez, Morocco","volume":"8","author":[{"family":"Arhoune","given":"Btissam"},{"family":"Oumokhtar","given":"Bouchra"},{"family":"Hmami","given":"Fouzia"},{"family":"Barguigua","given":"Abouddihaj"},{"family":"Timinouni","given":"Mohammed"},{"family":"Fakir","given":"Samira","non-dropping-particle":"el"},{"family":"Chami","given":"Fouzia"},{"family":"Bouharrou","given":"Abdelhak"}],"issued":{"date-parts":[["2017",3,1]]}}}],"schema":"https://github.com/citation-style-language/schema/raw/master/csl-citation.json"} </w:instrText>
      </w:r>
      <w:r>
        <w:rPr>
          <w:rFonts w:ascii="Arial" w:hAnsi="Arial" w:cs="Arial"/>
          <w:lang w:val="en-GB"/>
        </w:rPr>
        <w:fldChar w:fldCharType="separate"/>
      </w:r>
      <w:r w:rsidR="00B10927" w:rsidRPr="00B10927">
        <w:rPr>
          <w:rFonts w:ascii="Arial" w:hAnsi="Arial" w:cs="Arial"/>
        </w:rPr>
        <w:t>(Arhoune et al., 2017)</w:t>
      </w:r>
      <w:r>
        <w:rPr>
          <w:rFonts w:ascii="Arial" w:hAnsi="Arial" w:cs="Arial"/>
          <w:lang w:val="en-GB"/>
        </w:rPr>
        <w:fldChar w:fldCharType="end"/>
      </w:r>
      <w:r w:rsidRPr="00BB4305">
        <w:rPr>
          <w:rFonts w:ascii="Arial" w:hAnsi="Arial" w:cs="Arial"/>
          <w:lang w:val="en-GB"/>
        </w:rPr>
        <w:t>. However, the prevalence of carbapenem resistance in our study (15.3%) was notably higher than the 1.8% prevalence reported in the Moroccan study.</w:t>
      </w:r>
    </w:p>
    <w:p w14:paraId="60597DA1" w14:textId="7E9E40D6" w:rsidR="003D7AC9" w:rsidRPr="00BB4305" w:rsidRDefault="003D7AC9" w:rsidP="00345A30">
      <w:pPr>
        <w:jc w:val="both"/>
        <w:rPr>
          <w:rFonts w:ascii="Arial" w:hAnsi="Arial" w:cs="Arial"/>
          <w:lang w:val="en-GB"/>
        </w:rPr>
      </w:pPr>
      <w:r w:rsidRPr="00BB4305">
        <w:rPr>
          <w:rFonts w:ascii="Arial" w:hAnsi="Arial" w:cs="Arial"/>
          <w:lang w:val="en-GB"/>
        </w:rPr>
        <w:t xml:space="preserve">Reported prevalence rates outside Africa, particularly in the United States and Italy, are significantly lower than those reported in Africa. In the United States, the prevalence of resistance to third-generation cephalosporins is only 4.4%, while in a study conducted in Italy, the prevalence of ESBLs was 11.7% and carriage of multidrug-resistant bacteria was 28.8% </w:t>
      </w:r>
      <w:r>
        <w:rPr>
          <w:rFonts w:ascii="Arial" w:hAnsi="Arial" w:cs="Arial"/>
          <w:lang w:val="en-GB"/>
        </w:rPr>
        <w:fldChar w:fldCharType="begin"/>
      </w:r>
      <w:r w:rsidR="00B10927">
        <w:rPr>
          <w:rFonts w:ascii="Arial" w:hAnsi="Arial" w:cs="Arial"/>
          <w:lang w:val="en-GB"/>
        </w:rPr>
        <w:instrText xml:space="preserve"> ADDIN ZOTERO_ITEM CSL_CITATION {"citationID":"rlpCXkCd","properties":{"formattedCitation":"(Giuffr\\uc0\\u232{} et al., 2016; Islam et al., 2018)","plainCitation":"(Giuffrè et al., 2016; Islam et al., 2018)","noteIndex":0},"citationItems":[{"id":665,"uris":["http://zotero.org/users/local/FaVS37Do/items/APZPE2BC"],"itemData":{"id":665,"type":"article-journal","container-title":"Journal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G"}],"issued":{"date-parts":[["2018",8,17]]}}},{"id":674,"uris":["http://zotero.org/users/local/FaVS37Do/items/9TGYJMG5"],"itemData":{"id":674,"type":"article-journal","abstract":"Colonization and infection by multidrug-resistant gram-negative bacilli (MDR GNB) in neonatal intensive care units (NICUs) are increasingly reported., We conducted a 5-year prospective cohort surveillance study in a tertiary NICU of the hospital “Paolo Giaccone,” Palermo, Italy. Our objectives were to describe incidence and trends of MDR GNB colonization and the characteristics of the most prevalent organisms and to identify the risk factors for colonization. Demographic, clinical, and microbiological data were prospectively collected. Active surveillance cultures (ASCs) were obtained weekly. Clusters of colonization by extended spectrum β-lactamase (ESBL) producing Escherichia coli and Klebsiella pneumoniae were analyzed by conventional and molecular epidemiological tools., During the study period, 1152 infants were enrolled in the study. Prevalences of colonization by MDR GNB, ESBL-producing GNB and multiple species/genera averaged, respectively, 28.8%, 11.7%, and 3.7%. Prevalence and incidence density of colonization by MDR GNB and ESBL-producing GNB showed an upward trend through the surveillance period. Rates of ESBL-producing E coli and K pneumoniae colonization showed wide fluctuations peaking over the last 2 years. The only independent variables associated with colonization by MDR GNB and ESBL-producing organisms and multiple colonization were, respectively, the days of NICU stay (odds ratio [OR] 1.041), the days of exposure to ampicillin–sulbactam (OR 1.040), and the days of formula feeding (OR 1.031). Most clusters of E coli and K pneumoniae colonization were associated with different lineages. Ten out of 12 clusters had an outborn infant as their index case., Our study confirms that MDR GNB are an increasing challenge to NICUs. The universal once-a-week approach allowed us to understand the epidemiology of MDR GNB, to timely detect new clones and institute contact precautions, and to assess risk factors. Collection of these data can be an important tool to optimize antimicrobials use and control the emergence and dissemination of resistances in NICU.","container-title":"Medicine","DOI":"10.1097/MD.0000000000003016","ISSN":"0025-7974","issue":"10","journalAbbreviation":"Medicine (Baltimore)","page":"e3016","source":"PubMed Central","title":"The Increasing Challenge of Multidrug-Resistant Gram-Negative Bacilli","volume":"95","author":[{"family":"Giuffrè","given":"Mario"},{"family":"Geraci","given":"Daniela M."},{"family":"Bonura","given":"Celestino"},{"family":"Saporito","given":"Laura"},{"family":"Graziano","given":"Giorgio"},{"family":"Insinga","given":"Vincenzo"},{"family":"Aleo","given":"Aurora"},{"family":"Vecchio","given":"Davide"},{"family":"Mammina","given":"Caterina"}],"issued":{"date-parts":[["2016",3,11]]}}}],"schema":"https://github.com/citation-style-language/schema/raw/master/csl-citation.json"} </w:instrText>
      </w:r>
      <w:r>
        <w:rPr>
          <w:rFonts w:ascii="Arial" w:hAnsi="Arial" w:cs="Arial"/>
          <w:lang w:val="en-GB"/>
        </w:rPr>
        <w:fldChar w:fldCharType="separate"/>
      </w:r>
      <w:r w:rsidR="00B10927" w:rsidRPr="00B10927">
        <w:rPr>
          <w:rFonts w:ascii="Arial" w:hAnsi="Arial" w:cs="Arial"/>
        </w:rPr>
        <w:t>(Giuffrè et al., 2016; Islam et al., 2018)</w:t>
      </w:r>
      <w:r>
        <w:rPr>
          <w:rFonts w:ascii="Arial" w:hAnsi="Arial" w:cs="Arial"/>
          <w:lang w:val="en-GB"/>
        </w:rPr>
        <w:fldChar w:fldCharType="end"/>
      </w:r>
      <w:r w:rsidRPr="00BB4305">
        <w:rPr>
          <w:rFonts w:ascii="Arial" w:hAnsi="Arial" w:cs="Arial"/>
          <w:lang w:val="en-GB"/>
        </w:rPr>
        <w:t>.</w:t>
      </w:r>
    </w:p>
    <w:p w14:paraId="64356EDD" w14:textId="30F5D3C0" w:rsidR="003D7AC9" w:rsidRPr="00BB4305" w:rsidRDefault="003D7AC9" w:rsidP="00345A30">
      <w:pPr>
        <w:jc w:val="both"/>
        <w:rPr>
          <w:rFonts w:ascii="Arial" w:hAnsi="Arial" w:cs="Arial"/>
          <w:lang w:val="en-GB"/>
        </w:rPr>
      </w:pPr>
      <w:r w:rsidRPr="00BB4305">
        <w:rPr>
          <w:rFonts w:ascii="Arial" w:hAnsi="Arial" w:cs="Arial"/>
          <w:lang w:val="en-GB"/>
        </w:rPr>
        <w:t xml:space="preserve">This phenomenon of digestive carriage of multidrug-resistant (MDR) Enterobacteriaceae appears to be more widespread in African regions, with prevalences varying from one country to another. This could be explained by living standards, environmental hygiene conditions, and also by the misuse of antibiotics in our setting </w:t>
      </w:r>
      <w:r>
        <w:rPr>
          <w:rFonts w:ascii="Arial" w:hAnsi="Arial" w:cs="Arial"/>
          <w:lang w:val="en-GB"/>
        </w:rPr>
        <w:fldChar w:fldCharType="begin"/>
      </w:r>
      <w:r w:rsidR="00B10927">
        <w:rPr>
          <w:rFonts w:ascii="Arial" w:hAnsi="Arial" w:cs="Arial"/>
          <w:lang w:val="en-GB"/>
        </w:rPr>
        <w:instrText xml:space="preserve"> ADDIN ZOTERO_ITEM CSL_CITATION {"citationID":"i0LFJumd","properties":{"formattedCitation":"(Adenaya et al., 2025)","plainCitation":"(Adenaya et al., 2025)","noteIndex":0},"citationItems":[{"id":696,"uris":["http://zotero.org/users/local/FaVS37Do/items/LUNU2X34"],"itemData":{"id":696,"type":"article-journal","abstract":"Antibiotic resistance is a well-documented global health challenge that disproportionately impacts low- and middle-income countries. In 2019, the number of deaths attributed to and associated with antibiotic resistance in Western Sub-Saharan Africa was approximately 27 and 115 per 100,000, respectively, higher than in other regions worldwide. Extensive research has consistently confirmed the persistent presence and spread of antibiotic resistance in hospitals, among livestock, within food supply chains, and across various environmental contexts. This review documents the environmental risk factors contributing to the spread of antibiotic resistance in West Africa. We collected studies from multiple West African countries using the Web of Science and PubMed databases. We screened them for factors associated with antibiotic-resistant bacteria and resistance genes between 2018 and 2024. Our findings indicate that antibiotic resistance remains a significant concern in West Africa, with environmental pollution and waste management identified as major factors in the proliferation of antibiotic-resistant bacteria and resistance genes between 2018 and 2024. Additional contributing factors include poor hygiene, the use of antibiotics in agriculture, aquaculture, and animal farming, and the transmission of antibiotic resistance within hospital settings. Unfortunately, the lack of comprehensive genetic characterization of antibiotic-resistant bacteria and resistance genes hinders a thorough understanding of this critical issue in the region. Since antibiotic resistance transcends national borders and can spread within and between countries, it is essential to understand the environmental risk factors driving its dissemination in West African countries. Such understanding will be instrumental in developing and recommending effective strategies nationally and internationally to combat antibiotic resistance.","container-title":"Microorganisms","DOI":"10.3390/microorganisms13040951","ISSN":"2076-2607","issue":"4","journalAbbreviation":"Microorganisms","language":"eng","note":"PMID: 40284787\nPMCID: PMC12029926","page":"951","source":"PubMed","title":"Environmental Risk Factors Contributing to the Spread of Antibiotic Resistance in West Africa","volume":"13","author":[{"family":"Adenaya","given":"Adenike"},{"family":"Adeniran","given":"Adedapo Adedayo"},{"family":"Ugwuoke","given":"Chidera Linus"},{"family":"Saliu","given":"Kaosara"},{"family":"Raji","given":"Mariam Adewumi"},{"family":"Rakshit","given":"Amartya"},{"family":"Ribas-Ribas","given":"Mariana"},{"family":"Könneke","given":"Martin"}],"issued":{"date-parts":[["2025",4,21]]}}}],"schema":"https://github.com/citation-style-language/schema/raw/master/csl-citation.json"} </w:instrText>
      </w:r>
      <w:r>
        <w:rPr>
          <w:rFonts w:ascii="Arial" w:hAnsi="Arial" w:cs="Arial"/>
          <w:lang w:val="en-GB"/>
        </w:rPr>
        <w:fldChar w:fldCharType="separate"/>
      </w:r>
      <w:r w:rsidR="00B10927" w:rsidRPr="00B10927">
        <w:rPr>
          <w:rFonts w:ascii="Arial" w:hAnsi="Arial" w:cs="Arial"/>
        </w:rPr>
        <w:t>(Adenaya et al., 2025)</w:t>
      </w:r>
      <w:r>
        <w:rPr>
          <w:rFonts w:ascii="Arial" w:hAnsi="Arial" w:cs="Arial"/>
          <w:lang w:val="en-GB"/>
        </w:rPr>
        <w:fldChar w:fldCharType="end"/>
      </w:r>
      <w:r w:rsidRPr="00BB4305">
        <w:rPr>
          <w:rFonts w:ascii="Arial" w:hAnsi="Arial" w:cs="Arial"/>
          <w:lang w:val="en-GB"/>
        </w:rPr>
        <w:t xml:space="preserve">.  </w:t>
      </w:r>
    </w:p>
    <w:p w14:paraId="70EB0B45" w14:textId="77777777" w:rsidR="003D7AC9" w:rsidRPr="00BB4305" w:rsidRDefault="003D7AC9" w:rsidP="00345A30">
      <w:pPr>
        <w:pStyle w:val="Paragraphedeliste"/>
        <w:ind w:left="0"/>
        <w:jc w:val="both"/>
        <w:rPr>
          <w:rFonts w:ascii="Arial" w:hAnsi="Arial" w:cs="Arial"/>
          <w:sz w:val="20"/>
          <w:szCs w:val="20"/>
          <w:lang w:val="en-GB"/>
        </w:rPr>
      </w:pPr>
      <w:r w:rsidRPr="00BB4305">
        <w:rPr>
          <w:rFonts w:ascii="Arial" w:hAnsi="Arial" w:cs="Arial"/>
          <w:sz w:val="20"/>
          <w:szCs w:val="20"/>
          <w:lang w:val="en-GB"/>
        </w:rPr>
        <w:t>Regarding colonization dynamics, this study revealed a significant increase in carriage between admission and discharge. At admission, the prevalence of ESBL-producing and carbapenem-resistant Enterobacteriaceae was 52.7% and 15.3%, respectively; these rates rose to 84.1% and 48.5% at discharge.</w:t>
      </w:r>
    </w:p>
    <w:p w14:paraId="444C4CBA" w14:textId="28CEC304" w:rsidR="00345A30" w:rsidRPr="00BB4305" w:rsidRDefault="003D7AC9" w:rsidP="00345A30">
      <w:pPr>
        <w:rPr>
          <w:rFonts w:ascii="Arial" w:hAnsi="Arial" w:cs="Arial"/>
          <w:lang w:val="en-GB"/>
        </w:rPr>
      </w:pPr>
      <w:r w:rsidRPr="00BB4305">
        <w:rPr>
          <w:rFonts w:ascii="Arial" w:hAnsi="Arial" w:cs="Arial"/>
          <w:lang w:val="en-GB"/>
        </w:rPr>
        <w:t>Previous studies conducted in Togo, Ghana, South Africa, and Tunisia reported similar findings. Atoun et al. reported a shift in prevalence from 73.3% at admission to 97.8% at discharge, while carbapenem resistance increased from 4.4% to 17.8% at discharge. They reported an ESBL acquisition rate of 91.7%, which is higher than the 74.4% found in our study. This discrepancy could be attributed to the higher carriage prevalence reported in the study by Atoun et al., as well as the fact that their study population comprised both children and adults. A similar trend in acquisition was</w:t>
      </w:r>
      <w:r w:rsidR="00345A30">
        <w:rPr>
          <w:rFonts w:ascii="Arial" w:hAnsi="Arial" w:cs="Arial"/>
          <w:lang w:val="en-GB"/>
        </w:rPr>
        <w:t xml:space="preserve"> </w:t>
      </w:r>
      <w:r w:rsidR="00345A30" w:rsidRPr="00BB4305">
        <w:rPr>
          <w:rFonts w:ascii="Arial" w:hAnsi="Arial" w:cs="Arial"/>
          <w:lang w:val="en-GB"/>
        </w:rPr>
        <w:t xml:space="preserve">reported by Tfifha et al. in Tunisia, with an acquisition rate of 4.9% during hospitalization and an additional 7.8% at discharge </w:t>
      </w:r>
      <w:r w:rsidR="00345A30">
        <w:rPr>
          <w:rFonts w:ascii="Arial" w:hAnsi="Arial" w:cs="Arial"/>
          <w:lang w:val="en-GB"/>
        </w:rPr>
        <w:fldChar w:fldCharType="begin"/>
      </w:r>
      <w:r w:rsidR="00B10927">
        <w:rPr>
          <w:rFonts w:ascii="Arial" w:hAnsi="Arial" w:cs="Arial"/>
          <w:lang w:val="en-GB"/>
        </w:rPr>
        <w:instrText xml:space="preserve"> ADDIN ZOTERO_ITEM CSL_CITATION {"citationID":"jVs4oKH1","properties":{"formattedCitation":"(Atoun et al., 2025; Founou et al., 2018; Kuissi Kamgaing et al., 2017; Labi et al., 2020; Tfifha et al., 2018)","plainCitation":"(Atoun et al., 2025; Founou et al., 2018; Kuissi Kamgaing et al., 2017; Labi et al., 2020; Tfifha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L"}],"issued":{"date-parts":[["2020",4,1]]}}},{"id":514,"uris":["http://zotero.org/users/local/FaVS37Do/items/3EGPHF27"],"itemData":{"id":514,"type":"article-journal","abstract":"Gram-negative ESKAPE bacteria are increasingly implicated in several difficult-to-treat infections in developed and developing countries. They are listed by the World Health Organization as resistant bacteria of critical priority in research.","container-title":"Antimicrobial Resistance &amp; Infection Control","DOI":"10.1186/s13756-018-0423-0","ISSN":"2047-2994","issue":"1","journalAbbreviation":"Antimicrob Resist Infect Control","language":"en","page":"134","source":"Springer Link","title":"Extended spectrum beta-lactamase mediated resistance in carriage and clinical gram-negative ESKAPE bacteria: a comparative study between a district and tertiary hospital in South Africa","title-short":"Extended spectrum beta-lactamase mediated resistance in carriage and clinical gram-negative ESKAPE bacteria","volume":"7","author":[{"family":"Founou","given":"Raspail Carrel"},{"family":"Founou","given":"Luria Leslie"},{"family":"Essack","given":"Sabiha Yusuf"}],"issued":{"date-parts":[["2018",11,14]]}}},{"id":533,"uris":["http://zotero.org/users/local/FaVS37Do/items/YYJIV5GE"],"itemData":{"id":533,"type":"article-journal","abstract":"The pandemic spread of multidrug-resistant (MDR) bacteria (i.e., methicillin-resistant Staphylococcus aureus (MRSA), extended-spectrum b-lactamase-producing Enterobacteriaceae (ESBLPE), vancomycin-resistant enterococci, carbapenemase-producing Enterobacteriaceae (CPE), multiresistant Pseudomonas aeruginosa and multiresistant Acinetobacter baumannii) pose a threat to healthcare Worldwide. We found limited data of MDR bacteria in pediatric patients hospitalized in Tunisian tertiary healthcare.The aim of the study is to evaluate the acquisition rate of MDR acquisition during hospitalization and to explore some of the associated risk factors for both carriage and acquisition at the pediatric department, Sahloul University Hospital. During September and October 2016, newly admitted patients were screened, at admission, during care and at discharge. Risk factors for colonization were explored by multivariate analysis. Of 112 newly admitted patients, 8.92% were colonized with at least one MDR. No risk factor was identified at admission. During hospitalization, five newly acquisition MDR (4.9%) were detected and eight (7.84%) at discharge. The specie most frequently detected on admission was Escherichia coli (50%), whereas, on discharge, Escherichia coli and K. pneumoniae were the species most frequently detected (52.7%). The pediatric intensive care unit (PICU) hospitalization, the length of hospital stay (more than 3days) and age under 2 years were identified as risk factor for acquisition of MDR during hospitalization. We identified several independent risk factors for contracting MDR bacteria during hospitalization in a tertiary pediatric department. The incidence of symptomatic MDR Infection among those colonized should be under close surveillance and long-term screening for those children is required. An institutional screening program for MDR especially in PICU might be discussed in regards to cost effectiveness.Keywords: Children; colonization; multidrug resistance; hospitalization","container-title":"Libyan Journal of Medicine","DOI":"10.1080/19932820.2017.1419047","ISSN":"1819-6357","issue":"1","language":"en","license":"Copyright (c)","note":"number: 1","source":"www.ajol.info","title":"Carriage of multidrug-resistant bacteria among pediatric patients before and during their hospitalization in a tertiary pediatric unit in Tunisia","URL":"https://www.ajol.info/index.php/ljm/article/view/165481","volume":"13","author":[{"family":"Tfifha","given":"Miniar"},{"family":"Ferjani","given":"Asma"},{"family":"Mallouli","given":"Manel"},{"family":"Mlika","given":"Nesrine"},{"family":"Abroug","given":"Saoussen"},{"family":"Boukadida","given":"Jalel"}],"accessed":{"date-parts":[["2025",6,19]]},"issued":{"date-parts":[["2018",1,23]]}}},{"id":191,"uris":["http://zotero.org/users/local/FaVS37Do/items/QAK5FSD6"],"itemData":{"id":191,"type":"article-journal","abstract":"Résumé\nIntroduction\nL’objectif est de rechercher la présence de germes nosocomiaux multirésistants dans la flore digestive des nouveau-nés hospitalisés.\nMéthodologie\nÉtude prospective, incluant 51 nouveau-nés ayant une coproculture de la première selle et des selles à j15 de vie positive à un germe nosocomial multirésistant. La colonie suspecte devait avoir une concentration&gt;1010 bactéries/gramme de selles.\nRésultats\nL’âge moyen était de 35,5±4,3 SA. La prématurité était observée dans 39,21 % de cas. Le poids moyen était de 2346,17±1022,5g. La rupture prématurée des membranes était présente dans 45,09 % des cas. Une antibiothérapie était administrée à l’admission dans 76,90 % des cas. La première alimentation était faite avec un substitut de lait maternel dans 76,50 % des cas. L’analyse des premières selles montrait la présence de bactéries multirésistantes et de Candida albicans respectivement dans 7,84 % et 11,76 % des cas. À j15 de vie, 70,59 % avaient un portage digestif de germes multirésistants. C. albicans était le plus fréquent (25 %), suivi d’Escherichia coli (22,22 %) dont 3 producteurs de bêtalactamase à spectre élargi. Une translocation digestive était observée dans 30,56 % de cas. Le décès survenait chez trois nouveau-nés, dû à E. coli K1 BLSE dans un cas et dans deux cas, à C. albicans. La prématurité (p&lt;0,001) et l’alimentation artificielle (p&lt;0,001) représentaient les principaux facteurs d’apparition des germes nosocomiaux dans les selles.\nConclusions\nLa maîtrise des facteurs de risque d’infection nosocomiale pour une prise en charge préventive est primordiale.\nSummary\nIntroduction\nThe aim of this study was to investigate the multiresistant nosocomial germs in hospitalized newborns digestive flora.\nMethodology\nWe conducted a prospective study, including 51 infants with the first 1 saddle and the j15 of life stool positives for multi-resistant nosocomial germs. To be considered, the stool bacterial load had to be above 1010 bacteria/gram.\nResults\nInfants average age was 35.5±4.3 weeks. In total, 39.21% of cases were born before term. Their average weight was 2.3±1kg. Premature rupture of the membranes was present in 45.1% of cases. In total, 76.9% of cases received an antibiotic therapy. In total, 76.5% of cases were put on breast milk substitute directly after birth. The first stool analysis showed the presence of multi-resistant bacteria and Candida albic</w:instrText>
      </w:r>
      <w:r w:rsidR="00B10927" w:rsidRPr="00B10927">
        <w:rPr>
          <w:rFonts w:ascii="Arial" w:hAnsi="Arial" w:cs="Arial"/>
          <w:lang w:val="fr-FR"/>
        </w:rPr>
        <w:instrText xml:space="preserve">ans respectively in 7.8% and 11.8% of the cases, 70.6% of infants carried multiresistant germs at j15 of life. C. albicans was the most frequent (25%), followed by Escherichia coli (22.2%). E. coli train isolated from 3 infants beta-lactamase producers. Among them, 30.6% had a digestive translocation. Death occurred in 3 infants, due to E. coli K1 beta-lactamase producers in one case and C. albicans in two cases. Prematurity (P&lt;0.001) and artificial feeding (P&lt;0.001) were the main factors influencing the digestive flora.\nConclusions\nThe mastery of nosocomial infections risk for preventive care is paramount.","container-title":"Journal de Pédiatrie et de Puériculture","DOI":"10.1016/j.jpp.2017.09.013","ISSN":"0987-7983","issue":"5","journalAbbreviation":"Journal de Pédiatrie et de Puériculture","page":"193-200","source":"ScienceDirect","title":"Colonisation digestive par des germes nosocomiaux des nouveau-nés hospitalisés au CHU d’Angondjé : aspects épidémiologiques et facteurs de risque","title-short":"Colonisation digestive par des germes nosocomiaux des nouveau-nés hospitalisés au CHU d’Angondjé","volume":"30","author":[{"family":"Kuissi Kamgaing","given":"E."},{"family":"Minto’o Rogombé","given":"S."},{"family":"Mymbila","given":"M."},{"family":"Mengue M’ella","given":"M."},{"family":"Koko","given":"J."},{"family":"Ategbo","given":"S."}],"issued":{"date-parts":[["2017",11,1]]}}}],"schema":"https://github.com/citation-style-language/schema/raw/master/csl-citation.json"} </w:instrText>
      </w:r>
      <w:r w:rsidR="00345A30">
        <w:rPr>
          <w:rFonts w:ascii="Arial" w:hAnsi="Arial" w:cs="Arial"/>
          <w:lang w:val="en-GB"/>
        </w:rPr>
        <w:fldChar w:fldCharType="separate"/>
      </w:r>
      <w:r w:rsidR="00B10927" w:rsidRPr="00B10927">
        <w:rPr>
          <w:rFonts w:ascii="Arial" w:hAnsi="Arial" w:cs="Arial"/>
          <w:lang w:val="fr-FR"/>
        </w:rPr>
        <w:t>(Atoun et al., 2025; Founou et al., 2018; Kuissi Kamgaing et al., 2017; Labi et al., 2020; Tfifha et al., 2018)</w:t>
      </w:r>
      <w:r w:rsidR="00345A30">
        <w:rPr>
          <w:rFonts w:ascii="Arial" w:hAnsi="Arial" w:cs="Arial"/>
          <w:lang w:val="en-GB"/>
        </w:rPr>
        <w:fldChar w:fldCharType="end"/>
      </w:r>
      <w:r w:rsidR="00345A30" w:rsidRPr="00B10927">
        <w:rPr>
          <w:rFonts w:ascii="Arial" w:hAnsi="Arial" w:cs="Arial"/>
          <w:lang w:val="fr-FR"/>
        </w:rPr>
        <w:t xml:space="preserve">. </w:t>
      </w:r>
      <w:r w:rsidR="00345A30" w:rsidRPr="00BB4305">
        <w:rPr>
          <w:rFonts w:ascii="Arial" w:hAnsi="Arial" w:cs="Arial"/>
          <w:lang w:val="en-GB"/>
        </w:rPr>
        <w:t xml:space="preserve">The combined prevalence of nosocomial acquisition of resistant strains was 53.8% in the review conducted in sub-Saharan Africa by Ruef et al. </w:t>
      </w:r>
      <w:r w:rsidR="00345A30">
        <w:rPr>
          <w:rFonts w:ascii="Arial" w:hAnsi="Arial" w:cs="Arial"/>
          <w:lang w:val="en-GB"/>
        </w:rPr>
        <w:fldChar w:fldCharType="begin"/>
      </w:r>
      <w:r w:rsidR="00B10927">
        <w:rPr>
          <w:rFonts w:ascii="Arial" w:hAnsi="Arial" w:cs="Arial"/>
          <w:lang w:val="en-GB"/>
        </w:rPr>
        <w:instrText xml:space="preserve"> ADDIN ZOTERO_ITEM CSL_CITATION {"citationID":"tiNx9TiP","properties":{"formattedCitation":"(Ruef et al., 2024)","plainCitation":"(Ruef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schema":"https://github.com/citation-style-language/schema/raw/master/csl-citation.json"} </w:instrText>
      </w:r>
      <w:r w:rsidR="00345A30">
        <w:rPr>
          <w:rFonts w:ascii="Arial" w:hAnsi="Arial" w:cs="Arial"/>
          <w:lang w:val="en-GB"/>
        </w:rPr>
        <w:fldChar w:fldCharType="separate"/>
      </w:r>
      <w:r w:rsidR="00B10927" w:rsidRPr="00B10927">
        <w:rPr>
          <w:rFonts w:ascii="Arial" w:hAnsi="Arial" w:cs="Arial"/>
        </w:rPr>
        <w:t>(Ruef et al., 2024)</w:t>
      </w:r>
      <w:r w:rsidR="00345A30">
        <w:rPr>
          <w:rFonts w:ascii="Arial" w:hAnsi="Arial" w:cs="Arial"/>
          <w:lang w:val="en-GB"/>
        </w:rPr>
        <w:fldChar w:fldCharType="end"/>
      </w:r>
      <w:r w:rsidR="00345A30" w:rsidRPr="00BB4305">
        <w:rPr>
          <w:rFonts w:ascii="Arial" w:hAnsi="Arial" w:cs="Arial"/>
          <w:lang w:val="en-GB"/>
        </w:rPr>
        <w:t>.</w:t>
      </w:r>
    </w:p>
    <w:p w14:paraId="3E285DA7" w14:textId="0CC76C44" w:rsidR="00345A30" w:rsidRPr="00BB4305" w:rsidRDefault="00345A30" w:rsidP="00345A30">
      <w:pPr>
        <w:jc w:val="both"/>
        <w:rPr>
          <w:rFonts w:ascii="Arial" w:hAnsi="Arial" w:cs="Arial"/>
          <w:lang w:val="en-GB"/>
        </w:rPr>
      </w:pPr>
      <w:r w:rsidRPr="00BB4305">
        <w:rPr>
          <w:rFonts w:ascii="Arial" w:hAnsi="Arial" w:cs="Arial"/>
          <w:lang w:val="en-GB"/>
        </w:rPr>
        <w:t xml:space="preserve">In Ghana, Labi et al. reported a prevalence at admission of 13%, which rose to 42% after 48 hours, reaching a 91% rate at discharge </w:t>
      </w:r>
      <w:r>
        <w:rPr>
          <w:rFonts w:ascii="Arial" w:hAnsi="Arial" w:cs="Arial"/>
          <w:lang w:val="en-GB"/>
        </w:rPr>
        <w:fldChar w:fldCharType="begin"/>
      </w:r>
      <w:r w:rsidR="00B10927">
        <w:rPr>
          <w:rFonts w:ascii="Arial" w:hAnsi="Arial" w:cs="Arial"/>
          <w:lang w:val="en-GB"/>
        </w:rPr>
        <w:instrText xml:space="preserve"> ADDIN ZOTERO_ITEM CSL_CITATION {"citationID":"7KraLBZr","properties":{"formattedCitation":"(Labi et al., 2020)","plainCitation":"(Labi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L"}],"issued":{"date-parts":[["2020",4,1]]}}}],"schema":"https://github.com/citation-style-language/schema/raw/master/csl-citation.json"} </w:instrText>
      </w:r>
      <w:r>
        <w:rPr>
          <w:rFonts w:ascii="Arial" w:hAnsi="Arial" w:cs="Arial"/>
          <w:lang w:val="en-GB"/>
        </w:rPr>
        <w:fldChar w:fldCharType="separate"/>
      </w:r>
      <w:r w:rsidR="00B10927" w:rsidRPr="00B10927">
        <w:rPr>
          <w:rFonts w:ascii="Arial" w:hAnsi="Arial" w:cs="Arial"/>
        </w:rPr>
        <w:t>(Labi et al., 2020)</w:t>
      </w:r>
      <w:r>
        <w:rPr>
          <w:rFonts w:ascii="Arial" w:hAnsi="Arial" w:cs="Arial"/>
          <w:lang w:val="en-GB"/>
        </w:rPr>
        <w:fldChar w:fldCharType="end"/>
      </w:r>
      <w:r>
        <w:rPr>
          <w:rFonts w:ascii="Arial" w:hAnsi="Arial" w:cs="Arial"/>
          <w:lang w:val="en-GB"/>
        </w:rPr>
        <w:t>.</w:t>
      </w:r>
    </w:p>
    <w:p w14:paraId="2D9DA098" w14:textId="43EE3442" w:rsidR="00345A30" w:rsidRPr="00B10927" w:rsidRDefault="00345A30" w:rsidP="00345A30">
      <w:pPr>
        <w:jc w:val="both"/>
        <w:rPr>
          <w:rFonts w:ascii="Arial" w:hAnsi="Arial" w:cs="Arial"/>
          <w:lang w:val="fr-FR"/>
        </w:rPr>
      </w:pPr>
      <w:r w:rsidRPr="00BB4305">
        <w:rPr>
          <w:rFonts w:ascii="Arial" w:hAnsi="Arial" w:cs="Arial"/>
          <w:lang w:val="en-GB"/>
        </w:rPr>
        <w:t>A statistically significant association was found between the carriage of multidrug-resistant bacteria and age for children aged 5–11 years (p=0.0046). Islam et al. reported an association between carriage and age; however, in their study, children aged 1 to 2 years had the highest prevalence [18]. The association with age in our study could be explained by the fact that older children likely have a history of antibiotic use, which may have promoted the selection of multidrug-resistant strains within their microbiota. This is consistent with the findings of Atoun et al., who identified an association between history of antibiotic exposure and the carriage of both ESBL-producing</w:t>
      </w:r>
      <w:r w:rsidRPr="00BB4305">
        <w:rPr>
          <w:lang w:val="en-GB"/>
        </w:rPr>
        <w:t xml:space="preserve"> </w:t>
      </w:r>
      <w:r w:rsidRPr="00BB4305">
        <w:rPr>
          <w:rFonts w:ascii="Arial" w:hAnsi="Arial" w:cs="Arial"/>
          <w:lang w:val="en-GB"/>
        </w:rPr>
        <w:t xml:space="preserve">Enterobacteriaceae and carbapenem-resistant Enterobacteriaceae (CRE). Other studies have reported risk factors such as travel, catheter use, and comorbidities, as well as transfer from a district hospital to a tertiary hospital. Additionally, previous hospitalization in countries with a high prevalence of MDRO carriage and infection, low birth weight, and parenteral nutrition have also been identified </w:t>
      </w:r>
      <w:r>
        <w:rPr>
          <w:rFonts w:ascii="Arial" w:hAnsi="Arial" w:cs="Arial"/>
          <w:lang w:val="en-GB"/>
        </w:rPr>
        <w:fldChar w:fldCharType="begin"/>
      </w:r>
      <w:r w:rsidR="00B10927">
        <w:rPr>
          <w:rFonts w:ascii="Arial" w:hAnsi="Arial" w:cs="Arial"/>
          <w:lang w:val="en-GB"/>
        </w:rPr>
        <w:instrText xml:space="preserve"> ADDIN ZOTERO_ITEM CSL_CITATION {"citationID":"rn4QJ54R","properties":{"formattedCitation":"(Armand-Lef\\uc0\\u232{}vre et al., 2018; Atoun et al., 2025; Campeotto et al., 2004; Founou et al., 2018; Islam et al., 2018)","plainCitation":"(Armand-Lefèvre et al., 2018; Atoun et al., 2025; Campeotto et al., 2004; Founou et al., 2018; Islam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G"}],"issued":{"date-parts":[["2018",8,17]]}}},{"id":514,"uris":["http://zotero.org/users/local/FaVS37Do/items/3EGPHF27"],"itemData":{"id":514,"type":"article-journal","abstract":"Gram-negative ESKAPE bacteria are increasingly implicated in several difficult-to-treat infections in developed and developing countries. They are listed by the World Health Organization as resistant bacteria of critical priority in research.","container-title":"Antimicrobial Resistance &amp; Infection Control","DOI":"10.1186/s13756-018-0423-0","ISSN":"2047-2994","issue":"1","journalAbbreviation":"Antimicrob Resist Infect Control","language":"en","page":"134","source":"Springer Link","title":"Extended spectrum beta-lactamase mediated resistance in carriage and clinical gram-negative ESKAPE bacteria: a comparative study between a district and tertiary hospital in South Africa","title-short":"Extended spectrum beta-lactamase mediated resistance in carriage and clinical gram-negative ESKAPE bacteria","volume":"7","author":[{"family":"Founou","given":"Raspail Carrel"},{"family":"Founou","given":"Luria Leslie"},{"family":"Essack","given":"Sabiha Yusuf"}],"issued":{"date-parts":[["2018",11,14]]}}},{"id":529,"uris":["http://zotero.org/users/local/FaVS37Do/items/QVERVZVW"],"itemData":{"id":529,"type":"article-journal","abstract":"Bacterial resistance to antibiotics is considered a major threat to health. Enterobacteriaceae have increasingly become resistant to antibiotics through the acquisition and dissemination of extended-spectrum beta-lactamases (ESBL) that confer resistance to most beta-lactams. While ESBL-producing Enterobacteriaceae were formerly restricted to hospitals, they have now spread to community settings, especially in developing countries. The tremendous expansion of international travels contributed to the importation of multidrug-resistant Enterobacteriaceae (MRE) to low prevalence countries. Several studies reported that 21 to 51% of healthy travelers acquire a MRE when travelling abroad, depending on the visited region (Asia, and especially South Asia being associated with the highest risk – up to 85%). Traveling to Africa or the Middle East is associated with lower but still disturbing rates (13–44%). In addition, the occurrence of digestive disorders and/or diarrhea and antibiotic intake increase the risk of MRE acquisition by 2–3 folds. After traveling though, the length of MRE carriage seems to be short (&lt;1 month) and the risk of transmission within the household appears to be low. Nonetheless and beyond the intestinal carriage of MRE, traveling to endemic areas has also been pointed as a risk factor for infections involving MRE, mainly urinary tract infections.\nRésumé\nLa résistance aux antibiotiques est considérée comme une menace majeure. Les entérobactéries sont de plus en plus résistantes au fil du temps en raison de l’acquisition et de la dissémination des BLSE qui confèrent la résistance à la majorité des bêtalactamines. Après avoir été principalement isolées dans les hôpitaux, ces entérobactéries multirésistantes (EMR) disséminent dans la communauté, particulièrement celle des pays en voie de développement. L’augmentation des voyages internationaux a favorisé l’importation des EMR dans les pays à faible prévalence. Les taux d’acquisition d’EMR au cours d’un voyage varient de 21 à 51 % chez les voyageurs sains, selon les études et les zones géographiques visitées. Après un voyage en Asie, particulièrement en Asie du Sud, les taux d’acquisition peuvent atteindre 85 %. Un voyage en Afrique ou au Moyen-Orient est associé à des taux plus faibles mais inquiétants (13–44 %). Outre la destination de voyage, les facteurs de risque associés à l’acquisition d’EMR sont troubles digestifs, diarrhées, prise d’antibiotiques. La durée de portage des EMR suite à un voyage semble toutefois courte (&lt;1 mois) et le risque de transmission aux personnes vivant sous le même toit est également faible. Au-delà du portage sain, les voyages en zone d’endémie ont également été identifiés comme facteur de risque d’infection à EMR, notamment d’infections urinaires.","container-title":"Médecine et Maladies Infectieuses","DOI":"10.1016/j.medmal.2018.02.005","ISSN":"0399-077X","issue":"7","journalAbbreviation":"Médecine et Maladies Infectieuses","page":"431-441","source":"ScienceDirect","title":"Travel and acquisition of multidrug-resistant Enterobacteriaceae","volume":"48","author":[{"family":"Armand-Lefèvre","given":"L."},{"family":"Andremont","given":"A."},{"family":"Ruppé","given":"E."}],"issued":{"date-parts":[["2018",10,1]]}}},{"id":189,"uris":["http://zotero.org/users/local/FaVS37Do/items/AHCNX7KB"],"itemData":{"id":189,"type":"article-journal","abstract":"Résumé\nUne étude prospective systématique de la colonisation nasale et rectale des nouveau-nés par des bactéries multirésistantes (BMR) a été menée chaque semaine dans une unité de néonatologie. Patients et méthodes. – Pendant une période de six mois des écouvillons nasaux et rectaux ont été systématiquement prélevés chez 187 nouveau-nés le jour de l'admission puis toutes les semaines jusqu'à leur sortie. Les BMR étaient recherchées, principalement les staphylocoques résistants à la méticilline (Staphylococcus aureus et staphylocoque coagulase négative) et les bacilles à Gram négatif multirésistants. Résultats. – Parmi les 187 enfants, 50 étaient colonisés dès l'admission et ont été exclus de l'étude. Parmi les 137 autres, 49 (35 %) ont été colonisés par au moins une BMR. Au total, 71 souches ont été isolées. Les BMR les plus fréquentes étaient les staphylocoques à coagulase négative résistants à la méticilline (MRSCN) et plus particulièrement Staphylococcus epidermidis (66,1 %). Les bacilles à Gram négatif (BGN) ne représentaient que 9,8 % des bactéries isolées. La colonisation par les MRSCN débutait plus précocement, 7,8 ± 6 jours vs 15,5 ± 16 jours pour les BGN, p = 0,004, et se terminait plus tôt, 22,7 ± 15 vs 38,5 ± 16 jours, p = 0,03. En analyse univariée, les enfants colonisés avaient un plus petit poids de naissance, recevaient plus fréquemment une alimentation parentérale, avaient une notion d'hospitalisation antérieure et étaient plus jeunes. L'analyse des facteurs de risque relatifs, l'Odds ratio pour la colonisation étaient de 4,06 pour la prématurité et de 43,83 pour une hospitalisation préalable. La présence de MRSCN était corrélée à l'utilisation empirique des antibiotiques (p &lt; 0,05). Aucune infection nosocomiale n'est survenue pendant l'étude. Conclusion. – Un fort taux de colonisation des nouveau-nés hospitalisés en unité de néonatologie est rapporté. La colonisation est majoritairement représentée par des MRSCN, acquis plus précocement que les BGN et favorisée par une antibiothérapie préalable.\nA systematic analysis of weekly nasal and rectal swabs was carried out in a neonatal unit in order to detect colonization with multiresistant bacteria (MRB). Patients and methods. – During a 6-month period, rectal and nasal samples were taken in 187 consecutively hospitalized newborns, the day of the admission (day 0) and every week until discharge, in order to detect MRB, mainly methicillin-resistant coagulase negative staphylococci (MRCoNS), Staphylococcus aureus and multi-resistant Gram-negative bacilli. Results. – Among 187 infants, 50 were already colonized at entrance and excluded from the study. In others, 49 (35%) were colonized by at least one MRB, with a total of 71 strains isolated. The most frequent was MRCoNS, especially Staphylococcus epidermidis (66.1%). Gram-negative bacilli accounted for 9.8%. Colonization began earlier with MRCoNS than with Gram-negative bacilli, 7.8 ± 6 vs. 15.5 ± 16 days, P = 0.004, and f</w:instrText>
      </w:r>
      <w:r w:rsidR="00B10927" w:rsidRPr="00B10927">
        <w:rPr>
          <w:rFonts w:ascii="Arial" w:hAnsi="Arial" w:cs="Arial"/>
          <w:lang w:val="fr-FR"/>
        </w:rPr>
        <w:instrText xml:space="preserve">inished earlier 22.7 ± 15 vs. 38.5 ± 16 days, P = 0.03. Colonized children exhibited by univariate analysis a lower birth weight, more frequent parenteral nutrition or previous hospitalization in a neonatal unit and a younger age at admission. Odds ratio for colonization were 4.06 for prematurity and 43.83 for a previous hospitalization. MRCoNS at days 15 (P &lt; 0.05) and 22 (P &lt; 0.05) were correlated with the empiric use of antibiotics. No nosocomial infection occurred during the study. Conclusion. – A high rate of newborns were colonized with MRB in our unit, especially MRCoNS, acquired earlier than Gram-negative bacilli, with a favoring action of empiric antibiotherapy.","container-title":"Archives de Pédiatrie","DOI":"10.1016/j.arcped.2004.05.020","ISSN":"0929-693X","issue":"11","journalAbbreviation":"Archives de Pédiatrie","page":"1314-1318","source":"ScienceDirect","title":"Acquisition nosocomiale de bactéries multirésistantes dans un service de néonatologie : étude prospective et analyse des facteurs de risque","title-short":"Acquisition nosocomiale de bactéries multirésistantes dans un service de néonatologie","volume":"11","author":[{"family":"Campeotto","given":"F."},{"family":"Garnier","given":"F."},{"family":"Kalach","given":"N."},{"family":"Soulaines","given":"P."},{"family":"Dupont","given":"C."},{"family":"Raymond","given":"J."}],"issued":{"date-parts":[["2004",11,1]]}}}],"schema":"https://github.com/citation-style-language/schema/raw/master/csl-citation.json"} </w:instrText>
      </w:r>
      <w:r>
        <w:rPr>
          <w:rFonts w:ascii="Arial" w:hAnsi="Arial" w:cs="Arial"/>
          <w:lang w:val="en-GB"/>
        </w:rPr>
        <w:fldChar w:fldCharType="separate"/>
      </w:r>
      <w:r w:rsidR="00B10927" w:rsidRPr="00B10927">
        <w:rPr>
          <w:rFonts w:ascii="Arial" w:hAnsi="Arial" w:cs="Arial"/>
          <w:lang w:val="fr-FR"/>
        </w:rPr>
        <w:t>(Armand-Lefèvre et al., 2018; Atoun et al., 2025; Campeotto et al., 2004; Founou et al., 2018; Islam et al., 2018)</w:t>
      </w:r>
      <w:r>
        <w:rPr>
          <w:rFonts w:ascii="Arial" w:hAnsi="Arial" w:cs="Arial"/>
          <w:lang w:val="en-GB"/>
        </w:rPr>
        <w:fldChar w:fldCharType="end"/>
      </w:r>
      <w:r w:rsidRPr="00B10927">
        <w:rPr>
          <w:rFonts w:ascii="Arial" w:hAnsi="Arial" w:cs="Arial"/>
          <w:lang w:val="fr-FR"/>
        </w:rPr>
        <w:t>.</w:t>
      </w:r>
    </w:p>
    <w:p w14:paraId="1326A14B" w14:textId="7EF2BB23" w:rsidR="00345A30" w:rsidRPr="000661E7" w:rsidRDefault="00345A30" w:rsidP="00345A30">
      <w:pPr>
        <w:jc w:val="both"/>
        <w:rPr>
          <w:rFonts w:ascii="Arial" w:hAnsi="Arial" w:cs="Arial"/>
          <w:lang w:val="en-GB"/>
        </w:rPr>
      </w:pPr>
      <w:r w:rsidRPr="00BB4305">
        <w:rPr>
          <w:rFonts w:ascii="Arial" w:hAnsi="Arial" w:cs="Arial"/>
          <w:lang w:val="en-GB"/>
        </w:rPr>
        <w:t xml:space="preserve">Furthermore, a hospital stay of more than 6 days and an antibiotic therapy lasting between 5 and 8 days (p=0.0003 and p=0.001, respectively) were significantly associated with the acquisition of multidrug-resistant strains. Hospitalization and antibiotic use have been reported </w:t>
      </w:r>
      <w:r w:rsidRPr="00BB4305">
        <w:rPr>
          <w:rFonts w:ascii="Arial" w:hAnsi="Arial" w:cs="Arial"/>
          <w:lang w:val="en-GB"/>
        </w:rPr>
        <w:lastRenderedPageBreak/>
        <w:t xml:space="preserve">in numerous studies as major risk factors for the carriage of multidrug-resistant (MDR) </w:t>
      </w:r>
      <w:r w:rsidRPr="00DE6E96">
        <w:rPr>
          <w:rFonts w:ascii="Arial" w:hAnsi="Arial" w:cs="Arial"/>
          <w:lang w:val="en-GB"/>
        </w:rPr>
        <w:t xml:space="preserve">Enterobacteriaceae </w:t>
      </w:r>
      <w:r w:rsidRPr="00DE6E96">
        <w:rPr>
          <w:rFonts w:ascii="Arial" w:hAnsi="Arial" w:cs="Arial"/>
          <w:lang w:val="en-GB"/>
        </w:rPr>
        <w:fldChar w:fldCharType="begin"/>
      </w:r>
      <w:r w:rsidR="00B10927" w:rsidRPr="00DE6E96">
        <w:rPr>
          <w:rFonts w:ascii="Arial" w:hAnsi="Arial" w:cs="Arial"/>
          <w:lang w:val="en-GB"/>
        </w:rPr>
        <w:instrText xml:space="preserve"> ADDIN ZOTERO_ITEM CSL_CITATION {"citationID":"zYVoddxE","properties":{"formattedCitation":"(Giuffr\\uc0\\u232{} et al., 2016; Grohs et al., 2022; Lack et al., 2022; Ruef et al., 2024)","plainCitation":"(Giuffrè et al., 2016; Grohs et al., 2022; Lack et al., 2022; 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id":674,"uris":["http://zotero.org/users/local/FaVS37Do/items/9TGYJMG5"],"itemData":{"id":674,"type":"article-journal","abstract":"Colonization and infection by multidrug-resistant gram-negative bacilli (MDR GNB) in neonatal intensive care units (NICUs) are increasingly reported., We conducted a 5-year prospective cohort surveillance study in a tertiary NICU of the hospital “Paolo Giaccone,” Palermo, Italy. Our objectives were to describe incidence and trends of MDR GNB colonization and the characteristics of the most prevalent organisms and to identify the risk factors for colonization. Demographic, clinical, and microbiological data were prospectively collected. Active surveillance cultures (ASCs) were obtained weekly. Clusters of colonization by extended spectrum β-lactamase (ESBL) producing Escherichia coli and Klebsiella pneumoniae were analyzed by conventional and molecular epidemiological tools., During the study period, 1152 infants were enrolled in the study. Prevalences of colonization by MDR GNB, ESBL-producing GNB and multiple species/genera averaged, respectively, 28.8%, 11.7%, and 3.7%. Prevalence and incidence density of colonization by MDR GNB and ESBL-producing GNB showed an upward trend through the surveillance period. Rates of ESBL-producing E coli and K pneumoniae colonization showed wide fluctuations peaking over the last 2 years. The only independent variables associated with colonization by MDR GNB and ESBL-producing organisms and multiple colonization were, respectively, the days of NICU stay (odds ratio [OR] 1.041), the days of exposure to ampicillin–sulbactam (OR 1.040), and the days of formula feeding (OR 1.031). Most clusters of E coli and K pneumoniae colonization were associated with different lineages. Ten out of 12 clusters had an outborn infant as their index case., Our study confirms that MDR GNB are an increasing challenge to NICUs. The universal once-a-week approach allowed us to understand the epidemiology of MDR GNB, to timely detect new clones and institute contact precautions, and to assess risk factors. Collection of these data can be an important tool to optimize antimicrobials use and control the emergence and dissemination of resistances in NICU.","container-title":"Medicine","DOI":"10.1097/MD.0000000000003016","ISSN":"0025-7974","issue":"10","journalAbbreviation":"Medicine (Baltimore)","page":"e3016","source":"PubMed Central","title":"The Increasing Challenge of Multidrug-Resistant Gram-Negative Bacilli","volume":"95","author":[{"family":"Giuffrè","given":"Mario"},{"family":"Geraci","given":"Daniela M."},{"family":"Bonura","given":"Celestino"},{"family":"Saporito","given":"Laura"},{"family":"Graziano","given":"Giorgio"},{"family":"Insinga","given":"Vincenzo"},{"family":"Aleo","given":"Aurora"},{"family":"Vecchio","given":"Davide"},{"family":"Mammina","given":"Caterina"}],"issued":{"date-parts":[["2016",3,11]]}}},{"id":516,"uris":["http://zotero.org/users/local/FaVS37Do/ite</w:instrText>
      </w:r>
      <w:r w:rsidR="00B10927" w:rsidRPr="00DE6E96">
        <w:rPr>
          <w:rFonts w:ascii="Arial" w:hAnsi="Arial" w:cs="Arial"/>
          <w:lang w:val="fr-FR"/>
        </w:rPr>
        <w:instrText xml:space="preserve">ms/PDS2UEBR"],"itemData":{"id":516,"type":"article-journal","abstract":"AbstractObjectives. Since 2003, incidences of carbapenemase-producing Gram-negative bacilli (CP-GNB) and vancomycin-resistant Enterococcus faecium (VRE) ha","container-title":"Journal of Antimicrobial Chemotherapy","DOI":"10.1093/jac/dkac289","ISSN":"0305-7453","issue":"10","journalAbbreviation":"J Antimicrob Chemother","language":"en","note":"publisher: Oxford Academic","page":"2667-2678","source":"academic.oup.com","title":"Faecal carriage of multidrug-resistant bacteria and associated risk factors: results from a point prevalence study","title-short":"Faecal carriage of multidrug-resistant bacteria and associated risk factors","volume":"77","author":[{"family":"Grohs","given":"Patrick"},{"family":"Vilfaillot","given":"Aurélie"},{"family":"Zahar","given":"Jean Ralph"},{"family":"Barbut","given":"Frédéric"},{"family":"Frange","given":"Pierre"},{"family":"Casetta","given":"Anne"},{"family":"Moulin","given":"Véronique"},{"family":"Lawrence","given":"Christine"},{"family":"Baune","given":"Patricia"},{"family":"Bourgeois","given":"Cléo"},{"family":"Bouffier","given":"Axel"},{"family":"Laussucq","given":"Claudine"},{"family":"Sienzonit","given":"Lydia"},{"family":"Picard","given":"Simon"},{"family":"Podglajen","given":"Isabelle"},{"family":"Kassis-Chikhani","given":"Najiby"}],"issued":{"date-parts":[["2022",9,30]]}}}],"schema":"https://github.com/citation-style-language/schema/raw/master/csl-citation.json"} </w:instrText>
      </w:r>
      <w:r w:rsidRPr="00DE6E96">
        <w:rPr>
          <w:rFonts w:ascii="Arial" w:hAnsi="Arial" w:cs="Arial"/>
          <w:lang w:val="en-GB"/>
        </w:rPr>
        <w:fldChar w:fldCharType="separate"/>
      </w:r>
      <w:r w:rsidR="00B10927" w:rsidRPr="00DE6E96">
        <w:rPr>
          <w:rFonts w:ascii="Arial" w:hAnsi="Arial" w:cs="Arial"/>
          <w:lang w:val="fr-FR"/>
        </w:rPr>
        <w:t>(Giuffrè et al., 2016; Grohs et al., 2022; Lack et al., 2022; Ruef et al., 2024)</w:t>
      </w:r>
      <w:r w:rsidRPr="00DE6E96">
        <w:rPr>
          <w:rFonts w:ascii="Arial" w:hAnsi="Arial" w:cs="Arial"/>
          <w:lang w:val="en-GB"/>
        </w:rPr>
        <w:fldChar w:fldCharType="end"/>
      </w:r>
      <w:r w:rsidRPr="00DE6E96">
        <w:rPr>
          <w:rFonts w:ascii="Arial" w:hAnsi="Arial" w:cs="Arial"/>
          <w:lang w:val="fr-FR"/>
        </w:rPr>
        <w:t>.</w:t>
      </w:r>
      <w:r w:rsidR="000661E7" w:rsidRPr="00DE6E96">
        <w:rPr>
          <w:rFonts w:ascii="Arial" w:hAnsi="Arial" w:cs="Arial"/>
          <w:lang w:val="fr-FR"/>
        </w:rPr>
        <w:t xml:space="preserve"> </w:t>
      </w:r>
      <w:r w:rsidR="000661E7" w:rsidRPr="000661E7">
        <w:rPr>
          <w:rFonts w:ascii="Arial" w:hAnsi="Arial" w:cs="Arial"/>
          <w:highlight w:val="yellow"/>
          <w:lang w:val="en-GB"/>
        </w:rPr>
        <w:t>Antibiotic resistance is the bacterial world’s evolutionary response to the increasing use of antibiotics by humans. Several selection pathways are thought to be involved. However, the most compelling explanation for these high prevalence rates is, firstly, the selection of resistant bacteria within non-pathogenic or minimally pathogenic commensal flora, followed by the horizontal transfer of resistance to far more pathogenic bacteria. This selection is the result of antibiotic therapy acting as a selective agent</w:t>
      </w:r>
      <w:r w:rsidR="000661E7" w:rsidRPr="000661E7">
        <w:rPr>
          <w:rFonts w:ascii="Arial" w:hAnsi="Arial" w:cs="Arial"/>
          <w:highlight w:val="yellow"/>
          <w:lang w:val="en-GB"/>
        </w:rPr>
        <w:t xml:space="preserve"> </w:t>
      </w:r>
      <w:r w:rsidR="000661E7" w:rsidRPr="000661E7">
        <w:rPr>
          <w:rFonts w:ascii="Arial" w:hAnsi="Arial" w:cs="Arial"/>
          <w:highlight w:val="yellow"/>
          <w:lang w:val="en-GB"/>
        </w:rPr>
        <w:fldChar w:fldCharType="begin"/>
      </w:r>
      <w:r w:rsidR="000661E7" w:rsidRPr="000661E7">
        <w:rPr>
          <w:rFonts w:ascii="Arial" w:hAnsi="Arial" w:cs="Arial"/>
          <w:highlight w:val="yellow"/>
          <w:lang w:val="en-GB"/>
        </w:rPr>
        <w:instrText xml:space="preserve"> ADDIN ZOTERO_ITEM CSL_CITATION {"citationID":"gJhNbOAB","properties":{"formattedCitation":"(Skurnik and Andremont, 2006)","plainCitation":"(Skurnik and Andremont, 2006)","dontUpdate":true,"noteIndex":0},"citationItems":[{"id":990,"uris":["http://zotero.org/users/local/FaVS37Do/items/P3DYQMHI"],"itemData":{"id":990,"type":"article-journal","abstract":"The emergence of pathogenic bacteria resistant to antimicrobial agents is sometimes the result of a direct selection process within a welldefined infectious site. Most often, such emergence is the result of a two-steps mechanism which associate first the selection of resistant commensal bacteria and, second, the horizontal transfer of resistance between bacterial species, including pathogenic ones. Three practical examples of such emergence are described including: 1) the occurrence of a urinary tract infection resistant to fluoroquinolones; 2) a case of post-surgery peritonitis caused by a strain of Enterobacter sp. resistant to third generation cephalosporins; and 3) cases of infection due to Klebsiella sp. resistant to carbapenems, or to Staphylococcus aureus resistant to glycopeptides. The current and future means to prevent such events in clinical practice are listed.","container-title":"Réanimation","DOI":"10.1016/j.reaurg.2006.03.002","ISSN":"16240693","issue":"3","journalAbbreviation":"Réanimation","language":"fr","license":"https://www.elsevier.com/tdm/userlicense/1.0/","page":"198-204","source":"DOI.org (Crossref)","title":"Antibiothérapie sélectionnante. De la théorie à la pratique","volume":"15","author":[{"family":"Skurnik","given":"D"},{"family":"Andremont","given":"A"}],"issued":{"date-parts":[["2006",6]]}}}],"schema":"https://github.com/citation-style-language/schema/raw/master/csl-citation.json"} </w:instrText>
      </w:r>
      <w:r w:rsidR="000661E7" w:rsidRPr="000661E7">
        <w:rPr>
          <w:rFonts w:ascii="Arial" w:hAnsi="Arial" w:cs="Arial"/>
          <w:highlight w:val="yellow"/>
          <w:lang w:val="en-GB"/>
        </w:rPr>
        <w:fldChar w:fldCharType="separate"/>
      </w:r>
      <w:r w:rsidR="000661E7" w:rsidRPr="000661E7">
        <w:rPr>
          <w:rFonts w:ascii="Arial" w:hAnsi="Arial" w:cs="Arial"/>
          <w:highlight w:val="yellow"/>
        </w:rPr>
        <w:t>(</w:t>
      </w:r>
      <w:proofErr w:type="spellStart"/>
      <w:r w:rsidR="000661E7" w:rsidRPr="000661E7">
        <w:rPr>
          <w:rFonts w:ascii="Arial" w:hAnsi="Arial" w:cs="Arial"/>
          <w:highlight w:val="yellow"/>
        </w:rPr>
        <w:t>Skurnik</w:t>
      </w:r>
      <w:proofErr w:type="spellEnd"/>
      <w:r w:rsidR="000661E7" w:rsidRPr="000661E7">
        <w:rPr>
          <w:rFonts w:ascii="Arial" w:hAnsi="Arial" w:cs="Arial"/>
          <w:highlight w:val="yellow"/>
        </w:rPr>
        <w:t xml:space="preserve"> et al., 2006)</w:t>
      </w:r>
      <w:r w:rsidR="000661E7" w:rsidRPr="000661E7">
        <w:rPr>
          <w:rFonts w:ascii="Arial" w:hAnsi="Arial" w:cs="Arial"/>
          <w:highlight w:val="yellow"/>
          <w:lang w:val="en-GB"/>
        </w:rPr>
        <w:fldChar w:fldCharType="end"/>
      </w:r>
      <w:r w:rsidR="000661E7" w:rsidRPr="000661E7">
        <w:rPr>
          <w:rFonts w:ascii="Arial" w:hAnsi="Arial" w:cs="Arial"/>
          <w:highlight w:val="yellow"/>
          <w:lang w:val="en-GB"/>
        </w:rPr>
        <w:t xml:space="preserve"> </w:t>
      </w:r>
      <w:r w:rsidR="000661E7" w:rsidRPr="000661E7">
        <w:rPr>
          <w:rFonts w:ascii="Arial" w:hAnsi="Arial" w:cs="Arial"/>
          <w:highlight w:val="yellow"/>
          <w:lang w:val="en-GB"/>
        </w:rPr>
        <w:t>.</w:t>
      </w:r>
    </w:p>
    <w:p w14:paraId="4C0664F4" w14:textId="0F1B6697" w:rsidR="00345A30" w:rsidRPr="00BB4305" w:rsidRDefault="00345A30" w:rsidP="00345A30">
      <w:pPr>
        <w:jc w:val="both"/>
        <w:rPr>
          <w:rFonts w:ascii="Arial" w:hAnsi="Arial" w:cs="Arial"/>
          <w:lang w:val="en-GB"/>
        </w:rPr>
      </w:pPr>
      <w:r w:rsidRPr="00BB4305">
        <w:rPr>
          <w:rFonts w:ascii="Arial" w:hAnsi="Arial" w:cs="Arial"/>
          <w:lang w:val="en-GB"/>
        </w:rPr>
        <w:t xml:space="preserve">Newborns were the most likely to acquire multidrug-resistant strains (p=0.0001). The acquisition of multidrug-resistant strains may be explained by the fact that neonates, who had not previously been treated with antibiotics, received antibiotic therapy that likely played a role in the selection of multidrug-resistant strains within their digestive microbiota. Furthermore, based on the study conducted by Atoun et al. during the same period and at the same hospital among pregnant women, high carriage rates of 53.0% for ESBL and 2.0% for CRE were identified. This suggests a potential transmission of multidrug-resistant strains from mother to newborn. A study conducted in Nigeria also reported a high urinary carriage of ESBL-producing Enterobacteriaceae (72.3%) among pregnant women, which could explain the transmission of these multidrug-resistant strains to newborns </w:t>
      </w:r>
      <w:r>
        <w:rPr>
          <w:rFonts w:ascii="Arial" w:hAnsi="Arial" w:cs="Arial"/>
          <w:lang w:val="en-GB"/>
        </w:rPr>
        <w:fldChar w:fldCharType="begin"/>
      </w:r>
      <w:r w:rsidR="00B10927">
        <w:rPr>
          <w:rFonts w:ascii="Arial" w:hAnsi="Arial" w:cs="Arial"/>
          <w:lang w:val="en-GB"/>
        </w:rPr>
        <w:instrText xml:space="preserve"> ADDIN ZOTERO_ITEM CSL_CITATION {"citationID":"lHv511iw","properties":{"formattedCitation":"(Onanuga et al., 2018)","plainCitation":"(Onanuga et al., 2018)","noteIndex":0},"citationItems":[{"id":520,"uris":["http://zotero.org/users/local/FaVS37Do/items/J53SU3NC"],"itemData":{"id":520,"type":"article-journal","abstract":"Background: Urinary Tract Infections (UTIs) in pregnancy are associated with significant morbidity for both mother and baby but its early detection and treatments can prevent unfavorable complications in pregnancy. This study therefore determined the prevalence of asymptomatic bacteriuria and antimicrobial resistance profile of the urinary bacteria among pregnant women in Yenagoa, Bayelsa State, Nigeria.Materials and Methods: Mid-stream urine samples were collected from 201 apparently healthy pregnant women attending antenatal clinics in Yenagoa. The samples were analyzed and the organisms identified using standard  microbiological methods. Haemolysin production by the organisms was screened and their antimicrobial susceptibility was performed using standard assay methods.Results: A high significant bacteriuria of 119 (59.2%) was predominantly recovered from the pregnant women in their second and third trimesters. The bacteria isolated; Klebsiella pneumoniae, Pseudomonas aeruginosa, Escherichia coli and Staphylococcus species had 36 – 67% of haemolysin producers. The bacteria exhibited a very high resistance to most of the antibiotics tested but the resistance to ceftazidime, gentamicin and ciprofloxacin was 28 – 67%. All the Staphylococcus species exhibited 90% and 85% resistance to cefoxitin (methicillin resistant) and vancomycin respectively. An 89 - 100% of the bacteria exhibited multiple antibiotic resistance and 72.3% of the screened bacteria phenotypically expressed Extended-Spectrum Beta-lactamase production.Conclusion: The high prevalence of significant bacteriuria with high multi-drug resistance among the study pregnant women call for regular education on proper personal hygiene and the need for early screening for UTIs during antenatal clinics as means of controlling the spread of antibiotic resistant organisms and complications in pregnancy.Keywords: Carriage, Multidrug Resistance, Urobacteria, Asymptomatic, Pregnant women, Yenagoa","container-title":"African Journal of Infectious Diseases","DOI":"10.21010/ajid.v12i2.3","ISSN":"2006-0165","issue":"2","language":"en","license":"Copyright (c)","note":"number: 2","page":"14-20","source":"www.ajol.info","title":"Carriage of multi-drug resistant urobacteria by asymptomatic pregnant women in Yenagoa, Bayelsa State, Nigeria","volume":"12","author":[{"family":"Onanuga","given":"Adebola"},{"family":"Omeje","given":"Maureen Chinelo"},{"family":"Eboh","given":"Darlington Deboh"}],"issued":{"date-parts":[["2018",8,6]]}}}],"schema":"https://github.com/citation-style-language/schema/raw/master/csl-citation.json"} </w:instrText>
      </w:r>
      <w:r>
        <w:rPr>
          <w:rFonts w:ascii="Arial" w:hAnsi="Arial" w:cs="Arial"/>
          <w:lang w:val="en-GB"/>
        </w:rPr>
        <w:fldChar w:fldCharType="separate"/>
      </w:r>
      <w:r w:rsidR="00B10927" w:rsidRPr="00B10927">
        <w:rPr>
          <w:rFonts w:ascii="Arial" w:hAnsi="Arial" w:cs="Arial"/>
        </w:rPr>
        <w:t>(Onanuga et al., 2018)</w:t>
      </w:r>
      <w:r>
        <w:rPr>
          <w:rFonts w:ascii="Arial" w:hAnsi="Arial" w:cs="Arial"/>
          <w:lang w:val="en-GB"/>
        </w:rPr>
        <w:fldChar w:fldCharType="end"/>
      </w:r>
      <w:r w:rsidRPr="00BB4305">
        <w:rPr>
          <w:rFonts w:ascii="Arial" w:hAnsi="Arial" w:cs="Arial"/>
          <w:lang w:val="en-GB"/>
        </w:rPr>
        <w:t xml:space="preserve">. Molecular studies on strains isolated from both pregnant women and newborns would be necessary to confirm this transmission. A study conducted in Florida reported that prolonged rupture of membranes and maternal antibiotic use during pregnancy and delivery are linked to alterations in the infants' </w:t>
      </w:r>
      <w:proofErr w:type="spellStart"/>
      <w:r w:rsidRPr="00BB4305">
        <w:rPr>
          <w:rFonts w:ascii="Arial" w:hAnsi="Arial" w:cs="Arial"/>
          <w:lang w:val="en-GB"/>
        </w:rPr>
        <w:t>resistome</w:t>
      </w:r>
      <w:proofErr w:type="spellEnd"/>
      <w:r w:rsidRPr="00BB4305">
        <w:rPr>
          <w:rFonts w:ascii="Arial" w:hAnsi="Arial" w:cs="Arial"/>
          <w:lang w:val="en-GB"/>
        </w:rPr>
        <w:t xml:space="preserve"> and microbiome, thereby shaping the antibiotic resistance gene profiles in the neonatal gut </w:t>
      </w:r>
      <w:r>
        <w:rPr>
          <w:rFonts w:ascii="Arial" w:hAnsi="Arial" w:cs="Arial"/>
          <w:lang w:val="en-GB"/>
        </w:rPr>
        <w:fldChar w:fldCharType="begin"/>
      </w:r>
      <w:r w:rsidR="00B10927">
        <w:rPr>
          <w:rFonts w:ascii="Arial" w:hAnsi="Arial" w:cs="Arial"/>
          <w:lang w:val="en-GB"/>
        </w:rPr>
        <w:instrText xml:space="preserve"> ADDIN ZOTERO_ITEM CSL_CITATION {"citationID":"RJBwUUCN","properties":{"formattedCitation":"(Langhendries, 2008; Ojeda et al., 2024)","plainCitation":"(Langhendries, 2008; Ojeda et al., 2024)","noteIndex":0},"citationItems":[{"id":196,"uris":["http://zotero.org/users/local/FaVS37Do/items/XLY6P96Z"],"itemData":{"id":196,"type":"article-journal","abstract":"Résumé\nLa flore vaginale durant la grossesse est un écosystème particulièrement vulnérable. Le maintien de son intégrité est cependant le meilleur moyen de diminuer les infections urogénitales chez la future mère. La vaginose bactérienne et l’infection urinaire constituent l’essentiel de ces problèmes infectieux. La première ne peut être dissociée de la seconde tant l’une peut souvent influencer le développement de l’autre. Ces infections urogénitales peuvent favoriser les chorioamnionites, avec ou sans rupture prématurée des membranes. Elles constituent donc un sérieux problème de santé publique par l’importance de la morbidité générée chez la mère, qui s’accompagne d’un risque augmenté d’accouchement prématuré. Si l’antibiothérapie, souvent administrée systématiquement dans ces situations cliniques, permet parfois d’enrayer le déclenchement prématuré du travail, elle favorise un déséquilibre de la flore maternelle avec, en conséquence, une perturbation de la flore colonisatrice du nouveau-né. Ce déséquilibre de la flore maternelle peut, en outre, être à l’origine d’une augmentation significative de la morbidité néonatale infectieuse chez les prématurés hospitalisés avec l’émergence de germes de plus en plus résistants. La modification de cette flore colonisatrice du nouveau-né, tant sur le plan quantitatif que qualitatif, pourrait être à l’origine d’une liaison suboptimale entre les entérocytes et les bactéries. Cette interface précoce entre l’hôte en bas âge et sa flore est pourtant un déterminant essentiel de l’induction immunitaire ultérieure et permet d’optimiser les mécanismes immunitaires complexes qui régissent l’acquisition de la tolérance à l’antigène alimentaire. Il convient donc d’avoir dès maintenant une réflexion globale importante sur l’optimisation de l’antibiothérapie durant cette période.\nSummary\nThe vaginal bacterial ecosystem is at higher risk for disturbances during pregnancy. And yet, its maintenance at an adequate level is probably the best way to decrease the risk of getting urogenital infections in the mother. Bacterial vaginosis and urinary infections are the most common ones and cannot be dissociated from each other as pregnant women with vaginal bacteriosis are at increasing risk for urinary tract infections. These urogenital infections can favour chorioamnionitis with or without a rupture of membranes. The biochemical factors accompanying both infections are contributors of initiating the inflammatory cascade and by the end a preterm labour. Antibiotics can in part prevent or resolve these infections and are therefore very often used in clinical practice. However, these drugs will also further accentuate the vaginal dysbacteriosis favouring the colonisation of the vaginal tract of the mother and the intestine of the neonate with multiresistant microorganisms, realizing in such a way a real vicious circle. Birth is the only time in our life when the gastrointestinal tract, while sterile, is colonised by bacteria originating from the maternal flora as well as by that of the close direct birth environment. There is now evidence that the invasive microbial environment, first encountered during the birth process, is opportunistically used by the host to initiate its own defence mechanisms but also all immune mechanisms allowing oral tolerance to diet antigen. In fact, these mechanisms are still immature at that stage. Recent epidemiological data support the hypothesis that some increasing immune deviances observed in the last decades could have been originated from a modification of the bacterial environment in young populations. Our modern approach to perinatal care may, to some extent, have modified inadequately the overall quality of this bacterial–host interface. Keeping all above data in mind but without any denigration of each evidence-based data already got, which have been associated with an improvement of our perinatal care, it is nevertheless urgent to focus now on this maternal and neonatal bacterial environment at birth, which could have been secondarily modified. It is with the aim of finding the best way to ameliorate, in the future, the bacterial colonisation of the newborn. It is indeed of concern in terms of public health owing all these putative associated short and long terms morbidities in the mother and her baby related to the disturbances of the bacterial environment at birth.","container-title":"Journal de Pédiatrie et de Puériculture","DOI":"10.1016/j.jpp.2008.09.006","ISSN":"0987-7983","issue":"8","journalAbbreviation":"Journal de Pédiatrie et de Puériculture","page":"339-343","source":"ScienceDirect","title":"Microflore de la mère et du nouveau-né : quelques aspects périnataux","title-short":"Microflore de la mère et du nouveau-né","volume":"21","author":[{"family":"Langhendries","given":"J. -P."}],"issued":{"date-parts":[["2008",12,1]]}}},{"id":502,"uris":["http://zotero.org/users/local/FaVS37Do/items/KPSR92A7"],"itemData":{"id":502,"type":"article-journal","abstract":"ABSTRACT\n            \n              \n              \n                The standard use of antibiotics in newborns to empirically treat early-onset sepsis can adversely affect the neonatal gut microbiome, with potential long-term health impacts. Research into the escalating issue of antimicrobial resistance in preterm infants and antibiotic practices in neonatal intensive care units is limited. A deeper understanding of the effects of early antibiotic intervention on antibiotic resistance in preterm infants is crucial. This retrospective study employed metagenomic sequencing to evaluate antibiotic resistance genes (ARGs) in the meconium and subsequent stool samples of preterm infants enrolled in the Routine Early Antibiotic Use in Symptomatic Preterm Neonates study. Microbial metagenomics was conducted using a subset of fecal samples from 30 preterm infants for taxonomic profiling and ARG identification. All preterm infants exhibited ARGs, with 175 unique ARGs identified, predominantly associated with beta-lactam, tetracycline, and aminoglycoside resistance. Notably, 23% of ARGs was found in preterm infants without direct or intrapartum antibiotic exposure. Post-natal antibiotic exposure increases beta-lactam/tetracycline resistance while altering mechanisms that aid bacteria in withstanding antibiotic pressure. Microbial profiling revealed 774 bacterial species, with antibiotic-naive infants showing higher alpha diversity (\n                P\n                = 0.005) in their microbiota and resistome compared with treated infants, suggesting a more complex ecosystem. High ARG prevalence in preterm infants was observed irrespective of direct antibiotic exposure and intensifies with age. Prolonged membrane ruptures and maternal antibiotic use during gestation and delivery are linked to alterations in the preterm infant resistome and microbiome, which are pivotal in shaping the ARG profiles in the neonatal gut.\n              \n              \n                This study is registered with\n                ClinicalTrials.gov\n                as\n                \n                  NCT02784821\n                \n                .\n              \n            \n            \n              IMPORTANCE\n              A high burden of antibiotic resistance in preterm infants poses significant challenges to neonatal health. The presence of antibiotic resistance genes, along with alterations in signaling, energy production, and metabolic mechanisms, complicates treatment strategies for preterm infants, heightening the risk of ineffective therapy and exacerbating outcomes for these vulnerable neonates. Despite not receiving direct antibiotic treatment, preterm infants exhibit a concerning prevalence of antibiotic-resistant bacteria. This underscores the complex interplay of broader influences, including maternal antibiotic exposure during and beyond pregnancy and gestational complications like prolonged membrane ruptures. Urgent action, including cautious antibiotic practices and enhanced antenatal care, is imperative to protect neonatal health and counter the escalating threat of antimicrobial resistance in this vulnerable population.\n            \n          , \n            A high burden of antibiotic resistance in preterm infants poses significant challenges to neonatal health. The presence of antibiotic resistance genes, along with alterations in signaling, energy production, and metabolic mechanisms, complicates treatment strategies for preterm infants, heightening the risk of ineffective therapy and exacerbating outcomes for these vulnerable neonates. Despite not receiving direct antibiotic treatment, preterm infants exhibit a concerning prevalence of antibiotic-resistant bacteria. This underscores the complex interplay of broader influences, including maternal antibiotic exposure during and beyond pregnancy and gestational complications like prolonged membrane ruptures. Urgent action, including cautious antibiotic practices and enhanced antenatal care, is imperative to protect neonatal health and counter the escalating threat of antimicrobial resistance in this vulnerable population.","container-title":"mSphere","DOI":"10.1128/msphere.00286-24","ISSN":"2379-5042","issue":"10","journalAbbreviation":"mSphere","language":"en","page":"e00286-24","source":"DOI.org (Crossref)","title":"Increased antibiotic resistance in preterm neonates under early antibiotic use","volume":"9","author":[{"family":"Ojeda","given":"Amanda"},{"family":"Akinsuyi","given":"Oluwamayowa"},{"family":"McKinley","given":"Kelley Lobean"},{"family":"Xhumari","given":"Jessica"},{"family":"Triplett","given":"Eric W."},{"family":"Neu","given":"Josef"},{"family":"Roesch","given":"Luiz F. W."}],"editor":[{"family":"Fouda","given":"Genevieve G."}],"issued":{"date-parts":[["2024",10,29]]}}}],"schema":"https://github.com/citation-style-language/schema/raw/master/csl-citation.json"} </w:instrText>
      </w:r>
      <w:r>
        <w:rPr>
          <w:rFonts w:ascii="Arial" w:hAnsi="Arial" w:cs="Arial"/>
          <w:lang w:val="en-GB"/>
        </w:rPr>
        <w:fldChar w:fldCharType="separate"/>
      </w:r>
      <w:r w:rsidR="00B10927" w:rsidRPr="00B10927">
        <w:rPr>
          <w:rFonts w:ascii="Arial" w:hAnsi="Arial" w:cs="Arial"/>
        </w:rPr>
        <w:t>(Langhendries, 2008; Ojeda et al., 2024)</w:t>
      </w:r>
      <w:r>
        <w:rPr>
          <w:rFonts w:ascii="Arial" w:hAnsi="Arial" w:cs="Arial"/>
          <w:lang w:val="en-GB"/>
        </w:rPr>
        <w:fldChar w:fldCharType="end"/>
      </w:r>
      <w:r w:rsidRPr="00BB4305">
        <w:rPr>
          <w:rFonts w:ascii="Arial" w:hAnsi="Arial" w:cs="Arial"/>
          <w:lang w:val="en-GB"/>
        </w:rPr>
        <w:t>.</w:t>
      </w:r>
    </w:p>
    <w:p w14:paraId="2C5BD303" w14:textId="5C85AD17" w:rsidR="00345A30" w:rsidRPr="00BB4305" w:rsidRDefault="00345A30" w:rsidP="00345A30">
      <w:pPr>
        <w:jc w:val="both"/>
        <w:rPr>
          <w:rFonts w:ascii="Arial" w:hAnsi="Arial" w:cs="Arial"/>
          <w:lang w:val="en-GB"/>
        </w:rPr>
      </w:pPr>
      <w:r w:rsidRPr="00BB4305">
        <w:rPr>
          <w:rFonts w:ascii="Arial" w:hAnsi="Arial" w:cs="Arial"/>
          <w:lang w:val="en-GB"/>
        </w:rPr>
        <w:t xml:space="preserve">In our study, the most frequently isolated strains were Escherichia coli, accounting for 61.2% of ESBL-producing isolates at admission and 63.0% at discharge, as well as 44.1% and 55.6% of carbapenem-resistant isolates at admission and discharge, respectively. These findings are consistent with numerous studies conducted in Togo, across Africa, and globally. Tfifha et al. and Grohs et al. reported prevalences of Escherichia coli of 50% and 54.7%, respectively </w:t>
      </w:r>
      <w:r>
        <w:rPr>
          <w:rFonts w:ascii="Arial" w:hAnsi="Arial" w:cs="Arial"/>
          <w:lang w:val="en-GB"/>
        </w:rPr>
        <w:fldChar w:fldCharType="begin"/>
      </w:r>
      <w:r w:rsidR="00B10927">
        <w:rPr>
          <w:rFonts w:ascii="Arial" w:hAnsi="Arial" w:cs="Arial"/>
          <w:lang w:val="en-GB"/>
        </w:rPr>
        <w:instrText xml:space="preserve"> ADDIN ZOTERO_ITEM CSL_CITATION {"citationID":"oYsHQnO4","properties":{"formattedCitation":"(Atoun et al., 2025; Grohs et al., 2022; Kovacs et al., 2022; Kuissi Kamgaing et al., 2017; Lack et al., 2022; Tfifha et al., 2018)","plainCitation":"(Atoun et al., 2025; Grohs et al., 2022; Kovacs et al., 2022; Kuissi Kamgaing et al., 2017; Lack et al., 2022; Tfifha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id":533,"uris":["http://zotero.org/users/local/FaVS37Do/items/YYJIV5GE"],"itemData":{"id":533,"type":"article-journal","abstract":"The pandemic spread of multidrug-resistant (MDR) bacteria (i.e., methicillin-resistant Staphylococcus aureus (MRSA), extended-spectrum b-lactamase-producing Enterobacteriaceae (ESBLPE), vancomycin-resistant enterococci, carbapenemase-producing Enterobacteriaceae (CPE), multiresistant Pseudomonas aeruginosa and multiresistant Acinetobacter baumannii) pose a threat to healthcare Worldwide. We found limited data of MDR bacteria in pediatric patients hospitalized in Tunisian tertiary healthcare.The aim of the study is to evaluate the acquisition rate of MDR acquisition during hospitalization and to explore some of the associated risk factors for both carriage and acquisition at the pediatric department, Sahloul University Hospital. During September and October 2016, newly admitted patients were screened, at admission, during care and at discharge. Risk factors for colonization were explored by multivariate analysis. Of 112 newly admitted patients, 8.92% were colonized with at least one MDR. No risk factor was identified at admission. During hospitalization, five newly acquisition MDR (4.9%) were detected and eight (7.84%) at discharge. The specie most frequently detected on admission was Escherichia coli (50%), whereas, on discharge, Escherichia coli and K. pneumoniae were the species most frequently detected (52.7%). The pediatric intensive care unit (PICU) hospitalization, the length of hospital stay (more than 3days) and age under 2 years were identified as risk factor for acquisition of MDR during hospitalization. We identified several independent risk factors for contracting MDR bacteria during hospitalization in a tertiary pediatric department. The incidence of symptomatic MDR Infection among those colonized should be under close surveillance and long-term screening for those children is required. An institutional screening program for MDR especially in PICU might be discussed in regards to cost effectiveness.Keywords: Children; colonization; multidrug resistance; hospitalization","container-title":"Libyan Journal of Medicine","DOI":"10.1080/19932820.2017.1419047","ISSN":"1819-6357","issue":"1","language":"en","license":"Copyright (c)","note":"number: 1","source":"www.ajol.info","title":"Carriage of multidrug-resistant bacteria among pediatric patients before and during their hospitalization in a tertiary pediatric unit in Tunisia","URL":"https://www.ajol.info/index.php/ljm/article/view/165481","volume":"13","author":[{"family":"Tfifha","given":"Miniar"},{"family":"Ferjani","given":"Asma"},{"family":"Mallouli","given":"Manel"},{"family":"Mlika","given":"Nesrine"},{"family":"Abroug","given":"Saoussen"},{"family":"Boukadida","given":"Jalel"}],"accessed":{"date-parts":[["2025",6,19]]},"issued":{"date-parts":[["2018",1,23]]}}},{"id":191,"uris":["http://zotero.org/users/local/FaVS37Do/items/QAK5FSD6"],"itemData":{"id":191,"type":"article-journal","abstract":"Résumé\nIntroduction\nL’objectif est de rechercher la présence de germes nosocomiaux multirésistants dans la flore digestive des nouveau-nés hospitalisés.\nMéthodologie\nÉtude prospective, incluant 51 nouveau-nés ayant une coproculture de la première selle et des selles à j15 de vie positive à un germe nosocomial multirésistant. La colonie suspecte devait avoir une concentration&gt;1010 bactéries/gramme de selles.\nRésultats\nL’âge moyen était de 35,5±4,3 SA. La prématurité était observée dans 39,21 % de cas. Le poids moyen était de 2346,17±1022,5g. La rupture prématurée des membranes était présente dans 45,09 % des cas. Une antibiothérapie était administrée à l’admission dans 76,90 % des cas. La première alimentation était faite avec un substitut de lait maternel dans 76,50 % des cas. L’analyse des premières selles montrait la présence de bactéries multirésistantes et de Candida albicans respectivement dans 7,84 % et 11,76 % des cas. À j15 de vie, 70,59 % avaient un portage digestif de germes multirésistants. C. albicans était le plus fréquent (25 %), suivi d’Escherichia coli (22,22 %) dont 3 producteurs de bêtalactamase à spectre élargi. Une translocation digestive était observée dans 30,56 % de cas. Le décès survenait chez trois nouveau-nés, dû à E. coli K1 BLSE dans un cas et dans deux cas, à C. albicans. La prématurité (p&lt;0,001) et l’alimentation artificielle (p&lt;0,001) représentaient les principaux facteurs d’apparition des germes nosocomiaux dans les selles.\nConclusions\nLa maîtrise des facteurs de risque d’infection nosocomiale pour une prise en charge préventive est primordiale.\nSummary\nIntroduction\nThe aim of this study was to investigate the multiresistant nosocomial germs in hospitalized newborns digestive flora.\nMethodology\nWe conducted a prospective study, including 51 infants with the first 1 saddle and the j15 of life stool positives for multi-resistant nosocomial germs. To be considered, the stool bacterial load had to be above 1010 bacteria/gram.\nResults\nInfants average age was 35.5±4.3 weeks. In total, 39.21% of cases were born before term. Their average weight was 2.3±1kg. Premature rupture of the membranes was present in 45.1% of cases. In total, 76.9% of cases received an antibiotic therapy. In total, 76.5% of cases were put on breast milk substitute directly after birth. The first stool analysis showed the presence of multi-resistant bacteria and Candida albicans respectively in 7.8% and 11.8% of the cases, 70.6% of infants carried multiresistant germs at j15 of life. C. albicans was the most frequent (25%), followed by Escherichia coli (22.2%). E. coli train isolated from 3 infants beta-lactamase producers. Among them, 30.6% had a digestive translocation. Death occurred in 3 infants, due to E. coli K1 beta-lactamase producers in one case and C. albicans in two cases. Prematurity (P&lt;0.001) and artificial feeding (P&lt;0.001) were the main factors influencing the digestive flora.\nConclusions\nThe mastery of nosocomial infections risk for preventive care is paramount.","container-title":"Journal de Pédiatrie et de Puériculture","DOI":"10.1016/j.jpp.2017.09.013","ISSN":"0987-7983","issue":"5","journalAbbreviation":"Journal de Pédiatrie et de Puériculture","page":"193-200","source":"ScienceDirect","title":"Colonisation digestive par des germes nosocomiaux des nouveau-nés hospitalisés au CHU d’Angondjé : aspects épidémiologiques et facteurs de risque","title-short":"Colonisation digestive par des germes nosocomiaux des nouveau-nés hospitalisés au CHU d’Angondjé","volume":"30","author":[{"family":"Kuissi Kamgaing","given":"E."},{"family":"Minto’o Rogombé","given":"S."},{"family":"Mymbila","given":"M."},{"family":"Mengue M’ella","given":"M."},{"family":"Koko","given":"J."},{"family":"Ategbo","given":"S."}],"issued":{"date-parts":[["2017",11,1]]}}},{"id":516,"uris":["http://zotero.org/users/local/FaVS37Do/items/PDS2UEBR"],"itemData":{"id":516,"type":"article-journal","abstract":"AbstractObjectives. Since 2003, incidences of carbapenemase-producing Gram-negative bacilli (CP-GNB) and vancomycin-resistant Enterococcus faecium (VRE) ha","container-title":"Journal of Antimicrobial Chemotherapy","DOI":"10.1093/jac/dkac289","ISSN":"0305-7453","issue":"10","journalAbbreviation":"J Antimicrob Chemother","language":"en","note":"publisher: Oxford Academic","page":"2667-2678","source":"academic.oup.com","title":"Faecal carriage of multidrug-resistant bacteria and associated risk factors: results from a point prevalence study","title-short":"Faecal carriage of multidrug-resistant bacteria and associated risk factors","volume":"77","author":[{"family":"Grohs","given":"Patrick"},{"family":"Vilfaillot","given":"Aurélie"},{"family":"Zahar","given":"Jean Ralph"},{"family":"Barbut","given":"Frédéric"},{"family":"Frange","given":"Pierre"},{"family":"Casetta","given":"Anne"},{"family":"Moulin","given":"Véronique"},{"family":"Lawrence","given":"Christine"},{"family":"Baune","given":"Patricia"},{"family":"Bourgeois","given":"Cléo"},{"family":"Bouffier","given":"Axel"},{"family":"Laussucq","given":"Claudine"},{"family":"Sienzonit","given":"Lydia"},{"family":"Picard","given":"Simon"},{"family":"Podglajen","given":"Isabelle"},{"family":"Kassis-Chikhani","given":"Najiby"}],"issued":{"date-parts":[["2022",9,30]]}}},{"id":535,"uris":["http://zotero.org/users/local/FaVS37Do/items/24F7X3Y6"],"itemData":{"id":535,"type":"article-journal","abstract":"Neonatal bloodstream infections (BSI) can lead to sepsis, with high morbidity and mortality, particularly in low-income settings. The high prevalence of third-generation cephalosporin-resistant organisms (3GC-RO) complicates the management of BSI. Whether BSI is linked to carriage of 3GC-RO, or to acquisition from the hospital environment is important for infection prevention and control, but the relationship remains unclear, especially in low-income settings. At a tertiary hospital in Mwanza, Tanzania, we screened neonatal blood and rectal samples from 200 neonates, and 400 (hospital) environmental samples. We used logistic regression to identify risk factors, and Kolmogorov–Smirnov tests and randomisation analyses to compare distributions of species and resistance patterns to assess potential routes of transmission. We found that BSIs caused by 3GC-RO were frequent (of 59 cases of BSI, 55 were caused by 3GC-RO), as was carriage of 3GC-RO, particularly Escherichia coli, Klebsiella pneumoniae, and Acinetobacter species. In the 28 infants with both a carriage and blood isolate, there were more (4 of 28) isolate pairs of the same species and susceptibility profile than expected by chance (p &lt; 0.05), but most pairs were discordant (24 of 28). Logistic regression models found no association between BSI and carriage with either 3GC-RO or only 3GC-R K. pneumoniae. These analyses suggest that</w:instrText>
      </w:r>
      <w:r w:rsidR="00B10927" w:rsidRPr="00B10927">
        <w:rPr>
          <w:rFonts w:ascii="Arial" w:hAnsi="Arial" w:cs="Arial"/>
          <w:lang w:val="fr-FR"/>
        </w:rPr>
        <w:instrText xml:space="preserve"> carriage of 3GC-RO is not a major driver of BSI caused by 3GC-RO in this setting. Comparison with environmental isolates showed very similar distributions of species and resistance patterns in the carriage, BSI, and the environment. These similar distributions, a high frequency of Acinetobacter spp. isolations, the lack of strong association between carriage and BSI, together with the high proportion of 3GC-RO in BSI all suggest that these neonates acquire multidrug-resistant carriage and blood isolates directly from the hospital environment.","container-title":"Scientific Reports","DOI":"10.1038/s41598-022-11626-6","ISSN":"2045-2322","issue":"1","journalAbbreviation":"Sci Rep","language":"en","license":"2022 The Author(s)","note":"publisher: Nature Publishing Group","page":"8347","source":"www.nature.com","title":"The hospital environment versus carriage: transmission pathways for third-generation cephalosporin-resistant bacteria in blood in neonates in a low-resource country healthcare setting","title-short":"The hospital environment versus carriage","volume":"12","author":[{"family":"Kovacs","given":"Dory"},{"family":"Silago","given":"Vitus"},{"family":"Msanga","given":"Delfina R."},{"family":"Mshana","given":"Stephen E."},{"family":"Seni","given":"Jeremiah"},{"family":"Oravcova","given":"Katarina"},{"family":"Matthews","given":"Louise"}],"issued":{"date-parts":[["2022",5,19]]}}}],"schema":"https://github.com/citation-style-language/schema/raw/master/csl-citation.json"} </w:instrText>
      </w:r>
      <w:r>
        <w:rPr>
          <w:rFonts w:ascii="Arial" w:hAnsi="Arial" w:cs="Arial"/>
          <w:lang w:val="en-GB"/>
        </w:rPr>
        <w:fldChar w:fldCharType="separate"/>
      </w:r>
      <w:r w:rsidR="00B10927" w:rsidRPr="00B10927">
        <w:rPr>
          <w:rFonts w:ascii="Arial" w:hAnsi="Arial" w:cs="Arial"/>
          <w:lang w:val="fr-FR"/>
        </w:rPr>
        <w:t>(Atoun et al., 2025; Grohs et al., 2022; Kovacs et al., 2022; Kuissi Kamgaing et al., 2017; Lack et al., 2022; Tfifha et al., 2018)</w:t>
      </w:r>
      <w:r>
        <w:rPr>
          <w:rFonts w:ascii="Arial" w:hAnsi="Arial" w:cs="Arial"/>
          <w:lang w:val="en-GB"/>
        </w:rPr>
        <w:fldChar w:fldCharType="end"/>
      </w:r>
      <w:r w:rsidRPr="00B10927">
        <w:rPr>
          <w:rFonts w:ascii="Arial" w:hAnsi="Arial" w:cs="Arial"/>
          <w:lang w:val="fr-FR"/>
        </w:rPr>
        <w:t xml:space="preserve">. </w:t>
      </w:r>
      <w:r w:rsidRPr="00BB4305">
        <w:rPr>
          <w:rFonts w:ascii="Arial" w:hAnsi="Arial" w:cs="Arial"/>
          <w:lang w:val="en-GB"/>
        </w:rPr>
        <w:t xml:space="preserve">Indeed, Escherichia coli strains represent an Enterobacteriaceae species that exhibits multiple resistances and is very isolated in human pathology. Labi et al. reported a 41.7% prevalence of Klebsiella pneumoniae, followed by Escherichia coli in only 26.4% of cases </w:t>
      </w:r>
      <w:r>
        <w:rPr>
          <w:rFonts w:ascii="Arial" w:hAnsi="Arial" w:cs="Arial"/>
          <w:lang w:val="en-GB"/>
        </w:rPr>
        <w:fldChar w:fldCharType="begin"/>
      </w:r>
      <w:r w:rsidR="00B10927">
        <w:rPr>
          <w:rFonts w:ascii="Arial" w:hAnsi="Arial" w:cs="Arial"/>
          <w:lang w:val="en-GB"/>
        </w:rPr>
        <w:instrText xml:space="preserve"> ADDIN ZOTERO_ITEM CSL_CITATION {"citationID":"sFvC2KgS","properties":{"formattedCitation":"(Arhoune et al., 2017; Labi et al., 2020)","plainCitation":"(Arhoune et al., 2017; 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L"}],"issued":{"date-parts":[["2020",4,1]]}}},{"id":672,"uris":["http://zotero.org/users/local/FaVS37Do/items/JXAPVK5M"],"itemData":{"id":672,"type":"article-journal","abstract":"Objectives\nThe aim of this study was to investigate the faecal carriage and molecular epidemiology of extended-spectrum β-lactamase (ESBL)-producing Enterobacteriaceae (ESBLE) isolated from rectal samples of neonates hospitalised in a neonatal intensive care unit (NICU) of a university hospital in Fez, Morocco.\nMethods\nFrom February–July 2013, all neonates hospitalised in the NICU were screened for ESBLE carriage at discharge. ESBLs were identified by double-disk synergy test, PCR and DNA sequencing analysis. ESBLE were analysed by pulsed-field gel electrophoresis (PFGE), and conjugation was performed by the broth mating method.\nResults\nIn this study, 169 Enterobacteriaceae were collected from 164 neonates. The prevalence of faecal carriage of ESBLE was 58.0% (98/169), predominantly Klebsiella pneumoniae (65/98; 66.3%). A high rate of multiresistance in ESBLE was noted. blaCTX-M-1 group (78.5%) was the most frequent ESBL gene detected, and all isolates harboured the CTX-M-15 variant. The prevalence of carbapenemase-producing Enterobacteriaceae was 1.8%, and blaOXA-48 was the only gene found in these isolates. Sequencing revealed subgroups corresponding to bla(CTX-M-15,TEM-1,TEM-104,SHV-1,SHV-44,SHV-49andSHV-133) genes. Conjugation experiments showed the transferability of blaCTX-M-15 and blaTEM, but not blaSHV. These genes were carried by a high-molecular-weight conjugative plasmid (ca. 125kb). PFGE profiles demonstrated high clonal dissemination of ESBL-positive strains in the NICU.\nConclusions\nThese results demonstrate the existence of high clonal transmission of ESBLE in a Moroccan NICU. This finding provides useful information to implement a screening policy for resistant Enterobacteriaceae among neonates hospitalised in this ward.","container-title":"Journal of Global Antimicrobial Resistance","DOI":"10.1016/j.jgar.2016.11.004","ISSN":"2213-7165","journalAbbreviation":"Journal of Global Antimicrobial Resistance","page":"90-96","source":"ScienceDirect","title":"Rectal carriage of extended-spectrum β-lactamase- and carbapenemase-producing Enterobacteriaceae among hospitalised neonates in a neonatal intensive care unit in Fez, Morocco","volume":"8","author":[{"family":"Arhoune","given":"Btissam"},{"family":"Oumokhtar","given":"Bouchra"},{"family":"Hmami","given":"Fouzia"},{"family":"Barguigua","given":"Abouddihaj"},{"family":"Timinouni","given":"Mohammed"},{"family":"Fakir","given":"Samira","non-dropping-particle":"el"},{"family":"Chami","given":"Fouzia"},{"family":"Bouharrou","given":"Abdelhak"}],"issued":{"date-parts":[["2017",3,1]]}}}],"schema":"https://github.com/citation-style-language/schema/raw/master/csl-citation.json"} </w:instrText>
      </w:r>
      <w:r>
        <w:rPr>
          <w:rFonts w:ascii="Arial" w:hAnsi="Arial" w:cs="Arial"/>
          <w:lang w:val="en-GB"/>
        </w:rPr>
        <w:fldChar w:fldCharType="separate"/>
      </w:r>
      <w:r w:rsidR="00B10927" w:rsidRPr="00B10927">
        <w:rPr>
          <w:rFonts w:ascii="Arial" w:hAnsi="Arial" w:cs="Arial"/>
        </w:rPr>
        <w:t>(Arhoune et al., 2017; Labi et al., 2020)</w:t>
      </w:r>
      <w:r>
        <w:rPr>
          <w:rFonts w:ascii="Arial" w:hAnsi="Arial" w:cs="Arial"/>
          <w:lang w:val="en-GB"/>
        </w:rPr>
        <w:fldChar w:fldCharType="end"/>
      </w:r>
      <w:r w:rsidRPr="00BB4305">
        <w:rPr>
          <w:rFonts w:ascii="Arial" w:hAnsi="Arial" w:cs="Arial"/>
          <w:lang w:val="en-GB"/>
        </w:rPr>
        <w:t>.</w:t>
      </w:r>
    </w:p>
    <w:p w14:paraId="76C1D33A" w14:textId="54690553" w:rsidR="00345A30" w:rsidRPr="00BB4305" w:rsidRDefault="00345A30" w:rsidP="00345A30">
      <w:pPr>
        <w:jc w:val="both"/>
        <w:rPr>
          <w:rFonts w:ascii="Arial" w:hAnsi="Arial" w:cs="Arial"/>
          <w:lang w:val="en-GB"/>
        </w:rPr>
      </w:pPr>
      <w:r w:rsidRPr="00BB4305">
        <w:rPr>
          <w:rFonts w:ascii="Arial" w:hAnsi="Arial" w:cs="Arial"/>
          <w:lang w:val="en-GB"/>
        </w:rPr>
        <w:t>The majority of isolated ESBL strains showed high resistance rates to third- and fourth-generation cephalosporins, with carbapenem resistance ranging from 12.7% to 57.9%. CRE isolates were resistant to ertapenem in 80–100% of cases at admission and 66.7–100% at discharge. These strains showed meropenem resistance ranging from 26.6% at admission to 100% at discharge, while imipenem resistance ranged from 31.3–100% at admission and 32.5–100% at discharge. A resistance to gentamicin was also observed in more than 50% of the isolated strains. These resistance levels significantly compromise p</w:t>
      </w:r>
      <w:r>
        <w:rPr>
          <w:rFonts w:ascii="Arial" w:hAnsi="Arial" w:cs="Arial"/>
          <w:lang w:val="en-GB"/>
        </w:rPr>
        <w:t>a</w:t>
      </w:r>
      <w:r w:rsidRPr="00BB4305">
        <w:rPr>
          <w:rFonts w:ascii="Arial" w:hAnsi="Arial" w:cs="Arial"/>
          <w:lang w:val="en-GB"/>
        </w:rPr>
        <w:t>ediatric care, given that the standard treatment protocol both within the department and nationwide typically involves a combination of third-generation</w:t>
      </w:r>
      <w:r>
        <w:rPr>
          <w:rFonts w:ascii="Arial" w:hAnsi="Arial" w:cs="Arial"/>
          <w:lang w:val="en-GB"/>
        </w:rPr>
        <w:t xml:space="preserve"> </w:t>
      </w:r>
      <w:r w:rsidRPr="00BB4305">
        <w:rPr>
          <w:rFonts w:ascii="Arial" w:hAnsi="Arial" w:cs="Arial"/>
          <w:lang w:val="en-GB"/>
        </w:rPr>
        <w:t xml:space="preserve">cephalosporins (3GC) and gentamicin. The use of this protocol would promote the selection of ESBL-producing strains and their spread within hospitals and the community. In their review, Ruef et al. report a resistance rate exceeding 50% to third-generation cephalosporins (3GC), alongside high resistance to gentamicin [10]. This should lead to a review of empirical antibiotic therapy protocols within our hospitals. In the United States, Islam et al. reported a proportion of isolates resistant to 3GC, in  58% of overall cases, but this varied significantly across study sites ranging from 33% to 100%. Only 4% of their isolates showed intermediate sensitivity to meropenem, which seems low compared to the carbapenem resistance profiles reported in this study </w:t>
      </w:r>
      <w:r w:rsidR="00E611A3">
        <w:rPr>
          <w:rFonts w:ascii="Arial" w:hAnsi="Arial" w:cs="Arial"/>
          <w:lang w:val="en-GB"/>
        </w:rPr>
        <w:fldChar w:fldCharType="begin"/>
      </w:r>
      <w:r w:rsidR="00E611A3">
        <w:rPr>
          <w:rFonts w:ascii="Arial" w:hAnsi="Arial" w:cs="Arial"/>
          <w:lang w:val="en-GB"/>
        </w:rPr>
        <w:instrText xml:space="preserve"> ADDIN ZOTERO_ITEM CSL_CITATION {"citationID":"R9ZCY86g","properties":{"formattedCitation":"(Islam et al., 2018)","plainCitation":"(Islam et al., 2018)","noteIndex":0},"citationItems":[{"id":665,"uris":["http://zotero.org/users/local/FaVS37Do/items/APZPE2BC"],"itemData":{"id":665,"type":"article-journal","container-title":"Journal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G"}],"issued":{"date-parts":[["2018",8,17]]}}}],"schema":"https://github.com/citation-style-language/schema/raw/master/csl-citation.json"} </w:instrText>
      </w:r>
      <w:r w:rsidR="00E611A3">
        <w:rPr>
          <w:rFonts w:ascii="Arial" w:hAnsi="Arial" w:cs="Arial"/>
          <w:lang w:val="en-GB"/>
        </w:rPr>
        <w:fldChar w:fldCharType="separate"/>
      </w:r>
      <w:r w:rsidR="00E611A3" w:rsidRPr="00E611A3">
        <w:rPr>
          <w:rFonts w:ascii="Arial" w:hAnsi="Arial" w:cs="Arial"/>
        </w:rPr>
        <w:t>(Islam et al., 2018)</w:t>
      </w:r>
      <w:r w:rsidR="00E611A3">
        <w:rPr>
          <w:rFonts w:ascii="Arial" w:hAnsi="Arial" w:cs="Arial"/>
          <w:lang w:val="en-GB"/>
        </w:rPr>
        <w:fldChar w:fldCharType="end"/>
      </w:r>
      <w:r w:rsidRPr="00BB4305">
        <w:rPr>
          <w:rFonts w:ascii="Arial" w:hAnsi="Arial" w:cs="Arial"/>
          <w:lang w:val="en-GB"/>
        </w:rPr>
        <w:t xml:space="preserve">. </w:t>
      </w:r>
      <w:r w:rsidR="00E611A3">
        <w:rPr>
          <w:rFonts w:ascii="Arial" w:hAnsi="Arial" w:cs="Arial"/>
          <w:lang w:val="en-GB"/>
        </w:rPr>
        <w:t>H</w:t>
      </w:r>
      <w:r w:rsidR="00E611A3" w:rsidRPr="00BB4305">
        <w:rPr>
          <w:rFonts w:ascii="Arial" w:hAnsi="Arial" w:cs="Arial"/>
          <w:lang w:val="en-GB"/>
        </w:rPr>
        <w:t xml:space="preserve">igh resistance rates to carbapenems </w:t>
      </w:r>
      <w:r w:rsidR="00E611A3">
        <w:rPr>
          <w:rFonts w:ascii="Arial" w:hAnsi="Arial" w:cs="Arial"/>
          <w:lang w:val="en-GB"/>
        </w:rPr>
        <w:t xml:space="preserve">was </w:t>
      </w:r>
      <w:r w:rsidRPr="00BB4305">
        <w:rPr>
          <w:rFonts w:ascii="Arial" w:hAnsi="Arial" w:cs="Arial"/>
          <w:lang w:val="en-GB"/>
        </w:rPr>
        <w:t>already reported in 2019, ranging from 5.5% to 25% for imipenem and 21.9% to 50% for ertapenem</w:t>
      </w:r>
      <w:r w:rsidR="00E611A3">
        <w:rPr>
          <w:rFonts w:ascii="Arial" w:hAnsi="Arial" w:cs="Arial"/>
          <w:lang w:val="en-GB"/>
        </w:rPr>
        <w:fldChar w:fldCharType="begin"/>
      </w:r>
      <w:r w:rsidR="00E611A3">
        <w:rPr>
          <w:rFonts w:ascii="Arial" w:hAnsi="Arial" w:cs="Arial"/>
          <w:lang w:val="en-GB"/>
        </w:rPr>
        <w:instrText xml:space="preserve"> ADDIN ZOTERO_ITEM CSL_CITATION {"citationID":"AvAMwFGk","properties":{"formattedCitation":"(Godonou et al., 2022)","plainCitation":"(Godonou et al., 2022)","noteIndex":0},"citationItems":[{"id":562,"uris":["http://zotero.org/users/local/FaVS37Do/items/AHYEW5QZ"],"itemData":{"id":562,"type":"article-journal","abstract":"Background: Extended-spectrum beta-lactamase producing Enterobacteriaceae (ESBL-PE) are a global health concern, associated with increased morbidity and mortality. Even in the absence of infections, colonization by these pathogens is still a great threat because of the risk of cross transfer among hospitalized patients. Faecal carriage of ESBL-PE remained poorly documented in Africa. This study aimed to determine faecal carriage rate of ESBL-PE, factors associated with carriage, and antimicrobial susceptibility of the strains among hospitalized patients at Sylvanus Olympio Teaching Hospitals (CHU SO) in Lomé, Togo.\nMethodology: This was a cross-sectional study of 105 randomly selected hospitalized patients between September and November 2019. Socio-demographic and clinical data as well as rectal swabs were collected after obtaining the consent of the selected participants. Rectal swabs were cultured on selective bromocresol purple (BCP) lactose agar containing 6µg/l ceftazidime, for isolation of Enterobacteriaceae. Identification of each isolate was performed using Uriselect 4 medium and API 20E. Antibiotic susceptibility of the bacterial isolates was performed by the Bauer-Kirby agar disc diffusion test and interpreted according to CASFM-EUCAST recommendations.\nResults: The faecal carriage rate of ESBL-PE among selected hospitalized patients was 80.9% (85/105). Escherichia coli was the most frequent bacteria 69.5% (73/105), followed by Klebsiella pneumoniae 22.8% (24/105). The antibiotic profile of ESBL producing Escherichia coli showed resistance to amoxycillin+clavulanic acid (72.6%), ticarcillin+clavulanic acid (82.2%), piperacillin+tazobactam (30.1%), cefoxitin (30.1%) ciprofloxacin (84.9%), levofloxacin (76.7%), nalidixic acid (83.6%), chloramphenicol (26.0%), gentamicin (49.3%), sulfamethoxazole-trimethoprim (86.3%), imipenem (5.5%), and ertapenem (21.9%). All (100%) isolates were sensitive to amikacin and fosfomycin. None of the characteristics or risk factors assessed was significantly associated with faecal carriage of ESBL-PE.\nConclusion: Faecal carriage rate of ESBL-PE in these hospitalized patients was very high, but no factor was associated with carriage of ESBL-PE among the study population. Implementation of infection control measures, and surveillance are needed to limit the spread of these resistant pathogens within CHU SO healthcare facilities.","container-title":"African Journal of Clinical and Experimental Microbiology","DOI":"10.4314/ajcem.v23i1.6","ISSN":"1595-689X","issue":"1","language":"en","license":"Copyright (c) 0","note":"number: 1","page":"40-48","source":"www.ajol.info","title":"High faecal carriage of extended-spectrum beta-lactamase producing Enterobacteriaceae (ESBL-PE) among hospitalized patients at Sylvanus Olympio Teaching Hospital, Lomé, Togo in 2019","volume":"23","author":[{"family":"Godonou","given":"A. M."},{"family":"Lack","given":"F."},{"family":"Gbeasor-Komlanvi","given":"F. A."},{"family":"Konlani","given":"L."},{"family":"Dossim","given":"S."},{"family":"Ameyapoh","given":"Y. A."},{"family":"Ekouevi","given":"K."},{"family":"Dagnra","given":"A. Y."},{"family":"Salou","given":"M."}],"issued":{"date-parts":[["2022",1,31]]}}}],"schema":"https://github.com/citation-style-language/schema/raw/master/csl-citation.json"} </w:instrText>
      </w:r>
      <w:r w:rsidR="00E611A3">
        <w:rPr>
          <w:rFonts w:ascii="Arial" w:hAnsi="Arial" w:cs="Arial"/>
          <w:lang w:val="en-GB"/>
        </w:rPr>
        <w:fldChar w:fldCharType="separate"/>
      </w:r>
      <w:r w:rsidR="00E611A3" w:rsidRPr="00E611A3">
        <w:rPr>
          <w:rFonts w:ascii="Arial" w:hAnsi="Arial" w:cs="Arial"/>
        </w:rPr>
        <w:t>(Godonou et al., 2022)</w:t>
      </w:r>
      <w:r w:rsidR="00E611A3">
        <w:rPr>
          <w:rFonts w:ascii="Arial" w:hAnsi="Arial" w:cs="Arial"/>
          <w:lang w:val="en-GB"/>
        </w:rPr>
        <w:fldChar w:fldCharType="end"/>
      </w:r>
      <w:r w:rsidRPr="00BB4305">
        <w:rPr>
          <w:rFonts w:ascii="Arial" w:hAnsi="Arial" w:cs="Arial"/>
          <w:lang w:val="en-GB"/>
        </w:rPr>
        <w:t xml:space="preserve">. In Togo in 2018, Nikiema et al. reported total sensitivity to carbapenems for the ESBL strains isolated in their </w:t>
      </w:r>
      <w:r w:rsidRPr="00BB4305">
        <w:rPr>
          <w:rFonts w:ascii="Arial" w:hAnsi="Arial" w:cs="Arial"/>
          <w:lang w:val="en-GB"/>
        </w:rPr>
        <w:lastRenderedPageBreak/>
        <w:t xml:space="preserve">study. This demonstrates that beta-lactam resistance is constantly evolving in our country, and reserve molecules may soon no longer be a viable option when resistance to 3GC occurs </w:t>
      </w:r>
      <w:r>
        <w:rPr>
          <w:rFonts w:ascii="Arial" w:hAnsi="Arial" w:cs="Arial"/>
          <w:lang w:val="en-GB"/>
        </w:rPr>
        <w:fldChar w:fldCharType="begin"/>
      </w:r>
      <w:r w:rsidR="00B10927">
        <w:rPr>
          <w:rFonts w:ascii="Arial" w:hAnsi="Arial" w:cs="Arial"/>
          <w:lang w:val="en-GB"/>
        </w:rPr>
        <w:instrText xml:space="preserve"> ADDIN ZOTERO_ITEM CSL_CITATION {"citationID":"3AoAiwRX","properties":{"formattedCitation":"(Nikiema Pessinaba et al., 2018)","plainCitation":"(Nikiema Pessinaba et al., 2018)","noteIndex":0},"citationItems":[{"id":704,"uris":["http://zotero.org/users/local/FaVS37Do/items/S9K7WN5K"],"itemData":{"id":704,"type":"article-journal","container-title":"Médecine et Maladies Infectieuses","DOI":"10.1016/j.medmal.2018.07.004","ISSN":"0399-077X","issue":"8","journalAbbreviation":"Médecine et Maladies Infectieuses","page":"551-554","source":"ScienceDirect","title":"Screening for extended-spectrum beta-lactamase-producing Enterobacteriaceae intestinal carriage among children aged under five in Lomé, Togo","volume":"48","author":[{"family":"Nikiema Pessinaba","given":"C."},{"family":"Landoh","given":"D. E."},{"family":"Dossim","given":"S."},{"family":"Bidjada","given":"B."},{"family":"Kere-Banla","given":"A."},{"family":"Tamekloe","given":"T. A."},{"family":"Doumbia","given":"T."},{"family":"Douti","given":"K."},{"family":"Bakonde","given":"B. V."},{"family":"Segbena","given":"A. Y."}],"issued":{"date-parts":[["2018",12,1]]}}}],"schema":"https://github.com/citation-style-language/schema/raw/master/csl-citation.json"} </w:instrText>
      </w:r>
      <w:r>
        <w:rPr>
          <w:rFonts w:ascii="Arial" w:hAnsi="Arial" w:cs="Arial"/>
          <w:lang w:val="en-GB"/>
        </w:rPr>
        <w:fldChar w:fldCharType="separate"/>
      </w:r>
      <w:r w:rsidR="00B10927" w:rsidRPr="00B10927">
        <w:rPr>
          <w:rFonts w:ascii="Arial" w:hAnsi="Arial" w:cs="Arial"/>
        </w:rPr>
        <w:t>(Nikiema Pessinaba et al., 2018)</w:t>
      </w:r>
      <w:r>
        <w:rPr>
          <w:rFonts w:ascii="Arial" w:hAnsi="Arial" w:cs="Arial"/>
          <w:lang w:val="en-GB"/>
        </w:rPr>
        <w:fldChar w:fldCharType="end"/>
      </w:r>
      <w:r w:rsidRPr="00BB4305">
        <w:rPr>
          <w:rFonts w:ascii="Arial" w:hAnsi="Arial" w:cs="Arial"/>
          <w:lang w:val="en-GB"/>
        </w:rPr>
        <w:t>.</w:t>
      </w:r>
    </w:p>
    <w:p w14:paraId="04D1422C" w14:textId="4E66557C" w:rsidR="00345A30" w:rsidRPr="00BB4305" w:rsidRDefault="00345A30" w:rsidP="00345A30">
      <w:pPr>
        <w:pStyle w:val="Paragraphedeliste"/>
        <w:ind w:left="0"/>
        <w:jc w:val="both"/>
        <w:rPr>
          <w:rFonts w:ascii="Arial" w:hAnsi="Arial" w:cs="Arial"/>
          <w:sz w:val="20"/>
          <w:szCs w:val="20"/>
          <w:lang w:val="en-GB"/>
        </w:rPr>
      </w:pPr>
      <w:r w:rsidRPr="00BB4305">
        <w:rPr>
          <w:rFonts w:ascii="Arial" w:hAnsi="Arial" w:cs="Arial"/>
          <w:sz w:val="20"/>
          <w:szCs w:val="20"/>
          <w:lang w:val="en-GB"/>
        </w:rPr>
        <w:t xml:space="preserve">Numerous studies conducted in Togo demonstrate the prevalence of digestive carriage of multi-drug resistant Enterobacteriaceae; however, this study focuses specifically on the vulnerable population of children, and particularly newborns. It also allows for the assessment of acquisition dynamics for these multi-drug resistant </w:t>
      </w:r>
      <w:r w:rsidR="007656B1">
        <w:rPr>
          <w:rFonts w:ascii="Arial" w:hAnsi="Arial" w:cs="Arial"/>
          <w:sz w:val="20"/>
          <w:szCs w:val="20"/>
          <w:lang w:val="en-GB"/>
        </w:rPr>
        <w:t>organisms</w:t>
      </w:r>
      <w:r w:rsidRPr="00BB4305">
        <w:rPr>
          <w:rFonts w:ascii="Arial" w:hAnsi="Arial" w:cs="Arial"/>
          <w:sz w:val="20"/>
          <w:szCs w:val="20"/>
          <w:lang w:val="en-GB"/>
        </w:rPr>
        <w:t xml:space="preserve"> by performing double swabbing at both admission and discharge.</w:t>
      </w:r>
    </w:p>
    <w:p w14:paraId="33D31D9B" w14:textId="06206BFD" w:rsidR="003D7AC9" w:rsidRPr="004E3CC9" w:rsidRDefault="00345A30" w:rsidP="004E3CC9">
      <w:pPr>
        <w:pStyle w:val="Paragraphedeliste"/>
        <w:ind w:left="0" w:hanging="348"/>
        <w:jc w:val="both"/>
        <w:rPr>
          <w:rFonts w:ascii="Arial" w:hAnsi="Arial" w:cs="Arial"/>
          <w:sz w:val="20"/>
          <w:szCs w:val="20"/>
          <w:lang w:val="en-GB"/>
        </w:rPr>
      </w:pPr>
      <w:r>
        <w:rPr>
          <w:rFonts w:ascii="Arial" w:hAnsi="Arial" w:cs="Arial"/>
          <w:sz w:val="20"/>
          <w:szCs w:val="20"/>
          <w:lang w:val="en-GB"/>
        </w:rPr>
        <w:t xml:space="preserve">      </w:t>
      </w:r>
      <w:r w:rsidRPr="00BB4305">
        <w:rPr>
          <w:rFonts w:ascii="Arial" w:hAnsi="Arial" w:cs="Arial"/>
          <w:sz w:val="20"/>
          <w:szCs w:val="20"/>
          <w:lang w:val="en-GB"/>
        </w:rPr>
        <w:t xml:space="preserve">The limitation of this study lies in the failure to account for previous antibiotic therapy in the included children and </w:t>
      </w:r>
      <w:r w:rsidRPr="00453B3B">
        <w:rPr>
          <w:rFonts w:ascii="Arial" w:hAnsi="Arial" w:cs="Arial"/>
          <w:sz w:val="20"/>
          <w:szCs w:val="20"/>
          <w:highlight w:val="yellow"/>
          <w:lang w:val="en-GB"/>
        </w:rPr>
        <w:t xml:space="preserve">the lack of </w:t>
      </w:r>
      <w:r w:rsidR="00453B3B" w:rsidRPr="00453B3B">
        <w:rPr>
          <w:rFonts w:ascii="Arial" w:hAnsi="Arial" w:cs="Arial"/>
          <w:sz w:val="20"/>
          <w:szCs w:val="20"/>
          <w:highlight w:val="yellow"/>
          <w:lang w:val="en-GB"/>
        </w:rPr>
        <w:t>molecular</w:t>
      </w:r>
      <w:r w:rsidR="00453B3B" w:rsidRPr="00453B3B">
        <w:rPr>
          <w:rFonts w:ascii="Arial" w:hAnsi="Arial" w:cs="Arial"/>
          <w:sz w:val="20"/>
          <w:szCs w:val="20"/>
          <w:highlight w:val="yellow"/>
          <w:lang w:val="en-GB"/>
        </w:rPr>
        <w:t xml:space="preserve"> characterization</w:t>
      </w:r>
      <w:r w:rsidR="00453B3B" w:rsidRPr="00453B3B">
        <w:rPr>
          <w:rFonts w:ascii="Arial" w:hAnsi="Arial" w:cs="Arial"/>
          <w:sz w:val="20"/>
          <w:szCs w:val="20"/>
          <w:highlight w:val="yellow"/>
          <w:lang w:val="en-GB"/>
        </w:rPr>
        <w:t xml:space="preserve"> of the MDR strains</w:t>
      </w:r>
      <w:r w:rsidR="00453B3B">
        <w:rPr>
          <w:bCs/>
          <w:sz w:val="20"/>
          <w:szCs w:val="20"/>
          <w:lang w:val="en-GB"/>
        </w:rPr>
        <w:t xml:space="preserve"> </w:t>
      </w:r>
      <w:r w:rsidRPr="00BB4305">
        <w:rPr>
          <w:rFonts w:ascii="Arial" w:hAnsi="Arial" w:cs="Arial"/>
          <w:sz w:val="20"/>
          <w:szCs w:val="20"/>
          <w:lang w:val="en-GB"/>
        </w:rPr>
        <w:t>. We did not take into account environmental and hygiene factors, which are likely risk factors in the acquisition and transmission of multi-drug resistant strains.</w:t>
      </w:r>
      <w:r w:rsidR="00E611A3">
        <w:rPr>
          <w:rFonts w:ascii="Arial" w:hAnsi="Arial" w:cs="Arial"/>
          <w:sz w:val="20"/>
          <w:szCs w:val="20"/>
          <w:lang w:val="en-GB"/>
        </w:rPr>
        <w:t xml:space="preserve"> </w:t>
      </w:r>
      <w:r w:rsidRPr="00BB4305">
        <w:rPr>
          <w:rFonts w:ascii="Arial" w:hAnsi="Arial" w:cs="Arial"/>
          <w:sz w:val="20"/>
          <w:szCs w:val="20"/>
          <w:lang w:val="en-GB"/>
        </w:rPr>
        <w:t>The high loss to follow-up rate, reaching 34.8%, hindered a robust comparison of the data.</w:t>
      </w:r>
    </w:p>
    <w:p w14:paraId="6C40B882" w14:textId="77777777" w:rsidR="003D7AC9" w:rsidRDefault="003D7AC9" w:rsidP="00441B6F">
      <w:pPr>
        <w:jc w:val="both"/>
        <w:rPr>
          <w:rFonts w:ascii="Arial" w:hAnsi="Arial" w:cs="Arial"/>
          <w:u w:val="single"/>
          <w:lang w:val="en-GB" w:eastAsia="en-GB"/>
        </w:rPr>
      </w:pPr>
    </w:p>
    <w:p w14:paraId="58947038" w14:textId="66E7AC89" w:rsidR="00B01FCD" w:rsidRDefault="0079236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1A1E6EA" w14:textId="77777777" w:rsidR="00790ADA" w:rsidRPr="00FB3A86" w:rsidRDefault="00790ADA" w:rsidP="00441B6F">
      <w:pPr>
        <w:pStyle w:val="ConcHead"/>
        <w:spacing w:after="0"/>
        <w:jc w:val="both"/>
        <w:rPr>
          <w:rFonts w:ascii="Arial" w:hAnsi="Arial" w:cs="Arial"/>
        </w:rPr>
      </w:pPr>
    </w:p>
    <w:p w14:paraId="558E3CB3" w14:textId="3B0BE0C6" w:rsidR="00822069" w:rsidRPr="004D34D9" w:rsidRDefault="00822069" w:rsidP="00822069">
      <w:pPr>
        <w:rPr>
          <w:lang w:val="en-GB"/>
        </w:rPr>
      </w:pPr>
      <w:r w:rsidRPr="00822069">
        <w:rPr>
          <w:highlight w:val="yellow"/>
          <w:lang w:val="en-GB"/>
        </w:rPr>
        <w:t>This study highlights the seriousness of intestinal carriage of multidrug-resistant Enterobacteriaceae, given the high prevalence observed. A study on mother-to-child transmission of multidrug-resistant organisms would clarify the presence of multidrug-resistant strains in newborns and infants, and could also explain how the use of antibiotics in the first days of life promotes the selection of resistant strains already present in small quantities in the children's microbiota. In light of these results, it appears that an improvement in empirical antibiotic treatment protocols is essential. The establishment and effective operation of an antibiotic therapy management committee in our hospitals seems indispensable to ensure the use of available antibiotic therapy guidelines and thus for a more rational use of antibiotics. The risk of cross-transmission and community-level spread of multidrug-resistant strains is significant. This could compromise future p</w:t>
      </w:r>
      <w:r>
        <w:rPr>
          <w:highlight w:val="yellow"/>
          <w:lang w:val="en-GB"/>
        </w:rPr>
        <w:t>a</w:t>
      </w:r>
      <w:r w:rsidRPr="00822069">
        <w:rPr>
          <w:highlight w:val="yellow"/>
          <w:lang w:val="en-GB"/>
        </w:rPr>
        <w:t>ediatric care and lead to a significant economic and social impact due to prolonged hospital stays and the high cost of last-resort antibiotics. The solution therefore lies in the implementation of a coordinated response between clinicians, microbiologists and health authorities in order to effectively combat the spread of this threat.</w:t>
      </w:r>
    </w:p>
    <w:p w14:paraId="4B1792EF" w14:textId="77777777" w:rsidR="002B685A" w:rsidRPr="00822069" w:rsidRDefault="002B685A" w:rsidP="00441B6F">
      <w:pPr>
        <w:pStyle w:val="ReferHead"/>
        <w:spacing w:after="0"/>
        <w:jc w:val="both"/>
        <w:rPr>
          <w:rFonts w:ascii="Arial" w:hAnsi="Arial" w:cs="Arial"/>
          <w:b w:val="0"/>
          <w:caps w:val="0"/>
          <w:sz w:val="20"/>
          <w:lang w:val="en-GB"/>
        </w:rPr>
      </w:pPr>
    </w:p>
    <w:p w14:paraId="626CBD34" w14:textId="2A82E7B8" w:rsidR="002B685A" w:rsidRDefault="002B685A" w:rsidP="00441B6F">
      <w:pPr>
        <w:pStyle w:val="ReferHead"/>
        <w:spacing w:after="0"/>
        <w:jc w:val="both"/>
        <w:rPr>
          <w:rFonts w:ascii="Arial" w:hAnsi="Arial" w:cs="Arial"/>
          <w:bCs/>
        </w:rPr>
      </w:pPr>
      <w:r w:rsidRPr="002B685A">
        <w:rPr>
          <w:rFonts w:ascii="Arial" w:hAnsi="Arial" w:cs="Arial"/>
          <w:bCs/>
        </w:rPr>
        <w:t>Consent</w:t>
      </w:r>
    </w:p>
    <w:p w14:paraId="00A360B1" w14:textId="77777777" w:rsidR="002B685A" w:rsidRPr="002B685A" w:rsidRDefault="002B685A" w:rsidP="00441B6F">
      <w:pPr>
        <w:pStyle w:val="ReferHead"/>
        <w:spacing w:after="0"/>
        <w:jc w:val="both"/>
        <w:rPr>
          <w:rFonts w:ascii="Arial" w:hAnsi="Arial" w:cs="Arial"/>
          <w:bCs/>
        </w:rPr>
      </w:pPr>
    </w:p>
    <w:p w14:paraId="40526807" w14:textId="3BE4D840" w:rsidR="001A29D8" w:rsidRDefault="001A29D8" w:rsidP="00441B6F">
      <w:pPr>
        <w:pStyle w:val="ReferHead"/>
        <w:spacing w:after="0"/>
        <w:jc w:val="both"/>
        <w:rPr>
          <w:rFonts w:ascii="Arial" w:hAnsi="Arial" w:cs="Arial"/>
          <w:b w:val="0"/>
          <w:caps w:val="0"/>
          <w:sz w:val="20"/>
        </w:rPr>
      </w:pPr>
      <w:r w:rsidRPr="00C703DE">
        <w:rPr>
          <w:rFonts w:ascii="Arial" w:hAnsi="Arial" w:cs="Arial"/>
          <w:b w:val="0"/>
          <w:caps w:val="0"/>
          <w:sz w:val="20"/>
        </w:rPr>
        <w:t>All authors declare that</w:t>
      </w:r>
      <w:r w:rsidR="00C703DE" w:rsidRPr="00C703DE">
        <w:rPr>
          <w:rFonts w:ascii="Arial" w:hAnsi="Arial" w:cs="Arial"/>
          <w:b w:val="0"/>
          <w:caps w:val="0"/>
          <w:sz w:val="20"/>
        </w:rPr>
        <w:t xml:space="preserve"> </w:t>
      </w:r>
      <w:r w:rsidRPr="00C703DE">
        <w:rPr>
          <w:rFonts w:ascii="Arial" w:hAnsi="Arial" w:cs="Arial"/>
          <w:b w:val="0"/>
          <w:caps w:val="0"/>
          <w:sz w:val="20"/>
        </w:rPr>
        <w:t>written informed consent was obtained from the patient . A copy of the written consent is available for review by the Editorial office/Chief Editor/Editorial Board members of this journal.</w:t>
      </w:r>
    </w:p>
    <w:p w14:paraId="346DABB0" w14:textId="77777777" w:rsidR="005C784C" w:rsidRDefault="005C784C" w:rsidP="00441B6F">
      <w:pPr>
        <w:pStyle w:val="ReferHead"/>
        <w:spacing w:after="0"/>
        <w:jc w:val="both"/>
        <w:rPr>
          <w:rFonts w:ascii="Arial" w:hAnsi="Arial" w:cs="Arial"/>
          <w:b w:val="0"/>
          <w:caps w:val="0"/>
          <w:sz w:val="20"/>
        </w:rPr>
      </w:pPr>
    </w:p>
    <w:p w14:paraId="6E603BED" w14:textId="687D886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CE7EDC0" w14:textId="77777777" w:rsidR="005C784C" w:rsidRPr="002B685A" w:rsidRDefault="005C784C" w:rsidP="00FF5460">
      <w:pPr>
        <w:pStyle w:val="ReferHead"/>
        <w:spacing w:after="0"/>
        <w:jc w:val="both"/>
        <w:rPr>
          <w:rFonts w:ascii="Arial" w:hAnsi="Arial" w:cs="Arial"/>
          <w:bCs/>
        </w:rPr>
      </w:pPr>
    </w:p>
    <w:p w14:paraId="73AFD3B8" w14:textId="786F419B" w:rsidR="00FF5460" w:rsidRPr="00BB4305" w:rsidRDefault="00FF5460" w:rsidP="00FF5460">
      <w:pPr>
        <w:autoSpaceDE w:val="0"/>
        <w:autoSpaceDN w:val="0"/>
        <w:adjustRightInd w:val="0"/>
        <w:jc w:val="both"/>
        <w:rPr>
          <w:rFonts w:ascii="Arial" w:hAnsi="Arial" w:cs="Arial"/>
          <w:lang w:val="en-GB"/>
        </w:rPr>
      </w:pPr>
      <w:r w:rsidRPr="00BB4305">
        <w:rPr>
          <w:rFonts w:ascii="Arial" w:hAnsi="Arial" w:cs="Arial"/>
          <w:lang w:val="en-GB"/>
        </w:rPr>
        <w:t>Ethical approval for the study was obtained from the Health Research Ethics Committee (054/2023/CBRS) of the Ministry of Health of Togo. This study was authorized by the management of the Sylvanus Olympio University Hospital (CHU SO) and the Head of the P</w:t>
      </w:r>
      <w:r w:rsidR="00290899">
        <w:rPr>
          <w:rFonts w:ascii="Arial" w:hAnsi="Arial" w:cs="Arial"/>
          <w:lang w:val="en-GB"/>
        </w:rPr>
        <w:t>a</w:t>
      </w:r>
      <w:r w:rsidRPr="00BB4305">
        <w:rPr>
          <w:rFonts w:ascii="Arial" w:hAnsi="Arial" w:cs="Arial"/>
          <w:lang w:val="en-GB"/>
        </w:rPr>
        <w:t xml:space="preserve">ediatric Department. Written informed consent was obtained from the parents or </w:t>
      </w:r>
      <w:r w:rsidR="00290899">
        <w:rPr>
          <w:rFonts w:ascii="Arial" w:hAnsi="Arial" w:cs="Arial"/>
          <w:lang w:val="en-GB"/>
        </w:rPr>
        <w:t>tutor</w:t>
      </w:r>
      <w:r w:rsidRPr="00BB4305">
        <w:rPr>
          <w:rFonts w:ascii="Arial" w:hAnsi="Arial" w:cs="Arial"/>
          <w:lang w:val="en-GB"/>
        </w:rPr>
        <w:t>s of the children. Data confidentiality and patient anonymity were maintained throughout the study.</w:t>
      </w:r>
    </w:p>
    <w:p w14:paraId="18FE6E77" w14:textId="77777777" w:rsidR="00B832F1" w:rsidRPr="00C31CE9" w:rsidRDefault="00B832F1" w:rsidP="00B832F1">
      <w:pPr>
        <w:keepNext/>
        <w:keepLines/>
        <w:spacing w:before="120" w:after="120" w:line="360" w:lineRule="auto"/>
        <w:jc w:val="both"/>
        <w:outlineLvl w:val="1"/>
        <w:rPr>
          <w:rFonts w:ascii="Arial" w:hAnsi="Arial" w:cs="Arial"/>
          <w:b/>
          <w:lang w:val="en-GB" w:eastAsia="en-IN"/>
        </w:rPr>
      </w:pPr>
      <w:bookmarkStart w:id="6" w:name="_Hlk218867759"/>
      <w:r w:rsidRPr="00C31CE9">
        <w:rPr>
          <w:rFonts w:ascii="Arial" w:hAnsi="Arial" w:cs="Arial"/>
          <w:b/>
          <w:lang w:val="en-GB" w:eastAsia="en-IN"/>
        </w:rPr>
        <w:lastRenderedPageBreak/>
        <w:t>Disclaimer (Artificial intelligence)</w:t>
      </w:r>
    </w:p>
    <w:p w14:paraId="73E09508" w14:textId="77777777" w:rsidR="00B832F1" w:rsidRPr="00C31CE9" w:rsidRDefault="00B832F1" w:rsidP="00B832F1">
      <w:pPr>
        <w:keepNext/>
        <w:keepLines/>
        <w:spacing w:before="120" w:after="120" w:line="360" w:lineRule="auto"/>
        <w:jc w:val="both"/>
        <w:outlineLvl w:val="1"/>
        <w:rPr>
          <w:rFonts w:ascii="Arial" w:hAnsi="Arial" w:cs="Arial"/>
          <w:bCs/>
          <w:lang w:val="en-GB" w:eastAsia="en-IN"/>
        </w:rPr>
      </w:pPr>
      <w:r w:rsidRPr="00C31CE9">
        <w:rPr>
          <w:rFonts w:ascii="Arial" w:hAnsi="Arial" w:cs="Arial"/>
          <w:bCs/>
          <w:lang w:val="en-GB" w:eastAsia="en-IN"/>
        </w:rPr>
        <w:t xml:space="preserve">Author(s) hereby declare that NO generative AI technologies such as Large Language Models (ChatGPT, COPILOT, etc.) and text-to-image generators have been used during the writing or editing of this manuscript. </w:t>
      </w:r>
    </w:p>
    <w:bookmarkEnd w:id="6"/>
    <w:p w14:paraId="3B5A357A" w14:textId="77777777" w:rsidR="00FF5460" w:rsidRDefault="00FF5460" w:rsidP="00FF5460">
      <w:pPr>
        <w:jc w:val="both"/>
        <w:rPr>
          <w:rFonts w:ascii="Arial" w:hAnsi="Arial" w:cs="Arial"/>
          <w:lang w:val="en-GB"/>
        </w:rPr>
      </w:pPr>
    </w:p>
    <w:p w14:paraId="09B76B43" w14:textId="77777777" w:rsidR="00C703DE" w:rsidRPr="00FF5460" w:rsidRDefault="00C703DE" w:rsidP="00441B6F">
      <w:pPr>
        <w:pStyle w:val="ReferHead"/>
        <w:spacing w:after="0"/>
        <w:jc w:val="both"/>
        <w:rPr>
          <w:rFonts w:ascii="Arial" w:hAnsi="Arial" w:cs="Arial"/>
          <w:b w:val="0"/>
          <w:caps w:val="0"/>
          <w:sz w:val="20"/>
          <w:lang w:val="en-GB"/>
        </w:rPr>
      </w:pPr>
    </w:p>
    <w:p w14:paraId="1B7A3EDD" w14:textId="6E2BF710" w:rsidR="00CD6856" w:rsidRPr="00B10927" w:rsidRDefault="00CD6856" w:rsidP="00441B6F">
      <w:pPr>
        <w:pStyle w:val="ReferHead"/>
        <w:spacing w:after="0"/>
        <w:jc w:val="both"/>
        <w:rPr>
          <w:rFonts w:ascii="Arial" w:hAnsi="Arial" w:cs="Arial"/>
          <w:b w:val="0"/>
          <w:caps w:val="0"/>
          <w:sz w:val="20"/>
          <w:lang w:val="en-GB"/>
        </w:rPr>
      </w:pPr>
      <w:r w:rsidRPr="00B10927">
        <w:rPr>
          <w:rFonts w:ascii="Arial" w:hAnsi="Arial" w:cs="Arial"/>
          <w:b w:val="0"/>
          <w:caps w:val="0"/>
          <w:sz w:val="20"/>
          <w:lang w:val="en-GB"/>
        </w:rPr>
        <w:t xml:space="preserve">. </w:t>
      </w:r>
    </w:p>
    <w:p w14:paraId="3BCA6459" w14:textId="77777777" w:rsidR="00CD6856" w:rsidRPr="00B10927" w:rsidRDefault="00CD6856" w:rsidP="00441B6F">
      <w:pPr>
        <w:pStyle w:val="ReferHead"/>
        <w:spacing w:after="0"/>
        <w:jc w:val="both"/>
        <w:rPr>
          <w:rFonts w:ascii="Arial" w:hAnsi="Arial" w:cs="Arial"/>
          <w:b w:val="0"/>
          <w:caps w:val="0"/>
          <w:sz w:val="20"/>
          <w:lang w:val="en-GB"/>
        </w:rPr>
      </w:pPr>
    </w:p>
    <w:p w14:paraId="2BD1243D" w14:textId="77777777" w:rsidR="00860000" w:rsidRPr="00B10927" w:rsidRDefault="00860000" w:rsidP="00441B6F">
      <w:pPr>
        <w:pStyle w:val="ReferHead"/>
        <w:spacing w:after="0"/>
        <w:jc w:val="both"/>
        <w:rPr>
          <w:rFonts w:ascii="Arial" w:hAnsi="Arial" w:cs="Arial"/>
          <w:lang w:val="en-GB"/>
        </w:rPr>
      </w:pPr>
    </w:p>
    <w:p w14:paraId="11680890" w14:textId="77777777" w:rsidR="00B01FCD" w:rsidRPr="00B10927" w:rsidRDefault="00B01FCD" w:rsidP="00441B6F">
      <w:pPr>
        <w:pStyle w:val="ReferHead"/>
        <w:spacing w:after="0"/>
        <w:jc w:val="both"/>
        <w:rPr>
          <w:rFonts w:ascii="Arial" w:hAnsi="Arial" w:cs="Arial"/>
          <w:lang w:val="en-GB"/>
        </w:rPr>
      </w:pPr>
      <w:r w:rsidRPr="00B10927">
        <w:rPr>
          <w:rFonts w:ascii="Arial" w:hAnsi="Arial" w:cs="Arial"/>
          <w:lang w:val="en-GB"/>
        </w:rPr>
        <w:t>References</w:t>
      </w:r>
    </w:p>
    <w:p w14:paraId="5F1D2BF7" w14:textId="77777777" w:rsidR="00790ADA" w:rsidRPr="00B10927" w:rsidRDefault="00790ADA" w:rsidP="00441B6F">
      <w:pPr>
        <w:pStyle w:val="ReferHead"/>
        <w:spacing w:after="0"/>
        <w:jc w:val="both"/>
        <w:rPr>
          <w:rFonts w:ascii="Arial" w:hAnsi="Arial" w:cs="Arial"/>
          <w:lang w:val="en-GB"/>
        </w:rPr>
      </w:pPr>
    </w:p>
    <w:p w14:paraId="1686CD1C" w14:textId="77777777" w:rsidR="000661E7" w:rsidRPr="000661E7" w:rsidRDefault="00CA77F1" w:rsidP="000661E7">
      <w:pPr>
        <w:pStyle w:val="Bibliographie"/>
        <w:rPr>
          <w:rFonts w:cs="Helvetica"/>
        </w:rPr>
      </w:pPr>
      <w:r>
        <w:fldChar w:fldCharType="begin"/>
      </w:r>
      <w:r w:rsidR="000661E7">
        <w:rPr>
          <w:lang w:val="en-GB"/>
        </w:rPr>
        <w:instrText xml:space="preserve"> ADDIN ZOTERO_BIBL {"uncited":[],"omitted":[],"custom":[]} CSL_BIBLIOGRAPHY </w:instrText>
      </w:r>
      <w:r>
        <w:fldChar w:fldCharType="separate"/>
      </w:r>
      <w:proofErr w:type="spellStart"/>
      <w:r w:rsidR="000661E7" w:rsidRPr="000661E7">
        <w:rPr>
          <w:rFonts w:cs="Helvetica"/>
        </w:rPr>
        <w:t>Adenaya</w:t>
      </w:r>
      <w:proofErr w:type="spellEnd"/>
      <w:r w:rsidR="000661E7" w:rsidRPr="000661E7">
        <w:rPr>
          <w:rFonts w:cs="Helvetica"/>
        </w:rPr>
        <w:t xml:space="preserve">, A., Adeniran, A.A., Ugwuoke, C.L., Saliu, K., Raji, M.A., Rakshit, A., Ribas-Ribas, M., </w:t>
      </w:r>
      <w:proofErr w:type="spellStart"/>
      <w:r w:rsidR="000661E7" w:rsidRPr="000661E7">
        <w:rPr>
          <w:rFonts w:cs="Helvetica"/>
        </w:rPr>
        <w:t>Könneke</w:t>
      </w:r>
      <w:proofErr w:type="spellEnd"/>
      <w:r w:rsidR="000661E7" w:rsidRPr="000661E7">
        <w:rPr>
          <w:rFonts w:cs="Helvetica"/>
        </w:rPr>
        <w:t>, M., 2025. Environmental Risk Factors Contributing to the Spread of Antibiotic Resistance in West Africa. Microorganisms 13, 951. https://doi.org/10.3390/microorganisms13040951</w:t>
      </w:r>
    </w:p>
    <w:p w14:paraId="4C776A1C" w14:textId="77777777" w:rsidR="000661E7" w:rsidRPr="000661E7" w:rsidRDefault="000661E7" w:rsidP="000661E7">
      <w:pPr>
        <w:pStyle w:val="Bibliographie"/>
        <w:rPr>
          <w:rFonts w:cs="Helvetica"/>
        </w:rPr>
      </w:pPr>
      <w:r w:rsidRPr="000661E7">
        <w:rPr>
          <w:rFonts w:cs="Helvetica"/>
        </w:rPr>
        <w:t xml:space="preserve">Agyeman, W.Y., Bisht, A., Gopinath, A., Cheema, A.H., </w:t>
      </w:r>
      <w:proofErr w:type="spellStart"/>
      <w:r w:rsidRPr="000661E7">
        <w:rPr>
          <w:rFonts w:cs="Helvetica"/>
        </w:rPr>
        <w:t>Chaludiya</w:t>
      </w:r>
      <w:proofErr w:type="spellEnd"/>
      <w:r w:rsidRPr="000661E7">
        <w:rPr>
          <w:rFonts w:cs="Helvetica"/>
        </w:rPr>
        <w:t xml:space="preserve">, K., Khalid, M., Nwosu, M., </w:t>
      </w:r>
      <w:proofErr w:type="spellStart"/>
      <w:r w:rsidRPr="000661E7">
        <w:rPr>
          <w:rFonts w:cs="Helvetica"/>
        </w:rPr>
        <w:t>Konka</w:t>
      </w:r>
      <w:proofErr w:type="spellEnd"/>
      <w:r w:rsidRPr="000661E7">
        <w:rPr>
          <w:rFonts w:cs="Helvetica"/>
        </w:rPr>
        <w:t xml:space="preserve">, S., Khan, S., 2022. A Systematic Review of Antibiotic Resistance Trends and Treatment Options for Hospital-Acquired Multidrug-Resistant Infections. </w:t>
      </w:r>
      <w:proofErr w:type="spellStart"/>
      <w:r w:rsidRPr="000661E7">
        <w:rPr>
          <w:rFonts w:cs="Helvetica"/>
        </w:rPr>
        <w:t>Cureus</w:t>
      </w:r>
      <w:proofErr w:type="spellEnd"/>
      <w:r w:rsidRPr="000661E7">
        <w:rPr>
          <w:rFonts w:cs="Helvetica"/>
        </w:rPr>
        <w:t xml:space="preserve"> 14, e29956. https://doi.org/10.7759/cureus.29956</w:t>
      </w:r>
    </w:p>
    <w:p w14:paraId="1C2EA431" w14:textId="77777777" w:rsidR="000661E7" w:rsidRPr="000661E7" w:rsidRDefault="000661E7" w:rsidP="000661E7">
      <w:pPr>
        <w:pStyle w:val="Bibliographie"/>
        <w:rPr>
          <w:rFonts w:cs="Helvetica"/>
        </w:rPr>
      </w:pPr>
      <w:proofErr w:type="spellStart"/>
      <w:r w:rsidRPr="000661E7">
        <w:rPr>
          <w:rFonts w:cs="Helvetica"/>
        </w:rPr>
        <w:t>Arhoune</w:t>
      </w:r>
      <w:proofErr w:type="spellEnd"/>
      <w:r w:rsidRPr="000661E7">
        <w:rPr>
          <w:rFonts w:cs="Helvetica"/>
        </w:rPr>
        <w:t xml:space="preserve">, B., </w:t>
      </w:r>
      <w:proofErr w:type="spellStart"/>
      <w:r w:rsidRPr="000661E7">
        <w:rPr>
          <w:rFonts w:cs="Helvetica"/>
        </w:rPr>
        <w:t>Oumokhtar</w:t>
      </w:r>
      <w:proofErr w:type="spellEnd"/>
      <w:r w:rsidRPr="000661E7">
        <w:rPr>
          <w:rFonts w:cs="Helvetica"/>
        </w:rPr>
        <w:t xml:space="preserve">, B., </w:t>
      </w:r>
      <w:proofErr w:type="spellStart"/>
      <w:r w:rsidRPr="000661E7">
        <w:rPr>
          <w:rFonts w:cs="Helvetica"/>
        </w:rPr>
        <w:t>Hmami</w:t>
      </w:r>
      <w:proofErr w:type="spellEnd"/>
      <w:r w:rsidRPr="000661E7">
        <w:rPr>
          <w:rFonts w:cs="Helvetica"/>
        </w:rPr>
        <w:t xml:space="preserve">, F., </w:t>
      </w:r>
      <w:proofErr w:type="spellStart"/>
      <w:r w:rsidRPr="000661E7">
        <w:rPr>
          <w:rFonts w:cs="Helvetica"/>
        </w:rPr>
        <w:t>Barguigua</w:t>
      </w:r>
      <w:proofErr w:type="spellEnd"/>
      <w:r w:rsidRPr="000661E7">
        <w:rPr>
          <w:rFonts w:cs="Helvetica"/>
        </w:rPr>
        <w:t xml:space="preserve">, A., </w:t>
      </w:r>
      <w:proofErr w:type="spellStart"/>
      <w:r w:rsidRPr="000661E7">
        <w:rPr>
          <w:rFonts w:cs="Helvetica"/>
        </w:rPr>
        <w:t>Timinouni</w:t>
      </w:r>
      <w:proofErr w:type="spellEnd"/>
      <w:r w:rsidRPr="000661E7">
        <w:rPr>
          <w:rFonts w:cs="Helvetica"/>
        </w:rPr>
        <w:t xml:space="preserve">, M., </w:t>
      </w:r>
      <w:proofErr w:type="spellStart"/>
      <w:r w:rsidRPr="000661E7">
        <w:rPr>
          <w:rFonts w:cs="Helvetica"/>
        </w:rPr>
        <w:t>el</w:t>
      </w:r>
      <w:proofErr w:type="spellEnd"/>
      <w:r w:rsidRPr="000661E7">
        <w:rPr>
          <w:rFonts w:cs="Helvetica"/>
        </w:rPr>
        <w:t xml:space="preserve"> Fakir, S., Chami, F., </w:t>
      </w:r>
      <w:proofErr w:type="spellStart"/>
      <w:r w:rsidRPr="000661E7">
        <w:rPr>
          <w:rFonts w:cs="Helvetica"/>
        </w:rPr>
        <w:t>Bouharrou</w:t>
      </w:r>
      <w:proofErr w:type="spellEnd"/>
      <w:r w:rsidRPr="000661E7">
        <w:rPr>
          <w:rFonts w:cs="Helvetica"/>
        </w:rPr>
        <w:t xml:space="preserve">, A., 2017. Rectal carriage of extended-spectrum β-lactamase- and </w:t>
      </w:r>
      <w:proofErr w:type="spellStart"/>
      <w:r w:rsidRPr="000661E7">
        <w:rPr>
          <w:rFonts w:cs="Helvetica"/>
        </w:rPr>
        <w:t>carbapenemase</w:t>
      </w:r>
      <w:proofErr w:type="spellEnd"/>
      <w:r w:rsidRPr="000661E7">
        <w:rPr>
          <w:rFonts w:cs="Helvetica"/>
        </w:rPr>
        <w:t xml:space="preserve">-producing Enterobacteriaceae among </w:t>
      </w:r>
      <w:proofErr w:type="spellStart"/>
      <w:r w:rsidRPr="000661E7">
        <w:rPr>
          <w:rFonts w:cs="Helvetica"/>
        </w:rPr>
        <w:t>hospitalised</w:t>
      </w:r>
      <w:proofErr w:type="spellEnd"/>
      <w:r w:rsidRPr="000661E7">
        <w:rPr>
          <w:rFonts w:cs="Helvetica"/>
        </w:rPr>
        <w:t xml:space="preserve"> neonates in a neonatal intensive care unit in Fez, Morocco. J. Glob. </w:t>
      </w:r>
      <w:proofErr w:type="spellStart"/>
      <w:r w:rsidRPr="000661E7">
        <w:rPr>
          <w:rFonts w:cs="Helvetica"/>
        </w:rPr>
        <w:t>Antimicrob</w:t>
      </w:r>
      <w:proofErr w:type="spellEnd"/>
      <w:r w:rsidRPr="000661E7">
        <w:rPr>
          <w:rFonts w:cs="Helvetica"/>
        </w:rPr>
        <w:t>. Resist. 8, 90–96. https://doi.org/10.1016/j.jgar.2016.11.004</w:t>
      </w:r>
    </w:p>
    <w:p w14:paraId="445DB47B" w14:textId="77777777" w:rsidR="000661E7" w:rsidRPr="000661E7" w:rsidRDefault="000661E7" w:rsidP="000661E7">
      <w:pPr>
        <w:pStyle w:val="Bibliographie"/>
        <w:rPr>
          <w:rFonts w:cs="Helvetica"/>
        </w:rPr>
      </w:pPr>
      <w:r w:rsidRPr="000661E7">
        <w:rPr>
          <w:rFonts w:cs="Helvetica"/>
        </w:rPr>
        <w:t xml:space="preserve">Armand-Lefèvre, L., </w:t>
      </w:r>
      <w:proofErr w:type="spellStart"/>
      <w:r w:rsidRPr="000661E7">
        <w:rPr>
          <w:rFonts w:cs="Helvetica"/>
        </w:rPr>
        <w:t>Andremont</w:t>
      </w:r>
      <w:proofErr w:type="spellEnd"/>
      <w:r w:rsidRPr="000661E7">
        <w:rPr>
          <w:rFonts w:cs="Helvetica"/>
        </w:rPr>
        <w:t xml:space="preserve">, A., </w:t>
      </w:r>
      <w:proofErr w:type="spellStart"/>
      <w:r w:rsidRPr="000661E7">
        <w:rPr>
          <w:rFonts w:cs="Helvetica"/>
        </w:rPr>
        <w:t>Ruppé</w:t>
      </w:r>
      <w:proofErr w:type="spellEnd"/>
      <w:r w:rsidRPr="000661E7">
        <w:rPr>
          <w:rFonts w:cs="Helvetica"/>
        </w:rPr>
        <w:t xml:space="preserve">, E., 2018. Travel and acquisition of multidrug-resistant Enterobacteriaceae. </w:t>
      </w:r>
      <w:proofErr w:type="spellStart"/>
      <w:r w:rsidRPr="000661E7">
        <w:rPr>
          <w:rFonts w:cs="Helvetica"/>
        </w:rPr>
        <w:t>Médecine</w:t>
      </w:r>
      <w:proofErr w:type="spellEnd"/>
      <w:r w:rsidRPr="000661E7">
        <w:rPr>
          <w:rFonts w:cs="Helvetica"/>
        </w:rPr>
        <w:t xml:space="preserve"> Mal. Infect. 48, 431–441. https://doi.org/10.1016/j.medmal.2018.02.005</w:t>
      </w:r>
    </w:p>
    <w:p w14:paraId="59E1B3DD" w14:textId="77777777" w:rsidR="000661E7" w:rsidRPr="000661E7" w:rsidRDefault="000661E7" w:rsidP="000661E7">
      <w:pPr>
        <w:pStyle w:val="Bibliographie"/>
        <w:rPr>
          <w:rFonts w:cs="Helvetica"/>
        </w:rPr>
      </w:pPr>
      <w:r w:rsidRPr="000661E7">
        <w:rPr>
          <w:rFonts w:cs="Helvetica"/>
        </w:rPr>
        <w:t xml:space="preserve">Atoun, R.C., Youa, I.F., Bawe, L.D., </w:t>
      </w:r>
      <w:proofErr w:type="spellStart"/>
      <w:r w:rsidRPr="000661E7">
        <w:rPr>
          <w:rFonts w:cs="Helvetica"/>
        </w:rPr>
        <w:t>Tchaou</w:t>
      </w:r>
      <w:proofErr w:type="spellEnd"/>
      <w:r w:rsidRPr="000661E7">
        <w:rPr>
          <w:rFonts w:cs="Helvetica"/>
        </w:rPr>
        <w:t xml:space="preserve">, I., Madera, B., </w:t>
      </w:r>
      <w:proofErr w:type="spellStart"/>
      <w:r w:rsidRPr="000661E7">
        <w:rPr>
          <w:rFonts w:cs="Helvetica"/>
        </w:rPr>
        <w:t>Kotosso</w:t>
      </w:r>
      <w:proofErr w:type="spellEnd"/>
      <w:r w:rsidRPr="000661E7">
        <w:rPr>
          <w:rFonts w:cs="Helvetica"/>
        </w:rPr>
        <w:t xml:space="preserve">, A., Bleibtreu, A., </w:t>
      </w:r>
      <w:proofErr w:type="spellStart"/>
      <w:r w:rsidRPr="000661E7">
        <w:rPr>
          <w:rFonts w:cs="Helvetica"/>
        </w:rPr>
        <w:t>Adedjouma</w:t>
      </w:r>
      <w:proofErr w:type="spellEnd"/>
      <w:r w:rsidRPr="000661E7">
        <w:rPr>
          <w:rFonts w:cs="Helvetica"/>
        </w:rPr>
        <w:t xml:space="preserve">, T., </w:t>
      </w:r>
      <w:proofErr w:type="spellStart"/>
      <w:r w:rsidRPr="000661E7">
        <w:rPr>
          <w:rFonts w:cs="Helvetica"/>
        </w:rPr>
        <w:t>Bedekelabou</w:t>
      </w:r>
      <w:proofErr w:type="spellEnd"/>
      <w:r w:rsidRPr="000661E7">
        <w:rPr>
          <w:rFonts w:cs="Helvetica"/>
        </w:rPr>
        <w:t xml:space="preserve">, A.P., </w:t>
      </w:r>
      <w:proofErr w:type="spellStart"/>
      <w:r w:rsidRPr="000661E7">
        <w:rPr>
          <w:rFonts w:cs="Helvetica"/>
        </w:rPr>
        <w:t>Tchédié</w:t>
      </w:r>
      <w:proofErr w:type="spellEnd"/>
      <w:r w:rsidRPr="000661E7">
        <w:rPr>
          <w:rFonts w:cs="Helvetica"/>
        </w:rPr>
        <w:t xml:space="preserve">, J., </w:t>
      </w:r>
      <w:proofErr w:type="spellStart"/>
      <w:r w:rsidRPr="000661E7">
        <w:rPr>
          <w:rFonts w:cs="Helvetica"/>
        </w:rPr>
        <w:t>Siliadin</w:t>
      </w:r>
      <w:proofErr w:type="spellEnd"/>
      <w:r w:rsidRPr="000661E7">
        <w:rPr>
          <w:rFonts w:cs="Helvetica"/>
        </w:rPr>
        <w:t xml:space="preserve">, Y., Cardinale, E., Lefevre, L.A., Gilles, B., </w:t>
      </w:r>
      <w:proofErr w:type="spellStart"/>
      <w:r w:rsidRPr="000661E7">
        <w:rPr>
          <w:rFonts w:cs="Helvetica"/>
        </w:rPr>
        <w:t>Mounerou</w:t>
      </w:r>
      <w:proofErr w:type="spellEnd"/>
      <w:r w:rsidRPr="000661E7">
        <w:rPr>
          <w:rFonts w:cs="Helvetica"/>
        </w:rPr>
        <w:t xml:space="preserve">, S., </w:t>
      </w:r>
      <w:proofErr w:type="spellStart"/>
      <w:r w:rsidRPr="000661E7">
        <w:rPr>
          <w:rFonts w:cs="Helvetica"/>
        </w:rPr>
        <w:t>Dagnra</w:t>
      </w:r>
      <w:proofErr w:type="spellEnd"/>
      <w:r w:rsidRPr="000661E7">
        <w:rPr>
          <w:rFonts w:cs="Helvetica"/>
        </w:rPr>
        <w:t xml:space="preserve">, C.A., Ekouevi, D.K., Salmon, D., 2025. Prevalence of digestive carriage of multi-drug resistant </w:t>
      </w:r>
      <w:proofErr w:type="spellStart"/>
      <w:r w:rsidRPr="000661E7">
        <w:rPr>
          <w:rFonts w:cs="Helvetica"/>
        </w:rPr>
        <w:t>enterobacterales</w:t>
      </w:r>
      <w:proofErr w:type="spellEnd"/>
      <w:r w:rsidRPr="000661E7">
        <w:rPr>
          <w:rFonts w:cs="Helvetica"/>
        </w:rPr>
        <w:t xml:space="preserve"> in hospitalized and community-based patients in Togo: a prospective study. Infect. Dis. Now 55, 105160. https://doi.org/10.1016/j.idnow.2025.105160</w:t>
      </w:r>
    </w:p>
    <w:p w14:paraId="42BE15AE" w14:textId="77777777" w:rsidR="000661E7" w:rsidRPr="000661E7" w:rsidRDefault="000661E7" w:rsidP="000661E7">
      <w:pPr>
        <w:pStyle w:val="Bibliographie"/>
        <w:rPr>
          <w:rFonts w:cs="Helvetica"/>
          <w:lang w:val="fr-FR"/>
        </w:rPr>
      </w:pPr>
      <w:r w:rsidRPr="000661E7">
        <w:rPr>
          <w:rFonts w:cs="Helvetica"/>
        </w:rPr>
        <w:t xml:space="preserve">Campeotto, F., Garnier, F., Kalach, N., </w:t>
      </w:r>
      <w:proofErr w:type="spellStart"/>
      <w:r w:rsidRPr="000661E7">
        <w:rPr>
          <w:rFonts w:cs="Helvetica"/>
        </w:rPr>
        <w:t>Soulaines</w:t>
      </w:r>
      <w:proofErr w:type="spellEnd"/>
      <w:r w:rsidRPr="000661E7">
        <w:rPr>
          <w:rFonts w:cs="Helvetica"/>
        </w:rPr>
        <w:t xml:space="preserve">, P., Dupont, C., Raymond, J., 2004. </w:t>
      </w:r>
      <w:r w:rsidRPr="000661E7">
        <w:rPr>
          <w:rFonts w:cs="Helvetica"/>
          <w:lang w:val="fr-FR"/>
        </w:rPr>
        <w:t>Acquisition nosocomiale de bactéries multirésistantes dans un service de néonatologie : étude prospective et analyse des facteurs de risque. Arch. Pédiatrie 11, 1314–1318. https://doi.org/10.1016/j.arcped.2004.05.020</w:t>
      </w:r>
    </w:p>
    <w:p w14:paraId="1152795F" w14:textId="77777777" w:rsidR="000661E7" w:rsidRPr="000661E7" w:rsidRDefault="000661E7" w:rsidP="000661E7">
      <w:pPr>
        <w:pStyle w:val="Bibliographie"/>
        <w:rPr>
          <w:rFonts w:cs="Helvetica"/>
          <w:lang w:val="fr-FR"/>
        </w:rPr>
      </w:pPr>
      <w:proofErr w:type="spellStart"/>
      <w:r w:rsidRPr="000661E7">
        <w:rPr>
          <w:rFonts w:cs="Helvetica"/>
          <w:lang w:val="fr-FR"/>
        </w:rPr>
        <w:t>Cattoir</w:t>
      </w:r>
      <w:proofErr w:type="spellEnd"/>
      <w:r w:rsidRPr="000661E7">
        <w:rPr>
          <w:rFonts w:cs="Helvetica"/>
          <w:lang w:val="fr-FR"/>
        </w:rPr>
        <w:t xml:space="preserve"> Vincent, Schramm Frédéric, Amara Marlène et al., 2022. Comité de l’antibiogramme de la Société Française de Microbiologie Recommandations 2022 V.1.0 Mai.</w:t>
      </w:r>
    </w:p>
    <w:p w14:paraId="2406FE17" w14:textId="77777777" w:rsidR="000661E7" w:rsidRPr="000661E7" w:rsidRDefault="000661E7" w:rsidP="000661E7">
      <w:pPr>
        <w:pStyle w:val="Bibliographie"/>
        <w:rPr>
          <w:rFonts w:cs="Helvetica"/>
        </w:rPr>
      </w:pPr>
      <w:proofErr w:type="spellStart"/>
      <w:r w:rsidRPr="000661E7">
        <w:rPr>
          <w:rFonts w:cs="Helvetica"/>
        </w:rPr>
        <w:t>Detsis</w:t>
      </w:r>
      <w:proofErr w:type="spellEnd"/>
      <w:r w:rsidRPr="000661E7">
        <w:rPr>
          <w:rFonts w:cs="Helvetica"/>
        </w:rPr>
        <w:t xml:space="preserve">, M., Karanika, S., </w:t>
      </w:r>
      <w:proofErr w:type="spellStart"/>
      <w:r w:rsidRPr="000661E7">
        <w:rPr>
          <w:rFonts w:cs="Helvetica"/>
        </w:rPr>
        <w:t>Mylonakis</w:t>
      </w:r>
      <w:proofErr w:type="spellEnd"/>
      <w:r w:rsidRPr="000661E7">
        <w:rPr>
          <w:rFonts w:cs="Helvetica"/>
        </w:rPr>
        <w:t>, E., 2017. ICU Acquisition Rate, Risk Factors, and Clinical Significance of Digestive Tract Colonization With Extended-Spectrum Beta-Lactamase–Producing Enterobacteriaceae: A Systematic Review and Meta-Analysis*. Crit. Care Med. 45, 705–714. https://doi.org/10.1097/CCM.0000000000002253</w:t>
      </w:r>
    </w:p>
    <w:p w14:paraId="3B4E8442" w14:textId="77777777" w:rsidR="000661E7" w:rsidRPr="000661E7" w:rsidRDefault="000661E7" w:rsidP="000661E7">
      <w:pPr>
        <w:pStyle w:val="Bibliographie"/>
        <w:rPr>
          <w:rFonts w:cs="Helvetica"/>
          <w:lang w:val="fr-FR"/>
        </w:rPr>
      </w:pPr>
      <w:r w:rsidRPr="000661E7">
        <w:rPr>
          <w:rFonts w:cs="Helvetica"/>
        </w:rPr>
        <w:t xml:space="preserve">Dorkenoo Ameyo, Bali </w:t>
      </w:r>
      <w:proofErr w:type="spellStart"/>
      <w:r w:rsidRPr="000661E7">
        <w:rPr>
          <w:rFonts w:cs="Helvetica"/>
        </w:rPr>
        <w:t>Essolakina</w:t>
      </w:r>
      <w:proofErr w:type="spellEnd"/>
      <w:r w:rsidRPr="000661E7">
        <w:rPr>
          <w:rFonts w:cs="Helvetica"/>
        </w:rPr>
        <w:t xml:space="preserve">, </w:t>
      </w:r>
      <w:proofErr w:type="spellStart"/>
      <w:r w:rsidRPr="000661E7">
        <w:rPr>
          <w:rFonts w:cs="Helvetica"/>
        </w:rPr>
        <w:t>Tigossou</w:t>
      </w:r>
      <w:proofErr w:type="spellEnd"/>
      <w:r w:rsidRPr="000661E7">
        <w:rPr>
          <w:rFonts w:cs="Helvetica"/>
        </w:rPr>
        <w:t xml:space="preserve"> Ségla, Lack Fiali, </w:t>
      </w:r>
      <w:proofErr w:type="spellStart"/>
      <w:r w:rsidRPr="000661E7">
        <w:rPr>
          <w:rFonts w:cs="Helvetica"/>
        </w:rPr>
        <w:t>Nyasenu</w:t>
      </w:r>
      <w:proofErr w:type="spellEnd"/>
      <w:r w:rsidRPr="000661E7">
        <w:rPr>
          <w:rFonts w:cs="Helvetica"/>
        </w:rPr>
        <w:t xml:space="preserve"> Tufa, Agbo Yao, Sadji Adodo, </w:t>
      </w:r>
      <w:proofErr w:type="spellStart"/>
      <w:r w:rsidRPr="000661E7">
        <w:rPr>
          <w:rFonts w:cs="Helvetica"/>
        </w:rPr>
        <w:t>Dossim</w:t>
      </w:r>
      <w:proofErr w:type="spellEnd"/>
      <w:r w:rsidRPr="000661E7">
        <w:rPr>
          <w:rFonts w:cs="Helvetica"/>
        </w:rPr>
        <w:t xml:space="preserve"> sika, Salou Mounerou, </w:t>
      </w:r>
      <w:proofErr w:type="spellStart"/>
      <w:r w:rsidRPr="000661E7">
        <w:rPr>
          <w:rFonts w:cs="Helvetica"/>
        </w:rPr>
        <w:t>Dagnran</w:t>
      </w:r>
      <w:proofErr w:type="spellEnd"/>
      <w:r w:rsidRPr="000661E7">
        <w:rPr>
          <w:rFonts w:cs="Helvetica"/>
        </w:rPr>
        <w:t xml:space="preserve"> </w:t>
      </w:r>
      <w:proofErr w:type="spellStart"/>
      <w:r w:rsidRPr="000661E7">
        <w:rPr>
          <w:rFonts w:cs="Helvetica"/>
        </w:rPr>
        <w:t>Anoumou</w:t>
      </w:r>
      <w:proofErr w:type="spellEnd"/>
      <w:r w:rsidRPr="000661E7">
        <w:rPr>
          <w:rFonts w:cs="Helvetica"/>
        </w:rPr>
        <w:t xml:space="preserve">, </w:t>
      </w:r>
      <w:proofErr w:type="spellStart"/>
      <w:r w:rsidRPr="000661E7">
        <w:rPr>
          <w:rFonts w:cs="Helvetica"/>
        </w:rPr>
        <w:t>Godonou</w:t>
      </w:r>
      <w:proofErr w:type="spellEnd"/>
      <w:r w:rsidRPr="000661E7">
        <w:rPr>
          <w:rFonts w:cs="Helvetica"/>
        </w:rPr>
        <w:t xml:space="preserve"> Amivi, 2020. </w:t>
      </w:r>
      <w:r w:rsidRPr="000661E7">
        <w:rPr>
          <w:rFonts w:cs="Helvetica"/>
          <w:lang w:val="fr-FR"/>
        </w:rPr>
        <w:t>Manuel des procédures opératoires standardisées de bactériologie au Togo.</w:t>
      </w:r>
    </w:p>
    <w:p w14:paraId="4E34B1E4" w14:textId="77777777" w:rsidR="000661E7" w:rsidRPr="000661E7" w:rsidRDefault="000661E7" w:rsidP="000661E7">
      <w:pPr>
        <w:pStyle w:val="Bibliographie"/>
        <w:rPr>
          <w:rFonts w:cs="Helvetica"/>
          <w:lang w:val="fr-FR"/>
        </w:rPr>
      </w:pPr>
      <w:proofErr w:type="spellStart"/>
      <w:r w:rsidRPr="000661E7">
        <w:rPr>
          <w:rFonts w:cs="Helvetica"/>
          <w:lang w:val="fr-FR"/>
        </w:rPr>
        <w:t>Founou</w:t>
      </w:r>
      <w:proofErr w:type="spellEnd"/>
      <w:r w:rsidRPr="000661E7">
        <w:rPr>
          <w:rFonts w:cs="Helvetica"/>
          <w:lang w:val="fr-FR"/>
        </w:rPr>
        <w:t xml:space="preserve">, R.C., </w:t>
      </w:r>
      <w:proofErr w:type="spellStart"/>
      <w:r w:rsidRPr="000661E7">
        <w:rPr>
          <w:rFonts w:cs="Helvetica"/>
          <w:lang w:val="fr-FR"/>
        </w:rPr>
        <w:t>Founou</w:t>
      </w:r>
      <w:proofErr w:type="spellEnd"/>
      <w:r w:rsidRPr="000661E7">
        <w:rPr>
          <w:rFonts w:cs="Helvetica"/>
          <w:lang w:val="fr-FR"/>
        </w:rPr>
        <w:t xml:space="preserve">, L.L., </w:t>
      </w:r>
      <w:proofErr w:type="spellStart"/>
      <w:r w:rsidRPr="000661E7">
        <w:rPr>
          <w:rFonts w:cs="Helvetica"/>
          <w:lang w:val="fr-FR"/>
        </w:rPr>
        <w:t>Essack</w:t>
      </w:r>
      <w:proofErr w:type="spellEnd"/>
      <w:r w:rsidRPr="000661E7">
        <w:rPr>
          <w:rFonts w:cs="Helvetica"/>
          <w:lang w:val="fr-FR"/>
        </w:rPr>
        <w:t xml:space="preserve">, S.Y., 2018. </w:t>
      </w:r>
      <w:r w:rsidRPr="000661E7">
        <w:rPr>
          <w:rFonts w:cs="Helvetica"/>
        </w:rPr>
        <w:t xml:space="preserve">Extended spectrum beta-lactamase mediated resistance in carriage and clinical gram-negative ESKAPE bacteria: a </w:t>
      </w:r>
      <w:r w:rsidRPr="000661E7">
        <w:rPr>
          <w:rFonts w:cs="Helvetica"/>
        </w:rPr>
        <w:lastRenderedPageBreak/>
        <w:t xml:space="preserve">comparative study between a district and tertiary hospital in South Africa. </w:t>
      </w:r>
      <w:proofErr w:type="spellStart"/>
      <w:r w:rsidRPr="000661E7">
        <w:rPr>
          <w:rFonts w:cs="Helvetica"/>
          <w:lang w:val="fr-FR"/>
        </w:rPr>
        <w:t>Antimicrob</w:t>
      </w:r>
      <w:proofErr w:type="spellEnd"/>
      <w:r w:rsidRPr="000661E7">
        <w:rPr>
          <w:rFonts w:cs="Helvetica"/>
          <w:lang w:val="fr-FR"/>
        </w:rPr>
        <w:t xml:space="preserve">. </w:t>
      </w:r>
      <w:proofErr w:type="spellStart"/>
      <w:r w:rsidRPr="000661E7">
        <w:rPr>
          <w:rFonts w:cs="Helvetica"/>
          <w:lang w:val="fr-FR"/>
        </w:rPr>
        <w:t>Resist</w:t>
      </w:r>
      <w:proofErr w:type="spellEnd"/>
      <w:r w:rsidRPr="000661E7">
        <w:rPr>
          <w:rFonts w:cs="Helvetica"/>
          <w:lang w:val="fr-FR"/>
        </w:rPr>
        <w:t>. Infect. Control 7, 134. https://doi.org/10.1186/s13756-018-0423-0</w:t>
      </w:r>
    </w:p>
    <w:p w14:paraId="56995078" w14:textId="77777777" w:rsidR="000661E7" w:rsidRPr="000661E7" w:rsidRDefault="000661E7" w:rsidP="000661E7">
      <w:pPr>
        <w:pStyle w:val="Bibliographie"/>
        <w:rPr>
          <w:rFonts w:cs="Helvetica"/>
          <w:lang w:val="fr-FR"/>
        </w:rPr>
      </w:pPr>
      <w:proofErr w:type="spellStart"/>
      <w:r w:rsidRPr="000661E7">
        <w:rPr>
          <w:rFonts w:cs="Helvetica"/>
          <w:lang w:val="fr-FR"/>
        </w:rPr>
        <w:t>Fumat</w:t>
      </w:r>
      <w:proofErr w:type="spellEnd"/>
      <w:r w:rsidRPr="000661E7">
        <w:rPr>
          <w:rFonts w:cs="Helvetica"/>
          <w:lang w:val="fr-FR"/>
        </w:rPr>
        <w:t xml:space="preserve">, C., </w:t>
      </w:r>
      <w:proofErr w:type="spellStart"/>
      <w:r w:rsidRPr="000661E7">
        <w:rPr>
          <w:rFonts w:cs="Helvetica"/>
          <w:lang w:val="fr-FR"/>
        </w:rPr>
        <w:t>François,Denis</w:t>
      </w:r>
      <w:proofErr w:type="spellEnd"/>
      <w:r w:rsidRPr="000661E7">
        <w:rPr>
          <w:rFonts w:cs="Helvetica"/>
          <w:lang w:val="fr-FR"/>
        </w:rPr>
        <w:t xml:space="preserve">, 2016. Bactériologie médicale: techniques usuelles, 3e éd. </w:t>
      </w:r>
      <w:proofErr w:type="spellStart"/>
      <w:r w:rsidRPr="000661E7">
        <w:rPr>
          <w:rFonts w:cs="Helvetica"/>
          <w:lang w:val="fr-FR"/>
        </w:rPr>
        <w:t>ed</w:t>
      </w:r>
      <w:proofErr w:type="spellEnd"/>
      <w:r w:rsidRPr="000661E7">
        <w:rPr>
          <w:rFonts w:cs="Helvetica"/>
          <w:lang w:val="fr-FR"/>
        </w:rPr>
        <w:t>. Elsevier Masson, Issy-les-Moulineaux.</w:t>
      </w:r>
    </w:p>
    <w:p w14:paraId="52B0E0DD" w14:textId="77777777" w:rsidR="000661E7" w:rsidRPr="000661E7" w:rsidRDefault="000661E7" w:rsidP="000661E7">
      <w:pPr>
        <w:pStyle w:val="Bibliographie"/>
        <w:rPr>
          <w:rFonts w:cs="Helvetica"/>
        </w:rPr>
      </w:pPr>
      <w:proofErr w:type="spellStart"/>
      <w:r w:rsidRPr="000661E7">
        <w:rPr>
          <w:rFonts w:cs="Helvetica"/>
          <w:lang w:val="fr-FR"/>
        </w:rPr>
        <w:t>Giuffrè</w:t>
      </w:r>
      <w:proofErr w:type="spellEnd"/>
      <w:r w:rsidRPr="000661E7">
        <w:rPr>
          <w:rFonts w:cs="Helvetica"/>
          <w:lang w:val="fr-FR"/>
        </w:rPr>
        <w:t xml:space="preserve">, M., Geraci, D.M., Bonura, C., Saporito, L., Graziano, G., Insinga, V., Aleo, A., Vecchio, D., Mammina, C., 2016. </w:t>
      </w:r>
      <w:r w:rsidRPr="000661E7">
        <w:rPr>
          <w:rFonts w:cs="Helvetica"/>
        </w:rPr>
        <w:t>The Increasing Challenge of Multidrug-Resistant Gram-Negative Bacilli. Medicine (Baltimore) 95, e3016. https://doi.org/10.1097/MD.0000000000003016</w:t>
      </w:r>
    </w:p>
    <w:p w14:paraId="66AF4CE2" w14:textId="77777777" w:rsidR="000661E7" w:rsidRPr="000661E7" w:rsidRDefault="000661E7" w:rsidP="000661E7">
      <w:pPr>
        <w:pStyle w:val="Bibliographie"/>
        <w:rPr>
          <w:rFonts w:cs="Helvetica"/>
        </w:rPr>
      </w:pPr>
      <w:proofErr w:type="spellStart"/>
      <w:r w:rsidRPr="000661E7">
        <w:rPr>
          <w:rFonts w:cs="Helvetica"/>
        </w:rPr>
        <w:t>Godonou</w:t>
      </w:r>
      <w:proofErr w:type="spellEnd"/>
      <w:r w:rsidRPr="000661E7">
        <w:rPr>
          <w:rFonts w:cs="Helvetica"/>
        </w:rPr>
        <w:t xml:space="preserve">, A.M., Lack, F., </w:t>
      </w:r>
      <w:proofErr w:type="spellStart"/>
      <w:r w:rsidRPr="000661E7">
        <w:rPr>
          <w:rFonts w:cs="Helvetica"/>
        </w:rPr>
        <w:t>Gbeasor-Komlanvi</w:t>
      </w:r>
      <w:proofErr w:type="spellEnd"/>
      <w:r w:rsidRPr="000661E7">
        <w:rPr>
          <w:rFonts w:cs="Helvetica"/>
        </w:rPr>
        <w:t xml:space="preserve">, F.A., </w:t>
      </w:r>
      <w:proofErr w:type="spellStart"/>
      <w:r w:rsidRPr="000661E7">
        <w:rPr>
          <w:rFonts w:cs="Helvetica"/>
        </w:rPr>
        <w:t>Konlani</w:t>
      </w:r>
      <w:proofErr w:type="spellEnd"/>
      <w:r w:rsidRPr="000661E7">
        <w:rPr>
          <w:rFonts w:cs="Helvetica"/>
        </w:rPr>
        <w:t xml:space="preserve">, L., Dossim, S., </w:t>
      </w:r>
      <w:proofErr w:type="spellStart"/>
      <w:r w:rsidRPr="000661E7">
        <w:rPr>
          <w:rFonts w:cs="Helvetica"/>
        </w:rPr>
        <w:t>Ameyapoh</w:t>
      </w:r>
      <w:proofErr w:type="spellEnd"/>
      <w:r w:rsidRPr="000661E7">
        <w:rPr>
          <w:rFonts w:cs="Helvetica"/>
        </w:rPr>
        <w:t xml:space="preserve">, Y.A., Ekouevi, K., </w:t>
      </w:r>
      <w:proofErr w:type="spellStart"/>
      <w:r w:rsidRPr="000661E7">
        <w:rPr>
          <w:rFonts w:cs="Helvetica"/>
        </w:rPr>
        <w:t>Dagnra</w:t>
      </w:r>
      <w:proofErr w:type="spellEnd"/>
      <w:r w:rsidRPr="000661E7">
        <w:rPr>
          <w:rFonts w:cs="Helvetica"/>
        </w:rPr>
        <w:t xml:space="preserve">, A.Y., Salou, M., 2022. High </w:t>
      </w:r>
      <w:proofErr w:type="spellStart"/>
      <w:r w:rsidRPr="000661E7">
        <w:rPr>
          <w:rFonts w:cs="Helvetica"/>
        </w:rPr>
        <w:t>faecal</w:t>
      </w:r>
      <w:proofErr w:type="spellEnd"/>
      <w:r w:rsidRPr="000661E7">
        <w:rPr>
          <w:rFonts w:cs="Helvetica"/>
        </w:rPr>
        <w:t xml:space="preserve"> carriage of extended-spectrum beta-lactamase producing Enterobacteriaceae (ESBL-PE) among hospitalized patients at Sylvanus Olympio Teaching Hospital, Lomé, Togo in 2019. Afr. J. Clin. Exp. </w:t>
      </w:r>
      <w:proofErr w:type="spellStart"/>
      <w:r w:rsidRPr="000661E7">
        <w:rPr>
          <w:rFonts w:cs="Helvetica"/>
        </w:rPr>
        <w:t>Microbiol</w:t>
      </w:r>
      <w:proofErr w:type="spellEnd"/>
      <w:r w:rsidRPr="000661E7">
        <w:rPr>
          <w:rFonts w:cs="Helvetica"/>
        </w:rPr>
        <w:t>. 23, 40–48. https://doi.org/10.4314/ajcem.v23i1.6</w:t>
      </w:r>
    </w:p>
    <w:p w14:paraId="6E2568B1" w14:textId="77777777" w:rsidR="000661E7" w:rsidRPr="000661E7" w:rsidRDefault="000661E7" w:rsidP="000661E7">
      <w:pPr>
        <w:pStyle w:val="Bibliographie"/>
        <w:rPr>
          <w:rFonts w:cs="Helvetica"/>
        </w:rPr>
      </w:pPr>
      <w:r w:rsidRPr="000661E7">
        <w:rPr>
          <w:rFonts w:cs="Helvetica"/>
        </w:rPr>
        <w:t xml:space="preserve">Grohs, P., </w:t>
      </w:r>
      <w:proofErr w:type="spellStart"/>
      <w:r w:rsidRPr="000661E7">
        <w:rPr>
          <w:rFonts w:cs="Helvetica"/>
        </w:rPr>
        <w:t>Vilfaillot</w:t>
      </w:r>
      <w:proofErr w:type="spellEnd"/>
      <w:r w:rsidRPr="000661E7">
        <w:rPr>
          <w:rFonts w:cs="Helvetica"/>
        </w:rPr>
        <w:t xml:space="preserve">, A., Zahar, J.R., </w:t>
      </w:r>
      <w:proofErr w:type="spellStart"/>
      <w:r w:rsidRPr="000661E7">
        <w:rPr>
          <w:rFonts w:cs="Helvetica"/>
        </w:rPr>
        <w:t>Barbut</w:t>
      </w:r>
      <w:proofErr w:type="spellEnd"/>
      <w:r w:rsidRPr="000661E7">
        <w:rPr>
          <w:rFonts w:cs="Helvetica"/>
        </w:rPr>
        <w:t xml:space="preserve">, F., Frange, P., Casetta, A., Moulin, V., Lawrence, C., Baune, P., Bourgeois, C., Bouffier, A., </w:t>
      </w:r>
      <w:proofErr w:type="spellStart"/>
      <w:r w:rsidRPr="000661E7">
        <w:rPr>
          <w:rFonts w:cs="Helvetica"/>
        </w:rPr>
        <w:t>Laussucq</w:t>
      </w:r>
      <w:proofErr w:type="spellEnd"/>
      <w:r w:rsidRPr="000661E7">
        <w:rPr>
          <w:rFonts w:cs="Helvetica"/>
        </w:rPr>
        <w:t xml:space="preserve">, C., </w:t>
      </w:r>
      <w:proofErr w:type="spellStart"/>
      <w:r w:rsidRPr="000661E7">
        <w:rPr>
          <w:rFonts w:cs="Helvetica"/>
        </w:rPr>
        <w:t>Sienzonit</w:t>
      </w:r>
      <w:proofErr w:type="spellEnd"/>
      <w:r w:rsidRPr="000661E7">
        <w:rPr>
          <w:rFonts w:cs="Helvetica"/>
        </w:rPr>
        <w:t xml:space="preserve">, L., Picard, S., </w:t>
      </w:r>
      <w:proofErr w:type="spellStart"/>
      <w:r w:rsidRPr="000661E7">
        <w:rPr>
          <w:rFonts w:cs="Helvetica"/>
        </w:rPr>
        <w:t>Podglajen</w:t>
      </w:r>
      <w:proofErr w:type="spellEnd"/>
      <w:r w:rsidRPr="000661E7">
        <w:rPr>
          <w:rFonts w:cs="Helvetica"/>
        </w:rPr>
        <w:t>, I., Kassis-</w:t>
      </w:r>
      <w:proofErr w:type="spellStart"/>
      <w:r w:rsidRPr="000661E7">
        <w:rPr>
          <w:rFonts w:cs="Helvetica"/>
        </w:rPr>
        <w:t>Chikhani</w:t>
      </w:r>
      <w:proofErr w:type="spellEnd"/>
      <w:r w:rsidRPr="000661E7">
        <w:rPr>
          <w:rFonts w:cs="Helvetica"/>
        </w:rPr>
        <w:t xml:space="preserve">, N., 2022. </w:t>
      </w:r>
      <w:proofErr w:type="spellStart"/>
      <w:r w:rsidRPr="000661E7">
        <w:rPr>
          <w:rFonts w:cs="Helvetica"/>
        </w:rPr>
        <w:t>Faecal</w:t>
      </w:r>
      <w:proofErr w:type="spellEnd"/>
      <w:r w:rsidRPr="000661E7">
        <w:rPr>
          <w:rFonts w:cs="Helvetica"/>
        </w:rPr>
        <w:t xml:space="preserve"> carriage of multidrug-resistant bacteria and associated risk factors: results from a point prevalence study. J. </w:t>
      </w:r>
      <w:proofErr w:type="spellStart"/>
      <w:r w:rsidRPr="000661E7">
        <w:rPr>
          <w:rFonts w:cs="Helvetica"/>
        </w:rPr>
        <w:t>Antimicrob</w:t>
      </w:r>
      <w:proofErr w:type="spellEnd"/>
      <w:r w:rsidRPr="000661E7">
        <w:rPr>
          <w:rFonts w:cs="Helvetica"/>
        </w:rPr>
        <w:t xml:space="preserve">. </w:t>
      </w:r>
      <w:proofErr w:type="spellStart"/>
      <w:r w:rsidRPr="000661E7">
        <w:rPr>
          <w:rFonts w:cs="Helvetica"/>
        </w:rPr>
        <w:t>Chemother</w:t>
      </w:r>
      <w:proofErr w:type="spellEnd"/>
      <w:r w:rsidRPr="000661E7">
        <w:rPr>
          <w:rFonts w:cs="Helvetica"/>
        </w:rPr>
        <w:t>. 77, 2667–2678. https://doi.org/10.1093/jac/dkac289</w:t>
      </w:r>
    </w:p>
    <w:p w14:paraId="2C2E5267" w14:textId="77777777" w:rsidR="000661E7" w:rsidRPr="000661E7" w:rsidRDefault="000661E7" w:rsidP="000661E7">
      <w:pPr>
        <w:pStyle w:val="Bibliographie"/>
        <w:rPr>
          <w:rFonts w:cs="Helvetica"/>
        </w:rPr>
      </w:pPr>
      <w:r w:rsidRPr="000661E7">
        <w:rPr>
          <w:rFonts w:cs="Helvetica"/>
        </w:rPr>
        <w:t xml:space="preserve">Islam, S., </w:t>
      </w:r>
      <w:proofErr w:type="spellStart"/>
      <w:r w:rsidRPr="000661E7">
        <w:rPr>
          <w:rFonts w:cs="Helvetica"/>
        </w:rPr>
        <w:t>Selvarangan</w:t>
      </w:r>
      <w:proofErr w:type="spellEnd"/>
      <w:r w:rsidRPr="000661E7">
        <w:rPr>
          <w:rFonts w:cs="Helvetica"/>
        </w:rPr>
        <w:t xml:space="preserve">, R., Kanwar, N., McHenry, R., Chappell, J.D., </w:t>
      </w:r>
      <w:proofErr w:type="spellStart"/>
      <w:r w:rsidRPr="000661E7">
        <w:rPr>
          <w:rFonts w:cs="Helvetica"/>
        </w:rPr>
        <w:t>Halasa</w:t>
      </w:r>
      <w:proofErr w:type="spellEnd"/>
      <w:r w:rsidRPr="000661E7">
        <w:rPr>
          <w:rFonts w:cs="Helvetica"/>
        </w:rPr>
        <w:t xml:space="preserve">, N., </w:t>
      </w:r>
      <w:proofErr w:type="spellStart"/>
      <w:r w:rsidRPr="000661E7">
        <w:rPr>
          <w:rFonts w:cs="Helvetica"/>
        </w:rPr>
        <w:t>Wikswo</w:t>
      </w:r>
      <w:proofErr w:type="spellEnd"/>
      <w:r w:rsidRPr="000661E7">
        <w:rPr>
          <w:rFonts w:cs="Helvetica"/>
        </w:rPr>
        <w:t xml:space="preserve">, M.E., Payne, D.C., Azimi, P.H., McDonald, L.C., Gomez-Duarte, O.G., 2018. Intestinal Carriage of Third-Generation Cephalosporin-Resistant and Extended-Spectrum β-Lactamase-Producing Enterobacteriaceae in Healthy US Children. J. </w:t>
      </w:r>
      <w:proofErr w:type="spellStart"/>
      <w:r w:rsidRPr="000661E7">
        <w:rPr>
          <w:rFonts w:cs="Helvetica"/>
        </w:rPr>
        <w:t>Pediatr</w:t>
      </w:r>
      <w:proofErr w:type="spellEnd"/>
      <w:r w:rsidRPr="000661E7">
        <w:rPr>
          <w:rFonts w:cs="Helvetica"/>
        </w:rPr>
        <w:t>. Infect. Dis. Soc. 7, 234–240. https://doi.org/10.1093/jpids/pix045</w:t>
      </w:r>
    </w:p>
    <w:p w14:paraId="081BF5E4" w14:textId="77777777" w:rsidR="000661E7" w:rsidRPr="000661E7" w:rsidRDefault="000661E7" w:rsidP="000661E7">
      <w:pPr>
        <w:pStyle w:val="Bibliographie"/>
        <w:rPr>
          <w:rFonts w:cs="Helvetica"/>
        </w:rPr>
      </w:pPr>
      <w:r w:rsidRPr="000661E7">
        <w:rPr>
          <w:rFonts w:cs="Helvetica"/>
        </w:rPr>
        <w:t xml:space="preserve">Kovacs, D., Silago, V., Msanga, D.R., </w:t>
      </w:r>
      <w:proofErr w:type="spellStart"/>
      <w:r w:rsidRPr="000661E7">
        <w:rPr>
          <w:rFonts w:cs="Helvetica"/>
        </w:rPr>
        <w:t>Mshana</w:t>
      </w:r>
      <w:proofErr w:type="spellEnd"/>
      <w:r w:rsidRPr="000661E7">
        <w:rPr>
          <w:rFonts w:cs="Helvetica"/>
        </w:rPr>
        <w:t xml:space="preserve">, S.E., Seni, J., </w:t>
      </w:r>
      <w:proofErr w:type="spellStart"/>
      <w:r w:rsidRPr="000661E7">
        <w:rPr>
          <w:rFonts w:cs="Helvetica"/>
        </w:rPr>
        <w:t>Oravcova</w:t>
      </w:r>
      <w:proofErr w:type="spellEnd"/>
      <w:r w:rsidRPr="000661E7">
        <w:rPr>
          <w:rFonts w:cs="Helvetica"/>
        </w:rPr>
        <w:t>, K., Matthews, L., 2022. The hospital environment versus carriage: transmission pathways for third-generation cephalosporin-resistant bacteria in blood in neonates in a low-resource country healthcare setting. Sci. Rep. 12, 8347. https://doi.org/10.1038/s41598-022-11626-6</w:t>
      </w:r>
    </w:p>
    <w:p w14:paraId="33B4CF58" w14:textId="77777777" w:rsidR="000661E7" w:rsidRPr="000661E7" w:rsidRDefault="000661E7" w:rsidP="000661E7">
      <w:pPr>
        <w:pStyle w:val="Bibliographie"/>
        <w:rPr>
          <w:rFonts w:cs="Helvetica"/>
          <w:lang w:val="fr-FR"/>
        </w:rPr>
      </w:pPr>
      <w:proofErr w:type="spellStart"/>
      <w:r w:rsidRPr="000661E7">
        <w:rPr>
          <w:rFonts w:cs="Helvetica"/>
        </w:rPr>
        <w:t>Kuissi</w:t>
      </w:r>
      <w:proofErr w:type="spellEnd"/>
      <w:r w:rsidRPr="000661E7">
        <w:rPr>
          <w:rFonts w:cs="Helvetica"/>
        </w:rPr>
        <w:t xml:space="preserve"> Kamgaing, E., </w:t>
      </w:r>
      <w:proofErr w:type="spellStart"/>
      <w:r w:rsidRPr="000661E7">
        <w:rPr>
          <w:rFonts w:cs="Helvetica"/>
        </w:rPr>
        <w:t>Minto’o</w:t>
      </w:r>
      <w:proofErr w:type="spellEnd"/>
      <w:r w:rsidRPr="000661E7">
        <w:rPr>
          <w:rFonts w:cs="Helvetica"/>
        </w:rPr>
        <w:t xml:space="preserve"> Rogombé, S., </w:t>
      </w:r>
      <w:proofErr w:type="spellStart"/>
      <w:r w:rsidRPr="000661E7">
        <w:rPr>
          <w:rFonts w:cs="Helvetica"/>
        </w:rPr>
        <w:t>Mymbila</w:t>
      </w:r>
      <w:proofErr w:type="spellEnd"/>
      <w:r w:rsidRPr="000661E7">
        <w:rPr>
          <w:rFonts w:cs="Helvetica"/>
        </w:rPr>
        <w:t xml:space="preserve">, M., Mengue M’ella, M., Koko, J., </w:t>
      </w:r>
      <w:proofErr w:type="spellStart"/>
      <w:r w:rsidRPr="000661E7">
        <w:rPr>
          <w:rFonts w:cs="Helvetica"/>
        </w:rPr>
        <w:t>Ategbo</w:t>
      </w:r>
      <w:proofErr w:type="spellEnd"/>
      <w:r w:rsidRPr="000661E7">
        <w:rPr>
          <w:rFonts w:cs="Helvetica"/>
        </w:rPr>
        <w:t xml:space="preserve">, S., 2017. </w:t>
      </w:r>
      <w:r w:rsidRPr="000661E7">
        <w:rPr>
          <w:rFonts w:cs="Helvetica"/>
          <w:lang w:val="fr-FR"/>
        </w:rPr>
        <w:t>Colonisation digestive par des germes nosocomiaux des nouveau-nés hospitalisés au CHU d’</w:t>
      </w:r>
      <w:proofErr w:type="spellStart"/>
      <w:r w:rsidRPr="000661E7">
        <w:rPr>
          <w:rFonts w:cs="Helvetica"/>
          <w:lang w:val="fr-FR"/>
        </w:rPr>
        <w:t>Angondjé</w:t>
      </w:r>
      <w:proofErr w:type="spellEnd"/>
      <w:r w:rsidRPr="000661E7">
        <w:rPr>
          <w:rFonts w:cs="Helvetica"/>
          <w:lang w:val="fr-FR"/>
        </w:rPr>
        <w:t> : aspects épidémiologiques et facteurs de risque. J. Pédiatrie Puériculture 30, 193–200. https://doi.org/10.1016/j.jpp.2017.09.013</w:t>
      </w:r>
    </w:p>
    <w:p w14:paraId="3A83408E" w14:textId="77777777" w:rsidR="000661E7" w:rsidRPr="000661E7" w:rsidRDefault="000661E7" w:rsidP="000661E7">
      <w:pPr>
        <w:pStyle w:val="Bibliographie"/>
        <w:rPr>
          <w:rFonts w:cs="Helvetica"/>
          <w:lang w:val="fr-FR"/>
        </w:rPr>
      </w:pPr>
      <w:r w:rsidRPr="000661E7">
        <w:rPr>
          <w:rFonts w:cs="Helvetica"/>
          <w:lang w:val="fr-FR"/>
        </w:rPr>
        <w:t xml:space="preserve">Labi, A.-K., Bjerrum, S., </w:t>
      </w:r>
      <w:proofErr w:type="spellStart"/>
      <w:r w:rsidRPr="000661E7">
        <w:rPr>
          <w:rFonts w:cs="Helvetica"/>
          <w:lang w:val="fr-FR"/>
        </w:rPr>
        <w:t>Enweronu</w:t>
      </w:r>
      <w:proofErr w:type="spellEnd"/>
      <w:r w:rsidRPr="000661E7">
        <w:rPr>
          <w:rFonts w:cs="Helvetica"/>
          <w:lang w:val="fr-FR"/>
        </w:rPr>
        <w:t xml:space="preserve">-Laryea, C.C., </w:t>
      </w:r>
      <w:proofErr w:type="spellStart"/>
      <w:r w:rsidRPr="000661E7">
        <w:rPr>
          <w:rFonts w:cs="Helvetica"/>
          <w:lang w:val="fr-FR"/>
        </w:rPr>
        <w:t>Ayibor</w:t>
      </w:r>
      <w:proofErr w:type="spellEnd"/>
      <w:r w:rsidRPr="000661E7">
        <w:rPr>
          <w:rFonts w:cs="Helvetica"/>
          <w:lang w:val="fr-FR"/>
        </w:rPr>
        <w:t xml:space="preserve">, P.K., Nielsen, K.L., Marvig, R.L., Newman, M.J., Andersen, L.P., Kurtzhals, J.A.L., 2020. </w:t>
      </w:r>
      <w:r w:rsidRPr="000661E7">
        <w:rPr>
          <w:rFonts w:cs="Helvetica"/>
        </w:rPr>
        <w:t xml:space="preserve">High Carriage Rates of Multidrug-Resistant Gram-Negative Bacteria in Neonatal Intensive Care Units From Ghana. </w:t>
      </w:r>
      <w:r w:rsidRPr="000661E7">
        <w:rPr>
          <w:rFonts w:cs="Helvetica"/>
          <w:lang w:val="fr-FR"/>
        </w:rPr>
        <w:t>Open Forum Infect. Dis. 7, ofaa109. https://doi.org/10.1093/ofid/ofaa109</w:t>
      </w:r>
    </w:p>
    <w:p w14:paraId="58505C67" w14:textId="77777777" w:rsidR="000661E7" w:rsidRPr="000661E7" w:rsidRDefault="000661E7" w:rsidP="000661E7">
      <w:pPr>
        <w:pStyle w:val="Bibliographie"/>
        <w:rPr>
          <w:rFonts w:cs="Helvetica"/>
          <w:lang w:val="fr-FR"/>
        </w:rPr>
      </w:pPr>
      <w:r w:rsidRPr="000661E7">
        <w:rPr>
          <w:rFonts w:cs="Helvetica"/>
          <w:lang w:val="fr-FR"/>
        </w:rPr>
        <w:t xml:space="preserve">Lack, F., </w:t>
      </w:r>
      <w:proofErr w:type="spellStart"/>
      <w:r w:rsidRPr="000661E7">
        <w:rPr>
          <w:rFonts w:cs="Helvetica"/>
          <w:lang w:val="fr-FR"/>
        </w:rPr>
        <w:t>Tsogbalé</w:t>
      </w:r>
      <w:proofErr w:type="spellEnd"/>
      <w:r w:rsidRPr="000661E7">
        <w:rPr>
          <w:rFonts w:cs="Helvetica"/>
          <w:lang w:val="fr-FR"/>
        </w:rPr>
        <w:t xml:space="preserve">, A., </w:t>
      </w:r>
      <w:proofErr w:type="spellStart"/>
      <w:r w:rsidRPr="000661E7">
        <w:rPr>
          <w:rFonts w:cs="Helvetica"/>
          <w:lang w:val="fr-FR"/>
        </w:rPr>
        <w:t>Doumegno</w:t>
      </w:r>
      <w:proofErr w:type="spellEnd"/>
      <w:r w:rsidRPr="000661E7">
        <w:rPr>
          <w:rFonts w:cs="Helvetica"/>
          <w:lang w:val="fr-FR"/>
        </w:rPr>
        <w:t xml:space="preserve">, J.K., </w:t>
      </w:r>
      <w:proofErr w:type="spellStart"/>
      <w:r w:rsidRPr="000661E7">
        <w:rPr>
          <w:rFonts w:cs="Helvetica"/>
          <w:lang w:val="fr-FR"/>
        </w:rPr>
        <w:t>Dossim</w:t>
      </w:r>
      <w:proofErr w:type="spellEnd"/>
      <w:r w:rsidRPr="000661E7">
        <w:rPr>
          <w:rFonts w:cs="Helvetica"/>
          <w:lang w:val="fr-FR"/>
        </w:rPr>
        <w:t xml:space="preserve">, S., </w:t>
      </w:r>
      <w:proofErr w:type="spellStart"/>
      <w:r w:rsidRPr="000661E7">
        <w:rPr>
          <w:rFonts w:cs="Helvetica"/>
          <w:lang w:val="fr-FR"/>
        </w:rPr>
        <w:t>Dagnra</w:t>
      </w:r>
      <w:proofErr w:type="spellEnd"/>
      <w:r w:rsidRPr="000661E7">
        <w:rPr>
          <w:rFonts w:cs="Helvetica"/>
          <w:lang w:val="fr-FR"/>
        </w:rPr>
        <w:t xml:space="preserve">, A., Salou, M., 2022. </w:t>
      </w:r>
      <w:proofErr w:type="spellStart"/>
      <w:r w:rsidRPr="000661E7">
        <w:rPr>
          <w:rFonts w:cs="Helvetica"/>
        </w:rPr>
        <w:t>Faecal</w:t>
      </w:r>
      <w:proofErr w:type="spellEnd"/>
      <w:r w:rsidRPr="000661E7">
        <w:rPr>
          <w:rFonts w:cs="Helvetica"/>
        </w:rPr>
        <w:t xml:space="preserve"> carriage of multi-drug resistant Enterobacteriaceae in hospitalized children at University Teaching Hospital Sylvanus Olympio of Lomé, Togo. Afr. J. Clin. Exp. </w:t>
      </w:r>
      <w:proofErr w:type="spellStart"/>
      <w:r w:rsidRPr="000661E7">
        <w:rPr>
          <w:rFonts w:cs="Helvetica"/>
          <w:lang w:val="fr-FR"/>
        </w:rPr>
        <w:t>Microbiol</w:t>
      </w:r>
      <w:proofErr w:type="spellEnd"/>
      <w:r w:rsidRPr="000661E7">
        <w:rPr>
          <w:rFonts w:cs="Helvetica"/>
          <w:lang w:val="fr-FR"/>
        </w:rPr>
        <w:t>. 23, 49–56. https://doi.org/10.4314/ajcem.v23i1.7</w:t>
      </w:r>
    </w:p>
    <w:p w14:paraId="1DF5CCF0" w14:textId="77777777" w:rsidR="000661E7" w:rsidRPr="000661E7" w:rsidRDefault="000661E7" w:rsidP="000661E7">
      <w:pPr>
        <w:pStyle w:val="Bibliographie"/>
        <w:rPr>
          <w:rFonts w:cs="Helvetica"/>
          <w:lang w:val="fr-FR"/>
        </w:rPr>
      </w:pPr>
      <w:proofErr w:type="spellStart"/>
      <w:r w:rsidRPr="000661E7">
        <w:rPr>
          <w:rFonts w:cs="Helvetica"/>
          <w:lang w:val="fr-FR"/>
        </w:rPr>
        <w:t>Langhendries</w:t>
      </w:r>
      <w:proofErr w:type="spellEnd"/>
      <w:r w:rsidRPr="000661E7">
        <w:rPr>
          <w:rFonts w:cs="Helvetica"/>
          <w:lang w:val="fr-FR"/>
        </w:rPr>
        <w:t>, J.-P., 2008. Microflore de la mère et du nouveau-né : quelques aspects périnataux. J. Pédiatrie Puériculture 21, 339–343. https://doi.org/10.1016/j.jpp.2008.09.006</w:t>
      </w:r>
    </w:p>
    <w:p w14:paraId="79C3CDC7" w14:textId="77777777" w:rsidR="000661E7" w:rsidRPr="000661E7" w:rsidRDefault="000661E7" w:rsidP="000661E7">
      <w:pPr>
        <w:pStyle w:val="Bibliographie"/>
        <w:rPr>
          <w:rFonts w:cs="Helvetica"/>
          <w:lang w:val="fr-FR"/>
        </w:rPr>
      </w:pPr>
      <w:r w:rsidRPr="000661E7">
        <w:rPr>
          <w:rFonts w:cs="Helvetica"/>
          <w:lang w:val="fr-FR"/>
        </w:rPr>
        <w:t>Lucet, J.-C., 2012. Transmission croisée : éléments de réflexion pour une analyse de risque. HYGIÈNES XX-, 123–132.</w:t>
      </w:r>
    </w:p>
    <w:p w14:paraId="67BA4D24" w14:textId="77777777" w:rsidR="000661E7" w:rsidRPr="000661E7" w:rsidRDefault="000661E7" w:rsidP="000661E7">
      <w:pPr>
        <w:pStyle w:val="Bibliographie"/>
        <w:rPr>
          <w:rFonts w:cs="Helvetica"/>
          <w:lang w:val="fr-FR"/>
        </w:rPr>
      </w:pPr>
      <w:r w:rsidRPr="000661E7">
        <w:rPr>
          <w:rFonts w:cs="Helvetica"/>
          <w:lang w:val="fr-FR"/>
        </w:rPr>
        <w:t>Madec, J.-Y., 2022. Généralités sur les antibiotiques et l’antibiorésistance - Notions générales sur l’antibiorésistance. Ffanses-04559052 04559052, pp.12-14,.</w:t>
      </w:r>
    </w:p>
    <w:p w14:paraId="712E5609" w14:textId="77777777" w:rsidR="000661E7" w:rsidRPr="000661E7" w:rsidRDefault="000661E7" w:rsidP="000661E7">
      <w:pPr>
        <w:pStyle w:val="Bibliographie"/>
        <w:rPr>
          <w:rFonts w:cs="Helvetica"/>
        </w:rPr>
      </w:pPr>
      <w:r w:rsidRPr="000661E7">
        <w:rPr>
          <w:rFonts w:cs="Helvetica"/>
          <w:lang w:val="fr-FR"/>
        </w:rPr>
        <w:t xml:space="preserve">Nikiema Pessinaba, C., </w:t>
      </w:r>
      <w:proofErr w:type="spellStart"/>
      <w:r w:rsidRPr="000661E7">
        <w:rPr>
          <w:rFonts w:cs="Helvetica"/>
          <w:lang w:val="fr-FR"/>
        </w:rPr>
        <w:t>Landoh</w:t>
      </w:r>
      <w:proofErr w:type="spellEnd"/>
      <w:r w:rsidRPr="000661E7">
        <w:rPr>
          <w:rFonts w:cs="Helvetica"/>
          <w:lang w:val="fr-FR"/>
        </w:rPr>
        <w:t xml:space="preserve">, D.E., </w:t>
      </w:r>
      <w:proofErr w:type="spellStart"/>
      <w:r w:rsidRPr="000661E7">
        <w:rPr>
          <w:rFonts w:cs="Helvetica"/>
          <w:lang w:val="fr-FR"/>
        </w:rPr>
        <w:t>Dossim</w:t>
      </w:r>
      <w:proofErr w:type="spellEnd"/>
      <w:r w:rsidRPr="000661E7">
        <w:rPr>
          <w:rFonts w:cs="Helvetica"/>
          <w:lang w:val="fr-FR"/>
        </w:rPr>
        <w:t xml:space="preserve">, S., </w:t>
      </w:r>
      <w:proofErr w:type="spellStart"/>
      <w:r w:rsidRPr="000661E7">
        <w:rPr>
          <w:rFonts w:cs="Helvetica"/>
          <w:lang w:val="fr-FR"/>
        </w:rPr>
        <w:t>Bidjada</w:t>
      </w:r>
      <w:proofErr w:type="spellEnd"/>
      <w:r w:rsidRPr="000661E7">
        <w:rPr>
          <w:rFonts w:cs="Helvetica"/>
          <w:lang w:val="fr-FR"/>
        </w:rPr>
        <w:t>, B., Kere-</w:t>
      </w:r>
      <w:proofErr w:type="spellStart"/>
      <w:r w:rsidRPr="000661E7">
        <w:rPr>
          <w:rFonts w:cs="Helvetica"/>
          <w:lang w:val="fr-FR"/>
        </w:rPr>
        <w:t>Banla</w:t>
      </w:r>
      <w:proofErr w:type="spellEnd"/>
      <w:r w:rsidRPr="000661E7">
        <w:rPr>
          <w:rFonts w:cs="Helvetica"/>
          <w:lang w:val="fr-FR"/>
        </w:rPr>
        <w:t xml:space="preserve">, A., </w:t>
      </w:r>
      <w:proofErr w:type="spellStart"/>
      <w:r w:rsidRPr="000661E7">
        <w:rPr>
          <w:rFonts w:cs="Helvetica"/>
          <w:lang w:val="fr-FR"/>
        </w:rPr>
        <w:t>Tamekloe</w:t>
      </w:r>
      <w:proofErr w:type="spellEnd"/>
      <w:r w:rsidRPr="000661E7">
        <w:rPr>
          <w:rFonts w:cs="Helvetica"/>
          <w:lang w:val="fr-FR"/>
        </w:rPr>
        <w:t xml:space="preserve">, T.A., Doumbia, T., Douti, K., </w:t>
      </w:r>
      <w:proofErr w:type="spellStart"/>
      <w:r w:rsidRPr="000661E7">
        <w:rPr>
          <w:rFonts w:cs="Helvetica"/>
          <w:lang w:val="fr-FR"/>
        </w:rPr>
        <w:t>Bakonde</w:t>
      </w:r>
      <w:proofErr w:type="spellEnd"/>
      <w:r w:rsidRPr="000661E7">
        <w:rPr>
          <w:rFonts w:cs="Helvetica"/>
          <w:lang w:val="fr-FR"/>
        </w:rPr>
        <w:t xml:space="preserve">, B.V., </w:t>
      </w:r>
      <w:proofErr w:type="spellStart"/>
      <w:r w:rsidRPr="000661E7">
        <w:rPr>
          <w:rFonts w:cs="Helvetica"/>
          <w:lang w:val="fr-FR"/>
        </w:rPr>
        <w:t>Segbena</w:t>
      </w:r>
      <w:proofErr w:type="spellEnd"/>
      <w:r w:rsidRPr="000661E7">
        <w:rPr>
          <w:rFonts w:cs="Helvetica"/>
          <w:lang w:val="fr-FR"/>
        </w:rPr>
        <w:t xml:space="preserve">, A.Y., 2018. </w:t>
      </w:r>
      <w:r w:rsidRPr="000661E7">
        <w:rPr>
          <w:rFonts w:cs="Helvetica"/>
        </w:rPr>
        <w:t xml:space="preserve">Screening for extended-spectrum beta-lactamase-producing Enterobacteriaceae intestinal carriage among children aged under five in Lomé, Togo. </w:t>
      </w:r>
      <w:proofErr w:type="spellStart"/>
      <w:r w:rsidRPr="000661E7">
        <w:rPr>
          <w:rFonts w:cs="Helvetica"/>
        </w:rPr>
        <w:t>Médecine</w:t>
      </w:r>
      <w:proofErr w:type="spellEnd"/>
      <w:r w:rsidRPr="000661E7">
        <w:rPr>
          <w:rFonts w:cs="Helvetica"/>
        </w:rPr>
        <w:t xml:space="preserve"> Mal. Infect. 48, 551–554. https://doi.org/10.1016/j.medmal.2018.07.004</w:t>
      </w:r>
    </w:p>
    <w:p w14:paraId="19A7900E" w14:textId="77777777" w:rsidR="000661E7" w:rsidRPr="000661E7" w:rsidRDefault="000661E7" w:rsidP="000661E7">
      <w:pPr>
        <w:pStyle w:val="Bibliographie"/>
        <w:rPr>
          <w:rFonts w:cs="Helvetica"/>
        </w:rPr>
      </w:pPr>
      <w:r w:rsidRPr="000661E7">
        <w:rPr>
          <w:rFonts w:cs="Helvetica"/>
        </w:rPr>
        <w:lastRenderedPageBreak/>
        <w:t xml:space="preserve">Ojeda, A., Akinsuyi, O., McKinley, K.L., </w:t>
      </w:r>
      <w:proofErr w:type="spellStart"/>
      <w:r w:rsidRPr="000661E7">
        <w:rPr>
          <w:rFonts w:cs="Helvetica"/>
        </w:rPr>
        <w:t>Xhumari</w:t>
      </w:r>
      <w:proofErr w:type="spellEnd"/>
      <w:r w:rsidRPr="000661E7">
        <w:rPr>
          <w:rFonts w:cs="Helvetica"/>
        </w:rPr>
        <w:t xml:space="preserve">, J., Triplett, E.W., Neu, J., Roesch, L.F.W., 2024. Increased antibiotic resistance in preterm neonates under early antibiotic use. </w:t>
      </w:r>
      <w:proofErr w:type="spellStart"/>
      <w:r w:rsidRPr="000661E7">
        <w:rPr>
          <w:rFonts w:cs="Helvetica"/>
        </w:rPr>
        <w:t>mSphere</w:t>
      </w:r>
      <w:proofErr w:type="spellEnd"/>
      <w:r w:rsidRPr="000661E7">
        <w:rPr>
          <w:rFonts w:cs="Helvetica"/>
        </w:rPr>
        <w:t xml:space="preserve"> 9, e00286-24. https://doi.org/10.1128/msphere.00286-24</w:t>
      </w:r>
    </w:p>
    <w:p w14:paraId="4C4E3B6F" w14:textId="77777777" w:rsidR="000661E7" w:rsidRPr="000661E7" w:rsidRDefault="000661E7" w:rsidP="000661E7">
      <w:pPr>
        <w:pStyle w:val="Bibliographie"/>
        <w:rPr>
          <w:rFonts w:cs="Helvetica"/>
        </w:rPr>
      </w:pPr>
      <w:proofErr w:type="spellStart"/>
      <w:r w:rsidRPr="000661E7">
        <w:rPr>
          <w:rFonts w:cs="Helvetica"/>
        </w:rPr>
        <w:t>Onanuga</w:t>
      </w:r>
      <w:proofErr w:type="spellEnd"/>
      <w:r w:rsidRPr="000661E7">
        <w:rPr>
          <w:rFonts w:cs="Helvetica"/>
        </w:rPr>
        <w:t xml:space="preserve">, A., </w:t>
      </w:r>
      <w:proofErr w:type="spellStart"/>
      <w:r w:rsidRPr="000661E7">
        <w:rPr>
          <w:rFonts w:cs="Helvetica"/>
        </w:rPr>
        <w:t>Omeje</w:t>
      </w:r>
      <w:proofErr w:type="spellEnd"/>
      <w:r w:rsidRPr="000661E7">
        <w:rPr>
          <w:rFonts w:cs="Helvetica"/>
        </w:rPr>
        <w:t>, M.C., Eboh, D.D., 2018. Carriage of multi-drug resistant urobacteria by asymptomatic pregnant women in Yenagoa, Bayelsa State, Nigeria. Afr. J. Infect. Dis. 12, 14–20. https://doi.org/10.21010/ajid.v12i2.3</w:t>
      </w:r>
    </w:p>
    <w:p w14:paraId="704ADCB3" w14:textId="77777777" w:rsidR="000661E7" w:rsidRPr="000661E7" w:rsidRDefault="000661E7" w:rsidP="000661E7">
      <w:pPr>
        <w:pStyle w:val="Bibliographie"/>
        <w:rPr>
          <w:rFonts w:cs="Helvetica"/>
        </w:rPr>
      </w:pPr>
      <w:r w:rsidRPr="000661E7">
        <w:rPr>
          <w:rFonts w:cs="Helvetica"/>
        </w:rPr>
        <w:t xml:space="preserve">Ruef, M., </w:t>
      </w:r>
      <w:proofErr w:type="spellStart"/>
      <w:r w:rsidRPr="000661E7">
        <w:rPr>
          <w:rFonts w:cs="Helvetica"/>
        </w:rPr>
        <w:t>Emonet</w:t>
      </w:r>
      <w:proofErr w:type="spellEnd"/>
      <w:r w:rsidRPr="000661E7">
        <w:rPr>
          <w:rFonts w:cs="Helvetica"/>
        </w:rPr>
        <w:t xml:space="preserve">, S., </w:t>
      </w:r>
      <w:proofErr w:type="spellStart"/>
      <w:r w:rsidRPr="000661E7">
        <w:rPr>
          <w:rFonts w:cs="Helvetica"/>
        </w:rPr>
        <w:t>Merglen</w:t>
      </w:r>
      <w:proofErr w:type="spellEnd"/>
      <w:r w:rsidRPr="000661E7">
        <w:rPr>
          <w:rFonts w:cs="Helvetica"/>
        </w:rPr>
        <w:t xml:space="preserve">, A., </w:t>
      </w:r>
      <w:proofErr w:type="spellStart"/>
      <w:r w:rsidRPr="000661E7">
        <w:rPr>
          <w:rFonts w:cs="Helvetica"/>
        </w:rPr>
        <w:t>Dewez</w:t>
      </w:r>
      <w:proofErr w:type="spellEnd"/>
      <w:r w:rsidRPr="000661E7">
        <w:rPr>
          <w:rFonts w:cs="Helvetica"/>
        </w:rPr>
        <w:t xml:space="preserve">, J.E., Obama, B.M., </w:t>
      </w:r>
      <w:proofErr w:type="spellStart"/>
      <w:r w:rsidRPr="000661E7">
        <w:rPr>
          <w:rFonts w:cs="Helvetica"/>
        </w:rPr>
        <w:t>Catho</w:t>
      </w:r>
      <w:proofErr w:type="spellEnd"/>
      <w:r w:rsidRPr="000661E7">
        <w:rPr>
          <w:rFonts w:cs="Helvetica"/>
        </w:rPr>
        <w:t xml:space="preserve">, G., Andrey, D.O., Kowalski, M., Harbarth, S., </w:t>
      </w:r>
      <w:proofErr w:type="spellStart"/>
      <w:r w:rsidRPr="000661E7">
        <w:rPr>
          <w:rFonts w:cs="Helvetica"/>
        </w:rPr>
        <w:t>Combescure</w:t>
      </w:r>
      <w:proofErr w:type="spellEnd"/>
      <w:r w:rsidRPr="000661E7">
        <w:rPr>
          <w:rFonts w:cs="Helvetica"/>
        </w:rPr>
        <w:t xml:space="preserve">, C., Wagner, N., Galetto-Lacour, A., 2024. Carriage of third-generation cephalosporin-resistant and carbapenem-resistant </w:t>
      </w:r>
      <w:proofErr w:type="spellStart"/>
      <w:r w:rsidRPr="000661E7">
        <w:rPr>
          <w:rFonts w:cs="Helvetica"/>
        </w:rPr>
        <w:t>Enterobacterales</w:t>
      </w:r>
      <w:proofErr w:type="spellEnd"/>
      <w:r w:rsidRPr="000661E7">
        <w:rPr>
          <w:rFonts w:cs="Helvetica"/>
        </w:rPr>
        <w:t xml:space="preserve"> among children in sub-Saharan Africa: a systematic review and meta-analysis. </w:t>
      </w:r>
      <w:proofErr w:type="spellStart"/>
      <w:r w:rsidRPr="000661E7">
        <w:rPr>
          <w:rFonts w:cs="Helvetica"/>
        </w:rPr>
        <w:t>eClinicalMedicine</w:t>
      </w:r>
      <w:proofErr w:type="spellEnd"/>
      <w:r w:rsidRPr="000661E7">
        <w:rPr>
          <w:rFonts w:cs="Helvetica"/>
        </w:rPr>
        <w:t xml:space="preserve"> 70. https://doi.org/10.1016/j.eclinm.2024.102508</w:t>
      </w:r>
    </w:p>
    <w:p w14:paraId="0301B4E5" w14:textId="77777777" w:rsidR="000661E7" w:rsidRPr="000661E7" w:rsidRDefault="000661E7" w:rsidP="000661E7">
      <w:pPr>
        <w:pStyle w:val="Bibliographie"/>
        <w:rPr>
          <w:rFonts w:cs="Helvetica"/>
          <w:lang w:val="fr-FR"/>
        </w:rPr>
      </w:pPr>
      <w:proofErr w:type="spellStart"/>
      <w:r w:rsidRPr="000661E7">
        <w:rPr>
          <w:rFonts w:cs="Helvetica"/>
          <w:lang w:val="fr-FR"/>
        </w:rPr>
        <w:t>Skurnik</w:t>
      </w:r>
      <w:proofErr w:type="spellEnd"/>
      <w:r w:rsidRPr="000661E7">
        <w:rPr>
          <w:rFonts w:cs="Helvetica"/>
          <w:lang w:val="fr-FR"/>
        </w:rPr>
        <w:t xml:space="preserve">, D., </w:t>
      </w:r>
      <w:proofErr w:type="spellStart"/>
      <w:r w:rsidRPr="000661E7">
        <w:rPr>
          <w:rFonts w:cs="Helvetica"/>
          <w:lang w:val="fr-FR"/>
        </w:rPr>
        <w:t>Andremont</w:t>
      </w:r>
      <w:proofErr w:type="spellEnd"/>
      <w:r w:rsidRPr="000661E7">
        <w:rPr>
          <w:rFonts w:cs="Helvetica"/>
          <w:lang w:val="fr-FR"/>
        </w:rPr>
        <w:t xml:space="preserve">, A., 2006. Antibiothérapie </w:t>
      </w:r>
      <w:proofErr w:type="spellStart"/>
      <w:r w:rsidRPr="000661E7">
        <w:rPr>
          <w:rFonts w:cs="Helvetica"/>
          <w:lang w:val="fr-FR"/>
        </w:rPr>
        <w:t>sélectionnante</w:t>
      </w:r>
      <w:proofErr w:type="spellEnd"/>
      <w:r w:rsidRPr="000661E7">
        <w:rPr>
          <w:rFonts w:cs="Helvetica"/>
          <w:lang w:val="fr-FR"/>
        </w:rPr>
        <w:t>. De la théorie à la pratique. Réanimation 15, 198–204. https://doi.org/10.1016/j.reaurg.2006.03.002</w:t>
      </w:r>
    </w:p>
    <w:p w14:paraId="73855E06" w14:textId="77777777" w:rsidR="000661E7" w:rsidRPr="000661E7" w:rsidRDefault="000661E7" w:rsidP="000661E7">
      <w:pPr>
        <w:pStyle w:val="Bibliographie"/>
        <w:rPr>
          <w:rFonts w:cs="Helvetica"/>
          <w:lang w:val="fr-FR"/>
        </w:rPr>
      </w:pPr>
      <w:r w:rsidRPr="000661E7">
        <w:rPr>
          <w:rFonts w:cs="Helvetica"/>
        </w:rPr>
        <w:t xml:space="preserve">Tfifha, M., Ferjani, A., </w:t>
      </w:r>
      <w:proofErr w:type="spellStart"/>
      <w:r w:rsidRPr="000661E7">
        <w:rPr>
          <w:rFonts w:cs="Helvetica"/>
        </w:rPr>
        <w:t>Mallouli</w:t>
      </w:r>
      <w:proofErr w:type="spellEnd"/>
      <w:r w:rsidRPr="000661E7">
        <w:rPr>
          <w:rFonts w:cs="Helvetica"/>
        </w:rPr>
        <w:t xml:space="preserve">, M., </w:t>
      </w:r>
      <w:proofErr w:type="spellStart"/>
      <w:r w:rsidRPr="000661E7">
        <w:rPr>
          <w:rFonts w:cs="Helvetica"/>
        </w:rPr>
        <w:t>Mlika</w:t>
      </w:r>
      <w:proofErr w:type="spellEnd"/>
      <w:r w:rsidRPr="000661E7">
        <w:rPr>
          <w:rFonts w:cs="Helvetica"/>
        </w:rPr>
        <w:t xml:space="preserve">, N., </w:t>
      </w:r>
      <w:proofErr w:type="spellStart"/>
      <w:r w:rsidRPr="000661E7">
        <w:rPr>
          <w:rFonts w:cs="Helvetica"/>
        </w:rPr>
        <w:t>Abroug</w:t>
      </w:r>
      <w:proofErr w:type="spellEnd"/>
      <w:r w:rsidRPr="000661E7">
        <w:rPr>
          <w:rFonts w:cs="Helvetica"/>
        </w:rPr>
        <w:t xml:space="preserve">, S., </w:t>
      </w:r>
      <w:proofErr w:type="spellStart"/>
      <w:r w:rsidRPr="000661E7">
        <w:rPr>
          <w:rFonts w:cs="Helvetica"/>
        </w:rPr>
        <w:t>Boukadida</w:t>
      </w:r>
      <w:proofErr w:type="spellEnd"/>
      <w:r w:rsidRPr="000661E7">
        <w:rPr>
          <w:rFonts w:cs="Helvetica"/>
        </w:rPr>
        <w:t xml:space="preserve">, J., 2018. Carriage of multidrug-resistant bacteria among pediatric patients before and during their hospitalization in a tertiary pediatric unit in Tunisia. </w:t>
      </w:r>
      <w:proofErr w:type="spellStart"/>
      <w:r w:rsidRPr="000661E7">
        <w:rPr>
          <w:rFonts w:cs="Helvetica"/>
          <w:lang w:val="fr-FR"/>
        </w:rPr>
        <w:t>Libyan</w:t>
      </w:r>
      <w:proofErr w:type="spellEnd"/>
      <w:r w:rsidRPr="000661E7">
        <w:rPr>
          <w:rFonts w:cs="Helvetica"/>
          <w:lang w:val="fr-FR"/>
        </w:rPr>
        <w:t xml:space="preserve"> J. Med. 13. https://doi.org/10.1080/19932820.2017.1419047</w:t>
      </w:r>
    </w:p>
    <w:p w14:paraId="5E750C28" w14:textId="77777777" w:rsidR="000661E7" w:rsidRPr="000661E7" w:rsidRDefault="000661E7" w:rsidP="000661E7">
      <w:pPr>
        <w:pStyle w:val="Bibliographie"/>
        <w:rPr>
          <w:rFonts w:cs="Helvetica"/>
        </w:rPr>
      </w:pPr>
      <w:proofErr w:type="spellStart"/>
      <w:r w:rsidRPr="000661E7">
        <w:rPr>
          <w:rFonts w:cs="Helvetica"/>
          <w:lang w:val="fr-FR"/>
        </w:rPr>
        <w:t>Vodovar</w:t>
      </w:r>
      <w:proofErr w:type="spellEnd"/>
      <w:r w:rsidRPr="000661E7">
        <w:rPr>
          <w:rFonts w:cs="Helvetica"/>
          <w:lang w:val="fr-FR"/>
        </w:rPr>
        <w:t xml:space="preserve">, D., Marcadé, G., </w:t>
      </w:r>
      <w:proofErr w:type="spellStart"/>
      <w:r w:rsidRPr="000661E7">
        <w:rPr>
          <w:rFonts w:cs="Helvetica"/>
          <w:lang w:val="fr-FR"/>
        </w:rPr>
        <w:t>Raskine</w:t>
      </w:r>
      <w:proofErr w:type="spellEnd"/>
      <w:r w:rsidRPr="000661E7">
        <w:rPr>
          <w:rFonts w:cs="Helvetica"/>
          <w:lang w:val="fr-FR"/>
        </w:rPr>
        <w:t xml:space="preserve">, L., </w:t>
      </w:r>
      <w:proofErr w:type="spellStart"/>
      <w:r w:rsidRPr="000661E7">
        <w:rPr>
          <w:rFonts w:cs="Helvetica"/>
          <w:lang w:val="fr-FR"/>
        </w:rPr>
        <w:t>Malissin</w:t>
      </w:r>
      <w:proofErr w:type="spellEnd"/>
      <w:r w:rsidRPr="000661E7">
        <w:rPr>
          <w:rFonts w:cs="Helvetica"/>
          <w:lang w:val="fr-FR"/>
        </w:rPr>
        <w:t xml:space="preserve">, I., </w:t>
      </w:r>
      <w:proofErr w:type="spellStart"/>
      <w:r w:rsidRPr="000661E7">
        <w:rPr>
          <w:rFonts w:cs="Helvetica"/>
          <w:lang w:val="fr-FR"/>
        </w:rPr>
        <w:t>Mégarbane</w:t>
      </w:r>
      <w:proofErr w:type="spellEnd"/>
      <w:r w:rsidRPr="000661E7">
        <w:rPr>
          <w:rFonts w:cs="Helvetica"/>
          <w:lang w:val="fr-FR"/>
        </w:rPr>
        <w:t xml:space="preserve">, B., 2013. Entérobactéries productrices de bêta-lactamases à spectre élargi : épidémiologie, facteurs de risque et mesures de prévention. </w:t>
      </w:r>
      <w:r w:rsidRPr="000661E7">
        <w:rPr>
          <w:rFonts w:cs="Helvetica"/>
        </w:rPr>
        <w:t xml:space="preserve">Rev. </w:t>
      </w:r>
      <w:proofErr w:type="spellStart"/>
      <w:r w:rsidRPr="000661E7">
        <w:rPr>
          <w:rFonts w:cs="Helvetica"/>
        </w:rPr>
        <w:t>Médecine</w:t>
      </w:r>
      <w:proofErr w:type="spellEnd"/>
      <w:r w:rsidRPr="000661E7">
        <w:rPr>
          <w:rFonts w:cs="Helvetica"/>
        </w:rPr>
        <w:t xml:space="preserve"> Interne 34, 687–693. https://doi.org/10.1016/j.revmed.2012.10.365</w:t>
      </w:r>
    </w:p>
    <w:p w14:paraId="4B6054BD" w14:textId="77777777" w:rsidR="000661E7" w:rsidRPr="000661E7" w:rsidRDefault="000661E7" w:rsidP="000661E7">
      <w:pPr>
        <w:pStyle w:val="Bibliographie"/>
        <w:rPr>
          <w:rFonts w:cs="Helvetica"/>
        </w:rPr>
      </w:pPr>
      <w:r w:rsidRPr="000661E7">
        <w:rPr>
          <w:rFonts w:cs="Helvetica"/>
        </w:rPr>
        <w:t>World Health Organization, 2025. Analysis of antimicrobial resistance trends in the WHO African Region Insights from GLASS data, 2024 report.</w:t>
      </w:r>
    </w:p>
    <w:p w14:paraId="2E19DE3D" w14:textId="0FBB7F3C" w:rsidR="00CA77F1" w:rsidRDefault="00CA77F1" w:rsidP="00441B6F">
      <w:pPr>
        <w:pStyle w:val="Body"/>
        <w:spacing w:after="0"/>
      </w:pPr>
      <w:r>
        <w:fldChar w:fldCharType="end"/>
      </w:r>
    </w:p>
    <w:p w14:paraId="5D27A30F" w14:textId="77777777" w:rsidR="00CA77F1" w:rsidRDefault="00CA77F1" w:rsidP="00441B6F">
      <w:pPr>
        <w:pStyle w:val="Body"/>
        <w:spacing w:after="0"/>
      </w:pPr>
    </w:p>
    <w:p w14:paraId="10FC9EEB" w14:textId="30EFCE6A" w:rsidR="004D4277" w:rsidRPr="00FB3A86" w:rsidRDefault="004D4277" w:rsidP="00441B6F">
      <w:pPr>
        <w:pStyle w:val="Appendix"/>
        <w:spacing w:after="0"/>
        <w:jc w:val="both"/>
        <w:rPr>
          <w:rFonts w:ascii="Arial" w:hAnsi="Arial" w:cs="Arial"/>
          <w:b w:val="0"/>
        </w:rPr>
        <w:sectPr w:rsidR="004D4277" w:rsidRPr="00FB3A86" w:rsidSect="00E53040">
          <w:pgSz w:w="12240" w:h="15840"/>
          <w:pgMar w:top="1440" w:right="2016" w:bottom="2016" w:left="2016" w:header="720" w:footer="1123" w:gutter="0"/>
          <w:cols w:space="720"/>
          <w:docGrid w:linePitch="272"/>
        </w:sectPr>
      </w:pPr>
    </w:p>
    <w:p w14:paraId="466969A6" w14:textId="77777777" w:rsidR="00B01FCD" w:rsidRPr="00FB3A86" w:rsidRDefault="00B01FCD" w:rsidP="002B402A">
      <w:pPr>
        <w:pStyle w:val="Appendix"/>
        <w:spacing w:after="0"/>
        <w:ind w:left="720"/>
        <w:jc w:val="both"/>
        <w:rPr>
          <w:rFonts w:ascii="Arial" w:hAnsi="Arial" w:cs="Arial"/>
          <w:b w:val="0"/>
        </w:rPr>
      </w:pPr>
    </w:p>
    <w:sectPr w:rsidR="00B01FCD" w:rsidRPr="00FB3A86" w:rsidSect="00E530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223E" w14:textId="77777777" w:rsidR="009D1A06" w:rsidRDefault="009D1A06" w:rsidP="00C37E61">
      <w:r>
        <w:separator/>
      </w:r>
    </w:p>
  </w:endnote>
  <w:endnote w:type="continuationSeparator" w:id="0">
    <w:p w14:paraId="3C1F539D" w14:textId="77777777" w:rsidR="009D1A06" w:rsidRDefault="009D1A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D4BD" w14:textId="77777777" w:rsidR="00E53040" w:rsidRDefault="00E530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D090" w14:textId="77777777" w:rsidR="00E53040" w:rsidRDefault="00E530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AEEE" w14:textId="77777777" w:rsidR="009E048A" w:rsidRDefault="009E048A">
    <w:pPr>
      <w:pStyle w:val="Pieddepage"/>
      <w:rPr>
        <w:rFonts w:ascii="Arial" w:hAnsi="Arial" w:cs="Arial"/>
        <w:sz w:val="16"/>
      </w:rPr>
    </w:pPr>
  </w:p>
  <w:p w14:paraId="1F31C5B1"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79D9FC" w14:textId="77777777" w:rsidR="009E048A" w:rsidRDefault="009E048A">
    <w:pPr>
      <w:pStyle w:val="Pieddepage"/>
      <w:rPr>
        <w:rFonts w:ascii="Arial" w:hAnsi="Arial" w:cs="Arial"/>
        <w:sz w:val="16"/>
      </w:rPr>
    </w:pPr>
  </w:p>
  <w:p w14:paraId="04AC8BB7"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42A6"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0213" w14:textId="77777777" w:rsidR="009D1A06" w:rsidRDefault="009D1A06" w:rsidP="00C37E61">
      <w:r>
        <w:separator/>
      </w:r>
    </w:p>
  </w:footnote>
  <w:footnote w:type="continuationSeparator" w:id="0">
    <w:p w14:paraId="161BF69B" w14:textId="77777777" w:rsidR="009D1A06" w:rsidRDefault="009D1A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FFC7" w14:textId="5D0C319E" w:rsidR="00E53040" w:rsidRDefault="00000000">
    <w:pPr>
      <w:pStyle w:val="En-tte"/>
    </w:pPr>
    <w:r>
      <w:rPr>
        <w:noProof/>
      </w:rPr>
      <w:pict w14:anchorId="2F409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B1A8" w14:textId="608B24BD" w:rsidR="00E53040" w:rsidRDefault="00000000">
    <w:pPr>
      <w:pStyle w:val="En-tte"/>
    </w:pPr>
    <w:r>
      <w:rPr>
        <w:noProof/>
      </w:rPr>
      <w:pict w14:anchorId="3FD8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34A2" w14:textId="4F799DC0" w:rsidR="00296529" w:rsidRPr="00296529" w:rsidRDefault="00000000" w:rsidP="00296529">
    <w:pPr>
      <w:ind w:left="2160"/>
      <w:jc w:val="center"/>
      <w:rPr>
        <w:rFonts w:ascii="Times New Roman" w:eastAsia="Calibri" w:hAnsi="Times New Roman"/>
        <w:i/>
        <w:sz w:val="18"/>
        <w:szCs w:val="22"/>
      </w:rPr>
    </w:pPr>
    <w:r>
      <w:rPr>
        <w:noProof/>
      </w:rPr>
      <w:pict w14:anchorId="70859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5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4B14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55B1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76F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32C5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C556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A5A568"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8EE3" w14:textId="276F65F0" w:rsidR="00E53040" w:rsidRDefault="00000000">
    <w:pPr>
      <w:pStyle w:val="En-tte"/>
    </w:pPr>
    <w:r>
      <w:rPr>
        <w:noProof/>
      </w:rPr>
      <w:pict w14:anchorId="11313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0AA7" w14:textId="015378B0" w:rsidR="00E53040" w:rsidRDefault="00000000">
    <w:pPr>
      <w:pStyle w:val="En-tte"/>
    </w:pPr>
    <w:r>
      <w:rPr>
        <w:noProof/>
      </w:rPr>
      <w:pict w14:anchorId="1B615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93E" w14:textId="0DCE098A" w:rsidR="00E53040" w:rsidRDefault="00000000">
    <w:pPr>
      <w:pStyle w:val="En-tte"/>
    </w:pPr>
    <w:r>
      <w:rPr>
        <w:noProof/>
      </w:rPr>
      <w:pict w14:anchorId="3E7AF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D5D5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107843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3447126">
    <w:abstractNumId w:val="15"/>
  </w:num>
  <w:num w:numId="3" w16cid:durableId="948120041">
    <w:abstractNumId w:val="24"/>
  </w:num>
  <w:num w:numId="4" w16cid:durableId="6902970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27785701">
    <w:abstractNumId w:val="7"/>
  </w:num>
  <w:num w:numId="6" w16cid:durableId="1763260103">
    <w:abstractNumId w:val="6"/>
  </w:num>
  <w:num w:numId="7" w16cid:durableId="798449806">
    <w:abstractNumId w:val="1"/>
  </w:num>
  <w:num w:numId="8" w16cid:durableId="1121993451">
    <w:abstractNumId w:val="12"/>
  </w:num>
  <w:num w:numId="9" w16cid:durableId="2140221804">
    <w:abstractNumId w:val="26"/>
  </w:num>
  <w:num w:numId="10" w16cid:durableId="758139437">
    <w:abstractNumId w:val="2"/>
  </w:num>
  <w:num w:numId="11" w16cid:durableId="1209799370">
    <w:abstractNumId w:val="19"/>
  </w:num>
  <w:num w:numId="12" w16cid:durableId="1732540201">
    <w:abstractNumId w:val="3"/>
  </w:num>
  <w:num w:numId="13" w16cid:durableId="1183781615">
    <w:abstractNumId w:val="18"/>
  </w:num>
  <w:num w:numId="14" w16cid:durableId="1043868601">
    <w:abstractNumId w:val="8"/>
  </w:num>
  <w:num w:numId="15" w16cid:durableId="621424004">
    <w:abstractNumId w:val="22"/>
  </w:num>
  <w:num w:numId="16" w16cid:durableId="313147041">
    <w:abstractNumId w:val="5"/>
  </w:num>
  <w:num w:numId="17" w16cid:durableId="404299723">
    <w:abstractNumId w:val="23"/>
  </w:num>
  <w:num w:numId="18" w16cid:durableId="1089931591">
    <w:abstractNumId w:val="14"/>
  </w:num>
  <w:num w:numId="19" w16cid:durableId="362631759">
    <w:abstractNumId w:val="29"/>
  </w:num>
  <w:num w:numId="20" w16cid:durableId="1082993401">
    <w:abstractNumId w:val="11"/>
  </w:num>
  <w:num w:numId="21" w16cid:durableId="1113015148">
    <w:abstractNumId w:val="9"/>
  </w:num>
  <w:num w:numId="22" w16cid:durableId="789471725">
    <w:abstractNumId w:val="13"/>
  </w:num>
  <w:num w:numId="23" w16cid:durableId="687416572">
    <w:abstractNumId w:val="20"/>
  </w:num>
  <w:num w:numId="24" w16cid:durableId="1583106252">
    <w:abstractNumId w:val="27"/>
  </w:num>
  <w:num w:numId="25" w16cid:durableId="1368290502">
    <w:abstractNumId w:val="4"/>
  </w:num>
  <w:num w:numId="26" w16cid:durableId="1193033754">
    <w:abstractNumId w:val="16"/>
  </w:num>
  <w:num w:numId="27" w16cid:durableId="923343064">
    <w:abstractNumId w:val="21"/>
  </w:num>
  <w:num w:numId="28" w16cid:durableId="44377413">
    <w:abstractNumId w:val="28"/>
  </w:num>
  <w:num w:numId="29" w16cid:durableId="309097764">
    <w:abstractNumId w:val="25"/>
  </w:num>
  <w:num w:numId="30" w16cid:durableId="63720714">
    <w:abstractNumId w:val="10"/>
  </w:num>
  <w:num w:numId="31" w16cid:durableId="661545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0B2E"/>
    <w:rsid w:val="0004579C"/>
    <w:rsid w:val="00054FF6"/>
    <w:rsid w:val="000661E7"/>
    <w:rsid w:val="000A47FA"/>
    <w:rsid w:val="000A65D3"/>
    <w:rsid w:val="000B1E33"/>
    <w:rsid w:val="000D3937"/>
    <w:rsid w:val="000D689F"/>
    <w:rsid w:val="000E2E87"/>
    <w:rsid w:val="000E7B7B"/>
    <w:rsid w:val="000E7D62"/>
    <w:rsid w:val="00103357"/>
    <w:rsid w:val="00123C9F"/>
    <w:rsid w:val="00123DC4"/>
    <w:rsid w:val="00126190"/>
    <w:rsid w:val="00130F17"/>
    <w:rsid w:val="001320BF"/>
    <w:rsid w:val="001548AA"/>
    <w:rsid w:val="00163BC4"/>
    <w:rsid w:val="00173C69"/>
    <w:rsid w:val="00191062"/>
    <w:rsid w:val="00192B72"/>
    <w:rsid w:val="001A2105"/>
    <w:rsid w:val="001A29D8"/>
    <w:rsid w:val="001A5CAA"/>
    <w:rsid w:val="001B0427"/>
    <w:rsid w:val="001D3A51"/>
    <w:rsid w:val="001D3F1D"/>
    <w:rsid w:val="001E10D2"/>
    <w:rsid w:val="001E25B4"/>
    <w:rsid w:val="001E44FE"/>
    <w:rsid w:val="00200595"/>
    <w:rsid w:val="00204835"/>
    <w:rsid w:val="002221BB"/>
    <w:rsid w:val="00231920"/>
    <w:rsid w:val="0023195C"/>
    <w:rsid w:val="00232797"/>
    <w:rsid w:val="00233872"/>
    <w:rsid w:val="0024282C"/>
    <w:rsid w:val="00242A0F"/>
    <w:rsid w:val="002460DC"/>
    <w:rsid w:val="00250985"/>
    <w:rsid w:val="002556F6"/>
    <w:rsid w:val="00283105"/>
    <w:rsid w:val="00284C4C"/>
    <w:rsid w:val="0028514E"/>
    <w:rsid w:val="00287E68"/>
    <w:rsid w:val="00290899"/>
    <w:rsid w:val="00296529"/>
    <w:rsid w:val="002B27FB"/>
    <w:rsid w:val="002B402A"/>
    <w:rsid w:val="002B685A"/>
    <w:rsid w:val="002C57D2"/>
    <w:rsid w:val="002D3FCA"/>
    <w:rsid w:val="002E0D56"/>
    <w:rsid w:val="00313F9C"/>
    <w:rsid w:val="00315186"/>
    <w:rsid w:val="0033343E"/>
    <w:rsid w:val="00345A30"/>
    <w:rsid w:val="00347E3C"/>
    <w:rsid w:val="00347F64"/>
    <w:rsid w:val="003512C2"/>
    <w:rsid w:val="00371FB6"/>
    <w:rsid w:val="003763C1"/>
    <w:rsid w:val="00376BBE"/>
    <w:rsid w:val="0038092E"/>
    <w:rsid w:val="00383316"/>
    <w:rsid w:val="003835A4"/>
    <w:rsid w:val="0039224F"/>
    <w:rsid w:val="003A43A4"/>
    <w:rsid w:val="003A7E18"/>
    <w:rsid w:val="003B0E4A"/>
    <w:rsid w:val="003C2AED"/>
    <w:rsid w:val="003C36B9"/>
    <w:rsid w:val="003C4C86"/>
    <w:rsid w:val="003C6258"/>
    <w:rsid w:val="003D7AC9"/>
    <w:rsid w:val="003E2904"/>
    <w:rsid w:val="003F1DE4"/>
    <w:rsid w:val="00401927"/>
    <w:rsid w:val="00402F97"/>
    <w:rsid w:val="00403295"/>
    <w:rsid w:val="0040465E"/>
    <w:rsid w:val="0041027F"/>
    <w:rsid w:val="00412475"/>
    <w:rsid w:val="00423789"/>
    <w:rsid w:val="00431CD7"/>
    <w:rsid w:val="00440F43"/>
    <w:rsid w:val="00440FE5"/>
    <w:rsid w:val="00441B6F"/>
    <w:rsid w:val="0044489F"/>
    <w:rsid w:val="00446221"/>
    <w:rsid w:val="00450E62"/>
    <w:rsid w:val="00451A67"/>
    <w:rsid w:val="004539DB"/>
    <w:rsid w:val="00453B3B"/>
    <w:rsid w:val="00471A80"/>
    <w:rsid w:val="0048464D"/>
    <w:rsid w:val="004D305E"/>
    <w:rsid w:val="004D4277"/>
    <w:rsid w:val="004E3CC9"/>
    <w:rsid w:val="004F4E4E"/>
    <w:rsid w:val="00502516"/>
    <w:rsid w:val="00505F06"/>
    <w:rsid w:val="00506828"/>
    <w:rsid w:val="00506F74"/>
    <w:rsid w:val="00522308"/>
    <w:rsid w:val="0052742F"/>
    <w:rsid w:val="0053056E"/>
    <w:rsid w:val="00531650"/>
    <w:rsid w:val="0053166F"/>
    <w:rsid w:val="005439B2"/>
    <w:rsid w:val="0055326E"/>
    <w:rsid w:val="00554FDA"/>
    <w:rsid w:val="00571B10"/>
    <w:rsid w:val="005742EE"/>
    <w:rsid w:val="005A66BD"/>
    <w:rsid w:val="005C2394"/>
    <w:rsid w:val="005C784C"/>
    <w:rsid w:val="005D17F6"/>
    <w:rsid w:val="005D69EE"/>
    <w:rsid w:val="005E5539"/>
    <w:rsid w:val="00602BF5"/>
    <w:rsid w:val="00617FDD"/>
    <w:rsid w:val="00624793"/>
    <w:rsid w:val="00633614"/>
    <w:rsid w:val="00633F68"/>
    <w:rsid w:val="00635D93"/>
    <w:rsid w:val="00636EB2"/>
    <w:rsid w:val="006375B8"/>
    <w:rsid w:val="0066510A"/>
    <w:rsid w:val="00665ACA"/>
    <w:rsid w:val="00671C51"/>
    <w:rsid w:val="00673B51"/>
    <w:rsid w:val="00673F9F"/>
    <w:rsid w:val="00686953"/>
    <w:rsid w:val="00687DEA"/>
    <w:rsid w:val="00687E67"/>
    <w:rsid w:val="00690370"/>
    <w:rsid w:val="006967F7"/>
    <w:rsid w:val="006A009E"/>
    <w:rsid w:val="006A05AE"/>
    <w:rsid w:val="006A250C"/>
    <w:rsid w:val="006B21D3"/>
    <w:rsid w:val="006B57D0"/>
    <w:rsid w:val="006D30FF"/>
    <w:rsid w:val="006D6940"/>
    <w:rsid w:val="006F11EC"/>
    <w:rsid w:val="006F39FF"/>
    <w:rsid w:val="006F6787"/>
    <w:rsid w:val="0070082C"/>
    <w:rsid w:val="00712907"/>
    <w:rsid w:val="0071400F"/>
    <w:rsid w:val="007228DD"/>
    <w:rsid w:val="00726339"/>
    <w:rsid w:val="00734CA1"/>
    <w:rsid w:val="007369E6"/>
    <w:rsid w:val="00737FD1"/>
    <w:rsid w:val="00746E59"/>
    <w:rsid w:val="00754C9A"/>
    <w:rsid w:val="0075599A"/>
    <w:rsid w:val="00761D52"/>
    <w:rsid w:val="007646A1"/>
    <w:rsid w:val="007656B1"/>
    <w:rsid w:val="0077749E"/>
    <w:rsid w:val="00781E84"/>
    <w:rsid w:val="00790ADA"/>
    <w:rsid w:val="0079236C"/>
    <w:rsid w:val="007B103E"/>
    <w:rsid w:val="007B72D9"/>
    <w:rsid w:val="007D2288"/>
    <w:rsid w:val="007E088F"/>
    <w:rsid w:val="007F181C"/>
    <w:rsid w:val="007F4092"/>
    <w:rsid w:val="007F7B32"/>
    <w:rsid w:val="00804BC2"/>
    <w:rsid w:val="0081431A"/>
    <w:rsid w:val="008174CD"/>
    <w:rsid w:val="00822069"/>
    <w:rsid w:val="00825ADF"/>
    <w:rsid w:val="0083216F"/>
    <w:rsid w:val="00854973"/>
    <w:rsid w:val="00860000"/>
    <w:rsid w:val="008602D9"/>
    <w:rsid w:val="008622B6"/>
    <w:rsid w:val="00863BD3"/>
    <w:rsid w:val="00863CF6"/>
    <w:rsid w:val="008641ED"/>
    <w:rsid w:val="00866D66"/>
    <w:rsid w:val="00866E21"/>
    <w:rsid w:val="008671C6"/>
    <w:rsid w:val="00875803"/>
    <w:rsid w:val="008B459E"/>
    <w:rsid w:val="008B6561"/>
    <w:rsid w:val="008D219E"/>
    <w:rsid w:val="008D7BBD"/>
    <w:rsid w:val="008E13AE"/>
    <w:rsid w:val="008E1506"/>
    <w:rsid w:val="008E710C"/>
    <w:rsid w:val="008F69D6"/>
    <w:rsid w:val="00902823"/>
    <w:rsid w:val="009116CB"/>
    <w:rsid w:val="00915CA6"/>
    <w:rsid w:val="009230AE"/>
    <w:rsid w:val="00923866"/>
    <w:rsid w:val="00927834"/>
    <w:rsid w:val="009500A6"/>
    <w:rsid w:val="00951337"/>
    <w:rsid w:val="009568E6"/>
    <w:rsid w:val="00957C18"/>
    <w:rsid w:val="009659BA"/>
    <w:rsid w:val="00972574"/>
    <w:rsid w:val="00983040"/>
    <w:rsid w:val="00985162"/>
    <w:rsid w:val="00986876"/>
    <w:rsid w:val="009B3FB9"/>
    <w:rsid w:val="009C2465"/>
    <w:rsid w:val="009D1A06"/>
    <w:rsid w:val="009D2F2A"/>
    <w:rsid w:val="009D35A0"/>
    <w:rsid w:val="009D7EB7"/>
    <w:rsid w:val="009E048A"/>
    <w:rsid w:val="009E08E9"/>
    <w:rsid w:val="009E3DB9"/>
    <w:rsid w:val="009E6E35"/>
    <w:rsid w:val="009E7490"/>
    <w:rsid w:val="009F0EDA"/>
    <w:rsid w:val="00A03B96"/>
    <w:rsid w:val="00A05B19"/>
    <w:rsid w:val="00A10AF3"/>
    <w:rsid w:val="00A1134E"/>
    <w:rsid w:val="00A24E7E"/>
    <w:rsid w:val="00A258C3"/>
    <w:rsid w:val="00A347C0"/>
    <w:rsid w:val="00A51431"/>
    <w:rsid w:val="00A523C1"/>
    <w:rsid w:val="00A539AD"/>
    <w:rsid w:val="00A677B7"/>
    <w:rsid w:val="00A94063"/>
    <w:rsid w:val="00AA052E"/>
    <w:rsid w:val="00AA6219"/>
    <w:rsid w:val="00AA74E0"/>
    <w:rsid w:val="00AB703F"/>
    <w:rsid w:val="00AC6BB8"/>
    <w:rsid w:val="00AE008F"/>
    <w:rsid w:val="00AE2A49"/>
    <w:rsid w:val="00B01FCD"/>
    <w:rsid w:val="00B029F1"/>
    <w:rsid w:val="00B103D0"/>
    <w:rsid w:val="00B10927"/>
    <w:rsid w:val="00B1776C"/>
    <w:rsid w:val="00B52583"/>
    <w:rsid w:val="00B52876"/>
    <w:rsid w:val="00B52896"/>
    <w:rsid w:val="00B640CF"/>
    <w:rsid w:val="00B832F1"/>
    <w:rsid w:val="00B95236"/>
    <w:rsid w:val="00B96BD9"/>
    <w:rsid w:val="00BA1B01"/>
    <w:rsid w:val="00BA2641"/>
    <w:rsid w:val="00BA4A3E"/>
    <w:rsid w:val="00BB37AA"/>
    <w:rsid w:val="00BC53A0"/>
    <w:rsid w:val="00BD4E4B"/>
    <w:rsid w:val="00BE62AD"/>
    <w:rsid w:val="00BF121F"/>
    <w:rsid w:val="00BF1885"/>
    <w:rsid w:val="00BF1F80"/>
    <w:rsid w:val="00BF34BC"/>
    <w:rsid w:val="00C166EF"/>
    <w:rsid w:val="00C17EB0"/>
    <w:rsid w:val="00C27F5F"/>
    <w:rsid w:val="00C30A0F"/>
    <w:rsid w:val="00C31CE9"/>
    <w:rsid w:val="00C37E61"/>
    <w:rsid w:val="00C64BC6"/>
    <w:rsid w:val="00C662A0"/>
    <w:rsid w:val="00C703DE"/>
    <w:rsid w:val="00C70F1B"/>
    <w:rsid w:val="00C71A47"/>
    <w:rsid w:val="00C7464C"/>
    <w:rsid w:val="00C77390"/>
    <w:rsid w:val="00C85588"/>
    <w:rsid w:val="00CA130B"/>
    <w:rsid w:val="00CA77F1"/>
    <w:rsid w:val="00CD33DD"/>
    <w:rsid w:val="00CD6755"/>
    <w:rsid w:val="00CD6856"/>
    <w:rsid w:val="00CE0089"/>
    <w:rsid w:val="00CE4EBC"/>
    <w:rsid w:val="00CE793C"/>
    <w:rsid w:val="00CF193C"/>
    <w:rsid w:val="00D04231"/>
    <w:rsid w:val="00D11DDD"/>
    <w:rsid w:val="00D173F1"/>
    <w:rsid w:val="00D24BE1"/>
    <w:rsid w:val="00D5130A"/>
    <w:rsid w:val="00D73A87"/>
    <w:rsid w:val="00D74CB0"/>
    <w:rsid w:val="00D8295D"/>
    <w:rsid w:val="00D9243B"/>
    <w:rsid w:val="00DB1E5D"/>
    <w:rsid w:val="00DC2A65"/>
    <w:rsid w:val="00DE15F0"/>
    <w:rsid w:val="00DE5663"/>
    <w:rsid w:val="00DE6E96"/>
    <w:rsid w:val="00DE78AA"/>
    <w:rsid w:val="00E053D0"/>
    <w:rsid w:val="00E15994"/>
    <w:rsid w:val="00E3114E"/>
    <w:rsid w:val="00E31A70"/>
    <w:rsid w:val="00E35B02"/>
    <w:rsid w:val="00E53040"/>
    <w:rsid w:val="00E611A3"/>
    <w:rsid w:val="00E66496"/>
    <w:rsid w:val="00E66B35"/>
    <w:rsid w:val="00E66E10"/>
    <w:rsid w:val="00E722B1"/>
    <w:rsid w:val="00E769F6"/>
    <w:rsid w:val="00E8407C"/>
    <w:rsid w:val="00E84F3C"/>
    <w:rsid w:val="00E9172D"/>
    <w:rsid w:val="00EA012C"/>
    <w:rsid w:val="00EA2EB2"/>
    <w:rsid w:val="00EC6A55"/>
    <w:rsid w:val="00ED0288"/>
    <w:rsid w:val="00ED11B1"/>
    <w:rsid w:val="00EE08BD"/>
    <w:rsid w:val="00EE52CB"/>
    <w:rsid w:val="00EF581D"/>
    <w:rsid w:val="00EF71B4"/>
    <w:rsid w:val="00EF7B00"/>
    <w:rsid w:val="00EF7FD8"/>
    <w:rsid w:val="00F06F59"/>
    <w:rsid w:val="00F1770F"/>
    <w:rsid w:val="00F17988"/>
    <w:rsid w:val="00F20B26"/>
    <w:rsid w:val="00F24281"/>
    <w:rsid w:val="00F36DBB"/>
    <w:rsid w:val="00F469F0"/>
    <w:rsid w:val="00F50408"/>
    <w:rsid w:val="00F53273"/>
    <w:rsid w:val="00F56DC0"/>
    <w:rsid w:val="00F755E4"/>
    <w:rsid w:val="00F75DB0"/>
    <w:rsid w:val="00F77D02"/>
    <w:rsid w:val="00F84ECC"/>
    <w:rsid w:val="00F91ADD"/>
    <w:rsid w:val="00FB3A86"/>
    <w:rsid w:val="00FC7820"/>
    <w:rsid w:val="00FD36C8"/>
    <w:rsid w:val="00FE5FD7"/>
    <w:rsid w:val="00FF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23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Mentionnonrsolue1">
    <w:name w:val="Mention non résolue1"/>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BA4A3E"/>
    <w:pPr>
      <w:spacing w:after="160" w:line="259" w:lineRule="auto"/>
      <w:ind w:left="720"/>
      <w:contextualSpacing/>
    </w:pPr>
    <w:rPr>
      <w:rFonts w:asciiTheme="minorHAnsi" w:eastAsiaTheme="minorHAnsi" w:hAnsiTheme="minorHAnsi" w:cstheme="minorBidi"/>
      <w:sz w:val="22"/>
      <w:szCs w:val="22"/>
      <w:lang w:val="fr-FR"/>
    </w:rPr>
  </w:style>
  <w:style w:type="character" w:styleId="lev">
    <w:name w:val="Strong"/>
    <w:basedOn w:val="Policepardfaut"/>
    <w:uiPriority w:val="22"/>
    <w:qFormat/>
    <w:rsid w:val="00673B51"/>
    <w:rPr>
      <w:b/>
      <w:bCs/>
    </w:rPr>
  </w:style>
  <w:style w:type="paragraph" w:styleId="Bibliographie">
    <w:name w:val="Bibliography"/>
    <w:basedOn w:val="Normal"/>
    <w:next w:val="Normal"/>
    <w:uiPriority w:val="37"/>
    <w:unhideWhenUsed/>
    <w:rsid w:val="00CA77F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'courbe resistance'!$J$36</c:f>
              <c:strCache>
                <c:ptCount val="1"/>
                <c:pt idx="0">
                  <c:v>ESBL strains at admission</c:v>
                </c:pt>
              </c:strCache>
            </c:strRef>
          </c:tx>
          <c:spPr>
            <a:solidFill>
              <a:schemeClr val="accent1"/>
            </a:solidFill>
            <a:ln>
              <a:noFill/>
            </a:ln>
            <a:effectLst/>
          </c:spPr>
          <c:invertIfNegative val="0"/>
          <c:dLbls>
            <c:dLbl>
              <c:idx val="0"/>
              <c:tx>
                <c:rich>
                  <a:bodyPr/>
                  <a:lstStyle/>
                  <a:p>
                    <a:r>
                      <a:rPr lang="en-US"/>
                      <a:t>61.2%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149-4FA2-AADF-062482EFD988}"/>
                </c:ext>
              </c:extLst>
            </c:dLbl>
            <c:dLbl>
              <c:idx val="1"/>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149-4FA2-AADF-062482EFD988}"/>
                </c:ext>
              </c:extLst>
            </c:dLbl>
            <c:dLbl>
              <c:idx val="2"/>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149-4FA2-AADF-062482EFD988}"/>
                </c:ext>
              </c:extLst>
            </c:dLbl>
            <c:dLbl>
              <c:idx val="3"/>
              <c:tx>
                <c:rich>
                  <a:bodyPr/>
                  <a:lstStyle/>
                  <a:p>
                    <a:r>
                      <a:rPr lang="en-US"/>
                      <a:t>17.8%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149-4FA2-AADF-062482EFD988}"/>
                </c:ext>
              </c:extLst>
            </c:dLbl>
            <c:dLbl>
              <c:idx val="4"/>
              <c:tx>
                <c:rich>
                  <a:bodyPr/>
                  <a:lstStyle/>
                  <a:p>
                    <a:r>
                      <a:rPr lang="en-US"/>
                      <a:t>0.8%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149-4FA2-AADF-062482EFD9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resistance'!$I$37:$I$41</c:f>
              <c:strCache>
                <c:ptCount val="5"/>
                <c:pt idx="0">
                  <c:v>Escherichia coli </c:v>
                </c:pt>
                <c:pt idx="1">
                  <c:v>Enterobacter cloacae</c:v>
                </c:pt>
                <c:pt idx="2">
                  <c:v>Klebsiella oxytoca</c:v>
                </c:pt>
                <c:pt idx="3">
                  <c:v>Klebsiella pneumoniae</c:v>
                </c:pt>
                <c:pt idx="4">
                  <c:v>Proteus mirabilis</c:v>
                </c:pt>
              </c:strCache>
            </c:strRef>
          </c:cat>
          <c:val>
            <c:numRef>
              <c:f>'courbe resistance'!$J$37:$J$41</c:f>
              <c:numCache>
                <c:formatCode>0.0%</c:formatCode>
                <c:ptCount val="5"/>
                <c:pt idx="0">
                  <c:v>0.61199999999999999</c:v>
                </c:pt>
                <c:pt idx="1">
                  <c:v>0.17100000000000001</c:v>
                </c:pt>
                <c:pt idx="2">
                  <c:v>3.1E-2</c:v>
                </c:pt>
                <c:pt idx="3">
                  <c:v>0.17799999999999999</c:v>
                </c:pt>
                <c:pt idx="4">
                  <c:v>8.0000000000000002E-3</c:v>
                </c:pt>
              </c:numCache>
            </c:numRef>
          </c:val>
          <c:extLst>
            <c:ext xmlns:c16="http://schemas.microsoft.com/office/drawing/2014/chart" uri="{C3380CC4-5D6E-409C-BE32-E72D297353CC}">
              <c16:uniqueId val="{00000005-3149-4FA2-AADF-062482EFD988}"/>
            </c:ext>
          </c:extLst>
        </c:ser>
        <c:ser>
          <c:idx val="1"/>
          <c:order val="1"/>
          <c:tx>
            <c:strRef>
              <c:f>'courbe resistance'!$K$36</c:f>
              <c:strCache>
                <c:ptCount val="1"/>
                <c:pt idx="0">
                  <c:v>ESBL strains at discharge</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6-3149-4FA2-AADF-062482EFD988}"/>
                </c:ext>
              </c:extLst>
            </c:dLbl>
            <c:dLbl>
              <c:idx val="1"/>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13.8%</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149-4FA2-AADF-062482EFD988}"/>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4.3%</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149-4FA2-AADF-062482EFD988}"/>
                </c:ext>
              </c:extLst>
            </c:dLbl>
            <c:dLbl>
              <c:idx val="3"/>
              <c:layout>
                <c:manualLayout>
                  <c:x val="1.8115846932176955E-2"/>
                  <c:y val="1.460901207655836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18.8%</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5072463768115928E-2"/>
                      <c:h val="0.10706130689105788"/>
                    </c:manualLayout>
                  </c15:layout>
                  <c15:showDataLabelsRange val="0"/>
                </c:ext>
                <c:ext xmlns:c16="http://schemas.microsoft.com/office/drawing/2014/chart" uri="{C3380CC4-5D6E-409C-BE32-E72D297353CC}">
                  <c16:uniqueId val="{00000009-3149-4FA2-AADF-062482EFD9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resistance'!$I$37:$I$41</c:f>
              <c:strCache>
                <c:ptCount val="5"/>
                <c:pt idx="0">
                  <c:v>Escherichia coli </c:v>
                </c:pt>
                <c:pt idx="1">
                  <c:v>Enterobacter cloacae</c:v>
                </c:pt>
                <c:pt idx="2">
                  <c:v>Klebsiella oxytoca</c:v>
                </c:pt>
                <c:pt idx="3">
                  <c:v>Klebsiella pneumoniae</c:v>
                </c:pt>
                <c:pt idx="4">
                  <c:v>Proteus mirabilis</c:v>
                </c:pt>
              </c:strCache>
            </c:strRef>
          </c:cat>
          <c:val>
            <c:numRef>
              <c:f>'courbe resistance'!$K$37:$K$41</c:f>
              <c:numCache>
                <c:formatCode>0.0%</c:formatCode>
                <c:ptCount val="5"/>
                <c:pt idx="0" formatCode="0%">
                  <c:v>0.63</c:v>
                </c:pt>
                <c:pt idx="1">
                  <c:v>0.13800000000000001</c:v>
                </c:pt>
                <c:pt idx="2">
                  <c:v>4.2999999999999997E-2</c:v>
                </c:pt>
                <c:pt idx="3">
                  <c:v>0.188</c:v>
                </c:pt>
                <c:pt idx="4" formatCode="General">
                  <c:v>0</c:v>
                </c:pt>
              </c:numCache>
            </c:numRef>
          </c:val>
          <c:extLst>
            <c:ext xmlns:c16="http://schemas.microsoft.com/office/drawing/2014/chart" uri="{C3380CC4-5D6E-409C-BE32-E72D297353CC}">
              <c16:uniqueId val="{0000000A-3149-4FA2-AADF-062482EFD988}"/>
            </c:ext>
          </c:extLst>
        </c:ser>
        <c:dLbls>
          <c:dLblPos val="outEnd"/>
          <c:showLegendKey val="0"/>
          <c:showVal val="1"/>
          <c:showCatName val="0"/>
          <c:showSerName val="0"/>
          <c:showPercent val="0"/>
          <c:showBubbleSize val="0"/>
        </c:dLbls>
        <c:gapWidth val="219"/>
        <c:overlap val="-27"/>
        <c:axId val="483830712"/>
        <c:axId val="483832512"/>
      </c:barChart>
      <c:catAx>
        <c:axId val="48383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crossAx val="483832512"/>
        <c:crosses val="autoZero"/>
        <c:auto val="1"/>
        <c:lblAlgn val="ctr"/>
        <c:lblOffset val="100"/>
        <c:noMultiLvlLbl val="0"/>
      </c:catAx>
      <c:valAx>
        <c:axId val="48383251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8383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40789550465112E-2"/>
          <c:y val="6.1884853176375904E-2"/>
          <c:w val="0.8865799021328663"/>
          <c:h val="0.68541994182299326"/>
        </c:manualLayout>
      </c:layout>
      <c:barChart>
        <c:barDir val="col"/>
        <c:grouping val="clustered"/>
        <c:varyColors val="0"/>
        <c:ser>
          <c:idx val="0"/>
          <c:order val="0"/>
          <c:tx>
            <c:strRef>
              <c:f>'courbe resistance'!$H$62</c:f>
              <c:strCache>
                <c:ptCount val="1"/>
                <c:pt idx="0">
                  <c:v>carbapenem-resistant strains at admission</c:v>
                </c:pt>
              </c:strCache>
            </c:strRef>
          </c:tx>
          <c:spPr>
            <a:solidFill>
              <a:schemeClr val="accent1"/>
            </a:solidFill>
            <a:ln>
              <a:noFill/>
            </a:ln>
            <a:effectLst/>
          </c:spPr>
          <c:invertIfNegative val="0"/>
          <c:dLbls>
            <c:dLbl>
              <c:idx val="0"/>
              <c:tx>
                <c:rich>
                  <a:bodyPr/>
                  <a:lstStyle/>
                  <a:p>
                    <a:r>
                      <a:rPr lang="en-US"/>
                      <a:t>44.1%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045-4A2E-B07D-9A978F311D39}"/>
                </c:ext>
              </c:extLst>
            </c:dLbl>
            <c:dLbl>
              <c:idx val="1"/>
              <c:tx>
                <c:rich>
                  <a:bodyPr/>
                  <a:lstStyle/>
                  <a:p>
                    <a:r>
                      <a:rPr lang="en-US"/>
                      <a:t>47.1%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045-4A2E-B07D-9A978F311D39}"/>
                </c:ext>
              </c:extLst>
            </c:dLbl>
            <c:dLbl>
              <c:idx val="2"/>
              <c:tx>
                <c:rich>
                  <a:bodyPr/>
                  <a:lstStyle/>
                  <a:p>
                    <a:r>
                      <a:rPr lang="en-US"/>
                      <a:t>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045-4A2E-B07D-9A978F311D39}"/>
                </c:ext>
              </c:extLst>
            </c:dLbl>
            <c:dLbl>
              <c:idx val="3"/>
              <c:tx>
                <c:rich>
                  <a:bodyPr/>
                  <a:lstStyle/>
                  <a:p>
                    <a:r>
                      <a:rPr lang="en-US"/>
                      <a:t>8.8%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045-4A2E-B07D-9A978F311D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resistance'!$G$63:$G$66</c:f>
              <c:strCache>
                <c:ptCount val="4"/>
                <c:pt idx="0">
                  <c:v>Escherichia coli</c:v>
                </c:pt>
                <c:pt idx="1">
                  <c:v>Enterobacter spp</c:v>
                </c:pt>
                <c:pt idx="2">
                  <c:v>Klebsiella oxytoca</c:v>
                </c:pt>
                <c:pt idx="3">
                  <c:v>Klebsiella pneumoniae</c:v>
                </c:pt>
              </c:strCache>
            </c:strRef>
          </c:cat>
          <c:val>
            <c:numRef>
              <c:f>'courbe resistance'!$H$63:$H$66</c:f>
              <c:numCache>
                <c:formatCode>0.0%</c:formatCode>
                <c:ptCount val="4"/>
                <c:pt idx="0">
                  <c:v>0.441</c:v>
                </c:pt>
                <c:pt idx="1">
                  <c:v>0.47099999999999997</c:v>
                </c:pt>
                <c:pt idx="2">
                  <c:v>0</c:v>
                </c:pt>
                <c:pt idx="3">
                  <c:v>8.7999999999999995E-2</c:v>
                </c:pt>
              </c:numCache>
            </c:numRef>
          </c:val>
          <c:extLst>
            <c:ext xmlns:c16="http://schemas.microsoft.com/office/drawing/2014/chart" uri="{C3380CC4-5D6E-409C-BE32-E72D297353CC}">
              <c16:uniqueId val="{00000004-E045-4A2E-B07D-9A978F311D39}"/>
            </c:ext>
          </c:extLst>
        </c:ser>
        <c:ser>
          <c:idx val="1"/>
          <c:order val="1"/>
          <c:tx>
            <c:strRef>
              <c:f>'courbe resistance'!$I$62</c:f>
              <c:strCache>
                <c:ptCount val="1"/>
                <c:pt idx="0">
                  <c:v>carbapenem-resistant strains at discharge</c:v>
                </c:pt>
              </c:strCache>
            </c:strRef>
          </c:tx>
          <c:spPr>
            <a:solidFill>
              <a:schemeClr val="accent2"/>
            </a:solidFill>
            <a:ln>
              <a:noFill/>
            </a:ln>
            <a:effectLst/>
          </c:spPr>
          <c:invertIfNegative val="0"/>
          <c:dLbls>
            <c:dLbl>
              <c:idx val="0"/>
              <c:tx>
                <c:rich>
                  <a:bodyPr/>
                  <a:lstStyle/>
                  <a:p>
                    <a:r>
                      <a:rPr lang="en-US"/>
                      <a:t>55.6%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045-4A2E-B07D-9A978F311D39}"/>
                </c:ext>
              </c:extLst>
            </c:dLbl>
            <c:dLbl>
              <c:idx val="1"/>
              <c:tx>
                <c:rich>
                  <a:bodyPr/>
                  <a:lstStyle/>
                  <a:p>
                    <a:r>
                      <a:rPr lang="en-US"/>
                      <a:t>25.0%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045-4A2E-B07D-9A978F311D39}"/>
                </c:ext>
              </c:extLst>
            </c:dLbl>
            <c:dLbl>
              <c:idx val="2"/>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045-4A2E-B07D-9A978F311D39}"/>
                </c:ext>
              </c:extLst>
            </c:dLbl>
            <c:dLbl>
              <c:idx val="3"/>
              <c:tx>
                <c:rich>
                  <a:bodyPr/>
                  <a:lstStyle/>
                  <a:p>
                    <a:r>
                      <a:rPr lang="en-US"/>
                      <a:t>16.7%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045-4A2E-B07D-9A978F311D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resistance'!$G$63:$G$66</c:f>
              <c:strCache>
                <c:ptCount val="4"/>
                <c:pt idx="0">
                  <c:v>Escherichia coli</c:v>
                </c:pt>
                <c:pt idx="1">
                  <c:v>Enterobacter spp</c:v>
                </c:pt>
                <c:pt idx="2">
                  <c:v>Klebsiella oxytoca</c:v>
                </c:pt>
                <c:pt idx="3">
                  <c:v>Klebsiella pneumoniae</c:v>
                </c:pt>
              </c:strCache>
            </c:strRef>
          </c:cat>
          <c:val>
            <c:numRef>
              <c:f>'courbe resistance'!$I$63:$I$66</c:f>
              <c:numCache>
                <c:formatCode>0.0%</c:formatCode>
                <c:ptCount val="4"/>
                <c:pt idx="0">
                  <c:v>0.55600000000000005</c:v>
                </c:pt>
                <c:pt idx="1">
                  <c:v>0.25</c:v>
                </c:pt>
                <c:pt idx="2">
                  <c:v>2.8000000000000001E-2</c:v>
                </c:pt>
                <c:pt idx="3">
                  <c:v>0.16700000000000001</c:v>
                </c:pt>
              </c:numCache>
            </c:numRef>
          </c:val>
          <c:extLst>
            <c:ext xmlns:c16="http://schemas.microsoft.com/office/drawing/2014/chart" uri="{C3380CC4-5D6E-409C-BE32-E72D297353CC}">
              <c16:uniqueId val="{00000009-E045-4A2E-B07D-9A978F311D39}"/>
            </c:ext>
          </c:extLst>
        </c:ser>
        <c:dLbls>
          <c:dLblPos val="outEnd"/>
          <c:showLegendKey val="0"/>
          <c:showVal val="1"/>
          <c:showCatName val="0"/>
          <c:showSerName val="0"/>
          <c:showPercent val="0"/>
          <c:showBubbleSize val="0"/>
        </c:dLbls>
        <c:gapWidth val="219"/>
        <c:overlap val="-27"/>
        <c:axId val="552810600"/>
        <c:axId val="552817080"/>
      </c:barChart>
      <c:catAx>
        <c:axId val="55281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crossAx val="552817080"/>
        <c:crosses val="autoZero"/>
        <c:auto val="1"/>
        <c:lblAlgn val="ctr"/>
        <c:lblOffset val="100"/>
        <c:noMultiLvlLbl val="0"/>
      </c:catAx>
      <c:valAx>
        <c:axId val="5528170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810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CBA6-BBFF-49C3-83B6-C3CB59D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19</Pages>
  <Words>26572</Words>
  <Characters>146150</Characters>
  <Application>Microsoft Office Word</Application>
  <DocSecurity>0</DocSecurity>
  <Lines>1217</Lines>
  <Paragraphs>344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172378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Fiali lack</cp:lastModifiedBy>
  <cp:revision>33</cp:revision>
  <cp:lastPrinted>1999-07-06T11:00:00Z</cp:lastPrinted>
  <dcterms:created xsi:type="dcterms:W3CDTF">2026-04-01T08:57:00Z</dcterms:created>
  <dcterms:modified xsi:type="dcterms:W3CDTF">2026-04-10T10:55:00Z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id="nSJEBFg1"/&gt;&lt;style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