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1010E" w14:textId="4FDAFEA9" w:rsidR="006F3360" w:rsidRPr="006F3360" w:rsidRDefault="006F3360" w:rsidP="00242D8A">
      <w:pPr>
        <w:spacing w:before="240" w:line="360" w:lineRule="auto"/>
        <w:jc w:val="center"/>
        <w:rPr>
          <w:rFonts w:ascii="Times New Roman" w:hAnsi="Times New Roman" w:cs="Times New Roman"/>
          <w:b/>
          <w:sz w:val="24"/>
          <w:szCs w:val="24"/>
          <w:lang w:val="en-US"/>
        </w:rPr>
      </w:pPr>
      <w:r w:rsidRPr="006F3360">
        <w:rPr>
          <w:rFonts w:ascii="Times New Roman" w:hAnsi="Times New Roman" w:cs="Times New Roman"/>
          <w:b/>
          <w:sz w:val="24"/>
          <w:szCs w:val="24"/>
          <w:lang w:val="en-US"/>
        </w:rPr>
        <w:t xml:space="preserve">Genomic and Evolutionary Dynamic Surveillance of </w:t>
      </w:r>
      <w:proofErr w:type="spellStart"/>
      <w:r w:rsidRPr="006F3360">
        <w:rPr>
          <w:rFonts w:ascii="Times New Roman" w:hAnsi="Times New Roman" w:cs="Times New Roman"/>
          <w:b/>
          <w:sz w:val="24"/>
          <w:szCs w:val="24"/>
          <w:lang w:val="en-US"/>
        </w:rPr>
        <w:t>Mpox</w:t>
      </w:r>
      <w:proofErr w:type="spellEnd"/>
      <w:r w:rsidRPr="006F3360">
        <w:rPr>
          <w:rFonts w:ascii="Times New Roman" w:hAnsi="Times New Roman" w:cs="Times New Roman"/>
          <w:b/>
          <w:sz w:val="24"/>
          <w:szCs w:val="24"/>
          <w:lang w:val="en-US"/>
        </w:rPr>
        <w:t xml:space="preserve"> Diagnosed at the National Laboratory of Clinical Biology of Public Health in the Central African Republic</w:t>
      </w:r>
    </w:p>
    <w:p w14:paraId="6B2E72A4" w14:textId="77777777" w:rsidR="00927041" w:rsidRPr="00A32C4B" w:rsidRDefault="00927041" w:rsidP="0084704A">
      <w:pPr>
        <w:spacing w:before="240" w:after="0" w:line="360" w:lineRule="auto"/>
        <w:rPr>
          <w:rFonts w:ascii="Times New Roman" w:hAnsi="Times New Roman" w:cs="Times New Roman"/>
          <w:b/>
          <w:sz w:val="24"/>
          <w:szCs w:val="24"/>
          <w:lang w:val="en-US"/>
        </w:rPr>
      </w:pPr>
      <w:r w:rsidRPr="00A32C4B">
        <w:rPr>
          <w:rFonts w:ascii="Times New Roman" w:hAnsi="Times New Roman" w:cs="Times New Roman"/>
          <w:b/>
          <w:sz w:val="24"/>
          <w:szCs w:val="24"/>
          <w:lang w:val="en-US"/>
        </w:rPr>
        <w:t>Abstract</w:t>
      </w:r>
    </w:p>
    <w:p w14:paraId="6FF0DF35" w14:textId="63C88CAA" w:rsidR="00927041"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The recent MPXV epidemic in Africa revealed significant viral diversity and complex transmission dynamics, warranting a </w:t>
      </w:r>
      <w:r w:rsidR="00353208" w:rsidRPr="00A32C4B">
        <w:rPr>
          <w:rFonts w:ascii="Times New Roman" w:hAnsi="Times New Roman" w:cs="Times New Roman"/>
          <w:sz w:val="24"/>
          <w:szCs w:val="24"/>
          <w:lang w:val="en-US"/>
        </w:rPr>
        <w:t>sub-regional</w:t>
      </w:r>
      <w:r w:rsidRPr="00A32C4B">
        <w:rPr>
          <w:rFonts w:ascii="Times New Roman" w:hAnsi="Times New Roman" w:cs="Times New Roman"/>
          <w:sz w:val="24"/>
          <w:szCs w:val="24"/>
          <w:lang w:val="en-US"/>
        </w:rPr>
        <w:t xml:space="preserve"> genomic study. We </w:t>
      </w:r>
      <w:proofErr w:type="spellStart"/>
      <w:r w:rsidRPr="00A32C4B">
        <w:rPr>
          <w:rFonts w:ascii="Times New Roman" w:hAnsi="Times New Roman" w:cs="Times New Roman"/>
          <w:sz w:val="24"/>
          <w:szCs w:val="24"/>
          <w:lang w:val="en-US"/>
        </w:rPr>
        <w:t>analy</w:t>
      </w:r>
      <w:r w:rsidR="00224AD9">
        <w:rPr>
          <w:rFonts w:ascii="Times New Roman" w:hAnsi="Times New Roman" w:cs="Times New Roman"/>
          <w:sz w:val="24"/>
          <w:szCs w:val="24"/>
          <w:lang w:val="en-US"/>
        </w:rPr>
        <w:t>s</w:t>
      </w:r>
      <w:r w:rsidRPr="00A32C4B">
        <w:rPr>
          <w:rFonts w:ascii="Times New Roman" w:hAnsi="Times New Roman" w:cs="Times New Roman"/>
          <w:sz w:val="24"/>
          <w:szCs w:val="24"/>
          <w:lang w:val="en-US"/>
        </w:rPr>
        <w:t>ed</w:t>
      </w:r>
      <w:proofErr w:type="spellEnd"/>
      <w:r w:rsidRPr="00A32C4B">
        <w:rPr>
          <w:rFonts w:ascii="Times New Roman" w:hAnsi="Times New Roman" w:cs="Times New Roman"/>
          <w:sz w:val="24"/>
          <w:szCs w:val="24"/>
          <w:lang w:val="en-US"/>
        </w:rPr>
        <w:t xml:space="preserve"> 1,630 high-quality MPXV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genomes from seven Central African countries, revealing the complex and concurrent circulation of </w:t>
      </w:r>
      <w:r w:rsidR="00353208" w:rsidRPr="00A32C4B">
        <w:rPr>
          <w:rFonts w:ascii="Times New Roman" w:hAnsi="Times New Roman" w:cs="Times New Roman"/>
          <w:sz w:val="24"/>
          <w:szCs w:val="24"/>
          <w:lang w:val="en-US"/>
        </w:rPr>
        <w:t>subclades</w:t>
      </w:r>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and Ib. </w:t>
      </w:r>
      <w:r w:rsidR="00353208" w:rsidRPr="00A32C4B">
        <w:rPr>
          <w:rFonts w:ascii="Times New Roman" w:hAnsi="Times New Roman" w:cs="Times New Roman"/>
          <w:sz w:val="24"/>
          <w:szCs w:val="24"/>
          <w:lang w:val="en-US"/>
        </w:rPr>
        <w:t>Sub clade</w:t>
      </w:r>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showed high viral diversity in reservoir hosts, detected through zoonotic transmission and associated with a recently observed persistent human epidemic. In contrast, clade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showed evidence of sustained human-to-human transmission in East and Southern Africa. Similar to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clade IIb exhibits ongoing zoonotic transmission and a persistent human epidemic linked to the circulation of G1 and G2 lineages. Phylogeographic analyses revealed frequent cross-border transmission and significant interconnectedness, consistent with human mobility corridors and international borders. For example, the Democratic Republic of Congo and Sierra Leone appear to be sources of regional exports, while the Cameroon-Nigeria, Central African Republic-Cameroon, and Central African Republic-DRC interfaces reflect ongoing cross-border zoonotic spillovers. These findings underscore the need for </w:t>
      </w:r>
      <w:proofErr w:type="spellStart"/>
      <w:r w:rsidRPr="00A32C4B">
        <w:rPr>
          <w:rFonts w:ascii="Times New Roman" w:hAnsi="Times New Roman" w:cs="Times New Roman"/>
          <w:sz w:val="24"/>
          <w:szCs w:val="24"/>
          <w:lang w:val="en-US"/>
        </w:rPr>
        <w:t>harmoni</w:t>
      </w:r>
      <w:r w:rsidR="00224AD9">
        <w:rPr>
          <w:rFonts w:ascii="Times New Roman" w:hAnsi="Times New Roman" w:cs="Times New Roman"/>
          <w:sz w:val="24"/>
          <w:szCs w:val="24"/>
          <w:lang w:val="en-US"/>
        </w:rPr>
        <w:t>s</w:t>
      </w:r>
      <w:r w:rsidRPr="00A32C4B">
        <w:rPr>
          <w:rFonts w:ascii="Times New Roman" w:hAnsi="Times New Roman" w:cs="Times New Roman"/>
          <w:sz w:val="24"/>
          <w:szCs w:val="24"/>
          <w:lang w:val="en-US"/>
        </w:rPr>
        <w:t>ed</w:t>
      </w:r>
      <w:proofErr w:type="spellEnd"/>
      <w:r w:rsidRPr="00A32C4B">
        <w:rPr>
          <w:rFonts w:ascii="Times New Roman" w:hAnsi="Times New Roman" w:cs="Times New Roman"/>
          <w:sz w:val="24"/>
          <w:szCs w:val="24"/>
          <w:lang w:val="en-US"/>
        </w:rPr>
        <w:t xml:space="preserve"> genomic surveillance, APOBEC3-based triage, and integrated One Health strategies to prevent the escalation of local outbreaks into regional epidemics and to guide vaccine deployment and public health preparedness.</w:t>
      </w:r>
    </w:p>
    <w:p w14:paraId="06AFE82C" w14:textId="77777777" w:rsidR="00982DF4" w:rsidRPr="00A32C4B" w:rsidRDefault="00982DF4" w:rsidP="0084704A">
      <w:pPr>
        <w:spacing w:after="0" w:line="360" w:lineRule="auto"/>
        <w:jc w:val="both"/>
        <w:rPr>
          <w:rFonts w:ascii="Times New Roman" w:hAnsi="Times New Roman" w:cs="Times New Roman"/>
          <w:sz w:val="24"/>
          <w:szCs w:val="24"/>
          <w:lang w:val="en-US"/>
        </w:rPr>
      </w:pPr>
    </w:p>
    <w:p w14:paraId="256A9376" w14:textId="77777777" w:rsidR="00982DF4" w:rsidRPr="0084704A" w:rsidRDefault="00927041" w:rsidP="0084704A">
      <w:pPr>
        <w:spacing w:line="360" w:lineRule="auto"/>
        <w:jc w:val="both"/>
        <w:rPr>
          <w:rFonts w:ascii="Times New Roman" w:hAnsi="Times New Roman" w:cs="Times New Roman"/>
          <w:sz w:val="24"/>
          <w:szCs w:val="24"/>
          <w:lang w:val="en-US"/>
        </w:rPr>
      </w:pPr>
      <w:r w:rsidRPr="0084704A">
        <w:rPr>
          <w:rFonts w:ascii="Times New Roman" w:hAnsi="Times New Roman" w:cs="Times New Roman"/>
          <w:b/>
          <w:sz w:val="24"/>
          <w:szCs w:val="24"/>
          <w:lang w:val="en-US"/>
        </w:rPr>
        <w:t>Keywords:</w:t>
      </w:r>
      <w:r w:rsidRPr="0084704A">
        <w:rPr>
          <w:rFonts w:ascii="Times New Roman" w:hAnsi="Times New Roman" w:cs="Times New Roman"/>
          <w:sz w:val="24"/>
          <w:szCs w:val="24"/>
          <w:lang w:val="en-US"/>
        </w:rPr>
        <w:t xml:space="preserve"> Clade dynamics; APOBEC3 mutational signatures; zoonotic transmission; persistent human epidemic</w:t>
      </w:r>
      <w:r w:rsidR="0084704A">
        <w:rPr>
          <w:rFonts w:ascii="Times New Roman" w:hAnsi="Times New Roman" w:cs="Times New Roman"/>
          <w:sz w:val="24"/>
          <w:szCs w:val="24"/>
          <w:lang w:val="en-US"/>
        </w:rPr>
        <w:t>.</w:t>
      </w:r>
    </w:p>
    <w:p w14:paraId="04A7E78B" w14:textId="77777777" w:rsidR="00927041" w:rsidRPr="00982DF4" w:rsidRDefault="00927041" w:rsidP="00982DF4">
      <w:pPr>
        <w:pStyle w:val="ListParagraph"/>
        <w:numPr>
          <w:ilvl w:val="0"/>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Introduction</w:t>
      </w:r>
    </w:p>
    <w:p w14:paraId="51C87262" w14:textId="77777777" w:rsidR="00DC5421" w:rsidRDefault="00DC5421" w:rsidP="00DC5421">
      <w:pPr>
        <w:pStyle w:val="NormalWeb"/>
      </w:pPr>
      <w:bookmarkStart w:id="0" w:name="_GoBack"/>
      <w:bookmarkEnd w:id="0"/>
      <w:r>
        <w:t>Monkeypox (</w:t>
      </w:r>
      <w:proofErr w:type="spellStart"/>
      <w:r>
        <w:t>mpox</w:t>
      </w:r>
      <w:proofErr w:type="spellEnd"/>
      <w:r>
        <w:t xml:space="preserve">) outbreaks have historically arisen from zoonotic transmission of monkeypox virus (MPXV), with clade I predominating in Central Africa and clade II in West Africa [1, 2]. Since 2022, however, a global </w:t>
      </w:r>
      <w:proofErr w:type="spellStart"/>
      <w:r>
        <w:t>mpox</w:t>
      </w:r>
      <w:proofErr w:type="spellEnd"/>
      <w:r>
        <w:t xml:space="preserve"> outbreak has been documented, comprising 109,699 laboratory-confirmed cases and 236 deaths across 123 countries between January 2022 and September 2024. The burden of disease has remained disproportionately high in African countries [3, 4, 18]. In response, the World Health Organization (WHO) declared a Public Health Emergency of International Concern [5]. MPXV is an enveloped, double-stranded DNA virus within the </w:t>
      </w:r>
      <w:proofErr w:type="spellStart"/>
      <w:r>
        <w:t>Poxviridae</w:t>
      </w:r>
      <w:proofErr w:type="spellEnd"/>
      <w:r>
        <w:t xml:space="preserve"> family, which also includes variola (the causative agent of smallpox) and vaccinia viruses (used in smallpox vaccination). Human-to-human transmission occurs primarily via direct contact with skin lesions, bodily fluids, contaminated fomites, or respiratory droplets, while zoonotic transmission is largely associated with rodents. In humans, MPXV infection manifests as </w:t>
      </w:r>
      <w:proofErr w:type="spellStart"/>
      <w:r>
        <w:t>mpox</w:t>
      </w:r>
      <w:proofErr w:type="spellEnd"/>
      <w:r>
        <w:t xml:space="preserve">, </w:t>
      </w:r>
      <w:proofErr w:type="spellStart"/>
      <w:r>
        <w:t>characterised</w:t>
      </w:r>
      <w:proofErr w:type="spellEnd"/>
      <w:r>
        <w:t xml:space="preserve"> by fever, </w:t>
      </w:r>
      <w:r>
        <w:lastRenderedPageBreak/>
        <w:t xml:space="preserve">lymphadenopathy, and a </w:t>
      </w:r>
      <w:proofErr w:type="spellStart"/>
      <w:r>
        <w:t>vesiculopapular</w:t>
      </w:r>
      <w:proofErr w:type="spellEnd"/>
      <w:r>
        <w:t xml:space="preserve"> rash. Two genetically distinct clades are </w:t>
      </w:r>
      <w:proofErr w:type="spellStart"/>
      <w:r>
        <w:t>recognised</w:t>
      </w:r>
      <w:proofErr w:type="spellEnd"/>
      <w:r>
        <w:t>: clade I, largely confined to Central Africa, particularly the Central African Republic (CAR), and associated with more severe clinical manifestations and higher mortality (4–11%); and clade II, historically limited to West Africa but implicated in the 2022 global outbreak, which is associated with milder disease and a lower mortality rate (&lt;4%) [2, 18].</w:t>
      </w:r>
    </w:p>
    <w:p w14:paraId="11D90354" w14:textId="77777777" w:rsidR="00DC5421" w:rsidRDefault="00DC5421" w:rsidP="00DC5421">
      <w:pPr>
        <w:pStyle w:val="NormalWeb"/>
      </w:pPr>
      <w:r>
        <w:t xml:space="preserve">Historically, clade I has accounted for approximately 95% of reported cases. In 2017, a substantial outbreak of clade IIb occurred in Nigeria, demonstrating sustained human-to-human transmission, including sexual transmission, although this was not widely </w:t>
      </w:r>
      <w:proofErr w:type="spellStart"/>
      <w:r>
        <w:t>recognised</w:t>
      </w:r>
      <w:proofErr w:type="spellEnd"/>
      <w:r>
        <w:t xml:space="preserve"> at the time. Subsequently, the clade IIb lineage B.1 was responsible for a global outbreak beginning in May 2022, resulting in 95,226 confirmed cases across 117 countries by March 2024 [4]. Genomic analyses of lineage B.1 have revealed a mutational signature consistent with non-canonical evolution, driven by apolipoprotein B mRNA editing enzyme catalytic subunit 3 (APOBEC3)-mediated cytosine deamination, a pattern indicative of ongoing human-to-human transmission [5, 6, 18]. In vitro studies have further implicated APOBEC3F in these mutations, suggesting that clade IIb may have been circulating in human populations since as early as 2015 [7, 18]. By April 2024, the global spread of clade IIb lineage B.1 had largely subsided, although continued circulation persisted in Nigeria and other regions. On 20 July 2024, the Central African Republic declared an </w:t>
      </w:r>
      <w:proofErr w:type="spellStart"/>
      <w:r>
        <w:t>mpox</w:t>
      </w:r>
      <w:proofErr w:type="spellEnd"/>
      <w:r>
        <w:t xml:space="preserve"> outbreak within its territory. Against this background, the present study aimed to determine the prevalence of </w:t>
      </w:r>
      <w:proofErr w:type="spellStart"/>
      <w:r>
        <w:t>mpox</w:t>
      </w:r>
      <w:proofErr w:type="spellEnd"/>
      <w:r>
        <w:t xml:space="preserve"> at the National Laboratory in Bangui.</w:t>
      </w:r>
    </w:p>
    <w:p w14:paraId="476B2C09" w14:textId="63AF2918" w:rsidR="005A11B2" w:rsidRDefault="005A11B2" w:rsidP="0084704A">
      <w:pPr>
        <w:spacing w:line="360" w:lineRule="auto"/>
        <w:jc w:val="both"/>
        <w:rPr>
          <w:rFonts w:ascii="Times New Roman" w:hAnsi="Times New Roman" w:cs="Times New Roman"/>
          <w:sz w:val="24"/>
          <w:szCs w:val="24"/>
          <w:lang w:val="en-US"/>
        </w:rPr>
      </w:pPr>
    </w:p>
    <w:p w14:paraId="7585213E" w14:textId="77777777" w:rsidR="00927041" w:rsidRPr="00982DF4" w:rsidRDefault="00927041" w:rsidP="00982DF4">
      <w:pPr>
        <w:pStyle w:val="ListParagraph"/>
        <w:numPr>
          <w:ilvl w:val="0"/>
          <w:numId w:val="2"/>
        </w:numPr>
        <w:spacing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Methodology</w:t>
      </w:r>
    </w:p>
    <w:p w14:paraId="0F594EC6"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Type and location of the study</w:t>
      </w:r>
    </w:p>
    <w:p w14:paraId="702FB028" w14:textId="77777777" w:rsidR="00927041"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This was a cross-sectional, retrospective study based on a collection of newly completed and near-complete MPXV sequences. Public sequences were extracted from open-access databases such as the Global Influenza All Data Sharing Initiative (GISAID) and other repositories (</w:t>
      </w:r>
      <w:proofErr w:type="spellStart"/>
      <w:r w:rsidRPr="00A32C4B">
        <w:rPr>
          <w:rFonts w:ascii="Times New Roman" w:hAnsi="Times New Roman" w:cs="Times New Roman"/>
          <w:sz w:val="24"/>
          <w:szCs w:val="24"/>
          <w:lang w:val="en-US"/>
        </w:rPr>
        <w:t>Pathoplexus</w:t>
      </w:r>
      <w:proofErr w:type="spellEnd"/>
      <w:r w:rsidRPr="00A32C4B">
        <w:rPr>
          <w:rFonts w:ascii="Times New Roman" w:hAnsi="Times New Roman" w:cs="Times New Roman"/>
          <w:sz w:val="24"/>
          <w:szCs w:val="24"/>
          <w:lang w:val="en-US"/>
        </w:rPr>
        <w:t>), as of August 21, 2025.</w:t>
      </w:r>
    </w:p>
    <w:p w14:paraId="7085F181"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Inclusion and exclusion criteria</w:t>
      </w:r>
    </w:p>
    <w:p w14:paraId="5D8ECF2F" w14:textId="77777777" w:rsidR="00A32C4B"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The study included only sequences associated with minimal demographic metadata, such as collection date, country, and region.</w:t>
      </w:r>
    </w:p>
    <w:p w14:paraId="4AAF1883"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Sampling and Data Collection</w:t>
      </w:r>
    </w:p>
    <w:p w14:paraId="3A4C3CA5" w14:textId="6C2BDF01" w:rsidR="00927041"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For our study, we conducted a continent-wide genomic analysis of the Mexican smallpox virus (MPXV) across Africa, integrating 3,450 genomes and public sequences representing clades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IIa</w:t>
      </w:r>
      <w:proofErr w:type="spellEnd"/>
      <w:r w:rsidRPr="00A32C4B">
        <w:rPr>
          <w:rFonts w:ascii="Times New Roman" w:hAnsi="Times New Roman" w:cs="Times New Roman"/>
          <w:sz w:val="24"/>
          <w:szCs w:val="24"/>
          <w:lang w:val="en-US"/>
        </w:rPr>
        <w:t xml:space="preserve">, and IIb, covering the period from 1970 to 2025 and originating from more than 24 African Union Member States. All Member States voluntarily contributed their MPXV genomic data via the secure, cloud-based Terra platform, enabling integrated analyses, </w:t>
      </w:r>
      <w:proofErr w:type="spellStart"/>
      <w:r w:rsidRPr="00A32C4B">
        <w:rPr>
          <w:rFonts w:ascii="Times New Roman" w:hAnsi="Times New Roman" w:cs="Times New Roman"/>
          <w:sz w:val="24"/>
          <w:szCs w:val="24"/>
          <w:lang w:val="en-US"/>
        </w:rPr>
        <w:t>harmoni</w:t>
      </w:r>
      <w:r w:rsidR="00224AD9">
        <w:rPr>
          <w:rFonts w:ascii="Times New Roman" w:hAnsi="Times New Roman" w:cs="Times New Roman"/>
          <w:sz w:val="24"/>
          <w:szCs w:val="24"/>
          <w:lang w:val="en-US"/>
        </w:rPr>
        <w:t>s</w:t>
      </w:r>
      <w:r w:rsidRPr="00A32C4B">
        <w:rPr>
          <w:rFonts w:ascii="Times New Roman" w:hAnsi="Times New Roman" w:cs="Times New Roman"/>
          <w:sz w:val="24"/>
          <w:szCs w:val="24"/>
          <w:lang w:val="en-US"/>
        </w:rPr>
        <w:t>ed</w:t>
      </w:r>
      <w:proofErr w:type="spellEnd"/>
      <w:r w:rsidRPr="00A32C4B">
        <w:rPr>
          <w:rFonts w:ascii="Times New Roman" w:hAnsi="Times New Roman" w:cs="Times New Roman"/>
          <w:sz w:val="24"/>
          <w:szCs w:val="24"/>
          <w:lang w:val="en-US"/>
        </w:rPr>
        <w:t xml:space="preserve"> interpretation, and the development of a unified study across the subregion.</w:t>
      </w:r>
    </w:p>
    <w:p w14:paraId="19BF64BA" w14:textId="77777777" w:rsidR="00927041" w:rsidRPr="00982DF4" w:rsidRDefault="00927041" w:rsidP="00982DF4">
      <w:pPr>
        <w:pStyle w:val="ListParagraph"/>
        <w:numPr>
          <w:ilvl w:val="1"/>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Sequencing and Bioinformatics Analysis</w:t>
      </w:r>
    </w:p>
    <w:p w14:paraId="5E8804CB" w14:textId="77777777" w:rsidR="00927041" w:rsidRPr="00982DF4" w:rsidRDefault="00927041" w:rsidP="00982DF4">
      <w:pPr>
        <w:pStyle w:val="ListParagraph"/>
        <w:numPr>
          <w:ilvl w:val="2"/>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Genome Assembly:</w:t>
      </w:r>
    </w:p>
    <w:p w14:paraId="232CB5B1" w14:textId="06B7B54A" w:rsidR="00533615" w:rsidRPr="00A32C4B" w:rsidRDefault="0092704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lastRenderedPageBreak/>
        <w:t xml:space="preserve">Samples from six Member States of the subregion were assembled according to the library preparation strategy. For data generated by probe </w:t>
      </w:r>
      <w:proofErr w:type="spellStart"/>
      <w:r w:rsidRPr="00A32C4B">
        <w:rPr>
          <w:rFonts w:ascii="Times New Roman" w:hAnsi="Times New Roman" w:cs="Times New Roman"/>
          <w:sz w:val="24"/>
          <w:szCs w:val="24"/>
          <w:lang w:val="en-US"/>
        </w:rPr>
        <w:t>hybridi</w:t>
      </w:r>
      <w:r w:rsidR="00224AD9">
        <w:rPr>
          <w:rFonts w:ascii="Times New Roman" w:hAnsi="Times New Roman" w:cs="Times New Roman"/>
          <w:sz w:val="24"/>
          <w:szCs w:val="24"/>
          <w:lang w:val="en-US"/>
        </w:rPr>
        <w:t>s</w:t>
      </w:r>
      <w:r w:rsidRPr="00A32C4B">
        <w:rPr>
          <w:rFonts w:ascii="Times New Roman" w:hAnsi="Times New Roman" w:cs="Times New Roman"/>
          <w:sz w:val="24"/>
          <w:szCs w:val="24"/>
          <w:lang w:val="en-US"/>
        </w:rPr>
        <w:t>ation</w:t>
      </w:r>
      <w:proofErr w:type="spellEnd"/>
      <w:r w:rsidRPr="00A32C4B">
        <w:rPr>
          <w:rFonts w:ascii="Times New Roman" w:hAnsi="Times New Roman" w:cs="Times New Roman"/>
          <w:sz w:val="24"/>
          <w:szCs w:val="24"/>
          <w:lang w:val="en-US"/>
        </w:rPr>
        <w:t xml:space="preserve"> capture, genomes were assembled using various pipelines, such as the viral-</w:t>
      </w:r>
      <w:proofErr w:type="spellStart"/>
      <w:r w:rsidRPr="00A32C4B">
        <w:rPr>
          <w:rFonts w:ascii="Times New Roman" w:hAnsi="Times New Roman" w:cs="Times New Roman"/>
          <w:sz w:val="24"/>
          <w:szCs w:val="24"/>
          <w:lang w:val="en-US"/>
        </w:rPr>
        <w:t>ngs</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assemble_denovo_metagenomic</w:t>
      </w:r>
      <w:proofErr w:type="spellEnd"/>
      <w:r w:rsidRPr="00A32C4B">
        <w:rPr>
          <w:rFonts w:ascii="Times New Roman" w:hAnsi="Times New Roman" w:cs="Times New Roman"/>
          <w:sz w:val="24"/>
          <w:szCs w:val="24"/>
          <w:lang w:val="en-US"/>
        </w:rPr>
        <w:t xml:space="preserve"> pipeline with automated reference genome selection, </w:t>
      </w:r>
      <w:proofErr w:type="spellStart"/>
      <w:r w:rsidRPr="00A32C4B">
        <w:rPr>
          <w:rFonts w:ascii="Times New Roman" w:hAnsi="Times New Roman" w:cs="Times New Roman"/>
          <w:sz w:val="24"/>
          <w:szCs w:val="24"/>
          <w:lang w:val="en-US"/>
        </w:rPr>
        <w:t>czid</w:t>
      </w:r>
      <w:proofErr w:type="spellEnd"/>
      <w:r w:rsidRPr="00A32C4B">
        <w:rPr>
          <w:rFonts w:ascii="Times New Roman" w:hAnsi="Times New Roman" w:cs="Times New Roman"/>
          <w:sz w:val="24"/>
          <w:szCs w:val="24"/>
          <w:lang w:val="en-US"/>
        </w:rPr>
        <w:t xml:space="preserve">, consensus </w:t>
      </w:r>
      <w:proofErr w:type="spellStart"/>
      <w:r w:rsidRPr="00A32C4B">
        <w:rPr>
          <w:rFonts w:ascii="Times New Roman" w:hAnsi="Times New Roman" w:cs="Times New Roman"/>
          <w:sz w:val="24"/>
          <w:szCs w:val="24"/>
          <w:lang w:val="en-US"/>
        </w:rPr>
        <w:t>fasta</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metatropics</w:t>
      </w:r>
      <w:proofErr w:type="spellEnd"/>
      <w:r w:rsidRPr="00A32C4B">
        <w:rPr>
          <w:rFonts w:ascii="Times New Roman" w:hAnsi="Times New Roman" w:cs="Times New Roman"/>
          <w:sz w:val="24"/>
          <w:szCs w:val="24"/>
          <w:lang w:val="en-US"/>
        </w:rPr>
        <w:t>, or other country-specific internal pipelines. When amplicon sequencing was used as the enrichment method, genomes were assembled using the ARTIC-MPXV pipelines for Il</w:t>
      </w:r>
      <w:r w:rsidR="00533615" w:rsidRPr="00A32C4B">
        <w:rPr>
          <w:rFonts w:ascii="Times New Roman" w:hAnsi="Times New Roman" w:cs="Times New Roman"/>
          <w:sz w:val="24"/>
          <w:szCs w:val="24"/>
          <w:lang w:val="en-US"/>
        </w:rPr>
        <w:t>lumina or Nanopore.</w:t>
      </w:r>
    </w:p>
    <w:p w14:paraId="054307E5" w14:textId="77777777" w:rsidR="00533615" w:rsidRPr="00982DF4" w:rsidRDefault="00533615" w:rsidP="00982DF4">
      <w:pPr>
        <w:pStyle w:val="ListParagraph"/>
        <w:numPr>
          <w:ilvl w:val="2"/>
          <w:numId w:val="2"/>
        </w:numPr>
        <w:spacing w:after="0" w:line="360" w:lineRule="auto"/>
        <w:jc w:val="both"/>
        <w:rPr>
          <w:rFonts w:ascii="Times New Roman" w:hAnsi="Times New Roman" w:cs="Times New Roman"/>
          <w:b/>
          <w:sz w:val="24"/>
          <w:szCs w:val="24"/>
          <w:lang w:val="en-US"/>
        </w:rPr>
      </w:pPr>
      <w:r w:rsidRPr="00982DF4">
        <w:rPr>
          <w:rFonts w:ascii="Times New Roman" w:hAnsi="Times New Roman" w:cs="Times New Roman"/>
          <w:b/>
          <w:sz w:val="24"/>
          <w:szCs w:val="24"/>
          <w:lang w:val="en-US"/>
        </w:rPr>
        <w:t>Phylogenetic Analysis</w:t>
      </w:r>
    </w:p>
    <w:p w14:paraId="77927F54" w14:textId="1609ECC5" w:rsidR="00533615" w:rsidRPr="00A32C4B" w:rsidRDefault="00533615"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We used </w:t>
      </w:r>
      <w:proofErr w:type="spellStart"/>
      <w:r w:rsidRPr="00A32C4B">
        <w:rPr>
          <w:rFonts w:ascii="Times New Roman" w:hAnsi="Times New Roman" w:cs="Times New Roman"/>
          <w:sz w:val="24"/>
          <w:szCs w:val="24"/>
          <w:lang w:val="en-US"/>
        </w:rPr>
        <w:t>NextClade</w:t>
      </w:r>
      <w:proofErr w:type="spellEnd"/>
      <w:r w:rsidRPr="00A32C4B">
        <w:rPr>
          <w:rFonts w:ascii="Times New Roman" w:hAnsi="Times New Roman" w:cs="Times New Roman"/>
          <w:sz w:val="24"/>
          <w:szCs w:val="24"/>
          <w:lang w:val="en-US"/>
        </w:rPr>
        <w:t xml:space="preserve"> v3.16.0 [8] to assign a clade and lineage to each genome, according to the nomenclature [9]. This assignment allowed us to segment the genomes based on their clade of origin. The genomes were compiled for each clade, along with metadata relating to the country of origin and the collection date. For each clade, we used Squirrel v1.2.2 to perform alignment, phylogenetic analysis, and APOBEC3 reconstruction [10]. Squirrel aligns the MPXV genomes by mapping them to </w:t>
      </w:r>
      <w:proofErr w:type="spellStart"/>
      <w:r w:rsidRPr="00A32C4B">
        <w:rPr>
          <w:rFonts w:ascii="Times New Roman" w:hAnsi="Times New Roman" w:cs="Times New Roman"/>
          <w:sz w:val="24"/>
          <w:szCs w:val="24"/>
          <w:lang w:val="en-US"/>
        </w:rPr>
        <w:t>RefSeq</w:t>
      </w:r>
      <w:proofErr w:type="spellEnd"/>
      <w:r w:rsidRPr="00A32C4B">
        <w:rPr>
          <w:rFonts w:ascii="Times New Roman" w:hAnsi="Times New Roman" w:cs="Times New Roman"/>
          <w:sz w:val="24"/>
          <w:szCs w:val="24"/>
          <w:lang w:val="en-US"/>
        </w:rPr>
        <w:t xml:space="preserve"> Clade I or Clade II (access numbers: NC_003310 and NC_063383, respectively) using minimap2 and constructs an alignment using </w:t>
      </w:r>
      <w:proofErr w:type="spellStart"/>
      <w:r w:rsidRPr="00A32C4B">
        <w:rPr>
          <w:rFonts w:ascii="Times New Roman" w:hAnsi="Times New Roman" w:cs="Times New Roman"/>
          <w:sz w:val="24"/>
          <w:szCs w:val="24"/>
          <w:lang w:val="en-US"/>
        </w:rPr>
        <w:t>gofasta</w:t>
      </w:r>
      <w:proofErr w:type="spellEnd"/>
      <w:r w:rsidRPr="00A32C4B">
        <w:rPr>
          <w:rFonts w:ascii="Times New Roman" w:hAnsi="Times New Roman" w:cs="Times New Roman"/>
          <w:sz w:val="24"/>
          <w:szCs w:val="24"/>
          <w:lang w:val="en-US"/>
        </w:rPr>
        <w:t xml:space="preserve"> [11].</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By default, the 3’ INT (Inverted Terminal Repeat) region and a set of known problematic regions are masked. The software automatically selects a suitable outgroup to root the tree based on the specified clade and uses IQTREE2 to estimate a maximum likelihood phylogeny, according to the HKY model [12]. Ancestral state reconstructions are performed, and Squirrel uses these node state reconstructions to infer mutations that have occurred along each branch of the phylogeny. Squirrel </w:t>
      </w:r>
      <w:proofErr w:type="spellStart"/>
      <w:r w:rsidRPr="00A32C4B">
        <w:rPr>
          <w:rFonts w:ascii="Times New Roman" w:hAnsi="Times New Roman" w:cs="Times New Roman"/>
          <w:sz w:val="24"/>
          <w:szCs w:val="24"/>
          <w:lang w:val="en-US"/>
        </w:rPr>
        <w:t>categori</w:t>
      </w:r>
      <w:r w:rsidR="00224AD9">
        <w:rPr>
          <w:rFonts w:ascii="Times New Roman" w:hAnsi="Times New Roman" w:cs="Times New Roman"/>
          <w:sz w:val="24"/>
          <w:szCs w:val="24"/>
          <w:lang w:val="en-US"/>
        </w:rPr>
        <w:t>s</w:t>
      </w:r>
      <w:r w:rsidRPr="00A32C4B">
        <w:rPr>
          <w:rFonts w:ascii="Times New Roman" w:hAnsi="Times New Roman" w:cs="Times New Roman"/>
          <w:sz w:val="24"/>
          <w:szCs w:val="24"/>
          <w:lang w:val="en-US"/>
        </w:rPr>
        <w:t>es</w:t>
      </w:r>
      <w:proofErr w:type="spellEnd"/>
      <w:r w:rsidRPr="00A32C4B">
        <w:rPr>
          <w:rFonts w:ascii="Times New Roman" w:hAnsi="Times New Roman" w:cs="Times New Roman"/>
          <w:sz w:val="24"/>
          <w:szCs w:val="24"/>
          <w:lang w:val="en-US"/>
        </w:rPr>
        <w:t xml:space="preserve"> each SNP according to whether or not it appears in an APOBEC3 context and plots a phylogeny with these reconstructions along the branches.</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Initially, Squirrel was run in quality control (QC) mode, which flags SNPs that might arise from assembly or alignment issues (e.g., clustered SNPs, N-adjacent SNPs, convergent SNPs, or reversions from the reference sequence). Each SNP was visually examined, and then Squirrel was run a second time with an additional mask file that included the flagged clustered and N-adjacent SNPs. Convergent SNPs were not masked, and reversions were used to identify potential assembly errors in the genomes.</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For the combined phylogenetic analysis, a subset of genomes was selected to represent the major diversity of each clade (218 genomes in total, including 64, 100, 13, and 41 for clades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w:t>
      </w:r>
      <w:proofErr w:type="spellStart"/>
      <w:r w:rsidRPr="00A32C4B">
        <w:rPr>
          <w:rFonts w:ascii="Times New Roman" w:hAnsi="Times New Roman" w:cs="Times New Roman"/>
          <w:sz w:val="24"/>
          <w:szCs w:val="24"/>
          <w:lang w:val="en-US"/>
        </w:rPr>
        <w:t>IIa</w:t>
      </w:r>
      <w:proofErr w:type="spellEnd"/>
      <w:r w:rsidRPr="00A32C4B">
        <w:rPr>
          <w:rFonts w:ascii="Times New Roman" w:hAnsi="Times New Roman" w:cs="Times New Roman"/>
          <w:sz w:val="24"/>
          <w:szCs w:val="24"/>
          <w:lang w:val="en-US"/>
        </w:rPr>
        <w:t xml:space="preserve">, and IIb, respectively). The genomes of clades I and II were first aligned and masked separately using SQUIRREL, relative to their respective </w:t>
      </w:r>
      <w:proofErr w:type="spellStart"/>
      <w:r w:rsidRPr="00A32C4B">
        <w:rPr>
          <w:rFonts w:ascii="Times New Roman" w:hAnsi="Times New Roman" w:cs="Times New Roman"/>
          <w:sz w:val="24"/>
          <w:szCs w:val="24"/>
          <w:lang w:val="en-US"/>
        </w:rPr>
        <w:t>RefSeq</w:t>
      </w:r>
      <w:proofErr w:type="spellEnd"/>
      <w:r w:rsidRPr="00A32C4B">
        <w:rPr>
          <w:rFonts w:ascii="Times New Roman" w:hAnsi="Times New Roman" w:cs="Times New Roman"/>
          <w:sz w:val="24"/>
          <w:szCs w:val="24"/>
          <w:lang w:val="en-US"/>
        </w:rPr>
        <w:t xml:space="preserve"> sequences and masked with the appropriate mask files. The alignments were then combined by MAFFT profile alignment, which assumes the phylogenetic independence of each clade [13]. IQTREE2 </w:t>
      </w:r>
      <w:r w:rsidRPr="00A32C4B">
        <w:rPr>
          <w:rFonts w:ascii="Times New Roman" w:hAnsi="Times New Roman" w:cs="Times New Roman"/>
          <w:sz w:val="24"/>
          <w:szCs w:val="24"/>
          <w:lang w:val="en-US"/>
        </w:rPr>
        <w:lastRenderedPageBreak/>
        <w:t xml:space="preserve">was used to estimate a maximum likelihood tree, with the HKY model and 1000 ultrafast bootstrap </w:t>
      </w:r>
      <w:proofErr w:type="spellStart"/>
      <w:r w:rsidRPr="00A32C4B">
        <w:rPr>
          <w:rFonts w:ascii="Times New Roman" w:hAnsi="Times New Roman" w:cs="Times New Roman"/>
          <w:sz w:val="24"/>
          <w:szCs w:val="24"/>
          <w:lang w:val="en-US"/>
        </w:rPr>
        <w:t>resamplings</w:t>
      </w:r>
      <w:proofErr w:type="spellEnd"/>
      <w:r w:rsidRPr="00A32C4B">
        <w:rPr>
          <w:rFonts w:ascii="Times New Roman" w:hAnsi="Times New Roman" w:cs="Times New Roman"/>
          <w:sz w:val="24"/>
          <w:szCs w:val="24"/>
          <w:lang w:val="en-US"/>
        </w:rPr>
        <w:t xml:space="preserve"> (Minh et al., 2020).</w:t>
      </w:r>
    </w:p>
    <w:p w14:paraId="4B3C55BD" w14:textId="77777777" w:rsidR="00533615" w:rsidRPr="00982DF4" w:rsidRDefault="00982DF4" w:rsidP="00982DF4">
      <w:pPr>
        <w:pStyle w:val="Heading1"/>
        <w:rPr>
          <w:rFonts w:ascii="Times New Roman" w:hAnsi="Times New Roman" w:cs="Times New Roman"/>
          <w:b/>
          <w:color w:val="auto"/>
          <w:sz w:val="24"/>
          <w:szCs w:val="24"/>
          <w:lang w:val="en-US"/>
        </w:rPr>
      </w:pPr>
      <w:r w:rsidRPr="00982DF4">
        <w:rPr>
          <w:rFonts w:ascii="Times New Roman" w:hAnsi="Times New Roman" w:cs="Times New Roman"/>
          <w:b/>
          <w:color w:val="auto"/>
          <w:sz w:val="24"/>
          <w:lang w:val="en-US"/>
        </w:rPr>
        <w:t xml:space="preserve">3. </w:t>
      </w:r>
      <w:r w:rsidR="00533615" w:rsidRPr="00982DF4">
        <w:rPr>
          <w:rFonts w:ascii="Times New Roman" w:hAnsi="Times New Roman" w:cs="Times New Roman"/>
          <w:b/>
          <w:color w:val="auto"/>
          <w:sz w:val="24"/>
          <w:lang w:val="en-US"/>
        </w:rPr>
        <w:t>Results</w:t>
      </w:r>
    </w:p>
    <w:p w14:paraId="64B1FFDC" w14:textId="77777777" w:rsidR="00533615" w:rsidRPr="00A32C4B" w:rsidRDefault="00982DF4" w:rsidP="0084704A">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00533615" w:rsidRPr="00A32C4B">
        <w:rPr>
          <w:rFonts w:ascii="Times New Roman" w:hAnsi="Times New Roman" w:cs="Times New Roman"/>
          <w:b/>
          <w:sz w:val="24"/>
          <w:szCs w:val="24"/>
          <w:lang w:val="en-US"/>
        </w:rPr>
        <w:t>Genomic Diversity of Clade II (a and b) and Clade I (a and b)</w:t>
      </w:r>
    </w:p>
    <w:p w14:paraId="1BB190B6" w14:textId="749F049F" w:rsidR="00533615" w:rsidRPr="00A32C4B" w:rsidRDefault="00533615"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In an unprecedented sub-regional effort, we collected 2,877 MPXV virus genomes from clinical samples, including 1,630 genomes from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and 1,247 from Clade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(Figure 1). These genomes were </w:t>
      </w:r>
      <w:proofErr w:type="spellStart"/>
      <w:r w:rsidRPr="00A32C4B">
        <w:rPr>
          <w:rFonts w:ascii="Times New Roman" w:hAnsi="Times New Roman" w:cs="Times New Roman"/>
          <w:sz w:val="24"/>
          <w:szCs w:val="24"/>
          <w:lang w:val="en-US"/>
        </w:rPr>
        <w:t>analy</w:t>
      </w:r>
      <w:r w:rsidR="00224AD9">
        <w:rPr>
          <w:rFonts w:ascii="Times New Roman" w:hAnsi="Times New Roman" w:cs="Times New Roman"/>
          <w:sz w:val="24"/>
          <w:szCs w:val="24"/>
          <w:lang w:val="en-US"/>
        </w:rPr>
        <w:t>s</w:t>
      </w:r>
      <w:r w:rsidRPr="00A32C4B">
        <w:rPr>
          <w:rFonts w:ascii="Times New Roman" w:hAnsi="Times New Roman" w:cs="Times New Roman"/>
          <w:sz w:val="24"/>
          <w:szCs w:val="24"/>
          <w:lang w:val="en-US"/>
        </w:rPr>
        <w:t>ed</w:t>
      </w:r>
      <w:proofErr w:type="spellEnd"/>
      <w:r w:rsidRPr="00A32C4B">
        <w:rPr>
          <w:rFonts w:ascii="Times New Roman" w:hAnsi="Times New Roman" w:cs="Times New Roman"/>
          <w:sz w:val="24"/>
          <w:szCs w:val="24"/>
          <w:lang w:val="en-US"/>
        </w:rPr>
        <w:t xml:space="preserve"> by comparing them to a set of reference genomes previously made available in public databases. They were collected in six Central African countries, all member states of the African Union (AU): Cameroon, Central African Republic (CAR), Democratic Republic of Congo (DRC), Gabon, Guinea, and Republic of Congo (DRC). This broad geographical representation allowed for a nuanced understanding of regional transmission dynamics and the evolutionary trajectories of the virus. This comprehensive dataset covering Central Africa marks a transformative moment in pathogen genomics, offering the most complete view to date of the diversity and evolution of the MPXV clade at the sub-regional and African levels (Figure 1)</w:t>
      </w:r>
    </w:p>
    <w:p w14:paraId="06095E47" w14:textId="77777777" w:rsidR="00533615" w:rsidRPr="00A32C4B" w:rsidRDefault="00533615" w:rsidP="0084704A">
      <w:pPr>
        <w:spacing w:line="360" w:lineRule="auto"/>
        <w:rPr>
          <w:rFonts w:ascii="Times New Roman" w:hAnsi="Times New Roman" w:cs="Times New Roman"/>
          <w:sz w:val="24"/>
          <w:szCs w:val="24"/>
          <w:lang w:val="en-US"/>
        </w:rPr>
      </w:pPr>
    </w:p>
    <w:p w14:paraId="30727A33" w14:textId="77777777" w:rsidR="00533615" w:rsidRPr="00A32C4B" w:rsidRDefault="00533615" w:rsidP="0084704A">
      <w:pPr>
        <w:spacing w:line="360" w:lineRule="auto"/>
        <w:rPr>
          <w:rFonts w:ascii="Times New Roman" w:hAnsi="Times New Roman" w:cs="Times New Roman"/>
          <w:sz w:val="24"/>
          <w:szCs w:val="24"/>
          <w:lang w:val="en-US"/>
        </w:rPr>
      </w:pPr>
      <w:r w:rsidRPr="00A32C4B">
        <w:rPr>
          <w:rFonts w:ascii="Times New Roman" w:eastAsia="Calibri" w:hAnsi="Times New Roman" w:cs="Times New Roman"/>
          <w:noProof/>
          <w:sz w:val="24"/>
          <w:szCs w:val="24"/>
          <w:lang w:val="en-US"/>
        </w:rPr>
        <w:lastRenderedPageBreak/>
        <w:drawing>
          <wp:inline distT="114300" distB="114300" distL="114300" distR="114300" wp14:anchorId="098940EB" wp14:editId="718C290C">
            <wp:extent cx="5760085" cy="4967591"/>
            <wp:effectExtent l="0" t="0" r="0" b="508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69171" cy="4975427"/>
                    </a:xfrm>
                    <a:prstGeom prst="rect">
                      <a:avLst/>
                    </a:prstGeom>
                    <a:ln/>
                  </pic:spPr>
                </pic:pic>
              </a:graphicData>
            </a:graphic>
          </wp:inline>
        </w:drawing>
      </w:r>
    </w:p>
    <w:p w14:paraId="32C6B70B" w14:textId="77777777" w:rsidR="00533615" w:rsidRPr="00176951" w:rsidRDefault="00533615" w:rsidP="0084704A">
      <w:pPr>
        <w:spacing w:line="360" w:lineRule="auto"/>
        <w:rPr>
          <w:rFonts w:ascii="Times New Roman" w:hAnsi="Times New Roman" w:cs="Times New Roman"/>
          <w:sz w:val="28"/>
          <w:szCs w:val="24"/>
          <w:lang w:val="en-US"/>
        </w:rPr>
      </w:pPr>
    </w:p>
    <w:p w14:paraId="2EEDBDA3" w14:textId="6916E5CC" w:rsidR="00176951" w:rsidRPr="006F3360" w:rsidRDefault="004C3911" w:rsidP="0084704A">
      <w:pPr>
        <w:spacing w:line="360" w:lineRule="auto"/>
        <w:rPr>
          <w:rFonts w:ascii="Times New Roman" w:hAnsi="Times New Roman" w:cs="Times New Roman"/>
          <w:i/>
          <w:sz w:val="24"/>
          <w:szCs w:val="24"/>
          <w:lang w:val="en-US"/>
        </w:rPr>
      </w:pPr>
      <w:r w:rsidRPr="00176951">
        <w:rPr>
          <w:rFonts w:ascii="Times New Roman" w:hAnsi="Times New Roman" w:cs="Times New Roman"/>
          <w:b/>
          <w:i/>
          <w:sz w:val="24"/>
          <w:szCs w:val="24"/>
          <w:lang w:val="en-US"/>
        </w:rPr>
        <w:t xml:space="preserve">Figure 1: The genetic diversity of MPXV is divided into two main clades: clade I (primarily from Central Africa) and clade II (West Africa). </w:t>
      </w:r>
      <w:r w:rsidRPr="006F3360">
        <w:rPr>
          <w:rFonts w:ascii="Times New Roman" w:hAnsi="Times New Roman" w:cs="Times New Roman"/>
          <w:i/>
          <w:sz w:val="24"/>
          <w:szCs w:val="24"/>
          <w:lang w:val="en-US"/>
        </w:rPr>
        <w:t>To date, three persistent human epidemics have been characterized, represented by triangles on the phylogenetic tree and corresponding to the persistent human epidemics (</w:t>
      </w:r>
      <w:proofErr w:type="spellStart"/>
      <w:r w:rsidRPr="006F3360">
        <w:rPr>
          <w:rFonts w:ascii="Times New Roman" w:hAnsi="Times New Roman" w:cs="Times New Roman"/>
          <w:i/>
          <w:sz w:val="24"/>
          <w:szCs w:val="24"/>
          <w:lang w:val="en-US"/>
        </w:rPr>
        <w:t>sh</w:t>
      </w:r>
      <w:proofErr w:type="spellEnd"/>
      <w:r w:rsidRPr="006F3360">
        <w:rPr>
          <w:rFonts w:ascii="Times New Roman" w:hAnsi="Times New Roman" w:cs="Times New Roman"/>
          <w:i/>
          <w:sz w:val="24"/>
          <w:szCs w:val="24"/>
          <w:lang w:val="en-US"/>
        </w:rPr>
        <w:t xml:space="preserve">)-2017 (clade IIb), sh2023 (clade </w:t>
      </w:r>
      <w:proofErr w:type="spellStart"/>
      <w:r w:rsidRPr="006F3360">
        <w:rPr>
          <w:rFonts w:ascii="Times New Roman" w:hAnsi="Times New Roman" w:cs="Times New Roman"/>
          <w:i/>
          <w:sz w:val="24"/>
          <w:szCs w:val="24"/>
          <w:lang w:val="en-US"/>
        </w:rPr>
        <w:t>Ib</w:t>
      </w:r>
      <w:proofErr w:type="spellEnd"/>
      <w:r w:rsidRPr="006F3360">
        <w:rPr>
          <w:rFonts w:ascii="Times New Roman" w:hAnsi="Times New Roman" w:cs="Times New Roman"/>
          <w:i/>
          <w:sz w:val="24"/>
          <w:szCs w:val="24"/>
          <w:lang w:val="en-US"/>
        </w:rPr>
        <w:t xml:space="preserve">), and sh2024 (clade </w:t>
      </w:r>
      <w:proofErr w:type="spellStart"/>
      <w:r w:rsidRPr="006F3360">
        <w:rPr>
          <w:rFonts w:ascii="Times New Roman" w:hAnsi="Times New Roman" w:cs="Times New Roman"/>
          <w:i/>
          <w:sz w:val="24"/>
          <w:szCs w:val="24"/>
          <w:lang w:val="en-US"/>
        </w:rPr>
        <w:t>Ia</w:t>
      </w:r>
      <w:proofErr w:type="spellEnd"/>
      <w:r w:rsidRPr="006F3360">
        <w:rPr>
          <w:rFonts w:ascii="Times New Roman" w:hAnsi="Times New Roman" w:cs="Times New Roman"/>
          <w:i/>
          <w:sz w:val="24"/>
          <w:szCs w:val="24"/>
          <w:lang w:val="en-US"/>
        </w:rPr>
        <w:t xml:space="preserve">). B) General distribution of MPXV clades in Africa. Distribution of MPXV clades, including clades </w:t>
      </w:r>
      <w:proofErr w:type="spellStart"/>
      <w:r w:rsidRPr="006F3360">
        <w:rPr>
          <w:rFonts w:ascii="Times New Roman" w:hAnsi="Times New Roman" w:cs="Times New Roman"/>
          <w:i/>
          <w:sz w:val="24"/>
          <w:szCs w:val="24"/>
          <w:lang w:val="en-US"/>
        </w:rPr>
        <w:t>Ia</w:t>
      </w:r>
      <w:proofErr w:type="spellEnd"/>
      <w:r w:rsidRPr="006F3360">
        <w:rPr>
          <w:rFonts w:ascii="Times New Roman" w:hAnsi="Times New Roman" w:cs="Times New Roman"/>
          <w:i/>
          <w:sz w:val="24"/>
          <w:szCs w:val="24"/>
          <w:lang w:val="en-US"/>
        </w:rPr>
        <w:t xml:space="preserve">, </w:t>
      </w:r>
      <w:proofErr w:type="spellStart"/>
      <w:r w:rsidRPr="006F3360">
        <w:rPr>
          <w:rFonts w:ascii="Times New Roman" w:hAnsi="Times New Roman" w:cs="Times New Roman"/>
          <w:i/>
          <w:sz w:val="24"/>
          <w:szCs w:val="24"/>
          <w:lang w:val="en-US"/>
        </w:rPr>
        <w:t>Ib</w:t>
      </w:r>
      <w:proofErr w:type="spellEnd"/>
      <w:r w:rsidRPr="006F3360">
        <w:rPr>
          <w:rFonts w:ascii="Times New Roman" w:hAnsi="Times New Roman" w:cs="Times New Roman"/>
          <w:i/>
          <w:sz w:val="24"/>
          <w:szCs w:val="24"/>
          <w:lang w:val="en-US"/>
        </w:rPr>
        <w:t xml:space="preserve">, </w:t>
      </w:r>
      <w:proofErr w:type="spellStart"/>
      <w:r w:rsidRPr="006F3360">
        <w:rPr>
          <w:rFonts w:ascii="Times New Roman" w:hAnsi="Times New Roman" w:cs="Times New Roman"/>
          <w:i/>
          <w:sz w:val="24"/>
          <w:szCs w:val="24"/>
          <w:lang w:val="en-US"/>
        </w:rPr>
        <w:t>IIa</w:t>
      </w:r>
      <w:proofErr w:type="spellEnd"/>
      <w:r w:rsidRPr="006F3360">
        <w:rPr>
          <w:rFonts w:ascii="Times New Roman" w:hAnsi="Times New Roman" w:cs="Times New Roman"/>
          <w:i/>
          <w:sz w:val="24"/>
          <w:szCs w:val="24"/>
          <w:lang w:val="en-US"/>
        </w:rPr>
        <w:t>, and IIb, and their relationship to the lineages responsible for recent epidemics.</w:t>
      </w:r>
    </w:p>
    <w:p w14:paraId="7190D8E6" w14:textId="77777777" w:rsidR="004C3911" w:rsidRPr="00A32C4B" w:rsidRDefault="00982DF4" w:rsidP="0084704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C3911" w:rsidRPr="00A32C4B">
        <w:rPr>
          <w:rFonts w:ascii="Times New Roman" w:hAnsi="Times New Roman" w:cs="Times New Roman"/>
          <w:b/>
          <w:sz w:val="24"/>
          <w:szCs w:val="24"/>
          <w:lang w:val="en-US"/>
        </w:rPr>
        <w:t xml:space="preserve">3.2. Genomic diversity of MPXV clade </w:t>
      </w:r>
      <w:proofErr w:type="spellStart"/>
      <w:r w:rsidR="004C3911" w:rsidRPr="00A32C4B">
        <w:rPr>
          <w:rFonts w:ascii="Times New Roman" w:hAnsi="Times New Roman" w:cs="Times New Roman"/>
          <w:b/>
          <w:sz w:val="24"/>
          <w:szCs w:val="24"/>
          <w:lang w:val="en-US"/>
        </w:rPr>
        <w:t>Ia</w:t>
      </w:r>
      <w:proofErr w:type="spellEnd"/>
    </w:p>
    <w:p w14:paraId="5CDDE2B8" w14:textId="5DE42C3E" w:rsidR="00533615" w:rsidRPr="00A32C4B" w:rsidRDefault="004C391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A total of 1,630 MPXV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genomes from four Central African countries were </w:t>
      </w:r>
      <w:proofErr w:type="spellStart"/>
      <w:r w:rsidRPr="00A32C4B">
        <w:rPr>
          <w:rFonts w:ascii="Times New Roman" w:hAnsi="Times New Roman" w:cs="Times New Roman"/>
          <w:sz w:val="24"/>
          <w:szCs w:val="24"/>
          <w:lang w:val="en-US"/>
        </w:rPr>
        <w:t>analy</w:t>
      </w:r>
      <w:r w:rsidR="00224AD9">
        <w:rPr>
          <w:rFonts w:ascii="Times New Roman" w:hAnsi="Times New Roman" w:cs="Times New Roman"/>
          <w:sz w:val="24"/>
          <w:szCs w:val="24"/>
          <w:lang w:val="en-US"/>
        </w:rPr>
        <w:t>s</w:t>
      </w:r>
      <w:r w:rsidRPr="00A32C4B">
        <w:rPr>
          <w:rFonts w:ascii="Times New Roman" w:hAnsi="Times New Roman" w:cs="Times New Roman"/>
          <w:sz w:val="24"/>
          <w:szCs w:val="24"/>
          <w:lang w:val="en-US"/>
        </w:rPr>
        <w:t>ed</w:t>
      </w:r>
      <w:proofErr w:type="spellEnd"/>
      <w:r w:rsidRPr="00A32C4B">
        <w:rPr>
          <w:rFonts w:ascii="Times New Roman" w:hAnsi="Times New Roman" w:cs="Times New Roman"/>
          <w:sz w:val="24"/>
          <w:szCs w:val="24"/>
          <w:lang w:val="en-US"/>
        </w:rPr>
        <w:t xml:space="preserve">. The dataset consisted primarily of genomes from the Democratic Republic of the Congo (DRC, n = 1,514 [92.88%]), with contributions from the Central African Republic (CAR, n = 92 [5.64%]), the Republic of the Congo (DRC, n = 22 [1.35%]), and Cameroon (CAM, n = 2 </w:t>
      </w:r>
      <w:r w:rsidRPr="00A32C4B">
        <w:rPr>
          <w:rFonts w:ascii="Times New Roman" w:hAnsi="Times New Roman" w:cs="Times New Roman"/>
          <w:sz w:val="24"/>
          <w:szCs w:val="24"/>
          <w:lang w:val="en-US"/>
        </w:rPr>
        <w:lastRenderedPageBreak/>
        <w:t xml:space="preserve">[0.12%]). To this extensive geographic sample, a set of contextual genomes from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from the DRC (26), CAR (10), Cameroon (2), Gabon (2), South Sudan (2), and the Republic of the Congo (1) was added.</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Phylogenetic analysis classified the genomes into different main groups, arbitrarily defined as clusters (Figure 2). Among the previously described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groups, Group I included genomes from Gabon (2), Cameroon (4), and the Central African Republic (CAR) (2). The two CAR genomes specifically originated from districts near the Cameroonian border. Notably, this group excluded genomes from the Democratic Republic of the Congo (DRC) and the Republic of the Congo (DRC), highlighting the circulation of the virus within a distinct regional reservoir.</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Group II emerged as the dominant lineage, comprising 1,536 genomes. This group included 20 genomes from the Republic of the Congo (</w:t>
      </w:r>
      <w:proofErr w:type="spellStart"/>
      <w:r w:rsidRPr="00A32C4B">
        <w:rPr>
          <w:rFonts w:ascii="Times New Roman" w:hAnsi="Times New Roman" w:cs="Times New Roman"/>
          <w:sz w:val="24"/>
          <w:szCs w:val="24"/>
          <w:lang w:val="en-US"/>
        </w:rPr>
        <w:t>RoC</w:t>
      </w:r>
      <w:proofErr w:type="spellEnd"/>
      <w:r w:rsidRPr="00A32C4B">
        <w:rPr>
          <w:rFonts w:ascii="Times New Roman" w:hAnsi="Times New Roman" w:cs="Times New Roman"/>
          <w:sz w:val="24"/>
          <w:szCs w:val="24"/>
          <w:lang w:val="en-US"/>
        </w:rPr>
        <w:t>), 90 from the Central African Republic (CAR), and 1,426 from the Democratic Republic of the Congo (DRC). Group II exhibited not only the largest number of genomes but also the greatest genetic diversity (Figure 2). Interestingly, Group II also included genomes linked to the sh2024 outbreak that occurred in Kinshasa, the capital of the DRC. Group III comprised 27 genomes, all originating from the Democratic Republic of the Congo (DRC). Within this group, two distinct subgroups were identified, comprising 13 and 14 genomes, respectively. In addition, we identified a new lineage, called Group VI, closely related to Group III, consisting of 40 genomes from the DRC. Groups IV and V comprised 25 and 6 genomes, respectively, all originating from the DRC. Although small in size, these groups contributed to establishing the overall phylogenetic landscape and highlighted the genomic complexity within the DRC. Finally, two genomes from the DRC and one from the Republic of the Congo did not cluster with any of the previously described groups, suggesting the potential existence of other groups, as was the case for Group V</w:t>
      </w:r>
      <w:r w:rsidR="0084704A">
        <w:rPr>
          <w:rFonts w:ascii="Times New Roman" w:hAnsi="Times New Roman" w:cs="Times New Roman"/>
          <w:sz w:val="24"/>
          <w:szCs w:val="24"/>
          <w:lang w:val="en-US"/>
        </w:rPr>
        <w:t>.</w:t>
      </w:r>
    </w:p>
    <w:p w14:paraId="474F8DBA" w14:textId="77777777" w:rsidR="004C3911" w:rsidRPr="00A32C4B" w:rsidRDefault="004C3911" w:rsidP="0084704A">
      <w:pPr>
        <w:spacing w:line="360" w:lineRule="auto"/>
        <w:jc w:val="both"/>
        <w:rPr>
          <w:rFonts w:ascii="Times New Roman" w:hAnsi="Times New Roman" w:cs="Times New Roman"/>
          <w:sz w:val="24"/>
          <w:szCs w:val="24"/>
          <w:lang w:val="en-US"/>
        </w:rPr>
      </w:pPr>
    </w:p>
    <w:p w14:paraId="51FCED17" w14:textId="77777777" w:rsidR="004C3911" w:rsidRPr="00A32C4B" w:rsidRDefault="004C3911" w:rsidP="0084704A">
      <w:pPr>
        <w:spacing w:line="360" w:lineRule="auto"/>
        <w:rPr>
          <w:rFonts w:ascii="Times New Roman" w:hAnsi="Times New Roman" w:cs="Times New Roman"/>
          <w:sz w:val="24"/>
          <w:szCs w:val="24"/>
          <w:lang w:val="en-US"/>
        </w:rPr>
      </w:pPr>
      <w:r w:rsidRPr="00A32C4B">
        <w:rPr>
          <w:rFonts w:ascii="Times New Roman" w:hAnsi="Times New Roman" w:cs="Times New Roman"/>
          <w:noProof/>
          <w:sz w:val="24"/>
          <w:szCs w:val="24"/>
          <w:lang w:val="en-US"/>
        </w:rPr>
        <w:lastRenderedPageBreak/>
        <w:drawing>
          <wp:inline distT="114300" distB="114300" distL="114300" distR="114300" wp14:anchorId="290F9B9C" wp14:editId="56D17907">
            <wp:extent cx="5760720" cy="5049702"/>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60720" cy="5049702"/>
                    </a:xfrm>
                    <a:prstGeom prst="rect">
                      <a:avLst/>
                    </a:prstGeom>
                    <a:ln/>
                  </pic:spPr>
                </pic:pic>
              </a:graphicData>
            </a:graphic>
          </wp:inline>
        </w:drawing>
      </w:r>
    </w:p>
    <w:p w14:paraId="6F2060FF" w14:textId="77777777" w:rsidR="004C3911" w:rsidRPr="00A32C4B" w:rsidRDefault="004C3911" w:rsidP="0084704A">
      <w:pPr>
        <w:spacing w:line="360" w:lineRule="auto"/>
        <w:rPr>
          <w:rFonts w:ascii="Times New Roman" w:hAnsi="Times New Roman" w:cs="Times New Roman"/>
          <w:sz w:val="24"/>
          <w:szCs w:val="24"/>
          <w:lang w:val="en-US"/>
        </w:rPr>
      </w:pPr>
    </w:p>
    <w:p w14:paraId="48360814" w14:textId="77777777" w:rsidR="004C3911" w:rsidRPr="00A32C4B" w:rsidRDefault="004C3911" w:rsidP="0084704A">
      <w:pPr>
        <w:spacing w:line="360" w:lineRule="auto"/>
        <w:rPr>
          <w:rFonts w:ascii="Times New Roman" w:hAnsi="Times New Roman" w:cs="Times New Roman"/>
          <w:sz w:val="24"/>
          <w:szCs w:val="24"/>
          <w:lang w:val="en-US"/>
        </w:rPr>
      </w:pPr>
    </w:p>
    <w:p w14:paraId="5BE0C167" w14:textId="77777777" w:rsidR="004C3911" w:rsidRPr="0084704A" w:rsidRDefault="004C3911" w:rsidP="0084704A">
      <w:pPr>
        <w:spacing w:line="360" w:lineRule="auto"/>
        <w:rPr>
          <w:rFonts w:ascii="Times New Roman" w:hAnsi="Times New Roman" w:cs="Times New Roman"/>
          <w:b/>
          <w:i/>
          <w:sz w:val="24"/>
          <w:szCs w:val="24"/>
          <w:lang w:val="en-US"/>
        </w:rPr>
      </w:pPr>
      <w:r w:rsidRPr="00A32C4B">
        <w:rPr>
          <w:rFonts w:ascii="Times New Roman" w:hAnsi="Times New Roman" w:cs="Times New Roman"/>
          <w:b/>
          <w:i/>
          <w:sz w:val="24"/>
          <w:szCs w:val="24"/>
          <w:lang w:val="en-US"/>
        </w:rPr>
        <w:t xml:space="preserve">Figure 2. Maximum likelihood phylogenetic tree of MPXV clade Ia. Panel A: Overall tree with the group II genomes grouped together, providing an overview of clade </w:t>
      </w:r>
      <w:proofErr w:type="spellStart"/>
      <w:r w:rsidRPr="00A32C4B">
        <w:rPr>
          <w:rFonts w:ascii="Times New Roman" w:hAnsi="Times New Roman" w:cs="Times New Roman"/>
          <w:b/>
          <w:i/>
          <w:sz w:val="24"/>
          <w:szCs w:val="24"/>
          <w:lang w:val="en-US"/>
        </w:rPr>
        <w:t>Ia</w:t>
      </w:r>
      <w:proofErr w:type="spellEnd"/>
      <w:r w:rsidRPr="00A32C4B">
        <w:rPr>
          <w:rFonts w:ascii="Times New Roman" w:hAnsi="Times New Roman" w:cs="Times New Roman"/>
          <w:b/>
          <w:i/>
          <w:sz w:val="24"/>
          <w:szCs w:val="24"/>
          <w:lang w:val="en-US"/>
        </w:rPr>
        <w:t xml:space="preserve"> diversity. Panel B: Subtree of group II, highlighting its internal structure and subgroups.</w:t>
      </w:r>
    </w:p>
    <w:p w14:paraId="586879F6" w14:textId="77777777" w:rsidR="004C3911" w:rsidRPr="00982DF4" w:rsidRDefault="004C3911" w:rsidP="00982DF4">
      <w:pPr>
        <w:pStyle w:val="ListParagraph"/>
        <w:numPr>
          <w:ilvl w:val="0"/>
          <w:numId w:val="3"/>
        </w:numPr>
        <w:spacing w:after="0" w:line="360" w:lineRule="auto"/>
        <w:rPr>
          <w:rFonts w:ascii="Times New Roman" w:hAnsi="Times New Roman" w:cs="Times New Roman"/>
          <w:b/>
          <w:sz w:val="24"/>
          <w:szCs w:val="24"/>
          <w:lang w:val="en-US"/>
        </w:rPr>
      </w:pPr>
      <w:r w:rsidRPr="00982DF4">
        <w:rPr>
          <w:rFonts w:ascii="Times New Roman" w:hAnsi="Times New Roman" w:cs="Times New Roman"/>
          <w:b/>
          <w:sz w:val="24"/>
          <w:szCs w:val="24"/>
          <w:lang w:val="en-US"/>
        </w:rPr>
        <w:t>Discussion</w:t>
      </w:r>
    </w:p>
    <w:p w14:paraId="3B1BC1A3" w14:textId="77777777" w:rsidR="004C3911" w:rsidRPr="00A32C4B" w:rsidRDefault="004C3911" w:rsidP="0084704A">
      <w:pPr>
        <w:spacing w:before="240" w:after="0" w:line="360" w:lineRule="auto"/>
        <w:jc w:val="both"/>
        <w:rPr>
          <w:rFonts w:ascii="Times New Roman" w:hAnsi="Times New Roman" w:cs="Times New Roman"/>
          <w:sz w:val="24"/>
          <w:szCs w:val="24"/>
          <w:lang w:val="en-US"/>
        </w:rPr>
      </w:pPr>
      <w:proofErr w:type="spellStart"/>
      <w:r w:rsidRPr="00A32C4B">
        <w:rPr>
          <w:rFonts w:ascii="Times New Roman" w:hAnsi="Times New Roman" w:cs="Times New Roman"/>
          <w:sz w:val="24"/>
          <w:szCs w:val="24"/>
          <w:lang w:val="en-US"/>
        </w:rPr>
        <w:t>Mpox</w:t>
      </w:r>
      <w:proofErr w:type="spellEnd"/>
      <w:r w:rsidRPr="00A32C4B">
        <w:rPr>
          <w:rFonts w:ascii="Times New Roman" w:hAnsi="Times New Roman" w:cs="Times New Roman"/>
          <w:sz w:val="24"/>
          <w:szCs w:val="24"/>
          <w:lang w:val="en-US"/>
        </w:rPr>
        <w:t xml:space="preserve"> surveillance in Africa in general, and in the Central African Republic (CAR) in particular, is hampered by a low case confirmation rate, despite the systematic collection of blood, scab, and lesion samples from all suspected patients. The reliability of these results was based on the quality of the data methodologies used. This exclusive access allowed for the acquisition of sequencing data at the sub-regional level and its comparison with data from the Central African Republic at the National Laboratory of Clinical Biology and Public Health. These results </w:t>
      </w:r>
      <w:r w:rsidRPr="00A32C4B">
        <w:rPr>
          <w:rFonts w:ascii="Times New Roman" w:hAnsi="Times New Roman" w:cs="Times New Roman"/>
          <w:sz w:val="24"/>
          <w:szCs w:val="24"/>
          <w:lang w:val="en-US"/>
        </w:rPr>
        <w:lastRenderedPageBreak/>
        <w:t xml:space="preserve">confirm the clade structures described previously while also providing new insights into </w:t>
      </w:r>
      <w:proofErr w:type="spellStart"/>
      <w:r w:rsidRPr="00A32C4B">
        <w:rPr>
          <w:rFonts w:ascii="Times New Roman" w:hAnsi="Times New Roman" w:cs="Times New Roman"/>
          <w:sz w:val="24"/>
          <w:szCs w:val="24"/>
          <w:lang w:val="en-US"/>
        </w:rPr>
        <w:t>intraclade</w:t>
      </w:r>
      <w:proofErr w:type="spellEnd"/>
      <w:r w:rsidRPr="00A32C4B">
        <w:rPr>
          <w:rFonts w:ascii="Times New Roman" w:hAnsi="Times New Roman" w:cs="Times New Roman"/>
          <w:sz w:val="24"/>
          <w:szCs w:val="24"/>
          <w:lang w:val="en-US"/>
        </w:rPr>
        <w:t xml:space="preserve"> diversity.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appears to be primarily determined by reservoirs in Central Africa, with the DRC, the Republic of China (Republic of China), and the CAR constituting key areas of zoonotic maintenance and diversification. The DRC, in particular, harbors high </w:t>
      </w:r>
      <w:proofErr w:type="spellStart"/>
      <w:r w:rsidRPr="00A32C4B">
        <w:rPr>
          <w:rFonts w:ascii="Times New Roman" w:hAnsi="Times New Roman" w:cs="Times New Roman"/>
          <w:sz w:val="24"/>
          <w:szCs w:val="24"/>
          <w:lang w:val="en-US"/>
        </w:rPr>
        <w:t>intraclade</w:t>
      </w:r>
      <w:proofErr w:type="spellEnd"/>
      <w:r w:rsidRPr="00A32C4B">
        <w:rPr>
          <w:rFonts w:ascii="Times New Roman" w:hAnsi="Times New Roman" w:cs="Times New Roman"/>
          <w:sz w:val="24"/>
          <w:szCs w:val="24"/>
          <w:lang w:val="en-US"/>
        </w:rPr>
        <w:t xml:space="preserve"> diversity (groups II to V) and potential new groups (VI), a DRC-specific cluster, which is consistent with the long-term maintenance of the virus and its local evolution. Neighboring interfaces, such as Cameroon and Gabon, Cameroon and CAR, DRC and CAR, or DRC and the Republic of China, provide clear examples of ongoing zoonotic transmission and cross-border movement. Furthermore, the first documentation of CAR genomes within group I—composed mainly of genomes from Gabon and Cameroon—demonstrates how expanded sampling improves our understanding of the virus's spatial distribution and reinforces the importance of broader regional genomic surveillance. However, we are also observing the emergence of persistent H2H strains in the DRC, indicating that zoonotic maintenance and human-to-human transmission now coexist within this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[14]. Genomic profiles, combined with transmission within key populations and mobility linked to insecurity and rural vulnerability, promote local amplification and regional spread, thus intensifying the public health threat beyond traditional foci.</w:t>
      </w:r>
      <w:r w:rsidR="0084704A">
        <w:rPr>
          <w:rFonts w:ascii="Times New Roman" w:hAnsi="Times New Roman" w:cs="Times New Roman"/>
          <w:sz w:val="24"/>
          <w:szCs w:val="24"/>
          <w:lang w:val="en-US"/>
        </w:rPr>
        <w:t xml:space="preserve"> </w:t>
      </w:r>
      <w:r w:rsidRPr="00A32C4B">
        <w:rPr>
          <w:rFonts w:ascii="Times New Roman" w:hAnsi="Times New Roman" w:cs="Times New Roman"/>
          <w:sz w:val="24"/>
          <w:szCs w:val="24"/>
          <w:lang w:val="en-US"/>
        </w:rPr>
        <w:t xml:space="preserve">Unlike clade </w:t>
      </w:r>
      <w:proofErr w:type="spellStart"/>
      <w:r w:rsidRPr="00A32C4B">
        <w:rPr>
          <w:rFonts w:ascii="Times New Roman" w:hAnsi="Times New Roman" w:cs="Times New Roman"/>
          <w:sz w:val="24"/>
          <w:szCs w:val="24"/>
          <w:lang w:val="en-US"/>
        </w:rPr>
        <w:t>Ia</w:t>
      </w:r>
      <w:proofErr w:type="spellEnd"/>
      <w:r w:rsidRPr="00A32C4B">
        <w:rPr>
          <w:rFonts w:ascii="Times New Roman" w:hAnsi="Times New Roman" w:cs="Times New Roman"/>
          <w:sz w:val="24"/>
          <w:szCs w:val="24"/>
          <w:lang w:val="en-US"/>
        </w:rPr>
        <w:t xml:space="preserve"> and ancestral clade I, clade </w:t>
      </w:r>
      <w:proofErr w:type="spellStart"/>
      <w:r w:rsidRPr="00A32C4B">
        <w:rPr>
          <w:rFonts w:ascii="Times New Roman" w:hAnsi="Times New Roman" w:cs="Times New Roman"/>
          <w:sz w:val="24"/>
          <w:szCs w:val="24"/>
          <w:lang w:val="en-US"/>
        </w:rPr>
        <w:t>Ib</w:t>
      </w:r>
      <w:proofErr w:type="spellEnd"/>
      <w:r w:rsidRPr="00A32C4B">
        <w:rPr>
          <w:rFonts w:ascii="Times New Roman" w:hAnsi="Times New Roman" w:cs="Times New Roman"/>
          <w:sz w:val="24"/>
          <w:szCs w:val="24"/>
          <w:lang w:val="en-US"/>
        </w:rPr>
        <w:t xml:space="preserve"> has demonstrated sustained human-to-human transmission, suggesting the involvement of cryptic reservoirs or undetected asymptomatic infections. Its emergence was first observed in the DRC through clustered outbreaks in the eastern region, before spreading to neighboring countries, where significant epidemics have been recorded in Uganda and Burundi [15,16]. Multiple introductions have since been detected in other non-endemic countries in East and Southern Africa, including Ethiopia, Kenya, Tanzania and Malawi, highlighting its geographic expansion and epidemic potential [17].</w:t>
      </w:r>
    </w:p>
    <w:p w14:paraId="32E059F1" w14:textId="77777777" w:rsidR="004C3911" w:rsidRPr="00982DF4" w:rsidRDefault="004C3911" w:rsidP="00982DF4">
      <w:pPr>
        <w:pStyle w:val="ListParagraph"/>
        <w:numPr>
          <w:ilvl w:val="0"/>
          <w:numId w:val="3"/>
        </w:numPr>
        <w:spacing w:before="240" w:after="0" w:line="360" w:lineRule="auto"/>
        <w:rPr>
          <w:rFonts w:ascii="Times New Roman" w:hAnsi="Times New Roman" w:cs="Times New Roman"/>
          <w:b/>
          <w:sz w:val="24"/>
          <w:szCs w:val="24"/>
          <w:lang w:val="en-US"/>
        </w:rPr>
      </w:pPr>
      <w:r w:rsidRPr="00982DF4">
        <w:rPr>
          <w:rFonts w:ascii="Times New Roman" w:hAnsi="Times New Roman" w:cs="Times New Roman"/>
          <w:b/>
          <w:sz w:val="24"/>
          <w:szCs w:val="24"/>
          <w:lang w:val="en-US"/>
        </w:rPr>
        <w:t>Conclusion</w:t>
      </w:r>
    </w:p>
    <w:p w14:paraId="2A11AD97" w14:textId="5ADCFC6A" w:rsidR="008F5EF1" w:rsidRDefault="004C3911" w:rsidP="0084704A">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 xml:space="preserve">Analysis of </w:t>
      </w:r>
      <w:proofErr w:type="spellStart"/>
      <w:r w:rsidRPr="00A32C4B">
        <w:rPr>
          <w:rFonts w:ascii="Times New Roman" w:hAnsi="Times New Roman" w:cs="Times New Roman"/>
          <w:sz w:val="24"/>
          <w:szCs w:val="24"/>
          <w:lang w:val="en-US"/>
        </w:rPr>
        <w:t>Mpox</w:t>
      </w:r>
      <w:proofErr w:type="spellEnd"/>
      <w:r w:rsidRPr="00A32C4B">
        <w:rPr>
          <w:rFonts w:ascii="Times New Roman" w:hAnsi="Times New Roman" w:cs="Times New Roman"/>
          <w:sz w:val="24"/>
          <w:szCs w:val="24"/>
          <w:lang w:val="en-US"/>
        </w:rPr>
        <w:t xml:space="preserve"> virus genomic sequences from the Democratic Republic of Congo, the Central African Republic, Congo-Brazzaville, and Cameroon reveals significant genetic diversity, reflecting both the virus's evolutionary dynamics and the specific epidemiological contexts of each region. The similarities observed between certain sequences suggest epidemiological links and cross-border transmission, while the identified genetic variations demonstrate the virus's ongoing adaptation within human and animal populations. These results underscore the importance of genomic sequencing as a crucial tool for surveillance, understanding transmission, and anticipating the emergence of new </w:t>
      </w:r>
      <w:proofErr w:type="spellStart"/>
      <w:r w:rsidRPr="00A32C4B">
        <w:rPr>
          <w:rFonts w:ascii="Times New Roman" w:hAnsi="Times New Roman" w:cs="Times New Roman"/>
          <w:sz w:val="24"/>
          <w:szCs w:val="24"/>
          <w:lang w:val="en-US"/>
        </w:rPr>
        <w:t>Mpox</w:t>
      </w:r>
      <w:proofErr w:type="spellEnd"/>
      <w:r w:rsidRPr="00A32C4B">
        <w:rPr>
          <w:rFonts w:ascii="Times New Roman" w:hAnsi="Times New Roman" w:cs="Times New Roman"/>
          <w:sz w:val="24"/>
          <w:szCs w:val="24"/>
          <w:lang w:val="en-US"/>
        </w:rPr>
        <w:t xml:space="preserve"> virus lineages in </w:t>
      </w:r>
      <w:r w:rsidRPr="00A32C4B">
        <w:rPr>
          <w:rFonts w:ascii="Times New Roman" w:hAnsi="Times New Roman" w:cs="Times New Roman"/>
          <w:sz w:val="24"/>
          <w:szCs w:val="24"/>
          <w:lang w:val="en-US"/>
        </w:rPr>
        <w:lastRenderedPageBreak/>
        <w:t xml:space="preserve">Central Africa. They highlight the need to strengthen regional cooperation, genomic data sharing, and surveillance capacities to improve the prevention and control of future epidemics. Finally, this study contributes to a better understanding of the evolution of the </w:t>
      </w:r>
      <w:proofErr w:type="spellStart"/>
      <w:r w:rsidRPr="00A32C4B">
        <w:rPr>
          <w:rFonts w:ascii="Times New Roman" w:hAnsi="Times New Roman" w:cs="Times New Roman"/>
          <w:sz w:val="24"/>
          <w:szCs w:val="24"/>
          <w:lang w:val="en-US"/>
        </w:rPr>
        <w:t>Mpox</w:t>
      </w:r>
      <w:proofErr w:type="spellEnd"/>
      <w:r w:rsidRPr="00A32C4B">
        <w:rPr>
          <w:rFonts w:ascii="Times New Roman" w:hAnsi="Times New Roman" w:cs="Times New Roman"/>
          <w:sz w:val="24"/>
          <w:szCs w:val="24"/>
          <w:lang w:val="en-US"/>
        </w:rPr>
        <w:t xml:space="preserve"> virus and constitutes a scientific basis for public health.</w:t>
      </w:r>
    </w:p>
    <w:p w14:paraId="51F7BD1C" w14:textId="5C24DF28" w:rsidR="006F3360" w:rsidRPr="006F3360" w:rsidRDefault="006F3360" w:rsidP="006F3360">
      <w:pPr>
        <w:spacing w:after="0" w:line="360" w:lineRule="auto"/>
        <w:jc w:val="both"/>
        <w:rPr>
          <w:rFonts w:ascii="Times New Roman" w:hAnsi="Times New Roman" w:cs="Times New Roman"/>
          <w:b/>
          <w:sz w:val="24"/>
          <w:szCs w:val="24"/>
          <w:lang w:val="en-US"/>
        </w:rPr>
      </w:pPr>
      <w:r w:rsidRPr="006F3360">
        <w:rPr>
          <w:rFonts w:ascii="Times New Roman" w:hAnsi="Times New Roman" w:cs="Times New Roman"/>
          <w:b/>
          <w:sz w:val="24"/>
          <w:szCs w:val="24"/>
          <w:lang w:val="en-US"/>
        </w:rPr>
        <w:t>Ethic</w:t>
      </w:r>
      <w:r>
        <w:rPr>
          <w:rFonts w:ascii="Times New Roman" w:hAnsi="Times New Roman" w:cs="Times New Roman"/>
          <w:b/>
          <w:sz w:val="24"/>
          <w:szCs w:val="24"/>
          <w:lang w:val="en-US"/>
        </w:rPr>
        <w:t xml:space="preserve">al approval and consent: </w:t>
      </w:r>
    </w:p>
    <w:p w14:paraId="281EC473" w14:textId="77777777" w:rsidR="006F3360" w:rsidRDefault="006F3360" w:rsidP="006F3360">
      <w:pPr>
        <w:spacing w:after="0" w:line="360" w:lineRule="auto"/>
        <w:jc w:val="both"/>
        <w:rPr>
          <w:rFonts w:ascii="Times New Roman" w:hAnsi="Times New Roman" w:cs="Times New Roman"/>
          <w:sz w:val="24"/>
          <w:szCs w:val="24"/>
          <w:lang w:val="en-US"/>
        </w:rPr>
      </w:pPr>
      <w:r w:rsidRPr="00A32C4B">
        <w:rPr>
          <w:rFonts w:ascii="Times New Roman" w:hAnsi="Times New Roman" w:cs="Times New Roman"/>
          <w:sz w:val="24"/>
          <w:szCs w:val="24"/>
          <w:lang w:val="en-US"/>
        </w:rPr>
        <w:t>This study received approval from the Research Ethics Committee of the Doctoral School of Human and Veterinary Health Sciences at the University of Bangui (ESP/CE/78/2024). Participants provided verbal consent for data collection and analysis.</w:t>
      </w:r>
    </w:p>
    <w:p w14:paraId="16D1D98C" w14:textId="77777777" w:rsidR="006F3360" w:rsidRDefault="006F3360" w:rsidP="00B7270C">
      <w:pPr>
        <w:rPr>
          <w:highlight w:val="yellow"/>
        </w:rPr>
      </w:pPr>
    </w:p>
    <w:p w14:paraId="383E8817" w14:textId="77777777" w:rsidR="006F3360" w:rsidRDefault="006F3360" w:rsidP="00B7270C">
      <w:pPr>
        <w:rPr>
          <w:highlight w:val="yellow"/>
        </w:rPr>
      </w:pPr>
    </w:p>
    <w:p w14:paraId="4318D218" w14:textId="0B939818" w:rsidR="00B7270C" w:rsidRPr="006F3360" w:rsidRDefault="00B7270C" w:rsidP="00B7270C">
      <w:pPr>
        <w:rPr>
          <w:b/>
          <w:highlight w:val="yellow"/>
        </w:rPr>
      </w:pPr>
      <w:r w:rsidRPr="006F3360">
        <w:rPr>
          <w:b/>
          <w:highlight w:val="yellow"/>
        </w:rPr>
        <w:t>Disclaimer (</w:t>
      </w:r>
      <w:proofErr w:type="spellStart"/>
      <w:r w:rsidRPr="006F3360">
        <w:rPr>
          <w:b/>
          <w:highlight w:val="yellow"/>
        </w:rPr>
        <w:t>Artificial</w:t>
      </w:r>
      <w:proofErr w:type="spellEnd"/>
      <w:r w:rsidRPr="006F3360">
        <w:rPr>
          <w:b/>
          <w:highlight w:val="yellow"/>
        </w:rPr>
        <w:t xml:space="preserve"> intelligence)</w:t>
      </w:r>
    </w:p>
    <w:p w14:paraId="2A40B79D" w14:textId="77777777" w:rsidR="00B7270C" w:rsidRDefault="00B7270C" w:rsidP="00B7270C">
      <w:pPr>
        <w:rPr>
          <w:highlight w:val="yellow"/>
        </w:rPr>
      </w:pPr>
      <w:proofErr w:type="spellStart"/>
      <w:r>
        <w:rPr>
          <w:highlight w:val="yellow"/>
        </w:rPr>
        <w:t>Author</w:t>
      </w:r>
      <w:proofErr w:type="spellEnd"/>
      <w:r>
        <w:rPr>
          <w:highlight w:val="yellow"/>
        </w:rPr>
        <w:t xml:space="preserve">(s) </w:t>
      </w:r>
      <w:proofErr w:type="spellStart"/>
      <w:r>
        <w:rPr>
          <w:highlight w:val="yellow"/>
        </w:rPr>
        <w:t>hereby</w:t>
      </w:r>
      <w:proofErr w:type="spellEnd"/>
      <w:r>
        <w:rPr>
          <w:highlight w:val="yellow"/>
        </w:rPr>
        <w:t xml:space="preserve"> </w:t>
      </w:r>
      <w:proofErr w:type="spellStart"/>
      <w:r>
        <w:rPr>
          <w:highlight w:val="yellow"/>
        </w:rPr>
        <w:t>declare</w:t>
      </w:r>
      <w:proofErr w:type="spellEnd"/>
      <w:r>
        <w:rPr>
          <w:highlight w:val="yellow"/>
        </w:rPr>
        <w:t xml:space="preserve"> </w:t>
      </w:r>
      <w:proofErr w:type="spellStart"/>
      <w:r>
        <w:rPr>
          <w:highlight w:val="yellow"/>
        </w:rPr>
        <w:t>that</w:t>
      </w:r>
      <w:proofErr w:type="spellEnd"/>
      <w:r>
        <w:rPr>
          <w:highlight w:val="yellow"/>
        </w:rPr>
        <w:t xml:space="preserve"> NO </w:t>
      </w:r>
      <w:proofErr w:type="spellStart"/>
      <w:r>
        <w:rPr>
          <w:highlight w:val="yellow"/>
        </w:rPr>
        <w:t>generative</w:t>
      </w:r>
      <w:proofErr w:type="spellEnd"/>
      <w:r>
        <w:rPr>
          <w:highlight w:val="yellow"/>
        </w:rPr>
        <w:t xml:space="preserve"> AI technologies </w:t>
      </w:r>
      <w:proofErr w:type="spellStart"/>
      <w:r>
        <w:rPr>
          <w:highlight w:val="yellow"/>
        </w:rPr>
        <w:t>such</w:t>
      </w:r>
      <w:proofErr w:type="spellEnd"/>
      <w:r>
        <w:rPr>
          <w:highlight w:val="yellow"/>
        </w:rPr>
        <w:t xml:space="preserve"> as Large </w:t>
      </w:r>
      <w:proofErr w:type="spellStart"/>
      <w:r>
        <w:rPr>
          <w:highlight w:val="yellow"/>
        </w:rPr>
        <w:t>Language</w:t>
      </w:r>
      <w:proofErr w:type="spellEnd"/>
      <w:r>
        <w:rPr>
          <w:highlight w:val="yellow"/>
        </w:rPr>
        <w:t xml:space="preserve"> </w:t>
      </w:r>
      <w:proofErr w:type="spellStart"/>
      <w:r>
        <w:rPr>
          <w:highlight w:val="yellow"/>
        </w:rPr>
        <w:t>Models</w:t>
      </w:r>
      <w:proofErr w:type="spellEnd"/>
      <w:r>
        <w:rPr>
          <w:highlight w:val="yellow"/>
        </w:rPr>
        <w:t xml:space="preserve"> (</w:t>
      </w:r>
      <w:proofErr w:type="spellStart"/>
      <w:r>
        <w:rPr>
          <w:highlight w:val="yellow"/>
        </w:rPr>
        <w:t>ChatGPT</w:t>
      </w:r>
      <w:proofErr w:type="spellEnd"/>
      <w:r>
        <w:rPr>
          <w:highlight w:val="yellow"/>
        </w:rPr>
        <w:t xml:space="preserve">, COPILOT, etc.) and </w:t>
      </w:r>
      <w:proofErr w:type="spellStart"/>
      <w:r>
        <w:rPr>
          <w:highlight w:val="yellow"/>
        </w:rPr>
        <w:t>text</w:t>
      </w:r>
      <w:proofErr w:type="spellEnd"/>
      <w:r>
        <w:rPr>
          <w:highlight w:val="yellow"/>
        </w:rPr>
        <w:t xml:space="preserve">-to-image </w:t>
      </w:r>
      <w:proofErr w:type="spellStart"/>
      <w:r>
        <w:rPr>
          <w:highlight w:val="yellow"/>
        </w:rPr>
        <w:t>generators</w:t>
      </w:r>
      <w:proofErr w:type="spellEnd"/>
      <w:r>
        <w:rPr>
          <w:highlight w:val="yellow"/>
        </w:rPr>
        <w:t xml:space="preserve"> have been </w:t>
      </w:r>
      <w:proofErr w:type="spellStart"/>
      <w:r>
        <w:rPr>
          <w:highlight w:val="yellow"/>
        </w:rPr>
        <w:t>used</w:t>
      </w:r>
      <w:proofErr w:type="spellEnd"/>
      <w:r>
        <w:rPr>
          <w:highlight w:val="yellow"/>
        </w:rPr>
        <w:t xml:space="preserve"> </w:t>
      </w:r>
      <w:proofErr w:type="spellStart"/>
      <w:r>
        <w:rPr>
          <w:highlight w:val="yellow"/>
        </w:rPr>
        <w:t>during</w:t>
      </w:r>
      <w:proofErr w:type="spellEnd"/>
      <w:r>
        <w:rPr>
          <w:highlight w:val="yellow"/>
        </w:rPr>
        <w:t xml:space="preserve"> the </w:t>
      </w:r>
      <w:proofErr w:type="spellStart"/>
      <w:r>
        <w:rPr>
          <w:highlight w:val="yellow"/>
        </w:rPr>
        <w:t>writing</w:t>
      </w:r>
      <w:proofErr w:type="spellEnd"/>
      <w:r>
        <w:rPr>
          <w:highlight w:val="yellow"/>
        </w:rPr>
        <w:t xml:space="preserve"> or </w:t>
      </w:r>
      <w:proofErr w:type="spellStart"/>
      <w:r>
        <w:rPr>
          <w:highlight w:val="yellow"/>
        </w:rPr>
        <w:t>editing</w:t>
      </w:r>
      <w:proofErr w:type="spellEnd"/>
      <w:r>
        <w:rPr>
          <w:highlight w:val="yellow"/>
        </w:rPr>
        <w:t xml:space="preserve"> of </w:t>
      </w:r>
      <w:proofErr w:type="spellStart"/>
      <w:r>
        <w:rPr>
          <w:highlight w:val="yellow"/>
        </w:rPr>
        <w:t>this</w:t>
      </w:r>
      <w:proofErr w:type="spellEnd"/>
      <w:r>
        <w:rPr>
          <w:highlight w:val="yellow"/>
        </w:rPr>
        <w:t xml:space="preserve"> </w:t>
      </w:r>
      <w:proofErr w:type="spellStart"/>
      <w:r>
        <w:rPr>
          <w:highlight w:val="yellow"/>
        </w:rPr>
        <w:t>manuscript</w:t>
      </w:r>
      <w:proofErr w:type="spellEnd"/>
      <w:r>
        <w:rPr>
          <w:highlight w:val="yellow"/>
        </w:rPr>
        <w:t xml:space="preserve">. </w:t>
      </w:r>
    </w:p>
    <w:p w14:paraId="0FD0D429" w14:textId="77777777" w:rsidR="00B7270C" w:rsidRDefault="00B7270C" w:rsidP="00B7270C"/>
    <w:p w14:paraId="6ACC4B91" w14:textId="77777777" w:rsidR="00B7270C" w:rsidRDefault="00B7270C" w:rsidP="0084704A">
      <w:pPr>
        <w:spacing w:after="0" w:line="360" w:lineRule="auto"/>
        <w:jc w:val="both"/>
        <w:rPr>
          <w:rFonts w:ascii="Times New Roman" w:hAnsi="Times New Roman" w:cs="Times New Roman"/>
          <w:sz w:val="24"/>
          <w:szCs w:val="24"/>
          <w:lang w:val="en-US"/>
        </w:rPr>
      </w:pPr>
    </w:p>
    <w:p w14:paraId="37319AA1" w14:textId="77777777" w:rsidR="00A32C4B" w:rsidRPr="00982DF4" w:rsidRDefault="00A32C4B" w:rsidP="00982DF4">
      <w:pPr>
        <w:pStyle w:val="ListParagraph"/>
        <w:numPr>
          <w:ilvl w:val="0"/>
          <w:numId w:val="3"/>
        </w:num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222222"/>
          <w:sz w:val="24"/>
          <w:szCs w:val="24"/>
        </w:rPr>
      </w:pPr>
      <w:proofErr w:type="spellStart"/>
      <w:r w:rsidRPr="00982DF4">
        <w:rPr>
          <w:rFonts w:ascii="Times New Roman" w:eastAsia="Times New Roman" w:hAnsi="Times New Roman" w:cs="Times New Roman"/>
          <w:b/>
          <w:bCs/>
          <w:color w:val="222222"/>
          <w:sz w:val="24"/>
          <w:szCs w:val="24"/>
        </w:rPr>
        <w:t>References</w:t>
      </w:r>
      <w:proofErr w:type="spellEnd"/>
      <w:r w:rsidRPr="00982DF4">
        <w:rPr>
          <w:rFonts w:ascii="Times New Roman" w:eastAsia="Times New Roman" w:hAnsi="Times New Roman" w:cs="Times New Roman"/>
          <w:b/>
          <w:bCs/>
          <w:color w:val="222222"/>
          <w:sz w:val="24"/>
          <w:szCs w:val="24"/>
        </w:rPr>
        <w:t> </w:t>
      </w:r>
    </w:p>
    <w:p w14:paraId="0505D481" w14:textId="77777777" w:rsidR="00A32C4B" w:rsidRPr="00D66312"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32C4B">
        <w:rPr>
          <w:rFonts w:ascii="Times New Roman" w:eastAsia="Times New Roman" w:hAnsi="Times New Roman" w:cs="Times New Roman"/>
          <w:color w:val="222222"/>
          <w:sz w:val="24"/>
          <w:szCs w:val="24"/>
          <w:lang w:val="en-US"/>
        </w:rPr>
        <w:t xml:space="preserve">Bunge EM, </w:t>
      </w:r>
      <w:proofErr w:type="spellStart"/>
      <w:r w:rsidRPr="00A32C4B">
        <w:rPr>
          <w:rFonts w:ascii="Times New Roman" w:eastAsia="Times New Roman" w:hAnsi="Times New Roman" w:cs="Times New Roman"/>
          <w:color w:val="222222"/>
          <w:sz w:val="24"/>
          <w:szCs w:val="24"/>
          <w:lang w:val="en-US"/>
        </w:rPr>
        <w:t>Hoet</w:t>
      </w:r>
      <w:proofErr w:type="spellEnd"/>
      <w:r w:rsidRPr="00A32C4B">
        <w:rPr>
          <w:rFonts w:ascii="Times New Roman" w:eastAsia="Times New Roman" w:hAnsi="Times New Roman" w:cs="Times New Roman"/>
          <w:color w:val="222222"/>
          <w:sz w:val="24"/>
          <w:szCs w:val="24"/>
          <w:lang w:val="en-US"/>
        </w:rPr>
        <w:t xml:space="preserve"> B, Chen L, et al. The changing epidemiology of human monkeypox—A potential threat? </w:t>
      </w:r>
      <w:r w:rsidRPr="00D66312">
        <w:rPr>
          <w:rFonts w:ascii="Times New Roman" w:eastAsia="Times New Roman" w:hAnsi="Times New Roman" w:cs="Times New Roman"/>
          <w:color w:val="222222"/>
          <w:sz w:val="24"/>
          <w:szCs w:val="24"/>
        </w:rPr>
        <w:t xml:space="preserve">A </w:t>
      </w:r>
      <w:proofErr w:type="spellStart"/>
      <w:r w:rsidRPr="00D66312">
        <w:rPr>
          <w:rFonts w:ascii="Times New Roman" w:eastAsia="Times New Roman" w:hAnsi="Times New Roman" w:cs="Times New Roman"/>
          <w:color w:val="222222"/>
          <w:sz w:val="24"/>
          <w:szCs w:val="24"/>
        </w:rPr>
        <w:t>systematic</w:t>
      </w:r>
      <w:proofErr w:type="spellEnd"/>
      <w:r w:rsidRPr="00D66312">
        <w:rPr>
          <w:rFonts w:ascii="Times New Roman" w:eastAsia="Times New Roman" w:hAnsi="Times New Roman" w:cs="Times New Roman"/>
          <w:color w:val="222222"/>
          <w:sz w:val="24"/>
          <w:szCs w:val="24"/>
        </w:rPr>
        <w:t xml:space="preserve"> </w:t>
      </w:r>
      <w:proofErr w:type="spellStart"/>
      <w:r w:rsidRPr="00D66312">
        <w:rPr>
          <w:rFonts w:ascii="Times New Roman" w:eastAsia="Times New Roman" w:hAnsi="Times New Roman" w:cs="Times New Roman"/>
          <w:color w:val="222222"/>
          <w:sz w:val="24"/>
          <w:szCs w:val="24"/>
        </w:rPr>
        <w:t>review</w:t>
      </w:r>
      <w:proofErr w:type="spellEnd"/>
      <w:r w:rsidRPr="00D66312">
        <w:rPr>
          <w:rFonts w:ascii="Times New Roman" w:eastAsia="Times New Roman" w:hAnsi="Times New Roman" w:cs="Times New Roman"/>
          <w:color w:val="222222"/>
          <w:sz w:val="24"/>
          <w:szCs w:val="24"/>
        </w:rPr>
        <w:t>. </w:t>
      </w:r>
      <w:proofErr w:type="spellStart"/>
      <w:r w:rsidRPr="00D66312">
        <w:rPr>
          <w:rFonts w:ascii="Times New Roman" w:eastAsia="Times New Roman" w:hAnsi="Times New Roman" w:cs="Times New Roman"/>
          <w:i/>
          <w:iCs/>
          <w:color w:val="222222"/>
          <w:sz w:val="24"/>
          <w:szCs w:val="24"/>
        </w:rPr>
        <w:t>PLoS</w:t>
      </w:r>
      <w:proofErr w:type="spellEnd"/>
      <w:r w:rsidRPr="00D66312">
        <w:rPr>
          <w:rFonts w:ascii="Times New Roman" w:eastAsia="Times New Roman" w:hAnsi="Times New Roman" w:cs="Times New Roman"/>
          <w:i/>
          <w:iCs/>
          <w:color w:val="222222"/>
          <w:sz w:val="24"/>
          <w:szCs w:val="24"/>
        </w:rPr>
        <w:t xml:space="preserve"> </w:t>
      </w:r>
      <w:proofErr w:type="spellStart"/>
      <w:r w:rsidRPr="00D66312">
        <w:rPr>
          <w:rFonts w:ascii="Times New Roman" w:eastAsia="Times New Roman" w:hAnsi="Times New Roman" w:cs="Times New Roman"/>
          <w:i/>
          <w:iCs/>
          <w:color w:val="222222"/>
          <w:sz w:val="24"/>
          <w:szCs w:val="24"/>
        </w:rPr>
        <w:t>Negl</w:t>
      </w:r>
      <w:proofErr w:type="spellEnd"/>
      <w:r w:rsidRPr="00D66312">
        <w:rPr>
          <w:rFonts w:ascii="Times New Roman" w:eastAsia="Times New Roman" w:hAnsi="Times New Roman" w:cs="Times New Roman"/>
          <w:i/>
          <w:iCs/>
          <w:color w:val="222222"/>
          <w:sz w:val="24"/>
          <w:szCs w:val="24"/>
        </w:rPr>
        <w:t xml:space="preserve"> Trop Dis</w:t>
      </w:r>
      <w:r w:rsidRPr="00D66312">
        <w:rPr>
          <w:rFonts w:ascii="Times New Roman" w:eastAsia="Times New Roman" w:hAnsi="Times New Roman" w:cs="Times New Roman"/>
          <w:color w:val="222222"/>
          <w:sz w:val="24"/>
          <w:szCs w:val="24"/>
        </w:rPr>
        <w:t>. 2022;16(2): e0010141.</w:t>
      </w:r>
    </w:p>
    <w:p w14:paraId="4BB60D50" w14:textId="77777777" w:rsidR="00A32C4B" w:rsidRPr="00C228C4"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32C4B">
        <w:rPr>
          <w:rFonts w:ascii="Times New Roman" w:eastAsia="Times New Roman" w:hAnsi="Times New Roman" w:cs="Times New Roman"/>
          <w:color w:val="222222"/>
          <w:sz w:val="24"/>
          <w:szCs w:val="24"/>
          <w:lang w:val="en-US"/>
        </w:rPr>
        <w:t>Happi</w:t>
      </w:r>
      <w:proofErr w:type="spellEnd"/>
      <w:r w:rsidRPr="00A32C4B">
        <w:rPr>
          <w:rFonts w:ascii="Times New Roman" w:eastAsia="Times New Roman" w:hAnsi="Times New Roman" w:cs="Times New Roman"/>
          <w:color w:val="222222"/>
          <w:sz w:val="24"/>
          <w:szCs w:val="24"/>
          <w:lang w:val="en-US"/>
        </w:rPr>
        <w:t xml:space="preserve"> C, </w:t>
      </w:r>
      <w:proofErr w:type="spellStart"/>
      <w:r w:rsidRPr="00A32C4B">
        <w:rPr>
          <w:rFonts w:ascii="Times New Roman" w:eastAsia="Times New Roman" w:hAnsi="Times New Roman" w:cs="Times New Roman"/>
          <w:color w:val="222222"/>
          <w:sz w:val="24"/>
          <w:szCs w:val="24"/>
          <w:lang w:val="en-US"/>
        </w:rPr>
        <w:t>Adetifa</w:t>
      </w:r>
      <w:proofErr w:type="spellEnd"/>
      <w:r w:rsidRPr="00A32C4B">
        <w:rPr>
          <w:rFonts w:ascii="Times New Roman" w:eastAsia="Times New Roman" w:hAnsi="Times New Roman" w:cs="Times New Roman"/>
          <w:color w:val="222222"/>
          <w:sz w:val="24"/>
          <w:szCs w:val="24"/>
          <w:lang w:val="en-US"/>
        </w:rPr>
        <w:t xml:space="preserve"> I, </w:t>
      </w:r>
      <w:proofErr w:type="spellStart"/>
      <w:r w:rsidRPr="00A32C4B">
        <w:rPr>
          <w:rFonts w:ascii="Times New Roman" w:eastAsia="Times New Roman" w:hAnsi="Times New Roman" w:cs="Times New Roman"/>
          <w:color w:val="222222"/>
          <w:sz w:val="24"/>
          <w:szCs w:val="24"/>
          <w:lang w:val="en-US"/>
        </w:rPr>
        <w:t>Mbala</w:t>
      </w:r>
      <w:proofErr w:type="spellEnd"/>
      <w:r w:rsidRPr="00A32C4B">
        <w:rPr>
          <w:rFonts w:ascii="Times New Roman" w:eastAsia="Times New Roman" w:hAnsi="Times New Roman" w:cs="Times New Roman"/>
          <w:color w:val="222222"/>
          <w:sz w:val="24"/>
          <w:szCs w:val="24"/>
          <w:lang w:val="en-US"/>
        </w:rPr>
        <w:t xml:space="preserve"> P, </w:t>
      </w:r>
      <w:proofErr w:type="spellStart"/>
      <w:r w:rsidRPr="00A32C4B">
        <w:rPr>
          <w:rFonts w:ascii="Times New Roman" w:eastAsia="Times New Roman" w:hAnsi="Times New Roman" w:cs="Times New Roman"/>
          <w:color w:val="222222"/>
          <w:sz w:val="24"/>
          <w:szCs w:val="24"/>
          <w:lang w:val="en-US"/>
        </w:rPr>
        <w:t>Njouom</w:t>
      </w:r>
      <w:proofErr w:type="spellEnd"/>
      <w:r w:rsidRPr="00A32C4B">
        <w:rPr>
          <w:rFonts w:ascii="Times New Roman" w:eastAsia="Times New Roman" w:hAnsi="Times New Roman" w:cs="Times New Roman"/>
          <w:color w:val="222222"/>
          <w:sz w:val="24"/>
          <w:szCs w:val="24"/>
          <w:lang w:val="en-US"/>
        </w:rPr>
        <w:t xml:space="preserve"> R, </w:t>
      </w:r>
      <w:proofErr w:type="spellStart"/>
      <w:r w:rsidRPr="00A32C4B">
        <w:rPr>
          <w:rFonts w:ascii="Times New Roman" w:eastAsia="Times New Roman" w:hAnsi="Times New Roman" w:cs="Times New Roman"/>
          <w:color w:val="222222"/>
          <w:sz w:val="24"/>
          <w:szCs w:val="24"/>
          <w:lang w:val="en-US"/>
        </w:rPr>
        <w:t>Nakoune</w:t>
      </w:r>
      <w:proofErr w:type="spellEnd"/>
      <w:r w:rsidRPr="00A32C4B">
        <w:rPr>
          <w:rFonts w:ascii="Times New Roman" w:eastAsia="Times New Roman" w:hAnsi="Times New Roman" w:cs="Times New Roman"/>
          <w:color w:val="222222"/>
          <w:sz w:val="24"/>
          <w:szCs w:val="24"/>
          <w:lang w:val="en-US"/>
        </w:rPr>
        <w:t xml:space="preserve"> E, </w:t>
      </w:r>
      <w:proofErr w:type="spellStart"/>
      <w:r w:rsidRPr="00A32C4B">
        <w:rPr>
          <w:rFonts w:ascii="Times New Roman" w:eastAsia="Times New Roman" w:hAnsi="Times New Roman" w:cs="Times New Roman"/>
          <w:color w:val="222222"/>
          <w:sz w:val="24"/>
          <w:szCs w:val="24"/>
          <w:lang w:val="en-US"/>
        </w:rPr>
        <w:t>Nkengasong</w:t>
      </w:r>
      <w:proofErr w:type="spellEnd"/>
      <w:r w:rsidRPr="00A32C4B">
        <w:rPr>
          <w:rFonts w:ascii="Times New Roman" w:eastAsia="Times New Roman" w:hAnsi="Times New Roman" w:cs="Times New Roman"/>
          <w:color w:val="222222"/>
          <w:sz w:val="24"/>
          <w:szCs w:val="24"/>
          <w:lang w:val="en-US"/>
        </w:rPr>
        <w:t xml:space="preserve"> J. Urgent need for a non-discriminatory nomenclature for monkeypox virus. </w:t>
      </w:r>
      <w:r w:rsidRPr="00C228C4">
        <w:rPr>
          <w:rFonts w:ascii="Times New Roman" w:eastAsia="Times New Roman" w:hAnsi="Times New Roman" w:cs="Times New Roman"/>
          <w:i/>
          <w:iCs/>
          <w:color w:val="222222"/>
          <w:sz w:val="24"/>
          <w:szCs w:val="24"/>
        </w:rPr>
        <w:t>Lancet Infect Dis</w:t>
      </w:r>
      <w:r w:rsidRPr="00C228C4">
        <w:rPr>
          <w:rFonts w:ascii="Times New Roman" w:eastAsia="Times New Roman" w:hAnsi="Times New Roman" w:cs="Times New Roman"/>
          <w:color w:val="222222"/>
          <w:sz w:val="24"/>
          <w:szCs w:val="24"/>
        </w:rPr>
        <w:t xml:space="preserve">. 2022 ;22(7) :930–932. </w:t>
      </w:r>
    </w:p>
    <w:p w14:paraId="22299599" w14:textId="77777777" w:rsidR="00A32C4B" w:rsidRPr="00C228C4"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C228C4">
        <w:rPr>
          <w:rFonts w:ascii="Times New Roman" w:eastAsia="Times New Roman" w:hAnsi="Times New Roman" w:cs="Times New Roman"/>
          <w:color w:val="222222"/>
          <w:sz w:val="24"/>
          <w:szCs w:val="24"/>
        </w:rPr>
        <w:t xml:space="preserve">Van </w:t>
      </w:r>
      <w:proofErr w:type="spellStart"/>
      <w:r w:rsidRPr="00C228C4">
        <w:rPr>
          <w:rFonts w:ascii="Times New Roman" w:eastAsia="Times New Roman" w:hAnsi="Times New Roman" w:cs="Times New Roman"/>
          <w:color w:val="222222"/>
          <w:sz w:val="24"/>
          <w:szCs w:val="24"/>
        </w:rPr>
        <w:t>Dijck</w:t>
      </w:r>
      <w:proofErr w:type="spellEnd"/>
      <w:r w:rsidRPr="00C228C4">
        <w:rPr>
          <w:rFonts w:ascii="Times New Roman" w:eastAsia="Times New Roman" w:hAnsi="Times New Roman" w:cs="Times New Roman"/>
          <w:color w:val="222222"/>
          <w:sz w:val="24"/>
          <w:szCs w:val="24"/>
        </w:rPr>
        <w:t xml:space="preserve">, C. et al. Émergence du </w:t>
      </w:r>
      <w:proofErr w:type="spellStart"/>
      <w:r w:rsidRPr="00C228C4">
        <w:rPr>
          <w:rFonts w:ascii="Times New Roman" w:eastAsia="Times New Roman" w:hAnsi="Times New Roman" w:cs="Times New Roman"/>
          <w:color w:val="222222"/>
          <w:sz w:val="24"/>
          <w:szCs w:val="24"/>
        </w:rPr>
        <w:t>mpox</w:t>
      </w:r>
      <w:proofErr w:type="spellEnd"/>
      <w:r w:rsidRPr="00C228C4">
        <w:rPr>
          <w:rFonts w:ascii="Times New Roman" w:eastAsia="Times New Roman" w:hAnsi="Times New Roman" w:cs="Times New Roman"/>
          <w:color w:val="222222"/>
          <w:sz w:val="24"/>
          <w:szCs w:val="24"/>
        </w:rPr>
        <w:t xml:space="preserve"> à l'ère post-variolique : une revue narrative sur l'épidémiologie du </w:t>
      </w:r>
      <w:proofErr w:type="spellStart"/>
      <w:r w:rsidRPr="00C228C4">
        <w:rPr>
          <w:rFonts w:ascii="Times New Roman" w:eastAsia="Times New Roman" w:hAnsi="Times New Roman" w:cs="Times New Roman"/>
          <w:color w:val="222222"/>
          <w:sz w:val="24"/>
          <w:szCs w:val="24"/>
        </w:rPr>
        <w:t>mpox</w:t>
      </w:r>
      <w:proofErr w:type="spellEnd"/>
      <w:r w:rsidRPr="00C228C4">
        <w:rPr>
          <w:rFonts w:ascii="Times New Roman" w:eastAsia="Times New Roman" w:hAnsi="Times New Roman" w:cs="Times New Roman"/>
          <w:color w:val="222222"/>
          <w:sz w:val="24"/>
          <w:szCs w:val="24"/>
        </w:rPr>
        <w:t>. </w:t>
      </w:r>
      <w:r w:rsidRPr="00C228C4">
        <w:rPr>
          <w:rFonts w:ascii="Times New Roman" w:eastAsia="Times New Roman" w:hAnsi="Times New Roman" w:cs="Times New Roman"/>
          <w:i/>
          <w:iCs/>
          <w:color w:val="222222"/>
          <w:sz w:val="24"/>
          <w:szCs w:val="24"/>
        </w:rPr>
        <w:t xml:space="preserve">Clin. </w:t>
      </w:r>
      <w:proofErr w:type="spellStart"/>
      <w:r w:rsidRPr="00C228C4">
        <w:rPr>
          <w:rFonts w:ascii="Times New Roman" w:eastAsia="Times New Roman" w:hAnsi="Times New Roman" w:cs="Times New Roman"/>
          <w:i/>
          <w:iCs/>
          <w:color w:val="222222"/>
          <w:sz w:val="24"/>
          <w:szCs w:val="24"/>
        </w:rPr>
        <w:t>Microbiol</w:t>
      </w:r>
      <w:proofErr w:type="spellEnd"/>
      <w:r w:rsidRPr="00C228C4">
        <w:rPr>
          <w:rFonts w:ascii="Times New Roman" w:eastAsia="Times New Roman" w:hAnsi="Times New Roman" w:cs="Times New Roman"/>
          <w:i/>
          <w:iCs/>
          <w:color w:val="222222"/>
          <w:sz w:val="24"/>
          <w:szCs w:val="24"/>
        </w:rPr>
        <w:t xml:space="preserve"> Infect. </w:t>
      </w:r>
      <w:r w:rsidRPr="00B31246">
        <w:rPr>
          <w:rFonts w:ascii="Times New Roman" w:eastAsia="Times New Roman" w:hAnsi="Times New Roman" w:cs="Times New Roman"/>
          <w:bCs/>
          <w:color w:val="222222"/>
          <w:sz w:val="24"/>
          <w:szCs w:val="24"/>
        </w:rPr>
        <w:t>29</w:t>
      </w:r>
      <w:r w:rsidRPr="00C228C4">
        <w:rPr>
          <w:rFonts w:ascii="Times New Roman" w:eastAsia="Times New Roman" w:hAnsi="Times New Roman" w:cs="Times New Roman"/>
          <w:color w:val="222222"/>
          <w:sz w:val="24"/>
          <w:szCs w:val="24"/>
        </w:rPr>
        <w:t>, 1487–1492 (2023).</w:t>
      </w:r>
    </w:p>
    <w:p w14:paraId="305CD8C3" w14:textId="77777777" w:rsidR="00A32C4B" w:rsidRPr="0084704A"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lang w:val="en-US"/>
        </w:rPr>
      </w:pPr>
      <w:r w:rsidRPr="00A32C4B">
        <w:rPr>
          <w:rFonts w:ascii="Times New Roman" w:eastAsia="Times New Roman" w:hAnsi="Times New Roman" w:cs="Times New Roman"/>
          <w:color w:val="222222"/>
          <w:sz w:val="24"/>
          <w:szCs w:val="24"/>
          <w:lang w:val="en-US"/>
        </w:rPr>
        <w:t>Isidro J, Borges V, Pinto M, et al. Phylogenomic characterization and signs of microevolution in the 2022 multi-country outbreak of monkeypox virus. </w:t>
      </w:r>
      <w:r w:rsidRPr="0084704A">
        <w:rPr>
          <w:rFonts w:ascii="Times New Roman" w:eastAsia="Times New Roman" w:hAnsi="Times New Roman" w:cs="Times New Roman"/>
          <w:i/>
          <w:iCs/>
          <w:color w:val="222222"/>
          <w:sz w:val="24"/>
          <w:szCs w:val="24"/>
          <w:lang w:val="en-US"/>
        </w:rPr>
        <w:t>Nature Med</w:t>
      </w:r>
      <w:r w:rsidRPr="0084704A">
        <w:rPr>
          <w:rFonts w:ascii="Times New Roman" w:eastAsia="Times New Roman" w:hAnsi="Times New Roman" w:cs="Times New Roman"/>
          <w:color w:val="222222"/>
          <w:sz w:val="24"/>
          <w:szCs w:val="24"/>
          <w:lang w:val="en-US"/>
        </w:rPr>
        <w:t xml:space="preserve">. 2022 ;28(8) :1569–72. </w:t>
      </w:r>
    </w:p>
    <w:p w14:paraId="74F483EF"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C228C4">
        <w:rPr>
          <w:rFonts w:ascii="Times New Roman" w:eastAsia="Times New Roman" w:hAnsi="Times New Roman" w:cs="Times New Roman"/>
          <w:color w:val="222222"/>
          <w:sz w:val="24"/>
          <w:szCs w:val="24"/>
        </w:rPr>
        <w:t>Bunge</w:t>
      </w:r>
      <w:proofErr w:type="spellEnd"/>
      <w:r w:rsidRPr="00C228C4">
        <w:rPr>
          <w:rFonts w:ascii="Times New Roman" w:eastAsia="Times New Roman" w:hAnsi="Times New Roman" w:cs="Times New Roman"/>
          <w:color w:val="222222"/>
          <w:sz w:val="24"/>
          <w:szCs w:val="24"/>
        </w:rPr>
        <w:t>, EM et al. L'évolution de l'épidémiologie de la variole du singe chez l'homme : une menace potentielle ? Une revue systématique. </w:t>
      </w:r>
      <w:proofErr w:type="spellStart"/>
      <w:r w:rsidRPr="00C228C4">
        <w:rPr>
          <w:rFonts w:ascii="Times New Roman" w:eastAsia="Times New Roman" w:hAnsi="Times New Roman" w:cs="Times New Roman"/>
          <w:i/>
          <w:iCs/>
          <w:color w:val="222222"/>
          <w:sz w:val="24"/>
          <w:szCs w:val="24"/>
        </w:rPr>
        <w:t>PLoS</w:t>
      </w:r>
      <w:proofErr w:type="spellEnd"/>
      <w:r w:rsidRPr="00C228C4">
        <w:rPr>
          <w:rFonts w:ascii="Times New Roman" w:eastAsia="Times New Roman" w:hAnsi="Times New Roman" w:cs="Times New Roman"/>
          <w:i/>
          <w:iCs/>
          <w:color w:val="222222"/>
          <w:sz w:val="24"/>
          <w:szCs w:val="24"/>
        </w:rPr>
        <w:t xml:space="preserve"> </w:t>
      </w:r>
      <w:proofErr w:type="spellStart"/>
      <w:r w:rsidRPr="00C228C4">
        <w:rPr>
          <w:rFonts w:ascii="Times New Roman" w:eastAsia="Times New Roman" w:hAnsi="Times New Roman" w:cs="Times New Roman"/>
          <w:i/>
          <w:iCs/>
          <w:color w:val="222222"/>
          <w:sz w:val="24"/>
          <w:szCs w:val="24"/>
        </w:rPr>
        <w:t>Negl</w:t>
      </w:r>
      <w:proofErr w:type="spellEnd"/>
      <w:r w:rsidRPr="00C228C4">
        <w:rPr>
          <w:rFonts w:ascii="Times New Roman" w:eastAsia="Times New Roman" w:hAnsi="Times New Roman" w:cs="Times New Roman"/>
          <w:i/>
          <w:iCs/>
          <w:color w:val="222222"/>
          <w:sz w:val="24"/>
          <w:szCs w:val="24"/>
        </w:rPr>
        <w:t>. Trop. Dis. </w:t>
      </w:r>
      <w:r w:rsidRPr="00C228C4">
        <w:rPr>
          <w:rFonts w:ascii="Times New Roman" w:eastAsia="Times New Roman" w:hAnsi="Times New Roman" w:cs="Times New Roman"/>
          <w:b/>
          <w:bCs/>
          <w:color w:val="222222"/>
          <w:sz w:val="24"/>
          <w:szCs w:val="24"/>
        </w:rPr>
        <w:t>16</w:t>
      </w:r>
      <w:r w:rsidRPr="00C228C4">
        <w:rPr>
          <w:rFonts w:ascii="Times New Roman" w:eastAsia="Times New Roman" w:hAnsi="Times New Roman" w:cs="Times New Roman"/>
          <w:color w:val="222222"/>
          <w:sz w:val="24"/>
          <w:szCs w:val="24"/>
        </w:rPr>
        <w:t>, e0010141 (2022).</w:t>
      </w:r>
    </w:p>
    <w:p w14:paraId="63765285" w14:textId="77777777" w:rsidR="00A32C4B" w:rsidRPr="00EB0A65"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C228C4">
        <w:rPr>
          <w:rFonts w:ascii="Times New Roman" w:eastAsia="Times New Roman" w:hAnsi="Times New Roman" w:cs="Times New Roman"/>
          <w:color w:val="222222"/>
          <w:sz w:val="24"/>
          <w:szCs w:val="24"/>
        </w:rPr>
        <w:lastRenderedPageBreak/>
        <w:t xml:space="preserve">Épidémie de variole du singe (MPX) 2022-2024 : tendances mondiales. Organisation mondiale de la Santé (2024) ; </w:t>
      </w:r>
      <w:hyperlink r:id="rId9" w:history="1">
        <w:r w:rsidRPr="005C4B9A">
          <w:rPr>
            <w:rStyle w:val="Hyperlink"/>
            <w:rFonts w:ascii="Times New Roman" w:eastAsia="Times New Roman" w:hAnsi="Times New Roman" w:cs="Times New Roman"/>
            <w:sz w:val="24"/>
            <w:szCs w:val="24"/>
          </w:rPr>
          <w:t>https://worldhealthorg.shinyapps.io/mpx_global/</w:t>
        </w:r>
      </w:hyperlink>
      <w:r w:rsidRPr="00A46EAA">
        <w:rPr>
          <w:rFonts w:ascii="Times New Roman" w:eastAsia="Times New Roman" w:hAnsi="Times New Roman" w:cs="Times New Roman"/>
          <w:color w:val="222222"/>
          <w:sz w:val="24"/>
          <w:szCs w:val="24"/>
        </w:rPr>
        <w:t xml:space="preserve"> </w:t>
      </w:r>
    </w:p>
    <w:p w14:paraId="4D48AB55"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46EAA">
        <w:rPr>
          <w:rFonts w:ascii="Times New Roman" w:eastAsia="Times New Roman" w:hAnsi="Times New Roman" w:cs="Times New Roman"/>
          <w:color w:val="222222"/>
          <w:sz w:val="24"/>
          <w:szCs w:val="24"/>
        </w:rPr>
        <w:t>Nachega</w:t>
      </w:r>
      <w:proofErr w:type="spellEnd"/>
      <w:r w:rsidRPr="00A46EAA">
        <w:rPr>
          <w:rFonts w:ascii="Times New Roman" w:eastAsia="Times New Roman" w:hAnsi="Times New Roman" w:cs="Times New Roman"/>
          <w:color w:val="222222"/>
          <w:sz w:val="24"/>
          <w:szCs w:val="24"/>
        </w:rPr>
        <w:t>, JB et al. Consortium de recherche sur la variole. La montée de la variole en Afrique : un appel à l’action. </w:t>
      </w:r>
      <w:r w:rsidRPr="00A46EAA">
        <w:rPr>
          <w:rFonts w:ascii="Times New Roman" w:eastAsia="Times New Roman" w:hAnsi="Times New Roman" w:cs="Times New Roman"/>
          <w:i/>
          <w:iCs/>
          <w:color w:val="222222"/>
          <w:sz w:val="24"/>
          <w:szCs w:val="24"/>
        </w:rPr>
        <w:t xml:space="preserve">Lancet </w:t>
      </w:r>
      <w:proofErr w:type="spellStart"/>
      <w:r w:rsidRPr="00A46EAA">
        <w:rPr>
          <w:rFonts w:ascii="Times New Roman" w:eastAsia="Times New Roman" w:hAnsi="Times New Roman" w:cs="Times New Roman"/>
          <w:i/>
          <w:iCs/>
          <w:color w:val="222222"/>
          <w:sz w:val="24"/>
          <w:szCs w:val="24"/>
        </w:rPr>
        <w:t>Glob</w:t>
      </w:r>
      <w:proofErr w:type="spellEnd"/>
      <w:r w:rsidRPr="00A46EAA">
        <w:rPr>
          <w:rFonts w:ascii="Times New Roman" w:eastAsia="Times New Roman" w:hAnsi="Times New Roman" w:cs="Times New Roman"/>
          <w:i/>
          <w:iCs/>
          <w:color w:val="222222"/>
          <w:sz w:val="24"/>
          <w:szCs w:val="24"/>
        </w:rPr>
        <w:t>. Santé </w:t>
      </w:r>
      <w:r w:rsidRPr="00A46EAA">
        <w:rPr>
          <w:rFonts w:ascii="Times New Roman" w:eastAsia="Times New Roman" w:hAnsi="Times New Roman" w:cs="Times New Roman"/>
          <w:b/>
          <w:bCs/>
          <w:color w:val="222222"/>
          <w:sz w:val="24"/>
          <w:szCs w:val="24"/>
        </w:rPr>
        <w:t>2</w:t>
      </w:r>
      <w:r w:rsidRPr="00A46EAA">
        <w:rPr>
          <w:rFonts w:ascii="Times New Roman" w:eastAsia="Times New Roman" w:hAnsi="Times New Roman" w:cs="Times New Roman"/>
          <w:color w:val="222222"/>
          <w:sz w:val="24"/>
          <w:szCs w:val="24"/>
        </w:rPr>
        <w:t>, e1086–e1088 (2024).</w:t>
      </w:r>
    </w:p>
    <w:p w14:paraId="77E1AEBF"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32C4B">
        <w:rPr>
          <w:rFonts w:ascii="Times New Roman" w:eastAsia="Times New Roman" w:hAnsi="Times New Roman" w:cs="Times New Roman"/>
          <w:color w:val="222222"/>
          <w:sz w:val="24"/>
          <w:szCs w:val="24"/>
          <w:lang w:val="en-US"/>
        </w:rPr>
        <w:t>Aksamentov</w:t>
      </w:r>
      <w:proofErr w:type="spellEnd"/>
      <w:r w:rsidRPr="00A32C4B">
        <w:rPr>
          <w:rFonts w:ascii="Times New Roman" w:eastAsia="Times New Roman" w:hAnsi="Times New Roman" w:cs="Times New Roman"/>
          <w:color w:val="222222"/>
          <w:sz w:val="24"/>
          <w:szCs w:val="24"/>
          <w:lang w:val="en-US"/>
        </w:rPr>
        <w:t xml:space="preserve">, I., Roemer, C., </w:t>
      </w:r>
      <w:proofErr w:type="spellStart"/>
      <w:r w:rsidRPr="00A32C4B">
        <w:rPr>
          <w:rFonts w:ascii="Times New Roman" w:eastAsia="Times New Roman" w:hAnsi="Times New Roman" w:cs="Times New Roman"/>
          <w:color w:val="222222"/>
          <w:sz w:val="24"/>
          <w:szCs w:val="24"/>
          <w:lang w:val="en-US"/>
        </w:rPr>
        <w:t>Hodcroft</w:t>
      </w:r>
      <w:proofErr w:type="spellEnd"/>
      <w:r w:rsidRPr="00A32C4B">
        <w:rPr>
          <w:rFonts w:ascii="Times New Roman" w:eastAsia="Times New Roman" w:hAnsi="Times New Roman" w:cs="Times New Roman"/>
          <w:color w:val="222222"/>
          <w:sz w:val="24"/>
          <w:szCs w:val="24"/>
          <w:lang w:val="en-US"/>
        </w:rPr>
        <w:t xml:space="preserve">, E., &amp; </w:t>
      </w:r>
      <w:proofErr w:type="spellStart"/>
      <w:r w:rsidRPr="00A32C4B">
        <w:rPr>
          <w:rFonts w:ascii="Times New Roman" w:eastAsia="Times New Roman" w:hAnsi="Times New Roman" w:cs="Times New Roman"/>
          <w:color w:val="222222"/>
          <w:sz w:val="24"/>
          <w:szCs w:val="24"/>
          <w:lang w:val="en-US"/>
        </w:rPr>
        <w:t>Neher</w:t>
      </w:r>
      <w:proofErr w:type="spellEnd"/>
      <w:r w:rsidRPr="00A32C4B">
        <w:rPr>
          <w:rFonts w:ascii="Times New Roman" w:eastAsia="Times New Roman" w:hAnsi="Times New Roman" w:cs="Times New Roman"/>
          <w:color w:val="222222"/>
          <w:sz w:val="24"/>
          <w:szCs w:val="24"/>
          <w:lang w:val="en-US"/>
        </w:rPr>
        <w:t xml:space="preserve">, R. (2021). </w:t>
      </w:r>
      <w:proofErr w:type="spellStart"/>
      <w:r w:rsidRPr="00A32C4B">
        <w:rPr>
          <w:rFonts w:ascii="Times New Roman" w:eastAsia="Times New Roman" w:hAnsi="Times New Roman" w:cs="Times New Roman"/>
          <w:color w:val="222222"/>
          <w:sz w:val="24"/>
          <w:szCs w:val="24"/>
          <w:lang w:val="en-US"/>
        </w:rPr>
        <w:t>Nextclade</w:t>
      </w:r>
      <w:proofErr w:type="spellEnd"/>
      <w:r w:rsidRPr="00A32C4B">
        <w:rPr>
          <w:rFonts w:ascii="Times New Roman" w:eastAsia="Times New Roman" w:hAnsi="Times New Roman" w:cs="Times New Roman"/>
          <w:color w:val="222222"/>
          <w:sz w:val="24"/>
          <w:szCs w:val="24"/>
          <w:lang w:val="en-US"/>
        </w:rPr>
        <w:t xml:space="preserve">: Clade assignment, mutation calling and quality control for viral genomes. </w:t>
      </w:r>
      <w:r w:rsidRPr="00AB77D9">
        <w:rPr>
          <w:rFonts w:ascii="Times New Roman" w:eastAsia="Times New Roman" w:hAnsi="Times New Roman" w:cs="Times New Roman"/>
          <w:color w:val="222222"/>
          <w:sz w:val="24"/>
          <w:szCs w:val="24"/>
        </w:rPr>
        <w:t xml:space="preserve">Journal of Open Source Software, 6(67), 3773. </w:t>
      </w:r>
      <w:hyperlink r:id="rId10" w:history="1">
        <w:r w:rsidRPr="00AB77D9">
          <w:rPr>
            <w:rStyle w:val="Hyperlink"/>
            <w:rFonts w:ascii="Times New Roman" w:eastAsia="Times New Roman" w:hAnsi="Times New Roman" w:cs="Times New Roman"/>
            <w:sz w:val="24"/>
            <w:szCs w:val="24"/>
          </w:rPr>
          <w:t>https://doi.org/10.21105/joss.03773</w:t>
        </w:r>
      </w:hyperlink>
    </w:p>
    <w:p w14:paraId="27F9D18B"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B77D9">
        <w:rPr>
          <w:rFonts w:ascii="Times New Roman" w:eastAsia="Times New Roman" w:hAnsi="Times New Roman" w:cs="Times New Roman"/>
          <w:color w:val="222222"/>
          <w:sz w:val="24"/>
          <w:szCs w:val="24"/>
        </w:rPr>
        <w:t xml:space="preserve">Happi, C., </w:t>
      </w:r>
      <w:proofErr w:type="spellStart"/>
      <w:r w:rsidRPr="00AB77D9">
        <w:rPr>
          <w:rFonts w:ascii="Times New Roman" w:eastAsia="Times New Roman" w:hAnsi="Times New Roman" w:cs="Times New Roman"/>
          <w:color w:val="222222"/>
          <w:sz w:val="24"/>
          <w:szCs w:val="24"/>
        </w:rPr>
        <w:t>Adetifa</w:t>
      </w:r>
      <w:proofErr w:type="spellEnd"/>
      <w:r w:rsidRPr="00AB77D9">
        <w:rPr>
          <w:rFonts w:ascii="Times New Roman" w:eastAsia="Times New Roman" w:hAnsi="Times New Roman" w:cs="Times New Roman"/>
          <w:color w:val="222222"/>
          <w:sz w:val="24"/>
          <w:szCs w:val="24"/>
        </w:rPr>
        <w:t xml:space="preserve">, I., Mbala, P., </w:t>
      </w:r>
      <w:proofErr w:type="spellStart"/>
      <w:r w:rsidRPr="00AB77D9">
        <w:rPr>
          <w:rFonts w:ascii="Times New Roman" w:eastAsia="Times New Roman" w:hAnsi="Times New Roman" w:cs="Times New Roman"/>
          <w:color w:val="222222"/>
          <w:sz w:val="24"/>
          <w:szCs w:val="24"/>
        </w:rPr>
        <w:t>Njouom</w:t>
      </w:r>
      <w:proofErr w:type="spellEnd"/>
      <w:r w:rsidRPr="00AB77D9">
        <w:rPr>
          <w:rFonts w:ascii="Times New Roman" w:eastAsia="Times New Roman" w:hAnsi="Times New Roman" w:cs="Times New Roman"/>
          <w:color w:val="222222"/>
          <w:sz w:val="24"/>
          <w:szCs w:val="24"/>
        </w:rPr>
        <w:t xml:space="preserve">, R., </w:t>
      </w:r>
      <w:proofErr w:type="spellStart"/>
      <w:r w:rsidRPr="00AB77D9">
        <w:rPr>
          <w:rFonts w:ascii="Times New Roman" w:eastAsia="Times New Roman" w:hAnsi="Times New Roman" w:cs="Times New Roman"/>
          <w:color w:val="222222"/>
          <w:sz w:val="24"/>
          <w:szCs w:val="24"/>
        </w:rPr>
        <w:t>Nakoune</w:t>
      </w:r>
      <w:proofErr w:type="spellEnd"/>
      <w:r w:rsidRPr="00AB77D9">
        <w:rPr>
          <w:rFonts w:ascii="Times New Roman" w:eastAsia="Times New Roman" w:hAnsi="Times New Roman" w:cs="Times New Roman"/>
          <w:color w:val="222222"/>
          <w:sz w:val="24"/>
          <w:szCs w:val="24"/>
        </w:rPr>
        <w:t xml:space="preserve">, E., Happi, A., </w:t>
      </w:r>
      <w:proofErr w:type="spellStart"/>
      <w:r w:rsidRPr="00AB77D9">
        <w:rPr>
          <w:rFonts w:ascii="Times New Roman" w:eastAsia="Times New Roman" w:hAnsi="Times New Roman" w:cs="Times New Roman"/>
          <w:color w:val="222222"/>
          <w:sz w:val="24"/>
          <w:szCs w:val="24"/>
        </w:rPr>
        <w:t>Ndodo</w:t>
      </w:r>
      <w:proofErr w:type="spellEnd"/>
      <w:r w:rsidRPr="00AB77D9">
        <w:rPr>
          <w:rFonts w:ascii="Times New Roman" w:eastAsia="Times New Roman" w:hAnsi="Times New Roman" w:cs="Times New Roman"/>
          <w:color w:val="222222"/>
          <w:sz w:val="24"/>
          <w:szCs w:val="24"/>
        </w:rPr>
        <w:t xml:space="preserve">, N., </w:t>
      </w:r>
      <w:proofErr w:type="spellStart"/>
      <w:r w:rsidRPr="00AB77D9">
        <w:rPr>
          <w:rFonts w:ascii="Times New Roman" w:eastAsia="Times New Roman" w:hAnsi="Times New Roman" w:cs="Times New Roman"/>
          <w:color w:val="222222"/>
          <w:sz w:val="24"/>
          <w:szCs w:val="24"/>
        </w:rPr>
        <w:t>Ayansola</w:t>
      </w:r>
      <w:proofErr w:type="spellEnd"/>
      <w:r w:rsidRPr="00AB77D9">
        <w:rPr>
          <w:rFonts w:ascii="Times New Roman" w:eastAsia="Times New Roman" w:hAnsi="Times New Roman" w:cs="Times New Roman"/>
          <w:color w:val="222222"/>
          <w:sz w:val="24"/>
          <w:szCs w:val="24"/>
        </w:rPr>
        <w:t xml:space="preserve">, O., </w:t>
      </w:r>
      <w:proofErr w:type="spellStart"/>
      <w:r w:rsidRPr="00AB77D9">
        <w:rPr>
          <w:rFonts w:ascii="Times New Roman" w:eastAsia="Times New Roman" w:hAnsi="Times New Roman" w:cs="Times New Roman"/>
          <w:color w:val="222222"/>
          <w:sz w:val="24"/>
          <w:szCs w:val="24"/>
        </w:rPr>
        <w:t>Mboowa</w:t>
      </w:r>
      <w:proofErr w:type="spellEnd"/>
      <w:r w:rsidRPr="00AB77D9">
        <w:rPr>
          <w:rFonts w:ascii="Times New Roman" w:eastAsia="Times New Roman" w:hAnsi="Times New Roman" w:cs="Times New Roman"/>
          <w:color w:val="222222"/>
          <w:sz w:val="24"/>
          <w:szCs w:val="24"/>
        </w:rPr>
        <w:t xml:space="preserve">, G., Bedford, T., Neher, R. A., </w:t>
      </w:r>
      <w:proofErr w:type="spellStart"/>
      <w:r w:rsidRPr="00AB77D9">
        <w:rPr>
          <w:rFonts w:ascii="Times New Roman" w:eastAsia="Times New Roman" w:hAnsi="Times New Roman" w:cs="Times New Roman"/>
          <w:color w:val="222222"/>
          <w:sz w:val="24"/>
          <w:szCs w:val="24"/>
        </w:rPr>
        <w:t>Roemer</w:t>
      </w:r>
      <w:proofErr w:type="spellEnd"/>
      <w:r w:rsidRPr="00AB77D9">
        <w:rPr>
          <w:rFonts w:ascii="Times New Roman" w:eastAsia="Times New Roman" w:hAnsi="Times New Roman" w:cs="Times New Roman"/>
          <w:color w:val="222222"/>
          <w:sz w:val="24"/>
          <w:szCs w:val="24"/>
        </w:rPr>
        <w:t xml:space="preserve">, C., </w:t>
      </w:r>
      <w:proofErr w:type="spellStart"/>
      <w:r w:rsidRPr="00AB77D9">
        <w:rPr>
          <w:rFonts w:ascii="Times New Roman" w:eastAsia="Times New Roman" w:hAnsi="Times New Roman" w:cs="Times New Roman"/>
          <w:color w:val="222222"/>
          <w:sz w:val="24"/>
          <w:szCs w:val="24"/>
        </w:rPr>
        <w:t>Hodcroft</w:t>
      </w:r>
      <w:proofErr w:type="spellEnd"/>
      <w:r w:rsidRPr="00AB77D9">
        <w:rPr>
          <w:rFonts w:ascii="Times New Roman" w:eastAsia="Times New Roman" w:hAnsi="Times New Roman" w:cs="Times New Roman"/>
          <w:color w:val="222222"/>
          <w:sz w:val="24"/>
          <w:szCs w:val="24"/>
        </w:rPr>
        <w:t xml:space="preserve">, E., </w:t>
      </w:r>
      <w:proofErr w:type="spellStart"/>
      <w:r w:rsidRPr="00AB77D9">
        <w:rPr>
          <w:rFonts w:ascii="Times New Roman" w:eastAsia="Times New Roman" w:hAnsi="Times New Roman" w:cs="Times New Roman"/>
          <w:color w:val="222222"/>
          <w:sz w:val="24"/>
          <w:szCs w:val="24"/>
        </w:rPr>
        <w:t>Tegally</w:t>
      </w:r>
      <w:proofErr w:type="spellEnd"/>
      <w:r w:rsidRPr="00AB77D9">
        <w:rPr>
          <w:rFonts w:ascii="Times New Roman" w:eastAsia="Times New Roman" w:hAnsi="Times New Roman" w:cs="Times New Roman"/>
          <w:color w:val="222222"/>
          <w:sz w:val="24"/>
          <w:szCs w:val="24"/>
        </w:rPr>
        <w:t xml:space="preserve">, H., </w:t>
      </w:r>
      <w:proofErr w:type="spellStart"/>
      <w:r w:rsidRPr="00AB77D9">
        <w:rPr>
          <w:rFonts w:ascii="Times New Roman" w:eastAsia="Times New Roman" w:hAnsi="Times New Roman" w:cs="Times New Roman"/>
          <w:color w:val="222222"/>
          <w:sz w:val="24"/>
          <w:szCs w:val="24"/>
        </w:rPr>
        <w:t>O’Toole</w:t>
      </w:r>
      <w:proofErr w:type="spellEnd"/>
      <w:r w:rsidRPr="00AB77D9">
        <w:rPr>
          <w:rFonts w:ascii="Times New Roman" w:eastAsia="Times New Roman" w:hAnsi="Times New Roman" w:cs="Times New Roman"/>
          <w:color w:val="222222"/>
          <w:sz w:val="24"/>
          <w:szCs w:val="24"/>
        </w:rPr>
        <w:t xml:space="preserve">, Á., </w:t>
      </w:r>
      <w:proofErr w:type="spellStart"/>
      <w:r w:rsidRPr="00AB77D9">
        <w:rPr>
          <w:rFonts w:ascii="Times New Roman" w:eastAsia="Times New Roman" w:hAnsi="Times New Roman" w:cs="Times New Roman"/>
          <w:color w:val="222222"/>
          <w:sz w:val="24"/>
          <w:szCs w:val="24"/>
        </w:rPr>
        <w:t>Rambaut</w:t>
      </w:r>
      <w:proofErr w:type="spellEnd"/>
      <w:r w:rsidRPr="00AB77D9">
        <w:rPr>
          <w:rFonts w:ascii="Times New Roman" w:eastAsia="Times New Roman" w:hAnsi="Times New Roman" w:cs="Times New Roman"/>
          <w:color w:val="222222"/>
          <w:sz w:val="24"/>
          <w:szCs w:val="24"/>
        </w:rPr>
        <w:t xml:space="preserve">, A., </w:t>
      </w:r>
      <w:proofErr w:type="spellStart"/>
      <w:r w:rsidRPr="00AB77D9">
        <w:rPr>
          <w:rFonts w:ascii="Times New Roman" w:eastAsia="Times New Roman" w:hAnsi="Times New Roman" w:cs="Times New Roman"/>
          <w:color w:val="222222"/>
          <w:sz w:val="24"/>
          <w:szCs w:val="24"/>
        </w:rPr>
        <w:t>Pybus</w:t>
      </w:r>
      <w:proofErr w:type="spellEnd"/>
      <w:r w:rsidRPr="00AB77D9">
        <w:rPr>
          <w:rFonts w:ascii="Times New Roman" w:eastAsia="Times New Roman" w:hAnsi="Times New Roman" w:cs="Times New Roman"/>
          <w:color w:val="222222"/>
          <w:sz w:val="24"/>
          <w:szCs w:val="24"/>
        </w:rPr>
        <w:t xml:space="preserve">, O., Kraemer, M. U. G., Wilkinson, E., … </w:t>
      </w:r>
      <w:r w:rsidRPr="00A32C4B">
        <w:rPr>
          <w:rFonts w:ascii="Times New Roman" w:eastAsia="Times New Roman" w:hAnsi="Times New Roman" w:cs="Times New Roman"/>
          <w:color w:val="222222"/>
          <w:sz w:val="24"/>
          <w:szCs w:val="24"/>
          <w:lang w:val="en-US"/>
        </w:rPr>
        <w:t xml:space="preserve">De Oliveira, T. (2022). Urgent need for a non-discriminatory and non-stigmatizing nomenclature for the monkeypox virus. </w:t>
      </w:r>
      <w:r w:rsidRPr="00AB77D9">
        <w:rPr>
          <w:rFonts w:ascii="Times New Roman" w:eastAsia="Times New Roman" w:hAnsi="Times New Roman" w:cs="Times New Roman"/>
          <w:color w:val="222222"/>
          <w:sz w:val="24"/>
          <w:szCs w:val="24"/>
        </w:rPr>
        <w:t xml:space="preserve">PLOS </w:t>
      </w:r>
      <w:proofErr w:type="spellStart"/>
      <w:r w:rsidRPr="00AB77D9">
        <w:rPr>
          <w:rFonts w:ascii="Times New Roman" w:eastAsia="Times New Roman" w:hAnsi="Times New Roman" w:cs="Times New Roman"/>
          <w:color w:val="222222"/>
          <w:sz w:val="24"/>
          <w:szCs w:val="24"/>
        </w:rPr>
        <w:t>Biology</w:t>
      </w:r>
      <w:proofErr w:type="spellEnd"/>
      <w:r w:rsidRPr="00AB77D9">
        <w:rPr>
          <w:rFonts w:ascii="Times New Roman" w:eastAsia="Times New Roman" w:hAnsi="Times New Roman" w:cs="Times New Roman"/>
          <w:color w:val="222222"/>
          <w:sz w:val="24"/>
          <w:szCs w:val="24"/>
        </w:rPr>
        <w:t xml:space="preserve">, 20(8), e3001769. </w:t>
      </w:r>
      <w:hyperlink r:id="rId11" w:history="1">
        <w:r w:rsidRPr="00AB77D9">
          <w:rPr>
            <w:rStyle w:val="Hyperlink"/>
            <w:rFonts w:ascii="Times New Roman" w:eastAsia="Times New Roman" w:hAnsi="Times New Roman" w:cs="Times New Roman"/>
            <w:sz w:val="24"/>
            <w:szCs w:val="24"/>
          </w:rPr>
          <w:t>https://doi.org/10.1371/journal.pbio.3001769</w:t>
        </w:r>
      </w:hyperlink>
    </w:p>
    <w:p w14:paraId="35E89A96"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B77D9">
        <w:rPr>
          <w:rFonts w:ascii="Times New Roman" w:eastAsia="Times New Roman" w:hAnsi="Times New Roman" w:cs="Times New Roman"/>
          <w:color w:val="222222"/>
          <w:sz w:val="24"/>
          <w:szCs w:val="24"/>
        </w:rPr>
        <w:t>O’Toole</w:t>
      </w:r>
      <w:proofErr w:type="spellEnd"/>
      <w:r w:rsidRPr="00AB77D9">
        <w:rPr>
          <w:rFonts w:ascii="Times New Roman" w:eastAsia="Times New Roman" w:hAnsi="Times New Roman" w:cs="Times New Roman"/>
          <w:color w:val="222222"/>
          <w:sz w:val="24"/>
          <w:szCs w:val="24"/>
        </w:rPr>
        <w:t xml:space="preserve">, Á., </w:t>
      </w:r>
      <w:proofErr w:type="spellStart"/>
      <w:r w:rsidRPr="00AB77D9">
        <w:rPr>
          <w:rFonts w:ascii="Times New Roman" w:eastAsia="Times New Roman" w:hAnsi="Times New Roman" w:cs="Times New Roman"/>
          <w:color w:val="222222"/>
          <w:sz w:val="24"/>
          <w:szCs w:val="24"/>
        </w:rPr>
        <w:t>Kinganda-Lusamaki</w:t>
      </w:r>
      <w:proofErr w:type="spellEnd"/>
      <w:r w:rsidRPr="00AB77D9">
        <w:rPr>
          <w:rFonts w:ascii="Times New Roman" w:eastAsia="Times New Roman" w:hAnsi="Times New Roman" w:cs="Times New Roman"/>
          <w:color w:val="222222"/>
          <w:sz w:val="24"/>
          <w:szCs w:val="24"/>
        </w:rPr>
        <w:t xml:space="preserve">, E., </w:t>
      </w:r>
      <w:proofErr w:type="spellStart"/>
      <w:r w:rsidRPr="00AB77D9">
        <w:rPr>
          <w:rFonts w:ascii="Times New Roman" w:eastAsia="Times New Roman" w:hAnsi="Times New Roman" w:cs="Times New Roman"/>
          <w:color w:val="222222"/>
          <w:sz w:val="24"/>
          <w:szCs w:val="24"/>
        </w:rPr>
        <w:t>Colquhoun</w:t>
      </w:r>
      <w:proofErr w:type="spellEnd"/>
      <w:r w:rsidRPr="00AB77D9">
        <w:rPr>
          <w:rFonts w:ascii="Times New Roman" w:eastAsia="Times New Roman" w:hAnsi="Times New Roman" w:cs="Times New Roman"/>
          <w:color w:val="222222"/>
          <w:sz w:val="24"/>
          <w:szCs w:val="24"/>
        </w:rPr>
        <w:t xml:space="preserve">, R., </w:t>
      </w:r>
      <w:proofErr w:type="spellStart"/>
      <w:r w:rsidRPr="00AB77D9">
        <w:rPr>
          <w:rFonts w:ascii="Times New Roman" w:eastAsia="Times New Roman" w:hAnsi="Times New Roman" w:cs="Times New Roman"/>
          <w:color w:val="222222"/>
          <w:sz w:val="24"/>
          <w:szCs w:val="24"/>
        </w:rPr>
        <w:t>Chato</w:t>
      </w:r>
      <w:proofErr w:type="spellEnd"/>
      <w:r w:rsidRPr="00AB77D9">
        <w:rPr>
          <w:rFonts w:ascii="Times New Roman" w:eastAsia="Times New Roman" w:hAnsi="Times New Roman" w:cs="Times New Roman"/>
          <w:color w:val="222222"/>
          <w:sz w:val="24"/>
          <w:szCs w:val="24"/>
        </w:rPr>
        <w:t xml:space="preserve">, C., </w:t>
      </w:r>
      <w:proofErr w:type="spellStart"/>
      <w:r w:rsidRPr="00AB77D9">
        <w:rPr>
          <w:rFonts w:ascii="Times New Roman" w:eastAsia="Times New Roman" w:hAnsi="Times New Roman" w:cs="Times New Roman"/>
          <w:color w:val="222222"/>
          <w:sz w:val="24"/>
          <w:szCs w:val="24"/>
        </w:rPr>
        <w:t>Scher</w:t>
      </w:r>
      <w:proofErr w:type="spellEnd"/>
      <w:r w:rsidRPr="00AB77D9">
        <w:rPr>
          <w:rFonts w:ascii="Times New Roman" w:eastAsia="Times New Roman" w:hAnsi="Times New Roman" w:cs="Times New Roman"/>
          <w:color w:val="222222"/>
          <w:sz w:val="24"/>
          <w:szCs w:val="24"/>
        </w:rPr>
        <w:t xml:space="preserve">, E., Kent, C., Wilkinson, S., Quick, J., </w:t>
      </w:r>
      <w:proofErr w:type="spellStart"/>
      <w:r w:rsidRPr="00AB77D9">
        <w:rPr>
          <w:rFonts w:ascii="Times New Roman" w:eastAsia="Times New Roman" w:hAnsi="Times New Roman" w:cs="Times New Roman"/>
          <w:color w:val="222222"/>
          <w:sz w:val="24"/>
          <w:szCs w:val="24"/>
        </w:rPr>
        <w:t>Loman</w:t>
      </w:r>
      <w:proofErr w:type="spellEnd"/>
      <w:r w:rsidRPr="00AB77D9">
        <w:rPr>
          <w:rFonts w:ascii="Times New Roman" w:eastAsia="Times New Roman" w:hAnsi="Times New Roman" w:cs="Times New Roman"/>
          <w:color w:val="222222"/>
          <w:sz w:val="24"/>
          <w:szCs w:val="24"/>
        </w:rPr>
        <w:t xml:space="preserve">, N., </w:t>
      </w:r>
      <w:proofErr w:type="spellStart"/>
      <w:r w:rsidRPr="00AB77D9">
        <w:rPr>
          <w:rFonts w:ascii="Times New Roman" w:eastAsia="Times New Roman" w:hAnsi="Times New Roman" w:cs="Times New Roman"/>
          <w:color w:val="222222"/>
          <w:sz w:val="24"/>
          <w:szCs w:val="24"/>
        </w:rPr>
        <w:t>Duggan</w:t>
      </w:r>
      <w:proofErr w:type="spellEnd"/>
      <w:r w:rsidRPr="00AB77D9">
        <w:rPr>
          <w:rFonts w:ascii="Times New Roman" w:eastAsia="Times New Roman" w:hAnsi="Times New Roman" w:cs="Times New Roman"/>
          <w:color w:val="222222"/>
          <w:sz w:val="24"/>
          <w:szCs w:val="24"/>
        </w:rPr>
        <w:t>, A. T., Mbala-</w:t>
      </w:r>
      <w:proofErr w:type="spellStart"/>
      <w:r w:rsidRPr="00AB77D9">
        <w:rPr>
          <w:rFonts w:ascii="Times New Roman" w:eastAsia="Times New Roman" w:hAnsi="Times New Roman" w:cs="Times New Roman"/>
          <w:color w:val="222222"/>
          <w:sz w:val="24"/>
          <w:szCs w:val="24"/>
        </w:rPr>
        <w:t>Kingebeni</w:t>
      </w:r>
      <w:proofErr w:type="spellEnd"/>
      <w:r w:rsidRPr="00AB77D9">
        <w:rPr>
          <w:rFonts w:ascii="Times New Roman" w:eastAsia="Times New Roman" w:hAnsi="Times New Roman" w:cs="Times New Roman"/>
          <w:color w:val="222222"/>
          <w:sz w:val="24"/>
          <w:szCs w:val="24"/>
        </w:rPr>
        <w:t xml:space="preserve">, P., &amp; </w:t>
      </w:r>
      <w:proofErr w:type="spellStart"/>
      <w:r w:rsidRPr="00AB77D9">
        <w:rPr>
          <w:rFonts w:ascii="Times New Roman" w:eastAsia="Times New Roman" w:hAnsi="Times New Roman" w:cs="Times New Roman"/>
          <w:color w:val="222222"/>
          <w:sz w:val="24"/>
          <w:szCs w:val="24"/>
        </w:rPr>
        <w:t>Rambaut</w:t>
      </w:r>
      <w:proofErr w:type="spellEnd"/>
      <w:r w:rsidRPr="00AB77D9">
        <w:rPr>
          <w:rFonts w:ascii="Times New Roman" w:eastAsia="Times New Roman" w:hAnsi="Times New Roman" w:cs="Times New Roman"/>
          <w:color w:val="222222"/>
          <w:sz w:val="24"/>
          <w:szCs w:val="24"/>
        </w:rPr>
        <w:t xml:space="preserve">, A. (2025). </w:t>
      </w:r>
      <w:r w:rsidRPr="00A32C4B">
        <w:rPr>
          <w:rFonts w:ascii="Times New Roman" w:eastAsia="Times New Roman" w:hAnsi="Times New Roman" w:cs="Times New Roman"/>
          <w:color w:val="222222"/>
          <w:sz w:val="24"/>
          <w:szCs w:val="24"/>
          <w:lang w:val="en-US"/>
        </w:rPr>
        <w:t xml:space="preserve">Human outbreak detection and best practice MPXV analysis and interpretation with squirrel. </w:t>
      </w:r>
      <w:proofErr w:type="spellStart"/>
      <w:r w:rsidRPr="00AB77D9">
        <w:rPr>
          <w:rFonts w:ascii="Times New Roman" w:eastAsia="Times New Roman" w:hAnsi="Times New Roman" w:cs="Times New Roman"/>
          <w:color w:val="222222"/>
          <w:sz w:val="24"/>
          <w:szCs w:val="24"/>
        </w:rPr>
        <w:t>Evolutionary</w:t>
      </w:r>
      <w:proofErr w:type="spellEnd"/>
      <w:r w:rsidRPr="00AB77D9">
        <w:rPr>
          <w:rFonts w:ascii="Times New Roman" w:eastAsia="Times New Roman" w:hAnsi="Times New Roman" w:cs="Times New Roman"/>
          <w:color w:val="222222"/>
          <w:sz w:val="24"/>
          <w:szCs w:val="24"/>
        </w:rPr>
        <w:t xml:space="preserve"> </w:t>
      </w:r>
      <w:proofErr w:type="spellStart"/>
      <w:r w:rsidRPr="00AB77D9">
        <w:rPr>
          <w:rFonts w:ascii="Times New Roman" w:eastAsia="Times New Roman" w:hAnsi="Times New Roman" w:cs="Times New Roman"/>
          <w:color w:val="222222"/>
          <w:sz w:val="24"/>
          <w:szCs w:val="24"/>
        </w:rPr>
        <w:t>Biology</w:t>
      </w:r>
      <w:proofErr w:type="spellEnd"/>
      <w:r w:rsidRPr="00AB77D9">
        <w:rPr>
          <w:rFonts w:ascii="Times New Roman" w:eastAsia="Times New Roman" w:hAnsi="Times New Roman" w:cs="Times New Roman"/>
          <w:color w:val="222222"/>
          <w:sz w:val="24"/>
          <w:szCs w:val="24"/>
        </w:rPr>
        <w:t xml:space="preserve">. </w:t>
      </w:r>
      <w:hyperlink r:id="rId12" w:history="1">
        <w:r w:rsidRPr="00AB77D9">
          <w:rPr>
            <w:rStyle w:val="Hyperlink"/>
            <w:rFonts w:ascii="Times New Roman" w:eastAsia="Times New Roman" w:hAnsi="Times New Roman" w:cs="Times New Roman"/>
            <w:sz w:val="24"/>
            <w:szCs w:val="24"/>
          </w:rPr>
          <w:t>https://doi.org/10.1101/2025.08.13.669859</w:t>
        </w:r>
      </w:hyperlink>
    </w:p>
    <w:p w14:paraId="377F4535"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32C4B">
        <w:rPr>
          <w:rFonts w:ascii="Times New Roman" w:eastAsia="Times New Roman" w:hAnsi="Times New Roman" w:cs="Times New Roman"/>
          <w:color w:val="222222"/>
          <w:sz w:val="24"/>
          <w:szCs w:val="24"/>
          <w:lang w:val="en-US"/>
        </w:rPr>
        <w:t xml:space="preserve">Jackson, B. (2022). </w:t>
      </w:r>
      <w:proofErr w:type="spellStart"/>
      <w:r w:rsidRPr="00A32C4B">
        <w:rPr>
          <w:rFonts w:ascii="Times New Roman" w:eastAsia="Times New Roman" w:hAnsi="Times New Roman" w:cs="Times New Roman"/>
          <w:color w:val="222222"/>
          <w:sz w:val="24"/>
          <w:szCs w:val="24"/>
          <w:lang w:val="en-US"/>
        </w:rPr>
        <w:t>gofasta</w:t>
      </w:r>
      <w:proofErr w:type="spellEnd"/>
      <w:r w:rsidRPr="00A32C4B">
        <w:rPr>
          <w:rFonts w:ascii="Times New Roman" w:eastAsia="Times New Roman" w:hAnsi="Times New Roman" w:cs="Times New Roman"/>
          <w:color w:val="222222"/>
          <w:sz w:val="24"/>
          <w:szCs w:val="24"/>
          <w:lang w:val="en-US"/>
        </w:rPr>
        <w:t xml:space="preserve">: Command-line utilities for genomic epidemiology research. </w:t>
      </w:r>
      <w:proofErr w:type="spellStart"/>
      <w:r w:rsidRPr="00E547FD">
        <w:rPr>
          <w:rFonts w:ascii="Times New Roman" w:eastAsia="Times New Roman" w:hAnsi="Times New Roman" w:cs="Times New Roman"/>
          <w:color w:val="222222"/>
          <w:sz w:val="24"/>
          <w:szCs w:val="24"/>
        </w:rPr>
        <w:t>Bioinformatics</w:t>
      </w:r>
      <w:proofErr w:type="spellEnd"/>
      <w:r w:rsidRPr="00E547FD">
        <w:rPr>
          <w:rFonts w:ascii="Times New Roman" w:eastAsia="Times New Roman" w:hAnsi="Times New Roman" w:cs="Times New Roman"/>
          <w:color w:val="222222"/>
          <w:sz w:val="24"/>
          <w:szCs w:val="24"/>
        </w:rPr>
        <w:t xml:space="preserve">, 38(16), 4033–4035. </w:t>
      </w:r>
      <w:hyperlink r:id="rId13" w:history="1">
        <w:r w:rsidRPr="00E547FD">
          <w:rPr>
            <w:rStyle w:val="Hyperlink"/>
            <w:rFonts w:ascii="Times New Roman" w:eastAsia="Times New Roman" w:hAnsi="Times New Roman" w:cs="Times New Roman"/>
            <w:sz w:val="24"/>
            <w:szCs w:val="24"/>
          </w:rPr>
          <w:t>https://doi.org/10.1093/bioinformatics/btac424</w:t>
        </w:r>
      </w:hyperlink>
    </w:p>
    <w:p w14:paraId="288EDE7E"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r w:rsidRPr="00A32C4B">
        <w:rPr>
          <w:rFonts w:ascii="Times New Roman" w:eastAsia="Times New Roman" w:hAnsi="Times New Roman" w:cs="Times New Roman"/>
          <w:color w:val="222222"/>
          <w:sz w:val="24"/>
          <w:szCs w:val="24"/>
          <w:lang w:val="en-US"/>
        </w:rPr>
        <w:t xml:space="preserve">Minh, B. Q., Schmidt, H. A., </w:t>
      </w:r>
      <w:proofErr w:type="spellStart"/>
      <w:r w:rsidRPr="00A32C4B">
        <w:rPr>
          <w:rFonts w:ascii="Times New Roman" w:eastAsia="Times New Roman" w:hAnsi="Times New Roman" w:cs="Times New Roman"/>
          <w:color w:val="222222"/>
          <w:sz w:val="24"/>
          <w:szCs w:val="24"/>
          <w:lang w:val="en-US"/>
        </w:rPr>
        <w:t>Chernomor</w:t>
      </w:r>
      <w:proofErr w:type="spellEnd"/>
      <w:r w:rsidRPr="00A32C4B">
        <w:rPr>
          <w:rFonts w:ascii="Times New Roman" w:eastAsia="Times New Roman" w:hAnsi="Times New Roman" w:cs="Times New Roman"/>
          <w:color w:val="222222"/>
          <w:sz w:val="24"/>
          <w:szCs w:val="24"/>
          <w:lang w:val="en-US"/>
        </w:rPr>
        <w:t xml:space="preserve">, O., Schrempf, D., Woodhams, M. D., Von </w:t>
      </w:r>
      <w:proofErr w:type="spellStart"/>
      <w:r w:rsidRPr="00A32C4B">
        <w:rPr>
          <w:rFonts w:ascii="Times New Roman" w:eastAsia="Times New Roman" w:hAnsi="Times New Roman" w:cs="Times New Roman"/>
          <w:color w:val="222222"/>
          <w:sz w:val="24"/>
          <w:szCs w:val="24"/>
          <w:lang w:val="en-US"/>
        </w:rPr>
        <w:t>Haeseler</w:t>
      </w:r>
      <w:proofErr w:type="spellEnd"/>
      <w:r w:rsidRPr="00A32C4B">
        <w:rPr>
          <w:rFonts w:ascii="Times New Roman" w:eastAsia="Times New Roman" w:hAnsi="Times New Roman" w:cs="Times New Roman"/>
          <w:color w:val="222222"/>
          <w:sz w:val="24"/>
          <w:szCs w:val="24"/>
          <w:lang w:val="en-US"/>
        </w:rPr>
        <w:t xml:space="preserve">, A., &amp; </w:t>
      </w:r>
      <w:proofErr w:type="spellStart"/>
      <w:r w:rsidRPr="00A32C4B">
        <w:rPr>
          <w:rFonts w:ascii="Times New Roman" w:eastAsia="Times New Roman" w:hAnsi="Times New Roman" w:cs="Times New Roman"/>
          <w:color w:val="222222"/>
          <w:sz w:val="24"/>
          <w:szCs w:val="24"/>
          <w:lang w:val="en-US"/>
        </w:rPr>
        <w:t>Lanfear</w:t>
      </w:r>
      <w:proofErr w:type="spellEnd"/>
      <w:r w:rsidRPr="00A32C4B">
        <w:rPr>
          <w:rFonts w:ascii="Times New Roman" w:eastAsia="Times New Roman" w:hAnsi="Times New Roman" w:cs="Times New Roman"/>
          <w:color w:val="222222"/>
          <w:sz w:val="24"/>
          <w:szCs w:val="24"/>
          <w:lang w:val="en-US"/>
        </w:rPr>
        <w:t xml:space="preserve">, R. (2020). IQ-TREE 2: New Models and Efficient Methods for Phylogenetic Inference in the Genomic Era. </w:t>
      </w:r>
      <w:proofErr w:type="spellStart"/>
      <w:r w:rsidRPr="00E547FD">
        <w:rPr>
          <w:rFonts w:ascii="Times New Roman" w:eastAsia="Times New Roman" w:hAnsi="Times New Roman" w:cs="Times New Roman"/>
          <w:color w:val="222222"/>
          <w:sz w:val="24"/>
          <w:szCs w:val="24"/>
        </w:rPr>
        <w:t>Molecular</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Biology</w:t>
      </w:r>
      <w:proofErr w:type="spellEnd"/>
      <w:r w:rsidRPr="00E547FD">
        <w:rPr>
          <w:rFonts w:ascii="Times New Roman" w:eastAsia="Times New Roman" w:hAnsi="Times New Roman" w:cs="Times New Roman"/>
          <w:color w:val="222222"/>
          <w:sz w:val="24"/>
          <w:szCs w:val="24"/>
        </w:rPr>
        <w:t xml:space="preserve"> and Evolution, 37(5), 1530–1534. </w:t>
      </w:r>
      <w:hyperlink r:id="rId14" w:history="1">
        <w:r w:rsidRPr="00E547FD">
          <w:rPr>
            <w:rStyle w:val="Hyperlink"/>
            <w:rFonts w:ascii="Times New Roman" w:eastAsia="Times New Roman" w:hAnsi="Times New Roman" w:cs="Times New Roman"/>
            <w:sz w:val="24"/>
            <w:szCs w:val="24"/>
          </w:rPr>
          <w:t>https://doi.org/10.1093/molbev/msaa015</w:t>
        </w:r>
      </w:hyperlink>
    </w:p>
    <w:p w14:paraId="0BFA5241"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32C4B">
        <w:rPr>
          <w:rFonts w:ascii="Times New Roman" w:eastAsia="Times New Roman" w:hAnsi="Times New Roman" w:cs="Times New Roman"/>
          <w:color w:val="222222"/>
          <w:sz w:val="24"/>
          <w:szCs w:val="24"/>
          <w:lang w:val="en-US"/>
        </w:rPr>
        <w:t>Katoh</w:t>
      </w:r>
      <w:proofErr w:type="spellEnd"/>
      <w:r w:rsidRPr="00A32C4B">
        <w:rPr>
          <w:rFonts w:ascii="Times New Roman" w:eastAsia="Times New Roman" w:hAnsi="Times New Roman" w:cs="Times New Roman"/>
          <w:color w:val="222222"/>
          <w:sz w:val="24"/>
          <w:szCs w:val="24"/>
          <w:lang w:val="en-US"/>
        </w:rPr>
        <w:t xml:space="preserve">, K., &amp; </w:t>
      </w:r>
      <w:proofErr w:type="spellStart"/>
      <w:r w:rsidRPr="00A32C4B">
        <w:rPr>
          <w:rFonts w:ascii="Times New Roman" w:eastAsia="Times New Roman" w:hAnsi="Times New Roman" w:cs="Times New Roman"/>
          <w:color w:val="222222"/>
          <w:sz w:val="24"/>
          <w:szCs w:val="24"/>
          <w:lang w:val="en-US"/>
        </w:rPr>
        <w:t>Standley</w:t>
      </w:r>
      <w:proofErr w:type="spellEnd"/>
      <w:r w:rsidRPr="00A32C4B">
        <w:rPr>
          <w:rFonts w:ascii="Times New Roman" w:eastAsia="Times New Roman" w:hAnsi="Times New Roman" w:cs="Times New Roman"/>
          <w:color w:val="222222"/>
          <w:sz w:val="24"/>
          <w:szCs w:val="24"/>
          <w:lang w:val="en-US"/>
        </w:rPr>
        <w:t xml:space="preserve">, D. M. (2013). MAFFT Multiple Sequence Alignment Software Version 7: Improvements in Performance and Usability. </w:t>
      </w:r>
      <w:proofErr w:type="spellStart"/>
      <w:r w:rsidRPr="00E547FD">
        <w:rPr>
          <w:rFonts w:ascii="Times New Roman" w:eastAsia="Times New Roman" w:hAnsi="Times New Roman" w:cs="Times New Roman"/>
          <w:color w:val="222222"/>
          <w:sz w:val="24"/>
          <w:szCs w:val="24"/>
        </w:rPr>
        <w:t>Molecular</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Biology</w:t>
      </w:r>
      <w:proofErr w:type="spellEnd"/>
      <w:r w:rsidRPr="00E547FD">
        <w:rPr>
          <w:rFonts w:ascii="Times New Roman" w:eastAsia="Times New Roman" w:hAnsi="Times New Roman" w:cs="Times New Roman"/>
          <w:color w:val="222222"/>
          <w:sz w:val="24"/>
          <w:szCs w:val="24"/>
        </w:rPr>
        <w:t xml:space="preserve"> and Evolution, 30(4), 772–780. </w:t>
      </w:r>
      <w:hyperlink r:id="rId15" w:history="1">
        <w:r w:rsidRPr="00E547FD">
          <w:rPr>
            <w:rStyle w:val="Hyperlink"/>
            <w:rFonts w:ascii="Times New Roman" w:eastAsia="Times New Roman" w:hAnsi="Times New Roman" w:cs="Times New Roman"/>
            <w:sz w:val="24"/>
            <w:szCs w:val="24"/>
          </w:rPr>
          <w:t>https://doi.org/10.1093/molbev/mst010</w:t>
        </w:r>
      </w:hyperlink>
    </w:p>
    <w:p w14:paraId="1D325039"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E547FD">
        <w:rPr>
          <w:rFonts w:ascii="Times New Roman" w:eastAsia="Times New Roman" w:hAnsi="Times New Roman" w:cs="Times New Roman"/>
          <w:color w:val="222222"/>
          <w:sz w:val="24"/>
          <w:szCs w:val="24"/>
        </w:rPr>
        <w:t>Kinganda-Lusamaki</w:t>
      </w:r>
      <w:proofErr w:type="spellEnd"/>
      <w:r w:rsidRPr="00E547FD">
        <w:rPr>
          <w:rFonts w:ascii="Times New Roman" w:eastAsia="Times New Roman" w:hAnsi="Times New Roman" w:cs="Times New Roman"/>
          <w:color w:val="222222"/>
          <w:sz w:val="24"/>
          <w:szCs w:val="24"/>
        </w:rPr>
        <w:t xml:space="preserve">, E., </w:t>
      </w:r>
      <w:proofErr w:type="spellStart"/>
      <w:r w:rsidRPr="00E547FD">
        <w:rPr>
          <w:rFonts w:ascii="Times New Roman" w:eastAsia="Times New Roman" w:hAnsi="Times New Roman" w:cs="Times New Roman"/>
          <w:color w:val="222222"/>
          <w:sz w:val="24"/>
          <w:szCs w:val="24"/>
        </w:rPr>
        <w:t>Amuri</w:t>
      </w:r>
      <w:proofErr w:type="spellEnd"/>
      <w:r w:rsidRPr="00E547FD">
        <w:rPr>
          <w:rFonts w:ascii="Times New Roman" w:eastAsia="Times New Roman" w:hAnsi="Times New Roman" w:cs="Times New Roman"/>
          <w:color w:val="222222"/>
          <w:sz w:val="24"/>
          <w:szCs w:val="24"/>
        </w:rPr>
        <w:t xml:space="preserve">-Aziza, A., Fernandez-Nuñez, N., </w:t>
      </w:r>
      <w:proofErr w:type="spellStart"/>
      <w:r w:rsidRPr="00E547FD">
        <w:rPr>
          <w:rFonts w:ascii="Times New Roman" w:eastAsia="Times New Roman" w:hAnsi="Times New Roman" w:cs="Times New Roman"/>
          <w:color w:val="222222"/>
          <w:sz w:val="24"/>
          <w:szCs w:val="24"/>
        </w:rPr>
        <w:t>Makangara-Cigolo</w:t>
      </w:r>
      <w:proofErr w:type="spellEnd"/>
      <w:r w:rsidRPr="00E547FD">
        <w:rPr>
          <w:rFonts w:ascii="Times New Roman" w:eastAsia="Times New Roman" w:hAnsi="Times New Roman" w:cs="Times New Roman"/>
          <w:color w:val="222222"/>
          <w:sz w:val="24"/>
          <w:szCs w:val="24"/>
        </w:rPr>
        <w:t xml:space="preserve">, J.-C., Pratt, C., </w:t>
      </w:r>
      <w:proofErr w:type="spellStart"/>
      <w:r w:rsidRPr="00E547FD">
        <w:rPr>
          <w:rFonts w:ascii="Times New Roman" w:eastAsia="Times New Roman" w:hAnsi="Times New Roman" w:cs="Times New Roman"/>
          <w:color w:val="222222"/>
          <w:sz w:val="24"/>
          <w:szCs w:val="24"/>
        </w:rPr>
        <w:t>Vakaniaki</w:t>
      </w:r>
      <w:proofErr w:type="spellEnd"/>
      <w:r w:rsidRPr="00E547FD">
        <w:rPr>
          <w:rFonts w:ascii="Times New Roman" w:eastAsia="Times New Roman" w:hAnsi="Times New Roman" w:cs="Times New Roman"/>
          <w:color w:val="222222"/>
          <w:sz w:val="24"/>
          <w:szCs w:val="24"/>
        </w:rPr>
        <w:t xml:space="preserve">, E. H., Hoff, N. A., </w:t>
      </w:r>
      <w:proofErr w:type="spellStart"/>
      <w:r w:rsidRPr="00E547FD">
        <w:rPr>
          <w:rFonts w:ascii="Times New Roman" w:eastAsia="Times New Roman" w:hAnsi="Times New Roman" w:cs="Times New Roman"/>
          <w:color w:val="222222"/>
          <w:sz w:val="24"/>
          <w:szCs w:val="24"/>
        </w:rPr>
        <w:t>Luakanda-Ndelemo</w:t>
      </w:r>
      <w:proofErr w:type="spellEnd"/>
      <w:r w:rsidRPr="00E547FD">
        <w:rPr>
          <w:rFonts w:ascii="Times New Roman" w:eastAsia="Times New Roman" w:hAnsi="Times New Roman" w:cs="Times New Roman"/>
          <w:color w:val="222222"/>
          <w:sz w:val="24"/>
          <w:szCs w:val="24"/>
        </w:rPr>
        <w:t xml:space="preserve">, G., </w:t>
      </w:r>
      <w:proofErr w:type="spellStart"/>
      <w:r w:rsidRPr="00E547FD">
        <w:rPr>
          <w:rFonts w:ascii="Times New Roman" w:eastAsia="Times New Roman" w:hAnsi="Times New Roman" w:cs="Times New Roman"/>
          <w:color w:val="222222"/>
          <w:sz w:val="24"/>
          <w:szCs w:val="24"/>
        </w:rPr>
        <w:t>Akil-Bandali</w:t>
      </w:r>
      <w:proofErr w:type="spellEnd"/>
      <w:r w:rsidRPr="00E547FD">
        <w:rPr>
          <w:rFonts w:ascii="Times New Roman" w:eastAsia="Times New Roman" w:hAnsi="Times New Roman" w:cs="Times New Roman"/>
          <w:color w:val="222222"/>
          <w:sz w:val="24"/>
          <w:szCs w:val="24"/>
        </w:rPr>
        <w:t xml:space="preserve">, P., </w:t>
      </w:r>
      <w:proofErr w:type="spellStart"/>
      <w:r w:rsidRPr="00E547FD">
        <w:rPr>
          <w:rFonts w:ascii="Times New Roman" w:eastAsia="Times New Roman" w:hAnsi="Times New Roman" w:cs="Times New Roman"/>
          <w:color w:val="222222"/>
          <w:sz w:val="24"/>
          <w:szCs w:val="24"/>
        </w:rPr>
        <w:t>Nundu</w:t>
      </w:r>
      <w:proofErr w:type="spellEnd"/>
      <w:r w:rsidRPr="00E547FD">
        <w:rPr>
          <w:rFonts w:ascii="Times New Roman" w:eastAsia="Times New Roman" w:hAnsi="Times New Roman" w:cs="Times New Roman"/>
          <w:color w:val="222222"/>
          <w:sz w:val="24"/>
          <w:szCs w:val="24"/>
        </w:rPr>
        <w:t xml:space="preserve">, S. S., </w:t>
      </w:r>
      <w:proofErr w:type="spellStart"/>
      <w:r w:rsidRPr="00E547FD">
        <w:rPr>
          <w:rFonts w:ascii="Times New Roman" w:eastAsia="Times New Roman" w:hAnsi="Times New Roman" w:cs="Times New Roman"/>
          <w:color w:val="222222"/>
          <w:sz w:val="24"/>
          <w:szCs w:val="24"/>
        </w:rPr>
        <w:t>Mulopo-Mukanya</w:t>
      </w:r>
      <w:proofErr w:type="spellEnd"/>
      <w:r w:rsidRPr="00E547FD">
        <w:rPr>
          <w:rFonts w:ascii="Times New Roman" w:eastAsia="Times New Roman" w:hAnsi="Times New Roman" w:cs="Times New Roman"/>
          <w:color w:val="222222"/>
          <w:sz w:val="24"/>
          <w:szCs w:val="24"/>
        </w:rPr>
        <w:t xml:space="preserve">, N., </w:t>
      </w:r>
      <w:proofErr w:type="spellStart"/>
      <w:r w:rsidRPr="00E547FD">
        <w:rPr>
          <w:rFonts w:ascii="Times New Roman" w:eastAsia="Times New Roman" w:hAnsi="Times New Roman" w:cs="Times New Roman"/>
          <w:color w:val="222222"/>
          <w:sz w:val="24"/>
          <w:szCs w:val="24"/>
        </w:rPr>
        <w:t>Ngimba</w:t>
      </w:r>
      <w:proofErr w:type="spellEnd"/>
      <w:r w:rsidRPr="00E547FD">
        <w:rPr>
          <w:rFonts w:ascii="Times New Roman" w:eastAsia="Times New Roman" w:hAnsi="Times New Roman" w:cs="Times New Roman"/>
          <w:color w:val="222222"/>
          <w:sz w:val="24"/>
          <w:szCs w:val="24"/>
        </w:rPr>
        <w:t xml:space="preserve">, M., </w:t>
      </w:r>
      <w:proofErr w:type="spellStart"/>
      <w:r w:rsidRPr="00E547FD">
        <w:rPr>
          <w:rFonts w:ascii="Times New Roman" w:eastAsia="Times New Roman" w:hAnsi="Times New Roman" w:cs="Times New Roman"/>
          <w:color w:val="222222"/>
          <w:sz w:val="24"/>
          <w:szCs w:val="24"/>
        </w:rPr>
        <w:t>Modadra-Madakpa</w:t>
      </w:r>
      <w:proofErr w:type="spellEnd"/>
      <w:r w:rsidRPr="00E547FD">
        <w:rPr>
          <w:rFonts w:ascii="Times New Roman" w:eastAsia="Times New Roman" w:hAnsi="Times New Roman" w:cs="Times New Roman"/>
          <w:color w:val="222222"/>
          <w:sz w:val="24"/>
          <w:szCs w:val="24"/>
        </w:rPr>
        <w:t xml:space="preserve">, B., </w:t>
      </w:r>
      <w:proofErr w:type="spellStart"/>
      <w:r w:rsidRPr="00E547FD">
        <w:rPr>
          <w:rFonts w:ascii="Times New Roman" w:eastAsia="Times New Roman" w:hAnsi="Times New Roman" w:cs="Times New Roman"/>
          <w:color w:val="222222"/>
          <w:sz w:val="24"/>
          <w:szCs w:val="24"/>
        </w:rPr>
        <w:t>Diavita</w:t>
      </w:r>
      <w:proofErr w:type="spellEnd"/>
      <w:r w:rsidRPr="00E547FD">
        <w:rPr>
          <w:rFonts w:ascii="Times New Roman" w:eastAsia="Times New Roman" w:hAnsi="Times New Roman" w:cs="Times New Roman"/>
          <w:color w:val="222222"/>
          <w:sz w:val="24"/>
          <w:szCs w:val="24"/>
        </w:rPr>
        <w:t xml:space="preserve">, R., </w:t>
      </w:r>
      <w:proofErr w:type="spellStart"/>
      <w:r w:rsidRPr="00E547FD">
        <w:rPr>
          <w:rFonts w:ascii="Times New Roman" w:eastAsia="Times New Roman" w:hAnsi="Times New Roman" w:cs="Times New Roman"/>
          <w:color w:val="222222"/>
          <w:sz w:val="24"/>
          <w:szCs w:val="24"/>
        </w:rPr>
        <w:t>Paku-Tshambu</w:t>
      </w:r>
      <w:proofErr w:type="spellEnd"/>
      <w:r w:rsidRPr="00E547FD">
        <w:rPr>
          <w:rFonts w:ascii="Times New Roman" w:eastAsia="Times New Roman" w:hAnsi="Times New Roman" w:cs="Times New Roman"/>
          <w:color w:val="222222"/>
          <w:sz w:val="24"/>
          <w:szCs w:val="24"/>
        </w:rPr>
        <w:t xml:space="preserve">, P., </w:t>
      </w:r>
      <w:proofErr w:type="spellStart"/>
      <w:r w:rsidRPr="00E547FD">
        <w:rPr>
          <w:rFonts w:ascii="Times New Roman" w:eastAsia="Times New Roman" w:hAnsi="Times New Roman" w:cs="Times New Roman"/>
          <w:color w:val="222222"/>
          <w:sz w:val="24"/>
          <w:szCs w:val="24"/>
        </w:rPr>
        <w:t>Pukuta-Simbu</w:t>
      </w:r>
      <w:proofErr w:type="spellEnd"/>
      <w:r w:rsidRPr="00E547FD">
        <w:rPr>
          <w:rFonts w:ascii="Times New Roman" w:eastAsia="Times New Roman" w:hAnsi="Times New Roman" w:cs="Times New Roman"/>
          <w:color w:val="222222"/>
          <w:sz w:val="24"/>
          <w:szCs w:val="24"/>
        </w:rPr>
        <w:t xml:space="preserve">, E., Merritt, S., </w:t>
      </w:r>
      <w:proofErr w:type="spellStart"/>
      <w:r w:rsidRPr="00E547FD">
        <w:rPr>
          <w:rFonts w:ascii="Times New Roman" w:eastAsia="Times New Roman" w:hAnsi="Times New Roman" w:cs="Times New Roman"/>
          <w:color w:val="222222"/>
          <w:sz w:val="24"/>
          <w:szCs w:val="24"/>
        </w:rPr>
        <w:t>O’Toole</w:t>
      </w:r>
      <w:proofErr w:type="spellEnd"/>
      <w:r w:rsidRPr="00E547FD">
        <w:rPr>
          <w:rFonts w:ascii="Times New Roman" w:eastAsia="Times New Roman" w:hAnsi="Times New Roman" w:cs="Times New Roman"/>
          <w:color w:val="222222"/>
          <w:sz w:val="24"/>
          <w:szCs w:val="24"/>
        </w:rPr>
        <w:t xml:space="preserve">, Á., Low, N., … </w:t>
      </w:r>
      <w:proofErr w:type="spellStart"/>
      <w:r w:rsidRPr="00A32C4B">
        <w:rPr>
          <w:rFonts w:ascii="Times New Roman" w:eastAsia="Times New Roman" w:hAnsi="Times New Roman" w:cs="Times New Roman"/>
          <w:color w:val="222222"/>
          <w:sz w:val="24"/>
          <w:szCs w:val="24"/>
          <w:lang w:val="en-US"/>
        </w:rPr>
        <w:t>Ahuka-Mundeke</w:t>
      </w:r>
      <w:proofErr w:type="spellEnd"/>
      <w:r w:rsidRPr="00A32C4B">
        <w:rPr>
          <w:rFonts w:ascii="Times New Roman" w:eastAsia="Times New Roman" w:hAnsi="Times New Roman" w:cs="Times New Roman"/>
          <w:color w:val="222222"/>
          <w:sz w:val="24"/>
          <w:szCs w:val="24"/>
          <w:lang w:val="en-US"/>
        </w:rPr>
        <w:t xml:space="preserve">, S. (2025a). Clade I </w:t>
      </w:r>
      <w:proofErr w:type="spellStart"/>
      <w:r w:rsidRPr="00A32C4B">
        <w:rPr>
          <w:rFonts w:ascii="Times New Roman" w:eastAsia="Times New Roman" w:hAnsi="Times New Roman" w:cs="Times New Roman"/>
          <w:color w:val="222222"/>
          <w:sz w:val="24"/>
          <w:szCs w:val="24"/>
          <w:lang w:val="en-US"/>
        </w:rPr>
        <w:t>mpox</w:t>
      </w:r>
      <w:proofErr w:type="spellEnd"/>
      <w:r w:rsidRPr="00A32C4B">
        <w:rPr>
          <w:rFonts w:ascii="Times New Roman" w:eastAsia="Times New Roman" w:hAnsi="Times New Roman" w:cs="Times New Roman"/>
          <w:color w:val="222222"/>
          <w:sz w:val="24"/>
          <w:szCs w:val="24"/>
          <w:lang w:val="en-US"/>
        </w:rPr>
        <w:t xml:space="preserve"> virus genomic diversity in the </w:t>
      </w:r>
      <w:r w:rsidRPr="00A32C4B">
        <w:rPr>
          <w:rFonts w:ascii="Times New Roman" w:eastAsia="Times New Roman" w:hAnsi="Times New Roman" w:cs="Times New Roman"/>
          <w:color w:val="222222"/>
          <w:sz w:val="24"/>
          <w:szCs w:val="24"/>
          <w:lang w:val="en-US"/>
        </w:rPr>
        <w:lastRenderedPageBreak/>
        <w:t xml:space="preserve">Democratic Republic of the Congo, 2018–2024: Predominance of zoonotic transmission. </w:t>
      </w:r>
      <w:proofErr w:type="spellStart"/>
      <w:r w:rsidRPr="00E547FD">
        <w:rPr>
          <w:rFonts w:ascii="Times New Roman" w:eastAsia="Times New Roman" w:hAnsi="Times New Roman" w:cs="Times New Roman"/>
          <w:color w:val="222222"/>
          <w:sz w:val="24"/>
          <w:szCs w:val="24"/>
        </w:rPr>
        <w:t>Cell</w:t>
      </w:r>
      <w:proofErr w:type="spellEnd"/>
      <w:r w:rsidRPr="00E547FD">
        <w:rPr>
          <w:rFonts w:ascii="Times New Roman" w:eastAsia="Times New Roman" w:hAnsi="Times New Roman" w:cs="Times New Roman"/>
          <w:color w:val="222222"/>
          <w:sz w:val="24"/>
          <w:szCs w:val="24"/>
        </w:rPr>
        <w:t xml:space="preserve">, 188(1), 4-14.e6. </w:t>
      </w:r>
      <w:hyperlink r:id="rId16" w:history="1">
        <w:r w:rsidRPr="00E547FD">
          <w:rPr>
            <w:rStyle w:val="Hyperlink"/>
            <w:rFonts w:ascii="Times New Roman" w:eastAsia="Times New Roman" w:hAnsi="Times New Roman" w:cs="Times New Roman"/>
            <w:sz w:val="24"/>
            <w:szCs w:val="24"/>
          </w:rPr>
          <w:t>https://doi.org/10.1016/j.cell.2024.10.017</w:t>
        </w:r>
      </w:hyperlink>
    </w:p>
    <w:p w14:paraId="2E3C4E8F" w14:textId="77777777" w:rsidR="00A32C4B" w:rsidRP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lang w:val="en-US"/>
        </w:rPr>
      </w:pPr>
      <w:proofErr w:type="spellStart"/>
      <w:r w:rsidRPr="00E547FD">
        <w:rPr>
          <w:rFonts w:ascii="Times New Roman" w:eastAsia="Times New Roman" w:hAnsi="Times New Roman" w:cs="Times New Roman"/>
          <w:color w:val="222222"/>
          <w:sz w:val="24"/>
          <w:szCs w:val="24"/>
        </w:rPr>
        <w:t>Wawina-Bokalanga</w:t>
      </w:r>
      <w:proofErr w:type="spellEnd"/>
      <w:r w:rsidRPr="00E547FD">
        <w:rPr>
          <w:rFonts w:ascii="Times New Roman" w:eastAsia="Times New Roman" w:hAnsi="Times New Roman" w:cs="Times New Roman"/>
          <w:color w:val="222222"/>
          <w:sz w:val="24"/>
          <w:szCs w:val="24"/>
        </w:rPr>
        <w:t xml:space="preserve">, T., Merritt, S., </w:t>
      </w:r>
      <w:proofErr w:type="spellStart"/>
      <w:r w:rsidRPr="00E547FD">
        <w:rPr>
          <w:rFonts w:ascii="Times New Roman" w:eastAsia="Times New Roman" w:hAnsi="Times New Roman" w:cs="Times New Roman"/>
          <w:color w:val="222222"/>
          <w:sz w:val="24"/>
          <w:szCs w:val="24"/>
        </w:rPr>
        <w:t>Kinganda-Lusamaki</w:t>
      </w:r>
      <w:proofErr w:type="spellEnd"/>
      <w:r w:rsidRPr="00E547FD">
        <w:rPr>
          <w:rFonts w:ascii="Times New Roman" w:eastAsia="Times New Roman" w:hAnsi="Times New Roman" w:cs="Times New Roman"/>
          <w:color w:val="222222"/>
          <w:sz w:val="24"/>
          <w:szCs w:val="24"/>
        </w:rPr>
        <w:t xml:space="preserve">, E., Jansen, D., </w:t>
      </w:r>
      <w:proofErr w:type="spellStart"/>
      <w:r w:rsidRPr="00E547FD">
        <w:rPr>
          <w:rFonts w:ascii="Times New Roman" w:eastAsia="Times New Roman" w:hAnsi="Times New Roman" w:cs="Times New Roman"/>
          <w:color w:val="222222"/>
          <w:sz w:val="24"/>
          <w:szCs w:val="24"/>
        </w:rPr>
        <w:t>Halbrook</w:t>
      </w:r>
      <w:proofErr w:type="spellEnd"/>
      <w:r w:rsidRPr="00E547FD">
        <w:rPr>
          <w:rFonts w:ascii="Times New Roman" w:eastAsia="Times New Roman" w:hAnsi="Times New Roman" w:cs="Times New Roman"/>
          <w:color w:val="222222"/>
          <w:sz w:val="24"/>
          <w:szCs w:val="24"/>
        </w:rPr>
        <w:t xml:space="preserve">, M., </w:t>
      </w:r>
      <w:proofErr w:type="spellStart"/>
      <w:r w:rsidRPr="00E547FD">
        <w:rPr>
          <w:rFonts w:ascii="Times New Roman" w:eastAsia="Times New Roman" w:hAnsi="Times New Roman" w:cs="Times New Roman"/>
          <w:color w:val="222222"/>
          <w:sz w:val="24"/>
          <w:szCs w:val="24"/>
        </w:rPr>
        <w:t>O’Toole</w:t>
      </w:r>
      <w:proofErr w:type="spellEnd"/>
      <w:r w:rsidRPr="00E547FD">
        <w:rPr>
          <w:rFonts w:ascii="Times New Roman" w:eastAsia="Times New Roman" w:hAnsi="Times New Roman" w:cs="Times New Roman"/>
          <w:color w:val="222222"/>
          <w:sz w:val="24"/>
          <w:szCs w:val="24"/>
        </w:rPr>
        <w:t xml:space="preserve">, Á., </w:t>
      </w:r>
      <w:proofErr w:type="spellStart"/>
      <w:r w:rsidRPr="00E547FD">
        <w:rPr>
          <w:rFonts w:ascii="Times New Roman" w:eastAsia="Times New Roman" w:hAnsi="Times New Roman" w:cs="Times New Roman"/>
          <w:color w:val="222222"/>
          <w:sz w:val="24"/>
          <w:szCs w:val="24"/>
        </w:rPr>
        <w:t>Pukuta-Simbu</w:t>
      </w:r>
      <w:proofErr w:type="spellEnd"/>
      <w:r w:rsidRPr="00E547FD">
        <w:rPr>
          <w:rFonts w:ascii="Times New Roman" w:eastAsia="Times New Roman" w:hAnsi="Times New Roman" w:cs="Times New Roman"/>
          <w:color w:val="222222"/>
          <w:sz w:val="24"/>
          <w:szCs w:val="24"/>
        </w:rPr>
        <w:t xml:space="preserve">, E., </w:t>
      </w:r>
      <w:proofErr w:type="spellStart"/>
      <w:r w:rsidRPr="00E547FD">
        <w:rPr>
          <w:rFonts w:ascii="Times New Roman" w:eastAsia="Times New Roman" w:hAnsi="Times New Roman" w:cs="Times New Roman"/>
          <w:color w:val="222222"/>
          <w:sz w:val="24"/>
          <w:szCs w:val="24"/>
        </w:rPr>
        <w:t>Hasivirwe</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Vakaniaki</w:t>
      </w:r>
      <w:proofErr w:type="spellEnd"/>
      <w:r w:rsidRPr="00E547FD">
        <w:rPr>
          <w:rFonts w:ascii="Times New Roman" w:eastAsia="Times New Roman" w:hAnsi="Times New Roman" w:cs="Times New Roman"/>
          <w:color w:val="222222"/>
          <w:sz w:val="24"/>
          <w:szCs w:val="24"/>
        </w:rPr>
        <w:t>, E., Ola-</w:t>
      </w:r>
      <w:proofErr w:type="spellStart"/>
      <w:r w:rsidRPr="00E547FD">
        <w:rPr>
          <w:rFonts w:ascii="Times New Roman" w:eastAsia="Times New Roman" w:hAnsi="Times New Roman" w:cs="Times New Roman"/>
          <w:color w:val="222222"/>
          <w:sz w:val="24"/>
          <w:szCs w:val="24"/>
        </w:rPr>
        <w:t>Mpumbe</w:t>
      </w:r>
      <w:proofErr w:type="spellEnd"/>
      <w:r w:rsidRPr="00E547FD">
        <w:rPr>
          <w:rFonts w:ascii="Times New Roman" w:eastAsia="Times New Roman" w:hAnsi="Times New Roman" w:cs="Times New Roman"/>
          <w:color w:val="222222"/>
          <w:sz w:val="24"/>
          <w:szCs w:val="24"/>
        </w:rPr>
        <w:t xml:space="preserve">, R., </w:t>
      </w:r>
      <w:proofErr w:type="spellStart"/>
      <w:r w:rsidRPr="00E547FD">
        <w:rPr>
          <w:rFonts w:ascii="Times New Roman" w:eastAsia="Times New Roman" w:hAnsi="Times New Roman" w:cs="Times New Roman"/>
          <w:color w:val="222222"/>
          <w:sz w:val="24"/>
          <w:szCs w:val="24"/>
        </w:rPr>
        <w:t>Kwete-Mbokama</w:t>
      </w:r>
      <w:proofErr w:type="spellEnd"/>
      <w:r w:rsidRPr="00E547FD">
        <w:rPr>
          <w:rFonts w:ascii="Times New Roman" w:eastAsia="Times New Roman" w:hAnsi="Times New Roman" w:cs="Times New Roman"/>
          <w:color w:val="222222"/>
          <w:sz w:val="24"/>
          <w:szCs w:val="24"/>
        </w:rPr>
        <w:t xml:space="preserve">, P., </w:t>
      </w:r>
      <w:proofErr w:type="spellStart"/>
      <w:r w:rsidRPr="00E547FD">
        <w:rPr>
          <w:rFonts w:ascii="Times New Roman" w:eastAsia="Times New Roman" w:hAnsi="Times New Roman" w:cs="Times New Roman"/>
          <w:color w:val="222222"/>
          <w:sz w:val="24"/>
          <w:szCs w:val="24"/>
        </w:rPr>
        <w:t>Akil-Bandali</w:t>
      </w:r>
      <w:proofErr w:type="spellEnd"/>
      <w:r w:rsidRPr="00E547FD">
        <w:rPr>
          <w:rFonts w:ascii="Times New Roman" w:eastAsia="Times New Roman" w:hAnsi="Times New Roman" w:cs="Times New Roman"/>
          <w:color w:val="222222"/>
          <w:sz w:val="24"/>
          <w:szCs w:val="24"/>
        </w:rPr>
        <w:t xml:space="preserve">, P., </w:t>
      </w:r>
      <w:proofErr w:type="spellStart"/>
      <w:r w:rsidRPr="00E547FD">
        <w:rPr>
          <w:rFonts w:ascii="Times New Roman" w:eastAsia="Times New Roman" w:hAnsi="Times New Roman" w:cs="Times New Roman"/>
          <w:color w:val="222222"/>
          <w:sz w:val="24"/>
          <w:szCs w:val="24"/>
        </w:rPr>
        <w:t>Kacita</w:t>
      </w:r>
      <w:proofErr w:type="spellEnd"/>
      <w:r w:rsidRPr="00E547FD">
        <w:rPr>
          <w:rFonts w:ascii="Times New Roman" w:eastAsia="Times New Roman" w:hAnsi="Times New Roman" w:cs="Times New Roman"/>
          <w:color w:val="222222"/>
          <w:sz w:val="24"/>
          <w:szCs w:val="24"/>
        </w:rPr>
        <w:t xml:space="preserve">, C., </w:t>
      </w:r>
      <w:proofErr w:type="spellStart"/>
      <w:r w:rsidRPr="00E547FD">
        <w:rPr>
          <w:rFonts w:ascii="Times New Roman" w:eastAsia="Times New Roman" w:hAnsi="Times New Roman" w:cs="Times New Roman"/>
          <w:color w:val="222222"/>
          <w:sz w:val="24"/>
          <w:szCs w:val="24"/>
        </w:rPr>
        <w:t>Ponga-Museme</w:t>
      </w:r>
      <w:proofErr w:type="spellEnd"/>
      <w:r w:rsidRPr="00E547FD">
        <w:rPr>
          <w:rFonts w:ascii="Times New Roman" w:eastAsia="Times New Roman" w:hAnsi="Times New Roman" w:cs="Times New Roman"/>
          <w:color w:val="222222"/>
          <w:sz w:val="24"/>
          <w:szCs w:val="24"/>
        </w:rPr>
        <w:t xml:space="preserve">, A., </w:t>
      </w:r>
      <w:proofErr w:type="spellStart"/>
      <w:r w:rsidRPr="00E547FD">
        <w:rPr>
          <w:rFonts w:ascii="Times New Roman" w:eastAsia="Times New Roman" w:hAnsi="Times New Roman" w:cs="Times New Roman"/>
          <w:color w:val="222222"/>
          <w:sz w:val="24"/>
          <w:szCs w:val="24"/>
        </w:rPr>
        <w:t>Mapenzi-Kashali</w:t>
      </w:r>
      <w:proofErr w:type="spellEnd"/>
      <w:r w:rsidRPr="00E547FD">
        <w:rPr>
          <w:rFonts w:ascii="Times New Roman" w:eastAsia="Times New Roman" w:hAnsi="Times New Roman" w:cs="Times New Roman"/>
          <w:color w:val="222222"/>
          <w:sz w:val="24"/>
          <w:szCs w:val="24"/>
        </w:rPr>
        <w:t xml:space="preserve">, N., </w:t>
      </w:r>
      <w:proofErr w:type="spellStart"/>
      <w:r w:rsidRPr="00E547FD">
        <w:rPr>
          <w:rFonts w:ascii="Times New Roman" w:eastAsia="Times New Roman" w:hAnsi="Times New Roman" w:cs="Times New Roman"/>
          <w:color w:val="222222"/>
          <w:sz w:val="24"/>
          <w:szCs w:val="24"/>
        </w:rPr>
        <w:t>Amuri</w:t>
      </w:r>
      <w:proofErr w:type="spellEnd"/>
      <w:r w:rsidRPr="00E547FD">
        <w:rPr>
          <w:rFonts w:ascii="Times New Roman" w:eastAsia="Times New Roman" w:hAnsi="Times New Roman" w:cs="Times New Roman"/>
          <w:color w:val="222222"/>
          <w:sz w:val="24"/>
          <w:szCs w:val="24"/>
        </w:rPr>
        <w:t xml:space="preserve">-Aziza, A., </w:t>
      </w:r>
      <w:proofErr w:type="spellStart"/>
      <w:r w:rsidRPr="00E547FD">
        <w:rPr>
          <w:rFonts w:ascii="Times New Roman" w:eastAsia="Times New Roman" w:hAnsi="Times New Roman" w:cs="Times New Roman"/>
          <w:color w:val="222222"/>
          <w:sz w:val="24"/>
          <w:szCs w:val="24"/>
        </w:rPr>
        <w:t>Tshiani-Mbaya</w:t>
      </w:r>
      <w:proofErr w:type="spellEnd"/>
      <w:r w:rsidRPr="00E547FD">
        <w:rPr>
          <w:rFonts w:ascii="Times New Roman" w:eastAsia="Times New Roman" w:hAnsi="Times New Roman" w:cs="Times New Roman"/>
          <w:color w:val="222222"/>
          <w:sz w:val="24"/>
          <w:szCs w:val="24"/>
        </w:rPr>
        <w:t xml:space="preserve">, O., </w:t>
      </w:r>
      <w:proofErr w:type="spellStart"/>
      <w:r w:rsidRPr="00E547FD">
        <w:rPr>
          <w:rFonts w:ascii="Times New Roman" w:eastAsia="Times New Roman" w:hAnsi="Times New Roman" w:cs="Times New Roman"/>
          <w:color w:val="222222"/>
          <w:sz w:val="24"/>
          <w:szCs w:val="24"/>
        </w:rPr>
        <w:t>Paku-Tshambu</w:t>
      </w:r>
      <w:proofErr w:type="spellEnd"/>
      <w:r w:rsidRPr="00E547FD">
        <w:rPr>
          <w:rFonts w:ascii="Times New Roman" w:eastAsia="Times New Roman" w:hAnsi="Times New Roman" w:cs="Times New Roman"/>
          <w:color w:val="222222"/>
          <w:sz w:val="24"/>
          <w:szCs w:val="24"/>
        </w:rPr>
        <w:t xml:space="preserve">, P., Dantas, P. H. L. F., De Block, T., … </w:t>
      </w:r>
      <w:proofErr w:type="spellStart"/>
      <w:r w:rsidRPr="00A32C4B">
        <w:rPr>
          <w:rFonts w:ascii="Times New Roman" w:eastAsia="Times New Roman" w:hAnsi="Times New Roman" w:cs="Times New Roman"/>
          <w:color w:val="222222"/>
          <w:sz w:val="24"/>
          <w:szCs w:val="24"/>
          <w:lang w:val="en-US"/>
        </w:rPr>
        <w:t>Mbala-Kingebeni</w:t>
      </w:r>
      <w:proofErr w:type="spellEnd"/>
      <w:r w:rsidRPr="00A32C4B">
        <w:rPr>
          <w:rFonts w:ascii="Times New Roman" w:eastAsia="Times New Roman" w:hAnsi="Times New Roman" w:cs="Times New Roman"/>
          <w:color w:val="222222"/>
          <w:sz w:val="24"/>
          <w:szCs w:val="24"/>
          <w:lang w:val="en-US"/>
        </w:rPr>
        <w:t xml:space="preserve">, P. (2025). Epidemiology and phylogenomic </w:t>
      </w:r>
      <w:proofErr w:type="spellStart"/>
      <w:r w:rsidRPr="00A32C4B">
        <w:rPr>
          <w:rFonts w:ascii="Times New Roman" w:eastAsia="Times New Roman" w:hAnsi="Times New Roman" w:cs="Times New Roman"/>
          <w:color w:val="222222"/>
          <w:sz w:val="24"/>
          <w:szCs w:val="24"/>
          <w:lang w:val="en-US"/>
        </w:rPr>
        <w:t>characterisation</w:t>
      </w:r>
      <w:proofErr w:type="spellEnd"/>
      <w:r w:rsidRPr="00A32C4B">
        <w:rPr>
          <w:rFonts w:ascii="Times New Roman" w:eastAsia="Times New Roman" w:hAnsi="Times New Roman" w:cs="Times New Roman"/>
          <w:color w:val="222222"/>
          <w:sz w:val="24"/>
          <w:szCs w:val="24"/>
          <w:lang w:val="en-US"/>
        </w:rPr>
        <w:t xml:space="preserve"> of two distinct </w:t>
      </w:r>
      <w:proofErr w:type="spellStart"/>
      <w:r w:rsidRPr="00A32C4B">
        <w:rPr>
          <w:rFonts w:ascii="Times New Roman" w:eastAsia="Times New Roman" w:hAnsi="Times New Roman" w:cs="Times New Roman"/>
          <w:color w:val="222222"/>
          <w:sz w:val="24"/>
          <w:szCs w:val="24"/>
          <w:lang w:val="en-US"/>
        </w:rPr>
        <w:t>mpox</w:t>
      </w:r>
      <w:proofErr w:type="spellEnd"/>
      <w:r w:rsidRPr="00A32C4B">
        <w:rPr>
          <w:rFonts w:ascii="Times New Roman" w:eastAsia="Times New Roman" w:hAnsi="Times New Roman" w:cs="Times New Roman"/>
          <w:color w:val="222222"/>
          <w:sz w:val="24"/>
          <w:szCs w:val="24"/>
          <w:lang w:val="en-US"/>
        </w:rPr>
        <w:t xml:space="preserve"> outbreaks in Kinshasa, DR Congo, involving a new subclade </w:t>
      </w:r>
      <w:proofErr w:type="spellStart"/>
      <w:r w:rsidRPr="00A32C4B">
        <w:rPr>
          <w:rFonts w:ascii="Times New Roman" w:eastAsia="Times New Roman" w:hAnsi="Times New Roman" w:cs="Times New Roman"/>
          <w:color w:val="222222"/>
          <w:sz w:val="24"/>
          <w:szCs w:val="24"/>
          <w:lang w:val="en-US"/>
        </w:rPr>
        <w:t>Ia</w:t>
      </w:r>
      <w:proofErr w:type="spellEnd"/>
      <w:r w:rsidRPr="00A32C4B">
        <w:rPr>
          <w:rFonts w:ascii="Times New Roman" w:eastAsia="Times New Roman" w:hAnsi="Times New Roman" w:cs="Times New Roman"/>
          <w:color w:val="222222"/>
          <w:sz w:val="24"/>
          <w:szCs w:val="24"/>
          <w:lang w:val="en-US"/>
        </w:rPr>
        <w:t xml:space="preserve"> lineage: A</w:t>
      </w:r>
    </w:p>
    <w:p w14:paraId="5A9E9219" w14:textId="77777777"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rPr>
      </w:pPr>
      <w:proofErr w:type="spellStart"/>
      <w:r w:rsidRPr="00A32C4B">
        <w:rPr>
          <w:rFonts w:ascii="Times New Roman" w:eastAsia="Times New Roman" w:hAnsi="Times New Roman" w:cs="Times New Roman"/>
          <w:color w:val="222222"/>
          <w:sz w:val="24"/>
          <w:szCs w:val="24"/>
          <w:lang w:val="en-US"/>
        </w:rPr>
        <w:t>Sganzerla</w:t>
      </w:r>
      <w:proofErr w:type="spellEnd"/>
      <w:r w:rsidRPr="00A32C4B">
        <w:rPr>
          <w:rFonts w:ascii="Times New Roman" w:eastAsia="Times New Roman" w:hAnsi="Times New Roman" w:cs="Times New Roman"/>
          <w:color w:val="222222"/>
          <w:sz w:val="24"/>
          <w:szCs w:val="24"/>
          <w:lang w:val="en-US"/>
        </w:rPr>
        <w:t xml:space="preserve"> Martinez, G., Kumar, A., </w:t>
      </w:r>
      <w:proofErr w:type="spellStart"/>
      <w:r w:rsidRPr="00A32C4B">
        <w:rPr>
          <w:rFonts w:ascii="Times New Roman" w:eastAsia="Times New Roman" w:hAnsi="Times New Roman" w:cs="Times New Roman"/>
          <w:color w:val="222222"/>
          <w:sz w:val="24"/>
          <w:szCs w:val="24"/>
          <w:lang w:val="en-US"/>
        </w:rPr>
        <w:t>Kiganda-Lusamaki</w:t>
      </w:r>
      <w:proofErr w:type="spellEnd"/>
      <w:r w:rsidRPr="00A32C4B">
        <w:rPr>
          <w:rFonts w:ascii="Times New Roman" w:eastAsia="Times New Roman" w:hAnsi="Times New Roman" w:cs="Times New Roman"/>
          <w:color w:val="222222"/>
          <w:sz w:val="24"/>
          <w:szCs w:val="24"/>
          <w:lang w:val="en-US"/>
        </w:rPr>
        <w:t xml:space="preserve">, E., </w:t>
      </w:r>
      <w:proofErr w:type="spellStart"/>
      <w:r w:rsidRPr="00A32C4B">
        <w:rPr>
          <w:rFonts w:ascii="Times New Roman" w:eastAsia="Times New Roman" w:hAnsi="Times New Roman" w:cs="Times New Roman"/>
          <w:color w:val="222222"/>
          <w:sz w:val="24"/>
          <w:szCs w:val="24"/>
          <w:lang w:val="en-US"/>
        </w:rPr>
        <w:t>Dutt</w:t>
      </w:r>
      <w:proofErr w:type="spellEnd"/>
      <w:r w:rsidRPr="00A32C4B">
        <w:rPr>
          <w:rFonts w:ascii="Times New Roman" w:eastAsia="Times New Roman" w:hAnsi="Times New Roman" w:cs="Times New Roman"/>
          <w:color w:val="222222"/>
          <w:sz w:val="24"/>
          <w:szCs w:val="24"/>
          <w:lang w:val="en-US"/>
        </w:rPr>
        <w:t xml:space="preserve">, M., </w:t>
      </w:r>
      <w:proofErr w:type="spellStart"/>
      <w:r w:rsidRPr="00A32C4B">
        <w:rPr>
          <w:rFonts w:ascii="Times New Roman" w:eastAsia="Times New Roman" w:hAnsi="Times New Roman" w:cs="Times New Roman"/>
          <w:color w:val="222222"/>
          <w:sz w:val="24"/>
          <w:szCs w:val="24"/>
          <w:lang w:val="en-US"/>
        </w:rPr>
        <w:t>Wawina-Bokalanga</w:t>
      </w:r>
      <w:proofErr w:type="spellEnd"/>
      <w:r w:rsidRPr="00A32C4B">
        <w:rPr>
          <w:rFonts w:ascii="Times New Roman" w:eastAsia="Times New Roman" w:hAnsi="Times New Roman" w:cs="Times New Roman"/>
          <w:color w:val="222222"/>
          <w:sz w:val="24"/>
          <w:szCs w:val="24"/>
          <w:lang w:val="en-US"/>
        </w:rPr>
        <w:t xml:space="preserve">, T., </w:t>
      </w:r>
      <w:proofErr w:type="spellStart"/>
      <w:r w:rsidRPr="00A32C4B">
        <w:rPr>
          <w:rFonts w:ascii="Times New Roman" w:eastAsia="Times New Roman" w:hAnsi="Times New Roman" w:cs="Times New Roman"/>
          <w:color w:val="222222"/>
          <w:sz w:val="24"/>
          <w:szCs w:val="24"/>
          <w:lang w:val="en-US"/>
        </w:rPr>
        <w:t>Ostadgavahi</w:t>
      </w:r>
      <w:proofErr w:type="spellEnd"/>
      <w:r w:rsidRPr="00A32C4B">
        <w:rPr>
          <w:rFonts w:ascii="Times New Roman" w:eastAsia="Times New Roman" w:hAnsi="Times New Roman" w:cs="Times New Roman"/>
          <w:color w:val="222222"/>
          <w:sz w:val="24"/>
          <w:szCs w:val="24"/>
          <w:lang w:val="en-US"/>
        </w:rPr>
        <w:t xml:space="preserve">, A. T., Francisca, M. M., </w:t>
      </w:r>
      <w:proofErr w:type="spellStart"/>
      <w:r w:rsidRPr="00A32C4B">
        <w:rPr>
          <w:rFonts w:ascii="Times New Roman" w:eastAsia="Times New Roman" w:hAnsi="Times New Roman" w:cs="Times New Roman"/>
          <w:color w:val="222222"/>
          <w:sz w:val="24"/>
          <w:szCs w:val="24"/>
          <w:lang w:val="en-US"/>
        </w:rPr>
        <w:t>Makangara-Cigolo</w:t>
      </w:r>
      <w:proofErr w:type="spellEnd"/>
      <w:r w:rsidRPr="00A32C4B">
        <w:rPr>
          <w:rFonts w:ascii="Times New Roman" w:eastAsia="Times New Roman" w:hAnsi="Times New Roman" w:cs="Times New Roman"/>
          <w:color w:val="222222"/>
          <w:sz w:val="24"/>
          <w:szCs w:val="24"/>
          <w:lang w:val="en-US"/>
        </w:rPr>
        <w:t xml:space="preserve">, J. C., Kelvin, P., Adrienne, A. A., Richardson, C. D., </w:t>
      </w:r>
      <w:proofErr w:type="spellStart"/>
      <w:r w:rsidRPr="00A32C4B">
        <w:rPr>
          <w:rFonts w:ascii="Times New Roman" w:eastAsia="Times New Roman" w:hAnsi="Times New Roman" w:cs="Times New Roman"/>
          <w:color w:val="222222"/>
          <w:sz w:val="24"/>
          <w:szCs w:val="24"/>
          <w:lang w:val="en-US"/>
        </w:rPr>
        <w:t>Lokilo</w:t>
      </w:r>
      <w:proofErr w:type="spellEnd"/>
      <w:r w:rsidRPr="00A32C4B">
        <w:rPr>
          <w:rFonts w:ascii="Times New Roman" w:eastAsia="Times New Roman" w:hAnsi="Times New Roman" w:cs="Times New Roman"/>
          <w:color w:val="222222"/>
          <w:sz w:val="24"/>
          <w:szCs w:val="24"/>
          <w:lang w:val="en-US"/>
        </w:rPr>
        <w:t xml:space="preserve">, E., </w:t>
      </w:r>
      <w:proofErr w:type="spellStart"/>
      <w:r w:rsidRPr="00A32C4B">
        <w:rPr>
          <w:rFonts w:ascii="Times New Roman" w:eastAsia="Times New Roman" w:hAnsi="Times New Roman" w:cs="Times New Roman"/>
          <w:color w:val="222222"/>
          <w:sz w:val="24"/>
          <w:szCs w:val="24"/>
          <w:lang w:val="en-US"/>
        </w:rPr>
        <w:t>Luakanda</w:t>
      </w:r>
      <w:proofErr w:type="spellEnd"/>
      <w:r w:rsidRPr="00A32C4B">
        <w:rPr>
          <w:rFonts w:ascii="Times New Roman" w:eastAsia="Times New Roman" w:hAnsi="Times New Roman" w:cs="Times New Roman"/>
          <w:color w:val="222222"/>
          <w:sz w:val="24"/>
          <w:szCs w:val="24"/>
          <w:lang w:val="en-US"/>
        </w:rPr>
        <w:t xml:space="preserve">, G., </w:t>
      </w:r>
      <w:proofErr w:type="spellStart"/>
      <w:r w:rsidRPr="00A32C4B">
        <w:rPr>
          <w:rFonts w:ascii="Times New Roman" w:eastAsia="Times New Roman" w:hAnsi="Times New Roman" w:cs="Times New Roman"/>
          <w:color w:val="222222"/>
          <w:sz w:val="24"/>
          <w:szCs w:val="24"/>
          <w:lang w:val="en-US"/>
        </w:rPr>
        <w:t>Ayouba</w:t>
      </w:r>
      <w:proofErr w:type="spellEnd"/>
      <w:r w:rsidRPr="00A32C4B">
        <w:rPr>
          <w:rFonts w:ascii="Times New Roman" w:eastAsia="Times New Roman" w:hAnsi="Times New Roman" w:cs="Times New Roman"/>
          <w:color w:val="222222"/>
          <w:sz w:val="24"/>
          <w:szCs w:val="24"/>
          <w:lang w:val="en-US"/>
        </w:rPr>
        <w:t xml:space="preserve">, A., </w:t>
      </w:r>
      <w:proofErr w:type="spellStart"/>
      <w:r w:rsidRPr="00A32C4B">
        <w:rPr>
          <w:rFonts w:ascii="Times New Roman" w:eastAsia="Times New Roman" w:hAnsi="Times New Roman" w:cs="Times New Roman"/>
          <w:color w:val="222222"/>
          <w:sz w:val="24"/>
          <w:szCs w:val="24"/>
          <w:lang w:val="en-US"/>
        </w:rPr>
        <w:t>Rimoin</w:t>
      </w:r>
      <w:proofErr w:type="spellEnd"/>
      <w:r w:rsidRPr="00A32C4B">
        <w:rPr>
          <w:rFonts w:ascii="Times New Roman" w:eastAsia="Times New Roman" w:hAnsi="Times New Roman" w:cs="Times New Roman"/>
          <w:color w:val="222222"/>
          <w:sz w:val="24"/>
          <w:szCs w:val="24"/>
          <w:lang w:val="en-US"/>
        </w:rPr>
        <w:t xml:space="preserve">, A. W., </w:t>
      </w:r>
      <w:proofErr w:type="spellStart"/>
      <w:r w:rsidRPr="00A32C4B">
        <w:rPr>
          <w:rFonts w:ascii="Times New Roman" w:eastAsia="Times New Roman" w:hAnsi="Times New Roman" w:cs="Times New Roman"/>
          <w:color w:val="222222"/>
          <w:sz w:val="24"/>
          <w:szCs w:val="24"/>
          <w:lang w:val="en-US"/>
        </w:rPr>
        <w:t>Mukadi-Bamuleka</w:t>
      </w:r>
      <w:proofErr w:type="spellEnd"/>
      <w:r w:rsidRPr="00A32C4B">
        <w:rPr>
          <w:rFonts w:ascii="Times New Roman" w:eastAsia="Times New Roman" w:hAnsi="Times New Roman" w:cs="Times New Roman"/>
          <w:color w:val="222222"/>
          <w:sz w:val="24"/>
          <w:szCs w:val="24"/>
          <w:lang w:val="en-US"/>
        </w:rPr>
        <w:t xml:space="preserve">, D., </w:t>
      </w:r>
      <w:proofErr w:type="spellStart"/>
      <w:r w:rsidRPr="00A32C4B">
        <w:rPr>
          <w:rFonts w:ascii="Times New Roman" w:eastAsia="Times New Roman" w:hAnsi="Times New Roman" w:cs="Times New Roman"/>
          <w:color w:val="222222"/>
          <w:sz w:val="24"/>
          <w:szCs w:val="24"/>
          <w:lang w:val="en-US"/>
        </w:rPr>
        <w:t>Delaporte</w:t>
      </w:r>
      <w:proofErr w:type="spellEnd"/>
      <w:r w:rsidRPr="00A32C4B">
        <w:rPr>
          <w:rFonts w:ascii="Times New Roman" w:eastAsia="Times New Roman" w:hAnsi="Times New Roman" w:cs="Times New Roman"/>
          <w:color w:val="222222"/>
          <w:sz w:val="24"/>
          <w:szCs w:val="24"/>
          <w:lang w:val="en-US"/>
        </w:rPr>
        <w:t xml:space="preserve">, E., </w:t>
      </w:r>
      <w:proofErr w:type="spellStart"/>
      <w:r w:rsidRPr="00A32C4B">
        <w:rPr>
          <w:rFonts w:ascii="Times New Roman" w:eastAsia="Times New Roman" w:hAnsi="Times New Roman" w:cs="Times New Roman"/>
          <w:color w:val="222222"/>
          <w:sz w:val="24"/>
          <w:szCs w:val="24"/>
          <w:lang w:val="en-US"/>
        </w:rPr>
        <w:t>Pilarowski</w:t>
      </w:r>
      <w:proofErr w:type="spellEnd"/>
      <w:r w:rsidRPr="00A32C4B">
        <w:rPr>
          <w:rFonts w:ascii="Times New Roman" w:eastAsia="Times New Roman" w:hAnsi="Times New Roman" w:cs="Times New Roman"/>
          <w:color w:val="222222"/>
          <w:sz w:val="24"/>
          <w:szCs w:val="24"/>
          <w:lang w:val="en-US"/>
        </w:rPr>
        <w:t xml:space="preserve">, G., </w:t>
      </w:r>
      <w:proofErr w:type="spellStart"/>
      <w:r w:rsidRPr="00A32C4B">
        <w:rPr>
          <w:rFonts w:ascii="Times New Roman" w:eastAsia="Times New Roman" w:hAnsi="Times New Roman" w:cs="Times New Roman"/>
          <w:color w:val="222222"/>
          <w:sz w:val="24"/>
          <w:szCs w:val="24"/>
          <w:lang w:val="en-US"/>
        </w:rPr>
        <w:t>Kindrachuk</w:t>
      </w:r>
      <w:proofErr w:type="spellEnd"/>
      <w:r w:rsidRPr="00A32C4B">
        <w:rPr>
          <w:rFonts w:ascii="Times New Roman" w:eastAsia="Times New Roman" w:hAnsi="Times New Roman" w:cs="Times New Roman"/>
          <w:color w:val="222222"/>
          <w:sz w:val="24"/>
          <w:szCs w:val="24"/>
          <w:lang w:val="en-US"/>
        </w:rPr>
        <w:t xml:space="preserve">, J., … Kelvin, D. J. (2024). </w:t>
      </w:r>
      <w:proofErr w:type="spellStart"/>
      <w:r w:rsidRPr="00A32C4B">
        <w:rPr>
          <w:rFonts w:ascii="Times New Roman" w:eastAsia="Times New Roman" w:hAnsi="Times New Roman" w:cs="Times New Roman"/>
          <w:color w:val="222222"/>
          <w:sz w:val="24"/>
          <w:szCs w:val="24"/>
          <w:lang w:val="en-US"/>
        </w:rPr>
        <w:t>Mpox</w:t>
      </w:r>
      <w:proofErr w:type="spellEnd"/>
      <w:r w:rsidRPr="00A32C4B">
        <w:rPr>
          <w:rFonts w:ascii="Times New Roman" w:eastAsia="Times New Roman" w:hAnsi="Times New Roman" w:cs="Times New Roman"/>
          <w:color w:val="222222"/>
          <w:sz w:val="24"/>
          <w:szCs w:val="24"/>
          <w:lang w:val="en-US"/>
        </w:rPr>
        <w:t xml:space="preserve"> virus </w:t>
      </w:r>
      <w:proofErr w:type="spellStart"/>
      <w:r w:rsidRPr="00A32C4B">
        <w:rPr>
          <w:rFonts w:ascii="Times New Roman" w:eastAsia="Times New Roman" w:hAnsi="Times New Roman" w:cs="Times New Roman"/>
          <w:color w:val="222222"/>
          <w:sz w:val="24"/>
          <w:szCs w:val="24"/>
          <w:lang w:val="en-US"/>
        </w:rPr>
        <w:t>pangenomics</w:t>
      </w:r>
      <w:proofErr w:type="spellEnd"/>
      <w:r w:rsidRPr="00A32C4B">
        <w:rPr>
          <w:rFonts w:ascii="Times New Roman" w:eastAsia="Times New Roman" w:hAnsi="Times New Roman" w:cs="Times New Roman"/>
          <w:color w:val="222222"/>
          <w:sz w:val="24"/>
          <w:szCs w:val="24"/>
          <w:lang w:val="en-US"/>
        </w:rPr>
        <w:t xml:space="preserve"> reveals determinants of subclade Ib. </w:t>
      </w:r>
      <w:proofErr w:type="spellStart"/>
      <w:r w:rsidRPr="00E547FD">
        <w:rPr>
          <w:rFonts w:ascii="Times New Roman" w:eastAsia="Times New Roman" w:hAnsi="Times New Roman" w:cs="Times New Roman"/>
          <w:color w:val="222222"/>
          <w:sz w:val="24"/>
          <w:szCs w:val="24"/>
        </w:rPr>
        <w:t>Infectious</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Diseases</w:t>
      </w:r>
      <w:proofErr w:type="spellEnd"/>
      <w:r w:rsidRPr="00E547FD">
        <w:rPr>
          <w:rFonts w:ascii="Times New Roman" w:eastAsia="Times New Roman" w:hAnsi="Times New Roman" w:cs="Times New Roman"/>
          <w:color w:val="222222"/>
          <w:sz w:val="24"/>
          <w:szCs w:val="24"/>
        </w:rPr>
        <w:t xml:space="preserve"> (</w:t>
      </w:r>
      <w:proofErr w:type="spellStart"/>
      <w:r w:rsidRPr="00E547FD">
        <w:rPr>
          <w:rFonts w:ascii="Times New Roman" w:eastAsia="Times New Roman" w:hAnsi="Times New Roman" w:cs="Times New Roman"/>
          <w:color w:val="222222"/>
          <w:sz w:val="24"/>
          <w:szCs w:val="24"/>
        </w:rPr>
        <w:t>except</w:t>
      </w:r>
      <w:proofErr w:type="spellEnd"/>
      <w:r w:rsidRPr="00E547FD">
        <w:rPr>
          <w:rFonts w:ascii="Times New Roman" w:eastAsia="Times New Roman" w:hAnsi="Times New Roman" w:cs="Times New Roman"/>
          <w:color w:val="222222"/>
          <w:sz w:val="24"/>
          <w:szCs w:val="24"/>
        </w:rPr>
        <w:t xml:space="preserve"> HIV/AIDS). </w:t>
      </w:r>
      <w:hyperlink r:id="rId17" w:history="1">
        <w:r w:rsidRPr="00E547FD">
          <w:rPr>
            <w:rStyle w:val="Hyperlink"/>
            <w:rFonts w:ascii="Times New Roman" w:eastAsia="Times New Roman" w:hAnsi="Times New Roman" w:cs="Times New Roman"/>
            <w:sz w:val="24"/>
            <w:szCs w:val="24"/>
          </w:rPr>
          <w:t>https://doi.org/10.1101/2024.10.31.24315917</w:t>
        </w:r>
      </w:hyperlink>
    </w:p>
    <w:p w14:paraId="1057B43C" w14:textId="6FEFAA0D" w:rsidR="00A32C4B" w:rsidRDefault="00A32C4B"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lang w:val="en-US"/>
        </w:rPr>
      </w:pPr>
      <w:proofErr w:type="spellStart"/>
      <w:r w:rsidRPr="00E547FD">
        <w:rPr>
          <w:rFonts w:ascii="Times New Roman" w:eastAsia="Times New Roman" w:hAnsi="Times New Roman" w:cs="Times New Roman"/>
          <w:color w:val="222222"/>
          <w:sz w:val="24"/>
          <w:szCs w:val="24"/>
        </w:rPr>
        <w:t>Nachega</w:t>
      </w:r>
      <w:proofErr w:type="spellEnd"/>
      <w:r w:rsidRPr="00E547FD">
        <w:rPr>
          <w:rFonts w:ascii="Times New Roman" w:eastAsia="Times New Roman" w:hAnsi="Times New Roman" w:cs="Times New Roman"/>
          <w:color w:val="222222"/>
          <w:sz w:val="24"/>
          <w:szCs w:val="24"/>
        </w:rPr>
        <w:t>, J. B., Sam-</w:t>
      </w:r>
      <w:proofErr w:type="spellStart"/>
      <w:r w:rsidRPr="00E547FD">
        <w:rPr>
          <w:rFonts w:ascii="Times New Roman" w:eastAsia="Times New Roman" w:hAnsi="Times New Roman" w:cs="Times New Roman"/>
          <w:color w:val="222222"/>
          <w:sz w:val="24"/>
          <w:szCs w:val="24"/>
        </w:rPr>
        <w:t>Agudu</w:t>
      </w:r>
      <w:proofErr w:type="spellEnd"/>
      <w:r w:rsidRPr="00E547FD">
        <w:rPr>
          <w:rFonts w:ascii="Times New Roman" w:eastAsia="Times New Roman" w:hAnsi="Times New Roman" w:cs="Times New Roman"/>
          <w:color w:val="222222"/>
          <w:sz w:val="24"/>
          <w:szCs w:val="24"/>
        </w:rPr>
        <w:t xml:space="preserve">, N. A., </w:t>
      </w:r>
      <w:proofErr w:type="spellStart"/>
      <w:r w:rsidRPr="00E547FD">
        <w:rPr>
          <w:rFonts w:ascii="Times New Roman" w:eastAsia="Times New Roman" w:hAnsi="Times New Roman" w:cs="Times New Roman"/>
          <w:color w:val="222222"/>
          <w:sz w:val="24"/>
          <w:szCs w:val="24"/>
        </w:rPr>
        <w:t>Ogoina</w:t>
      </w:r>
      <w:proofErr w:type="spellEnd"/>
      <w:r w:rsidRPr="00E547FD">
        <w:rPr>
          <w:rFonts w:ascii="Times New Roman" w:eastAsia="Times New Roman" w:hAnsi="Times New Roman" w:cs="Times New Roman"/>
          <w:color w:val="222222"/>
          <w:sz w:val="24"/>
          <w:szCs w:val="24"/>
        </w:rPr>
        <w:t>, D., Mbala-</w:t>
      </w:r>
      <w:proofErr w:type="spellStart"/>
      <w:r w:rsidRPr="00E547FD">
        <w:rPr>
          <w:rFonts w:ascii="Times New Roman" w:eastAsia="Times New Roman" w:hAnsi="Times New Roman" w:cs="Times New Roman"/>
          <w:color w:val="222222"/>
          <w:sz w:val="24"/>
          <w:szCs w:val="24"/>
        </w:rPr>
        <w:t>Kingebeni</w:t>
      </w:r>
      <w:proofErr w:type="spellEnd"/>
      <w:r w:rsidRPr="00E547FD">
        <w:rPr>
          <w:rFonts w:ascii="Times New Roman" w:eastAsia="Times New Roman" w:hAnsi="Times New Roman" w:cs="Times New Roman"/>
          <w:color w:val="222222"/>
          <w:sz w:val="24"/>
          <w:szCs w:val="24"/>
        </w:rPr>
        <w:t xml:space="preserve">, P., </w:t>
      </w:r>
      <w:proofErr w:type="spellStart"/>
      <w:r w:rsidRPr="00E547FD">
        <w:rPr>
          <w:rFonts w:ascii="Times New Roman" w:eastAsia="Times New Roman" w:hAnsi="Times New Roman" w:cs="Times New Roman"/>
          <w:color w:val="222222"/>
          <w:sz w:val="24"/>
          <w:szCs w:val="24"/>
        </w:rPr>
        <w:t>Ntoumi</w:t>
      </w:r>
      <w:proofErr w:type="spellEnd"/>
      <w:r w:rsidRPr="00E547FD">
        <w:rPr>
          <w:rFonts w:ascii="Times New Roman" w:eastAsia="Times New Roman" w:hAnsi="Times New Roman" w:cs="Times New Roman"/>
          <w:color w:val="222222"/>
          <w:sz w:val="24"/>
          <w:szCs w:val="24"/>
        </w:rPr>
        <w:t xml:space="preserve">, F., </w:t>
      </w:r>
      <w:proofErr w:type="spellStart"/>
      <w:r w:rsidRPr="00E547FD">
        <w:rPr>
          <w:rFonts w:ascii="Times New Roman" w:eastAsia="Times New Roman" w:hAnsi="Times New Roman" w:cs="Times New Roman"/>
          <w:color w:val="222222"/>
          <w:sz w:val="24"/>
          <w:szCs w:val="24"/>
        </w:rPr>
        <w:t>Nakouné</w:t>
      </w:r>
      <w:proofErr w:type="spellEnd"/>
      <w:r w:rsidRPr="00E547FD">
        <w:rPr>
          <w:rFonts w:ascii="Times New Roman" w:eastAsia="Times New Roman" w:hAnsi="Times New Roman" w:cs="Times New Roman"/>
          <w:color w:val="222222"/>
          <w:sz w:val="24"/>
          <w:szCs w:val="24"/>
        </w:rPr>
        <w:t xml:space="preserve">, E., </w:t>
      </w:r>
      <w:proofErr w:type="spellStart"/>
      <w:r w:rsidRPr="00E547FD">
        <w:rPr>
          <w:rFonts w:ascii="Times New Roman" w:eastAsia="Times New Roman" w:hAnsi="Times New Roman" w:cs="Times New Roman"/>
          <w:color w:val="222222"/>
          <w:sz w:val="24"/>
          <w:szCs w:val="24"/>
        </w:rPr>
        <w:t>Njouom</w:t>
      </w:r>
      <w:proofErr w:type="spellEnd"/>
      <w:r w:rsidRPr="00E547FD">
        <w:rPr>
          <w:rFonts w:ascii="Times New Roman" w:eastAsia="Times New Roman" w:hAnsi="Times New Roman" w:cs="Times New Roman"/>
          <w:color w:val="222222"/>
          <w:sz w:val="24"/>
          <w:szCs w:val="24"/>
        </w:rPr>
        <w:t xml:space="preserve">, R., Lewis, R. F., Gandhi, M., Rosenthal, P. J., </w:t>
      </w:r>
      <w:proofErr w:type="spellStart"/>
      <w:r w:rsidRPr="00E547FD">
        <w:rPr>
          <w:rFonts w:ascii="Times New Roman" w:eastAsia="Times New Roman" w:hAnsi="Times New Roman" w:cs="Times New Roman"/>
          <w:color w:val="222222"/>
          <w:sz w:val="24"/>
          <w:szCs w:val="24"/>
        </w:rPr>
        <w:t>Rawat</w:t>
      </w:r>
      <w:proofErr w:type="spellEnd"/>
      <w:r w:rsidRPr="00E547FD">
        <w:rPr>
          <w:rFonts w:ascii="Times New Roman" w:eastAsia="Times New Roman" w:hAnsi="Times New Roman" w:cs="Times New Roman"/>
          <w:color w:val="222222"/>
          <w:sz w:val="24"/>
          <w:szCs w:val="24"/>
        </w:rPr>
        <w:t xml:space="preserve">, A., Wilson, L. A., </w:t>
      </w:r>
      <w:proofErr w:type="spellStart"/>
      <w:r w:rsidRPr="00E547FD">
        <w:rPr>
          <w:rFonts w:ascii="Times New Roman" w:eastAsia="Times New Roman" w:hAnsi="Times New Roman" w:cs="Times New Roman"/>
          <w:color w:val="222222"/>
          <w:sz w:val="24"/>
          <w:szCs w:val="24"/>
        </w:rPr>
        <w:t>Kindrachuk</w:t>
      </w:r>
      <w:proofErr w:type="spellEnd"/>
      <w:r w:rsidRPr="00E547FD">
        <w:rPr>
          <w:rFonts w:ascii="Times New Roman" w:eastAsia="Times New Roman" w:hAnsi="Times New Roman" w:cs="Times New Roman"/>
          <w:color w:val="222222"/>
          <w:sz w:val="24"/>
          <w:szCs w:val="24"/>
        </w:rPr>
        <w:t xml:space="preserve">, J., </w:t>
      </w:r>
      <w:proofErr w:type="spellStart"/>
      <w:r w:rsidRPr="00E547FD">
        <w:rPr>
          <w:rFonts w:ascii="Times New Roman" w:eastAsia="Times New Roman" w:hAnsi="Times New Roman" w:cs="Times New Roman"/>
          <w:color w:val="222222"/>
          <w:sz w:val="24"/>
          <w:szCs w:val="24"/>
        </w:rPr>
        <w:t>Liesenborghs</w:t>
      </w:r>
      <w:proofErr w:type="spellEnd"/>
      <w:r w:rsidRPr="00E547FD">
        <w:rPr>
          <w:rFonts w:ascii="Times New Roman" w:eastAsia="Times New Roman" w:hAnsi="Times New Roman" w:cs="Times New Roman"/>
          <w:color w:val="222222"/>
          <w:sz w:val="24"/>
          <w:szCs w:val="24"/>
        </w:rPr>
        <w:t xml:space="preserve">, L., Mills, E. J., </w:t>
      </w:r>
      <w:proofErr w:type="spellStart"/>
      <w:r w:rsidRPr="00E547FD">
        <w:rPr>
          <w:rFonts w:ascii="Times New Roman" w:eastAsia="Times New Roman" w:hAnsi="Times New Roman" w:cs="Times New Roman"/>
          <w:color w:val="222222"/>
          <w:sz w:val="24"/>
          <w:szCs w:val="24"/>
        </w:rPr>
        <w:t>Preiser</w:t>
      </w:r>
      <w:proofErr w:type="spellEnd"/>
      <w:r w:rsidRPr="00E547FD">
        <w:rPr>
          <w:rFonts w:ascii="Times New Roman" w:eastAsia="Times New Roman" w:hAnsi="Times New Roman" w:cs="Times New Roman"/>
          <w:color w:val="222222"/>
          <w:sz w:val="24"/>
          <w:szCs w:val="24"/>
        </w:rPr>
        <w:t xml:space="preserve">, W., </w:t>
      </w:r>
      <w:proofErr w:type="spellStart"/>
      <w:r w:rsidRPr="00E547FD">
        <w:rPr>
          <w:rFonts w:ascii="Times New Roman" w:eastAsia="Times New Roman" w:hAnsi="Times New Roman" w:cs="Times New Roman"/>
          <w:color w:val="222222"/>
          <w:sz w:val="24"/>
          <w:szCs w:val="24"/>
        </w:rPr>
        <w:t>Rimoin</w:t>
      </w:r>
      <w:proofErr w:type="spellEnd"/>
      <w:r w:rsidRPr="00E547FD">
        <w:rPr>
          <w:rFonts w:ascii="Times New Roman" w:eastAsia="Times New Roman" w:hAnsi="Times New Roman" w:cs="Times New Roman"/>
          <w:color w:val="222222"/>
          <w:sz w:val="24"/>
          <w:szCs w:val="24"/>
        </w:rPr>
        <w:t xml:space="preserve">, A. W., Sullivan, N. J., Peeters, M., … </w:t>
      </w:r>
      <w:proofErr w:type="spellStart"/>
      <w:r w:rsidRPr="00A32C4B">
        <w:rPr>
          <w:rFonts w:ascii="Times New Roman" w:eastAsia="Times New Roman" w:hAnsi="Times New Roman" w:cs="Times New Roman"/>
          <w:color w:val="222222"/>
          <w:sz w:val="24"/>
          <w:szCs w:val="24"/>
          <w:lang w:val="en-US"/>
        </w:rPr>
        <w:t>Muyembe-Tamfum</w:t>
      </w:r>
      <w:proofErr w:type="spellEnd"/>
      <w:r w:rsidRPr="00A32C4B">
        <w:rPr>
          <w:rFonts w:ascii="Times New Roman" w:eastAsia="Times New Roman" w:hAnsi="Times New Roman" w:cs="Times New Roman"/>
          <w:color w:val="222222"/>
          <w:sz w:val="24"/>
          <w:szCs w:val="24"/>
          <w:lang w:val="en-US"/>
        </w:rPr>
        <w:t xml:space="preserve">, J. J. (2024). The surge of </w:t>
      </w:r>
      <w:proofErr w:type="spellStart"/>
      <w:r w:rsidRPr="00A32C4B">
        <w:rPr>
          <w:rFonts w:ascii="Times New Roman" w:eastAsia="Times New Roman" w:hAnsi="Times New Roman" w:cs="Times New Roman"/>
          <w:color w:val="222222"/>
          <w:sz w:val="24"/>
          <w:szCs w:val="24"/>
          <w:lang w:val="en-US"/>
        </w:rPr>
        <w:t>mpox</w:t>
      </w:r>
      <w:proofErr w:type="spellEnd"/>
      <w:r w:rsidRPr="00A32C4B">
        <w:rPr>
          <w:rFonts w:ascii="Times New Roman" w:eastAsia="Times New Roman" w:hAnsi="Times New Roman" w:cs="Times New Roman"/>
          <w:color w:val="222222"/>
          <w:sz w:val="24"/>
          <w:szCs w:val="24"/>
          <w:lang w:val="en-US"/>
        </w:rPr>
        <w:t xml:space="preserve"> in Africa: A call for action. The Lancet Global Health, 12(7), e1086–e1088. </w:t>
      </w:r>
      <w:hyperlink r:id="rId18" w:history="1">
        <w:r w:rsidR="00DC5421" w:rsidRPr="006F754C">
          <w:rPr>
            <w:rStyle w:val="Hyperlink"/>
            <w:rFonts w:ascii="Times New Roman" w:eastAsia="Times New Roman" w:hAnsi="Times New Roman" w:cs="Times New Roman"/>
            <w:sz w:val="24"/>
            <w:szCs w:val="24"/>
            <w:lang w:val="en-US"/>
          </w:rPr>
          <w:t>https://doi.org/10.1016/S2214-109X(24)00187-6</w:t>
        </w:r>
      </w:hyperlink>
    </w:p>
    <w:p w14:paraId="3004DBC6" w14:textId="1ECF3956" w:rsidR="00DC5421" w:rsidRPr="00A32C4B" w:rsidRDefault="00DC5421" w:rsidP="00B31246">
      <w:pPr>
        <w:numPr>
          <w:ilvl w:val="0"/>
          <w:numId w:val="1"/>
        </w:numPr>
        <w:shd w:val="clear" w:color="auto" w:fill="FFFFFF"/>
        <w:spacing w:before="100" w:beforeAutospacing="1" w:after="100" w:afterAutospacing="1" w:line="360" w:lineRule="auto"/>
        <w:ind w:left="945"/>
        <w:rPr>
          <w:rFonts w:ascii="Times New Roman" w:eastAsia="Times New Roman" w:hAnsi="Times New Roman" w:cs="Times New Roman"/>
          <w:color w:val="222222"/>
          <w:sz w:val="24"/>
          <w:szCs w:val="24"/>
          <w:lang w:val="en-US"/>
        </w:rPr>
      </w:pPr>
      <w:proofErr w:type="spellStart"/>
      <w:r w:rsidRPr="00DC5421">
        <w:rPr>
          <w:rFonts w:ascii="Times New Roman" w:eastAsia="Times New Roman" w:hAnsi="Times New Roman" w:cs="Times New Roman"/>
          <w:color w:val="222222"/>
          <w:sz w:val="24"/>
          <w:szCs w:val="24"/>
          <w:lang w:val="en-US"/>
        </w:rPr>
        <w:t>Lango</w:t>
      </w:r>
      <w:proofErr w:type="spellEnd"/>
      <w:r w:rsidRPr="00DC5421">
        <w:rPr>
          <w:rFonts w:ascii="Times New Roman" w:eastAsia="Times New Roman" w:hAnsi="Times New Roman" w:cs="Times New Roman"/>
          <w:color w:val="222222"/>
          <w:sz w:val="24"/>
          <w:szCs w:val="24"/>
          <w:lang w:val="en-US"/>
        </w:rPr>
        <w:t xml:space="preserve">, </w:t>
      </w:r>
      <w:proofErr w:type="gramStart"/>
      <w:r w:rsidRPr="00DC5421">
        <w:rPr>
          <w:rFonts w:ascii="Times New Roman" w:eastAsia="Times New Roman" w:hAnsi="Times New Roman" w:cs="Times New Roman"/>
          <w:color w:val="222222"/>
          <w:sz w:val="24"/>
          <w:szCs w:val="24"/>
          <w:lang w:val="en-US"/>
        </w:rPr>
        <w:t>H. ,</w:t>
      </w:r>
      <w:proofErr w:type="gramEnd"/>
      <w:r w:rsidRPr="00DC5421">
        <w:rPr>
          <w:rFonts w:ascii="Times New Roman" w:eastAsia="Times New Roman" w:hAnsi="Times New Roman" w:cs="Times New Roman"/>
          <w:color w:val="222222"/>
          <w:sz w:val="24"/>
          <w:szCs w:val="24"/>
          <w:lang w:val="en-US"/>
        </w:rPr>
        <w:t xml:space="preserve"> </w:t>
      </w:r>
      <w:proofErr w:type="spellStart"/>
      <w:r w:rsidRPr="00DC5421">
        <w:rPr>
          <w:rFonts w:ascii="Times New Roman" w:eastAsia="Times New Roman" w:hAnsi="Times New Roman" w:cs="Times New Roman"/>
          <w:color w:val="222222"/>
          <w:sz w:val="24"/>
          <w:szCs w:val="24"/>
          <w:lang w:val="en-US"/>
        </w:rPr>
        <w:t>Benjendo</w:t>
      </w:r>
      <w:proofErr w:type="spellEnd"/>
      <w:r w:rsidRPr="00DC5421">
        <w:rPr>
          <w:rFonts w:ascii="Times New Roman" w:eastAsia="Times New Roman" w:hAnsi="Times New Roman" w:cs="Times New Roman"/>
          <w:color w:val="222222"/>
          <w:sz w:val="24"/>
          <w:szCs w:val="24"/>
          <w:lang w:val="en-US"/>
        </w:rPr>
        <w:t xml:space="preserve">, L. , </w:t>
      </w:r>
      <w:proofErr w:type="spellStart"/>
      <w:r w:rsidRPr="00DC5421">
        <w:rPr>
          <w:rFonts w:ascii="Times New Roman" w:eastAsia="Times New Roman" w:hAnsi="Times New Roman" w:cs="Times New Roman"/>
          <w:color w:val="222222"/>
          <w:sz w:val="24"/>
          <w:szCs w:val="24"/>
          <w:lang w:val="en-US"/>
        </w:rPr>
        <w:t>Biallé</w:t>
      </w:r>
      <w:proofErr w:type="spellEnd"/>
      <w:r w:rsidRPr="00DC5421">
        <w:rPr>
          <w:rFonts w:ascii="Times New Roman" w:eastAsia="Times New Roman" w:hAnsi="Times New Roman" w:cs="Times New Roman"/>
          <w:color w:val="222222"/>
          <w:sz w:val="24"/>
          <w:szCs w:val="24"/>
          <w:lang w:val="en-US"/>
        </w:rPr>
        <w:t xml:space="preserve">, B. , </w:t>
      </w:r>
      <w:proofErr w:type="spellStart"/>
      <w:r w:rsidRPr="00DC5421">
        <w:rPr>
          <w:rFonts w:ascii="Times New Roman" w:eastAsia="Times New Roman" w:hAnsi="Times New Roman" w:cs="Times New Roman"/>
          <w:color w:val="222222"/>
          <w:sz w:val="24"/>
          <w:szCs w:val="24"/>
          <w:lang w:val="en-US"/>
        </w:rPr>
        <w:t>Gbazi</w:t>
      </w:r>
      <w:proofErr w:type="spellEnd"/>
      <w:r w:rsidRPr="00DC5421">
        <w:rPr>
          <w:rFonts w:ascii="Times New Roman" w:eastAsia="Times New Roman" w:hAnsi="Times New Roman" w:cs="Times New Roman"/>
          <w:color w:val="222222"/>
          <w:sz w:val="24"/>
          <w:szCs w:val="24"/>
          <w:lang w:val="en-US"/>
        </w:rPr>
        <w:t xml:space="preserve">, S. , </w:t>
      </w:r>
      <w:proofErr w:type="spellStart"/>
      <w:r w:rsidRPr="00DC5421">
        <w:rPr>
          <w:rFonts w:ascii="Times New Roman" w:eastAsia="Times New Roman" w:hAnsi="Times New Roman" w:cs="Times New Roman"/>
          <w:color w:val="222222"/>
          <w:sz w:val="24"/>
          <w:szCs w:val="24"/>
          <w:lang w:val="en-US"/>
        </w:rPr>
        <w:t>Mapoka</w:t>
      </w:r>
      <w:proofErr w:type="spellEnd"/>
      <w:r w:rsidRPr="00DC5421">
        <w:rPr>
          <w:rFonts w:ascii="Times New Roman" w:eastAsia="Times New Roman" w:hAnsi="Times New Roman" w:cs="Times New Roman"/>
          <w:color w:val="222222"/>
          <w:sz w:val="24"/>
          <w:szCs w:val="24"/>
          <w:lang w:val="en-US"/>
        </w:rPr>
        <w:t xml:space="preserve">, E. , </w:t>
      </w:r>
      <w:proofErr w:type="spellStart"/>
      <w:r w:rsidRPr="00DC5421">
        <w:rPr>
          <w:rFonts w:ascii="Times New Roman" w:eastAsia="Times New Roman" w:hAnsi="Times New Roman" w:cs="Times New Roman"/>
          <w:color w:val="222222"/>
          <w:sz w:val="24"/>
          <w:szCs w:val="24"/>
          <w:lang w:val="en-US"/>
        </w:rPr>
        <w:t>Pounguiza</w:t>
      </w:r>
      <w:proofErr w:type="spellEnd"/>
      <w:r w:rsidRPr="00DC5421">
        <w:rPr>
          <w:rFonts w:ascii="Times New Roman" w:eastAsia="Times New Roman" w:hAnsi="Times New Roman" w:cs="Times New Roman"/>
          <w:color w:val="222222"/>
          <w:sz w:val="24"/>
          <w:szCs w:val="24"/>
          <w:lang w:val="en-US"/>
        </w:rPr>
        <w:t xml:space="preserve">, S. , </w:t>
      </w:r>
      <w:proofErr w:type="spellStart"/>
      <w:r w:rsidRPr="00DC5421">
        <w:rPr>
          <w:rFonts w:ascii="Times New Roman" w:eastAsia="Times New Roman" w:hAnsi="Times New Roman" w:cs="Times New Roman"/>
          <w:color w:val="222222"/>
          <w:sz w:val="24"/>
          <w:szCs w:val="24"/>
          <w:lang w:val="en-US"/>
        </w:rPr>
        <w:t>Bobossi</w:t>
      </w:r>
      <w:proofErr w:type="spellEnd"/>
      <w:r w:rsidRPr="00DC5421">
        <w:rPr>
          <w:rFonts w:ascii="Times New Roman" w:eastAsia="Times New Roman" w:hAnsi="Times New Roman" w:cs="Times New Roman"/>
          <w:color w:val="222222"/>
          <w:sz w:val="24"/>
          <w:szCs w:val="24"/>
          <w:lang w:val="en-US"/>
        </w:rPr>
        <w:t xml:space="preserve">, C. , </w:t>
      </w:r>
      <w:proofErr w:type="spellStart"/>
      <w:r w:rsidRPr="00DC5421">
        <w:rPr>
          <w:rFonts w:ascii="Times New Roman" w:eastAsia="Times New Roman" w:hAnsi="Times New Roman" w:cs="Times New Roman"/>
          <w:color w:val="222222"/>
          <w:sz w:val="24"/>
          <w:szCs w:val="24"/>
          <w:lang w:val="en-US"/>
        </w:rPr>
        <w:t>N’Yetobouko</w:t>
      </w:r>
      <w:proofErr w:type="spellEnd"/>
      <w:r w:rsidRPr="00DC5421">
        <w:rPr>
          <w:rFonts w:ascii="Times New Roman" w:eastAsia="Times New Roman" w:hAnsi="Times New Roman" w:cs="Times New Roman"/>
          <w:color w:val="222222"/>
          <w:sz w:val="24"/>
          <w:szCs w:val="24"/>
          <w:lang w:val="en-US"/>
        </w:rPr>
        <w:t xml:space="preserve">, S. , </w:t>
      </w:r>
      <w:proofErr w:type="spellStart"/>
      <w:r w:rsidRPr="00DC5421">
        <w:rPr>
          <w:rFonts w:ascii="Times New Roman" w:eastAsia="Times New Roman" w:hAnsi="Times New Roman" w:cs="Times New Roman"/>
          <w:color w:val="222222"/>
          <w:sz w:val="24"/>
          <w:szCs w:val="24"/>
          <w:lang w:val="en-US"/>
        </w:rPr>
        <w:t>Baguida-Bokia</w:t>
      </w:r>
      <w:proofErr w:type="spellEnd"/>
      <w:r w:rsidRPr="00DC5421">
        <w:rPr>
          <w:rFonts w:ascii="Times New Roman" w:eastAsia="Times New Roman" w:hAnsi="Times New Roman" w:cs="Times New Roman"/>
          <w:color w:val="222222"/>
          <w:sz w:val="24"/>
          <w:szCs w:val="24"/>
          <w:lang w:val="en-US"/>
        </w:rPr>
        <w:t xml:space="preserve">, C. , </w:t>
      </w:r>
      <w:proofErr w:type="spellStart"/>
      <w:r w:rsidRPr="00DC5421">
        <w:rPr>
          <w:rFonts w:ascii="Times New Roman" w:eastAsia="Times New Roman" w:hAnsi="Times New Roman" w:cs="Times New Roman"/>
          <w:color w:val="222222"/>
          <w:sz w:val="24"/>
          <w:szCs w:val="24"/>
          <w:lang w:val="en-US"/>
        </w:rPr>
        <w:t>Heredeibona</w:t>
      </w:r>
      <w:proofErr w:type="spellEnd"/>
      <w:r w:rsidRPr="00DC5421">
        <w:rPr>
          <w:rFonts w:ascii="Times New Roman" w:eastAsia="Times New Roman" w:hAnsi="Times New Roman" w:cs="Times New Roman"/>
          <w:color w:val="222222"/>
          <w:sz w:val="24"/>
          <w:szCs w:val="24"/>
          <w:lang w:val="en-US"/>
        </w:rPr>
        <w:t xml:space="preserve">, M. , </w:t>
      </w:r>
      <w:proofErr w:type="spellStart"/>
      <w:r w:rsidRPr="00DC5421">
        <w:rPr>
          <w:rFonts w:ascii="Times New Roman" w:eastAsia="Times New Roman" w:hAnsi="Times New Roman" w:cs="Times New Roman"/>
          <w:color w:val="222222"/>
          <w:sz w:val="24"/>
          <w:szCs w:val="24"/>
          <w:lang w:val="en-US"/>
        </w:rPr>
        <w:t>Djiemer</w:t>
      </w:r>
      <w:proofErr w:type="spellEnd"/>
      <w:r w:rsidRPr="00DC5421">
        <w:rPr>
          <w:rFonts w:ascii="Times New Roman" w:eastAsia="Times New Roman" w:hAnsi="Times New Roman" w:cs="Times New Roman"/>
          <w:color w:val="222222"/>
          <w:sz w:val="24"/>
          <w:szCs w:val="24"/>
          <w:lang w:val="en-US"/>
        </w:rPr>
        <w:t xml:space="preserve">, H. , </w:t>
      </w:r>
      <w:proofErr w:type="spellStart"/>
      <w:r w:rsidRPr="00DC5421">
        <w:rPr>
          <w:rFonts w:ascii="Times New Roman" w:eastAsia="Times New Roman" w:hAnsi="Times New Roman" w:cs="Times New Roman"/>
          <w:color w:val="222222"/>
          <w:sz w:val="24"/>
          <w:szCs w:val="24"/>
          <w:lang w:val="en-US"/>
        </w:rPr>
        <w:t>Koffi</w:t>
      </w:r>
      <w:proofErr w:type="spellEnd"/>
      <w:r w:rsidRPr="00DC5421">
        <w:rPr>
          <w:rFonts w:ascii="Times New Roman" w:eastAsia="Times New Roman" w:hAnsi="Times New Roman" w:cs="Times New Roman"/>
          <w:color w:val="222222"/>
          <w:sz w:val="24"/>
          <w:szCs w:val="24"/>
          <w:lang w:val="en-US"/>
        </w:rPr>
        <w:t xml:space="preserve">, B. , </w:t>
      </w:r>
      <w:proofErr w:type="spellStart"/>
      <w:r w:rsidRPr="00DC5421">
        <w:rPr>
          <w:rFonts w:ascii="Times New Roman" w:eastAsia="Times New Roman" w:hAnsi="Times New Roman" w:cs="Times New Roman"/>
          <w:color w:val="222222"/>
          <w:sz w:val="24"/>
          <w:szCs w:val="24"/>
          <w:lang w:val="en-US"/>
        </w:rPr>
        <w:t>Lango</w:t>
      </w:r>
      <w:proofErr w:type="spellEnd"/>
      <w:r w:rsidRPr="00DC5421">
        <w:rPr>
          <w:rFonts w:ascii="Times New Roman" w:eastAsia="Times New Roman" w:hAnsi="Times New Roman" w:cs="Times New Roman"/>
          <w:color w:val="222222"/>
          <w:sz w:val="24"/>
          <w:szCs w:val="24"/>
          <w:lang w:val="en-US"/>
        </w:rPr>
        <w:t xml:space="preserve">-Yaya, E. and </w:t>
      </w:r>
      <w:proofErr w:type="spellStart"/>
      <w:r w:rsidRPr="00DC5421">
        <w:rPr>
          <w:rFonts w:ascii="Times New Roman" w:eastAsia="Times New Roman" w:hAnsi="Times New Roman" w:cs="Times New Roman"/>
          <w:color w:val="222222"/>
          <w:sz w:val="24"/>
          <w:szCs w:val="24"/>
          <w:lang w:val="en-US"/>
        </w:rPr>
        <w:t>Nambei</w:t>
      </w:r>
      <w:proofErr w:type="spellEnd"/>
      <w:r w:rsidRPr="00DC5421">
        <w:rPr>
          <w:rFonts w:ascii="Times New Roman" w:eastAsia="Times New Roman" w:hAnsi="Times New Roman" w:cs="Times New Roman"/>
          <w:color w:val="222222"/>
          <w:sz w:val="24"/>
          <w:szCs w:val="24"/>
          <w:lang w:val="en-US"/>
        </w:rPr>
        <w:t xml:space="preserve">, W. (2025) Epidemiological and Clinical Profile of </w:t>
      </w:r>
      <w:proofErr w:type="spellStart"/>
      <w:r w:rsidRPr="00DC5421">
        <w:rPr>
          <w:rFonts w:ascii="Times New Roman" w:eastAsia="Times New Roman" w:hAnsi="Times New Roman" w:cs="Times New Roman"/>
          <w:color w:val="222222"/>
          <w:sz w:val="24"/>
          <w:szCs w:val="24"/>
          <w:lang w:val="en-US"/>
        </w:rPr>
        <w:t>Mpox</w:t>
      </w:r>
      <w:proofErr w:type="spellEnd"/>
      <w:r w:rsidRPr="00DC5421">
        <w:rPr>
          <w:rFonts w:ascii="Times New Roman" w:eastAsia="Times New Roman" w:hAnsi="Times New Roman" w:cs="Times New Roman"/>
          <w:color w:val="222222"/>
          <w:sz w:val="24"/>
          <w:szCs w:val="24"/>
          <w:lang w:val="en-US"/>
        </w:rPr>
        <w:t xml:space="preserve"> Diagnosed at the National Laboratory of Clinical Biology of Public Health in Bangui, Central African Republic. Health, 17, 1408-1416. </w:t>
      </w:r>
      <w:proofErr w:type="spellStart"/>
      <w:r w:rsidRPr="00DC5421">
        <w:rPr>
          <w:rFonts w:ascii="Times New Roman" w:eastAsia="Times New Roman" w:hAnsi="Times New Roman" w:cs="Times New Roman"/>
          <w:color w:val="222222"/>
          <w:sz w:val="24"/>
          <w:szCs w:val="24"/>
          <w:lang w:val="en-US"/>
        </w:rPr>
        <w:t>doi</w:t>
      </w:r>
      <w:proofErr w:type="spellEnd"/>
      <w:r w:rsidRPr="00DC5421">
        <w:rPr>
          <w:rFonts w:ascii="Times New Roman" w:eastAsia="Times New Roman" w:hAnsi="Times New Roman" w:cs="Times New Roman"/>
          <w:color w:val="222222"/>
          <w:sz w:val="24"/>
          <w:szCs w:val="24"/>
          <w:lang w:val="en-US"/>
        </w:rPr>
        <w:t>: 10.4236/health.2025.1711093.</w:t>
      </w:r>
    </w:p>
    <w:p w14:paraId="0FAA0B89" w14:textId="77777777" w:rsidR="00A32C4B" w:rsidRPr="00A32C4B" w:rsidRDefault="00A32C4B" w:rsidP="00B31246">
      <w:pPr>
        <w:spacing w:line="360" w:lineRule="auto"/>
        <w:rPr>
          <w:rFonts w:ascii="Times New Roman" w:hAnsi="Times New Roman" w:cs="Times New Roman"/>
          <w:sz w:val="24"/>
          <w:szCs w:val="24"/>
          <w:lang w:val="en-US"/>
        </w:rPr>
      </w:pPr>
    </w:p>
    <w:sectPr w:rsidR="00A32C4B" w:rsidRPr="00A32C4B">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EACF1" w14:textId="77777777" w:rsidR="007922B2" w:rsidRDefault="007922B2" w:rsidP="00176951">
      <w:pPr>
        <w:spacing w:after="0" w:line="240" w:lineRule="auto"/>
      </w:pPr>
      <w:r>
        <w:separator/>
      </w:r>
    </w:p>
  </w:endnote>
  <w:endnote w:type="continuationSeparator" w:id="0">
    <w:p w14:paraId="427C6FC1" w14:textId="77777777" w:rsidR="007922B2" w:rsidRDefault="007922B2" w:rsidP="0017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0CFE" w14:textId="77777777" w:rsidR="00AF03DF" w:rsidRDefault="00AF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563139"/>
      <w:docPartObj>
        <w:docPartGallery w:val="Page Numbers (Bottom of Page)"/>
        <w:docPartUnique/>
      </w:docPartObj>
    </w:sdtPr>
    <w:sdtEndPr/>
    <w:sdtContent>
      <w:p w14:paraId="78C38D36" w14:textId="77777777" w:rsidR="00176951" w:rsidRDefault="00176951">
        <w:pPr>
          <w:pStyle w:val="Footer"/>
        </w:pPr>
        <w:r>
          <w:rPr>
            <w:noProof/>
            <w:lang w:val="en-US"/>
          </w:rPr>
          <mc:AlternateContent>
            <mc:Choice Requires="wps">
              <w:drawing>
                <wp:anchor distT="0" distB="0" distL="114300" distR="114300" simplePos="0" relativeHeight="251659264" behindDoc="0" locked="0" layoutInCell="0" allowOverlap="1" wp14:anchorId="761D67A6" wp14:editId="611E5565">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3BEFAE7" w14:textId="49821BE7" w:rsidR="00176951" w:rsidRDefault="00176951">
                              <w:pPr>
                                <w:jc w:val="center"/>
                              </w:pPr>
                              <w:r>
                                <w:fldChar w:fldCharType="begin"/>
                              </w:r>
                              <w:r>
                                <w:instrText>PAGE    \* MERGEFORMAT</w:instrText>
                              </w:r>
                              <w:r>
                                <w:fldChar w:fldCharType="separate"/>
                              </w:r>
                              <w:r w:rsidR="00D32D0C" w:rsidRPr="00D32D0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D67A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14:paraId="63BEFAE7" w14:textId="49821BE7" w:rsidR="00176951" w:rsidRDefault="00176951">
                        <w:pPr>
                          <w:jc w:val="center"/>
                        </w:pPr>
                        <w:r>
                          <w:fldChar w:fldCharType="begin"/>
                        </w:r>
                        <w:r>
                          <w:instrText>PAGE    \* MERGEFORMAT</w:instrText>
                        </w:r>
                        <w:r>
                          <w:fldChar w:fldCharType="separate"/>
                        </w:r>
                        <w:r w:rsidR="00D32D0C" w:rsidRPr="00D32D0C">
                          <w:rPr>
                            <w:noProof/>
                            <w:sz w:val="16"/>
                            <w:szCs w:val="16"/>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7BBC" w14:textId="77777777" w:rsidR="00AF03DF" w:rsidRDefault="00AF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73860" w14:textId="77777777" w:rsidR="007922B2" w:rsidRDefault="007922B2" w:rsidP="00176951">
      <w:pPr>
        <w:spacing w:after="0" w:line="240" w:lineRule="auto"/>
      </w:pPr>
      <w:r>
        <w:separator/>
      </w:r>
    </w:p>
  </w:footnote>
  <w:footnote w:type="continuationSeparator" w:id="0">
    <w:p w14:paraId="1B389FA4" w14:textId="77777777" w:rsidR="007922B2" w:rsidRDefault="007922B2" w:rsidP="0017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CC54" w14:textId="1AA89214" w:rsidR="00AF03DF" w:rsidRDefault="007922B2">
    <w:pPr>
      <w:pStyle w:val="Header"/>
    </w:pPr>
    <w:r>
      <w:rPr>
        <w:noProof/>
      </w:rPr>
      <w:pict w14:anchorId="6D5CC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282"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2473" w14:textId="7081BC7E" w:rsidR="00AF03DF" w:rsidRDefault="007922B2">
    <w:pPr>
      <w:pStyle w:val="Header"/>
    </w:pPr>
    <w:r>
      <w:rPr>
        <w:noProof/>
      </w:rPr>
      <w:pict w14:anchorId="5B629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283"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DDB1" w14:textId="3EB8ED90" w:rsidR="00AF03DF" w:rsidRDefault="007922B2">
    <w:pPr>
      <w:pStyle w:val="Header"/>
    </w:pPr>
    <w:r>
      <w:rPr>
        <w:noProof/>
      </w:rPr>
      <w:pict w14:anchorId="6BF8B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31281"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7137"/>
    <w:multiLevelType w:val="hybridMultilevel"/>
    <w:tmpl w:val="4B3A87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E3009"/>
    <w:multiLevelType w:val="multilevel"/>
    <w:tmpl w:val="4A7E43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625A79"/>
    <w:multiLevelType w:val="multilevel"/>
    <w:tmpl w:val="4A7E43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734392"/>
    <w:multiLevelType w:val="multilevel"/>
    <w:tmpl w:val="EB34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yMze0NDA3NTUwNzdQ0lEKTi0uzszPAykwrAUAKck7+ywAAAA="/>
  </w:docVars>
  <w:rsids>
    <w:rsidRoot w:val="00484B81"/>
    <w:rsid w:val="00053E0F"/>
    <w:rsid w:val="00061005"/>
    <w:rsid w:val="000865D7"/>
    <w:rsid w:val="000C28E3"/>
    <w:rsid w:val="00176951"/>
    <w:rsid w:val="00202A2E"/>
    <w:rsid w:val="00224AD9"/>
    <w:rsid w:val="00242D8A"/>
    <w:rsid w:val="00265DCE"/>
    <w:rsid w:val="002974E1"/>
    <w:rsid w:val="00297581"/>
    <w:rsid w:val="00353208"/>
    <w:rsid w:val="003C3D97"/>
    <w:rsid w:val="00484B81"/>
    <w:rsid w:val="004A219C"/>
    <w:rsid w:val="004C3911"/>
    <w:rsid w:val="00533615"/>
    <w:rsid w:val="005429AB"/>
    <w:rsid w:val="005A11B2"/>
    <w:rsid w:val="006F3360"/>
    <w:rsid w:val="006F733D"/>
    <w:rsid w:val="007922B2"/>
    <w:rsid w:val="00813FCC"/>
    <w:rsid w:val="0084704A"/>
    <w:rsid w:val="008F5EF1"/>
    <w:rsid w:val="00927041"/>
    <w:rsid w:val="00982DF4"/>
    <w:rsid w:val="00991DDF"/>
    <w:rsid w:val="00A32C4B"/>
    <w:rsid w:val="00A80AC2"/>
    <w:rsid w:val="00AB0D90"/>
    <w:rsid w:val="00AF03DF"/>
    <w:rsid w:val="00B31246"/>
    <w:rsid w:val="00B4216B"/>
    <w:rsid w:val="00B7270C"/>
    <w:rsid w:val="00C024A7"/>
    <w:rsid w:val="00D32D0C"/>
    <w:rsid w:val="00DC5421"/>
    <w:rsid w:val="00DD4A2A"/>
    <w:rsid w:val="00DE0E59"/>
    <w:rsid w:val="00EC4A81"/>
    <w:rsid w:val="00F03434"/>
    <w:rsid w:val="00F55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2AB60"/>
  <w15:chartTrackingRefBased/>
  <w15:docId w15:val="{8C774375-A9B7-40DC-AAE5-9808D8AB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D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C4B"/>
    <w:rPr>
      <w:color w:val="0563C1" w:themeColor="hyperlink"/>
      <w:u w:val="single"/>
    </w:rPr>
  </w:style>
  <w:style w:type="paragraph" w:styleId="ListParagraph">
    <w:name w:val="List Paragraph"/>
    <w:basedOn w:val="Normal"/>
    <w:uiPriority w:val="34"/>
    <w:qFormat/>
    <w:rsid w:val="00982DF4"/>
    <w:pPr>
      <w:ind w:left="720"/>
      <w:contextualSpacing/>
    </w:pPr>
  </w:style>
  <w:style w:type="paragraph" w:styleId="NoSpacing">
    <w:name w:val="No Spacing"/>
    <w:uiPriority w:val="1"/>
    <w:qFormat/>
    <w:rsid w:val="00982DF4"/>
    <w:pPr>
      <w:spacing w:after="0" w:line="240" w:lineRule="auto"/>
    </w:pPr>
  </w:style>
  <w:style w:type="character" w:customStyle="1" w:styleId="Heading1Char">
    <w:name w:val="Heading 1 Char"/>
    <w:basedOn w:val="DefaultParagraphFont"/>
    <w:link w:val="Heading1"/>
    <w:uiPriority w:val="9"/>
    <w:rsid w:val="00982DF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769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6951"/>
  </w:style>
  <w:style w:type="paragraph" w:styleId="Footer">
    <w:name w:val="footer"/>
    <w:basedOn w:val="Normal"/>
    <w:link w:val="FooterChar"/>
    <w:uiPriority w:val="99"/>
    <w:unhideWhenUsed/>
    <w:rsid w:val="001769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6951"/>
  </w:style>
  <w:style w:type="character" w:customStyle="1" w:styleId="UnresolvedMention1">
    <w:name w:val="Unresolved Mention1"/>
    <w:basedOn w:val="DefaultParagraphFont"/>
    <w:uiPriority w:val="99"/>
    <w:semiHidden/>
    <w:unhideWhenUsed/>
    <w:rsid w:val="00DE0E59"/>
    <w:rPr>
      <w:color w:val="605E5C"/>
      <w:shd w:val="clear" w:color="auto" w:fill="E1DFDD"/>
    </w:rPr>
  </w:style>
  <w:style w:type="character" w:styleId="UnresolvedMention">
    <w:name w:val="Unresolved Mention"/>
    <w:basedOn w:val="DefaultParagraphFont"/>
    <w:uiPriority w:val="99"/>
    <w:semiHidden/>
    <w:unhideWhenUsed/>
    <w:rsid w:val="00DC5421"/>
    <w:rPr>
      <w:color w:val="605E5C"/>
      <w:shd w:val="clear" w:color="auto" w:fill="E1DFDD"/>
    </w:rPr>
  </w:style>
  <w:style w:type="paragraph" w:styleId="NormalWeb">
    <w:name w:val="Normal (Web)"/>
    <w:basedOn w:val="Normal"/>
    <w:uiPriority w:val="99"/>
    <w:semiHidden/>
    <w:unhideWhenUsed/>
    <w:rsid w:val="00DC542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290728">
      <w:bodyDiv w:val="1"/>
      <w:marLeft w:val="0"/>
      <w:marRight w:val="0"/>
      <w:marTop w:val="0"/>
      <w:marBottom w:val="0"/>
      <w:divBdr>
        <w:top w:val="none" w:sz="0" w:space="0" w:color="auto"/>
        <w:left w:val="none" w:sz="0" w:space="0" w:color="auto"/>
        <w:bottom w:val="none" w:sz="0" w:space="0" w:color="auto"/>
        <w:right w:val="none" w:sz="0" w:space="0" w:color="auto"/>
      </w:divBdr>
    </w:div>
    <w:div w:id="10107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bioinformatics/btac424" TargetMode="External"/><Relationship Id="rId18" Type="http://schemas.openxmlformats.org/officeDocument/2006/relationships/hyperlink" Target="https://doi.org/10.1016/S2214-109X(24)00187-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101/2025.08.13.669859" TargetMode="External"/><Relationship Id="rId17" Type="http://schemas.openxmlformats.org/officeDocument/2006/relationships/hyperlink" Target="https://doi.org/10.1101/2024.10.31.243159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ell.2024.10.01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bio.300176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93/molbev/mst010" TargetMode="External"/><Relationship Id="rId23" Type="http://schemas.openxmlformats.org/officeDocument/2006/relationships/header" Target="header3.xml"/><Relationship Id="rId10" Type="http://schemas.openxmlformats.org/officeDocument/2006/relationships/hyperlink" Target="https://doi.org/10.21105/joss.0377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orldhealthorg.shinyapps.io/mpx_global/" TargetMode="External"/><Relationship Id="rId14" Type="http://schemas.openxmlformats.org/officeDocument/2006/relationships/hyperlink" Target="https://doi.org/10.1093/molbev/msaa015"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3434</Words>
  <Characters>19576</Characters>
  <Application>Microsoft Office Word</Application>
  <DocSecurity>0</DocSecurity>
  <Lines>163</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Editor-1183</cp:lastModifiedBy>
  <cp:revision>7</cp:revision>
  <dcterms:created xsi:type="dcterms:W3CDTF">2026-04-04T08:52:00Z</dcterms:created>
  <dcterms:modified xsi:type="dcterms:W3CDTF">2026-04-10T04:26:00Z</dcterms:modified>
</cp:coreProperties>
</file>