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50779" w14:textId="16F4918B" w:rsidR="008A661B" w:rsidRPr="0011267A" w:rsidRDefault="008A661B" w:rsidP="00503EE7">
      <w:pPr>
        <w:spacing w:line="240" w:lineRule="auto"/>
        <w:jc w:val="both"/>
        <w:rPr>
          <w:rFonts w:ascii="Times New Roman" w:hAnsi="Times New Roman" w:cs="Times New Roman"/>
          <w:b/>
          <w:bCs/>
          <w:sz w:val="32"/>
          <w:szCs w:val="32"/>
          <w:highlight w:val="yellow"/>
        </w:rPr>
      </w:pPr>
      <w:r w:rsidRPr="0011267A">
        <w:rPr>
          <w:rFonts w:ascii="Times New Roman" w:hAnsi="Times New Roman" w:cs="Times New Roman"/>
          <w:b/>
          <w:bCs/>
          <w:sz w:val="32"/>
          <w:szCs w:val="32"/>
          <w:highlight w:val="yellow"/>
        </w:rPr>
        <w:t xml:space="preserve">Antimicrobial Susceptibility and Prevalence of </w:t>
      </w:r>
      <w:r w:rsidRPr="0011267A">
        <w:rPr>
          <w:rFonts w:ascii="Times New Roman" w:hAnsi="Times New Roman" w:cs="Times New Roman"/>
          <w:b/>
          <w:bCs/>
          <w:i/>
          <w:iCs/>
          <w:sz w:val="32"/>
          <w:szCs w:val="32"/>
          <w:highlight w:val="yellow"/>
        </w:rPr>
        <w:t>Vibrio cholerae</w:t>
      </w:r>
      <w:r w:rsidRPr="0011267A">
        <w:rPr>
          <w:rFonts w:ascii="Times New Roman" w:hAnsi="Times New Roman" w:cs="Times New Roman"/>
          <w:b/>
          <w:bCs/>
          <w:sz w:val="32"/>
          <w:szCs w:val="32"/>
          <w:highlight w:val="yellow"/>
        </w:rPr>
        <w:t xml:space="preserve"> among IDPs in North Central Nigeria</w:t>
      </w:r>
    </w:p>
    <w:p w14:paraId="4BBD4A70" w14:textId="77777777" w:rsidR="00EB6C25" w:rsidRPr="0011267A" w:rsidRDefault="00EB6C25" w:rsidP="002231A3">
      <w:pPr>
        <w:spacing w:before="100" w:beforeAutospacing="1" w:after="100" w:afterAutospacing="1" w:line="240" w:lineRule="auto"/>
        <w:outlineLvl w:val="1"/>
        <w:rPr>
          <w:rFonts w:ascii="Times New Roman" w:eastAsia="Times New Roman" w:hAnsi="Times New Roman" w:cs="Times New Roman"/>
          <w:bCs/>
          <w:kern w:val="0"/>
          <w:sz w:val="36"/>
          <w:szCs w:val="36"/>
          <w:highlight w:val="yellow"/>
          <w14:ligatures w14:val="none"/>
        </w:rPr>
      </w:pPr>
    </w:p>
    <w:p w14:paraId="37DD91CA" w14:textId="77777777" w:rsidR="002231A3" w:rsidRPr="002231A3" w:rsidRDefault="002231A3" w:rsidP="002231A3">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sidRPr="002231A3">
        <w:rPr>
          <w:rFonts w:ascii="Times New Roman" w:eastAsia="Times New Roman" w:hAnsi="Times New Roman" w:cs="Times New Roman"/>
          <w:b/>
          <w:bCs/>
          <w:kern w:val="0"/>
          <w:sz w:val="36"/>
          <w:szCs w:val="36"/>
          <w:lang w:val="en-US"/>
          <w14:ligatures w14:val="none"/>
        </w:rPr>
        <w:t>ABSTRACT</w:t>
      </w:r>
    </w:p>
    <w:p w14:paraId="4A2EC9D3" w14:textId="3F804CE0" w:rsidR="002231A3" w:rsidRPr="002231A3" w:rsidRDefault="002231A3" w:rsidP="002231A3">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2231A3">
        <w:rPr>
          <w:rFonts w:ascii="Times New Roman" w:eastAsia="Times New Roman" w:hAnsi="Times New Roman" w:cs="Times New Roman"/>
          <w:kern w:val="0"/>
          <w:sz w:val="24"/>
          <w:szCs w:val="24"/>
          <w:lang w:val="en-US"/>
          <w14:ligatures w14:val="none"/>
        </w:rPr>
        <w:t>Cholera remains a significant public health concern in resource-limited settings, particularly among internally displaced persons (IDPs) who are exposed to poor sanitation, unsafe water, and overcrowded living conditions. This study investigat</w:t>
      </w:r>
      <w:r w:rsidR="008A661B">
        <w:rPr>
          <w:rFonts w:ascii="Times New Roman" w:eastAsia="Times New Roman" w:hAnsi="Times New Roman" w:cs="Times New Roman"/>
          <w:kern w:val="0"/>
          <w:sz w:val="24"/>
          <w:szCs w:val="24"/>
          <w:lang w:val="en-US"/>
          <w14:ligatures w14:val="none"/>
        </w:rPr>
        <w:t>es</w:t>
      </w:r>
      <w:r w:rsidRPr="002231A3">
        <w:rPr>
          <w:rFonts w:ascii="Times New Roman" w:eastAsia="Times New Roman" w:hAnsi="Times New Roman" w:cs="Times New Roman"/>
          <w:kern w:val="0"/>
          <w:sz w:val="24"/>
          <w:szCs w:val="24"/>
          <w:lang w:val="en-US"/>
          <w14:ligatures w14:val="none"/>
        </w:rPr>
        <w:t xml:space="preserve"> the prevalence and antimicrobial susceptibility pattern of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isolates from </w:t>
      </w:r>
      <w:proofErr w:type="spellStart"/>
      <w:r w:rsidRPr="002231A3">
        <w:rPr>
          <w:rFonts w:ascii="Times New Roman" w:eastAsia="Times New Roman" w:hAnsi="Times New Roman" w:cs="Times New Roman"/>
          <w:kern w:val="0"/>
          <w:sz w:val="24"/>
          <w:szCs w:val="24"/>
          <w:lang w:val="en-US"/>
          <w14:ligatures w14:val="none"/>
        </w:rPr>
        <w:t>faecal</w:t>
      </w:r>
      <w:proofErr w:type="spellEnd"/>
      <w:r w:rsidRPr="002231A3">
        <w:rPr>
          <w:rFonts w:ascii="Times New Roman" w:eastAsia="Times New Roman" w:hAnsi="Times New Roman" w:cs="Times New Roman"/>
          <w:kern w:val="0"/>
          <w:sz w:val="24"/>
          <w:szCs w:val="24"/>
          <w:lang w:val="en-US"/>
          <w14:ligatures w14:val="none"/>
        </w:rPr>
        <w:t xml:space="preserve"> samples of IDPs in selected camps across North Central Nigeria (Benue, Nasarawa, and Plateau States). A cross-sectional study design was employed, involving 422 diarrheic participants. Stool samples were analyzed using rapid diagnostic tests, culture on selective media, biochemical characterization, serological confirmation, and antimicrobial susceptibility testing following CLSI guidelines.</w:t>
      </w:r>
      <w:r>
        <w:rPr>
          <w:rFonts w:ascii="Times New Roman" w:eastAsia="Times New Roman" w:hAnsi="Times New Roman" w:cs="Times New Roman"/>
          <w:kern w:val="0"/>
          <w:sz w:val="24"/>
          <w:szCs w:val="24"/>
          <w:lang w:val="en-US"/>
          <w14:ligatures w14:val="none"/>
        </w:rPr>
        <w:t xml:space="preserve"> </w:t>
      </w:r>
      <w:r w:rsidRPr="002231A3">
        <w:rPr>
          <w:rFonts w:ascii="Times New Roman" w:eastAsia="Times New Roman" w:hAnsi="Times New Roman" w:cs="Times New Roman"/>
          <w:kern w:val="0"/>
          <w:sz w:val="24"/>
          <w:szCs w:val="24"/>
          <w:lang w:val="en-US"/>
          <w14:ligatures w14:val="none"/>
        </w:rPr>
        <w:t xml:space="preserve">The overall prevalence of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was 1.9% (8/422). Age, gender, marital status, and family type showed no statistically significant association with infection (p &gt; 0.05). However, a significant association was observed between cholera prevalence and source of drinking water (p &lt; 0.05), with the highest infection rates among individuals relying on streams, rivers, and wells. Antibiotic susceptibility testing revealed complete sensitivity to ciprofloxacin (100%), high susceptibility to tetracycline (87.5%) and gentamicin (75%), and moderate susceptibility to meropenem (62.5%). High resistance was observed against nalidixic acid (100%), cefotaxime (75%), trimethoprim-sulfamethoxazole (75%), and ampicillin (62.5%).</w:t>
      </w:r>
      <w:r>
        <w:rPr>
          <w:rFonts w:ascii="Times New Roman" w:eastAsia="Times New Roman" w:hAnsi="Times New Roman" w:cs="Times New Roman"/>
          <w:kern w:val="0"/>
          <w:sz w:val="24"/>
          <w:szCs w:val="24"/>
          <w:lang w:val="en-US"/>
          <w14:ligatures w14:val="none"/>
        </w:rPr>
        <w:t xml:space="preserve"> </w:t>
      </w:r>
      <w:r w:rsidRPr="002231A3">
        <w:rPr>
          <w:rFonts w:ascii="Times New Roman" w:eastAsia="Times New Roman" w:hAnsi="Times New Roman" w:cs="Times New Roman"/>
          <w:kern w:val="0"/>
          <w:sz w:val="24"/>
          <w:szCs w:val="24"/>
          <w:lang w:val="en-US"/>
          <w14:ligatures w14:val="none"/>
        </w:rPr>
        <w:t xml:space="preserve">The study highlights the continued presence of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in IDP camps and underscores the importance of improving water quality, sanitation infrastructure, and antimicrobial stewardship. Continuous surveillance and targeted public health interventions are essential to prevent potential outbreaks in these vulnerable populations.</w:t>
      </w:r>
    </w:p>
    <w:p w14:paraId="00017C86" w14:textId="3811FCE0" w:rsidR="002231A3" w:rsidRDefault="002231A3" w:rsidP="002231A3">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2231A3">
        <w:rPr>
          <w:rFonts w:ascii="Times New Roman" w:eastAsia="Times New Roman" w:hAnsi="Times New Roman" w:cs="Times New Roman"/>
          <w:b/>
          <w:kern w:val="0"/>
          <w:sz w:val="24"/>
          <w:szCs w:val="24"/>
          <w:lang w:val="en-US"/>
          <w14:ligatures w14:val="none"/>
        </w:rPr>
        <w:t>Keywords</w:t>
      </w:r>
      <w:r>
        <w:rPr>
          <w:rFonts w:ascii="Times New Roman" w:eastAsia="Times New Roman" w:hAnsi="Times New Roman" w:cs="Times New Roman"/>
          <w:kern w:val="0"/>
          <w:sz w:val="24"/>
          <w:szCs w:val="24"/>
          <w:lang w:val="en-US"/>
          <w14:ligatures w14:val="none"/>
        </w:rPr>
        <w:t xml:space="preserve">: </w:t>
      </w:r>
      <w:r w:rsidRPr="002231A3">
        <w:rPr>
          <w:rFonts w:ascii="Times New Roman" w:eastAsia="Times New Roman" w:hAnsi="Times New Roman" w:cs="Times New Roman"/>
          <w:kern w:val="0"/>
          <w:sz w:val="24"/>
          <w:szCs w:val="24"/>
          <w:lang w:val="en-US"/>
          <w14:ligatures w14:val="none"/>
        </w:rPr>
        <w:t xml:space="preserve">Cholera;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Internally Displaced Persons; Antimicrobial susceptibility; Water sanitation; IDP camps; Public health; Antibiotic resistance</w:t>
      </w:r>
    </w:p>
    <w:p w14:paraId="5412BE20" w14:textId="77777777" w:rsidR="003D06F6" w:rsidRPr="002231A3" w:rsidRDefault="003D06F6" w:rsidP="002231A3">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
    <w:p w14:paraId="6E14BA39" w14:textId="77777777" w:rsidR="002231A3" w:rsidRPr="002231A3" w:rsidRDefault="002231A3" w:rsidP="002231A3">
      <w:pPr>
        <w:spacing w:after="0" w:line="240" w:lineRule="auto"/>
        <w:rPr>
          <w:rFonts w:ascii="Times New Roman" w:eastAsia="Times New Roman" w:hAnsi="Times New Roman" w:cs="Times New Roman"/>
          <w:kern w:val="0"/>
          <w:sz w:val="24"/>
          <w:szCs w:val="24"/>
          <w:lang w:val="en-US"/>
          <w14:ligatures w14:val="none"/>
        </w:rPr>
      </w:pPr>
    </w:p>
    <w:p w14:paraId="2C391A4A" w14:textId="77777777" w:rsidR="002231A3" w:rsidRPr="002231A3" w:rsidRDefault="002231A3" w:rsidP="002231A3">
      <w:pPr>
        <w:pBdr>
          <w:top w:val="single" w:sz="6" w:space="1" w:color="auto"/>
        </w:pBdr>
        <w:spacing w:after="0" w:line="240" w:lineRule="auto"/>
        <w:jc w:val="center"/>
        <w:rPr>
          <w:rFonts w:ascii="Arial" w:eastAsia="Times New Roman" w:hAnsi="Arial" w:cs="Arial"/>
          <w:vanish/>
          <w:kern w:val="0"/>
          <w:sz w:val="16"/>
          <w:szCs w:val="16"/>
          <w:lang w:val="en-US"/>
          <w14:ligatures w14:val="none"/>
        </w:rPr>
      </w:pPr>
      <w:r w:rsidRPr="002231A3">
        <w:rPr>
          <w:rFonts w:ascii="Arial" w:eastAsia="Times New Roman" w:hAnsi="Arial" w:cs="Arial"/>
          <w:vanish/>
          <w:kern w:val="0"/>
          <w:sz w:val="16"/>
          <w:szCs w:val="16"/>
          <w:lang w:val="en-US"/>
          <w14:ligatures w14:val="none"/>
        </w:rPr>
        <w:t>Bottom of Form</w:t>
      </w:r>
    </w:p>
    <w:p w14:paraId="25B24CD8" w14:textId="77777777" w:rsidR="001434E6" w:rsidRDefault="001434E6" w:rsidP="001434E6">
      <w:pPr>
        <w:spacing w:line="480" w:lineRule="auto"/>
        <w:jc w:val="both"/>
        <w:rPr>
          <w:rFonts w:ascii="Times New Roman" w:hAnsi="Times New Roman" w:cs="Times New Roman"/>
          <w:b/>
          <w:bCs/>
          <w:sz w:val="24"/>
          <w:szCs w:val="24"/>
        </w:rPr>
      </w:pPr>
    </w:p>
    <w:p w14:paraId="443ACAA4" w14:textId="77777777" w:rsidR="001434E6" w:rsidRDefault="001434E6" w:rsidP="001434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1E7CDD0E" w14:textId="451C5F09" w:rsidR="001434E6" w:rsidRPr="0011267A" w:rsidRDefault="001434E6" w:rsidP="001434E6">
      <w:pPr>
        <w:spacing w:line="48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Cholera remains a major public health challenge globally, particularly in Africa, where limited access to safe drinking water, poor sanitation, and inadequate hygiene practices create conditions that favour recurrent outbreaks. The disease is caused by </w:t>
      </w:r>
      <w:r>
        <w:rPr>
          <w:rFonts w:ascii="Times New Roman" w:hAnsi="Times New Roman" w:cs="Times New Roman"/>
          <w:i/>
          <w:iCs/>
          <w:sz w:val="24"/>
          <w:szCs w:val="24"/>
        </w:rPr>
        <w:t>Vibrio cholerae</w:t>
      </w:r>
      <w:r>
        <w:rPr>
          <w:rFonts w:ascii="Times New Roman" w:hAnsi="Times New Roman" w:cs="Times New Roman"/>
          <w:sz w:val="24"/>
          <w:szCs w:val="24"/>
        </w:rPr>
        <w:t xml:space="preserve">, a Gram-negative </w:t>
      </w:r>
      <w:r>
        <w:rPr>
          <w:rFonts w:ascii="Times New Roman" w:hAnsi="Times New Roman" w:cs="Times New Roman"/>
          <w:sz w:val="24"/>
          <w:szCs w:val="24"/>
        </w:rPr>
        <w:lastRenderedPageBreak/>
        <w:t>bacterium transmitted primarily via the faecal oral route, often through the ingestion of contaminated food or water. In severe cases, cholera can be fatal if not promptly diagnosed and treated</w:t>
      </w:r>
      <w:r w:rsidR="008A661B">
        <w:rPr>
          <w:rFonts w:ascii="Times New Roman" w:hAnsi="Times New Roman" w:cs="Times New Roman"/>
          <w:sz w:val="24"/>
          <w:szCs w:val="24"/>
        </w:rPr>
        <w:t xml:space="preserve"> </w:t>
      </w:r>
      <w:r w:rsidR="008A661B" w:rsidRPr="0011267A">
        <w:rPr>
          <w:rFonts w:ascii="Times New Roman" w:hAnsi="Times New Roman" w:cs="Times New Roman"/>
          <w:sz w:val="24"/>
          <w:szCs w:val="24"/>
          <w:highlight w:val="yellow"/>
        </w:rPr>
        <w:t>(</w:t>
      </w:r>
      <w:r w:rsidR="008A661B" w:rsidRPr="0011267A">
        <w:rPr>
          <w:rFonts w:ascii="Times New Roman" w:eastAsia="Times New Roman" w:hAnsi="Times New Roman" w:cs="Times New Roman"/>
          <w:kern w:val="0"/>
          <w:sz w:val="24"/>
          <w:szCs w:val="24"/>
          <w:highlight w:val="yellow"/>
          <w14:ligatures w14:val="none"/>
        </w:rPr>
        <w:t>Mohamed et al., 2025)</w:t>
      </w:r>
      <w:r w:rsidRPr="0011267A">
        <w:rPr>
          <w:rFonts w:ascii="Times New Roman" w:hAnsi="Times New Roman" w:cs="Times New Roman"/>
          <w:sz w:val="24"/>
          <w:szCs w:val="24"/>
          <w:highlight w:val="yellow"/>
        </w:rPr>
        <w:t>.</w:t>
      </w:r>
      <w:r w:rsidR="00D10BF6" w:rsidRPr="0011267A">
        <w:rPr>
          <w:rFonts w:ascii="Times New Roman" w:hAnsi="Times New Roman" w:cs="Times New Roman"/>
          <w:sz w:val="24"/>
          <w:szCs w:val="24"/>
          <w:highlight w:val="yellow"/>
        </w:rPr>
        <w:t xml:space="preserve"> The WHO estimates that cholera causes 3 to 5 million cases and 100,000 to 120,000 deaths each year, but many cases go unreported due to weak surveillance systems, resource constraints, and the stigma associated with the disease (Asantewaa et al., 2024).</w:t>
      </w:r>
    </w:p>
    <w:p w14:paraId="37393602" w14:textId="251EEC80"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Africa, cholera outbreaks are frequently linked to environmental contamination, overcrowding, and displacement of populations. Molecular studies have enhanced understanding of the spread and evolution of </w:t>
      </w:r>
      <w:r>
        <w:rPr>
          <w:rFonts w:ascii="Times New Roman" w:hAnsi="Times New Roman" w:cs="Times New Roman"/>
          <w:i/>
          <w:iCs/>
          <w:sz w:val="24"/>
          <w:szCs w:val="24"/>
        </w:rPr>
        <w:t>V. cholerae</w:t>
      </w:r>
      <w:r>
        <w:rPr>
          <w:rFonts w:ascii="Times New Roman" w:hAnsi="Times New Roman" w:cs="Times New Roman"/>
          <w:sz w:val="24"/>
          <w:szCs w:val="24"/>
        </w:rPr>
        <w:t xml:space="preserve"> across the continent (Nguyen </w:t>
      </w:r>
      <w:r>
        <w:rPr>
          <w:rFonts w:ascii="Times New Roman" w:hAnsi="Times New Roman" w:cs="Times New Roman"/>
          <w:i/>
          <w:iCs/>
          <w:sz w:val="24"/>
          <w:szCs w:val="24"/>
        </w:rPr>
        <w:t>et al</w:t>
      </w:r>
      <w:r>
        <w:rPr>
          <w:rFonts w:ascii="Times New Roman" w:hAnsi="Times New Roman" w:cs="Times New Roman"/>
          <w:sz w:val="24"/>
          <w:szCs w:val="24"/>
        </w:rPr>
        <w:t>., 2014</w:t>
      </w:r>
      <w:r w:rsidRPr="0011267A">
        <w:rPr>
          <w:rFonts w:ascii="Times New Roman" w:hAnsi="Times New Roman" w:cs="Times New Roman"/>
          <w:sz w:val="24"/>
          <w:szCs w:val="24"/>
          <w:highlight w:val="yellow"/>
        </w:rPr>
        <w:t xml:space="preserve">). </w:t>
      </w:r>
      <w:r w:rsidR="008A661B" w:rsidRPr="0011267A">
        <w:rPr>
          <w:rFonts w:ascii="Times New Roman" w:hAnsi="Times New Roman" w:cs="Times New Roman"/>
          <w:sz w:val="24"/>
          <w:szCs w:val="24"/>
          <w:highlight w:val="yellow"/>
          <w:lang w:val="en-US"/>
        </w:rPr>
        <w:t>Nigeria remains highly vulnerable to recurring cholera outbreaks due to factors such as lack of access to clean water, flooding, poverty, illiteracy, inadequate healthcare, poor sanitation infrastructure, and displacement caused by conflict</w:t>
      </w:r>
      <w:r w:rsidR="00D10BF6" w:rsidRPr="0011267A">
        <w:rPr>
          <w:rFonts w:ascii="Times New Roman" w:hAnsi="Times New Roman" w:cs="Times New Roman"/>
          <w:sz w:val="24"/>
          <w:szCs w:val="24"/>
          <w:highlight w:val="yellow"/>
          <w:lang w:val="en-US"/>
        </w:rPr>
        <w:t xml:space="preserve"> (Ogunniyi et al., 2025)</w:t>
      </w:r>
      <w:r w:rsidR="008A661B" w:rsidRPr="0011267A">
        <w:rPr>
          <w:rFonts w:ascii="Times New Roman" w:hAnsi="Times New Roman" w:cs="Times New Roman"/>
          <w:sz w:val="24"/>
          <w:szCs w:val="24"/>
          <w:highlight w:val="yellow"/>
          <w:lang w:val="en-US"/>
        </w:rPr>
        <w:t xml:space="preserve">. </w:t>
      </w:r>
      <w:r>
        <w:rPr>
          <w:rFonts w:ascii="Times New Roman" w:hAnsi="Times New Roman" w:cs="Times New Roman"/>
          <w:sz w:val="24"/>
          <w:szCs w:val="24"/>
        </w:rPr>
        <w:t xml:space="preserve">Investigations have revealed the circulation of multiple strains, each with varying genotypes and antibiotic resistance patterns (Nelson </w:t>
      </w:r>
      <w:r>
        <w:rPr>
          <w:rFonts w:ascii="Times New Roman" w:hAnsi="Times New Roman" w:cs="Times New Roman"/>
          <w:i/>
          <w:iCs/>
          <w:sz w:val="24"/>
          <w:szCs w:val="24"/>
        </w:rPr>
        <w:t>et al</w:t>
      </w:r>
      <w:r>
        <w:rPr>
          <w:rFonts w:ascii="Times New Roman" w:hAnsi="Times New Roman" w:cs="Times New Roman"/>
          <w:sz w:val="24"/>
          <w:szCs w:val="24"/>
        </w:rPr>
        <w:t xml:space="preserve">., 2020). With the application of whole-genome sequencing (WGS) and related molecular techniques, researchers have been able to </w:t>
      </w:r>
      <w:r w:rsidR="008A661B">
        <w:rPr>
          <w:rFonts w:ascii="Times New Roman" w:hAnsi="Times New Roman" w:cs="Times New Roman"/>
          <w:sz w:val="24"/>
          <w:szCs w:val="24"/>
        </w:rPr>
        <w:t xml:space="preserve">characterise </w:t>
      </w:r>
      <w:r>
        <w:rPr>
          <w:rFonts w:ascii="Times New Roman" w:hAnsi="Times New Roman" w:cs="Times New Roman"/>
          <w:sz w:val="24"/>
          <w:szCs w:val="24"/>
        </w:rPr>
        <w:t xml:space="preserve">the genetic diversity of isolates, track strain evolution, and identify links between outbreaks, migration, and environmental drivers (Wahed </w:t>
      </w:r>
      <w:r>
        <w:rPr>
          <w:rFonts w:ascii="Times New Roman" w:hAnsi="Times New Roman" w:cs="Times New Roman"/>
          <w:i/>
          <w:iCs/>
          <w:sz w:val="24"/>
          <w:szCs w:val="24"/>
        </w:rPr>
        <w:t>et al</w:t>
      </w:r>
      <w:r>
        <w:rPr>
          <w:rFonts w:ascii="Times New Roman" w:hAnsi="Times New Roman" w:cs="Times New Roman"/>
          <w:sz w:val="24"/>
          <w:szCs w:val="24"/>
        </w:rPr>
        <w:t>., 2013).</w:t>
      </w:r>
    </w:p>
    <w:p w14:paraId="28D9AEFD" w14:textId="4D1F6555"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Internally displaced persons (IDPs) are defined as “persons or groups of people who have been forced to flee their homes or habitual places of residence, in particular as a result of armed conflict, generalized violence, human rights violations, or natural and human-made disasters, but who have not crossed an internationally recognized state border” (UNHCR, 1998</w:t>
      </w:r>
      <w:r w:rsidR="0075633B" w:rsidRPr="0011267A">
        <w:rPr>
          <w:rFonts w:ascii="Times New Roman" w:hAnsi="Times New Roman" w:cs="Times New Roman"/>
          <w:sz w:val="24"/>
          <w:szCs w:val="24"/>
          <w:highlight w:val="yellow"/>
        </w:rPr>
        <w:t xml:space="preserve">; Kayembe et al., 2023; </w:t>
      </w:r>
      <w:proofErr w:type="spellStart"/>
      <w:r w:rsidR="0075633B" w:rsidRPr="0011267A">
        <w:rPr>
          <w:rFonts w:ascii="Times New Roman" w:hAnsi="Times New Roman" w:cs="Times New Roman"/>
          <w:sz w:val="24"/>
          <w:szCs w:val="24"/>
          <w:highlight w:val="yellow"/>
        </w:rPr>
        <w:t>Dafallah</w:t>
      </w:r>
      <w:proofErr w:type="spellEnd"/>
      <w:r w:rsidR="0075633B" w:rsidRPr="0011267A">
        <w:rPr>
          <w:rFonts w:ascii="Times New Roman" w:hAnsi="Times New Roman" w:cs="Times New Roman"/>
          <w:sz w:val="24"/>
          <w:szCs w:val="24"/>
          <w:highlight w:val="yellow"/>
        </w:rPr>
        <w:t xml:space="preserve"> et al., 2026</w:t>
      </w:r>
      <w:r w:rsidRPr="0011267A">
        <w:rPr>
          <w:rFonts w:ascii="Times New Roman" w:hAnsi="Times New Roman" w:cs="Times New Roman"/>
          <w:sz w:val="24"/>
          <w:szCs w:val="24"/>
          <w:highlight w:val="yellow"/>
        </w:rPr>
        <w:t xml:space="preserve">). </w:t>
      </w:r>
      <w:r>
        <w:rPr>
          <w:rFonts w:ascii="Times New Roman" w:hAnsi="Times New Roman" w:cs="Times New Roman"/>
          <w:sz w:val="24"/>
          <w:szCs w:val="24"/>
        </w:rPr>
        <w:t>IDP camps in Africa, including Nigeria, often provide the exact conditions limited sanitation facilities, unsafe water sources, overcrowding, and poor waste disposal systems that facilitate the spread of cholera.</w:t>
      </w:r>
    </w:p>
    <w:p w14:paraId="421AE598" w14:textId="77777777" w:rsidR="001434E6"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MATERIALS AND METHODS</w:t>
      </w:r>
    </w:p>
    <w:p w14:paraId="1CE6CF37" w14:textId="77777777" w:rsidR="007E4179"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Design of the Study</w:t>
      </w:r>
    </w:p>
    <w:p w14:paraId="5DA82009" w14:textId="77777777" w:rsidR="007E4179" w:rsidRDefault="007E4179" w:rsidP="001434E6">
      <w:pPr>
        <w:spacing w:line="480" w:lineRule="auto"/>
        <w:jc w:val="both"/>
        <w:rPr>
          <w:rFonts w:ascii="Times New Roman" w:hAnsi="Times New Roman" w:cs="Times New Roman"/>
          <w:b/>
          <w:sz w:val="24"/>
          <w:szCs w:val="24"/>
        </w:rPr>
      </w:pPr>
      <w:r w:rsidRPr="00B806DE">
        <w:rPr>
          <w:rFonts w:ascii="Times New Roman" w:hAnsi="Times New Roman" w:cs="Times New Roman"/>
          <w:sz w:val="24"/>
          <w:szCs w:val="24"/>
        </w:rPr>
        <w:t>T</w:t>
      </w:r>
      <w:r w:rsidR="001434E6">
        <w:rPr>
          <w:rFonts w:ascii="Times New Roman" w:hAnsi="Times New Roman" w:cs="Times New Roman"/>
          <w:sz w:val="24"/>
          <w:szCs w:val="24"/>
        </w:rPr>
        <w:t>he research employed a cross-sectional study design, which involved collecting samples from a defined population at a specific point in time. In this study, stool samples were obtained from individuals presenting with diarrhoea in selected IDP camps. The samples were subjected to laboratory analyses using a range of microbiological and molecular identification techniques. In addition, demographic data of the participants were recorded to provide context for interpreting the findings.</w:t>
      </w:r>
    </w:p>
    <w:p w14:paraId="15E1D5CF" w14:textId="77777777" w:rsidR="001434E6" w:rsidRDefault="001434E6" w:rsidP="00B806D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Study Population</w:t>
      </w:r>
    </w:p>
    <w:p w14:paraId="13D42631" w14:textId="77777777" w:rsidR="001434E6" w:rsidRDefault="001434E6" w:rsidP="001434E6">
      <w:pPr>
        <w:spacing w:line="480" w:lineRule="auto"/>
        <w:rPr>
          <w:rFonts w:ascii="Times New Roman" w:hAnsi="Times New Roman" w:cs="Times New Roman"/>
          <w:sz w:val="24"/>
          <w:szCs w:val="24"/>
        </w:rPr>
      </w:pPr>
      <w:r>
        <w:rPr>
          <w:rFonts w:ascii="Times New Roman" w:hAnsi="Times New Roman" w:cs="Times New Roman"/>
          <w:sz w:val="24"/>
          <w:szCs w:val="24"/>
        </w:rPr>
        <w:t>The study population consisted of diarrheic individuals residing in IDP camps across the three North Central states of Nigeria: Benue, Nasarawa, and Plateau. Participants were recruited from the selected camps in these states, and only those meeting the inclusion criteria were considered for sample collection and analysis.</w:t>
      </w:r>
    </w:p>
    <w:p w14:paraId="4CC9DDEC" w14:textId="77777777" w:rsidR="001434E6" w:rsidRDefault="001434E6"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Sample Size Determination</w:t>
      </w:r>
    </w:p>
    <w:p w14:paraId="77538272" w14:textId="77777777" w:rsidR="001434E6" w:rsidRDefault="001434E6" w:rsidP="001434E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Sample size was determined based on this n=Z</w:t>
      </w:r>
      <w:r>
        <w:rPr>
          <w:rFonts w:ascii="Times New Roman" w:hAnsi="Times New Roman" w:cs="Times New Roman"/>
          <w:sz w:val="24"/>
          <w:szCs w:val="24"/>
          <w:vertAlign w:val="superscript"/>
        </w:rPr>
        <w:t>2</w:t>
      </w:r>
      <w:r>
        <w:rPr>
          <w:rFonts w:ascii="Times New Roman" w:hAnsi="Times New Roman" w:cs="Times New Roman"/>
          <w:sz w:val="24"/>
          <w:szCs w:val="24"/>
        </w:rPr>
        <w:t>Pq/d</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(Naing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59C035D7"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n=Z</w:t>
      </w:r>
      <w:r>
        <w:rPr>
          <w:rFonts w:ascii="Times New Roman" w:hAnsi="Times New Roman" w:cs="Times New Roman"/>
          <w:sz w:val="24"/>
          <w:szCs w:val="24"/>
          <w:vertAlign w:val="superscript"/>
        </w:rPr>
        <w:t>2</w:t>
      </w:r>
      <w:r>
        <w:rPr>
          <w:rFonts w:ascii="Times New Roman" w:hAnsi="Times New Roman" w:cs="Times New Roman"/>
          <w:sz w:val="24"/>
          <w:szCs w:val="24"/>
        </w:rPr>
        <w:t>Pq/d</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(Naing </w:t>
      </w:r>
      <w:r>
        <w:rPr>
          <w:rFonts w:ascii="Times New Roman" w:hAnsi="Times New Roman" w:cs="Times New Roman"/>
          <w:i/>
          <w:iCs/>
          <w:sz w:val="24"/>
          <w:szCs w:val="24"/>
        </w:rPr>
        <w:t>et al.</w:t>
      </w:r>
      <w:r>
        <w:rPr>
          <w:rFonts w:ascii="Times New Roman" w:hAnsi="Times New Roman" w:cs="Times New Roman"/>
          <w:sz w:val="24"/>
          <w:szCs w:val="24"/>
        </w:rPr>
        <w:t>, 2022).</w:t>
      </w:r>
    </w:p>
    <w:p w14:paraId="3DDE5EA2"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n= desired sample size</w:t>
      </w:r>
    </w:p>
    <w:p w14:paraId="16E14B6A"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Z= 95</w:t>
      </w:r>
      <w:r>
        <w:rPr>
          <w:rFonts w:ascii="Times New Roman" w:hAnsi="Times New Roman" w:cs="Times New Roman"/>
          <w:i/>
          <w:iCs/>
          <w:sz w:val="24"/>
          <w:szCs w:val="24"/>
        </w:rPr>
        <w:t xml:space="preserve"> </w:t>
      </w:r>
      <w:r>
        <w:rPr>
          <w:rFonts w:ascii="Times New Roman" w:hAnsi="Times New Roman" w:cs="Times New Roman"/>
          <w:sz w:val="24"/>
          <w:szCs w:val="24"/>
        </w:rPr>
        <w:t xml:space="preserve">% confidence interval = </w:t>
      </w:r>
      <w:r>
        <w:rPr>
          <w:rFonts w:ascii="Times New Roman" w:hAnsi="Times New Roman" w:cs="Times New Roman"/>
          <w:sz w:val="24"/>
          <w:szCs w:val="24"/>
        </w:rPr>
        <w:tab/>
        <w:t>1.96.</w:t>
      </w:r>
    </w:p>
    <w:p w14:paraId="5C16DDD3"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 xml:space="preserve">P= is the previous study of </w:t>
      </w:r>
      <w:r>
        <w:rPr>
          <w:rFonts w:ascii="Times New Roman" w:hAnsi="Times New Roman" w:cs="Times New Roman"/>
          <w:i/>
          <w:sz w:val="24"/>
          <w:szCs w:val="24"/>
        </w:rPr>
        <w:t>V. cholera</w:t>
      </w:r>
      <w:r>
        <w:rPr>
          <w:rFonts w:ascii="Times New Roman" w:hAnsi="Times New Roman" w:cs="Times New Roman"/>
          <w:sz w:val="24"/>
          <w:szCs w:val="24"/>
        </w:rPr>
        <w:t xml:space="preserve"> at 46.7% (</w:t>
      </w:r>
      <w:proofErr w:type="spellStart"/>
      <w:r>
        <w:rPr>
          <w:rFonts w:ascii="Times New Roman" w:hAnsi="Times New Roman" w:cs="Times New Roman"/>
          <w:sz w:val="24"/>
          <w:szCs w:val="24"/>
        </w:rPr>
        <w:t>Fasema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w:t>
      </w:r>
      <w:proofErr w:type="spellStart"/>
      <w:r>
        <w:rPr>
          <w:rFonts w:ascii="Times New Roman" w:hAnsi="Times New Roman" w:cs="Times New Roman"/>
          <w:sz w:val="24"/>
          <w:szCs w:val="24"/>
        </w:rPr>
        <w:t>Aladese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Arivo</w:t>
      </w:r>
      <w:proofErr w:type="spellEnd"/>
      <w:r>
        <w:rPr>
          <w:rFonts w:ascii="Times New Roman" w:hAnsi="Times New Roman" w:cs="Times New Roman"/>
          <w:sz w:val="24"/>
          <w:szCs w:val="24"/>
        </w:rPr>
        <w:t xml:space="preserve">, </w:t>
      </w:r>
      <w:r>
        <w:rPr>
          <w:rFonts w:ascii="Times New Roman" w:hAnsi="Times New Roman" w:cs="Times New Roman"/>
          <w:sz w:val="24"/>
          <w:szCs w:val="24"/>
        </w:rPr>
        <w:tab/>
        <w:t>2021)</w:t>
      </w:r>
    </w:p>
    <w:p w14:paraId="7448C9F5"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d=error margin which is taken at 5</w:t>
      </w:r>
      <w:r>
        <w:rPr>
          <w:rFonts w:ascii="Times New Roman" w:hAnsi="Times New Roman" w:cs="Times New Roman"/>
          <w:i/>
          <w:iCs/>
          <w:sz w:val="24"/>
          <w:szCs w:val="24"/>
        </w:rPr>
        <w:t xml:space="preserve"> </w:t>
      </w:r>
      <w:r>
        <w:rPr>
          <w:rFonts w:ascii="Times New Roman" w:hAnsi="Times New Roman" w:cs="Times New Roman"/>
          <w:sz w:val="24"/>
          <w:szCs w:val="24"/>
        </w:rPr>
        <w:t>% = 0.05</w:t>
      </w:r>
    </w:p>
    <w:p w14:paraId="2778A1D5"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q=1.0 –P</w:t>
      </w:r>
    </w:p>
    <w:p w14:paraId="59E53C86"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n =1.96</w:t>
      </w:r>
      <w:r>
        <w:rPr>
          <w:rFonts w:ascii="Times New Roman" w:hAnsi="Times New Roman" w:cs="Times New Roman"/>
          <w:sz w:val="24"/>
          <w:szCs w:val="24"/>
          <w:vertAlign w:val="superscript"/>
        </w:rPr>
        <w:t xml:space="preserve">2 </w:t>
      </w:r>
      <w:r>
        <w:rPr>
          <w:rFonts w:ascii="Times New Roman" w:hAnsi="Times New Roman" w:cs="Times New Roman"/>
          <w:sz w:val="24"/>
          <w:szCs w:val="24"/>
        </w:rPr>
        <w:t>×0.467 (1-0.5)/0.05</w:t>
      </w:r>
      <w:r>
        <w:rPr>
          <w:rFonts w:ascii="Times New Roman" w:hAnsi="Times New Roman" w:cs="Times New Roman"/>
          <w:sz w:val="24"/>
          <w:szCs w:val="24"/>
          <w:vertAlign w:val="superscript"/>
        </w:rPr>
        <w:t xml:space="preserve">2 </w:t>
      </w:r>
      <w:r>
        <w:rPr>
          <w:rFonts w:ascii="Times New Roman" w:hAnsi="Times New Roman" w:cs="Times New Roman"/>
          <w:sz w:val="24"/>
          <w:szCs w:val="24"/>
        </w:rPr>
        <w:t>=358.81</w:t>
      </w:r>
    </w:p>
    <w:p w14:paraId="4A4FB9D8"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Times New Roman" w:hAnsi="Times New Roman" w:cs="Times New Roman"/>
          <w:sz w:val="24"/>
          <w:szCs w:val="24"/>
        </w:rPr>
        <w:tab/>
        <w:t>358.81</w:t>
      </w:r>
    </w:p>
    <w:p w14:paraId="6F997326" w14:textId="77777777" w:rsidR="001434E6" w:rsidRDefault="001434E6" w:rsidP="001434E6">
      <w:pPr>
        <w:tabs>
          <w:tab w:val="left" w:pos="1220"/>
        </w:tabs>
        <w:spacing w:before="62" w:after="0" w:line="340" w:lineRule="exact"/>
        <w:rPr>
          <w:rFonts w:ascii="Times New Roman" w:hAnsi="Times New Roman" w:cs="Times New Roman"/>
          <w:sz w:val="24"/>
          <w:szCs w:val="24"/>
        </w:rPr>
      </w:pPr>
      <w:r>
        <w:rPr>
          <w:rFonts w:ascii="Cambria Math" w:hAnsi="Cambria Math" w:cs="Cambria Math"/>
          <w:sz w:val="24"/>
          <w:szCs w:val="24"/>
        </w:rPr>
        <w:tab/>
        <w:t xml:space="preserve">≃ </w:t>
      </w:r>
      <w:r>
        <w:rPr>
          <w:rFonts w:ascii="Times New Roman" w:hAnsi="Times New Roman" w:cs="Times New Roman"/>
          <w:sz w:val="24"/>
          <w:szCs w:val="24"/>
        </w:rPr>
        <w:t>422</w:t>
      </w:r>
    </w:p>
    <w:p w14:paraId="6CE37748" w14:textId="77777777" w:rsidR="001434E6" w:rsidRDefault="001434E6" w:rsidP="001434E6">
      <w:pPr>
        <w:tabs>
          <w:tab w:val="left" w:pos="1220"/>
        </w:tabs>
        <w:spacing w:before="62" w:after="0" w:line="340" w:lineRule="exact"/>
        <w:rPr>
          <w:sz w:val="24"/>
          <w:szCs w:val="24"/>
        </w:rPr>
      </w:pPr>
      <w:r>
        <w:rPr>
          <w:rFonts w:ascii="Times New Roman" w:eastAsia="Times New Roman" w:hAnsi="Times New Roman" w:cs="Times New Roman"/>
          <w:i/>
          <w:w w:val="101"/>
          <w:position w:val="-7"/>
          <w:sz w:val="24"/>
          <w:szCs w:val="24"/>
        </w:rPr>
        <w:lastRenderedPageBreak/>
        <w:tab/>
      </w:r>
    </w:p>
    <w:p w14:paraId="6D63F65F" w14:textId="77777777" w:rsidR="001434E6" w:rsidRDefault="001434E6" w:rsidP="00B806DE">
      <w:pPr>
        <w:spacing w:line="240" w:lineRule="auto"/>
        <w:jc w:val="both"/>
        <w:rPr>
          <w:rFonts w:ascii="Times New Roman" w:hAnsi="Times New Roman" w:cs="Times New Roman"/>
          <w:b/>
          <w:sz w:val="24"/>
          <w:szCs w:val="24"/>
        </w:rPr>
      </w:pPr>
      <w:r>
        <w:rPr>
          <w:rFonts w:ascii="Times New Roman" w:hAnsi="Times New Roman" w:cs="Times New Roman"/>
          <w:b/>
          <w:sz w:val="24"/>
          <w:szCs w:val="24"/>
        </w:rPr>
        <w:t>Inclusion Criteria</w:t>
      </w:r>
    </w:p>
    <w:p w14:paraId="2EEF8609"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Participants eligible for inclusion in this study were individuals residing in the selected IDP camps who presented with symptoms of diarrhoea at the time of sampling.</w:t>
      </w:r>
    </w:p>
    <w:p w14:paraId="35F5D3EC" w14:textId="77777777" w:rsidR="001434E6" w:rsidRDefault="00B806DE"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434E6">
        <w:rPr>
          <w:rFonts w:ascii="Times New Roman" w:hAnsi="Times New Roman" w:cs="Times New Roman"/>
          <w:b/>
          <w:bCs/>
          <w:sz w:val="24"/>
          <w:szCs w:val="24"/>
        </w:rPr>
        <w:t>Exclusion Criteria</w:t>
      </w:r>
    </w:p>
    <w:p w14:paraId="32CFD79B"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Individuals in the camps who did not exhibit diarrheal symptoms were excluded from the study.</w:t>
      </w:r>
    </w:p>
    <w:p w14:paraId="6A8F2B19" w14:textId="77777777" w:rsidR="001434E6" w:rsidRDefault="00B806DE"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434E6">
        <w:rPr>
          <w:rFonts w:ascii="Times New Roman" w:hAnsi="Times New Roman" w:cs="Times New Roman"/>
          <w:b/>
          <w:bCs/>
          <w:sz w:val="24"/>
          <w:szCs w:val="24"/>
        </w:rPr>
        <w:t>Data Collection</w:t>
      </w:r>
    </w:p>
    <w:p w14:paraId="11755D77"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collection was carried out using a structured questionnaire, which was administered to all individuals who met the inclusion criteria. The questionnaire was designed to obtain information on socio-demographic characteristics and potential risk factors associated with diarrheal illness. For participants who were not proficient in English, the researcher provided interpretation in local languages to ensure accurate understanding and proper completion of the questionnaire.</w:t>
      </w:r>
    </w:p>
    <w:p w14:paraId="5D04A8CB" w14:textId="7E9D1BFE" w:rsidR="001434E6" w:rsidRDefault="001434E6" w:rsidP="00B806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Sample Colle</w:t>
      </w:r>
      <w:r w:rsidR="00B806DE">
        <w:rPr>
          <w:rFonts w:ascii="Times New Roman" w:hAnsi="Times New Roman" w:cs="Times New Roman"/>
          <w:b/>
          <w:bCs/>
          <w:sz w:val="24"/>
          <w:szCs w:val="24"/>
        </w:rPr>
        <w:t xml:space="preserve">ction </w:t>
      </w:r>
    </w:p>
    <w:p w14:paraId="16CC663D"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Stool specimens were collected from diarrheic participants using clean, dry, leak-proof containers pre-filled with Cary-Blair transport medium. Care was taken to avoid contamination with urine, water, soil, or other extraneous materials. The collected samples were immediately packed in ice-cold boxes and transported under controlled ambient conditions to the Service Laboratory of the Department of Medical Microbiology and Parasitology, Benue State University Teaching Hospital, Makurdi, for further processing and analysis.</w:t>
      </w:r>
    </w:p>
    <w:p w14:paraId="3A7AFA9E" w14:textId="77777777" w:rsidR="001434E6" w:rsidRDefault="001434E6" w:rsidP="001434E6">
      <w:pPr>
        <w:spacing w:line="480" w:lineRule="auto"/>
        <w:jc w:val="both"/>
        <w:rPr>
          <w:rFonts w:ascii="Times New Roman" w:hAnsi="Times New Roman" w:cs="Times New Roman"/>
          <w:sz w:val="24"/>
          <w:szCs w:val="24"/>
        </w:rPr>
      </w:pPr>
    </w:p>
    <w:p w14:paraId="1AED4BAE" w14:textId="77777777" w:rsidR="001434E6" w:rsidRDefault="00B806DE"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434E6">
        <w:rPr>
          <w:rFonts w:ascii="Times New Roman" w:hAnsi="Times New Roman" w:cs="Times New Roman"/>
          <w:b/>
          <w:sz w:val="24"/>
          <w:szCs w:val="24"/>
        </w:rPr>
        <w:t xml:space="preserve">Isolation of </w:t>
      </w:r>
      <w:r w:rsidR="007E4179">
        <w:rPr>
          <w:rFonts w:ascii="Times New Roman" w:hAnsi="Times New Roman" w:cs="Times New Roman"/>
          <w:b/>
          <w:i/>
          <w:iCs/>
          <w:sz w:val="24"/>
          <w:szCs w:val="24"/>
        </w:rPr>
        <w:t xml:space="preserve">Vibrio cholera </w:t>
      </w:r>
      <w:r>
        <w:rPr>
          <w:rFonts w:ascii="Times New Roman" w:hAnsi="Times New Roman" w:cs="Times New Roman"/>
          <w:iCs/>
          <w:sz w:val="24"/>
          <w:szCs w:val="24"/>
        </w:rPr>
        <w:t>using</w:t>
      </w:r>
      <w:r w:rsidR="001434E6" w:rsidRPr="007E4179">
        <w:rPr>
          <w:rFonts w:ascii="Times New Roman" w:hAnsi="Times New Roman" w:cs="Times New Roman"/>
          <w:sz w:val="24"/>
          <w:szCs w:val="24"/>
        </w:rPr>
        <w:t xml:space="preserve"> </w:t>
      </w:r>
      <w:r w:rsidR="001434E6">
        <w:rPr>
          <w:rFonts w:ascii="Times New Roman" w:hAnsi="Times New Roman" w:cs="Times New Roman"/>
          <w:b/>
          <w:sz w:val="24"/>
          <w:szCs w:val="24"/>
        </w:rPr>
        <w:t xml:space="preserve">Immunochromatographic One-Step Rapid Visual Test for </w:t>
      </w:r>
      <w:r w:rsidR="001434E6">
        <w:rPr>
          <w:rFonts w:ascii="Times New Roman" w:hAnsi="Times New Roman" w:cs="Times New Roman"/>
          <w:b/>
          <w:i/>
          <w:iCs/>
          <w:sz w:val="24"/>
          <w:szCs w:val="24"/>
        </w:rPr>
        <w:t>Vibrio cholerae</w:t>
      </w:r>
      <w:r w:rsidR="007E4179">
        <w:rPr>
          <w:rFonts w:ascii="Times New Roman" w:hAnsi="Times New Roman" w:cs="Times New Roman"/>
          <w:b/>
          <w:sz w:val="24"/>
          <w:szCs w:val="24"/>
        </w:rPr>
        <w:t xml:space="preserve"> </w:t>
      </w:r>
    </w:p>
    <w:p w14:paraId="1C7D023E"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Using a sterile sampling stick, a small portion of stool was collected from at least two different areas of the same sample and introduced into the sample processing vial provided with the kit. In cases of liquid stool, a disposable plastic dropper was used to dispense drops directly into the vial. The vial was tightly recapped and shaken to ensure thorough mixing. The transparent cap was then removed, and the sampling stick was broken at the indicated point to allow dispensing of the suspension into the test tube. Four drops of the prepared suspension were transferred into the test tube, after which the vial was recapped. A dipstick </w:t>
      </w:r>
      <w:proofErr w:type="spellStart"/>
      <w:r>
        <w:rPr>
          <w:rFonts w:ascii="Times New Roman" w:hAnsi="Times New Roman" w:cs="Times New Roman"/>
          <w:sz w:val="24"/>
          <w:szCs w:val="24"/>
        </w:rPr>
        <w:t>labeled</w:t>
      </w:r>
      <w:proofErr w:type="spellEnd"/>
      <w:r>
        <w:rPr>
          <w:rFonts w:ascii="Times New Roman" w:hAnsi="Times New Roman" w:cs="Times New Roman"/>
          <w:sz w:val="24"/>
          <w:szCs w:val="24"/>
        </w:rPr>
        <w:t xml:space="preserve"> with the participant’s identification number was placed vertically in the test tube with the arrows pointing downward. The test results were read between 15 and 30 minutes after immersion.</w:t>
      </w:r>
      <w:r w:rsidR="007E4179">
        <w:rPr>
          <w:rFonts w:ascii="Times New Roman" w:hAnsi="Times New Roman" w:cs="Times New Roman"/>
          <w:sz w:val="24"/>
          <w:szCs w:val="24"/>
        </w:rPr>
        <w:t xml:space="preserve"> </w:t>
      </w:r>
      <w:r>
        <w:rPr>
          <w:rFonts w:ascii="Times New Roman" w:hAnsi="Times New Roman" w:cs="Times New Roman"/>
          <w:sz w:val="24"/>
          <w:szCs w:val="24"/>
        </w:rPr>
        <w:t xml:space="preserve">The presence of two pinkish-red bands—one at the control (C) region and another at the T1 region—was interpreted as positive for </w:t>
      </w:r>
      <w:r>
        <w:rPr>
          <w:rFonts w:ascii="Times New Roman" w:hAnsi="Times New Roman" w:cs="Times New Roman"/>
          <w:i/>
          <w:iCs/>
          <w:sz w:val="24"/>
          <w:szCs w:val="24"/>
        </w:rPr>
        <w:t>V. cholerae</w:t>
      </w:r>
      <w:r>
        <w:rPr>
          <w:rFonts w:ascii="Times New Roman" w:hAnsi="Times New Roman" w:cs="Times New Roman"/>
          <w:sz w:val="24"/>
          <w:szCs w:val="24"/>
        </w:rPr>
        <w:t xml:space="preserve"> O139 LPS antigen. Similarly, bands appearing at the C and T2 regions indicated a positive result for </w:t>
      </w:r>
      <w:r>
        <w:rPr>
          <w:rFonts w:ascii="Times New Roman" w:hAnsi="Times New Roman" w:cs="Times New Roman"/>
          <w:i/>
          <w:iCs/>
          <w:sz w:val="24"/>
          <w:szCs w:val="24"/>
        </w:rPr>
        <w:t>V. cholerae</w:t>
      </w:r>
      <w:r>
        <w:rPr>
          <w:rFonts w:ascii="Times New Roman" w:hAnsi="Times New Roman" w:cs="Times New Roman"/>
          <w:sz w:val="24"/>
          <w:szCs w:val="24"/>
        </w:rPr>
        <w:t xml:space="preserve"> O1 LPS antigen. A negative result was defined by the appearance of only a single band at the control (C) region with no visible bands at the T1 or T2 regions.</w:t>
      </w:r>
    </w:p>
    <w:p w14:paraId="02CBC890" w14:textId="77777777" w:rsidR="001434E6" w:rsidRDefault="001434E6" w:rsidP="00B806D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Culture of Stool Samples</w:t>
      </w:r>
    </w:p>
    <w:p w14:paraId="5ED9ED17"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cultural isolation of </w:t>
      </w:r>
      <w:r>
        <w:rPr>
          <w:rFonts w:ascii="Times New Roman" w:hAnsi="Times New Roman" w:cs="Times New Roman"/>
          <w:i/>
          <w:iCs/>
          <w:sz w:val="24"/>
          <w:szCs w:val="24"/>
        </w:rPr>
        <w:t>Vibrio cholerae</w:t>
      </w:r>
      <w:r>
        <w:rPr>
          <w:rFonts w:ascii="Times New Roman" w:hAnsi="Times New Roman" w:cs="Times New Roman"/>
          <w:sz w:val="24"/>
          <w:szCs w:val="24"/>
        </w:rPr>
        <w:t xml:space="preserve"> was performed following a modified protocol described by Anwar and colleagues (2012). A loopful of stool specimen was inoculated into Alkaline Peptone Water (APW) broth contained in McCartney bottles and incubated at 37 °C for 24 hours. Following</w:t>
      </w:r>
      <w:r w:rsidR="007E4179">
        <w:rPr>
          <w:rFonts w:ascii="Times New Roman" w:hAnsi="Times New Roman" w:cs="Times New Roman"/>
          <w:sz w:val="24"/>
          <w:szCs w:val="24"/>
        </w:rPr>
        <w:t xml:space="preserve"> </w:t>
      </w:r>
      <w:r>
        <w:rPr>
          <w:rFonts w:ascii="Times New Roman" w:hAnsi="Times New Roman" w:cs="Times New Roman"/>
          <w:sz w:val="24"/>
          <w:szCs w:val="24"/>
        </w:rPr>
        <w:t>enrichment, the inoculum was streaked onto Thiosulfate Citrate Bile Salts Sucrose (TCBS) agar (</w:t>
      </w:r>
      <w:proofErr w:type="spellStart"/>
      <w:r>
        <w:rPr>
          <w:rFonts w:ascii="Times New Roman" w:hAnsi="Times New Roman" w:cs="Times New Roman"/>
          <w:sz w:val="24"/>
          <w:szCs w:val="24"/>
        </w:rPr>
        <w:t>Oxoid</w:t>
      </w:r>
      <w:proofErr w:type="spellEnd"/>
      <w:r>
        <w:rPr>
          <w:rFonts w:ascii="Times New Roman" w:hAnsi="Times New Roman" w:cs="Times New Roman"/>
          <w:sz w:val="24"/>
          <w:szCs w:val="24"/>
        </w:rPr>
        <w:t xml:space="preserve">, UK) and </w:t>
      </w:r>
      <w:proofErr w:type="spellStart"/>
      <w:r>
        <w:rPr>
          <w:rFonts w:ascii="Times New Roman" w:hAnsi="Times New Roman" w:cs="Times New Roman"/>
          <w:sz w:val="24"/>
          <w:szCs w:val="24"/>
        </w:rPr>
        <w:t>Kligler</w:t>
      </w:r>
      <w:proofErr w:type="spellEnd"/>
      <w:r>
        <w:rPr>
          <w:rFonts w:ascii="Times New Roman" w:hAnsi="Times New Roman" w:cs="Times New Roman"/>
          <w:sz w:val="24"/>
          <w:szCs w:val="24"/>
        </w:rPr>
        <w:t xml:space="preserve"> Iron Agar (KIA) (Oxoid, UK) and incubated at 37 °C for another 24 hours. After incubation, colonies were examined for morphology and subjected to further tests.</w:t>
      </w:r>
    </w:p>
    <w:p w14:paraId="69696EB6" w14:textId="77777777" w:rsidR="00B806DE" w:rsidRDefault="00B806DE" w:rsidP="001434E6">
      <w:pPr>
        <w:spacing w:line="480" w:lineRule="auto"/>
        <w:jc w:val="both"/>
        <w:rPr>
          <w:rFonts w:ascii="Times New Roman" w:hAnsi="Times New Roman" w:cs="Times New Roman"/>
          <w:sz w:val="24"/>
          <w:szCs w:val="24"/>
        </w:rPr>
      </w:pPr>
    </w:p>
    <w:p w14:paraId="0CC9276B" w14:textId="77777777" w:rsidR="001434E6" w:rsidRDefault="007E4179"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I</w:t>
      </w:r>
      <w:r w:rsidR="001434E6">
        <w:rPr>
          <w:rFonts w:ascii="Times New Roman" w:hAnsi="Times New Roman" w:cs="Times New Roman"/>
          <w:b/>
          <w:sz w:val="24"/>
          <w:szCs w:val="24"/>
        </w:rPr>
        <w:t>dentification of</w:t>
      </w:r>
      <w:r w:rsidRPr="007E4179">
        <w:rPr>
          <w:rFonts w:ascii="Times New Roman" w:hAnsi="Times New Roman" w:cs="Times New Roman"/>
          <w:i/>
          <w:iCs/>
          <w:sz w:val="24"/>
          <w:szCs w:val="24"/>
        </w:rPr>
        <w:t xml:space="preserve"> </w:t>
      </w:r>
      <w:r w:rsidRPr="007E4179">
        <w:rPr>
          <w:rFonts w:ascii="Times New Roman" w:hAnsi="Times New Roman" w:cs="Times New Roman"/>
          <w:b/>
          <w:i/>
          <w:iCs/>
          <w:sz w:val="24"/>
          <w:szCs w:val="24"/>
        </w:rPr>
        <w:t>Vibrio cholerae</w:t>
      </w:r>
      <w:r w:rsidR="001434E6">
        <w:rPr>
          <w:rFonts w:ascii="Times New Roman" w:hAnsi="Times New Roman" w:cs="Times New Roman"/>
          <w:b/>
          <w:sz w:val="24"/>
          <w:szCs w:val="24"/>
        </w:rPr>
        <w:t xml:space="preserve"> Isolates</w:t>
      </w:r>
    </w:p>
    <w:p w14:paraId="1BF9EB8C"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incubation, suspected </w:t>
      </w:r>
      <w:r>
        <w:rPr>
          <w:rFonts w:ascii="Times New Roman" w:hAnsi="Times New Roman" w:cs="Times New Roman"/>
          <w:i/>
          <w:iCs/>
          <w:sz w:val="24"/>
          <w:szCs w:val="24"/>
        </w:rPr>
        <w:t>Vibrio cholerae</w:t>
      </w:r>
      <w:r>
        <w:rPr>
          <w:rFonts w:ascii="Times New Roman" w:hAnsi="Times New Roman" w:cs="Times New Roman"/>
          <w:sz w:val="24"/>
          <w:szCs w:val="24"/>
        </w:rPr>
        <w:t xml:space="preserve"> colonies on TCBS agar appeared as shiny yellow colonies with a rice-like morphology. These colonies were subjected to Gram staining, biochemical testing, and serological confirmation, in accordance with established methods (</w:t>
      </w:r>
      <w:proofErr w:type="spellStart"/>
      <w:r>
        <w:rPr>
          <w:rFonts w:ascii="Times New Roman" w:hAnsi="Times New Roman" w:cs="Times New Roman"/>
          <w:sz w:val="24"/>
          <w:szCs w:val="24"/>
        </w:rPr>
        <w:t>Gangarosa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1968; McLaughlin, 1995). On KIA, changes in the slant and butt were also observed to aid preliminary identification.</w:t>
      </w:r>
    </w:p>
    <w:p w14:paraId="5DCE0BC3" w14:textId="77777777" w:rsidR="001434E6"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Serological Testing</w:t>
      </w:r>
    </w:p>
    <w:p w14:paraId="44A610A1"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Freshly isolated colonies presumptively identified as </w:t>
      </w:r>
      <w:r>
        <w:rPr>
          <w:rFonts w:ascii="Times New Roman" w:hAnsi="Times New Roman" w:cs="Times New Roman"/>
          <w:i/>
          <w:iCs/>
          <w:sz w:val="24"/>
          <w:szCs w:val="24"/>
        </w:rPr>
        <w:t>Vibrio cholerae</w:t>
      </w:r>
      <w:r>
        <w:rPr>
          <w:rFonts w:ascii="Times New Roman" w:hAnsi="Times New Roman" w:cs="Times New Roman"/>
          <w:sz w:val="24"/>
          <w:szCs w:val="24"/>
        </w:rPr>
        <w:t xml:space="preserve"> were tested using polyvalent antisera for </w:t>
      </w:r>
      <w:r>
        <w:rPr>
          <w:rFonts w:ascii="Times New Roman" w:hAnsi="Times New Roman" w:cs="Times New Roman"/>
          <w:i/>
          <w:iCs/>
          <w:sz w:val="24"/>
          <w:szCs w:val="24"/>
        </w:rPr>
        <w:t>V. cholerae</w:t>
      </w:r>
      <w:r>
        <w:rPr>
          <w:rFonts w:ascii="Times New Roman" w:hAnsi="Times New Roman" w:cs="Times New Roman"/>
          <w:sz w:val="24"/>
          <w:szCs w:val="24"/>
        </w:rPr>
        <w:t xml:space="preserve"> O1 and O139 (Denka Seikan Company Limited, Tokyo, Japan). Positive agglutination in either antiserum confirmed presumptive identity. Isolates positive for O1 were further characterized into Ogawa or Inaba serotypes using monovalent antisera. Confirmed isolates underwent additional characterization, including toxin production, </w:t>
      </w:r>
      <w:proofErr w:type="spellStart"/>
      <w:r>
        <w:rPr>
          <w:rFonts w:ascii="Times New Roman" w:hAnsi="Times New Roman" w:cs="Times New Roman"/>
          <w:sz w:val="24"/>
          <w:szCs w:val="24"/>
        </w:rPr>
        <w:t>hemolysis</w:t>
      </w:r>
      <w:proofErr w:type="spellEnd"/>
      <w:r>
        <w:rPr>
          <w:rFonts w:ascii="Times New Roman" w:hAnsi="Times New Roman" w:cs="Times New Roman"/>
          <w:sz w:val="24"/>
          <w:szCs w:val="24"/>
        </w:rPr>
        <w:t xml:space="preserve">, antimicrobial susceptibility testing, biochemical identification, and molecular subtyping, as outlined by </w:t>
      </w:r>
      <w:proofErr w:type="spellStart"/>
      <w:r>
        <w:rPr>
          <w:rFonts w:ascii="Times New Roman" w:hAnsi="Times New Roman" w:cs="Times New Roman"/>
          <w:sz w:val="24"/>
          <w:szCs w:val="24"/>
        </w:rPr>
        <w:t>Garbati</w:t>
      </w:r>
      <w:proofErr w:type="spellEnd"/>
      <w:r>
        <w:rPr>
          <w:rFonts w:ascii="Times New Roman" w:hAnsi="Times New Roman" w:cs="Times New Roman"/>
          <w:sz w:val="24"/>
          <w:szCs w:val="24"/>
        </w:rPr>
        <w:t xml:space="preserve"> and colleagues (2019).</w:t>
      </w:r>
    </w:p>
    <w:p w14:paraId="31D8D3B2" w14:textId="77777777" w:rsidR="001434E6"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Gram Staining</w:t>
      </w:r>
    </w:p>
    <w:p w14:paraId="663E1A05" w14:textId="77777777" w:rsidR="001434E6" w:rsidRDefault="001434E6" w:rsidP="001434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Colonies from TCBS agar were emulsified in distilled water on a glass slide, air-dried, and heat-fixed. The smears were stained with crystal violet for 30–60 seconds, rinsed, and treated with Lugol’s iodine for another 30–60 seconds. Decolorization was performed briefly using acetone-alcohol, followed by counterstaining with safranin for two minutes. After rinsing and drying, the smears were examined microscopically under oil immersion. </w:t>
      </w:r>
      <w:r>
        <w:rPr>
          <w:rFonts w:ascii="Times New Roman" w:hAnsi="Times New Roman" w:cs="Times New Roman"/>
          <w:i/>
          <w:iCs/>
          <w:sz w:val="24"/>
          <w:szCs w:val="24"/>
        </w:rPr>
        <w:t>Vibrio cholerae</w:t>
      </w:r>
      <w:r>
        <w:rPr>
          <w:rFonts w:ascii="Times New Roman" w:hAnsi="Times New Roman" w:cs="Times New Roman"/>
          <w:sz w:val="24"/>
          <w:szCs w:val="24"/>
        </w:rPr>
        <w:t xml:space="preserve"> isolates appeared as Gram-negative, comma-shaped rods (Cheesbrough, 2006).</w:t>
      </w:r>
    </w:p>
    <w:p w14:paraId="77792128" w14:textId="77777777" w:rsidR="00B806DE" w:rsidRDefault="00B806DE" w:rsidP="001434E6">
      <w:pPr>
        <w:spacing w:line="480" w:lineRule="auto"/>
        <w:jc w:val="both"/>
        <w:rPr>
          <w:rFonts w:ascii="Times New Roman" w:hAnsi="Times New Roman" w:cs="Times New Roman"/>
          <w:sz w:val="24"/>
          <w:szCs w:val="24"/>
        </w:rPr>
      </w:pPr>
    </w:p>
    <w:p w14:paraId="7CF9F895" w14:textId="77777777" w:rsidR="001434E6" w:rsidRDefault="001434E6" w:rsidP="001434E6">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Biochemical Identification</w:t>
      </w:r>
    </w:p>
    <w:p w14:paraId="1CC2727A" w14:textId="77777777" w:rsidR="00C32B6D" w:rsidRDefault="001434E6" w:rsidP="00FD74A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series of biochemical assays were performed for confirmatory identification of </w:t>
      </w:r>
      <w:r>
        <w:rPr>
          <w:rFonts w:ascii="Times New Roman" w:hAnsi="Times New Roman" w:cs="Times New Roman"/>
          <w:i/>
          <w:iCs/>
          <w:sz w:val="24"/>
          <w:szCs w:val="24"/>
        </w:rPr>
        <w:t>V. cholerae</w:t>
      </w:r>
      <w:r>
        <w:rPr>
          <w:rFonts w:ascii="Times New Roman" w:hAnsi="Times New Roman" w:cs="Times New Roman"/>
          <w:sz w:val="24"/>
          <w:szCs w:val="24"/>
        </w:rPr>
        <w:t xml:space="preserve">. These included oxidase, catalase, motility, indole, methyl red (MR), Voges-Proskauer (VP), citrate utilization, urease, and triple sugar iron (TSI) tests. The outcomes of these tests, interpreted according to standard procedures, aligned with the characteristic biochemical profile of </w:t>
      </w:r>
      <w:r>
        <w:rPr>
          <w:rFonts w:ascii="Times New Roman" w:hAnsi="Times New Roman" w:cs="Times New Roman"/>
          <w:i/>
          <w:iCs/>
          <w:sz w:val="24"/>
          <w:szCs w:val="24"/>
        </w:rPr>
        <w:t>Vibrio cholerae</w:t>
      </w:r>
      <w:r>
        <w:rPr>
          <w:rFonts w:ascii="Times New Roman" w:hAnsi="Times New Roman" w:cs="Times New Roman"/>
          <w:sz w:val="24"/>
          <w:szCs w:val="24"/>
        </w:rPr>
        <w:t>.</w:t>
      </w:r>
    </w:p>
    <w:p w14:paraId="6AAE8005" w14:textId="77777777" w:rsidR="00FD74AB" w:rsidRPr="007747E2" w:rsidRDefault="00FD74AB" w:rsidP="00FD74AB">
      <w:pPr>
        <w:spacing w:line="480" w:lineRule="auto"/>
        <w:jc w:val="both"/>
        <w:rPr>
          <w:rFonts w:ascii="Times New Roman" w:hAnsi="Times New Roman" w:cs="Times New Roman"/>
          <w:sz w:val="24"/>
          <w:szCs w:val="24"/>
        </w:rPr>
      </w:pPr>
      <w:r w:rsidRPr="00F809C7">
        <w:rPr>
          <w:rFonts w:ascii="Times New Roman" w:hAnsi="Times New Roman" w:cs="Times New Roman"/>
          <w:b/>
          <w:sz w:val="24"/>
          <w:szCs w:val="24"/>
        </w:rPr>
        <w:t>Antimicrobial Susceptibility Testing</w:t>
      </w:r>
    </w:p>
    <w:p w14:paraId="43722784" w14:textId="77777777" w:rsidR="00FD74AB" w:rsidRPr="00235994" w:rsidRDefault="00FD74AB" w:rsidP="00FD74AB">
      <w:pPr>
        <w:spacing w:line="480" w:lineRule="auto"/>
        <w:jc w:val="both"/>
        <w:rPr>
          <w:rFonts w:ascii="Times New Roman" w:hAnsi="Times New Roman" w:cs="Times New Roman"/>
          <w:sz w:val="24"/>
          <w:szCs w:val="24"/>
        </w:rPr>
      </w:pPr>
      <w:r w:rsidRPr="00235994">
        <w:rPr>
          <w:rFonts w:ascii="Times New Roman" w:hAnsi="Times New Roman" w:cs="Times New Roman"/>
          <w:sz w:val="24"/>
          <w:szCs w:val="24"/>
        </w:rPr>
        <w:t>Antibiotic susceptibility of the isolates was evaluated using the Kirby-Bauer disc diffusion method on Mueller-Hinton agar, following Clinical and Laboratory Standards Institute (CLSI, 2022) guidelines. Bacterial suspensions were prepared in peptone water and incubated at 37°C for six hours. The turbidity was adjusted to the 0.5 McFarland standard (1.5 × 10⁸ CFU/mL). Sterile swabs were used to inoculate Mueller-Hinton agar plates, which were left for five minutes to allow absorption. Antibiotic discs were carefully placed onto the inoculated plates, and the plates were incubated at 37°C for 18–24 hours. Zones of inhibition were measured in millimetres, and results were interpreted as susceptible, intermediate, or resistant according to CLSI breakpoints (2022).</w:t>
      </w:r>
    </w:p>
    <w:p w14:paraId="0D62DBC8" w14:textId="77777777" w:rsidR="00FD74AB" w:rsidRDefault="00FD74AB" w:rsidP="00FD74AB">
      <w:pPr>
        <w:spacing w:line="480" w:lineRule="auto"/>
        <w:jc w:val="both"/>
        <w:rPr>
          <w:rFonts w:ascii="Times New Roman" w:hAnsi="Times New Roman" w:cs="Times New Roman"/>
          <w:sz w:val="24"/>
          <w:szCs w:val="24"/>
        </w:rPr>
      </w:pPr>
    </w:p>
    <w:p w14:paraId="24963F8E" w14:textId="77777777" w:rsidR="00E92F38" w:rsidRDefault="00FD74AB" w:rsidP="00FD74AB">
      <w:pPr>
        <w:spacing w:line="480" w:lineRule="auto"/>
        <w:jc w:val="both"/>
        <w:rPr>
          <w:rFonts w:ascii="Times New Roman" w:hAnsi="Times New Roman" w:cs="Times New Roman"/>
          <w:b/>
          <w:bCs/>
        </w:rPr>
      </w:pPr>
      <w:r w:rsidRPr="00E92F38">
        <w:rPr>
          <w:rFonts w:ascii="Times New Roman" w:hAnsi="Times New Roman" w:cs="Times New Roman"/>
          <w:b/>
          <w:sz w:val="24"/>
          <w:szCs w:val="24"/>
        </w:rPr>
        <w:t>3. RESULTS</w:t>
      </w:r>
      <w:r w:rsidR="00E92F38" w:rsidRPr="00E92F38">
        <w:rPr>
          <w:rFonts w:ascii="Times New Roman" w:hAnsi="Times New Roman" w:cs="Times New Roman"/>
          <w:b/>
          <w:bCs/>
        </w:rPr>
        <w:t xml:space="preserve"> </w:t>
      </w:r>
    </w:p>
    <w:p w14:paraId="3310F165" w14:textId="77777777" w:rsidR="00FD74AB" w:rsidRDefault="00E92F38" w:rsidP="00FD74AB">
      <w:pPr>
        <w:spacing w:line="480" w:lineRule="auto"/>
        <w:jc w:val="both"/>
        <w:rPr>
          <w:rFonts w:ascii="Times New Roman" w:hAnsi="Times New Roman" w:cs="Times New Roman"/>
          <w:b/>
          <w:sz w:val="24"/>
          <w:szCs w:val="24"/>
        </w:rPr>
      </w:pPr>
      <w:r w:rsidRPr="00235994">
        <w:rPr>
          <w:rFonts w:ascii="Times New Roman" w:hAnsi="Times New Roman" w:cs="Times New Roman"/>
          <w:b/>
          <w:bCs/>
        </w:rPr>
        <w:t>Age, Gender and marital distribution of Cholera infection among Internally Displaced Persons (IDPs) in North-Central Nigeria</w:t>
      </w:r>
    </w:p>
    <w:p w14:paraId="2C097C1F" w14:textId="77777777" w:rsidR="00E92F38" w:rsidRPr="00235994" w:rsidRDefault="00E92F38" w:rsidP="00E92F38">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The highest prevalence of cholera was recorded among individ</w:t>
      </w:r>
      <w:r w:rsidR="00331A98">
        <w:rPr>
          <w:rFonts w:ascii="Times New Roman" w:hAnsi="Times New Roman" w:cs="Times New Roman"/>
          <w:sz w:val="24"/>
          <w:szCs w:val="24"/>
        </w:rPr>
        <w:t>uals aged 1–20 years (</w:t>
      </w:r>
      <w:r w:rsidRPr="00235994">
        <w:rPr>
          <w:rFonts w:ascii="Times New Roman" w:hAnsi="Times New Roman" w:cs="Times New Roman"/>
          <w:sz w:val="24"/>
          <w:szCs w:val="24"/>
        </w:rPr>
        <w:t>7.5 %), followed by the 21–40 years and 41–</w:t>
      </w:r>
      <w:r w:rsidR="00331A98">
        <w:rPr>
          <w:rFonts w:ascii="Times New Roman" w:hAnsi="Times New Roman" w:cs="Times New Roman"/>
          <w:sz w:val="24"/>
          <w:szCs w:val="24"/>
        </w:rPr>
        <w:t>60 years groups (</w:t>
      </w:r>
      <w:r w:rsidRPr="00235994">
        <w:rPr>
          <w:rFonts w:ascii="Times New Roman" w:hAnsi="Times New Roman" w:cs="Times New Roman"/>
          <w:sz w:val="24"/>
          <w:szCs w:val="24"/>
        </w:rPr>
        <w:t xml:space="preserve">5.0 %). The 61–80 years group had the </w:t>
      </w:r>
      <w:r w:rsidR="00331A98">
        <w:rPr>
          <w:rFonts w:ascii="Times New Roman" w:hAnsi="Times New Roman" w:cs="Times New Roman"/>
          <w:sz w:val="24"/>
          <w:szCs w:val="24"/>
        </w:rPr>
        <w:t>lowest prevalence (12.5 %</w:t>
      </w:r>
      <w:r w:rsidRPr="00235994">
        <w:rPr>
          <w:rFonts w:ascii="Times New Roman" w:hAnsi="Times New Roman" w:cs="Times New Roman"/>
          <w:sz w:val="24"/>
          <w:szCs w:val="24"/>
        </w:rPr>
        <w:t>). However, the difference across age groups was not statistically significant (χ² = 3.215; p = 0.522).</w:t>
      </w:r>
    </w:p>
    <w:p w14:paraId="02EB6F3B" w14:textId="77777777" w:rsidR="00E92F38" w:rsidRPr="00235994" w:rsidRDefault="00E92F38" w:rsidP="00E92F38">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lastRenderedPageBreak/>
        <w:t>Gender-based analysis showed a higher pr</w:t>
      </w:r>
      <w:r w:rsidR="00331A98">
        <w:rPr>
          <w:rFonts w:ascii="Times New Roman" w:hAnsi="Times New Roman" w:cs="Times New Roman"/>
          <w:sz w:val="24"/>
          <w:szCs w:val="24"/>
        </w:rPr>
        <w:t>evalence among females (</w:t>
      </w:r>
      <w:r w:rsidRPr="00235994">
        <w:rPr>
          <w:rFonts w:ascii="Times New Roman" w:hAnsi="Times New Roman" w:cs="Times New Roman"/>
          <w:sz w:val="24"/>
          <w:szCs w:val="24"/>
        </w:rPr>
        <w:t>87.</w:t>
      </w:r>
      <w:r w:rsidR="00331A98">
        <w:rPr>
          <w:rFonts w:ascii="Times New Roman" w:hAnsi="Times New Roman" w:cs="Times New Roman"/>
          <w:sz w:val="24"/>
          <w:szCs w:val="24"/>
        </w:rPr>
        <w:t>5 %) compared to males (</w:t>
      </w:r>
      <w:r w:rsidRPr="00235994">
        <w:rPr>
          <w:rFonts w:ascii="Times New Roman" w:hAnsi="Times New Roman" w:cs="Times New Roman"/>
          <w:sz w:val="24"/>
          <w:szCs w:val="24"/>
        </w:rPr>
        <w:t>12.5 %), though this difference was not statistically significant (p = 0.331).</w:t>
      </w:r>
    </w:p>
    <w:p w14:paraId="1D16E63B" w14:textId="77777777" w:rsidR="00E92F38" w:rsidRDefault="00E92F38" w:rsidP="00331A98">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By marital status, infections occurred only among married and</w:t>
      </w:r>
      <w:r w:rsidR="00331A98">
        <w:rPr>
          <w:rFonts w:ascii="Times New Roman" w:hAnsi="Times New Roman" w:cs="Times New Roman"/>
          <w:sz w:val="24"/>
          <w:szCs w:val="24"/>
        </w:rPr>
        <w:t xml:space="preserve"> single individuals (50.0 </w:t>
      </w:r>
      <w:proofErr w:type="gramStart"/>
      <w:r w:rsidR="00331A98">
        <w:rPr>
          <w:rFonts w:ascii="Times New Roman" w:hAnsi="Times New Roman" w:cs="Times New Roman"/>
          <w:sz w:val="24"/>
          <w:szCs w:val="24"/>
        </w:rPr>
        <w:t xml:space="preserve">% </w:t>
      </w:r>
      <w:r w:rsidRPr="00235994">
        <w:rPr>
          <w:rFonts w:ascii="Times New Roman" w:hAnsi="Times New Roman" w:cs="Times New Roman"/>
          <w:sz w:val="24"/>
          <w:szCs w:val="24"/>
        </w:rPr>
        <w:t>)</w:t>
      </w:r>
      <w:proofErr w:type="gramEnd"/>
      <w:r w:rsidR="00331A98">
        <w:rPr>
          <w:rFonts w:ascii="Times New Roman" w:hAnsi="Times New Roman" w:cs="Times New Roman"/>
          <w:sz w:val="24"/>
          <w:szCs w:val="24"/>
        </w:rPr>
        <w:t xml:space="preserve"> each</w:t>
      </w:r>
      <w:r w:rsidRPr="00235994">
        <w:rPr>
          <w:rFonts w:ascii="Times New Roman" w:hAnsi="Times New Roman" w:cs="Times New Roman"/>
          <w:sz w:val="24"/>
          <w:szCs w:val="24"/>
        </w:rPr>
        <w:t>, while widows, widowers, and divorced respondents recorded no cases. The difference was not statistically significant (p = 0.351).</w:t>
      </w:r>
      <w:r w:rsidR="00331A98">
        <w:rPr>
          <w:rFonts w:ascii="Times New Roman" w:hAnsi="Times New Roman" w:cs="Times New Roman"/>
          <w:sz w:val="24"/>
          <w:szCs w:val="24"/>
        </w:rPr>
        <w:t xml:space="preserve"> </w:t>
      </w:r>
      <w:r w:rsidRPr="00235994">
        <w:rPr>
          <w:rFonts w:ascii="Times New Roman" w:hAnsi="Times New Roman" w:cs="Times New Roman"/>
          <w:sz w:val="24"/>
          <w:szCs w:val="24"/>
        </w:rPr>
        <w:t>Family type analysis revealed equal prevalence among those from monogamous and polygamous households (50.0 % each), with no sig</w:t>
      </w:r>
      <w:r w:rsidR="00331A98">
        <w:rPr>
          <w:rFonts w:ascii="Times New Roman" w:hAnsi="Times New Roman" w:cs="Times New Roman"/>
          <w:sz w:val="24"/>
          <w:szCs w:val="24"/>
        </w:rPr>
        <w:t>nificant difference (p = 0.124) as shown in table 1</w:t>
      </w:r>
    </w:p>
    <w:p w14:paraId="128B16F7" w14:textId="77777777" w:rsidR="005F1149" w:rsidRDefault="005F1149" w:rsidP="00331A98">
      <w:pPr>
        <w:spacing w:after="0" w:line="480" w:lineRule="auto"/>
        <w:jc w:val="both"/>
        <w:rPr>
          <w:rFonts w:ascii="Times New Roman" w:hAnsi="Times New Roman" w:cs="Times New Roman"/>
          <w:sz w:val="24"/>
          <w:szCs w:val="24"/>
        </w:rPr>
      </w:pPr>
    </w:p>
    <w:p w14:paraId="7CFCCEAE" w14:textId="77777777" w:rsidR="005F1149" w:rsidRPr="00331A98" w:rsidRDefault="005F1149" w:rsidP="00331A98">
      <w:pPr>
        <w:spacing w:after="0" w:line="480" w:lineRule="auto"/>
        <w:jc w:val="both"/>
        <w:rPr>
          <w:rFonts w:ascii="Times New Roman" w:hAnsi="Times New Roman" w:cs="Times New Roman"/>
          <w:sz w:val="24"/>
          <w:szCs w:val="24"/>
        </w:rPr>
      </w:pPr>
    </w:p>
    <w:p w14:paraId="0991D7F5" w14:textId="77777777" w:rsidR="00E92F38" w:rsidRDefault="00E92F38" w:rsidP="00E92F38">
      <w:pPr>
        <w:spacing w:after="0" w:line="480" w:lineRule="auto"/>
        <w:jc w:val="both"/>
        <w:rPr>
          <w:rFonts w:ascii="Times New Roman" w:hAnsi="Times New Roman" w:cs="Times New Roman"/>
          <w:b/>
          <w:sz w:val="24"/>
          <w:szCs w:val="24"/>
        </w:rPr>
      </w:pPr>
      <w:r w:rsidRPr="00235994">
        <w:rPr>
          <w:rFonts w:ascii="Times New Roman" w:hAnsi="Times New Roman" w:cs="Times New Roman"/>
          <w:b/>
          <w:bCs/>
        </w:rPr>
        <w:t>Prevalence of Cholera Infection among the Internally Displaced Persons (IDPs) in relation to Source of risk factors</w:t>
      </w:r>
    </w:p>
    <w:p w14:paraId="3B169777" w14:textId="77777777" w:rsidR="00E92F38" w:rsidRPr="00235994" w:rsidRDefault="00E92F38" w:rsidP="00E92F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Pr="00235994">
        <w:rPr>
          <w:rFonts w:ascii="Times New Roman" w:hAnsi="Times New Roman" w:cs="Times New Roman"/>
          <w:sz w:val="24"/>
          <w:szCs w:val="24"/>
        </w:rPr>
        <w:t>holera prevalence was highest among respondents who relied on streams, rivers, or wells for drinking water (62.5 %). Those using wells alone accounted for 25.0 % of cases, while one case (12.5 %) was linked to respondents who used a combination of wells and rainwater. The association between water source and cholera prevalence was statistically significant (p = 0.000).</w:t>
      </w:r>
    </w:p>
    <w:p w14:paraId="6CBD7251" w14:textId="77777777" w:rsidR="00E92F38" w:rsidRPr="00235994" w:rsidRDefault="00E92F38" w:rsidP="00E92F38">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For waste disposal, all cholera cases (100 %) were linked to respondents who dumped waste in bushes, while no cases were recorded among those using pit burial, refuse dumps, or other methods. This association was not statistically sign</w:t>
      </w:r>
      <w:r>
        <w:rPr>
          <w:rFonts w:ascii="Times New Roman" w:hAnsi="Times New Roman" w:cs="Times New Roman"/>
          <w:sz w:val="24"/>
          <w:szCs w:val="24"/>
        </w:rPr>
        <w:t>ificant (χ² = 2.087; p = 0.837). T</w:t>
      </w:r>
      <w:r w:rsidRPr="00235994">
        <w:rPr>
          <w:rFonts w:ascii="Times New Roman" w:hAnsi="Times New Roman" w:cs="Times New Roman"/>
          <w:sz w:val="24"/>
          <w:szCs w:val="24"/>
        </w:rPr>
        <w:t>he majority of cholera cases were associated with respondents using pit/bush toilets (87.5 %), while the remainder (12.5 %) occurred among those using open bushes. None of the cases were linked to respondents who used pit latrines. The association between toilet type and cholera prevalence was not statistically sign</w:t>
      </w:r>
      <w:r>
        <w:rPr>
          <w:rFonts w:ascii="Times New Roman" w:hAnsi="Times New Roman" w:cs="Times New Roman"/>
          <w:sz w:val="24"/>
          <w:szCs w:val="24"/>
        </w:rPr>
        <w:t>i</w:t>
      </w:r>
      <w:r w:rsidR="00331A98">
        <w:rPr>
          <w:rFonts w:ascii="Times New Roman" w:hAnsi="Times New Roman" w:cs="Times New Roman"/>
          <w:sz w:val="24"/>
          <w:szCs w:val="24"/>
        </w:rPr>
        <w:t xml:space="preserve">ficant (χ² = 3.496; p = 0.321) </w:t>
      </w:r>
      <w:r>
        <w:rPr>
          <w:rFonts w:ascii="Times New Roman" w:hAnsi="Times New Roman" w:cs="Times New Roman"/>
          <w:sz w:val="24"/>
          <w:szCs w:val="24"/>
        </w:rPr>
        <w:t>as shown in table 2.</w:t>
      </w:r>
    </w:p>
    <w:p w14:paraId="3AD76F35" w14:textId="77777777" w:rsidR="00FD74AB" w:rsidRDefault="00E92F38" w:rsidP="00E92F38">
      <w:pPr>
        <w:spacing w:line="480" w:lineRule="auto"/>
        <w:jc w:val="both"/>
        <w:rPr>
          <w:rFonts w:ascii="Times New Roman" w:hAnsi="Times New Roman" w:cs="Times New Roman"/>
          <w:sz w:val="24"/>
          <w:szCs w:val="24"/>
        </w:rPr>
      </w:pPr>
      <w:r w:rsidRPr="00235994">
        <w:rPr>
          <w:rFonts w:ascii="Times New Roman" w:hAnsi="Times New Roman" w:cs="Times New Roman"/>
          <w:b/>
          <w:bCs/>
          <w:color w:val="000000"/>
          <w:sz w:val="18"/>
          <w:szCs w:val="18"/>
        </w:rPr>
        <w:br w:type="page"/>
      </w:r>
    </w:p>
    <w:p w14:paraId="75D21FBD" w14:textId="77777777" w:rsidR="00285264" w:rsidRPr="00C034C3" w:rsidRDefault="00E92F38" w:rsidP="00285264">
      <w:pPr>
        <w:spacing w:after="0" w:line="480" w:lineRule="auto"/>
        <w:jc w:val="both"/>
        <w:rPr>
          <w:rFonts w:ascii="Times New Roman" w:hAnsi="Times New Roman" w:cs="Times New Roman"/>
          <w:b/>
          <w:sz w:val="24"/>
          <w:szCs w:val="24"/>
        </w:rPr>
      </w:pPr>
      <w:r w:rsidRPr="00235994">
        <w:rPr>
          <w:rFonts w:ascii="Times New Roman" w:hAnsi="Times New Roman" w:cs="Times New Roman"/>
          <w:b/>
          <w:color w:val="000000"/>
          <w:sz w:val="24"/>
          <w:szCs w:val="24"/>
        </w:rPr>
        <w:lastRenderedPageBreak/>
        <w:t xml:space="preserve">Antibiotic Sensitivity Profile of </w:t>
      </w:r>
      <w:r w:rsidRPr="00235994">
        <w:rPr>
          <w:rFonts w:ascii="Times New Roman" w:hAnsi="Times New Roman" w:cs="Times New Roman"/>
          <w:b/>
          <w:i/>
          <w:iCs/>
          <w:color w:val="000000"/>
          <w:sz w:val="24"/>
          <w:szCs w:val="24"/>
        </w:rPr>
        <w:t>Vibrio cholerae</w:t>
      </w:r>
      <w:r w:rsidRPr="00235994">
        <w:rPr>
          <w:rFonts w:ascii="Times New Roman" w:hAnsi="Times New Roman" w:cs="Times New Roman"/>
          <w:b/>
          <w:i/>
          <w:color w:val="000000"/>
          <w:sz w:val="24"/>
          <w:szCs w:val="24"/>
        </w:rPr>
        <w:t xml:space="preserve"> </w:t>
      </w:r>
      <w:r w:rsidRPr="00235994">
        <w:rPr>
          <w:rFonts w:ascii="Times New Roman" w:hAnsi="Times New Roman" w:cs="Times New Roman"/>
          <w:b/>
          <w:color w:val="000000"/>
          <w:sz w:val="24"/>
          <w:szCs w:val="24"/>
        </w:rPr>
        <w:t>in Nasarawa State IDP Camp</w:t>
      </w:r>
    </w:p>
    <w:p w14:paraId="19188D8C" w14:textId="273BEC39" w:rsidR="00285264" w:rsidRPr="00235994" w:rsidRDefault="00285264" w:rsidP="00285264">
      <w:pPr>
        <w:spacing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The antimicrobial susceptibility profile of </w:t>
      </w:r>
      <w:r w:rsidRPr="00235994">
        <w:rPr>
          <w:rFonts w:ascii="Times New Roman" w:hAnsi="Times New Roman" w:cs="Times New Roman"/>
          <w:i/>
          <w:iCs/>
          <w:sz w:val="24"/>
          <w:szCs w:val="24"/>
        </w:rPr>
        <w:t>V. cholerae</w:t>
      </w:r>
      <w:r w:rsidRPr="00235994">
        <w:rPr>
          <w:rFonts w:ascii="Times New Roman" w:hAnsi="Times New Roman" w:cs="Times New Roman"/>
          <w:sz w:val="24"/>
          <w:szCs w:val="24"/>
        </w:rPr>
        <w:t xml:space="preserve"> isolates from Nasarawa State IDP camps (Table 2) indicated complete sensitivity to ciprofloxacin (100 %). High susceptibility was also observed for tetracycline (87.5 %), gentamicin (75 %), and meropenem (62.5 %). In contrast, isolates showed low sensitivity to cefotaxime and trimethoprim-sulfamethoxazole (25 % each) and were completely resi</w:t>
      </w:r>
      <w:r w:rsidR="00E92F38">
        <w:rPr>
          <w:rFonts w:ascii="Times New Roman" w:hAnsi="Times New Roman" w:cs="Times New Roman"/>
          <w:sz w:val="24"/>
          <w:szCs w:val="24"/>
        </w:rPr>
        <w:t>stant to nalidixic acid (100 %) as shown in table 3.</w:t>
      </w:r>
    </w:p>
    <w:p w14:paraId="5DFAFF50" w14:textId="77777777" w:rsidR="00FD74AB" w:rsidRDefault="00FD74AB" w:rsidP="00FD74AB">
      <w:pPr>
        <w:spacing w:line="480" w:lineRule="auto"/>
        <w:jc w:val="both"/>
        <w:rPr>
          <w:rFonts w:ascii="Times New Roman" w:hAnsi="Times New Roman" w:cs="Times New Roman"/>
          <w:sz w:val="24"/>
          <w:szCs w:val="24"/>
        </w:rPr>
      </w:pPr>
    </w:p>
    <w:p w14:paraId="01217689" w14:textId="77777777" w:rsidR="00FD74AB" w:rsidRDefault="00FD74AB" w:rsidP="00FD74AB">
      <w:pPr>
        <w:spacing w:line="480" w:lineRule="auto"/>
        <w:jc w:val="both"/>
        <w:rPr>
          <w:rFonts w:ascii="Times New Roman" w:hAnsi="Times New Roman" w:cs="Times New Roman"/>
          <w:sz w:val="24"/>
          <w:szCs w:val="24"/>
        </w:rPr>
      </w:pPr>
    </w:p>
    <w:p w14:paraId="7BCD0A68" w14:textId="77777777" w:rsidR="00FD74AB" w:rsidRDefault="00FD74AB" w:rsidP="00FD74AB">
      <w:pPr>
        <w:spacing w:line="480" w:lineRule="auto"/>
        <w:jc w:val="both"/>
        <w:rPr>
          <w:rFonts w:ascii="Times New Roman" w:hAnsi="Times New Roman" w:cs="Times New Roman"/>
          <w:sz w:val="24"/>
          <w:szCs w:val="24"/>
        </w:rPr>
      </w:pPr>
    </w:p>
    <w:p w14:paraId="0415312C" w14:textId="77777777" w:rsidR="00331A98" w:rsidRDefault="00331A98" w:rsidP="00FD74AB">
      <w:pPr>
        <w:spacing w:line="480" w:lineRule="auto"/>
        <w:jc w:val="both"/>
        <w:rPr>
          <w:rFonts w:ascii="Times New Roman" w:hAnsi="Times New Roman" w:cs="Times New Roman"/>
          <w:sz w:val="24"/>
          <w:szCs w:val="24"/>
        </w:rPr>
      </w:pPr>
    </w:p>
    <w:p w14:paraId="3C0C0787" w14:textId="77777777" w:rsidR="00331A98" w:rsidRDefault="00331A98" w:rsidP="00FD74AB">
      <w:pPr>
        <w:spacing w:line="480" w:lineRule="auto"/>
        <w:jc w:val="both"/>
        <w:rPr>
          <w:rFonts w:ascii="Times New Roman" w:hAnsi="Times New Roman" w:cs="Times New Roman"/>
          <w:sz w:val="24"/>
          <w:szCs w:val="24"/>
        </w:rPr>
      </w:pPr>
    </w:p>
    <w:p w14:paraId="348995C5" w14:textId="77777777" w:rsidR="00331A98" w:rsidRDefault="00331A98" w:rsidP="00FD74AB">
      <w:pPr>
        <w:spacing w:line="480" w:lineRule="auto"/>
        <w:jc w:val="both"/>
        <w:rPr>
          <w:rFonts w:ascii="Times New Roman" w:hAnsi="Times New Roman" w:cs="Times New Roman"/>
          <w:sz w:val="24"/>
          <w:szCs w:val="24"/>
        </w:rPr>
      </w:pPr>
    </w:p>
    <w:p w14:paraId="1D43643C" w14:textId="77777777" w:rsidR="00331A98" w:rsidRDefault="00331A98" w:rsidP="00FD74AB">
      <w:pPr>
        <w:spacing w:line="480" w:lineRule="auto"/>
        <w:jc w:val="both"/>
        <w:rPr>
          <w:rFonts w:ascii="Times New Roman" w:hAnsi="Times New Roman" w:cs="Times New Roman"/>
          <w:sz w:val="24"/>
          <w:szCs w:val="24"/>
        </w:rPr>
      </w:pPr>
    </w:p>
    <w:p w14:paraId="3D691815" w14:textId="77777777" w:rsidR="00331A98" w:rsidRDefault="00331A98" w:rsidP="00FD74AB">
      <w:pPr>
        <w:spacing w:line="480" w:lineRule="auto"/>
        <w:jc w:val="both"/>
        <w:rPr>
          <w:rFonts w:ascii="Times New Roman" w:hAnsi="Times New Roman" w:cs="Times New Roman"/>
          <w:sz w:val="24"/>
          <w:szCs w:val="24"/>
        </w:rPr>
      </w:pPr>
    </w:p>
    <w:p w14:paraId="03CD9FA5" w14:textId="77777777" w:rsidR="00331A98" w:rsidRDefault="00331A98" w:rsidP="00FD74AB">
      <w:pPr>
        <w:spacing w:line="480" w:lineRule="auto"/>
        <w:jc w:val="both"/>
        <w:rPr>
          <w:rFonts w:ascii="Times New Roman" w:hAnsi="Times New Roman" w:cs="Times New Roman"/>
          <w:sz w:val="24"/>
          <w:szCs w:val="24"/>
        </w:rPr>
      </w:pPr>
    </w:p>
    <w:p w14:paraId="02723165" w14:textId="77777777" w:rsidR="00331A98" w:rsidRDefault="00331A98" w:rsidP="00FD74AB">
      <w:pPr>
        <w:spacing w:line="480" w:lineRule="auto"/>
        <w:jc w:val="both"/>
        <w:rPr>
          <w:rFonts w:ascii="Times New Roman" w:hAnsi="Times New Roman" w:cs="Times New Roman"/>
          <w:sz w:val="24"/>
          <w:szCs w:val="24"/>
        </w:rPr>
      </w:pPr>
    </w:p>
    <w:p w14:paraId="71DDA8DC" w14:textId="77777777" w:rsidR="00331A98" w:rsidRDefault="00331A98" w:rsidP="00FD74AB">
      <w:pPr>
        <w:spacing w:line="480" w:lineRule="auto"/>
        <w:jc w:val="both"/>
        <w:rPr>
          <w:rFonts w:ascii="Times New Roman" w:hAnsi="Times New Roman" w:cs="Times New Roman"/>
          <w:sz w:val="24"/>
          <w:szCs w:val="24"/>
        </w:rPr>
      </w:pPr>
    </w:p>
    <w:p w14:paraId="5FA3F077" w14:textId="77777777" w:rsidR="00331A98" w:rsidRPr="00235994" w:rsidRDefault="00331A98" w:rsidP="00FD74AB">
      <w:pPr>
        <w:spacing w:line="480" w:lineRule="auto"/>
        <w:jc w:val="both"/>
        <w:rPr>
          <w:rFonts w:ascii="Times New Roman" w:hAnsi="Times New Roman" w:cs="Times New Roman"/>
          <w:sz w:val="24"/>
          <w:szCs w:val="24"/>
        </w:rPr>
      </w:pPr>
    </w:p>
    <w:p w14:paraId="2F4CEF68" w14:textId="77777777" w:rsidR="00C32B6D" w:rsidRDefault="00C32B6D" w:rsidP="00C32B6D">
      <w:pPr>
        <w:autoSpaceDE w:val="0"/>
        <w:autoSpaceDN w:val="0"/>
        <w:adjustRightInd w:val="0"/>
        <w:spacing w:after="0" w:line="240" w:lineRule="auto"/>
        <w:rPr>
          <w:rFonts w:ascii="Times New Roman" w:hAnsi="Times New Roman" w:cs="Times New Roman"/>
          <w:b/>
          <w:bCs/>
          <w:color w:val="000000"/>
          <w:sz w:val="26"/>
          <w:szCs w:val="26"/>
        </w:rPr>
      </w:pPr>
    </w:p>
    <w:p w14:paraId="35892B05"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A44282B" w14:textId="77777777" w:rsidR="00FD74AB" w:rsidRPr="00235994" w:rsidRDefault="00FD74AB" w:rsidP="00FD74AB">
      <w:pPr>
        <w:rPr>
          <w:rFonts w:ascii="Times New Roman" w:hAnsi="Times New Roman" w:cs="Times New Roman"/>
        </w:rPr>
      </w:pPr>
    </w:p>
    <w:tbl>
      <w:tblPr>
        <w:tblW w:w="5288" w:type="pct"/>
        <w:tblInd w:w="-90" w:type="dxa"/>
        <w:tblLayout w:type="fixed"/>
        <w:tblLook w:val="04A0" w:firstRow="1" w:lastRow="0" w:firstColumn="1" w:lastColumn="0" w:noHBand="0" w:noVBand="1"/>
      </w:tblPr>
      <w:tblGrid>
        <w:gridCol w:w="988"/>
        <w:gridCol w:w="1261"/>
        <w:gridCol w:w="1014"/>
        <w:gridCol w:w="1041"/>
        <w:gridCol w:w="1037"/>
        <w:gridCol w:w="693"/>
        <w:gridCol w:w="899"/>
        <w:gridCol w:w="723"/>
        <w:gridCol w:w="1263"/>
        <w:gridCol w:w="447"/>
        <w:gridCol w:w="533"/>
      </w:tblGrid>
      <w:tr w:rsidR="00FD74AB" w:rsidRPr="00235994" w14:paraId="47D279FF" w14:textId="77777777" w:rsidTr="00285264">
        <w:trPr>
          <w:trHeight w:val="290"/>
        </w:trPr>
        <w:tc>
          <w:tcPr>
            <w:tcW w:w="3867" w:type="pct"/>
            <w:gridSpan w:val="8"/>
            <w:tcBorders>
              <w:top w:val="nil"/>
              <w:left w:val="nil"/>
              <w:bottom w:val="single" w:sz="4" w:space="0" w:color="auto"/>
              <w:right w:val="nil"/>
            </w:tcBorders>
            <w:noWrap/>
            <w:vAlign w:val="center"/>
            <w:hideMark/>
          </w:tcPr>
          <w:p w14:paraId="53C5F327" w14:textId="77777777" w:rsidR="00FD74AB" w:rsidRDefault="00FD74AB" w:rsidP="00285264">
            <w:pPr>
              <w:spacing w:after="0" w:line="240" w:lineRule="auto"/>
              <w:rPr>
                <w:rFonts w:ascii="Times New Roman" w:eastAsia="Times New Roman" w:hAnsi="Times New Roman" w:cs="Times New Roman"/>
                <w:bCs/>
                <w:sz w:val="18"/>
                <w:szCs w:val="18"/>
              </w:rPr>
            </w:pPr>
          </w:p>
          <w:p w14:paraId="6C0E10D5" w14:textId="77777777" w:rsidR="00FD74AB" w:rsidRDefault="00FD74AB" w:rsidP="00285264">
            <w:pPr>
              <w:spacing w:after="0" w:line="240" w:lineRule="auto"/>
              <w:rPr>
                <w:rFonts w:ascii="Times New Roman" w:eastAsia="Times New Roman" w:hAnsi="Times New Roman" w:cs="Times New Roman"/>
                <w:bCs/>
                <w:sz w:val="18"/>
                <w:szCs w:val="18"/>
              </w:rPr>
            </w:pPr>
          </w:p>
          <w:p w14:paraId="72A8AA45" w14:textId="77777777" w:rsidR="00FD74AB" w:rsidRPr="00235994" w:rsidRDefault="00FD74AB" w:rsidP="00285264">
            <w:pPr>
              <w:spacing w:after="0" w:line="240" w:lineRule="auto"/>
              <w:rPr>
                <w:rFonts w:ascii="Times New Roman" w:eastAsia="Times New Roman" w:hAnsi="Times New Roman" w:cs="Times New Roman"/>
                <w:b/>
                <w:bCs/>
                <w:color w:val="FF0000"/>
                <w:sz w:val="18"/>
                <w:szCs w:val="18"/>
              </w:rPr>
            </w:pPr>
            <w:r w:rsidRPr="00285264">
              <w:rPr>
                <w:rFonts w:ascii="Times New Roman" w:eastAsia="Times New Roman" w:hAnsi="Times New Roman" w:cs="Times New Roman"/>
                <w:b/>
                <w:bCs/>
                <w:sz w:val="24"/>
                <w:szCs w:val="24"/>
              </w:rPr>
              <w:t>Table 1:</w:t>
            </w:r>
            <w:r w:rsidRPr="00235994">
              <w:rPr>
                <w:rFonts w:ascii="Times New Roman" w:eastAsia="Times New Roman" w:hAnsi="Times New Roman" w:cs="Times New Roman"/>
                <w:b/>
                <w:bCs/>
                <w:color w:val="FF0000"/>
                <w:sz w:val="18"/>
                <w:szCs w:val="18"/>
              </w:rPr>
              <w:t xml:space="preserve"> </w:t>
            </w:r>
            <w:r w:rsidRPr="00235994">
              <w:rPr>
                <w:rFonts w:ascii="Times New Roman" w:hAnsi="Times New Roman" w:cs="Times New Roman"/>
                <w:b/>
                <w:bCs/>
              </w:rPr>
              <w:t>Age, Gender and marital distribution of Cholera infection among Internally Displaced Persons (IDPs) in North-Central Nigeria</w:t>
            </w:r>
          </w:p>
        </w:tc>
        <w:tc>
          <w:tcPr>
            <w:tcW w:w="638" w:type="pct"/>
            <w:tcBorders>
              <w:top w:val="nil"/>
              <w:left w:val="nil"/>
              <w:bottom w:val="single" w:sz="4" w:space="0" w:color="auto"/>
              <w:right w:val="nil"/>
            </w:tcBorders>
            <w:noWrap/>
            <w:vAlign w:val="bottom"/>
            <w:hideMark/>
          </w:tcPr>
          <w:p w14:paraId="4B9912AD" w14:textId="77777777" w:rsidR="00FD74AB" w:rsidRPr="00235994" w:rsidRDefault="00FD74AB" w:rsidP="00285264">
            <w:pPr>
              <w:spacing w:after="0" w:line="240" w:lineRule="auto"/>
              <w:jc w:val="center"/>
              <w:rPr>
                <w:rFonts w:ascii="Times New Roman" w:eastAsia="Times New Roman" w:hAnsi="Times New Roman" w:cs="Times New Roman"/>
                <w:b/>
                <w:bCs/>
                <w:color w:val="000000"/>
                <w:sz w:val="14"/>
                <w:szCs w:val="18"/>
              </w:rPr>
            </w:pPr>
          </w:p>
        </w:tc>
        <w:tc>
          <w:tcPr>
            <w:tcW w:w="226" w:type="pct"/>
            <w:tcBorders>
              <w:top w:val="nil"/>
              <w:left w:val="nil"/>
              <w:bottom w:val="single" w:sz="4" w:space="0" w:color="auto"/>
              <w:right w:val="nil"/>
            </w:tcBorders>
            <w:noWrap/>
            <w:vAlign w:val="bottom"/>
            <w:hideMark/>
          </w:tcPr>
          <w:p w14:paraId="4A6E4932"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tcBorders>
              <w:top w:val="nil"/>
              <w:left w:val="nil"/>
              <w:bottom w:val="single" w:sz="4" w:space="0" w:color="auto"/>
              <w:right w:val="nil"/>
            </w:tcBorders>
            <w:noWrap/>
            <w:vAlign w:val="bottom"/>
            <w:hideMark/>
          </w:tcPr>
          <w:p w14:paraId="03FACE8C"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36393271" w14:textId="77777777" w:rsidTr="00285264">
        <w:trPr>
          <w:trHeight w:val="290"/>
        </w:trPr>
        <w:tc>
          <w:tcPr>
            <w:tcW w:w="1136" w:type="pct"/>
            <w:gridSpan w:val="2"/>
            <w:vMerge w:val="restart"/>
            <w:tcBorders>
              <w:top w:val="single" w:sz="4" w:space="0" w:color="auto"/>
            </w:tcBorders>
            <w:noWrap/>
            <w:vAlign w:val="center"/>
            <w:hideMark/>
          </w:tcPr>
          <w:p w14:paraId="709EFAC2" w14:textId="77777777" w:rsidR="00FD74AB" w:rsidRPr="00235994" w:rsidRDefault="00FD74AB" w:rsidP="00285264">
            <w:pPr>
              <w:spacing w:after="0" w:line="240" w:lineRule="auto"/>
              <w:rPr>
                <w:rFonts w:ascii="Times New Roman" w:eastAsia="Times New Roman" w:hAnsi="Times New Roman" w:cs="Times New Roman"/>
                <w:color w:val="FF0000"/>
                <w:sz w:val="20"/>
                <w:szCs w:val="20"/>
              </w:rPr>
            </w:pPr>
            <w:r w:rsidRPr="00235994">
              <w:rPr>
                <w:rFonts w:ascii="Times New Roman" w:eastAsia="Times New Roman" w:hAnsi="Times New Roman" w:cs="Times New Roman"/>
                <w:sz w:val="20"/>
                <w:szCs w:val="20"/>
              </w:rPr>
              <w:t>Independent Variables</w:t>
            </w:r>
          </w:p>
        </w:tc>
        <w:tc>
          <w:tcPr>
            <w:tcW w:w="1912" w:type="pct"/>
            <w:gridSpan w:val="4"/>
            <w:tcBorders>
              <w:top w:val="single" w:sz="4" w:space="0" w:color="auto"/>
            </w:tcBorders>
            <w:noWrap/>
            <w:vAlign w:val="bottom"/>
            <w:hideMark/>
          </w:tcPr>
          <w:p w14:paraId="1E06DD7D"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REMARKS</w:t>
            </w:r>
          </w:p>
        </w:tc>
        <w:tc>
          <w:tcPr>
            <w:tcW w:w="819" w:type="pct"/>
            <w:gridSpan w:val="2"/>
            <w:vMerge w:val="restart"/>
            <w:tcBorders>
              <w:top w:val="single" w:sz="4" w:space="0" w:color="auto"/>
            </w:tcBorders>
            <w:noWrap/>
            <w:vAlign w:val="bottom"/>
            <w:hideMark/>
          </w:tcPr>
          <w:p w14:paraId="086BC560"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638" w:type="pct"/>
            <w:tcBorders>
              <w:top w:val="single" w:sz="4" w:space="0" w:color="auto"/>
            </w:tcBorders>
            <w:noWrap/>
            <w:vAlign w:val="bottom"/>
            <w:hideMark/>
          </w:tcPr>
          <w:p w14:paraId="297FB9DC"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tcBorders>
              <w:top w:val="single" w:sz="4" w:space="0" w:color="auto"/>
            </w:tcBorders>
            <w:noWrap/>
            <w:vAlign w:val="bottom"/>
            <w:hideMark/>
          </w:tcPr>
          <w:p w14:paraId="2409F96D"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tcBorders>
              <w:top w:val="single" w:sz="4" w:space="0" w:color="auto"/>
            </w:tcBorders>
            <w:noWrap/>
            <w:vAlign w:val="bottom"/>
            <w:hideMark/>
          </w:tcPr>
          <w:p w14:paraId="2DB28F88"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03F46B9" w14:textId="77777777" w:rsidTr="00285264">
        <w:trPr>
          <w:trHeight w:val="290"/>
        </w:trPr>
        <w:tc>
          <w:tcPr>
            <w:tcW w:w="1136" w:type="pct"/>
            <w:gridSpan w:val="2"/>
            <w:vMerge/>
            <w:vAlign w:val="center"/>
            <w:hideMark/>
          </w:tcPr>
          <w:p w14:paraId="4B50F151" w14:textId="77777777" w:rsidR="00FD74AB" w:rsidRPr="00235994" w:rsidRDefault="00FD74AB" w:rsidP="00285264">
            <w:pPr>
              <w:spacing w:after="0" w:line="240" w:lineRule="auto"/>
              <w:rPr>
                <w:rFonts w:ascii="Times New Roman" w:eastAsia="Times New Roman" w:hAnsi="Times New Roman" w:cs="Times New Roman"/>
                <w:sz w:val="20"/>
                <w:szCs w:val="20"/>
              </w:rPr>
            </w:pPr>
          </w:p>
        </w:tc>
        <w:tc>
          <w:tcPr>
            <w:tcW w:w="1038" w:type="pct"/>
            <w:gridSpan w:val="2"/>
            <w:noWrap/>
            <w:vAlign w:val="bottom"/>
            <w:hideMark/>
          </w:tcPr>
          <w:p w14:paraId="7B468936"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NEGATIVE</w:t>
            </w:r>
          </w:p>
        </w:tc>
        <w:tc>
          <w:tcPr>
            <w:tcW w:w="874" w:type="pct"/>
            <w:gridSpan w:val="2"/>
            <w:noWrap/>
            <w:vAlign w:val="bottom"/>
            <w:hideMark/>
          </w:tcPr>
          <w:p w14:paraId="5C0AE62F"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POSITIVE</w:t>
            </w:r>
          </w:p>
        </w:tc>
        <w:tc>
          <w:tcPr>
            <w:tcW w:w="819" w:type="pct"/>
            <w:gridSpan w:val="2"/>
            <w:vMerge/>
            <w:vAlign w:val="center"/>
            <w:hideMark/>
          </w:tcPr>
          <w:p w14:paraId="292D85CC"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8" w:type="pct"/>
            <w:noWrap/>
            <w:vAlign w:val="bottom"/>
            <w:hideMark/>
          </w:tcPr>
          <w:p w14:paraId="5272AC17"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1440C50D"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13D43D45"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03D45EE2" w14:textId="77777777" w:rsidTr="00285264">
        <w:trPr>
          <w:trHeight w:val="290"/>
        </w:trPr>
        <w:tc>
          <w:tcPr>
            <w:tcW w:w="1136" w:type="pct"/>
            <w:gridSpan w:val="2"/>
            <w:vMerge/>
            <w:tcBorders>
              <w:bottom w:val="single" w:sz="4" w:space="0" w:color="auto"/>
            </w:tcBorders>
            <w:vAlign w:val="center"/>
            <w:hideMark/>
          </w:tcPr>
          <w:p w14:paraId="26890C10" w14:textId="77777777" w:rsidR="00FD74AB" w:rsidRPr="00235994" w:rsidRDefault="00FD74AB" w:rsidP="00285264">
            <w:pPr>
              <w:spacing w:after="0" w:line="240" w:lineRule="auto"/>
              <w:rPr>
                <w:rFonts w:ascii="Times New Roman" w:eastAsia="Times New Roman" w:hAnsi="Times New Roman" w:cs="Times New Roman"/>
                <w:sz w:val="20"/>
                <w:szCs w:val="20"/>
              </w:rPr>
            </w:pPr>
          </w:p>
        </w:tc>
        <w:tc>
          <w:tcPr>
            <w:tcW w:w="512" w:type="pct"/>
            <w:tcBorders>
              <w:bottom w:val="single" w:sz="4" w:space="0" w:color="auto"/>
            </w:tcBorders>
            <w:noWrap/>
            <w:vAlign w:val="bottom"/>
            <w:hideMark/>
          </w:tcPr>
          <w:p w14:paraId="72A08804"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526" w:type="pct"/>
            <w:tcBorders>
              <w:bottom w:val="single" w:sz="4" w:space="0" w:color="auto"/>
            </w:tcBorders>
            <w:noWrap/>
            <w:vAlign w:val="bottom"/>
            <w:hideMark/>
          </w:tcPr>
          <w:p w14:paraId="138F093A"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524" w:type="pct"/>
            <w:tcBorders>
              <w:bottom w:val="single" w:sz="4" w:space="0" w:color="auto"/>
            </w:tcBorders>
            <w:noWrap/>
            <w:vAlign w:val="bottom"/>
            <w:hideMark/>
          </w:tcPr>
          <w:p w14:paraId="7161AEA3"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350" w:type="pct"/>
            <w:tcBorders>
              <w:bottom w:val="single" w:sz="4" w:space="0" w:color="auto"/>
            </w:tcBorders>
            <w:noWrap/>
            <w:vAlign w:val="bottom"/>
            <w:hideMark/>
          </w:tcPr>
          <w:p w14:paraId="4B75A8BD"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454" w:type="pct"/>
            <w:tcBorders>
              <w:bottom w:val="single" w:sz="4" w:space="0" w:color="auto"/>
            </w:tcBorders>
            <w:noWrap/>
            <w:vAlign w:val="bottom"/>
            <w:hideMark/>
          </w:tcPr>
          <w:p w14:paraId="7BD72882"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365" w:type="pct"/>
            <w:tcBorders>
              <w:bottom w:val="single" w:sz="4" w:space="0" w:color="auto"/>
            </w:tcBorders>
            <w:noWrap/>
            <w:vAlign w:val="bottom"/>
            <w:hideMark/>
          </w:tcPr>
          <w:p w14:paraId="0839F8DE" w14:textId="77777777" w:rsidR="00FD74AB" w:rsidRPr="00235994" w:rsidRDefault="00FD74AB" w:rsidP="00285264">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638" w:type="pct"/>
            <w:tcBorders>
              <w:bottom w:val="single" w:sz="4" w:space="0" w:color="auto"/>
            </w:tcBorders>
            <w:noWrap/>
            <w:vAlign w:val="bottom"/>
            <w:hideMark/>
          </w:tcPr>
          <w:p w14:paraId="330D1705"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Chi-square</w:t>
            </w:r>
          </w:p>
        </w:tc>
        <w:tc>
          <w:tcPr>
            <w:tcW w:w="226" w:type="pct"/>
            <w:tcBorders>
              <w:bottom w:val="single" w:sz="4" w:space="0" w:color="auto"/>
            </w:tcBorders>
            <w:noWrap/>
            <w:vAlign w:val="bottom"/>
            <w:hideMark/>
          </w:tcPr>
          <w:p w14:paraId="1838E167" w14:textId="77777777" w:rsidR="00FD74AB" w:rsidRPr="00235994" w:rsidRDefault="00FD74AB" w:rsidP="00285264">
            <w:pPr>
              <w:spacing w:after="0" w:line="240" w:lineRule="auto"/>
              <w:rPr>
                <w:rFonts w:ascii="Times New Roman" w:eastAsia="Times New Roman" w:hAnsi="Times New Roman" w:cs="Times New Roman"/>
                <w:sz w:val="16"/>
                <w:szCs w:val="20"/>
              </w:rPr>
            </w:pPr>
            <w:r w:rsidRPr="00235994">
              <w:rPr>
                <w:rFonts w:ascii="Times New Roman" w:eastAsia="Times New Roman" w:hAnsi="Times New Roman" w:cs="Times New Roman"/>
                <w:sz w:val="16"/>
                <w:szCs w:val="20"/>
              </w:rPr>
              <w:t>Df</w:t>
            </w:r>
          </w:p>
        </w:tc>
        <w:tc>
          <w:tcPr>
            <w:tcW w:w="269" w:type="pct"/>
            <w:tcBorders>
              <w:bottom w:val="single" w:sz="4" w:space="0" w:color="auto"/>
            </w:tcBorders>
            <w:noWrap/>
            <w:vAlign w:val="bottom"/>
            <w:hideMark/>
          </w:tcPr>
          <w:p w14:paraId="592BE3F0" w14:textId="77777777" w:rsidR="00FD74AB" w:rsidRPr="00235994" w:rsidRDefault="00FD74AB" w:rsidP="00285264">
            <w:pPr>
              <w:spacing w:after="0" w:line="240" w:lineRule="auto"/>
              <w:rPr>
                <w:rFonts w:ascii="Times New Roman" w:eastAsia="Times New Roman" w:hAnsi="Times New Roman" w:cs="Times New Roman"/>
                <w:sz w:val="16"/>
                <w:szCs w:val="20"/>
              </w:rPr>
            </w:pPr>
            <w:r w:rsidRPr="00235994">
              <w:rPr>
                <w:rFonts w:ascii="Times New Roman" w:eastAsia="Times New Roman" w:hAnsi="Times New Roman" w:cs="Times New Roman"/>
                <w:sz w:val="16"/>
                <w:szCs w:val="20"/>
              </w:rPr>
              <w:t>P</w:t>
            </w:r>
          </w:p>
        </w:tc>
      </w:tr>
      <w:tr w:rsidR="00FD74AB" w:rsidRPr="00235994" w14:paraId="0D2855F2" w14:textId="77777777" w:rsidTr="00285264">
        <w:trPr>
          <w:trHeight w:val="290"/>
        </w:trPr>
        <w:tc>
          <w:tcPr>
            <w:tcW w:w="499" w:type="pct"/>
            <w:vMerge w:val="restart"/>
            <w:tcBorders>
              <w:top w:val="single" w:sz="4" w:space="0" w:color="auto"/>
            </w:tcBorders>
            <w:noWrap/>
            <w:hideMark/>
          </w:tcPr>
          <w:p w14:paraId="0548BEC6"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AGE  (years)</w:t>
            </w:r>
          </w:p>
        </w:tc>
        <w:tc>
          <w:tcPr>
            <w:tcW w:w="637" w:type="pct"/>
            <w:tcBorders>
              <w:top w:val="single" w:sz="4" w:space="0" w:color="auto"/>
            </w:tcBorders>
            <w:noWrap/>
            <w:hideMark/>
          </w:tcPr>
          <w:p w14:paraId="52CB6E05"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1.0 - 20.0</w:t>
            </w:r>
          </w:p>
        </w:tc>
        <w:tc>
          <w:tcPr>
            <w:tcW w:w="512" w:type="pct"/>
            <w:tcBorders>
              <w:top w:val="single" w:sz="4" w:space="0" w:color="auto"/>
            </w:tcBorders>
            <w:noWrap/>
            <w:vAlign w:val="center"/>
            <w:hideMark/>
          </w:tcPr>
          <w:p w14:paraId="6148A99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62</w:t>
            </w:r>
            <w:r w:rsidRPr="00235994">
              <w:rPr>
                <w:rFonts w:ascii="Times New Roman" w:eastAsia="Times New Roman" w:hAnsi="Times New Roman" w:cs="Times New Roman"/>
                <w:color w:val="000000"/>
                <w:sz w:val="18"/>
                <w:szCs w:val="18"/>
                <w:vertAlign w:val="subscript"/>
              </w:rPr>
              <w:t>a</w:t>
            </w:r>
          </w:p>
        </w:tc>
        <w:tc>
          <w:tcPr>
            <w:tcW w:w="526" w:type="pct"/>
            <w:tcBorders>
              <w:top w:val="single" w:sz="4" w:space="0" w:color="auto"/>
            </w:tcBorders>
            <w:noWrap/>
            <w:vAlign w:val="center"/>
            <w:hideMark/>
          </w:tcPr>
          <w:p w14:paraId="3B9E84F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15.0</w:t>
            </w:r>
          </w:p>
        </w:tc>
        <w:tc>
          <w:tcPr>
            <w:tcW w:w="524" w:type="pct"/>
            <w:tcBorders>
              <w:top w:val="single" w:sz="4" w:space="0" w:color="auto"/>
            </w:tcBorders>
            <w:noWrap/>
            <w:vAlign w:val="center"/>
            <w:hideMark/>
          </w:tcPr>
          <w:p w14:paraId="4B5F7DF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w:t>
            </w:r>
            <w:r w:rsidRPr="00235994">
              <w:rPr>
                <w:rFonts w:ascii="Times New Roman" w:eastAsia="Times New Roman" w:hAnsi="Times New Roman" w:cs="Times New Roman"/>
                <w:color w:val="000000"/>
                <w:sz w:val="18"/>
                <w:szCs w:val="18"/>
                <w:vertAlign w:val="subscript"/>
              </w:rPr>
              <w:t>a</w:t>
            </w:r>
          </w:p>
        </w:tc>
        <w:tc>
          <w:tcPr>
            <w:tcW w:w="350" w:type="pct"/>
            <w:tcBorders>
              <w:top w:val="single" w:sz="4" w:space="0" w:color="auto"/>
            </w:tcBorders>
            <w:noWrap/>
            <w:vAlign w:val="center"/>
            <w:hideMark/>
          </w:tcPr>
          <w:p w14:paraId="296FB00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37.5</w:t>
            </w:r>
          </w:p>
        </w:tc>
        <w:tc>
          <w:tcPr>
            <w:tcW w:w="454" w:type="pct"/>
            <w:tcBorders>
              <w:top w:val="single" w:sz="4" w:space="0" w:color="auto"/>
            </w:tcBorders>
            <w:noWrap/>
            <w:vAlign w:val="center"/>
            <w:hideMark/>
          </w:tcPr>
          <w:p w14:paraId="3CC1448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65</w:t>
            </w:r>
          </w:p>
        </w:tc>
        <w:tc>
          <w:tcPr>
            <w:tcW w:w="365" w:type="pct"/>
            <w:tcBorders>
              <w:top w:val="single" w:sz="4" w:space="0" w:color="auto"/>
            </w:tcBorders>
            <w:noWrap/>
            <w:vAlign w:val="center"/>
            <w:hideMark/>
          </w:tcPr>
          <w:p w14:paraId="5D6EC12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15.4</w:t>
            </w:r>
          </w:p>
        </w:tc>
        <w:tc>
          <w:tcPr>
            <w:tcW w:w="638" w:type="pct"/>
            <w:tcBorders>
              <w:top w:val="single" w:sz="4" w:space="0" w:color="auto"/>
            </w:tcBorders>
            <w:noWrap/>
            <w:vAlign w:val="center"/>
            <w:hideMark/>
          </w:tcPr>
          <w:p w14:paraId="7CF54517"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 3.215</w:t>
            </w:r>
          </w:p>
        </w:tc>
        <w:tc>
          <w:tcPr>
            <w:tcW w:w="226" w:type="pct"/>
            <w:tcBorders>
              <w:top w:val="single" w:sz="4" w:space="0" w:color="auto"/>
            </w:tcBorders>
            <w:noWrap/>
            <w:vAlign w:val="center"/>
            <w:hideMark/>
          </w:tcPr>
          <w:p w14:paraId="68688594"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4</w:t>
            </w:r>
          </w:p>
        </w:tc>
        <w:tc>
          <w:tcPr>
            <w:tcW w:w="269" w:type="pct"/>
            <w:tcBorders>
              <w:top w:val="single" w:sz="4" w:space="0" w:color="auto"/>
            </w:tcBorders>
            <w:noWrap/>
            <w:vAlign w:val="center"/>
            <w:hideMark/>
          </w:tcPr>
          <w:p w14:paraId="0CD97348"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.522</w:t>
            </w:r>
          </w:p>
        </w:tc>
      </w:tr>
      <w:tr w:rsidR="00FD74AB" w:rsidRPr="00235994" w14:paraId="58B151ED" w14:textId="77777777" w:rsidTr="00285264">
        <w:trPr>
          <w:trHeight w:val="290"/>
        </w:trPr>
        <w:tc>
          <w:tcPr>
            <w:tcW w:w="499" w:type="pct"/>
            <w:vMerge/>
            <w:vAlign w:val="center"/>
            <w:hideMark/>
          </w:tcPr>
          <w:p w14:paraId="5F75CEA6"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458596D0"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21.0 - 40.0</w:t>
            </w:r>
          </w:p>
        </w:tc>
        <w:tc>
          <w:tcPr>
            <w:tcW w:w="512" w:type="pct"/>
            <w:noWrap/>
            <w:vAlign w:val="center"/>
            <w:hideMark/>
          </w:tcPr>
          <w:p w14:paraId="30F7819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123</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2233DB3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29.7</w:t>
            </w:r>
          </w:p>
        </w:tc>
        <w:tc>
          <w:tcPr>
            <w:tcW w:w="524" w:type="pct"/>
            <w:noWrap/>
            <w:vAlign w:val="center"/>
            <w:hideMark/>
          </w:tcPr>
          <w:p w14:paraId="3A6CD65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7C68BFB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25.0</w:t>
            </w:r>
          </w:p>
        </w:tc>
        <w:tc>
          <w:tcPr>
            <w:tcW w:w="454" w:type="pct"/>
            <w:noWrap/>
            <w:vAlign w:val="center"/>
            <w:hideMark/>
          </w:tcPr>
          <w:p w14:paraId="5990D5E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125</w:t>
            </w:r>
          </w:p>
        </w:tc>
        <w:tc>
          <w:tcPr>
            <w:tcW w:w="365" w:type="pct"/>
            <w:noWrap/>
            <w:vAlign w:val="center"/>
            <w:hideMark/>
          </w:tcPr>
          <w:p w14:paraId="246BF9A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29.6</w:t>
            </w:r>
          </w:p>
        </w:tc>
        <w:tc>
          <w:tcPr>
            <w:tcW w:w="638" w:type="pct"/>
            <w:noWrap/>
            <w:vAlign w:val="bottom"/>
            <w:hideMark/>
          </w:tcPr>
          <w:p w14:paraId="5D566977"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5718F197"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72F91541"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1F4FE8E0" w14:textId="77777777" w:rsidTr="00285264">
        <w:trPr>
          <w:trHeight w:val="290"/>
        </w:trPr>
        <w:tc>
          <w:tcPr>
            <w:tcW w:w="499" w:type="pct"/>
            <w:vMerge/>
            <w:vAlign w:val="center"/>
            <w:hideMark/>
          </w:tcPr>
          <w:p w14:paraId="25A0DFEB"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27BB06A6"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41.0 - 60.0</w:t>
            </w:r>
          </w:p>
        </w:tc>
        <w:tc>
          <w:tcPr>
            <w:tcW w:w="512" w:type="pct"/>
            <w:noWrap/>
            <w:vAlign w:val="center"/>
            <w:hideMark/>
          </w:tcPr>
          <w:p w14:paraId="4CFAE4B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133</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50246B10"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32.1</w:t>
            </w:r>
          </w:p>
        </w:tc>
        <w:tc>
          <w:tcPr>
            <w:tcW w:w="524" w:type="pct"/>
            <w:noWrap/>
            <w:vAlign w:val="center"/>
            <w:hideMark/>
          </w:tcPr>
          <w:p w14:paraId="202C1BF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573942F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25.0</w:t>
            </w:r>
          </w:p>
        </w:tc>
        <w:tc>
          <w:tcPr>
            <w:tcW w:w="454" w:type="pct"/>
            <w:noWrap/>
            <w:vAlign w:val="center"/>
            <w:hideMark/>
          </w:tcPr>
          <w:p w14:paraId="4ACC04E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135</w:t>
            </w:r>
          </w:p>
        </w:tc>
        <w:tc>
          <w:tcPr>
            <w:tcW w:w="365" w:type="pct"/>
            <w:noWrap/>
            <w:vAlign w:val="center"/>
            <w:hideMark/>
          </w:tcPr>
          <w:p w14:paraId="0FE6059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32.0</w:t>
            </w:r>
          </w:p>
        </w:tc>
        <w:tc>
          <w:tcPr>
            <w:tcW w:w="638" w:type="pct"/>
            <w:noWrap/>
            <w:vAlign w:val="bottom"/>
            <w:hideMark/>
          </w:tcPr>
          <w:p w14:paraId="06703CC2"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1AD790FB"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5AE1B0FE"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8ECD571" w14:textId="77777777" w:rsidTr="00285264">
        <w:trPr>
          <w:trHeight w:val="290"/>
        </w:trPr>
        <w:tc>
          <w:tcPr>
            <w:tcW w:w="499" w:type="pct"/>
            <w:vMerge/>
            <w:vAlign w:val="center"/>
            <w:hideMark/>
          </w:tcPr>
          <w:p w14:paraId="57A5A2BB"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0860B31C"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61.0 - 80.0</w:t>
            </w:r>
          </w:p>
        </w:tc>
        <w:tc>
          <w:tcPr>
            <w:tcW w:w="512" w:type="pct"/>
            <w:noWrap/>
            <w:vAlign w:val="center"/>
            <w:hideMark/>
          </w:tcPr>
          <w:p w14:paraId="00C3DE1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87</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752CC710"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21.0</w:t>
            </w:r>
          </w:p>
        </w:tc>
        <w:tc>
          <w:tcPr>
            <w:tcW w:w="524" w:type="pct"/>
            <w:noWrap/>
            <w:vAlign w:val="center"/>
            <w:hideMark/>
          </w:tcPr>
          <w:p w14:paraId="51DDAA6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3FDFCF1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12.5</w:t>
            </w:r>
          </w:p>
        </w:tc>
        <w:tc>
          <w:tcPr>
            <w:tcW w:w="454" w:type="pct"/>
            <w:noWrap/>
            <w:vAlign w:val="center"/>
            <w:hideMark/>
          </w:tcPr>
          <w:p w14:paraId="0819A29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88</w:t>
            </w:r>
          </w:p>
        </w:tc>
        <w:tc>
          <w:tcPr>
            <w:tcW w:w="365" w:type="pct"/>
            <w:noWrap/>
            <w:vAlign w:val="center"/>
            <w:hideMark/>
          </w:tcPr>
          <w:p w14:paraId="5A7F5BE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20.9</w:t>
            </w:r>
          </w:p>
        </w:tc>
        <w:tc>
          <w:tcPr>
            <w:tcW w:w="638" w:type="pct"/>
            <w:noWrap/>
            <w:vAlign w:val="bottom"/>
            <w:hideMark/>
          </w:tcPr>
          <w:p w14:paraId="62F4F5EB"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6A8B2C22"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7829068A"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976BF94" w14:textId="77777777" w:rsidTr="00285264">
        <w:trPr>
          <w:trHeight w:val="290"/>
        </w:trPr>
        <w:tc>
          <w:tcPr>
            <w:tcW w:w="499" w:type="pct"/>
            <w:vMerge/>
            <w:vAlign w:val="center"/>
            <w:hideMark/>
          </w:tcPr>
          <w:p w14:paraId="10C52CE4"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7757DC53"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81.0+</w:t>
            </w:r>
          </w:p>
        </w:tc>
        <w:tc>
          <w:tcPr>
            <w:tcW w:w="512" w:type="pct"/>
            <w:noWrap/>
            <w:vAlign w:val="center"/>
            <w:hideMark/>
          </w:tcPr>
          <w:p w14:paraId="00AC508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9</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6D99B53D"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2.2</w:t>
            </w:r>
          </w:p>
        </w:tc>
        <w:tc>
          <w:tcPr>
            <w:tcW w:w="524" w:type="pct"/>
            <w:noWrap/>
            <w:vAlign w:val="center"/>
            <w:hideMark/>
          </w:tcPr>
          <w:p w14:paraId="3CCAC47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49E016C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54" w:type="pct"/>
            <w:noWrap/>
            <w:vAlign w:val="center"/>
            <w:hideMark/>
          </w:tcPr>
          <w:p w14:paraId="34D661F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9</w:t>
            </w:r>
          </w:p>
        </w:tc>
        <w:tc>
          <w:tcPr>
            <w:tcW w:w="365" w:type="pct"/>
            <w:noWrap/>
            <w:vAlign w:val="center"/>
            <w:hideMark/>
          </w:tcPr>
          <w:p w14:paraId="1F79889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2.1</w:t>
            </w:r>
          </w:p>
        </w:tc>
        <w:tc>
          <w:tcPr>
            <w:tcW w:w="638" w:type="pct"/>
            <w:noWrap/>
            <w:vAlign w:val="bottom"/>
            <w:hideMark/>
          </w:tcPr>
          <w:p w14:paraId="1478E6DD"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7D3D6AFF"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383EBA1D"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654E00EC" w14:textId="77777777" w:rsidTr="00285264">
        <w:trPr>
          <w:trHeight w:val="290"/>
        </w:trPr>
        <w:tc>
          <w:tcPr>
            <w:tcW w:w="1136" w:type="pct"/>
            <w:gridSpan w:val="2"/>
            <w:noWrap/>
            <w:hideMark/>
          </w:tcPr>
          <w:p w14:paraId="3BA070D3"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512" w:type="pct"/>
            <w:noWrap/>
            <w:vAlign w:val="center"/>
            <w:hideMark/>
          </w:tcPr>
          <w:p w14:paraId="15152340"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414</w:t>
            </w:r>
          </w:p>
        </w:tc>
        <w:tc>
          <w:tcPr>
            <w:tcW w:w="526" w:type="pct"/>
            <w:noWrap/>
            <w:vAlign w:val="center"/>
            <w:hideMark/>
          </w:tcPr>
          <w:p w14:paraId="66F6047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524" w:type="pct"/>
            <w:noWrap/>
            <w:vAlign w:val="center"/>
            <w:hideMark/>
          </w:tcPr>
          <w:p w14:paraId="0717697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w:t>
            </w:r>
          </w:p>
        </w:tc>
        <w:tc>
          <w:tcPr>
            <w:tcW w:w="350" w:type="pct"/>
            <w:noWrap/>
            <w:vAlign w:val="center"/>
            <w:hideMark/>
          </w:tcPr>
          <w:p w14:paraId="283587D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54" w:type="pct"/>
            <w:noWrap/>
            <w:vAlign w:val="center"/>
            <w:hideMark/>
          </w:tcPr>
          <w:p w14:paraId="28AA2BBD"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422</w:t>
            </w:r>
          </w:p>
        </w:tc>
        <w:tc>
          <w:tcPr>
            <w:tcW w:w="365" w:type="pct"/>
            <w:noWrap/>
            <w:vAlign w:val="center"/>
            <w:hideMark/>
          </w:tcPr>
          <w:p w14:paraId="235CAE3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638" w:type="pct"/>
            <w:noWrap/>
            <w:vAlign w:val="bottom"/>
            <w:hideMark/>
          </w:tcPr>
          <w:p w14:paraId="3593D1BD"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02E21921"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36EAB5D2"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7BE588B8" w14:textId="77777777" w:rsidTr="00285264">
        <w:trPr>
          <w:trHeight w:val="290"/>
        </w:trPr>
        <w:tc>
          <w:tcPr>
            <w:tcW w:w="1136" w:type="pct"/>
            <w:gridSpan w:val="2"/>
            <w:noWrap/>
          </w:tcPr>
          <w:p w14:paraId="7C864116"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512" w:type="pct"/>
            <w:noWrap/>
            <w:vAlign w:val="center"/>
          </w:tcPr>
          <w:p w14:paraId="457BE3A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6" w:type="pct"/>
            <w:noWrap/>
            <w:vAlign w:val="center"/>
          </w:tcPr>
          <w:p w14:paraId="3CD93E7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4" w:type="pct"/>
            <w:noWrap/>
            <w:vAlign w:val="center"/>
          </w:tcPr>
          <w:p w14:paraId="753ED31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50" w:type="pct"/>
            <w:noWrap/>
            <w:vAlign w:val="center"/>
          </w:tcPr>
          <w:p w14:paraId="0635147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454" w:type="pct"/>
            <w:noWrap/>
            <w:vAlign w:val="center"/>
          </w:tcPr>
          <w:p w14:paraId="3D5EDD7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65" w:type="pct"/>
            <w:noWrap/>
            <w:vAlign w:val="center"/>
          </w:tcPr>
          <w:p w14:paraId="7B63F07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638" w:type="pct"/>
            <w:noWrap/>
            <w:vAlign w:val="bottom"/>
          </w:tcPr>
          <w:p w14:paraId="440C8F7F"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tcPr>
          <w:p w14:paraId="30E9D0A2"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tcPr>
          <w:p w14:paraId="14F593FF" w14:textId="77777777" w:rsidR="00FD74AB" w:rsidRDefault="00FD74AB" w:rsidP="00285264">
            <w:pPr>
              <w:spacing w:after="0" w:line="240" w:lineRule="auto"/>
              <w:rPr>
                <w:rFonts w:ascii="Times New Roman" w:eastAsia="Times New Roman" w:hAnsi="Times New Roman" w:cs="Times New Roman"/>
                <w:sz w:val="16"/>
                <w:szCs w:val="20"/>
              </w:rPr>
            </w:pPr>
          </w:p>
          <w:p w14:paraId="2C3B5982" w14:textId="77777777" w:rsidR="00331A98" w:rsidRPr="00235994" w:rsidRDefault="00331A98" w:rsidP="00285264">
            <w:pPr>
              <w:spacing w:after="0" w:line="240" w:lineRule="auto"/>
              <w:rPr>
                <w:rFonts w:ascii="Times New Roman" w:eastAsia="Times New Roman" w:hAnsi="Times New Roman" w:cs="Times New Roman"/>
                <w:sz w:val="16"/>
                <w:szCs w:val="20"/>
              </w:rPr>
            </w:pPr>
          </w:p>
        </w:tc>
      </w:tr>
      <w:tr w:rsidR="00FD74AB" w:rsidRPr="00235994" w14:paraId="5F178930" w14:textId="77777777" w:rsidTr="00285264">
        <w:trPr>
          <w:trHeight w:val="290"/>
        </w:trPr>
        <w:tc>
          <w:tcPr>
            <w:tcW w:w="499" w:type="pct"/>
            <w:vMerge w:val="restart"/>
            <w:noWrap/>
            <w:hideMark/>
          </w:tcPr>
          <w:p w14:paraId="2FBAF966"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GENDER</w:t>
            </w:r>
          </w:p>
        </w:tc>
        <w:tc>
          <w:tcPr>
            <w:tcW w:w="637" w:type="pct"/>
            <w:noWrap/>
            <w:hideMark/>
          </w:tcPr>
          <w:p w14:paraId="32FE8FF4"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FEMALE</w:t>
            </w:r>
          </w:p>
        </w:tc>
        <w:tc>
          <w:tcPr>
            <w:tcW w:w="512" w:type="pct"/>
            <w:noWrap/>
            <w:vAlign w:val="center"/>
            <w:hideMark/>
          </w:tcPr>
          <w:p w14:paraId="6AE54B9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298</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7991084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72.0</w:t>
            </w:r>
          </w:p>
        </w:tc>
        <w:tc>
          <w:tcPr>
            <w:tcW w:w="524" w:type="pct"/>
            <w:noWrap/>
            <w:vAlign w:val="center"/>
            <w:hideMark/>
          </w:tcPr>
          <w:p w14:paraId="4BF6E5A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59D5267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87.5</w:t>
            </w:r>
          </w:p>
        </w:tc>
        <w:tc>
          <w:tcPr>
            <w:tcW w:w="454" w:type="pct"/>
            <w:noWrap/>
            <w:vAlign w:val="center"/>
            <w:hideMark/>
          </w:tcPr>
          <w:p w14:paraId="613255A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305</w:t>
            </w:r>
          </w:p>
        </w:tc>
        <w:tc>
          <w:tcPr>
            <w:tcW w:w="365" w:type="pct"/>
            <w:noWrap/>
            <w:vAlign w:val="center"/>
            <w:hideMark/>
          </w:tcPr>
          <w:p w14:paraId="630E175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72.3</w:t>
            </w:r>
          </w:p>
        </w:tc>
        <w:tc>
          <w:tcPr>
            <w:tcW w:w="638" w:type="pct"/>
            <w:noWrap/>
            <w:vAlign w:val="center"/>
            <w:hideMark/>
          </w:tcPr>
          <w:p w14:paraId="2EA1DBEA"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 0.943</w:t>
            </w:r>
          </w:p>
        </w:tc>
        <w:tc>
          <w:tcPr>
            <w:tcW w:w="226" w:type="pct"/>
            <w:noWrap/>
            <w:vAlign w:val="center"/>
            <w:hideMark/>
          </w:tcPr>
          <w:p w14:paraId="127E7727"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1</w:t>
            </w:r>
          </w:p>
        </w:tc>
        <w:tc>
          <w:tcPr>
            <w:tcW w:w="269" w:type="pct"/>
            <w:noWrap/>
            <w:vAlign w:val="center"/>
            <w:hideMark/>
          </w:tcPr>
          <w:p w14:paraId="18ADD02A"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.331</w:t>
            </w:r>
          </w:p>
        </w:tc>
      </w:tr>
      <w:tr w:rsidR="00FD74AB" w:rsidRPr="00235994" w14:paraId="75F5BE49" w14:textId="77777777" w:rsidTr="00285264">
        <w:trPr>
          <w:trHeight w:val="290"/>
        </w:trPr>
        <w:tc>
          <w:tcPr>
            <w:tcW w:w="499" w:type="pct"/>
            <w:vMerge/>
            <w:vAlign w:val="center"/>
            <w:hideMark/>
          </w:tcPr>
          <w:p w14:paraId="24F6DD8A"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2D9DCE93"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MALE</w:t>
            </w:r>
          </w:p>
        </w:tc>
        <w:tc>
          <w:tcPr>
            <w:tcW w:w="512" w:type="pct"/>
            <w:noWrap/>
            <w:vAlign w:val="center"/>
            <w:hideMark/>
          </w:tcPr>
          <w:p w14:paraId="1A0AB64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116</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27FF38E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28.0</w:t>
            </w:r>
          </w:p>
        </w:tc>
        <w:tc>
          <w:tcPr>
            <w:tcW w:w="524" w:type="pct"/>
            <w:noWrap/>
            <w:vAlign w:val="center"/>
            <w:hideMark/>
          </w:tcPr>
          <w:p w14:paraId="0535D1F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7CC52D2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12.5</w:t>
            </w:r>
          </w:p>
        </w:tc>
        <w:tc>
          <w:tcPr>
            <w:tcW w:w="454" w:type="pct"/>
            <w:noWrap/>
            <w:vAlign w:val="center"/>
            <w:hideMark/>
          </w:tcPr>
          <w:p w14:paraId="3362EA8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117</w:t>
            </w:r>
          </w:p>
        </w:tc>
        <w:tc>
          <w:tcPr>
            <w:tcW w:w="365" w:type="pct"/>
            <w:noWrap/>
            <w:vAlign w:val="center"/>
            <w:hideMark/>
          </w:tcPr>
          <w:p w14:paraId="74CBBBC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27.7</w:t>
            </w:r>
          </w:p>
        </w:tc>
        <w:tc>
          <w:tcPr>
            <w:tcW w:w="638" w:type="pct"/>
            <w:noWrap/>
            <w:vAlign w:val="bottom"/>
            <w:hideMark/>
          </w:tcPr>
          <w:p w14:paraId="46EF4B09"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651E636C"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59D90731"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F31399C" w14:textId="77777777" w:rsidTr="00285264">
        <w:trPr>
          <w:trHeight w:val="290"/>
        </w:trPr>
        <w:tc>
          <w:tcPr>
            <w:tcW w:w="1136" w:type="pct"/>
            <w:gridSpan w:val="2"/>
            <w:noWrap/>
            <w:hideMark/>
          </w:tcPr>
          <w:p w14:paraId="6F91EE67" w14:textId="77777777" w:rsidR="00FD74AB" w:rsidRPr="00235994" w:rsidRDefault="00FD74AB" w:rsidP="00285264">
            <w:pPr>
              <w:spacing w:after="0" w:line="240" w:lineRule="auto"/>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Total</w:t>
            </w:r>
          </w:p>
        </w:tc>
        <w:tc>
          <w:tcPr>
            <w:tcW w:w="512" w:type="pct"/>
            <w:noWrap/>
            <w:vAlign w:val="center"/>
            <w:hideMark/>
          </w:tcPr>
          <w:p w14:paraId="4C73D73C"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414</w:t>
            </w:r>
          </w:p>
        </w:tc>
        <w:tc>
          <w:tcPr>
            <w:tcW w:w="526" w:type="pct"/>
            <w:noWrap/>
            <w:vAlign w:val="center"/>
            <w:hideMark/>
          </w:tcPr>
          <w:p w14:paraId="1314EF58"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24" w:type="pct"/>
            <w:noWrap/>
            <w:vAlign w:val="center"/>
            <w:hideMark/>
          </w:tcPr>
          <w:p w14:paraId="252EAE94"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8</w:t>
            </w:r>
          </w:p>
        </w:tc>
        <w:tc>
          <w:tcPr>
            <w:tcW w:w="350" w:type="pct"/>
            <w:noWrap/>
            <w:vAlign w:val="center"/>
            <w:hideMark/>
          </w:tcPr>
          <w:p w14:paraId="0AEC32AB"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454" w:type="pct"/>
            <w:noWrap/>
            <w:vAlign w:val="center"/>
            <w:hideMark/>
          </w:tcPr>
          <w:p w14:paraId="226087DD"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422</w:t>
            </w:r>
          </w:p>
        </w:tc>
        <w:tc>
          <w:tcPr>
            <w:tcW w:w="365" w:type="pct"/>
            <w:noWrap/>
            <w:vAlign w:val="center"/>
            <w:hideMark/>
          </w:tcPr>
          <w:p w14:paraId="6C48F689" w14:textId="77777777" w:rsidR="00FD74AB" w:rsidRPr="00235994" w:rsidRDefault="00FD74AB" w:rsidP="00285264">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638" w:type="pct"/>
            <w:noWrap/>
            <w:vAlign w:val="bottom"/>
            <w:hideMark/>
          </w:tcPr>
          <w:p w14:paraId="4626CA06"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59212384"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675C68E6"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21512E77" w14:textId="77777777" w:rsidTr="00285264">
        <w:trPr>
          <w:trHeight w:val="290"/>
        </w:trPr>
        <w:tc>
          <w:tcPr>
            <w:tcW w:w="1136" w:type="pct"/>
            <w:gridSpan w:val="2"/>
            <w:noWrap/>
          </w:tcPr>
          <w:p w14:paraId="7E7C11C0"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512" w:type="pct"/>
            <w:noWrap/>
            <w:vAlign w:val="center"/>
          </w:tcPr>
          <w:p w14:paraId="78C1EB2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6" w:type="pct"/>
            <w:noWrap/>
            <w:vAlign w:val="center"/>
          </w:tcPr>
          <w:p w14:paraId="426759D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4" w:type="pct"/>
            <w:noWrap/>
            <w:vAlign w:val="center"/>
          </w:tcPr>
          <w:p w14:paraId="11EE4DC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50" w:type="pct"/>
            <w:noWrap/>
            <w:vAlign w:val="center"/>
          </w:tcPr>
          <w:p w14:paraId="7E2A4F0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454" w:type="pct"/>
            <w:noWrap/>
            <w:vAlign w:val="center"/>
          </w:tcPr>
          <w:p w14:paraId="38270F9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65" w:type="pct"/>
            <w:noWrap/>
            <w:vAlign w:val="center"/>
          </w:tcPr>
          <w:p w14:paraId="4D8F0A4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638" w:type="pct"/>
            <w:noWrap/>
            <w:vAlign w:val="bottom"/>
          </w:tcPr>
          <w:p w14:paraId="0389EC29"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tcPr>
          <w:p w14:paraId="5D35945E"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tcPr>
          <w:p w14:paraId="6B89D22E"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60EC229D" w14:textId="77777777" w:rsidTr="00285264">
        <w:trPr>
          <w:trHeight w:val="290"/>
        </w:trPr>
        <w:tc>
          <w:tcPr>
            <w:tcW w:w="499" w:type="pct"/>
            <w:vMerge w:val="restart"/>
            <w:noWrap/>
            <w:hideMark/>
          </w:tcPr>
          <w:p w14:paraId="42705988"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MARITAL STATUS</w:t>
            </w:r>
          </w:p>
        </w:tc>
        <w:tc>
          <w:tcPr>
            <w:tcW w:w="637" w:type="pct"/>
            <w:noWrap/>
            <w:hideMark/>
          </w:tcPr>
          <w:p w14:paraId="6B278920"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DIVORCED</w:t>
            </w:r>
          </w:p>
        </w:tc>
        <w:tc>
          <w:tcPr>
            <w:tcW w:w="512" w:type="pct"/>
            <w:noWrap/>
            <w:vAlign w:val="center"/>
            <w:hideMark/>
          </w:tcPr>
          <w:p w14:paraId="66C47ED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1B4305C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1.4</w:t>
            </w:r>
          </w:p>
        </w:tc>
        <w:tc>
          <w:tcPr>
            <w:tcW w:w="524" w:type="pct"/>
            <w:noWrap/>
            <w:vAlign w:val="center"/>
            <w:hideMark/>
          </w:tcPr>
          <w:p w14:paraId="7542616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0EA0E8F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54" w:type="pct"/>
            <w:noWrap/>
            <w:vAlign w:val="center"/>
            <w:hideMark/>
          </w:tcPr>
          <w:p w14:paraId="4E163F7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6</w:t>
            </w:r>
          </w:p>
        </w:tc>
        <w:tc>
          <w:tcPr>
            <w:tcW w:w="365" w:type="pct"/>
            <w:noWrap/>
            <w:vAlign w:val="center"/>
            <w:hideMark/>
          </w:tcPr>
          <w:p w14:paraId="468EB6F7"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1.4</w:t>
            </w:r>
          </w:p>
        </w:tc>
        <w:tc>
          <w:tcPr>
            <w:tcW w:w="638" w:type="pct"/>
            <w:noWrap/>
            <w:vAlign w:val="center"/>
            <w:hideMark/>
          </w:tcPr>
          <w:p w14:paraId="6C0DF4AC"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=4.433</w:t>
            </w:r>
          </w:p>
        </w:tc>
        <w:tc>
          <w:tcPr>
            <w:tcW w:w="226" w:type="pct"/>
            <w:noWrap/>
            <w:vAlign w:val="center"/>
            <w:hideMark/>
          </w:tcPr>
          <w:p w14:paraId="6E706D9B"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4</w:t>
            </w:r>
          </w:p>
        </w:tc>
        <w:tc>
          <w:tcPr>
            <w:tcW w:w="269" w:type="pct"/>
            <w:noWrap/>
            <w:vAlign w:val="center"/>
            <w:hideMark/>
          </w:tcPr>
          <w:p w14:paraId="6A29CEB7"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.351</w:t>
            </w:r>
          </w:p>
        </w:tc>
      </w:tr>
      <w:tr w:rsidR="00FD74AB" w:rsidRPr="00235994" w14:paraId="57F70850" w14:textId="77777777" w:rsidTr="00285264">
        <w:trPr>
          <w:trHeight w:val="290"/>
        </w:trPr>
        <w:tc>
          <w:tcPr>
            <w:tcW w:w="499" w:type="pct"/>
            <w:vMerge/>
            <w:vAlign w:val="center"/>
            <w:hideMark/>
          </w:tcPr>
          <w:p w14:paraId="5DF8BC99"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2A681213"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MARRIED</w:t>
            </w:r>
          </w:p>
        </w:tc>
        <w:tc>
          <w:tcPr>
            <w:tcW w:w="512" w:type="pct"/>
            <w:noWrap/>
            <w:vAlign w:val="center"/>
            <w:hideMark/>
          </w:tcPr>
          <w:p w14:paraId="758A2A3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302</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508316A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72.9</w:t>
            </w:r>
          </w:p>
        </w:tc>
        <w:tc>
          <w:tcPr>
            <w:tcW w:w="524" w:type="pct"/>
            <w:noWrap/>
            <w:vAlign w:val="center"/>
            <w:hideMark/>
          </w:tcPr>
          <w:p w14:paraId="5008592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6B50591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50.0</w:t>
            </w:r>
          </w:p>
        </w:tc>
        <w:tc>
          <w:tcPr>
            <w:tcW w:w="454" w:type="pct"/>
            <w:noWrap/>
            <w:vAlign w:val="center"/>
            <w:hideMark/>
          </w:tcPr>
          <w:p w14:paraId="0476F59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306</w:t>
            </w:r>
          </w:p>
        </w:tc>
        <w:tc>
          <w:tcPr>
            <w:tcW w:w="365" w:type="pct"/>
            <w:noWrap/>
            <w:vAlign w:val="center"/>
            <w:hideMark/>
          </w:tcPr>
          <w:p w14:paraId="62B77B4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72.5</w:t>
            </w:r>
          </w:p>
        </w:tc>
        <w:tc>
          <w:tcPr>
            <w:tcW w:w="638" w:type="pct"/>
            <w:noWrap/>
            <w:vAlign w:val="bottom"/>
            <w:hideMark/>
          </w:tcPr>
          <w:p w14:paraId="3401A7E4"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3E929FC8"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1A08A036"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3C379FDA" w14:textId="77777777" w:rsidTr="00285264">
        <w:trPr>
          <w:trHeight w:val="290"/>
        </w:trPr>
        <w:tc>
          <w:tcPr>
            <w:tcW w:w="499" w:type="pct"/>
            <w:vMerge/>
            <w:vAlign w:val="center"/>
            <w:hideMark/>
          </w:tcPr>
          <w:p w14:paraId="3B06D6F4"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10712C14"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SINGLE</w:t>
            </w:r>
          </w:p>
        </w:tc>
        <w:tc>
          <w:tcPr>
            <w:tcW w:w="512" w:type="pct"/>
            <w:noWrap/>
            <w:vAlign w:val="center"/>
            <w:hideMark/>
          </w:tcPr>
          <w:p w14:paraId="60B4C22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84</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1188FF3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20.3</w:t>
            </w:r>
          </w:p>
        </w:tc>
        <w:tc>
          <w:tcPr>
            <w:tcW w:w="524" w:type="pct"/>
            <w:noWrap/>
            <w:vAlign w:val="center"/>
            <w:hideMark/>
          </w:tcPr>
          <w:p w14:paraId="4FB327B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w:t>
            </w:r>
            <w:r w:rsidRPr="00235994">
              <w:rPr>
                <w:rFonts w:ascii="Times New Roman" w:eastAsia="Times New Roman" w:hAnsi="Times New Roman" w:cs="Times New Roman"/>
                <w:color w:val="000000"/>
                <w:sz w:val="18"/>
                <w:szCs w:val="18"/>
                <w:vertAlign w:val="subscript"/>
              </w:rPr>
              <w:t>b</w:t>
            </w:r>
          </w:p>
        </w:tc>
        <w:tc>
          <w:tcPr>
            <w:tcW w:w="350" w:type="pct"/>
            <w:noWrap/>
            <w:vAlign w:val="center"/>
            <w:hideMark/>
          </w:tcPr>
          <w:p w14:paraId="270839D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50.0</w:t>
            </w:r>
          </w:p>
        </w:tc>
        <w:tc>
          <w:tcPr>
            <w:tcW w:w="454" w:type="pct"/>
            <w:noWrap/>
            <w:vAlign w:val="center"/>
            <w:hideMark/>
          </w:tcPr>
          <w:p w14:paraId="019F4E6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88</w:t>
            </w:r>
          </w:p>
        </w:tc>
        <w:tc>
          <w:tcPr>
            <w:tcW w:w="365" w:type="pct"/>
            <w:noWrap/>
            <w:vAlign w:val="center"/>
            <w:hideMark/>
          </w:tcPr>
          <w:p w14:paraId="578EF3A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20.9</w:t>
            </w:r>
          </w:p>
        </w:tc>
        <w:tc>
          <w:tcPr>
            <w:tcW w:w="638" w:type="pct"/>
            <w:noWrap/>
            <w:vAlign w:val="bottom"/>
            <w:hideMark/>
          </w:tcPr>
          <w:p w14:paraId="2226E0CF"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488B238A"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1CDF43C5"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7B3E440D" w14:textId="77777777" w:rsidTr="00285264">
        <w:trPr>
          <w:trHeight w:val="290"/>
        </w:trPr>
        <w:tc>
          <w:tcPr>
            <w:tcW w:w="499" w:type="pct"/>
            <w:vMerge/>
            <w:vAlign w:val="center"/>
            <w:hideMark/>
          </w:tcPr>
          <w:p w14:paraId="3CFC4C61"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360B0B71"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WIDOW</w:t>
            </w:r>
          </w:p>
        </w:tc>
        <w:tc>
          <w:tcPr>
            <w:tcW w:w="512" w:type="pct"/>
            <w:noWrap/>
            <w:vAlign w:val="center"/>
            <w:hideMark/>
          </w:tcPr>
          <w:p w14:paraId="60C2BE9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19</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2A16D78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4.6</w:t>
            </w:r>
          </w:p>
        </w:tc>
        <w:tc>
          <w:tcPr>
            <w:tcW w:w="524" w:type="pct"/>
            <w:noWrap/>
            <w:vAlign w:val="center"/>
            <w:hideMark/>
          </w:tcPr>
          <w:p w14:paraId="4957887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3E1A69E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54" w:type="pct"/>
            <w:noWrap/>
            <w:vAlign w:val="center"/>
            <w:hideMark/>
          </w:tcPr>
          <w:p w14:paraId="165DEA1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19</w:t>
            </w:r>
          </w:p>
        </w:tc>
        <w:tc>
          <w:tcPr>
            <w:tcW w:w="365" w:type="pct"/>
            <w:noWrap/>
            <w:vAlign w:val="center"/>
            <w:hideMark/>
          </w:tcPr>
          <w:p w14:paraId="2BEA0AB0"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4.5</w:t>
            </w:r>
          </w:p>
        </w:tc>
        <w:tc>
          <w:tcPr>
            <w:tcW w:w="638" w:type="pct"/>
            <w:noWrap/>
            <w:vAlign w:val="bottom"/>
            <w:hideMark/>
          </w:tcPr>
          <w:p w14:paraId="4CA8BA5C"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00022CA6"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6E778BE2"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086334DB" w14:textId="77777777" w:rsidTr="00285264">
        <w:trPr>
          <w:trHeight w:val="290"/>
        </w:trPr>
        <w:tc>
          <w:tcPr>
            <w:tcW w:w="499" w:type="pct"/>
            <w:vMerge/>
            <w:vAlign w:val="center"/>
            <w:hideMark/>
          </w:tcPr>
          <w:p w14:paraId="1EC5A488"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637" w:type="pct"/>
            <w:noWrap/>
            <w:hideMark/>
          </w:tcPr>
          <w:p w14:paraId="1F45A7FC"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WIDOWER</w:t>
            </w:r>
          </w:p>
        </w:tc>
        <w:tc>
          <w:tcPr>
            <w:tcW w:w="512" w:type="pct"/>
            <w:noWrap/>
            <w:vAlign w:val="center"/>
            <w:hideMark/>
          </w:tcPr>
          <w:p w14:paraId="4E4A395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108609A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w:t>
            </w:r>
          </w:p>
        </w:tc>
        <w:tc>
          <w:tcPr>
            <w:tcW w:w="524" w:type="pct"/>
            <w:noWrap/>
            <w:vAlign w:val="center"/>
            <w:hideMark/>
          </w:tcPr>
          <w:p w14:paraId="012C559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1CDC04C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54" w:type="pct"/>
            <w:noWrap/>
            <w:vAlign w:val="center"/>
            <w:hideMark/>
          </w:tcPr>
          <w:p w14:paraId="3FB0235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w:t>
            </w:r>
          </w:p>
        </w:tc>
        <w:tc>
          <w:tcPr>
            <w:tcW w:w="365" w:type="pct"/>
            <w:noWrap/>
            <w:vAlign w:val="center"/>
            <w:hideMark/>
          </w:tcPr>
          <w:p w14:paraId="63492FF6"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w:t>
            </w:r>
          </w:p>
        </w:tc>
        <w:tc>
          <w:tcPr>
            <w:tcW w:w="638" w:type="pct"/>
            <w:noWrap/>
            <w:vAlign w:val="bottom"/>
            <w:hideMark/>
          </w:tcPr>
          <w:p w14:paraId="09C1E70F"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6EC9D322"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4FB5B164"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B7C3ADF" w14:textId="77777777" w:rsidTr="00285264">
        <w:trPr>
          <w:trHeight w:val="290"/>
        </w:trPr>
        <w:tc>
          <w:tcPr>
            <w:tcW w:w="1136" w:type="pct"/>
            <w:gridSpan w:val="2"/>
            <w:noWrap/>
            <w:hideMark/>
          </w:tcPr>
          <w:p w14:paraId="60EF5BC5"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512" w:type="pct"/>
            <w:noWrap/>
            <w:vAlign w:val="center"/>
            <w:hideMark/>
          </w:tcPr>
          <w:p w14:paraId="59A086D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414</w:t>
            </w:r>
          </w:p>
        </w:tc>
        <w:tc>
          <w:tcPr>
            <w:tcW w:w="526" w:type="pct"/>
            <w:noWrap/>
            <w:vAlign w:val="center"/>
            <w:hideMark/>
          </w:tcPr>
          <w:p w14:paraId="7E61734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524" w:type="pct"/>
            <w:noWrap/>
            <w:vAlign w:val="center"/>
            <w:hideMark/>
          </w:tcPr>
          <w:p w14:paraId="7B90DCE2"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w:t>
            </w:r>
          </w:p>
        </w:tc>
        <w:tc>
          <w:tcPr>
            <w:tcW w:w="350" w:type="pct"/>
            <w:noWrap/>
            <w:vAlign w:val="center"/>
            <w:hideMark/>
          </w:tcPr>
          <w:p w14:paraId="7F76C5C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54" w:type="pct"/>
            <w:noWrap/>
            <w:vAlign w:val="center"/>
            <w:hideMark/>
          </w:tcPr>
          <w:p w14:paraId="0A8F6BD9"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422</w:t>
            </w:r>
          </w:p>
        </w:tc>
        <w:tc>
          <w:tcPr>
            <w:tcW w:w="365" w:type="pct"/>
            <w:noWrap/>
            <w:vAlign w:val="center"/>
            <w:hideMark/>
          </w:tcPr>
          <w:p w14:paraId="3B29089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638" w:type="pct"/>
            <w:noWrap/>
            <w:vAlign w:val="bottom"/>
            <w:hideMark/>
          </w:tcPr>
          <w:p w14:paraId="303C9CB8"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20551A55"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7BE00066"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6A378BFA" w14:textId="77777777" w:rsidTr="00285264">
        <w:trPr>
          <w:trHeight w:val="290"/>
        </w:trPr>
        <w:tc>
          <w:tcPr>
            <w:tcW w:w="1136" w:type="pct"/>
            <w:gridSpan w:val="2"/>
            <w:noWrap/>
          </w:tcPr>
          <w:p w14:paraId="47EB538E"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p>
        </w:tc>
        <w:tc>
          <w:tcPr>
            <w:tcW w:w="512" w:type="pct"/>
            <w:noWrap/>
            <w:vAlign w:val="center"/>
          </w:tcPr>
          <w:p w14:paraId="29F1408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6" w:type="pct"/>
            <w:noWrap/>
            <w:vAlign w:val="center"/>
          </w:tcPr>
          <w:p w14:paraId="27467CD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524" w:type="pct"/>
            <w:noWrap/>
            <w:vAlign w:val="center"/>
          </w:tcPr>
          <w:p w14:paraId="563074EF"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50" w:type="pct"/>
            <w:noWrap/>
            <w:vAlign w:val="center"/>
          </w:tcPr>
          <w:p w14:paraId="1C02E87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454" w:type="pct"/>
            <w:noWrap/>
            <w:vAlign w:val="center"/>
          </w:tcPr>
          <w:p w14:paraId="369BF4F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365" w:type="pct"/>
            <w:noWrap/>
            <w:vAlign w:val="center"/>
          </w:tcPr>
          <w:p w14:paraId="18109CBE"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p>
        </w:tc>
        <w:tc>
          <w:tcPr>
            <w:tcW w:w="638" w:type="pct"/>
            <w:noWrap/>
            <w:vAlign w:val="bottom"/>
          </w:tcPr>
          <w:p w14:paraId="5059DAAC"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tcPr>
          <w:p w14:paraId="2226D46C"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tcPr>
          <w:p w14:paraId="46B00834"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50B06F13" w14:textId="77777777" w:rsidTr="00285264">
        <w:trPr>
          <w:trHeight w:val="290"/>
        </w:trPr>
        <w:tc>
          <w:tcPr>
            <w:tcW w:w="499" w:type="pct"/>
            <w:vMerge w:val="restart"/>
            <w:noWrap/>
            <w:hideMark/>
          </w:tcPr>
          <w:p w14:paraId="7001F4E5"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TYPE OF FAMILY</w:t>
            </w:r>
          </w:p>
        </w:tc>
        <w:tc>
          <w:tcPr>
            <w:tcW w:w="637" w:type="pct"/>
            <w:noWrap/>
            <w:hideMark/>
          </w:tcPr>
          <w:p w14:paraId="161CF7CB"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MONOGAMY</w:t>
            </w:r>
          </w:p>
        </w:tc>
        <w:tc>
          <w:tcPr>
            <w:tcW w:w="512" w:type="pct"/>
            <w:noWrap/>
            <w:vAlign w:val="center"/>
            <w:hideMark/>
          </w:tcPr>
          <w:p w14:paraId="705AF14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307</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6BE7E68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74.2</w:t>
            </w:r>
          </w:p>
        </w:tc>
        <w:tc>
          <w:tcPr>
            <w:tcW w:w="524" w:type="pct"/>
            <w:noWrap/>
            <w:vAlign w:val="center"/>
            <w:hideMark/>
          </w:tcPr>
          <w:p w14:paraId="3A845F1A"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034144F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50.0</w:t>
            </w:r>
          </w:p>
        </w:tc>
        <w:tc>
          <w:tcPr>
            <w:tcW w:w="454" w:type="pct"/>
            <w:noWrap/>
            <w:vAlign w:val="center"/>
            <w:hideMark/>
          </w:tcPr>
          <w:p w14:paraId="7A00378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311</w:t>
            </w:r>
          </w:p>
        </w:tc>
        <w:tc>
          <w:tcPr>
            <w:tcW w:w="365" w:type="pct"/>
            <w:noWrap/>
            <w:vAlign w:val="center"/>
            <w:hideMark/>
          </w:tcPr>
          <w:p w14:paraId="755F614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73.7</w:t>
            </w:r>
          </w:p>
        </w:tc>
        <w:tc>
          <w:tcPr>
            <w:tcW w:w="638" w:type="pct"/>
            <w:noWrap/>
            <w:vAlign w:val="center"/>
            <w:hideMark/>
          </w:tcPr>
          <w:p w14:paraId="6722ED54"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 2.362</w:t>
            </w:r>
          </w:p>
        </w:tc>
        <w:tc>
          <w:tcPr>
            <w:tcW w:w="226" w:type="pct"/>
            <w:noWrap/>
            <w:vAlign w:val="center"/>
            <w:hideMark/>
          </w:tcPr>
          <w:p w14:paraId="41F78CF4"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1</w:t>
            </w:r>
          </w:p>
        </w:tc>
        <w:tc>
          <w:tcPr>
            <w:tcW w:w="269" w:type="pct"/>
            <w:noWrap/>
            <w:vAlign w:val="center"/>
            <w:hideMark/>
          </w:tcPr>
          <w:p w14:paraId="50E73386" w14:textId="77777777" w:rsidR="00FD74AB" w:rsidRPr="00235994" w:rsidRDefault="00FD74AB" w:rsidP="00285264">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.124</w:t>
            </w:r>
          </w:p>
        </w:tc>
      </w:tr>
      <w:tr w:rsidR="00FD74AB" w:rsidRPr="00235994" w14:paraId="340A64B0" w14:textId="77777777" w:rsidTr="00285264">
        <w:trPr>
          <w:trHeight w:val="290"/>
        </w:trPr>
        <w:tc>
          <w:tcPr>
            <w:tcW w:w="499" w:type="pct"/>
            <w:vMerge/>
            <w:vAlign w:val="center"/>
            <w:hideMark/>
          </w:tcPr>
          <w:p w14:paraId="1BA20C1D"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p>
        </w:tc>
        <w:tc>
          <w:tcPr>
            <w:tcW w:w="637" w:type="pct"/>
            <w:noWrap/>
            <w:hideMark/>
          </w:tcPr>
          <w:p w14:paraId="32B770B4" w14:textId="77777777" w:rsidR="00FD74AB" w:rsidRPr="00235994" w:rsidRDefault="00FD74AB" w:rsidP="00285264">
            <w:pPr>
              <w:spacing w:after="0" w:line="240" w:lineRule="auto"/>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POLYGAMY</w:t>
            </w:r>
          </w:p>
        </w:tc>
        <w:tc>
          <w:tcPr>
            <w:tcW w:w="512" w:type="pct"/>
            <w:noWrap/>
            <w:vAlign w:val="center"/>
            <w:hideMark/>
          </w:tcPr>
          <w:p w14:paraId="426B7DC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107</w:t>
            </w:r>
            <w:r w:rsidRPr="00235994">
              <w:rPr>
                <w:rFonts w:ascii="Times New Roman" w:eastAsia="Times New Roman" w:hAnsi="Times New Roman" w:cs="Times New Roman"/>
                <w:color w:val="000000"/>
                <w:sz w:val="18"/>
                <w:szCs w:val="18"/>
                <w:vertAlign w:val="subscript"/>
              </w:rPr>
              <w:t>a</w:t>
            </w:r>
          </w:p>
        </w:tc>
        <w:tc>
          <w:tcPr>
            <w:tcW w:w="526" w:type="pct"/>
            <w:noWrap/>
            <w:vAlign w:val="center"/>
            <w:hideMark/>
          </w:tcPr>
          <w:p w14:paraId="30C4698C"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25.8</w:t>
            </w:r>
          </w:p>
        </w:tc>
        <w:tc>
          <w:tcPr>
            <w:tcW w:w="524" w:type="pct"/>
            <w:noWrap/>
            <w:vAlign w:val="center"/>
            <w:hideMark/>
          </w:tcPr>
          <w:p w14:paraId="7A11F32D"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w:t>
            </w:r>
            <w:r w:rsidRPr="00235994">
              <w:rPr>
                <w:rFonts w:ascii="Times New Roman" w:eastAsia="Times New Roman" w:hAnsi="Times New Roman" w:cs="Times New Roman"/>
                <w:color w:val="000000"/>
                <w:sz w:val="18"/>
                <w:szCs w:val="18"/>
                <w:vertAlign w:val="subscript"/>
              </w:rPr>
              <w:t>a</w:t>
            </w:r>
          </w:p>
        </w:tc>
        <w:tc>
          <w:tcPr>
            <w:tcW w:w="350" w:type="pct"/>
            <w:noWrap/>
            <w:vAlign w:val="center"/>
            <w:hideMark/>
          </w:tcPr>
          <w:p w14:paraId="1DAB04F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50.0</w:t>
            </w:r>
          </w:p>
        </w:tc>
        <w:tc>
          <w:tcPr>
            <w:tcW w:w="454" w:type="pct"/>
            <w:noWrap/>
            <w:vAlign w:val="center"/>
            <w:hideMark/>
          </w:tcPr>
          <w:p w14:paraId="44E9C501"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111</w:t>
            </w:r>
          </w:p>
        </w:tc>
        <w:tc>
          <w:tcPr>
            <w:tcW w:w="365" w:type="pct"/>
            <w:noWrap/>
            <w:vAlign w:val="center"/>
            <w:hideMark/>
          </w:tcPr>
          <w:p w14:paraId="5737925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26.3</w:t>
            </w:r>
          </w:p>
        </w:tc>
        <w:tc>
          <w:tcPr>
            <w:tcW w:w="638" w:type="pct"/>
            <w:noWrap/>
            <w:vAlign w:val="bottom"/>
            <w:hideMark/>
          </w:tcPr>
          <w:p w14:paraId="09F567A0"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noWrap/>
            <w:vAlign w:val="bottom"/>
            <w:hideMark/>
          </w:tcPr>
          <w:p w14:paraId="26952710"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noWrap/>
            <w:vAlign w:val="bottom"/>
            <w:hideMark/>
          </w:tcPr>
          <w:p w14:paraId="430864A8"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7BEAAC6C" w14:textId="77777777" w:rsidTr="00285264">
        <w:trPr>
          <w:trHeight w:val="290"/>
        </w:trPr>
        <w:tc>
          <w:tcPr>
            <w:tcW w:w="1136" w:type="pct"/>
            <w:gridSpan w:val="2"/>
            <w:tcBorders>
              <w:bottom w:val="single" w:sz="4" w:space="0" w:color="auto"/>
            </w:tcBorders>
            <w:noWrap/>
            <w:hideMark/>
          </w:tcPr>
          <w:p w14:paraId="0DC57DBF" w14:textId="77777777" w:rsidR="00FD74AB" w:rsidRPr="00235994" w:rsidRDefault="00FD74AB" w:rsidP="00285264">
            <w:pPr>
              <w:spacing w:after="0" w:line="240" w:lineRule="auto"/>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512" w:type="pct"/>
            <w:tcBorders>
              <w:bottom w:val="single" w:sz="4" w:space="0" w:color="auto"/>
            </w:tcBorders>
            <w:noWrap/>
            <w:vAlign w:val="center"/>
            <w:hideMark/>
          </w:tcPr>
          <w:p w14:paraId="6C75B8A3"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414</w:t>
            </w:r>
          </w:p>
        </w:tc>
        <w:tc>
          <w:tcPr>
            <w:tcW w:w="526" w:type="pct"/>
            <w:tcBorders>
              <w:bottom w:val="single" w:sz="4" w:space="0" w:color="auto"/>
            </w:tcBorders>
            <w:noWrap/>
            <w:vAlign w:val="center"/>
            <w:hideMark/>
          </w:tcPr>
          <w:p w14:paraId="7B39448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524" w:type="pct"/>
            <w:tcBorders>
              <w:bottom w:val="single" w:sz="4" w:space="0" w:color="auto"/>
            </w:tcBorders>
            <w:noWrap/>
            <w:vAlign w:val="center"/>
            <w:hideMark/>
          </w:tcPr>
          <w:p w14:paraId="5F066D2B"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8</w:t>
            </w:r>
          </w:p>
        </w:tc>
        <w:tc>
          <w:tcPr>
            <w:tcW w:w="350" w:type="pct"/>
            <w:tcBorders>
              <w:bottom w:val="single" w:sz="4" w:space="0" w:color="auto"/>
            </w:tcBorders>
            <w:noWrap/>
            <w:vAlign w:val="center"/>
            <w:hideMark/>
          </w:tcPr>
          <w:p w14:paraId="1496F625"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54" w:type="pct"/>
            <w:tcBorders>
              <w:bottom w:val="single" w:sz="4" w:space="0" w:color="auto"/>
            </w:tcBorders>
            <w:noWrap/>
            <w:vAlign w:val="center"/>
            <w:hideMark/>
          </w:tcPr>
          <w:p w14:paraId="7E6DB604"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422</w:t>
            </w:r>
          </w:p>
        </w:tc>
        <w:tc>
          <w:tcPr>
            <w:tcW w:w="365" w:type="pct"/>
            <w:tcBorders>
              <w:bottom w:val="single" w:sz="4" w:space="0" w:color="auto"/>
            </w:tcBorders>
            <w:noWrap/>
            <w:vAlign w:val="center"/>
            <w:hideMark/>
          </w:tcPr>
          <w:p w14:paraId="51ECA9B8" w14:textId="77777777" w:rsidR="00FD74AB" w:rsidRPr="00235994" w:rsidRDefault="00FD74AB" w:rsidP="00285264">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638" w:type="pct"/>
            <w:tcBorders>
              <w:bottom w:val="single" w:sz="4" w:space="0" w:color="auto"/>
            </w:tcBorders>
            <w:noWrap/>
            <w:vAlign w:val="bottom"/>
            <w:hideMark/>
          </w:tcPr>
          <w:p w14:paraId="7F37D1D4"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tcBorders>
              <w:bottom w:val="single" w:sz="4" w:space="0" w:color="auto"/>
            </w:tcBorders>
            <w:noWrap/>
            <w:vAlign w:val="bottom"/>
            <w:hideMark/>
          </w:tcPr>
          <w:p w14:paraId="1B79B7FD" w14:textId="77777777" w:rsidR="00FD74AB" w:rsidRPr="00235994" w:rsidRDefault="00FD74AB" w:rsidP="00285264">
            <w:pPr>
              <w:spacing w:after="0" w:line="240" w:lineRule="auto"/>
              <w:rPr>
                <w:rFonts w:ascii="Times New Roman" w:eastAsia="Times New Roman" w:hAnsi="Times New Roman" w:cs="Times New Roman"/>
                <w:sz w:val="16"/>
                <w:szCs w:val="20"/>
              </w:rPr>
            </w:pPr>
          </w:p>
        </w:tc>
        <w:tc>
          <w:tcPr>
            <w:tcW w:w="269" w:type="pct"/>
            <w:tcBorders>
              <w:bottom w:val="single" w:sz="4" w:space="0" w:color="auto"/>
            </w:tcBorders>
            <w:noWrap/>
            <w:vAlign w:val="bottom"/>
            <w:hideMark/>
          </w:tcPr>
          <w:p w14:paraId="2794360F" w14:textId="77777777" w:rsidR="00FD74AB" w:rsidRPr="00235994" w:rsidRDefault="00FD74AB" w:rsidP="00285264">
            <w:pPr>
              <w:spacing w:after="0" w:line="240" w:lineRule="auto"/>
              <w:rPr>
                <w:rFonts w:ascii="Times New Roman" w:eastAsia="Times New Roman" w:hAnsi="Times New Roman" w:cs="Times New Roman"/>
                <w:sz w:val="16"/>
                <w:szCs w:val="20"/>
              </w:rPr>
            </w:pPr>
          </w:p>
        </w:tc>
      </w:tr>
      <w:tr w:rsidR="00FD74AB" w:rsidRPr="00235994" w14:paraId="4234D12C" w14:textId="77777777" w:rsidTr="00285264">
        <w:trPr>
          <w:trHeight w:val="290"/>
        </w:trPr>
        <w:tc>
          <w:tcPr>
            <w:tcW w:w="3867" w:type="pct"/>
            <w:gridSpan w:val="8"/>
            <w:tcBorders>
              <w:top w:val="single" w:sz="4" w:space="0" w:color="auto"/>
              <w:left w:val="nil"/>
              <w:bottom w:val="nil"/>
              <w:right w:val="nil"/>
            </w:tcBorders>
            <w:noWrap/>
            <w:hideMark/>
          </w:tcPr>
          <w:p w14:paraId="74E5964E" w14:textId="77777777" w:rsidR="00FD74AB" w:rsidRPr="00235994" w:rsidRDefault="00FD74AB" w:rsidP="00285264">
            <w:pPr>
              <w:spacing w:after="0" w:line="240" w:lineRule="auto"/>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Each subscript letter denotes a subset of REMARKS categories whose column proportions do not differ significantly from each other at the .05 level.</w:t>
            </w:r>
          </w:p>
        </w:tc>
        <w:tc>
          <w:tcPr>
            <w:tcW w:w="638" w:type="pct"/>
            <w:tcBorders>
              <w:top w:val="single" w:sz="4" w:space="0" w:color="auto"/>
              <w:left w:val="nil"/>
              <w:bottom w:val="nil"/>
              <w:right w:val="nil"/>
            </w:tcBorders>
            <w:noWrap/>
            <w:vAlign w:val="bottom"/>
            <w:hideMark/>
          </w:tcPr>
          <w:p w14:paraId="26C41DE8" w14:textId="77777777" w:rsidR="00FD74AB" w:rsidRPr="00235994" w:rsidRDefault="00FD74AB" w:rsidP="00285264">
            <w:pPr>
              <w:spacing w:after="0" w:line="240" w:lineRule="auto"/>
              <w:jc w:val="center"/>
              <w:rPr>
                <w:rFonts w:ascii="Times New Roman" w:eastAsia="Times New Roman" w:hAnsi="Times New Roman" w:cs="Times New Roman"/>
                <w:color w:val="000000"/>
                <w:sz w:val="14"/>
                <w:szCs w:val="18"/>
              </w:rPr>
            </w:pPr>
          </w:p>
        </w:tc>
        <w:tc>
          <w:tcPr>
            <w:tcW w:w="226" w:type="pct"/>
            <w:tcBorders>
              <w:top w:val="single" w:sz="4" w:space="0" w:color="auto"/>
              <w:left w:val="nil"/>
              <w:bottom w:val="nil"/>
              <w:right w:val="nil"/>
            </w:tcBorders>
            <w:noWrap/>
            <w:vAlign w:val="bottom"/>
            <w:hideMark/>
          </w:tcPr>
          <w:p w14:paraId="4CBC1297" w14:textId="77777777" w:rsidR="00FD74AB" w:rsidRPr="00235994" w:rsidRDefault="00FD74AB" w:rsidP="00285264">
            <w:pPr>
              <w:spacing w:after="0" w:line="240" w:lineRule="auto"/>
              <w:rPr>
                <w:rFonts w:ascii="Times New Roman" w:eastAsia="Times New Roman" w:hAnsi="Times New Roman" w:cs="Times New Roman"/>
                <w:sz w:val="14"/>
                <w:szCs w:val="20"/>
              </w:rPr>
            </w:pPr>
          </w:p>
        </w:tc>
        <w:tc>
          <w:tcPr>
            <w:tcW w:w="269" w:type="pct"/>
            <w:tcBorders>
              <w:top w:val="single" w:sz="4" w:space="0" w:color="auto"/>
              <w:left w:val="nil"/>
              <w:bottom w:val="nil"/>
              <w:right w:val="nil"/>
            </w:tcBorders>
            <w:noWrap/>
            <w:vAlign w:val="bottom"/>
            <w:hideMark/>
          </w:tcPr>
          <w:p w14:paraId="6622055E" w14:textId="77777777" w:rsidR="00FD74AB" w:rsidRPr="00235994" w:rsidRDefault="00FD74AB" w:rsidP="00285264">
            <w:pPr>
              <w:spacing w:after="0" w:line="240" w:lineRule="auto"/>
              <w:rPr>
                <w:rFonts w:ascii="Times New Roman" w:eastAsia="Times New Roman" w:hAnsi="Times New Roman" w:cs="Times New Roman"/>
                <w:sz w:val="14"/>
                <w:szCs w:val="20"/>
              </w:rPr>
            </w:pPr>
          </w:p>
        </w:tc>
      </w:tr>
    </w:tbl>
    <w:p w14:paraId="7F495FA5" w14:textId="77777777" w:rsidR="00FD74AB" w:rsidRPr="00235994" w:rsidRDefault="00FD74AB" w:rsidP="00FD74AB">
      <w:pPr>
        <w:rPr>
          <w:rFonts w:ascii="Times New Roman" w:hAnsi="Times New Roman" w:cs="Times New Roman"/>
        </w:rPr>
      </w:pPr>
    </w:p>
    <w:p w14:paraId="3CE734E7" w14:textId="77777777" w:rsidR="00FD74AB" w:rsidRPr="00235994" w:rsidRDefault="00FD74AB" w:rsidP="00FD74AB">
      <w:pPr>
        <w:rPr>
          <w:rFonts w:ascii="Times New Roman" w:hAnsi="Times New Roman" w:cs="Times New Roman"/>
        </w:rPr>
      </w:pPr>
    </w:p>
    <w:p w14:paraId="0CE5546B" w14:textId="77777777" w:rsidR="00FD74AB" w:rsidRPr="00235994" w:rsidRDefault="00FD74AB" w:rsidP="00FD74AB">
      <w:pPr>
        <w:rPr>
          <w:rFonts w:ascii="Times New Roman" w:hAnsi="Times New Roman" w:cs="Times New Roman"/>
        </w:rPr>
      </w:pPr>
    </w:p>
    <w:p w14:paraId="54E43FD2"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537148E9"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3C06E285"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F2CD3EB"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25CAC2C7"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E9F0F0D"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7115FDB"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20973166" w14:textId="77777777" w:rsidR="00FD74AB" w:rsidRDefault="00FD74AB" w:rsidP="00C32B6D">
      <w:pPr>
        <w:autoSpaceDE w:val="0"/>
        <w:autoSpaceDN w:val="0"/>
        <w:adjustRightInd w:val="0"/>
        <w:spacing w:after="0" w:line="240" w:lineRule="auto"/>
        <w:rPr>
          <w:rFonts w:ascii="Times New Roman" w:hAnsi="Times New Roman" w:cs="Times New Roman"/>
          <w:b/>
          <w:bCs/>
          <w:color w:val="000000"/>
          <w:sz w:val="26"/>
          <w:szCs w:val="26"/>
        </w:rPr>
      </w:pPr>
    </w:p>
    <w:p w14:paraId="634ECB8D" w14:textId="77777777" w:rsidR="00C32B6D" w:rsidRDefault="00C32B6D" w:rsidP="00C32B6D">
      <w:pPr>
        <w:autoSpaceDE w:val="0"/>
        <w:autoSpaceDN w:val="0"/>
        <w:adjustRightInd w:val="0"/>
        <w:spacing w:after="0" w:line="400" w:lineRule="atLeast"/>
        <w:rPr>
          <w:rFonts w:ascii="Times New Roman" w:hAnsi="Times New Roman" w:cs="Times New Roman"/>
          <w:sz w:val="24"/>
          <w:szCs w:val="24"/>
        </w:rPr>
      </w:pPr>
    </w:p>
    <w:p w14:paraId="60E3D496"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tbl>
      <w:tblPr>
        <w:tblW w:w="5384" w:type="pct"/>
        <w:tblInd w:w="-270" w:type="dxa"/>
        <w:tblLayout w:type="fixed"/>
        <w:tblLook w:val="04A0" w:firstRow="1" w:lastRow="0" w:firstColumn="1" w:lastColumn="0" w:noHBand="0" w:noVBand="1"/>
      </w:tblPr>
      <w:tblGrid>
        <w:gridCol w:w="1169"/>
        <w:gridCol w:w="1357"/>
        <w:gridCol w:w="897"/>
        <w:gridCol w:w="1066"/>
        <w:gridCol w:w="1036"/>
        <w:gridCol w:w="695"/>
        <w:gridCol w:w="895"/>
        <w:gridCol w:w="728"/>
        <w:gridCol w:w="1159"/>
        <w:gridCol w:w="450"/>
        <w:gridCol w:w="627"/>
      </w:tblGrid>
      <w:tr w:rsidR="00C32B6D" w:rsidRPr="00235994" w14:paraId="711B7AB2" w14:textId="77777777" w:rsidTr="00C32B6D">
        <w:trPr>
          <w:trHeight w:val="290"/>
        </w:trPr>
        <w:tc>
          <w:tcPr>
            <w:tcW w:w="3891" w:type="pct"/>
            <w:gridSpan w:val="8"/>
            <w:tcBorders>
              <w:top w:val="nil"/>
              <w:left w:val="nil"/>
              <w:bottom w:val="single" w:sz="4" w:space="0" w:color="auto"/>
              <w:right w:val="nil"/>
            </w:tcBorders>
            <w:noWrap/>
            <w:vAlign w:val="center"/>
            <w:hideMark/>
          </w:tcPr>
          <w:p w14:paraId="1F5F5BB5" w14:textId="77777777" w:rsidR="00C32B6D" w:rsidRPr="00235994" w:rsidRDefault="00331A98" w:rsidP="00C32B6D">
            <w:pPr>
              <w:spacing w:after="0" w:line="240" w:lineRule="auto"/>
              <w:rPr>
                <w:rFonts w:ascii="Times New Roman" w:eastAsia="Times New Roman" w:hAnsi="Times New Roman" w:cs="Times New Roman"/>
                <w:b/>
                <w:bCs/>
                <w:color w:val="FF0000"/>
                <w:sz w:val="18"/>
                <w:szCs w:val="18"/>
              </w:rPr>
            </w:pPr>
            <w:r>
              <w:rPr>
                <w:rFonts w:ascii="Times New Roman" w:eastAsia="Times New Roman" w:hAnsi="Times New Roman" w:cs="Times New Roman"/>
                <w:b/>
                <w:bCs/>
                <w:sz w:val="18"/>
                <w:szCs w:val="18"/>
              </w:rPr>
              <w:lastRenderedPageBreak/>
              <w:t>Table 2</w:t>
            </w:r>
            <w:r w:rsidR="00C32B6D" w:rsidRPr="00235994">
              <w:rPr>
                <w:rFonts w:ascii="Times New Roman" w:eastAsia="Times New Roman" w:hAnsi="Times New Roman" w:cs="Times New Roman"/>
                <w:b/>
                <w:bCs/>
                <w:sz w:val="18"/>
                <w:szCs w:val="18"/>
              </w:rPr>
              <w:t xml:space="preserve">: </w:t>
            </w:r>
            <w:r w:rsidR="00C32B6D" w:rsidRPr="00235994">
              <w:rPr>
                <w:rFonts w:ascii="Times New Roman" w:hAnsi="Times New Roman" w:cs="Times New Roman"/>
                <w:b/>
                <w:bCs/>
              </w:rPr>
              <w:t>Prevalence of Cholera Infection among the Internally Displaced Persons (IDPs) in relation to Source of risk factors</w:t>
            </w:r>
          </w:p>
        </w:tc>
        <w:tc>
          <w:tcPr>
            <w:tcW w:w="575" w:type="pct"/>
            <w:tcBorders>
              <w:top w:val="nil"/>
              <w:left w:val="nil"/>
              <w:bottom w:val="single" w:sz="4" w:space="0" w:color="auto"/>
              <w:right w:val="nil"/>
            </w:tcBorders>
            <w:noWrap/>
            <w:vAlign w:val="bottom"/>
            <w:hideMark/>
          </w:tcPr>
          <w:p w14:paraId="284DE0BC" w14:textId="77777777" w:rsidR="00C32B6D" w:rsidRPr="00235994" w:rsidRDefault="00C32B6D" w:rsidP="00C32B6D">
            <w:pPr>
              <w:spacing w:after="0" w:line="240" w:lineRule="auto"/>
              <w:jc w:val="center"/>
              <w:rPr>
                <w:rFonts w:ascii="Times New Roman" w:eastAsia="Times New Roman" w:hAnsi="Times New Roman" w:cs="Times New Roman"/>
                <w:b/>
                <w:bCs/>
                <w:color w:val="000000"/>
                <w:sz w:val="14"/>
                <w:szCs w:val="18"/>
              </w:rPr>
            </w:pPr>
          </w:p>
        </w:tc>
        <w:tc>
          <w:tcPr>
            <w:tcW w:w="117" w:type="pct"/>
            <w:tcBorders>
              <w:top w:val="nil"/>
              <w:left w:val="nil"/>
              <w:bottom w:val="single" w:sz="4" w:space="0" w:color="auto"/>
              <w:right w:val="nil"/>
            </w:tcBorders>
            <w:noWrap/>
            <w:vAlign w:val="bottom"/>
            <w:hideMark/>
          </w:tcPr>
          <w:p w14:paraId="4EB345B1"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261" w:type="pct"/>
            <w:tcBorders>
              <w:top w:val="nil"/>
              <w:left w:val="nil"/>
              <w:bottom w:val="single" w:sz="4" w:space="0" w:color="auto"/>
              <w:right w:val="nil"/>
            </w:tcBorders>
            <w:noWrap/>
            <w:vAlign w:val="bottom"/>
            <w:hideMark/>
          </w:tcPr>
          <w:p w14:paraId="4E857662"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1157053A" w14:textId="77777777" w:rsidTr="00C32B6D">
        <w:trPr>
          <w:trHeight w:val="290"/>
        </w:trPr>
        <w:tc>
          <w:tcPr>
            <w:tcW w:w="1253" w:type="pct"/>
            <w:gridSpan w:val="2"/>
            <w:vMerge w:val="restart"/>
            <w:tcBorders>
              <w:top w:val="single" w:sz="4" w:space="0" w:color="auto"/>
            </w:tcBorders>
            <w:noWrap/>
            <w:vAlign w:val="center"/>
            <w:hideMark/>
          </w:tcPr>
          <w:p w14:paraId="463EEA7C" w14:textId="77777777" w:rsidR="00C32B6D" w:rsidRPr="00235994" w:rsidRDefault="00C32B6D" w:rsidP="00C32B6D">
            <w:pPr>
              <w:spacing w:after="0" w:line="240" w:lineRule="auto"/>
              <w:rPr>
                <w:rFonts w:ascii="Times New Roman" w:eastAsia="Times New Roman" w:hAnsi="Times New Roman" w:cs="Times New Roman"/>
                <w:sz w:val="20"/>
                <w:szCs w:val="20"/>
              </w:rPr>
            </w:pPr>
            <w:r w:rsidRPr="00235994">
              <w:rPr>
                <w:rFonts w:ascii="Times New Roman" w:eastAsia="Times New Roman" w:hAnsi="Times New Roman" w:cs="Times New Roman"/>
                <w:sz w:val="20"/>
                <w:szCs w:val="20"/>
              </w:rPr>
              <w:t>Independent Variables</w:t>
            </w:r>
          </w:p>
        </w:tc>
        <w:tc>
          <w:tcPr>
            <w:tcW w:w="1833" w:type="pct"/>
            <w:gridSpan w:val="4"/>
            <w:tcBorders>
              <w:top w:val="single" w:sz="4" w:space="0" w:color="auto"/>
            </w:tcBorders>
            <w:noWrap/>
            <w:vAlign w:val="bottom"/>
            <w:hideMark/>
          </w:tcPr>
          <w:p w14:paraId="76B67F92"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REMARKS</w:t>
            </w:r>
          </w:p>
        </w:tc>
        <w:tc>
          <w:tcPr>
            <w:tcW w:w="805" w:type="pct"/>
            <w:gridSpan w:val="2"/>
            <w:vMerge w:val="restart"/>
            <w:tcBorders>
              <w:top w:val="single" w:sz="4" w:space="0" w:color="auto"/>
            </w:tcBorders>
            <w:noWrap/>
            <w:vAlign w:val="bottom"/>
            <w:hideMark/>
          </w:tcPr>
          <w:p w14:paraId="5248ECCA"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Total</w:t>
            </w:r>
          </w:p>
        </w:tc>
        <w:tc>
          <w:tcPr>
            <w:tcW w:w="575" w:type="pct"/>
            <w:tcBorders>
              <w:top w:val="single" w:sz="4" w:space="0" w:color="auto"/>
            </w:tcBorders>
            <w:noWrap/>
            <w:vAlign w:val="bottom"/>
            <w:hideMark/>
          </w:tcPr>
          <w:p w14:paraId="52B0D8D3"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tcBorders>
              <w:top w:val="single" w:sz="4" w:space="0" w:color="auto"/>
            </w:tcBorders>
            <w:noWrap/>
            <w:vAlign w:val="bottom"/>
            <w:hideMark/>
          </w:tcPr>
          <w:p w14:paraId="657AEF84"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117" w:type="pct"/>
            <w:tcBorders>
              <w:top w:val="single" w:sz="4" w:space="0" w:color="auto"/>
            </w:tcBorders>
            <w:noWrap/>
            <w:vAlign w:val="bottom"/>
            <w:hideMark/>
          </w:tcPr>
          <w:p w14:paraId="38438521"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0D8C0371" w14:textId="77777777" w:rsidTr="00C32B6D">
        <w:trPr>
          <w:trHeight w:val="290"/>
        </w:trPr>
        <w:tc>
          <w:tcPr>
            <w:tcW w:w="1253" w:type="pct"/>
            <w:gridSpan w:val="2"/>
            <w:vMerge/>
            <w:vAlign w:val="center"/>
            <w:hideMark/>
          </w:tcPr>
          <w:p w14:paraId="52704B6D" w14:textId="77777777" w:rsidR="00C32B6D" w:rsidRPr="00235994" w:rsidRDefault="00C32B6D" w:rsidP="00C32B6D">
            <w:pPr>
              <w:spacing w:after="0" w:line="240" w:lineRule="auto"/>
              <w:rPr>
                <w:rFonts w:ascii="Times New Roman" w:eastAsia="Times New Roman" w:hAnsi="Times New Roman" w:cs="Times New Roman"/>
                <w:sz w:val="20"/>
                <w:szCs w:val="20"/>
              </w:rPr>
            </w:pPr>
          </w:p>
        </w:tc>
        <w:tc>
          <w:tcPr>
            <w:tcW w:w="974" w:type="pct"/>
            <w:gridSpan w:val="2"/>
            <w:noWrap/>
            <w:vAlign w:val="bottom"/>
            <w:hideMark/>
          </w:tcPr>
          <w:p w14:paraId="390A67C5"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NEGATIVE</w:t>
            </w:r>
          </w:p>
        </w:tc>
        <w:tc>
          <w:tcPr>
            <w:tcW w:w="859" w:type="pct"/>
            <w:gridSpan w:val="2"/>
            <w:noWrap/>
            <w:vAlign w:val="bottom"/>
            <w:hideMark/>
          </w:tcPr>
          <w:p w14:paraId="5F3BBBDE"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POSITIVE</w:t>
            </w:r>
          </w:p>
        </w:tc>
        <w:tc>
          <w:tcPr>
            <w:tcW w:w="805" w:type="pct"/>
            <w:gridSpan w:val="2"/>
            <w:vMerge/>
            <w:vAlign w:val="center"/>
            <w:hideMark/>
          </w:tcPr>
          <w:p w14:paraId="11A3228C"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575" w:type="pct"/>
            <w:noWrap/>
            <w:vAlign w:val="bottom"/>
            <w:hideMark/>
          </w:tcPr>
          <w:p w14:paraId="3A7101BE"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1C5CA84C"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29B13005"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110C20A" w14:textId="77777777" w:rsidTr="00C32B6D">
        <w:trPr>
          <w:trHeight w:val="290"/>
        </w:trPr>
        <w:tc>
          <w:tcPr>
            <w:tcW w:w="1253" w:type="pct"/>
            <w:gridSpan w:val="2"/>
            <w:vMerge/>
            <w:tcBorders>
              <w:bottom w:val="single" w:sz="4" w:space="0" w:color="auto"/>
            </w:tcBorders>
            <w:vAlign w:val="center"/>
            <w:hideMark/>
          </w:tcPr>
          <w:p w14:paraId="4F6CAE70" w14:textId="77777777" w:rsidR="00C32B6D" w:rsidRPr="00235994" w:rsidRDefault="00C32B6D" w:rsidP="00C32B6D">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noWrap/>
            <w:vAlign w:val="bottom"/>
            <w:hideMark/>
          </w:tcPr>
          <w:p w14:paraId="176CD4DC"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529" w:type="pct"/>
            <w:tcBorders>
              <w:bottom w:val="single" w:sz="4" w:space="0" w:color="auto"/>
            </w:tcBorders>
            <w:noWrap/>
            <w:vAlign w:val="bottom"/>
            <w:hideMark/>
          </w:tcPr>
          <w:p w14:paraId="452EAB0D"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514" w:type="pct"/>
            <w:tcBorders>
              <w:bottom w:val="single" w:sz="4" w:space="0" w:color="auto"/>
            </w:tcBorders>
            <w:noWrap/>
            <w:vAlign w:val="bottom"/>
            <w:hideMark/>
          </w:tcPr>
          <w:p w14:paraId="2A64F53B"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345" w:type="pct"/>
            <w:tcBorders>
              <w:bottom w:val="single" w:sz="4" w:space="0" w:color="auto"/>
            </w:tcBorders>
            <w:noWrap/>
            <w:vAlign w:val="bottom"/>
            <w:hideMark/>
          </w:tcPr>
          <w:p w14:paraId="7E20944C"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444" w:type="pct"/>
            <w:tcBorders>
              <w:bottom w:val="single" w:sz="4" w:space="0" w:color="auto"/>
            </w:tcBorders>
            <w:noWrap/>
            <w:vAlign w:val="bottom"/>
            <w:hideMark/>
          </w:tcPr>
          <w:p w14:paraId="42E62CD5"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number</w:t>
            </w:r>
          </w:p>
        </w:tc>
        <w:tc>
          <w:tcPr>
            <w:tcW w:w="361" w:type="pct"/>
            <w:tcBorders>
              <w:bottom w:val="single" w:sz="4" w:space="0" w:color="auto"/>
            </w:tcBorders>
            <w:noWrap/>
            <w:vAlign w:val="bottom"/>
            <w:hideMark/>
          </w:tcPr>
          <w:p w14:paraId="1352BFB9"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 xml:space="preserve"> %</w:t>
            </w:r>
          </w:p>
        </w:tc>
        <w:tc>
          <w:tcPr>
            <w:tcW w:w="575" w:type="pct"/>
            <w:tcBorders>
              <w:bottom w:val="single" w:sz="4" w:space="0" w:color="auto"/>
            </w:tcBorders>
            <w:noWrap/>
            <w:vAlign w:val="bottom"/>
            <w:hideMark/>
          </w:tcPr>
          <w:p w14:paraId="6891D59A"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Chi-square</w:t>
            </w:r>
          </w:p>
        </w:tc>
        <w:tc>
          <w:tcPr>
            <w:tcW w:w="223" w:type="pct"/>
            <w:tcBorders>
              <w:bottom w:val="single" w:sz="4" w:space="0" w:color="auto"/>
            </w:tcBorders>
            <w:noWrap/>
            <w:vAlign w:val="bottom"/>
            <w:hideMark/>
          </w:tcPr>
          <w:p w14:paraId="3DBC5408" w14:textId="77777777" w:rsidR="00C32B6D" w:rsidRPr="00235994" w:rsidRDefault="00C32B6D" w:rsidP="00C32B6D">
            <w:pPr>
              <w:spacing w:after="0" w:line="240" w:lineRule="auto"/>
              <w:rPr>
                <w:rFonts w:ascii="Times New Roman" w:eastAsia="Times New Roman" w:hAnsi="Times New Roman" w:cs="Times New Roman"/>
                <w:sz w:val="16"/>
                <w:szCs w:val="20"/>
              </w:rPr>
            </w:pPr>
            <w:r w:rsidRPr="00235994">
              <w:rPr>
                <w:rFonts w:ascii="Times New Roman" w:eastAsia="Times New Roman" w:hAnsi="Times New Roman" w:cs="Times New Roman"/>
                <w:sz w:val="16"/>
                <w:szCs w:val="20"/>
              </w:rPr>
              <w:t>Df</w:t>
            </w:r>
          </w:p>
        </w:tc>
        <w:tc>
          <w:tcPr>
            <w:tcW w:w="311" w:type="pct"/>
            <w:tcBorders>
              <w:bottom w:val="single" w:sz="4" w:space="0" w:color="auto"/>
            </w:tcBorders>
            <w:noWrap/>
            <w:vAlign w:val="bottom"/>
            <w:hideMark/>
          </w:tcPr>
          <w:p w14:paraId="7CF07DA3" w14:textId="77777777" w:rsidR="00C32B6D" w:rsidRPr="00235994" w:rsidRDefault="00C32B6D" w:rsidP="00C32B6D">
            <w:pPr>
              <w:spacing w:after="0" w:line="240" w:lineRule="auto"/>
              <w:rPr>
                <w:rFonts w:ascii="Times New Roman" w:eastAsia="Times New Roman" w:hAnsi="Times New Roman" w:cs="Times New Roman"/>
                <w:sz w:val="16"/>
                <w:szCs w:val="20"/>
              </w:rPr>
            </w:pPr>
            <w:r w:rsidRPr="00235994">
              <w:rPr>
                <w:rFonts w:ascii="Times New Roman" w:eastAsia="Times New Roman" w:hAnsi="Times New Roman" w:cs="Times New Roman"/>
                <w:sz w:val="16"/>
                <w:szCs w:val="20"/>
              </w:rPr>
              <w:t>P</w:t>
            </w:r>
          </w:p>
        </w:tc>
      </w:tr>
      <w:tr w:rsidR="00C32B6D" w:rsidRPr="00235994" w14:paraId="2835A78F" w14:textId="77777777" w:rsidTr="00C32B6D">
        <w:trPr>
          <w:trHeight w:val="290"/>
        </w:trPr>
        <w:tc>
          <w:tcPr>
            <w:tcW w:w="580" w:type="pct"/>
            <w:vMerge w:val="restart"/>
            <w:tcBorders>
              <w:top w:val="single" w:sz="4" w:space="0" w:color="auto"/>
            </w:tcBorders>
            <w:noWrap/>
            <w:hideMark/>
          </w:tcPr>
          <w:p w14:paraId="6AF0BBCB"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SOURCE OF DRINKING WATER</w:t>
            </w:r>
          </w:p>
        </w:tc>
        <w:tc>
          <w:tcPr>
            <w:tcW w:w="673" w:type="pct"/>
            <w:tcBorders>
              <w:top w:val="single" w:sz="4" w:space="0" w:color="auto"/>
            </w:tcBorders>
            <w:noWrap/>
            <w:hideMark/>
          </w:tcPr>
          <w:p w14:paraId="3061437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BOREHOLE</w:t>
            </w:r>
          </w:p>
        </w:tc>
        <w:tc>
          <w:tcPr>
            <w:tcW w:w="445" w:type="pct"/>
            <w:tcBorders>
              <w:top w:val="single" w:sz="4" w:space="0" w:color="auto"/>
            </w:tcBorders>
            <w:noWrap/>
            <w:vAlign w:val="center"/>
            <w:hideMark/>
          </w:tcPr>
          <w:p w14:paraId="1E67369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51</w:t>
            </w:r>
            <w:r w:rsidRPr="00235994">
              <w:rPr>
                <w:rFonts w:ascii="Times New Roman" w:hAnsi="Times New Roman" w:cs="Times New Roman"/>
                <w:color w:val="000000"/>
                <w:sz w:val="18"/>
                <w:szCs w:val="18"/>
                <w:vertAlign w:val="subscript"/>
              </w:rPr>
              <w:t>a</w:t>
            </w:r>
          </w:p>
        </w:tc>
        <w:tc>
          <w:tcPr>
            <w:tcW w:w="529" w:type="pct"/>
            <w:tcBorders>
              <w:top w:val="single" w:sz="4" w:space="0" w:color="auto"/>
            </w:tcBorders>
            <w:noWrap/>
            <w:vAlign w:val="center"/>
            <w:hideMark/>
          </w:tcPr>
          <w:p w14:paraId="78A5A4A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12.3</w:t>
            </w:r>
          </w:p>
        </w:tc>
        <w:tc>
          <w:tcPr>
            <w:tcW w:w="514" w:type="pct"/>
            <w:tcBorders>
              <w:top w:val="single" w:sz="4" w:space="0" w:color="auto"/>
            </w:tcBorders>
            <w:noWrap/>
            <w:vAlign w:val="center"/>
            <w:hideMark/>
          </w:tcPr>
          <w:p w14:paraId="05A99EA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tcBorders>
              <w:top w:val="single" w:sz="4" w:space="0" w:color="auto"/>
            </w:tcBorders>
            <w:noWrap/>
            <w:vAlign w:val="center"/>
            <w:hideMark/>
          </w:tcPr>
          <w:p w14:paraId="5738A21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44" w:type="pct"/>
            <w:tcBorders>
              <w:top w:val="single" w:sz="4" w:space="0" w:color="auto"/>
            </w:tcBorders>
            <w:noWrap/>
            <w:vAlign w:val="center"/>
            <w:hideMark/>
          </w:tcPr>
          <w:p w14:paraId="32AE5CDD"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51</w:t>
            </w:r>
          </w:p>
        </w:tc>
        <w:tc>
          <w:tcPr>
            <w:tcW w:w="361" w:type="pct"/>
            <w:tcBorders>
              <w:top w:val="single" w:sz="4" w:space="0" w:color="auto"/>
            </w:tcBorders>
            <w:noWrap/>
            <w:vAlign w:val="center"/>
            <w:hideMark/>
          </w:tcPr>
          <w:p w14:paraId="662D595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12.1</w:t>
            </w:r>
          </w:p>
        </w:tc>
        <w:tc>
          <w:tcPr>
            <w:tcW w:w="575" w:type="pct"/>
            <w:tcBorders>
              <w:top w:val="single" w:sz="4" w:space="0" w:color="auto"/>
            </w:tcBorders>
            <w:noWrap/>
            <w:vAlign w:val="center"/>
            <w:hideMark/>
          </w:tcPr>
          <w:p w14:paraId="74C903EB"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 xml:space="preserve">χ2 = </w:t>
            </w:r>
            <w:r w:rsidRPr="00235994">
              <w:rPr>
                <w:rFonts w:ascii="Times New Roman" w:hAnsi="Times New Roman" w:cs="Times New Roman"/>
                <w:color w:val="000000"/>
                <w:sz w:val="18"/>
                <w:szCs w:val="18"/>
              </w:rPr>
              <w:t>35.482</w:t>
            </w:r>
          </w:p>
        </w:tc>
        <w:tc>
          <w:tcPr>
            <w:tcW w:w="223" w:type="pct"/>
            <w:tcBorders>
              <w:top w:val="single" w:sz="4" w:space="0" w:color="auto"/>
            </w:tcBorders>
            <w:noWrap/>
            <w:vAlign w:val="center"/>
            <w:hideMark/>
          </w:tcPr>
          <w:p w14:paraId="5EA839BE"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6</w:t>
            </w:r>
          </w:p>
        </w:tc>
        <w:tc>
          <w:tcPr>
            <w:tcW w:w="311" w:type="pct"/>
            <w:tcBorders>
              <w:top w:val="single" w:sz="4" w:space="0" w:color="auto"/>
            </w:tcBorders>
            <w:noWrap/>
            <w:vAlign w:val="center"/>
            <w:hideMark/>
          </w:tcPr>
          <w:p w14:paraId="76BC1319"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.000</w:t>
            </w:r>
          </w:p>
        </w:tc>
      </w:tr>
      <w:tr w:rsidR="00C32B6D" w:rsidRPr="00235994" w14:paraId="4EB6FDC8" w14:textId="77777777" w:rsidTr="00C32B6D">
        <w:trPr>
          <w:trHeight w:val="290"/>
        </w:trPr>
        <w:tc>
          <w:tcPr>
            <w:tcW w:w="580" w:type="pct"/>
            <w:vMerge/>
            <w:vAlign w:val="center"/>
            <w:hideMark/>
          </w:tcPr>
          <w:p w14:paraId="2D69EDF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53DC0955"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STREAM/</w:t>
            </w:r>
          </w:p>
          <w:p w14:paraId="3B5ED679"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BORE HOLE</w:t>
            </w:r>
          </w:p>
        </w:tc>
        <w:tc>
          <w:tcPr>
            <w:tcW w:w="445" w:type="pct"/>
            <w:noWrap/>
            <w:vAlign w:val="center"/>
            <w:hideMark/>
          </w:tcPr>
          <w:p w14:paraId="4056BC92"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53</w:t>
            </w:r>
            <w:r w:rsidRPr="00235994">
              <w:rPr>
                <w:rFonts w:ascii="Times New Roman" w:hAnsi="Times New Roman" w:cs="Times New Roman"/>
                <w:color w:val="000000"/>
                <w:sz w:val="18"/>
                <w:szCs w:val="18"/>
                <w:vertAlign w:val="subscript"/>
              </w:rPr>
              <w:t>a</w:t>
            </w:r>
          </w:p>
        </w:tc>
        <w:tc>
          <w:tcPr>
            <w:tcW w:w="529" w:type="pct"/>
            <w:noWrap/>
            <w:vAlign w:val="center"/>
            <w:hideMark/>
          </w:tcPr>
          <w:p w14:paraId="5A8CF3F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12.8</w:t>
            </w:r>
          </w:p>
        </w:tc>
        <w:tc>
          <w:tcPr>
            <w:tcW w:w="514" w:type="pct"/>
            <w:noWrap/>
            <w:vAlign w:val="center"/>
            <w:hideMark/>
          </w:tcPr>
          <w:p w14:paraId="6C7957F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b</w:t>
            </w:r>
          </w:p>
        </w:tc>
        <w:tc>
          <w:tcPr>
            <w:tcW w:w="345" w:type="pct"/>
            <w:noWrap/>
            <w:vAlign w:val="center"/>
            <w:hideMark/>
          </w:tcPr>
          <w:p w14:paraId="0631D41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40A232F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53</w:t>
            </w:r>
          </w:p>
        </w:tc>
        <w:tc>
          <w:tcPr>
            <w:tcW w:w="361" w:type="pct"/>
            <w:noWrap/>
            <w:vAlign w:val="center"/>
            <w:hideMark/>
          </w:tcPr>
          <w:p w14:paraId="298A524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12.6</w:t>
            </w:r>
          </w:p>
        </w:tc>
        <w:tc>
          <w:tcPr>
            <w:tcW w:w="575" w:type="pct"/>
            <w:noWrap/>
            <w:vAlign w:val="bottom"/>
            <w:hideMark/>
          </w:tcPr>
          <w:p w14:paraId="3A831CC6"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52F3AD7F"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6953CB9C"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EFE2E59" w14:textId="77777777" w:rsidTr="00C32B6D">
        <w:trPr>
          <w:trHeight w:val="290"/>
        </w:trPr>
        <w:tc>
          <w:tcPr>
            <w:tcW w:w="580" w:type="pct"/>
            <w:vMerge/>
            <w:vAlign w:val="center"/>
            <w:hideMark/>
          </w:tcPr>
          <w:p w14:paraId="5D32C0E3"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7F1EBF7E"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WELL</w:t>
            </w:r>
          </w:p>
        </w:tc>
        <w:tc>
          <w:tcPr>
            <w:tcW w:w="445" w:type="pct"/>
            <w:noWrap/>
            <w:vAlign w:val="center"/>
            <w:hideMark/>
          </w:tcPr>
          <w:p w14:paraId="59A54EB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174</w:t>
            </w:r>
            <w:r w:rsidRPr="00235994">
              <w:rPr>
                <w:rFonts w:ascii="Times New Roman" w:hAnsi="Times New Roman" w:cs="Times New Roman"/>
                <w:color w:val="000000"/>
                <w:sz w:val="18"/>
                <w:szCs w:val="18"/>
                <w:vertAlign w:val="subscript"/>
              </w:rPr>
              <w:t>a</w:t>
            </w:r>
          </w:p>
        </w:tc>
        <w:tc>
          <w:tcPr>
            <w:tcW w:w="529" w:type="pct"/>
            <w:noWrap/>
            <w:vAlign w:val="center"/>
            <w:hideMark/>
          </w:tcPr>
          <w:p w14:paraId="35C9ABC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42.0</w:t>
            </w:r>
          </w:p>
        </w:tc>
        <w:tc>
          <w:tcPr>
            <w:tcW w:w="514" w:type="pct"/>
            <w:noWrap/>
            <w:vAlign w:val="center"/>
            <w:hideMark/>
          </w:tcPr>
          <w:p w14:paraId="14CEECD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w:t>
            </w:r>
            <w:r w:rsidRPr="00235994">
              <w:rPr>
                <w:rFonts w:ascii="Times New Roman" w:hAnsi="Times New Roman" w:cs="Times New Roman"/>
                <w:color w:val="000000"/>
                <w:sz w:val="18"/>
                <w:szCs w:val="18"/>
                <w:vertAlign w:val="subscript"/>
              </w:rPr>
              <w:t>a</w:t>
            </w:r>
          </w:p>
        </w:tc>
        <w:tc>
          <w:tcPr>
            <w:tcW w:w="345" w:type="pct"/>
            <w:noWrap/>
            <w:vAlign w:val="center"/>
            <w:hideMark/>
          </w:tcPr>
          <w:p w14:paraId="616008B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25.0</w:t>
            </w:r>
          </w:p>
        </w:tc>
        <w:tc>
          <w:tcPr>
            <w:tcW w:w="444" w:type="pct"/>
            <w:noWrap/>
            <w:vAlign w:val="center"/>
            <w:hideMark/>
          </w:tcPr>
          <w:p w14:paraId="3C3BE2F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176</w:t>
            </w:r>
          </w:p>
        </w:tc>
        <w:tc>
          <w:tcPr>
            <w:tcW w:w="361" w:type="pct"/>
            <w:noWrap/>
            <w:vAlign w:val="center"/>
            <w:hideMark/>
          </w:tcPr>
          <w:p w14:paraId="607F39A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41.7</w:t>
            </w:r>
          </w:p>
        </w:tc>
        <w:tc>
          <w:tcPr>
            <w:tcW w:w="575" w:type="pct"/>
            <w:noWrap/>
            <w:vAlign w:val="bottom"/>
            <w:hideMark/>
          </w:tcPr>
          <w:p w14:paraId="0BD3BBA6"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54D28C12"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2C54744B"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690B944E" w14:textId="77777777" w:rsidTr="00C32B6D">
        <w:trPr>
          <w:trHeight w:val="290"/>
        </w:trPr>
        <w:tc>
          <w:tcPr>
            <w:tcW w:w="580" w:type="pct"/>
            <w:vMerge/>
            <w:vAlign w:val="center"/>
            <w:hideMark/>
          </w:tcPr>
          <w:p w14:paraId="3844E2A6"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45B7DDBC"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WELL/</w:t>
            </w:r>
          </w:p>
          <w:p w14:paraId="39C2508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BOREHOLE</w:t>
            </w:r>
          </w:p>
        </w:tc>
        <w:tc>
          <w:tcPr>
            <w:tcW w:w="445" w:type="pct"/>
            <w:noWrap/>
            <w:vAlign w:val="center"/>
            <w:hideMark/>
          </w:tcPr>
          <w:p w14:paraId="6E9960ED"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31</w:t>
            </w:r>
            <w:r w:rsidRPr="00235994">
              <w:rPr>
                <w:rFonts w:ascii="Times New Roman" w:hAnsi="Times New Roman" w:cs="Times New Roman"/>
                <w:color w:val="000000"/>
                <w:sz w:val="18"/>
                <w:szCs w:val="18"/>
                <w:vertAlign w:val="subscript"/>
              </w:rPr>
              <w:t>a</w:t>
            </w:r>
          </w:p>
        </w:tc>
        <w:tc>
          <w:tcPr>
            <w:tcW w:w="529" w:type="pct"/>
            <w:noWrap/>
            <w:vAlign w:val="center"/>
            <w:hideMark/>
          </w:tcPr>
          <w:p w14:paraId="0D28624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7.5</w:t>
            </w:r>
          </w:p>
        </w:tc>
        <w:tc>
          <w:tcPr>
            <w:tcW w:w="514" w:type="pct"/>
            <w:noWrap/>
            <w:vAlign w:val="center"/>
            <w:hideMark/>
          </w:tcPr>
          <w:p w14:paraId="614F1322"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319DFB4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14BDE3A2"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31</w:t>
            </w:r>
          </w:p>
        </w:tc>
        <w:tc>
          <w:tcPr>
            <w:tcW w:w="361" w:type="pct"/>
            <w:noWrap/>
            <w:vAlign w:val="center"/>
            <w:hideMark/>
          </w:tcPr>
          <w:p w14:paraId="53D2759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7.3</w:t>
            </w:r>
          </w:p>
        </w:tc>
        <w:tc>
          <w:tcPr>
            <w:tcW w:w="575" w:type="pct"/>
            <w:noWrap/>
            <w:vAlign w:val="bottom"/>
            <w:hideMark/>
          </w:tcPr>
          <w:p w14:paraId="4BF64DD1"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43141F98"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760CEDCC"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07BE7BE2" w14:textId="77777777" w:rsidTr="00C32B6D">
        <w:trPr>
          <w:trHeight w:val="290"/>
        </w:trPr>
        <w:tc>
          <w:tcPr>
            <w:tcW w:w="580" w:type="pct"/>
            <w:vMerge/>
            <w:vAlign w:val="center"/>
            <w:hideMark/>
          </w:tcPr>
          <w:p w14:paraId="7C45756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0FB72242"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WELL/RAIN</w:t>
            </w:r>
          </w:p>
        </w:tc>
        <w:tc>
          <w:tcPr>
            <w:tcW w:w="445" w:type="pct"/>
            <w:noWrap/>
            <w:vAlign w:val="center"/>
            <w:hideMark/>
          </w:tcPr>
          <w:p w14:paraId="7FA9E60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31</w:t>
            </w:r>
            <w:r w:rsidRPr="00235994">
              <w:rPr>
                <w:rFonts w:ascii="Times New Roman" w:hAnsi="Times New Roman" w:cs="Times New Roman"/>
                <w:color w:val="000000"/>
                <w:sz w:val="18"/>
                <w:szCs w:val="18"/>
                <w:vertAlign w:val="subscript"/>
              </w:rPr>
              <w:t>a</w:t>
            </w:r>
          </w:p>
        </w:tc>
        <w:tc>
          <w:tcPr>
            <w:tcW w:w="529" w:type="pct"/>
            <w:noWrap/>
            <w:vAlign w:val="center"/>
            <w:hideMark/>
          </w:tcPr>
          <w:p w14:paraId="33EBD47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7.5</w:t>
            </w:r>
          </w:p>
        </w:tc>
        <w:tc>
          <w:tcPr>
            <w:tcW w:w="514" w:type="pct"/>
            <w:noWrap/>
            <w:vAlign w:val="center"/>
            <w:hideMark/>
          </w:tcPr>
          <w:p w14:paraId="7942E5B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1673B3C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12.5</w:t>
            </w:r>
          </w:p>
        </w:tc>
        <w:tc>
          <w:tcPr>
            <w:tcW w:w="444" w:type="pct"/>
            <w:noWrap/>
            <w:vAlign w:val="center"/>
            <w:hideMark/>
          </w:tcPr>
          <w:p w14:paraId="6FC50E3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32</w:t>
            </w:r>
          </w:p>
        </w:tc>
        <w:tc>
          <w:tcPr>
            <w:tcW w:w="361" w:type="pct"/>
            <w:noWrap/>
            <w:vAlign w:val="center"/>
            <w:hideMark/>
          </w:tcPr>
          <w:p w14:paraId="75C053C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7.6</w:t>
            </w:r>
          </w:p>
        </w:tc>
        <w:tc>
          <w:tcPr>
            <w:tcW w:w="575" w:type="pct"/>
            <w:noWrap/>
            <w:vAlign w:val="bottom"/>
            <w:hideMark/>
          </w:tcPr>
          <w:p w14:paraId="6E5A47C3"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188001A6"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01CBEFE3"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5B4A646C" w14:textId="77777777" w:rsidTr="00C32B6D">
        <w:trPr>
          <w:trHeight w:val="290"/>
        </w:trPr>
        <w:tc>
          <w:tcPr>
            <w:tcW w:w="580" w:type="pct"/>
            <w:vMerge/>
            <w:vAlign w:val="center"/>
            <w:hideMark/>
          </w:tcPr>
          <w:p w14:paraId="31A34B38"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60898411"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WELL/</w:t>
            </w:r>
          </w:p>
          <w:p w14:paraId="169C5DE0"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STREAM/</w:t>
            </w:r>
          </w:p>
          <w:p w14:paraId="07CA2682"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RIVER</w:t>
            </w:r>
          </w:p>
        </w:tc>
        <w:tc>
          <w:tcPr>
            <w:tcW w:w="445" w:type="pct"/>
            <w:noWrap/>
            <w:vAlign w:val="center"/>
            <w:hideMark/>
          </w:tcPr>
          <w:p w14:paraId="7133EB5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28</w:t>
            </w:r>
            <w:r w:rsidRPr="00235994">
              <w:rPr>
                <w:rFonts w:ascii="Times New Roman" w:hAnsi="Times New Roman" w:cs="Times New Roman"/>
                <w:color w:val="000000"/>
                <w:sz w:val="18"/>
                <w:szCs w:val="18"/>
                <w:vertAlign w:val="subscript"/>
              </w:rPr>
              <w:t>a</w:t>
            </w:r>
          </w:p>
        </w:tc>
        <w:tc>
          <w:tcPr>
            <w:tcW w:w="529" w:type="pct"/>
            <w:noWrap/>
            <w:vAlign w:val="center"/>
            <w:hideMark/>
          </w:tcPr>
          <w:p w14:paraId="6FD7751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6.8</w:t>
            </w:r>
          </w:p>
        </w:tc>
        <w:tc>
          <w:tcPr>
            <w:tcW w:w="514" w:type="pct"/>
            <w:noWrap/>
            <w:vAlign w:val="center"/>
            <w:hideMark/>
          </w:tcPr>
          <w:p w14:paraId="37B2E3B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w:t>
            </w:r>
            <w:r w:rsidRPr="00235994">
              <w:rPr>
                <w:rFonts w:ascii="Times New Roman" w:hAnsi="Times New Roman" w:cs="Times New Roman"/>
                <w:color w:val="000000"/>
                <w:sz w:val="18"/>
                <w:szCs w:val="18"/>
                <w:vertAlign w:val="subscript"/>
              </w:rPr>
              <w:t>b</w:t>
            </w:r>
          </w:p>
        </w:tc>
        <w:tc>
          <w:tcPr>
            <w:tcW w:w="345" w:type="pct"/>
            <w:noWrap/>
            <w:vAlign w:val="center"/>
            <w:hideMark/>
          </w:tcPr>
          <w:p w14:paraId="64D6DBE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62.5</w:t>
            </w:r>
          </w:p>
        </w:tc>
        <w:tc>
          <w:tcPr>
            <w:tcW w:w="444" w:type="pct"/>
            <w:noWrap/>
            <w:vAlign w:val="center"/>
            <w:hideMark/>
          </w:tcPr>
          <w:p w14:paraId="21BE8FB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33</w:t>
            </w:r>
          </w:p>
        </w:tc>
        <w:tc>
          <w:tcPr>
            <w:tcW w:w="361" w:type="pct"/>
            <w:noWrap/>
            <w:vAlign w:val="center"/>
            <w:hideMark/>
          </w:tcPr>
          <w:p w14:paraId="269B7FA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7.8</w:t>
            </w:r>
          </w:p>
        </w:tc>
        <w:tc>
          <w:tcPr>
            <w:tcW w:w="575" w:type="pct"/>
            <w:noWrap/>
            <w:vAlign w:val="bottom"/>
            <w:hideMark/>
          </w:tcPr>
          <w:p w14:paraId="367CD0EE"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6D681B31"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4DE813BF"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2F0FBDE" w14:textId="77777777" w:rsidTr="00C32B6D">
        <w:trPr>
          <w:trHeight w:val="290"/>
        </w:trPr>
        <w:tc>
          <w:tcPr>
            <w:tcW w:w="580" w:type="pct"/>
            <w:vMerge/>
            <w:vAlign w:val="center"/>
            <w:hideMark/>
          </w:tcPr>
          <w:p w14:paraId="4FFB5B80"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78F21649" w14:textId="77777777" w:rsidR="00C32B6D" w:rsidRPr="00235994" w:rsidRDefault="00C32B6D" w:rsidP="00C32B6D">
            <w:pPr>
              <w:spacing w:after="0" w:line="240" w:lineRule="auto"/>
              <w:rPr>
                <w:rFonts w:ascii="Times New Roman" w:hAnsi="Times New Roman" w:cs="Times New Roman"/>
                <w:color w:val="000000"/>
                <w:sz w:val="18"/>
                <w:szCs w:val="18"/>
              </w:rPr>
            </w:pPr>
            <w:r w:rsidRPr="00235994">
              <w:rPr>
                <w:rFonts w:ascii="Times New Roman" w:hAnsi="Times New Roman" w:cs="Times New Roman"/>
                <w:color w:val="000000"/>
                <w:sz w:val="18"/>
                <w:szCs w:val="18"/>
              </w:rPr>
              <w:t>WELL/</w:t>
            </w:r>
          </w:p>
          <w:p w14:paraId="7A4DF816"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TANKER</w:t>
            </w:r>
          </w:p>
        </w:tc>
        <w:tc>
          <w:tcPr>
            <w:tcW w:w="445" w:type="pct"/>
            <w:noWrap/>
            <w:vAlign w:val="center"/>
            <w:hideMark/>
          </w:tcPr>
          <w:p w14:paraId="1C3350B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46</w:t>
            </w:r>
            <w:r w:rsidRPr="00235994">
              <w:rPr>
                <w:rFonts w:ascii="Times New Roman" w:hAnsi="Times New Roman" w:cs="Times New Roman"/>
                <w:color w:val="000000"/>
                <w:sz w:val="18"/>
                <w:szCs w:val="18"/>
                <w:vertAlign w:val="subscript"/>
              </w:rPr>
              <w:t>a</w:t>
            </w:r>
          </w:p>
        </w:tc>
        <w:tc>
          <w:tcPr>
            <w:tcW w:w="529" w:type="pct"/>
            <w:noWrap/>
            <w:vAlign w:val="center"/>
            <w:hideMark/>
          </w:tcPr>
          <w:p w14:paraId="77AC458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11.1</w:t>
            </w:r>
          </w:p>
        </w:tc>
        <w:tc>
          <w:tcPr>
            <w:tcW w:w="514" w:type="pct"/>
            <w:noWrap/>
            <w:vAlign w:val="center"/>
            <w:hideMark/>
          </w:tcPr>
          <w:p w14:paraId="26F4766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0B7035E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44" w:type="pct"/>
            <w:noWrap/>
            <w:vAlign w:val="center"/>
            <w:hideMark/>
          </w:tcPr>
          <w:p w14:paraId="6AD08D8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46</w:t>
            </w:r>
          </w:p>
        </w:tc>
        <w:tc>
          <w:tcPr>
            <w:tcW w:w="361" w:type="pct"/>
            <w:noWrap/>
            <w:vAlign w:val="center"/>
            <w:hideMark/>
          </w:tcPr>
          <w:p w14:paraId="5DD226C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10.9</w:t>
            </w:r>
          </w:p>
        </w:tc>
        <w:tc>
          <w:tcPr>
            <w:tcW w:w="575" w:type="pct"/>
            <w:noWrap/>
            <w:vAlign w:val="bottom"/>
            <w:hideMark/>
          </w:tcPr>
          <w:p w14:paraId="62262C5B"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6D808243"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7612310F"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DCBA91E" w14:textId="77777777" w:rsidTr="00C32B6D">
        <w:trPr>
          <w:trHeight w:val="290"/>
        </w:trPr>
        <w:tc>
          <w:tcPr>
            <w:tcW w:w="1253" w:type="pct"/>
            <w:gridSpan w:val="2"/>
            <w:noWrap/>
            <w:hideMark/>
          </w:tcPr>
          <w:p w14:paraId="61FB5162" w14:textId="77777777" w:rsidR="00C32B6D" w:rsidRPr="00235994" w:rsidRDefault="00C32B6D" w:rsidP="00C32B6D">
            <w:pPr>
              <w:spacing w:after="0" w:line="240" w:lineRule="auto"/>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Total</w:t>
            </w:r>
          </w:p>
        </w:tc>
        <w:tc>
          <w:tcPr>
            <w:tcW w:w="445" w:type="pct"/>
            <w:noWrap/>
            <w:vAlign w:val="center"/>
            <w:hideMark/>
          </w:tcPr>
          <w:p w14:paraId="016DFF5C"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414</w:t>
            </w:r>
          </w:p>
        </w:tc>
        <w:tc>
          <w:tcPr>
            <w:tcW w:w="529" w:type="pct"/>
            <w:noWrap/>
            <w:vAlign w:val="center"/>
            <w:hideMark/>
          </w:tcPr>
          <w:p w14:paraId="73EA2F54"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14" w:type="pct"/>
            <w:noWrap/>
            <w:vAlign w:val="center"/>
            <w:hideMark/>
          </w:tcPr>
          <w:p w14:paraId="7A26B19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8</w:t>
            </w:r>
          </w:p>
        </w:tc>
        <w:tc>
          <w:tcPr>
            <w:tcW w:w="345" w:type="pct"/>
            <w:noWrap/>
            <w:vAlign w:val="center"/>
            <w:hideMark/>
          </w:tcPr>
          <w:p w14:paraId="3977A77A"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444" w:type="pct"/>
            <w:noWrap/>
            <w:vAlign w:val="center"/>
            <w:hideMark/>
          </w:tcPr>
          <w:p w14:paraId="3E60C10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422</w:t>
            </w:r>
          </w:p>
        </w:tc>
        <w:tc>
          <w:tcPr>
            <w:tcW w:w="361" w:type="pct"/>
            <w:noWrap/>
            <w:vAlign w:val="center"/>
            <w:hideMark/>
          </w:tcPr>
          <w:p w14:paraId="20D9C48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75" w:type="pct"/>
            <w:noWrap/>
            <w:vAlign w:val="bottom"/>
            <w:hideMark/>
          </w:tcPr>
          <w:p w14:paraId="5D54E4C7" w14:textId="77777777" w:rsidR="00C32B6D" w:rsidRPr="00235994" w:rsidRDefault="00C32B6D" w:rsidP="00C32B6D">
            <w:pPr>
              <w:spacing w:after="0" w:line="240" w:lineRule="auto"/>
              <w:jc w:val="center"/>
              <w:rPr>
                <w:rFonts w:ascii="Times New Roman" w:eastAsia="Times New Roman" w:hAnsi="Times New Roman" w:cs="Times New Roman"/>
                <w:b/>
                <w:color w:val="000000"/>
                <w:sz w:val="14"/>
                <w:szCs w:val="18"/>
              </w:rPr>
            </w:pPr>
          </w:p>
        </w:tc>
        <w:tc>
          <w:tcPr>
            <w:tcW w:w="223" w:type="pct"/>
            <w:noWrap/>
            <w:vAlign w:val="bottom"/>
            <w:hideMark/>
          </w:tcPr>
          <w:p w14:paraId="1CD9848E"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c>
          <w:tcPr>
            <w:tcW w:w="311" w:type="pct"/>
            <w:noWrap/>
            <w:vAlign w:val="bottom"/>
            <w:hideMark/>
          </w:tcPr>
          <w:p w14:paraId="5FBF0264"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r>
      <w:tr w:rsidR="00C32B6D" w:rsidRPr="00235994" w14:paraId="47C2DE24" w14:textId="77777777" w:rsidTr="00C32B6D">
        <w:trPr>
          <w:trHeight w:val="290"/>
        </w:trPr>
        <w:tc>
          <w:tcPr>
            <w:tcW w:w="1253" w:type="pct"/>
            <w:gridSpan w:val="2"/>
            <w:noWrap/>
          </w:tcPr>
          <w:p w14:paraId="4923C83A"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445" w:type="pct"/>
            <w:noWrap/>
            <w:vAlign w:val="center"/>
          </w:tcPr>
          <w:p w14:paraId="7CC53B3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29" w:type="pct"/>
            <w:noWrap/>
            <w:vAlign w:val="center"/>
          </w:tcPr>
          <w:p w14:paraId="357DF7F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14" w:type="pct"/>
            <w:noWrap/>
            <w:vAlign w:val="center"/>
          </w:tcPr>
          <w:p w14:paraId="3C9E74C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345" w:type="pct"/>
            <w:noWrap/>
            <w:vAlign w:val="center"/>
          </w:tcPr>
          <w:p w14:paraId="25F1E88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444" w:type="pct"/>
            <w:noWrap/>
            <w:vAlign w:val="center"/>
          </w:tcPr>
          <w:p w14:paraId="4C7269C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361" w:type="pct"/>
            <w:noWrap/>
            <w:vAlign w:val="center"/>
          </w:tcPr>
          <w:p w14:paraId="5C50858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75" w:type="pct"/>
            <w:noWrap/>
            <w:vAlign w:val="bottom"/>
          </w:tcPr>
          <w:p w14:paraId="181F7984"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tcPr>
          <w:p w14:paraId="0A857EE5"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tcPr>
          <w:p w14:paraId="3E61C4AC"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680F9686" w14:textId="77777777" w:rsidTr="00C32B6D">
        <w:trPr>
          <w:trHeight w:val="290"/>
        </w:trPr>
        <w:tc>
          <w:tcPr>
            <w:tcW w:w="580" w:type="pct"/>
            <w:vMerge w:val="restart"/>
            <w:noWrap/>
            <w:hideMark/>
          </w:tcPr>
          <w:p w14:paraId="19D0D4E3"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WASTE DISPOSAL</w:t>
            </w:r>
          </w:p>
        </w:tc>
        <w:tc>
          <w:tcPr>
            <w:tcW w:w="673" w:type="pct"/>
            <w:noWrap/>
            <w:hideMark/>
          </w:tcPr>
          <w:p w14:paraId="7B83B8B7"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BURIED</w:t>
            </w:r>
          </w:p>
        </w:tc>
        <w:tc>
          <w:tcPr>
            <w:tcW w:w="445" w:type="pct"/>
            <w:noWrap/>
            <w:vAlign w:val="center"/>
            <w:hideMark/>
          </w:tcPr>
          <w:p w14:paraId="075243C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20</w:t>
            </w:r>
            <w:r w:rsidRPr="00235994">
              <w:rPr>
                <w:rFonts w:ascii="Times New Roman" w:hAnsi="Times New Roman" w:cs="Times New Roman"/>
                <w:color w:val="000000"/>
                <w:sz w:val="18"/>
                <w:szCs w:val="18"/>
                <w:vertAlign w:val="subscript"/>
              </w:rPr>
              <w:t>a</w:t>
            </w:r>
          </w:p>
        </w:tc>
        <w:tc>
          <w:tcPr>
            <w:tcW w:w="529" w:type="pct"/>
            <w:noWrap/>
            <w:vAlign w:val="center"/>
            <w:hideMark/>
          </w:tcPr>
          <w:p w14:paraId="79FF40D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4.8</w:t>
            </w:r>
          </w:p>
        </w:tc>
        <w:tc>
          <w:tcPr>
            <w:tcW w:w="514" w:type="pct"/>
            <w:noWrap/>
            <w:vAlign w:val="center"/>
            <w:hideMark/>
          </w:tcPr>
          <w:p w14:paraId="5068967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5760F2A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3D48C21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20</w:t>
            </w:r>
          </w:p>
        </w:tc>
        <w:tc>
          <w:tcPr>
            <w:tcW w:w="361" w:type="pct"/>
            <w:noWrap/>
            <w:vAlign w:val="center"/>
            <w:hideMark/>
          </w:tcPr>
          <w:p w14:paraId="2B4A974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4.7</w:t>
            </w:r>
          </w:p>
        </w:tc>
        <w:tc>
          <w:tcPr>
            <w:tcW w:w="575" w:type="pct"/>
            <w:noWrap/>
            <w:vAlign w:val="center"/>
            <w:hideMark/>
          </w:tcPr>
          <w:p w14:paraId="679ACECB"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 xml:space="preserve">χ2 = </w:t>
            </w:r>
            <w:r w:rsidRPr="00235994">
              <w:rPr>
                <w:rFonts w:ascii="Times New Roman" w:hAnsi="Times New Roman" w:cs="Times New Roman"/>
                <w:color w:val="000000"/>
                <w:sz w:val="18"/>
                <w:szCs w:val="18"/>
              </w:rPr>
              <w:t>2.087</w:t>
            </w:r>
          </w:p>
        </w:tc>
        <w:tc>
          <w:tcPr>
            <w:tcW w:w="223" w:type="pct"/>
            <w:noWrap/>
            <w:vAlign w:val="center"/>
            <w:hideMark/>
          </w:tcPr>
          <w:p w14:paraId="38FC2494"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5</w:t>
            </w:r>
          </w:p>
        </w:tc>
        <w:tc>
          <w:tcPr>
            <w:tcW w:w="311" w:type="pct"/>
            <w:noWrap/>
            <w:vAlign w:val="center"/>
            <w:hideMark/>
          </w:tcPr>
          <w:p w14:paraId="3C140BA5"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hAnsi="Times New Roman" w:cs="Times New Roman"/>
                <w:color w:val="000000"/>
                <w:sz w:val="18"/>
                <w:szCs w:val="18"/>
              </w:rPr>
              <w:t>.837</w:t>
            </w:r>
          </w:p>
        </w:tc>
      </w:tr>
      <w:tr w:rsidR="00C32B6D" w:rsidRPr="00235994" w14:paraId="7A2F775A" w14:textId="77777777" w:rsidTr="00C32B6D">
        <w:trPr>
          <w:trHeight w:val="290"/>
        </w:trPr>
        <w:tc>
          <w:tcPr>
            <w:tcW w:w="580" w:type="pct"/>
            <w:vMerge/>
            <w:vAlign w:val="center"/>
            <w:hideMark/>
          </w:tcPr>
          <w:p w14:paraId="390E8DDD"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7E65226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BUSH</w:t>
            </w:r>
          </w:p>
        </w:tc>
        <w:tc>
          <w:tcPr>
            <w:tcW w:w="445" w:type="pct"/>
            <w:noWrap/>
            <w:vAlign w:val="center"/>
            <w:hideMark/>
          </w:tcPr>
          <w:p w14:paraId="08E703A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328</w:t>
            </w:r>
            <w:r w:rsidRPr="00235994">
              <w:rPr>
                <w:rFonts w:ascii="Times New Roman" w:hAnsi="Times New Roman" w:cs="Times New Roman"/>
                <w:color w:val="000000"/>
                <w:sz w:val="18"/>
                <w:szCs w:val="18"/>
                <w:vertAlign w:val="subscript"/>
              </w:rPr>
              <w:t>a</w:t>
            </w:r>
          </w:p>
        </w:tc>
        <w:tc>
          <w:tcPr>
            <w:tcW w:w="529" w:type="pct"/>
            <w:noWrap/>
            <w:vAlign w:val="center"/>
            <w:hideMark/>
          </w:tcPr>
          <w:p w14:paraId="2183AC9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79.2</w:t>
            </w:r>
          </w:p>
        </w:tc>
        <w:tc>
          <w:tcPr>
            <w:tcW w:w="514" w:type="pct"/>
            <w:noWrap/>
            <w:vAlign w:val="center"/>
            <w:hideMark/>
          </w:tcPr>
          <w:p w14:paraId="5380893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8</w:t>
            </w:r>
            <w:r w:rsidRPr="00235994">
              <w:rPr>
                <w:rFonts w:ascii="Times New Roman" w:hAnsi="Times New Roman" w:cs="Times New Roman"/>
                <w:color w:val="000000"/>
                <w:sz w:val="18"/>
                <w:szCs w:val="18"/>
                <w:vertAlign w:val="subscript"/>
              </w:rPr>
              <w:t>a</w:t>
            </w:r>
          </w:p>
        </w:tc>
        <w:tc>
          <w:tcPr>
            <w:tcW w:w="345" w:type="pct"/>
            <w:noWrap/>
            <w:vAlign w:val="center"/>
            <w:hideMark/>
          </w:tcPr>
          <w:p w14:paraId="051D394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44" w:type="pct"/>
            <w:noWrap/>
            <w:vAlign w:val="center"/>
            <w:hideMark/>
          </w:tcPr>
          <w:p w14:paraId="4D2B565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336</w:t>
            </w:r>
          </w:p>
        </w:tc>
        <w:tc>
          <w:tcPr>
            <w:tcW w:w="361" w:type="pct"/>
            <w:noWrap/>
            <w:vAlign w:val="center"/>
            <w:hideMark/>
          </w:tcPr>
          <w:p w14:paraId="129D64D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79.6</w:t>
            </w:r>
          </w:p>
        </w:tc>
        <w:tc>
          <w:tcPr>
            <w:tcW w:w="575" w:type="pct"/>
            <w:noWrap/>
            <w:vAlign w:val="bottom"/>
            <w:hideMark/>
          </w:tcPr>
          <w:p w14:paraId="3B3235EB"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104B397D"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30E91DF8"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048F338A" w14:textId="77777777" w:rsidTr="00C32B6D">
        <w:trPr>
          <w:trHeight w:val="290"/>
        </w:trPr>
        <w:tc>
          <w:tcPr>
            <w:tcW w:w="580" w:type="pct"/>
            <w:vMerge/>
            <w:vAlign w:val="center"/>
            <w:hideMark/>
          </w:tcPr>
          <w:p w14:paraId="0A02A3B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2250872B"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DUMP</w:t>
            </w:r>
          </w:p>
        </w:tc>
        <w:tc>
          <w:tcPr>
            <w:tcW w:w="445" w:type="pct"/>
            <w:noWrap/>
            <w:vAlign w:val="center"/>
            <w:hideMark/>
          </w:tcPr>
          <w:p w14:paraId="065E399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40</w:t>
            </w:r>
            <w:r w:rsidRPr="00235994">
              <w:rPr>
                <w:rFonts w:ascii="Times New Roman" w:hAnsi="Times New Roman" w:cs="Times New Roman"/>
                <w:color w:val="000000"/>
                <w:sz w:val="18"/>
                <w:szCs w:val="18"/>
                <w:vertAlign w:val="subscript"/>
              </w:rPr>
              <w:t>a</w:t>
            </w:r>
          </w:p>
        </w:tc>
        <w:tc>
          <w:tcPr>
            <w:tcW w:w="529" w:type="pct"/>
            <w:noWrap/>
            <w:vAlign w:val="center"/>
            <w:hideMark/>
          </w:tcPr>
          <w:p w14:paraId="67D5105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9.7</w:t>
            </w:r>
          </w:p>
        </w:tc>
        <w:tc>
          <w:tcPr>
            <w:tcW w:w="514" w:type="pct"/>
            <w:noWrap/>
            <w:vAlign w:val="center"/>
            <w:hideMark/>
          </w:tcPr>
          <w:p w14:paraId="73E04D9D"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7F0E7DD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100.0</w:t>
            </w:r>
          </w:p>
        </w:tc>
        <w:tc>
          <w:tcPr>
            <w:tcW w:w="444" w:type="pct"/>
            <w:noWrap/>
            <w:vAlign w:val="center"/>
            <w:hideMark/>
          </w:tcPr>
          <w:p w14:paraId="69FE7A0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40</w:t>
            </w:r>
          </w:p>
        </w:tc>
        <w:tc>
          <w:tcPr>
            <w:tcW w:w="361" w:type="pct"/>
            <w:noWrap/>
            <w:vAlign w:val="center"/>
            <w:hideMark/>
          </w:tcPr>
          <w:p w14:paraId="629CE936"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9.5</w:t>
            </w:r>
          </w:p>
        </w:tc>
        <w:tc>
          <w:tcPr>
            <w:tcW w:w="575" w:type="pct"/>
            <w:noWrap/>
            <w:vAlign w:val="bottom"/>
            <w:hideMark/>
          </w:tcPr>
          <w:p w14:paraId="38ABA811"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2C5B59C9"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4790440B"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037234D2" w14:textId="77777777" w:rsidTr="00C32B6D">
        <w:trPr>
          <w:trHeight w:val="290"/>
        </w:trPr>
        <w:tc>
          <w:tcPr>
            <w:tcW w:w="580" w:type="pct"/>
            <w:vMerge/>
            <w:vAlign w:val="center"/>
            <w:hideMark/>
          </w:tcPr>
          <w:p w14:paraId="04B8EAEF"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45199656"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NONE</w:t>
            </w:r>
          </w:p>
        </w:tc>
        <w:tc>
          <w:tcPr>
            <w:tcW w:w="445" w:type="pct"/>
            <w:noWrap/>
            <w:vAlign w:val="center"/>
            <w:hideMark/>
          </w:tcPr>
          <w:p w14:paraId="01A92DF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w:t>
            </w:r>
            <w:r w:rsidRPr="00235994">
              <w:rPr>
                <w:rFonts w:ascii="Times New Roman" w:hAnsi="Times New Roman" w:cs="Times New Roman"/>
                <w:color w:val="000000"/>
                <w:sz w:val="18"/>
                <w:szCs w:val="18"/>
                <w:vertAlign w:val="subscript"/>
              </w:rPr>
              <w:t>a</w:t>
            </w:r>
          </w:p>
        </w:tc>
        <w:tc>
          <w:tcPr>
            <w:tcW w:w="529" w:type="pct"/>
            <w:noWrap/>
            <w:vAlign w:val="center"/>
            <w:hideMark/>
          </w:tcPr>
          <w:p w14:paraId="52555CE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0.5</w:t>
            </w:r>
          </w:p>
        </w:tc>
        <w:tc>
          <w:tcPr>
            <w:tcW w:w="514" w:type="pct"/>
            <w:noWrap/>
            <w:vAlign w:val="center"/>
            <w:hideMark/>
          </w:tcPr>
          <w:p w14:paraId="2FDB0E8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01C802F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7127907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w:t>
            </w:r>
          </w:p>
        </w:tc>
        <w:tc>
          <w:tcPr>
            <w:tcW w:w="361" w:type="pct"/>
            <w:noWrap/>
            <w:vAlign w:val="center"/>
            <w:hideMark/>
          </w:tcPr>
          <w:p w14:paraId="15DEA01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0.5</w:t>
            </w:r>
          </w:p>
        </w:tc>
        <w:tc>
          <w:tcPr>
            <w:tcW w:w="575" w:type="pct"/>
            <w:noWrap/>
            <w:vAlign w:val="bottom"/>
            <w:hideMark/>
          </w:tcPr>
          <w:p w14:paraId="18B0885F"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476C5B36"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22F3F106"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2C587226" w14:textId="77777777" w:rsidTr="00C32B6D">
        <w:trPr>
          <w:trHeight w:val="290"/>
        </w:trPr>
        <w:tc>
          <w:tcPr>
            <w:tcW w:w="580" w:type="pct"/>
            <w:vMerge/>
            <w:vAlign w:val="center"/>
            <w:hideMark/>
          </w:tcPr>
          <w:p w14:paraId="4F611443"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5A531C1D"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PIT</w:t>
            </w:r>
          </w:p>
        </w:tc>
        <w:tc>
          <w:tcPr>
            <w:tcW w:w="445" w:type="pct"/>
            <w:noWrap/>
            <w:vAlign w:val="center"/>
            <w:hideMark/>
          </w:tcPr>
          <w:p w14:paraId="416A733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r w:rsidRPr="00235994">
              <w:rPr>
                <w:rFonts w:ascii="Times New Roman" w:eastAsia="Times New Roman" w:hAnsi="Times New Roman" w:cs="Times New Roman"/>
                <w:color w:val="000000"/>
                <w:sz w:val="18"/>
                <w:szCs w:val="18"/>
                <w:vertAlign w:val="subscript"/>
              </w:rPr>
              <w:t>a</w:t>
            </w:r>
          </w:p>
        </w:tc>
        <w:tc>
          <w:tcPr>
            <w:tcW w:w="529" w:type="pct"/>
            <w:noWrap/>
            <w:vAlign w:val="center"/>
            <w:hideMark/>
          </w:tcPr>
          <w:p w14:paraId="2BD2769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0.5</w:t>
            </w:r>
          </w:p>
        </w:tc>
        <w:tc>
          <w:tcPr>
            <w:tcW w:w="514" w:type="pct"/>
            <w:noWrap/>
            <w:vAlign w:val="center"/>
            <w:hideMark/>
          </w:tcPr>
          <w:p w14:paraId="441C83D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14FB2BD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w:t>
            </w:r>
          </w:p>
        </w:tc>
        <w:tc>
          <w:tcPr>
            <w:tcW w:w="444" w:type="pct"/>
            <w:noWrap/>
            <w:vAlign w:val="center"/>
            <w:hideMark/>
          </w:tcPr>
          <w:p w14:paraId="02CDDBA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p>
        </w:tc>
        <w:tc>
          <w:tcPr>
            <w:tcW w:w="361" w:type="pct"/>
            <w:noWrap/>
            <w:vAlign w:val="center"/>
            <w:hideMark/>
          </w:tcPr>
          <w:p w14:paraId="2E707BD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0.5</w:t>
            </w:r>
          </w:p>
        </w:tc>
        <w:tc>
          <w:tcPr>
            <w:tcW w:w="575" w:type="pct"/>
            <w:noWrap/>
            <w:vAlign w:val="bottom"/>
            <w:hideMark/>
          </w:tcPr>
          <w:p w14:paraId="2C4CEA90"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1DCF6AE9"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394522E5"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30C33C6C" w14:textId="77777777" w:rsidTr="00C32B6D">
        <w:trPr>
          <w:trHeight w:val="290"/>
        </w:trPr>
        <w:tc>
          <w:tcPr>
            <w:tcW w:w="580" w:type="pct"/>
            <w:vMerge/>
            <w:noWrap/>
            <w:hideMark/>
          </w:tcPr>
          <w:p w14:paraId="581FF62B"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p>
        </w:tc>
        <w:tc>
          <w:tcPr>
            <w:tcW w:w="673" w:type="pct"/>
          </w:tcPr>
          <w:p w14:paraId="5D33ABB5" w14:textId="77777777" w:rsidR="00C32B6D" w:rsidRPr="00235994" w:rsidRDefault="00C32B6D" w:rsidP="00C32B6D">
            <w:pPr>
              <w:spacing w:after="0" w:line="240" w:lineRule="auto"/>
              <w:jc w:val="center"/>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REFUSE DUMP</w:t>
            </w:r>
          </w:p>
        </w:tc>
        <w:tc>
          <w:tcPr>
            <w:tcW w:w="445" w:type="pct"/>
            <w:noWrap/>
            <w:vAlign w:val="center"/>
            <w:hideMark/>
          </w:tcPr>
          <w:p w14:paraId="224F21A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22</w:t>
            </w:r>
            <w:r w:rsidRPr="00235994">
              <w:rPr>
                <w:rFonts w:ascii="Times New Roman" w:hAnsi="Times New Roman" w:cs="Times New Roman"/>
                <w:color w:val="000000"/>
                <w:sz w:val="18"/>
                <w:szCs w:val="18"/>
                <w:vertAlign w:val="subscript"/>
              </w:rPr>
              <w:t>a</w:t>
            </w:r>
          </w:p>
        </w:tc>
        <w:tc>
          <w:tcPr>
            <w:tcW w:w="529" w:type="pct"/>
            <w:noWrap/>
            <w:vAlign w:val="center"/>
            <w:hideMark/>
          </w:tcPr>
          <w:p w14:paraId="50CB213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5.3</w:t>
            </w:r>
          </w:p>
        </w:tc>
        <w:tc>
          <w:tcPr>
            <w:tcW w:w="514" w:type="pct"/>
            <w:noWrap/>
            <w:vAlign w:val="center"/>
            <w:hideMark/>
          </w:tcPr>
          <w:p w14:paraId="1BC720F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0</w:t>
            </w:r>
            <w:r w:rsidRPr="00235994">
              <w:rPr>
                <w:rFonts w:ascii="Times New Roman" w:hAnsi="Times New Roman" w:cs="Times New Roman"/>
                <w:color w:val="000000"/>
                <w:sz w:val="18"/>
                <w:szCs w:val="18"/>
                <w:vertAlign w:val="subscript"/>
              </w:rPr>
              <w:t>a</w:t>
            </w:r>
          </w:p>
        </w:tc>
        <w:tc>
          <w:tcPr>
            <w:tcW w:w="345" w:type="pct"/>
            <w:noWrap/>
            <w:vAlign w:val="center"/>
            <w:hideMark/>
          </w:tcPr>
          <w:p w14:paraId="41495F1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36D25671"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22</w:t>
            </w:r>
          </w:p>
        </w:tc>
        <w:tc>
          <w:tcPr>
            <w:tcW w:w="361" w:type="pct"/>
            <w:noWrap/>
            <w:vAlign w:val="center"/>
            <w:hideMark/>
          </w:tcPr>
          <w:p w14:paraId="3E4AF967"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5.2</w:t>
            </w:r>
          </w:p>
        </w:tc>
        <w:tc>
          <w:tcPr>
            <w:tcW w:w="575" w:type="pct"/>
            <w:noWrap/>
            <w:vAlign w:val="bottom"/>
            <w:hideMark/>
          </w:tcPr>
          <w:p w14:paraId="5D4EC1C7"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316CD592"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374A198E"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205C617D" w14:textId="77777777" w:rsidTr="00C32B6D">
        <w:trPr>
          <w:trHeight w:val="290"/>
        </w:trPr>
        <w:tc>
          <w:tcPr>
            <w:tcW w:w="1253" w:type="pct"/>
            <w:gridSpan w:val="2"/>
            <w:noWrap/>
            <w:hideMark/>
          </w:tcPr>
          <w:p w14:paraId="4CF1BAEC" w14:textId="77777777" w:rsidR="00C32B6D" w:rsidRPr="00235994" w:rsidRDefault="00C32B6D" w:rsidP="00C32B6D">
            <w:pPr>
              <w:spacing w:after="0" w:line="240" w:lineRule="auto"/>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Total</w:t>
            </w:r>
          </w:p>
        </w:tc>
        <w:tc>
          <w:tcPr>
            <w:tcW w:w="445" w:type="pct"/>
            <w:noWrap/>
            <w:vAlign w:val="center"/>
            <w:hideMark/>
          </w:tcPr>
          <w:p w14:paraId="709CD8B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414</w:t>
            </w:r>
          </w:p>
        </w:tc>
        <w:tc>
          <w:tcPr>
            <w:tcW w:w="529" w:type="pct"/>
            <w:noWrap/>
            <w:vAlign w:val="center"/>
            <w:hideMark/>
          </w:tcPr>
          <w:p w14:paraId="4C3283F3"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14" w:type="pct"/>
            <w:noWrap/>
            <w:vAlign w:val="center"/>
            <w:hideMark/>
          </w:tcPr>
          <w:p w14:paraId="48FCE635"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8</w:t>
            </w:r>
          </w:p>
        </w:tc>
        <w:tc>
          <w:tcPr>
            <w:tcW w:w="345" w:type="pct"/>
            <w:noWrap/>
            <w:vAlign w:val="center"/>
            <w:hideMark/>
          </w:tcPr>
          <w:p w14:paraId="29184C6F"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444" w:type="pct"/>
            <w:noWrap/>
            <w:vAlign w:val="center"/>
            <w:hideMark/>
          </w:tcPr>
          <w:p w14:paraId="2438F540"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422</w:t>
            </w:r>
          </w:p>
        </w:tc>
        <w:tc>
          <w:tcPr>
            <w:tcW w:w="361" w:type="pct"/>
            <w:noWrap/>
            <w:vAlign w:val="center"/>
            <w:hideMark/>
          </w:tcPr>
          <w:p w14:paraId="38255132"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75" w:type="pct"/>
            <w:noWrap/>
            <w:vAlign w:val="bottom"/>
            <w:hideMark/>
          </w:tcPr>
          <w:p w14:paraId="0AA8C6CE" w14:textId="77777777" w:rsidR="00C32B6D" w:rsidRPr="00235994" w:rsidRDefault="00C32B6D" w:rsidP="00C32B6D">
            <w:pPr>
              <w:spacing w:after="0" w:line="240" w:lineRule="auto"/>
              <w:jc w:val="center"/>
              <w:rPr>
                <w:rFonts w:ascii="Times New Roman" w:eastAsia="Times New Roman" w:hAnsi="Times New Roman" w:cs="Times New Roman"/>
                <w:b/>
                <w:color w:val="000000"/>
                <w:sz w:val="14"/>
                <w:szCs w:val="18"/>
              </w:rPr>
            </w:pPr>
          </w:p>
        </w:tc>
        <w:tc>
          <w:tcPr>
            <w:tcW w:w="223" w:type="pct"/>
            <w:noWrap/>
            <w:vAlign w:val="bottom"/>
            <w:hideMark/>
          </w:tcPr>
          <w:p w14:paraId="07DF85EF"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c>
          <w:tcPr>
            <w:tcW w:w="311" w:type="pct"/>
            <w:noWrap/>
            <w:vAlign w:val="bottom"/>
            <w:hideMark/>
          </w:tcPr>
          <w:p w14:paraId="2521E509"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r>
      <w:tr w:rsidR="00C32B6D" w:rsidRPr="00235994" w14:paraId="4FF0501E" w14:textId="77777777" w:rsidTr="00C32B6D">
        <w:trPr>
          <w:trHeight w:val="290"/>
        </w:trPr>
        <w:tc>
          <w:tcPr>
            <w:tcW w:w="1253" w:type="pct"/>
            <w:gridSpan w:val="2"/>
            <w:noWrap/>
          </w:tcPr>
          <w:p w14:paraId="1314BC60"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445" w:type="pct"/>
            <w:noWrap/>
            <w:vAlign w:val="center"/>
          </w:tcPr>
          <w:p w14:paraId="1D8B58B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29" w:type="pct"/>
            <w:noWrap/>
            <w:vAlign w:val="center"/>
          </w:tcPr>
          <w:p w14:paraId="05D6190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14" w:type="pct"/>
            <w:noWrap/>
            <w:vAlign w:val="center"/>
          </w:tcPr>
          <w:p w14:paraId="018BDBA5"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345" w:type="pct"/>
            <w:noWrap/>
            <w:vAlign w:val="center"/>
          </w:tcPr>
          <w:p w14:paraId="6D760D3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444" w:type="pct"/>
            <w:noWrap/>
            <w:vAlign w:val="center"/>
          </w:tcPr>
          <w:p w14:paraId="64E5499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361" w:type="pct"/>
            <w:noWrap/>
            <w:vAlign w:val="center"/>
          </w:tcPr>
          <w:p w14:paraId="4B446EE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p>
        </w:tc>
        <w:tc>
          <w:tcPr>
            <w:tcW w:w="575" w:type="pct"/>
            <w:noWrap/>
            <w:vAlign w:val="bottom"/>
          </w:tcPr>
          <w:p w14:paraId="1B609B32"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tcPr>
          <w:p w14:paraId="642E94DE"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tcPr>
          <w:p w14:paraId="6A120254"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22243EEC" w14:textId="77777777" w:rsidTr="00C32B6D">
        <w:trPr>
          <w:trHeight w:val="290"/>
        </w:trPr>
        <w:tc>
          <w:tcPr>
            <w:tcW w:w="580" w:type="pct"/>
            <w:vMerge w:val="restart"/>
            <w:noWrap/>
            <w:hideMark/>
          </w:tcPr>
          <w:p w14:paraId="513E758D"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TYPE OF TOILET</w:t>
            </w:r>
          </w:p>
        </w:tc>
        <w:tc>
          <w:tcPr>
            <w:tcW w:w="673" w:type="pct"/>
            <w:noWrap/>
            <w:hideMark/>
          </w:tcPr>
          <w:p w14:paraId="64307637"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BUSH</w:t>
            </w:r>
          </w:p>
        </w:tc>
        <w:tc>
          <w:tcPr>
            <w:tcW w:w="445" w:type="pct"/>
            <w:noWrap/>
            <w:vAlign w:val="center"/>
            <w:hideMark/>
          </w:tcPr>
          <w:p w14:paraId="32340D93"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156</w:t>
            </w:r>
            <w:r w:rsidRPr="00235994">
              <w:rPr>
                <w:rFonts w:ascii="Times New Roman" w:hAnsi="Times New Roman" w:cs="Times New Roman"/>
                <w:color w:val="000000"/>
                <w:sz w:val="18"/>
                <w:szCs w:val="18"/>
                <w:vertAlign w:val="subscript"/>
              </w:rPr>
              <w:t>a</w:t>
            </w:r>
          </w:p>
        </w:tc>
        <w:tc>
          <w:tcPr>
            <w:tcW w:w="529" w:type="pct"/>
            <w:noWrap/>
            <w:vAlign w:val="center"/>
            <w:hideMark/>
          </w:tcPr>
          <w:p w14:paraId="11F981F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37.7</w:t>
            </w:r>
          </w:p>
        </w:tc>
        <w:tc>
          <w:tcPr>
            <w:tcW w:w="514" w:type="pct"/>
            <w:noWrap/>
            <w:vAlign w:val="center"/>
            <w:hideMark/>
          </w:tcPr>
          <w:p w14:paraId="2BFBB81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w:t>
            </w:r>
            <w:r w:rsidRPr="00235994">
              <w:rPr>
                <w:rFonts w:ascii="Times New Roman" w:hAnsi="Times New Roman" w:cs="Times New Roman"/>
                <w:color w:val="000000"/>
                <w:sz w:val="18"/>
                <w:szCs w:val="18"/>
                <w:vertAlign w:val="subscript"/>
              </w:rPr>
              <w:t>a</w:t>
            </w:r>
          </w:p>
        </w:tc>
        <w:tc>
          <w:tcPr>
            <w:tcW w:w="345" w:type="pct"/>
            <w:noWrap/>
            <w:vAlign w:val="center"/>
            <w:hideMark/>
          </w:tcPr>
          <w:p w14:paraId="72D268F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12.5</w:t>
            </w:r>
          </w:p>
        </w:tc>
        <w:tc>
          <w:tcPr>
            <w:tcW w:w="444" w:type="pct"/>
            <w:noWrap/>
            <w:vAlign w:val="center"/>
            <w:hideMark/>
          </w:tcPr>
          <w:p w14:paraId="0D122D1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157</w:t>
            </w:r>
          </w:p>
        </w:tc>
        <w:tc>
          <w:tcPr>
            <w:tcW w:w="361" w:type="pct"/>
            <w:noWrap/>
            <w:vAlign w:val="center"/>
            <w:hideMark/>
          </w:tcPr>
          <w:p w14:paraId="0D5999C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37.2</w:t>
            </w:r>
          </w:p>
        </w:tc>
        <w:tc>
          <w:tcPr>
            <w:tcW w:w="575" w:type="pct"/>
            <w:noWrap/>
            <w:vAlign w:val="center"/>
            <w:hideMark/>
          </w:tcPr>
          <w:p w14:paraId="416C9AB7"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χ2 =</w:t>
            </w:r>
            <w:r w:rsidRPr="00235994">
              <w:rPr>
                <w:rFonts w:ascii="Times New Roman" w:hAnsi="Times New Roman" w:cs="Times New Roman"/>
                <w:color w:val="000000"/>
                <w:sz w:val="18"/>
                <w:szCs w:val="18"/>
              </w:rPr>
              <w:t>3.496</w:t>
            </w:r>
            <w:r w:rsidRPr="00235994">
              <w:rPr>
                <w:rFonts w:ascii="Times New Roman" w:hAnsi="Times New Roman" w:cs="Times New Roman"/>
                <w:color w:val="000000"/>
                <w:sz w:val="18"/>
                <w:szCs w:val="18"/>
                <w:vertAlign w:val="superscript"/>
              </w:rPr>
              <w:t>a</w:t>
            </w:r>
          </w:p>
        </w:tc>
        <w:tc>
          <w:tcPr>
            <w:tcW w:w="223" w:type="pct"/>
            <w:noWrap/>
            <w:vAlign w:val="center"/>
            <w:hideMark/>
          </w:tcPr>
          <w:p w14:paraId="7E784641"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eastAsia="Times New Roman" w:hAnsi="Times New Roman" w:cs="Times New Roman"/>
                <w:color w:val="000000"/>
                <w:sz w:val="16"/>
                <w:szCs w:val="18"/>
              </w:rPr>
              <w:t>3</w:t>
            </w:r>
          </w:p>
        </w:tc>
        <w:tc>
          <w:tcPr>
            <w:tcW w:w="311" w:type="pct"/>
            <w:noWrap/>
            <w:vAlign w:val="center"/>
            <w:hideMark/>
          </w:tcPr>
          <w:p w14:paraId="672C1B67" w14:textId="77777777" w:rsidR="00C32B6D" w:rsidRPr="00235994" w:rsidRDefault="00C32B6D" w:rsidP="00C32B6D">
            <w:pPr>
              <w:spacing w:after="0" w:line="240" w:lineRule="auto"/>
              <w:jc w:val="right"/>
              <w:rPr>
                <w:rFonts w:ascii="Times New Roman" w:eastAsia="Times New Roman" w:hAnsi="Times New Roman" w:cs="Times New Roman"/>
                <w:color w:val="000000"/>
                <w:sz w:val="16"/>
                <w:szCs w:val="18"/>
              </w:rPr>
            </w:pPr>
            <w:r w:rsidRPr="00235994">
              <w:rPr>
                <w:rFonts w:ascii="Times New Roman" w:hAnsi="Times New Roman" w:cs="Times New Roman"/>
                <w:color w:val="000000"/>
                <w:sz w:val="18"/>
                <w:szCs w:val="18"/>
              </w:rPr>
              <w:t>.321</w:t>
            </w:r>
          </w:p>
        </w:tc>
      </w:tr>
      <w:tr w:rsidR="00C32B6D" w:rsidRPr="00235994" w14:paraId="69184785" w14:textId="77777777" w:rsidTr="00C32B6D">
        <w:trPr>
          <w:trHeight w:val="290"/>
        </w:trPr>
        <w:tc>
          <w:tcPr>
            <w:tcW w:w="580" w:type="pct"/>
            <w:vMerge/>
            <w:vAlign w:val="center"/>
            <w:hideMark/>
          </w:tcPr>
          <w:p w14:paraId="638EAAEA"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733FC246"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OTHERS</w:t>
            </w:r>
          </w:p>
        </w:tc>
        <w:tc>
          <w:tcPr>
            <w:tcW w:w="445" w:type="pct"/>
            <w:noWrap/>
            <w:vAlign w:val="center"/>
            <w:hideMark/>
          </w:tcPr>
          <w:p w14:paraId="700CED8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w:t>
            </w:r>
            <w:r w:rsidRPr="00235994">
              <w:rPr>
                <w:rFonts w:ascii="Times New Roman" w:hAnsi="Times New Roman" w:cs="Times New Roman"/>
                <w:color w:val="000000"/>
                <w:sz w:val="18"/>
                <w:szCs w:val="18"/>
                <w:vertAlign w:val="subscript"/>
              </w:rPr>
              <w:t>a</w:t>
            </w:r>
          </w:p>
        </w:tc>
        <w:tc>
          <w:tcPr>
            <w:tcW w:w="529" w:type="pct"/>
            <w:noWrap/>
            <w:vAlign w:val="center"/>
            <w:hideMark/>
          </w:tcPr>
          <w:p w14:paraId="3B00C4FC"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0.5</w:t>
            </w:r>
          </w:p>
        </w:tc>
        <w:tc>
          <w:tcPr>
            <w:tcW w:w="514" w:type="pct"/>
            <w:noWrap/>
            <w:vAlign w:val="center"/>
            <w:hideMark/>
          </w:tcPr>
          <w:p w14:paraId="2791BDE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a</w:t>
            </w:r>
          </w:p>
        </w:tc>
        <w:tc>
          <w:tcPr>
            <w:tcW w:w="345" w:type="pct"/>
            <w:noWrap/>
            <w:vAlign w:val="center"/>
            <w:hideMark/>
          </w:tcPr>
          <w:p w14:paraId="1D2F3644"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37417F0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2</w:t>
            </w:r>
          </w:p>
        </w:tc>
        <w:tc>
          <w:tcPr>
            <w:tcW w:w="361" w:type="pct"/>
            <w:noWrap/>
            <w:vAlign w:val="center"/>
            <w:hideMark/>
          </w:tcPr>
          <w:p w14:paraId="66B335D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0.5</w:t>
            </w:r>
          </w:p>
        </w:tc>
        <w:tc>
          <w:tcPr>
            <w:tcW w:w="575" w:type="pct"/>
            <w:noWrap/>
            <w:vAlign w:val="bottom"/>
            <w:hideMark/>
          </w:tcPr>
          <w:p w14:paraId="04245996"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018D8DFD"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2E8CC2C2"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45547869" w14:textId="77777777" w:rsidTr="00C32B6D">
        <w:trPr>
          <w:trHeight w:val="290"/>
        </w:trPr>
        <w:tc>
          <w:tcPr>
            <w:tcW w:w="580" w:type="pct"/>
            <w:vMerge/>
            <w:vAlign w:val="center"/>
            <w:hideMark/>
          </w:tcPr>
          <w:p w14:paraId="637CA3C0"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3FA2EA98"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PIT</w:t>
            </w:r>
          </w:p>
        </w:tc>
        <w:tc>
          <w:tcPr>
            <w:tcW w:w="445" w:type="pct"/>
            <w:noWrap/>
            <w:vAlign w:val="center"/>
            <w:hideMark/>
          </w:tcPr>
          <w:p w14:paraId="680EADF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30</w:t>
            </w:r>
            <w:r w:rsidRPr="00235994">
              <w:rPr>
                <w:rFonts w:ascii="Times New Roman" w:hAnsi="Times New Roman" w:cs="Times New Roman"/>
                <w:color w:val="000000"/>
                <w:sz w:val="18"/>
                <w:szCs w:val="18"/>
                <w:vertAlign w:val="subscript"/>
              </w:rPr>
              <w:t>a</w:t>
            </w:r>
          </w:p>
        </w:tc>
        <w:tc>
          <w:tcPr>
            <w:tcW w:w="529" w:type="pct"/>
            <w:noWrap/>
            <w:vAlign w:val="center"/>
            <w:hideMark/>
          </w:tcPr>
          <w:p w14:paraId="1635F53E"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7.2</w:t>
            </w:r>
          </w:p>
        </w:tc>
        <w:tc>
          <w:tcPr>
            <w:tcW w:w="514" w:type="pct"/>
            <w:noWrap/>
            <w:vAlign w:val="center"/>
            <w:hideMark/>
          </w:tcPr>
          <w:p w14:paraId="2F0E0AB0"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w:t>
            </w:r>
            <w:r w:rsidRPr="00235994">
              <w:rPr>
                <w:rFonts w:ascii="Times New Roman" w:eastAsia="Times New Roman" w:hAnsi="Times New Roman" w:cs="Times New Roman"/>
                <w:color w:val="000000"/>
                <w:sz w:val="18"/>
                <w:szCs w:val="18"/>
                <w:vertAlign w:val="subscript"/>
              </w:rPr>
              <w:t>b</w:t>
            </w:r>
          </w:p>
        </w:tc>
        <w:tc>
          <w:tcPr>
            <w:tcW w:w="345" w:type="pct"/>
            <w:noWrap/>
            <w:vAlign w:val="center"/>
            <w:hideMark/>
          </w:tcPr>
          <w:p w14:paraId="48BCE07F"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eastAsia="Times New Roman" w:hAnsi="Times New Roman" w:cs="Times New Roman"/>
                <w:color w:val="000000"/>
                <w:sz w:val="18"/>
                <w:szCs w:val="18"/>
              </w:rPr>
              <w:t>0.00</w:t>
            </w:r>
          </w:p>
        </w:tc>
        <w:tc>
          <w:tcPr>
            <w:tcW w:w="444" w:type="pct"/>
            <w:noWrap/>
            <w:vAlign w:val="center"/>
            <w:hideMark/>
          </w:tcPr>
          <w:p w14:paraId="10FD4AD2"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30</w:t>
            </w:r>
          </w:p>
        </w:tc>
        <w:tc>
          <w:tcPr>
            <w:tcW w:w="361" w:type="pct"/>
            <w:noWrap/>
            <w:vAlign w:val="center"/>
            <w:hideMark/>
          </w:tcPr>
          <w:p w14:paraId="602C163B"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7.1</w:t>
            </w:r>
          </w:p>
        </w:tc>
        <w:tc>
          <w:tcPr>
            <w:tcW w:w="575" w:type="pct"/>
            <w:noWrap/>
            <w:vAlign w:val="bottom"/>
            <w:hideMark/>
          </w:tcPr>
          <w:p w14:paraId="165DBB44"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24E5CD69"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1F060758"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479387E4" w14:textId="77777777" w:rsidTr="00C32B6D">
        <w:trPr>
          <w:trHeight w:val="290"/>
        </w:trPr>
        <w:tc>
          <w:tcPr>
            <w:tcW w:w="580" w:type="pct"/>
            <w:vMerge/>
            <w:vAlign w:val="center"/>
            <w:hideMark/>
          </w:tcPr>
          <w:p w14:paraId="549C2BE2"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p>
        </w:tc>
        <w:tc>
          <w:tcPr>
            <w:tcW w:w="673" w:type="pct"/>
            <w:noWrap/>
            <w:hideMark/>
          </w:tcPr>
          <w:p w14:paraId="064C71D8" w14:textId="77777777" w:rsidR="00C32B6D" w:rsidRPr="00235994" w:rsidRDefault="00C32B6D" w:rsidP="00C32B6D">
            <w:pPr>
              <w:spacing w:after="0" w:line="240" w:lineRule="auto"/>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PIT/BUSH</w:t>
            </w:r>
          </w:p>
        </w:tc>
        <w:tc>
          <w:tcPr>
            <w:tcW w:w="445" w:type="pct"/>
            <w:noWrap/>
            <w:vAlign w:val="center"/>
            <w:hideMark/>
          </w:tcPr>
          <w:p w14:paraId="3DB81ECC"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226</w:t>
            </w:r>
            <w:r w:rsidRPr="00235994">
              <w:rPr>
                <w:rFonts w:ascii="Times New Roman" w:hAnsi="Times New Roman" w:cs="Times New Roman"/>
                <w:color w:val="000000"/>
                <w:sz w:val="18"/>
                <w:szCs w:val="18"/>
                <w:vertAlign w:val="subscript"/>
              </w:rPr>
              <w:t>a</w:t>
            </w:r>
          </w:p>
        </w:tc>
        <w:tc>
          <w:tcPr>
            <w:tcW w:w="529" w:type="pct"/>
            <w:noWrap/>
            <w:vAlign w:val="center"/>
            <w:hideMark/>
          </w:tcPr>
          <w:p w14:paraId="5B823BD8"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54.6</w:t>
            </w:r>
          </w:p>
        </w:tc>
        <w:tc>
          <w:tcPr>
            <w:tcW w:w="514" w:type="pct"/>
            <w:noWrap/>
            <w:vAlign w:val="center"/>
            <w:hideMark/>
          </w:tcPr>
          <w:p w14:paraId="2E3EAF1A"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7</w:t>
            </w:r>
            <w:r w:rsidRPr="00235994">
              <w:rPr>
                <w:rFonts w:ascii="Times New Roman" w:hAnsi="Times New Roman" w:cs="Times New Roman"/>
                <w:color w:val="000000"/>
                <w:sz w:val="18"/>
                <w:szCs w:val="18"/>
                <w:vertAlign w:val="subscript"/>
              </w:rPr>
              <w:t>a</w:t>
            </w:r>
          </w:p>
        </w:tc>
        <w:tc>
          <w:tcPr>
            <w:tcW w:w="345" w:type="pct"/>
            <w:noWrap/>
            <w:vAlign w:val="center"/>
            <w:hideMark/>
          </w:tcPr>
          <w:p w14:paraId="35D045EC"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87.5</w:t>
            </w:r>
          </w:p>
        </w:tc>
        <w:tc>
          <w:tcPr>
            <w:tcW w:w="444" w:type="pct"/>
            <w:noWrap/>
            <w:vAlign w:val="center"/>
            <w:hideMark/>
          </w:tcPr>
          <w:p w14:paraId="12174189"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233</w:t>
            </w:r>
          </w:p>
        </w:tc>
        <w:tc>
          <w:tcPr>
            <w:tcW w:w="361" w:type="pct"/>
            <w:noWrap/>
            <w:vAlign w:val="center"/>
            <w:hideMark/>
          </w:tcPr>
          <w:p w14:paraId="2139CD3C" w14:textId="77777777" w:rsidR="00C32B6D" w:rsidRPr="00235994" w:rsidRDefault="00C32B6D" w:rsidP="00C32B6D">
            <w:pPr>
              <w:spacing w:after="0" w:line="240" w:lineRule="auto"/>
              <w:jc w:val="right"/>
              <w:rPr>
                <w:rFonts w:ascii="Times New Roman" w:eastAsia="Times New Roman" w:hAnsi="Times New Roman" w:cs="Times New Roman"/>
                <w:color w:val="000000"/>
                <w:sz w:val="18"/>
                <w:szCs w:val="18"/>
              </w:rPr>
            </w:pPr>
            <w:r w:rsidRPr="00235994">
              <w:rPr>
                <w:rFonts w:ascii="Times New Roman" w:hAnsi="Times New Roman" w:cs="Times New Roman"/>
                <w:color w:val="000000"/>
                <w:sz w:val="18"/>
                <w:szCs w:val="18"/>
              </w:rPr>
              <w:t>55.2</w:t>
            </w:r>
          </w:p>
        </w:tc>
        <w:tc>
          <w:tcPr>
            <w:tcW w:w="575" w:type="pct"/>
            <w:noWrap/>
            <w:vAlign w:val="bottom"/>
            <w:hideMark/>
          </w:tcPr>
          <w:p w14:paraId="41832D92"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noWrap/>
            <w:vAlign w:val="bottom"/>
            <w:hideMark/>
          </w:tcPr>
          <w:p w14:paraId="60780B69" w14:textId="77777777" w:rsidR="00C32B6D" w:rsidRPr="00235994" w:rsidRDefault="00C32B6D" w:rsidP="00C32B6D">
            <w:pPr>
              <w:spacing w:after="0" w:line="240" w:lineRule="auto"/>
              <w:rPr>
                <w:rFonts w:ascii="Times New Roman" w:eastAsia="Times New Roman" w:hAnsi="Times New Roman" w:cs="Times New Roman"/>
                <w:sz w:val="16"/>
                <w:szCs w:val="20"/>
              </w:rPr>
            </w:pPr>
          </w:p>
        </w:tc>
        <w:tc>
          <w:tcPr>
            <w:tcW w:w="311" w:type="pct"/>
            <w:noWrap/>
            <w:vAlign w:val="bottom"/>
            <w:hideMark/>
          </w:tcPr>
          <w:p w14:paraId="785A9F05" w14:textId="77777777" w:rsidR="00C32B6D" w:rsidRPr="00235994" w:rsidRDefault="00C32B6D" w:rsidP="00C32B6D">
            <w:pPr>
              <w:spacing w:after="0" w:line="240" w:lineRule="auto"/>
              <w:rPr>
                <w:rFonts w:ascii="Times New Roman" w:eastAsia="Times New Roman" w:hAnsi="Times New Roman" w:cs="Times New Roman"/>
                <w:sz w:val="16"/>
                <w:szCs w:val="20"/>
              </w:rPr>
            </w:pPr>
          </w:p>
        </w:tc>
      </w:tr>
      <w:tr w:rsidR="00C32B6D" w:rsidRPr="00235994" w14:paraId="52AA9CE7" w14:textId="77777777" w:rsidTr="00C32B6D">
        <w:trPr>
          <w:trHeight w:val="290"/>
        </w:trPr>
        <w:tc>
          <w:tcPr>
            <w:tcW w:w="1253" w:type="pct"/>
            <w:gridSpan w:val="2"/>
            <w:tcBorders>
              <w:bottom w:val="single" w:sz="4" w:space="0" w:color="auto"/>
            </w:tcBorders>
            <w:noWrap/>
            <w:hideMark/>
          </w:tcPr>
          <w:p w14:paraId="01D10016" w14:textId="77777777" w:rsidR="00C32B6D" w:rsidRPr="00235994" w:rsidRDefault="00C32B6D" w:rsidP="00C32B6D">
            <w:pPr>
              <w:spacing w:after="0" w:line="240" w:lineRule="auto"/>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Total</w:t>
            </w:r>
          </w:p>
        </w:tc>
        <w:tc>
          <w:tcPr>
            <w:tcW w:w="445" w:type="pct"/>
            <w:tcBorders>
              <w:bottom w:val="single" w:sz="4" w:space="0" w:color="auto"/>
            </w:tcBorders>
            <w:noWrap/>
            <w:vAlign w:val="center"/>
            <w:hideMark/>
          </w:tcPr>
          <w:p w14:paraId="49FCFFB1"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414</w:t>
            </w:r>
          </w:p>
        </w:tc>
        <w:tc>
          <w:tcPr>
            <w:tcW w:w="529" w:type="pct"/>
            <w:tcBorders>
              <w:bottom w:val="single" w:sz="4" w:space="0" w:color="auto"/>
            </w:tcBorders>
            <w:noWrap/>
            <w:vAlign w:val="center"/>
            <w:hideMark/>
          </w:tcPr>
          <w:p w14:paraId="09EA0FE2"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14" w:type="pct"/>
            <w:tcBorders>
              <w:bottom w:val="single" w:sz="4" w:space="0" w:color="auto"/>
            </w:tcBorders>
            <w:noWrap/>
            <w:vAlign w:val="center"/>
            <w:hideMark/>
          </w:tcPr>
          <w:p w14:paraId="73700EC4"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8</w:t>
            </w:r>
          </w:p>
        </w:tc>
        <w:tc>
          <w:tcPr>
            <w:tcW w:w="345" w:type="pct"/>
            <w:tcBorders>
              <w:bottom w:val="single" w:sz="4" w:space="0" w:color="auto"/>
            </w:tcBorders>
            <w:noWrap/>
            <w:vAlign w:val="center"/>
            <w:hideMark/>
          </w:tcPr>
          <w:p w14:paraId="2CF361DA"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444" w:type="pct"/>
            <w:tcBorders>
              <w:bottom w:val="single" w:sz="4" w:space="0" w:color="auto"/>
            </w:tcBorders>
            <w:noWrap/>
            <w:vAlign w:val="center"/>
            <w:hideMark/>
          </w:tcPr>
          <w:p w14:paraId="0FFDAA5C"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422</w:t>
            </w:r>
          </w:p>
        </w:tc>
        <w:tc>
          <w:tcPr>
            <w:tcW w:w="361" w:type="pct"/>
            <w:tcBorders>
              <w:bottom w:val="single" w:sz="4" w:space="0" w:color="auto"/>
            </w:tcBorders>
            <w:noWrap/>
            <w:vAlign w:val="center"/>
            <w:hideMark/>
          </w:tcPr>
          <w:p w14:paraId="117D4DD0" w14:textId="77777777" w:rsidR="00C32B6D" w:rsidRPr="00235994" w:rsidRDefault="00C32B6D" w:rsidP="00C32B6D">
            <w:pPr>
              <w:spacing w:after="0" w:line="240" w:lineRule="auto"/>
              <w:jc w:val="right"/>
              <w:rPr>
                <w:rFonts w:ascii="Times New Roman" w:eastAsia="Times New Roman" w:hAnsi="Times New Roman" w:cs="Times New Roman"/>
                <w:b/>
                <w:color w:val="000000"/>
                <w:sz w:val="18"/>
                <w:szCs w:val="18"/>
              </w:rPr>
            </w:pPr>
            <w:r w:rsidRPr="00235994">
              <w:rPr>
                <w:rFonts w:ascii="Times New Roman" w:eastAsia="Times New Roman" w:hAnsi="Times New Roman" w:cs="Times New Roman"/>
                <w:b/>
                <w:color w:val="000000"/>
                <w:sz w:val="18"/>
                <w:szCs w:val="18"/>
              </w:rPr>
              <w:t>100.0</w:t>
            </w:r>
          </w:p>
        </w:tc>
        <w:tc>
          <w:tcPr>
            <w:tcW w:w="575" w:type="pct"/>
            <w:tcBorders>
              <w:bottom w:val="single" w:sz="4" w:space="0" w:color="auto"/>
            </w:tcBorders>
            <w:noWrap/>
            <w:vAlign w:val="bottom"/>
            <w:hideMark/>
          </w:tcPr>
          <w:p w14:paraId="0F1ED57E" w14:textId="77777777" w:rsidR="00C32B6D" w:rsidRPr="00235994" w:rsidRDefault="00C32B6D" w:rsidP="00C32B6D">
            <w:pPr>
              <w:spacing w:after="0" w:line="240" w:lineRule="auto"/>
              <w:jc w:val="center"/>
              <w:rPr>
                <w:rFonts w:ascii="Times New Roman" w:eastAsia="Times New Roman" w:hAnsi="Times New Roman" w:cs="Times New Roman"/>
                <w:b/>
                <w:color w:val="000000"/>
                <w:sz w:val="14"/>
                <w:szCs w:val="18"/>
              </w:rPr>
            </w:pPr>
          </w:p>
        </w:tc>
        <w:tc>
          <w:tcPr>
            <w:tcW w:w="223" w:type="pct"/>
            <w:tcBorders>
              <w:bottom w:val="single" w:sz="4" w:space="0" w:color="auto"/>
            </w:tcBorders>
            <w:noWrap/>
            <w:vAlign w:val="bottom"/>
            <w:hideMark/>
          </w:tcPr>
          <w:p w14:paraId="2CF10DB4"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c>
          <w:tcPr>
            <w:tcW w:w="311" w:type="pct"/>
            <w:tcBorders>
              <w:bottom w:val="single" w:sz="4" w:space="0" w:color="auto"/>
            </w:tcBorders>
            <w:noWrap/>
            <w:vAlign w:val="bottom"/>
            <w:hideMark/>
          </w:tcPr>
          <w:p w14:paraId="36A77E72" w14:textId="77777777" w:rsidR="00C32B6D" w:rsidRPr="00235994" w:rsidRDefault="00C32B6D" w:rsidP="00C32B6D">
            <w:pPr>
              <w:spacing w:after="0" w:line="240" w:lineRule="auto"/>
              <w:rPr>
                <w:rFonts w:ascii="Times New Roman" w:eastAsia="Times New Roman" w:hAnsi="Times New Roman" w:cs="Times New Roman"/>
                <w:b/>
                <w:sz w:val="16"/>
                <w:szCs w:val="20"/>
              </w:rPr>
            </w:pPr>
          </w:p>
        </w:tc>
      </w:tr>
      <w:tr w:rsidR="00C32B6D" w:rsidRPr="00235994" w14:paraId="0BDC8D97" w14:textId="77777777" w:rsidTr="00C32B6D">
        <w:trPr>
          <w:trHeight w:val="290"/>
        </w:trPr>
        <w:tc>
          <w:tcPr>
            <w:tcW w:w="3891" w:type="pct"/>
            <w:gridSpan w:val="8"/>
            <w:tcBorders>
              <w:top w:val="single" w:sz="4" w:space="0" w:color="auto"/>
              <w:left w:val="nil"/>
              <w:bottom w:val="nil"/>
              <w:right w:val="nil"/>
            </w:tcBorders>
            <w:noWrap/>
            <w:hideMark/>
          </w:tcPr>
          <w:p w14:paraId="76521A50" w14:textId="77777777" w:rsidR="00C32B6D" w:rsidRPr="00235994" w:rsidRDefault="00C32B6D" w:rsidP="00C32B6D">
            <w:pPr>
              <w:spacing w:after="0" w:line="240" w:lineRule="auto"/>
              <w:rPr>
                <w:rFonts w:ascii="Times New Roman" w:eastAsia="Times New Roman" w:hAnsi="Times New Roman" w:cs="Times New Roman"/>
                <w:color w:val="000000"/>
                <w:sz w:val="14"/>
                <w:szCs w:val="18"/>
              </w:rPr>
            </w:pPr>
            <w:r w:rsidRPr="00235994">
              <w:rPr>
                <w:rFonts w:ascii="Times New Roman" w:eastAsia="Times New Roman" w:hAnsi="Times New Roman" w:cs="Times New Roman"/>
                <w:color w:val="000000"/>
                <w:sz w:val="14"/>
                <w:szCs w:val="18"/>
              </w:rPr>
              <w:t>Each subscript letter denotes a subset of REMARKS categories whose column proportions do not differ significantly from each other at the .05 level.</w:t>
            </w:r>
          </w:p>
        </w:tc>
        <w:tc>
          <w:tcPr>
            <w:tcW w:w="575" w:type="pct"/>
            <w:tcBorders>
              <w:top w:val="single" w:sz="4" w:space="0" w:color="auto"/>
              <w:left w:val="nil"/>
              <w:bottom w:val="nil"/>
              <w:right w:val="nil"/>
            </w:tcBorders>
            <w:noWrap/>
            <w:vAlign w:val="bottom"/>
            <w:hideMark/>
          </w:tcPr>
          <w:p w14:paraId="46C86B72" w14:textId="77777777" w:rsidR="00C32B6D" w:rsidRPr="00235994" w:rsidRDefault="00C32B6D" w:rsidP="00C32B6D">
            <w:pPr>
              <w:spacing w:after="0" w:line="240" w:lineRule="auto"/>
              <w:jc w:val="center"/>
              <w:rPr>
                <w:rFonts w:ascii="Times New Roman" w:eastAsia="Times New Roman" w:hAnsi="Times New Roman" w:cs="Times New Roman"/>
                <w:color w:val="000000"/>
                <w:sz w:val="14"/>
                <w:szCs w:val="18"/>
              </w:rPr>
            </w:pPr>
          </w:p>
        </w:tc>
        <w:tc>
          <w:tcPr>
            <w:tcW w:w="223" w:type="pct"/>
            <w:tcBorders>
              <w:top w:val="single" w:sz="4" w:space="0" w:color="auto"/>
              <w:left w:val="nil"/>
              <w:bottom w:val="nil"/>
              <w:right w:val="nil"/>
            </w:tcBorders>
            <w:noWrap/>
            <w:vAlign w:val="bottom"/>
            <w:hideMark/>
          </w:tcPr>
          <w:p w14:paraId="11CEBBF9" w14:textId="77777777" w:rsidR="00C32B6D" w:rsidRPr="00235994" w:rsidRDefault="00C32B6D" w:rsidP="00C32B6D">
            <w:pPr>
              <w:spacing w:after="0" w:line="240" w:lineRule="auto"/>
              <w:rPr>
                <w:rFonts w:ascii="Times New Roman" w:eastAsia="Times New Roman" w:hAnsi="Times New Roman" w:cs="Times New Roman"/>
                <w:sz w:val="14"/>
                <w:szCs w:val="20"/>
              </w:rPr>
            </w:pPr>
          </w:p>
        </w:tc>
        <w:tc>
          <w:tcPr>
            <w:tcW w:w="311" w:type="pct"/>
            <w:tcBorders>
              <w:top w:val="single" w:sz="4" w:space="0" w:color="auto"/>
              <w:left w:val="nil"/>
              <w:bottom w:val="nil"/>
              <w:right w:val="nil"/>
            </w:tcBorders>
            <w:noWrap/>
            <w:vAlign w:val="bottom"/>
            <w:hideMark/>
          </w:tcPr>
          <w:p w14:paraId="430E04D7" w14:textId="77777777" w:rsidR="00C32B6D" w:rsidRPr="00235994" w:rsidRDefault="00C32B6D" w:rsidP="00C32B6D">
            <w:pPr>
              <w:spacing w:after="0" w:line="240" w:lineRule="auto"/>
              <w:rPr>
                <w:rFonts w:ascii="Times New Roman" w:eastAsia="Times New Roman" w:hAnsi="Times New Roman" w:cs="Times New Roman"/>
                <w:sz w:val="14"/>
                <w:szCs w:val="20"/>
              </w:rPr>
            </w:pPr>
          </w:p>
        </w:tc>
      </w:tr>
    </w:tbl>
    <w:p w14:paraId="27309966"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0E7992BC"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68FEDE02"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1497D6E9"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201C5681"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7A2F4CA1" w14:textId="77777777" w:rsidR="00C32B6D" w:rsidRPr="00235994" w:rsidRDefault="00C32B6D" w:rsidP="00C32B6D">
      <w:pPr>
        <w:autoSpaceDE w:val="0"/>
        <w:autoSpaceDN w:val="0"/>
        <w:adjustRightInd w:val="0"/>
        <w:spacing w:after="0" w:line="400" w:lineRule="atLeast"/>
        <w:rPr>
          <w:rFonts w:ascii="Times New Roman" w:hAnsi="Times New Roman" w:cs="Times New Roman"/>
          <w:sz w:val="24"/>
          <w:szCs w:val="24"/>
        </w:rPr>
      </w:pPr>
    </w:p>
    <w:p w14:paraId="039BBE6B" w14:textId="77777777" w:rsidR="00FD74AB" w:rsidRPr="00235994" w:rsidRDefault="00FD74AB" w:rsidP="00FD74AB">
      <w:pPr>
        <w:pageBreakBefore/>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w:t>
      </w:r>
      <w:r w:rsidR="00331A98">
        <w:rPr>
          <w:rFonts w:ascii="Times New Roman" w:hAnsi="Times New Roman" w:cs="Times New Roman"/>
          <w:b/>
          <w:color w:val="000000"/>
          <w:sz w:val="24"/>
          <w:szCs w:val="24"/>
        </w:rPr>
        <w:t>3</w:t>
      </w:r>
      <w:r w:rsidRPr="00235994">
        <w:rPr>
          <w:rFonts w:ascii="Times New Roman" w:hAnsi="Times New Roman" w:cs="Times New Roman"/>
          <w:b/>
          <w:color w:val="000000"/>
          <w:sz w:val="24"/>
          <w:szCs w:val="24"/>
        </w:rPr>
        <w:t xml:space="preserve">: Antibiotic Sensitivity Profile of </w:t>
      </w:r>
      <w:r w:rsidRPr="00235994">
        <w:rPr>
          <w:rFonts w:ascii="Times New Roman" w:hAnsi="Times New Roman" w:cs="Times New Roman"/>
          <w:b/>
          <w:i/>
          <w:iCs/>
          <w:color w:val="000000"/>
          <w:sz w:val="24"/>
          <w:szCs w:val="24"/>
        </w:rPr>
        <w:t>Vibrio cholerae</w:t>
      </w:r>
      <w:r w:rsidRPr="00235994">
        <w:rPr>
          <w:rFonts w:ascii="Times New Roman" w:hAnsi="Times New Roman" w:cs="Times New Roman"/>
          <w:b/>
          <w:i/>
          <w:color w:val="000000"/>
          <w:sz w:val="24"/>
          <w:szCs w:val="24"/>
        </w:rPr>
        <w:t xml:space="preserve"> </w:t>
      </w:r>
      <w:r w:rsidRPr="00235994">
        <w:rPr>
          <w:rFonts w:ascii="Times New Roman" w:hAnsi="Times New Roman" w:cs="Times New Roman"/>
          <w:b/>
          <w:color w:val="000000"/>
          <w:sz w:val="24"/>
          <w:szCs w:val="24"/>
        </w:rPr>
        <w:t>in Nasarawa State IDP Camp</w:t>
      </w:r>
    </w:p>
    <w:tbl>
      <w:tblPr>
        <w:tblpPr w:leftFromText="180" w:rightFromText="180" w:bottomFromText="200" w:vertAnchor="text" w:tblpY="1"/>
        <w:tblOverlap w:val="never"/>
        <w:tblW w:w="9584"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40"/>
        <w:gridCol w:w="2696"/>
        <w:gridCol w:w="5048"/>
      </w:tblGrid>
      <w:tr w:rsidR="00FD74AB" w:rsidRPr="00235994" w14:paraId="42F70EE5" w14:textId="77777777" w:rsidTr="00285264">
        <w:trPr>
          <w:trHeight w:val="920"/>
        </w:trPr>
        <w:tc>
          <w:tcPr>
            <w:tcW w:w="1840" w:type="dxa"/>
            <w:tcBorders>
              <w:top w:val="single" w:sz="4" w:space="0" w:color="auto"/>
              <w:left w:val="nil"/>
              <w:bottom w:val="nil"/>
              <w:right w:val="nil"/>
            </w:tcBorders>
            <w:hideMark/>
          </w:tcPr>
          <w:p w14:paraId="08E4C127" w14:textId="77777777" w:rsidR="00FD74AB" w:rsidRPr="00235994" w:rsidRDefault="00FD74AB" w:rsidP="00285264">
            <w:pPr>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Antibiotics</w:t>
            </w:r>
          </w:p>
        </w:tc>
        <w:tc>
          <w:tcPr>
            <w:tcW w:w="2696" w:type="dxa"/>
            <w:tcBorders>
              <w:top w:val="single" w:sz="4" w:space="0" w:color="auto"/>
              <w:left w:val="nil"/>
              <w:bottom w:val="nil"/>
              <w:right w:val="nil"/>
            </w:tcBorders>
            <w:hideMark/>
          </w:tcPr>
          <w:p w14:paraId="4AD2A413" w14:textId="77777777" w:rsidR="00FD74AB" w:rsidRPr="00235994" w:rsidRDefault="00FD74AB" w:rsidP="00285264">
            <w:pPr>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        Concentration  (mcg) </w:t>
            </w:r>
          </w:p>
        </w:tc>
        <w:tc>
          <w:tcPr>
            <w:tcW w:w="5048" w:type="dxa"/>
            <w:tcBorders>
              <w:top w:val="single" w:sz="4" w:space="0" w:color="auto"/>
              <w:left w:val="nil"/>
              <w:bottom w:val="nil"/>
              <w:right w:val="nil"/>
            </w:tcBorders>
            <w:hideMark/>
          </w:tcPr>
          <w:p w14:paraId="0DED3B81" w14:textId="77777777" w:rsidR="00FD74AB" w:rsidRPr="00235994" w:rsidRDefault="00FD74AB" w:rsidP="00285264">
            <w:pPr>
              <w:spacing w:line="240" w:lineRule="auto"/>
              <w:jc w:val="both"/>
              <w:rPr>
                <w:rFonts w:ascii="Times New Roman" w:hAnsi="Times New Roman" w:cs="Times New Roman"/>
                <w:b/>
                <w:sz w:val="24"/>
                <w:szCs w:val="24"/>
                <w:vertAlign w:val="subscript"/>
              </w:rPr>
            </w:pPr>
            <w:r w:rsidRPr="00235994">
              <w:rPr>
                <w:rFonts w:ascii="Times New Roman" w:hAnsi="Times New Roman" w:cs="Times New Roman"/>
                <w:b/>
                <w:i/>
                <w:color w:val="000000"/>
                <w:sz w:val="24"/>
                <w:szCs w:val="24"/>
              </w:rPr>
              <w:t xml:space="preserve">                    </w:t>
            </w:r>
            <w:r w:rsidRPr="00235994">
              <w:rPr>
                <w:rFonts w:ascii="Times New Roman" w:hAnsi="Times New Roman" w:cs="Times New Roman"/>
                <w:b/>
                <w:i/>
                <w:iCs/>
                <w:color w:val="000000"/>
                <w:sz w:val="24"/>
                <w:szCs w:val="24"/>
              </w:rPr>
              <w:t>Vibrio cholerae</w:t>
            </w:r>
            <w:r w:rsidRPr="00235994">
              <w:rPr>
                <w:rFonts w:ascii="Times New Roman" w:hAnsi="Times New Roman" w:cs="Times New Roman"/>
                <w:i/>
                <w:sz w:val="24"/>
                <w:szCs w:val="24"/>
              </w:rPr>
              <w:t xml:space="preserve"> </w:t>
            </w:r>
            <w:r w:rsidRPr="00235994">
              <w:rPr>
                <w:rFonts w:ascii="Times New Roman" w:hAnsi="Times New Roman" w:cs="Times New Roman"/>
                <w:sz w:val="24"/>
                <w:szCs w:val="24"/>
              </w:rPr>
              <w:t xml:space="preserve">(n=8 )     </w:t>
            </w:r>
          </w:p>
          <w:p w14:paraId="61108C18" w14:textId="77777777" w:rsidR="00FD74AB" w:rsidRPr="00235994" w:rsidRDefault="00FD74AB" w:rsidP="00285264">
            <w:pPr>
              <w:tabs>
                <w:tab w:val="center" w:pos="2659"/>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                Sensitive                      Resistance</w:t>
            </w:r>
          </w:p>
          <w:p w14:paraId="52DB5274" w14:textId="77777777" w:rsidR="00FD74AB" w:rsidRPr="00235994" w:rsidRDefault="00FD74AB" w:rsidP="00285264">
            <w:pPr>
              <w:tabs>
                <w:tab w:val="center" w:pos="2659"/>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                No.  ( %)                      No.  ( %)</w:t>
            </w:r>
          </w:p>
        </w:tc>
      </w:tr>
      <w:tr w:rsidR="00FD74AB" w:rsidRPr="0011267A" w14:paraId="587E54CF" w14:textId="77777777" w:rsidTr="00285264">
        <w:trPr>
          <w:trHeight w:val="2376"/>
        </w:trPr>
        <w:tc>
          <w:tcPr>
            <w:tcW w:w="9584" w:type="dxa"/>
            <w:gridSpan w:val="3"/>
            <w:tcBorders>
              <w:top w:val="single" w:sz="4" w:space="0" w:color="auto"/>
              <w:left w:val="nil"/>
              <w:bottom w:val="single" w:sz="4" w:space="0" w:color="auto"/>
              <w:right w:val="nil"/>
            </w:tcBorders>
            <w:hideMark/>
          </w:tcPr>
          <w:p w14:paraId="1B035078" w14:textId="77777777" w:rsidR="00FD74AB" w:rsidRPr="00235994" w:rsidRDefault="00FD74AB" w:rsidP="00285264">
            <w:pPr>
              <w:tabs>
                <w:tab w:val="left" w:pos="2670"/>
                <w:tab w:val="left" w:pos="675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Tetracycline                                       30                             7 (87.5)</w:t>
            </w:r>
            <w:r w:rsidRPr="00235994">
              <w:rPr>
                <w:rFonts w:ascii="Times New Roman" w:hAnsi="Times New Roman" w:cs="Times New Roman"/>
                <w:sz w:val="24"/>
                <w:szCs w:val="24"/>
              </w:rPr>
              <w:tab/>
              <w:t xml:space="preserve">                1 (12.5)</w:t>
            </w:r>
          </w:p>
          <w:p w14:paraId="6932C6EF" w14:textId="77777777" w:rsidR="00FD74AB" w:rsidRPr="00235994" w:rsidRDefault="00FD74AB" w:rsidP="00285264">
            <w:pPr>
              <w:tabs>
                <w:tab w:val="left" w:pos="2670"/>
                <w:tab w:val="left" w:pos="675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Cefotaxime</w:t>
            </w:r>
            <w:r w:rsidRPr="00235994">
              <w:rPr>
                <w:rFonts w:ascii="Times New Roman" w:hAnsi="Times New Roman" w:cs="Times New Roman"/>
                <w:sz w:val="24"/>
                <w:szCs w:val="24"/>
              </w:rPr>
              <w:tab/>
              <w:t xml:space="preserve">                30                           2  (25.0)                       6 (75.0)</w:t>
            </w:r>
            <w:r w:rsidRPr="00235994">
              <w:rPr>
                <w:rFonts w:ascii="Times New Roman" w:hAnsi="Times New Roman" w:cs="Times New Roman"/>
                <w:sz w:val="24"/>
                <w:szCs w:val="24"/>
              </w:rPr>
              <w:tab/>
            </w:r>
          </w:p>
          <w:p w14:paraId="5C06B9A1" w14:textId="77777777" w:rsidR="00FD74AB" w:rsidRPr="00235994" w:rsidRDefault="00FD74AB" w:rsidP="00285264">
            <w:pPr>
              <w:tabs>
                <w:tab w:val="left" w:pos="2670"/>
                <w:tab w:val="left" w:pos="6750"/>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Meropenem</w:t>
            </w:r>
            <w:r w:rsidRPr="00235994">
              <w:rPr>
                <w:rFonts w:ascii="Times New Roman" w:hAnsi="Times New Roman" w:cs="Times New Roman"/>
                <w:sz w:val="24"/>
                <w:szCs w:val="24"/>
              </w:rPr>
              <w:tab/>
              <w:t xml:space="preserve">                30                           5 (62.5)</w:t>
            </w:r>
            <w:r w:rsidRPr="00235994">
              <w:rPr>
                <w:rFonts w:ascii="Times New Roman" w:hAnsi="Times New Roman" w:cs="Times New Roman"/>
                <w:sz w:val="24"/>
                <w:szCs w:val="24"/>
              </w:rPr>
              <w:tab/>
              <w:t xml:space="preserve">               3 (37.5)</w:t>
            </w:r>
          </w:p>
          <w:p w14:paraId="090C4A88" w14:textId="77777777" w:rsidR="00FD74AB" w:rsidRPr="00235994" w:rsidRDefault="00FD74AB" w:rsidP="00285264">
            <w:pPr>
              <w:tabs>
                <w:tab w:val="left" w:pos="2400"/>
                <w:tab w:val="center" w:pos="4790"/>
                <w:tab w:val="left" w:pos="7185"/>
              </w:tabs>
              <w:spacing w:line="240" w:lineRule="auto"/>
              <w:jc w:val="both"/>
              <w:rPr>
                <w:rFonts w:ascii="Times New Roman" w:hAnsi="Times New Roman" w:cs="Times New Roman"/>
                <w:sz w:val="24"/>
                <w:szCs w:val="24"/>
              </w:rPr>
            </w:pPr>
            <w:r w:rsidRPr="00235994">
              <w:rPr>
                <w:rFonts w:ascii="Times New Roman" w:hAnsi="Times New Roman" w:cs="Times New Roman"/>
                <w:sz w:val="24"/>
                <w:szCs w:val="24"/>
              </w:rPr>
              <w:t>Trimethoprim-sulfamethoxazole         30                           2 (25.0)                       6 (75.0)</w:t>
            </w:r>
          </w:p>
          <w:p w14:paraId="3793EC3E" w14:textId="77777777" w:rsidR="00FD74AB" w:rsidRPr="0011267A" w:rsidRDefault="00FD74AB" w:rsidP="00285264">
            <w:pPr>
              <w:tabs>
                <w:tab w:val="left" w:pos="2835"/>
              </w:tabs>
              <w:spacing w:line="240" w:lineRule="auto"/>
              <w:jc w:val="both"/>
              <w:rPr>
                <w:rFonts w:ascii="Times New Roman" w:hAnsi="Times New Roman" w:cs="Times New Roman"/>
                <w:sz w:val="24"/>
                <w:szCs w:val="24"/>
                <w:lang w:val="es-US"/>
              </w:rPr>
            </w:pPr>
            <w:proofErr w:type="spellStart"/>
            <w:r w:rsidRPr="0011267A">
              <w:rPr>
                <w:rFonts w:ascii="Times New Roman" w:hAnsi="Times New Roman" w:cs="Times New Roman"/>
                <w:sz w:val="24"/>
                <w:szCs w:val="24"/>
                <w:lang w:val="es-US"/>
              </w:rPr>
              <w:t>Ampicillin</w:t>
            </w:r>
            <w:proofErr w:type="spellEnd"/>
            <w:r w:rsidRPr="0011267A">
              <w:rPr>
                <w:rFonts w:ascii="Times New Roman" w:hAnsi="Times New Roman" w:cs="Times New Roman"/>
                <w:sz w:val="24"/>
                <w:szCs w:val="24"/>
                <w:lang w:val="es-US"/>
              </w:rPr>
              <w:t xml:space="preserve">                                            30</w:t>
            </w:r>
            <w:r w:rsidRPr="0011267A">
              <w:rPr>
                <w:rFonts w:ascii="Times New Roman" w:hAnsi="Times New Roman" w:cs="Times New Roman"/>
                <w:sz w:val="24"/>
                <w:szCs w:val="24"/>
                <w:lang w:val="es-US"/>
              </w:rPr>
              <w:tab/>
              <w:t xml:space="preserve">                    </w:t>
            </w:r>
            <w:proofErr w:type="gramStart"/>
            <w:r w:rsidRPr="0011267A">
              <w:rPr>
                <w:rFonts w:ascii="Times New Roman" w:hAnsi="Times New Roman" w:cs="Times New Roman"/>
                <w:sz w:val="24"/>
                <w:szCs w:val="24"/>
                <w:lang w:val="es-US"/>
              </w:rPr>
              <w:t>3  (</w:t>
            </w:r>
            <w:proofErr w:type="gramEnd"/>
            <w:r w:rsidRPr="0011267A">
              <w:rPr>
                <w:rFonts w:ascii="Times New Roman" w:hAnsi="Times New Roman" w:cs="Times New Roman"/>
                <w:sz w:val="24"/>
                <w:szCs w:val="24"/>
                <w:lang w:val="es-US"/>
              </w:rPr>
              <w:t xml:space="preserve">37.5)                      5 (62.5)              </w:t>
            </w:r>
          </w:p>
          <w:p w14:paraId="40DAE023" w14:textId="77777777" w:rsidR="00FD74AB" w:rsidRPr="0011267A" w:rsidRDefault="00FD74AB" w:rsidP="00285264">
            <w:pPr>
              <w:tabs>
                <w:tab w:val="left" w:pos="2835"/>
                <w:tab w:val="left" w:pos="6810"/>
              </w:tabs>
              <w:spacing w:line="240" w:lineRule="auto"/>
              <w:jc w:val="both"/>
              <w:rPr>
                <w:rFonts w:ascii="Times New Roman" w:hAnsi="Times New Roman" w:cs="Times New Roman"/>
                <w:sz w:val="24"/>
                <w:szCs w:val="24"/>
                <w:lang w:val="es-US"/>
              </w:rPr>
            </w:pPr>
            <w:proofErr w:type="spellStart"/>
            <w:r w:rsidRPr="0011267A">
              <w:rPr>
                <w:rFonts w:ascii="Times New Roman" w:hAnsi="Times New Roman" w:cs="Times New Roman"/>
                <w:sz w:val="24"/>
                <w:szCs w:val="24"/>
                <w:lang w:val="es-US"/>
              </w:rPr>
              <w:t>Gentamycin</w:t>
            </w:r>
            <w:proofErr w:type="spellEnd"/>
            <w:r w:rsidRPr="0011267A">
              <w:rPr>
                <w:rFonts w:ascii="Times New Roman" w:hAnsi="Times New Roman" w:cs="Times New Roman"/>
                <w:sz w:val="24"/>
                <w:szCs w:val="24"/>
                <w:lang w:val="es-US"/>
              </w:rPr>
              <w:t xml:space="preserve">                                          10                           6 (75.0)                       2 (25.0)</w:t>
            </w:r>
          </w:p>
          <w:p w14:paraId="27D581D9" w14:textId="77777777" w:rsidR="00FD74AB" w:rsidRPr="0011267A" w:rsidRDefault="00FD74AB" w:rsidP="00285264">
            <w:pPr>
              <w:tabs>
                <w:tab w:val="left" w:pos="2835"/>
                <w:tab w:val="center" w:pos="4792"/>
                <w:tab w:val="left" w:pos="6810"/>
              </w:tabs>
              <w:spacing w:line="240" w:lineRule="auto"/>
              <w:jc w:val="both"/>
              <w:rPr>
                <w:rFonts w:ascii="Times New Roman" w:hAnsi="Times New Roman" w:cs="Times New Roman"/>
                <w:sz w:val="24"/>
                <w:szCs w:val="24"/>
                <w:lang w:val="es-US"/>
              </w:rPr>
            </w:pPr>
            <w:proofErr w:type="spellStart"/>
            <w:r w:rsidRPr="0011267A">
              <w:rPr>
                <w:rFonts w:ascii="Times New Roman" w:hAnsi="Times New Roman" w:cs="Times New Roman"/>
                <w:sz w:val="24"/>
                <w:szCs w:val="24"/>
                <w:lang w:val="es-US"/>
              </w:rPr>
              <w:t>Ciprofloxacin</w:t>
            </w:r>
            <w:proofErr w:type="spellEnd"/>
            <w:r w:rsidRPr="0011267A">
              <w:rPr>
                <w:rFonts w:ascii="Times New Roman" w:hAnsi="Times New Roman" w:cs="Times New Roman"/>
                <w:sz w:val="24"/>
                <w:szCs w:val="24"/>
                <w:lang w:val="es-US"/>
              </w:rPr>
              <w:t xml:space="preserve">                                        5</w:t>
            </w:r>
            <w:r w:rsidRPr="0011267A">
              <w:rPr>
                <w:rFonts w:ascii="Times New Roman" w:hAnsi="Times New Roman" w:cs="Times New Roman"/>
                <w:sz w:val="24"/>
                <w:szCs w:val="24"/>
                <w:lang w:val="es-US"/>
              </w:rPr>
              <w:tab/>
              <w:t xml:space="preserve">                            8 (100)                         0 (0.0)</w:t>
            </w:r>
          </w:p>
          <w:p w14:paraId="44E32139" w14:textId="77777777" w:rsidR="00FD74AB" w:rsidRPr="0011267A" w:rsidRDefault="00FD74AB" w:rsidP="00285264">
            <w:pPr>
              <w:tabs>
                <w:tab w:val="left" w:pos="2835"/>
                <w:tab w:val="center" w:pos="4792"/>
                <w:tab w:val="left" w:pos="6810"/>
              </w:tabs>
              <w:spacing w:line="240" w:lineRule="auto"/>
              <w:jc w:val="both"/>
              <w:rPr>
                <w:rFonts w:ascii="Times New Roman" w:hAnsi="Times New Roman" w:cs="Times New Roman"/>
                <w:sz w:val="24"/>
                <w:szCs w:val="24"/>
                <w:lang w:val="es-US"/>
              </w:rPr>
            </w:pPr>
            <w:r w:rsidRPr="0011267A">
              <w:rPr>
                <w:rFonts w:ascii="Times New Roman" w:hAnsi="Times New Roman" w:cs="Times New Roman"/>
                <w:sz w:val="24"/>
                <w:szCs w:val="24"/>
                <w:lang w:val="es-US"/>
              </w:rPr>
              <w:t xml:space="preserve"> </w:t>
            </w:r>
            <w:proofErr w:type="spellStart"/>
            <w:r w:rsidRPr="0011267A">
              <w:rPr>
                <w:rFonts w:ascii="Times New Roman" w:hAnsi="Times New Roman" w:cs="Times New Roman"/>
                <w:sz w:val="24"/>
                <w:szCs w:val="24"/>
                <w:lang w:val="es-US"/>
              </w:rPr>
              <w:t>Nalidixic</w:t>
            </w:r>
            <w:proofErr w:type="spellEnd"/>
            <w:r w:rsidRPr="0011267A">
              <w:rPr>
                <w:rFonts w:ascii="Times New Roman" w:hAnsi="Times New Roman" w:cs="Times New Roman"/>
                <w:sz w:val="24"/>
                <w:szCs w:val="24"/>
                <w:lang w:val="es-US"/>
              </w:rPr>
              <w:t xml:space="preserve"> </w:t>
            </w:r>
            <w:proofErr w:type="spellStart"/>
            <w:r w:rsidRPr="0011267A">
              <w:rPr>
                <w:rFonts w:ascii="Times New Roman" w:hAnsi="Times New Roman" w:cs="Times New Roman"/>
                <w:sz w:val="24"/>
                <w:szCs w:val="24"/>
                <w:lang w:val="es-US"/>
              </w:rPr>
              <w:t>acid</w:t>
            </w:r>
            <w:proofErr w:type="spellEnd"/>
            <w:r w:rsidRPr="0011267A">
              <w:rPr>
                <w:rFonts w:ascii="Times New Roman" w:hAnsi="Times New Roman" w:cs="Times New Roman"/>
                <w:sz w:val="24"/>
                <w:szCs w:val="24"/>
                <w:lang w:val="es-US"/>
              </w:rPr>
              <w:t xml:space="preserve">                                       20</w:t>
            </w:r>
            <w:r w:rsidRPr="0011267A">
              <w:rPr>
                <w:rFonts w:ascii="Times New Roman" w:hAnsi="Times New Roman" w:cs="Times New Roman"/>
                <w:sz w:val="24"/>
                <w:szCs w:val="24"/>
                <w:lang w:val="es-US"/>
              </w:rPr>
              <w:tab/>
              <w:t xml:space="preserve">                          0 (0.0)                          8 (100)</w:t>
            </w:r>
          </w:p>
        </w:tc>
      </w:tr>
    </w:tbl>
    <w:p w14:paraId="01885F85" w14:textId="77777777" w:rsidR="001E0EFC" w:rsidRPr="0011267A" w:rsidRDefault="001E0EFC" w:rsidP="00C32B6D">
      <w:pPr>
        <w:autoSpaceDE w:val="0"/>
        <w:autoSpaceDN w:val="0"/>
        <w:adjustRightInd w:val="0"/>
        <w:spacing w:after="0" w:line="400" w:lineRule="atLeast"/>
        <w:rPr>
          <w:rFonts w:ascii="Times New Roman" w:hAnsi="Times New Roman" w:cs="Times New Roman"/>
          <w:sz w:val="24"/>
          <w:szCs w:val="24"/>
          <w:lang w:val="es-US"/>
        </w:rPr>
      </w:pPr>
    </w:p>
    <w:p w14:paraId="67C52E62" w14:textId="77777777" w:rsidR="001E0EFC" w:rsidRPr="0011267A" w:rsidRDefault="001E0EFC" w:rsidP="00C32B6D">
      <w:pPr>
        <w:autoSpaceDE w:val="0"/>
        <w:autoSpaceDN w:val="0"/>
        <w:adjustRightInd w:val="0"/>
        <w:spacing w:after="0" w:line="400" w:lineRule="atLeast"/>
        <w:rPr>
          <w:rFonts w:ascii="Times New Roman" w:hAnsi="Times New Roman" w:cs="Times New Roman"/>
          <w:sz w:val="24"/>
          <w:szCs w:val="24"/>
          <w:lang w:val="es-US"/>
        </w:rPr>
      </w:pPr>
    </w:p>
    <w:p w14:paraId="129140DE" w14:textId="77777777" w:rsidR="001E0EFC" w:rsidRPr="001E0EFC" w:rsidRDefault="001E0EFC" w:rsidP="00C32B6D">
      <w:pPr>
        <w:autoSpaceDE w:val="0"/>
        <w:autoSpaceDN w:val="0"/>
        <w:adjustRightInd w:val="0"/>
        <w:spacing w:after="0" w:line="400" w:lineRule="atLeast"/>
        <w:rPr>
          <w:rFonts w:ascii="Times New Roman" w:hAnsi="Times New Roman" w:cs="Times New Roman"/>
          <w:b/>
          <w:sz w:val="24"/>
          <w:szCs w:val="24"/>
        </w:rPr>
      </w:pPr>
      <w:r w:rsidRPr="001E0EFC">
        <w:rPr>
          <w:rFonts w:ascii="Times New Roman" w:hAnsi="Times New Roman" w:cs="Times New Roman"/>
          <w:b/>
          <w:sz w:val="24"/>
          <w:szCs w:val="24"/>
        </w:rPr>
        <w:t>4. Discussion</w:t>
      </w:r>
    </w:p>
    <w:p w14:paraId="69724CBA" w14:textId="77777777" w:rsidR="002231A3" w:rsidRPr="002231A3" w:rsidRDefault="002231A3" w:rsidP="002231A3">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r w:rsidRPr="002231A3">
        <w:rPr>
          <w:rFonts w:ascii="Times New Roman" w:eastAsia="Times New Roman" w:hAnsi="Times New Roman" w:cs="Times New Roman"/>
          <w:kern w:val="0"/>
          <w:sz w:val="24"/>
          <w:szCs w:val="24"/>
          <w:lang w:val="en-US"/>
          <w14:ligatures w14:val="none"/>
        </w:rPr>
        <w:t xml:space="preserve">The present study provides important insights into the epidemiology and antimicrobial susceptibility patterns of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among IDPs in North Central Nigeria. The overall prevalence of 1.9% observed in this study is relatively low compared to previous reports in Nigeria and other African settings. Similar low prevalence rates have been documented in Ethiopia and parts of West Africa, where prevalence ranged between 0.5% and 5% (Abebe </w:t>
      </w:r>
      <w:r w:rsidRPr="002231A3">
        <w:rPr>
          <w:rFonts w:ascii="Times New Roman" w:eastAsia="Times New Roman" w:hAnsi="Times New Roman" w:cs="Times New Roman"/>
          <w:i/>
          <w:kern w:val="0"/>
          <w:sz w:val="24"/>
          <w:szCs w:val="24"/>
          <w:lang w:val="en-US"/>
          <w14:ligatures w14:val="none"/>
        </w:rPr>
        <w:t>et al</w:t>
      </w:r>
      <w:r w:rsidRPr="002231A3">
        <w:rPr>
          <w:rFonts w:ascii="Times New Roman" w:eastAsia="Times New Roman" w:hAnsi="Times New Roman" w:cs="Times New Roman"/>
          <w:kern w:val="0"/>
          <w:sz w:val="24"/>
          <w:szCs w:val="24"/>
          <w:lang w:val="en-US"/>
          <w14:ligatures w14:val="none"/>
        </w:rPr>
        <w:t xml:space="preserve">., 2021; </w:t>
      </w:r>
      <w:proofErr w:type="spellStart"/>
      <w:r w:rsidRPr="002231A3">
        <w:rPr>
          <w:rFonts w:ascii="Times New Roman" w:eastAsia="Times New Roman" w:hAnsi="Times New Roman" w:cs="Times New Roman"/>
          <w:kern w:val="0"/>
          <w:sz w:val="24"/>
          <w:szCs w:val="24"/>
          <w:lang w:val="en-US"/>
          <w14:ligatures w14:val="none"/>
        </w:rPr>
        <w:t>Sodjinou</w:t>
      </w:r>
      <w:proofErr w:type="spellEnd"/>
      <w:r w:rsidRPr="002231A3">
        <w:rPr>
          <w:rFonts w:ascii="Times New Roman" w:eastAsia="Times New Roman" w:hAnsi="Times New Roman" w:cs="Times New Roman"/>
          <w:kern w:val="0"/>
          <w:sz w:val="24"/>
          <w:szCs w:val="24"/>
          <w:lang w:val="en-US"/>
          <w14:ligatures w14:val="none"/>
        </w:rPr>
        <w:t xml:space="preserve"> </w:t>
      </w:r>
      <w:r w:rsidRPr="005F1149">
        <w:rPr>
          <w:rFonts w:ascii="Times New Roman" w:eastAsia="Times New Roman" w:hAnsi="Times New Roman" w:cs="Times New Roman"/>
          <w:i/>
          <w:kern w:val="0"/>
          <w:sz w:val="24"/>
          <w:szCs w:val="24"/>
          <w:lang w:val="en-US"/>
          <w14:ligatures w14:val="none"/>
        </w:rPr>
        <w:t>et al</w:t>
      </w:r>
      <w:r w:rsidRPr="002231A3">
        <w:rPr>
          <w:rFonts w:ascii="Times New Roman" w:eastAsia="Times New Roman" w:hAnsi="Times New Roman" w:cs="Times New Roman"/>
          <w:kern w:val="0"/>
          <w:sz w:val="24"/>
          <w:szCs w:val="24"/>
          <w:lang w:val="en-US"/>
          <w14:ligatures w14:val="none"/>
        </w:rPr>
        <w:t>., 2022). This finding suggests that cholera transmission in IDP camps may be sporadic rather than endemic, possibly reflecting intermittent exposure to contaminated water sources.</w:t>
      </w:r>
    </w:p>
    <w:p w14:paraId="60F671BB"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This low prevalence suggests that cholera circulation in the camps may be sporadic, reflecting variable exposure to risk factors such as unsafe water and poor sanitation. Comparable findings have been reported in other studies where prevalence rates were generally below 5 % (Abebe </w:t>
      </w:r>
      <w:r w:rsidRPr="00235994">
        <w:rPr>
          <w:rFonts w:ascii="Times New Roman" w:hAnsi="Times New Roman" w:cs="Times New Roman"/>
          <w:i/>
          <w:iCs/>
          <w:sz w:val="24"/>
          <w:szCs w:val="24"/>
        </w:rPr>
        <w:t xml:space="preserve">et </w:t>
      </w:r>
      <w:r w:rsidRPr="00235994">
        <w:rPr>
          <w:rFonts w:ascii="Times New Roman" w:hAnsi="Times New Roman" w:cs="Times New Roman"/>
          <w:i/>
          <w:iCs/>
          <w:sz w:val="24"/>
          <w:szCs w:val="24"/>
        </w:rPr>
        <w:lastRenderedPageBreak/>
        <w:t>al</w:t>
      </w:r>
      <w:r w:rsidRPr="00235994">
        <w:rPr>
          <w:rFonts w:ascii="Times New Roman" w:hAnsi="Times New Roman" w:cs="Times New Roman"/>
          <w:sz w:val="24"/>
          <w:szCs w:val="24"/>
        </w:rPr>
        <w:t xml:space="preserve">., 2021; </w:t>
      </w:r>
      <w:proofErr w:type="spellStart"/>
      <w:r w:rsidRPr="00235994">
        <w:rPr>
          <w:rFonts w:ascii="Times New Roman" w:hAnsi="Times New Roman" w:cs="Times New Roman"/>
          <w:sz w:val="24"/>
          <w:szCs w:val="24"/>
        </w:rPr>
        <w:t>Sodjinou</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xml:space="preserve">., 2022; Elimian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xml:space="preserve">., 2019; Bulus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xml:space="preserve">., 2015; Dele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2021). These results underscore the unpredictable nature of cholera outbreaks in displaced populations.</w:t>
      </w:r>
    </w:p>
    <w:p w14:paraId="6975FDEE"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The relatively low prevalence observed in this study could be linked to ongoing public health interventions in the study area. Expanded access to clean water, improved sanitation, and vaccination campaigns may have mitigated large-scale outbreaks. Nevertheless, the detection of </w:t>
      </w:r>
      <w:r w:rsidRPr="00235994">
        <w:rPr>
          <w:rFonts w:ascii="Times New Roman" w:hAnsi="Times New Roman" w:cs="Times New Roman"/>
          <w:i/>
          <w:iCs/>
          <w:sz w:val="24"/>
          <w:szCs w:val="24"/>
        </w:rPr>
        <w:t>Vibrio cholerae</w:t>
      </w:r>
      <w:r w:rsidRPr="00235994">
        <w:rPr>
          <w:rFonts w:ascii="Times New Roman" w:hAnsi="Times New Roman" w:cs="Times New Roman"/>
          <w:sz w:val="24"/>
          <w:szCs w:val="24"/>
        </w:rPr>
        <w:t xml:space="preserve"> in IDP camps, even at a low level, is a public health concern, given that overcrowding and limited resources in such camps can quickly transform isolated cases into outbreaks.</w:t>
      </w:r>
    </w:p>
    <w:p w14:paraId="6E9B7BFC"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When compared to studies in other regions of Nigeria, the prevalence recorded here was lower than the 9 % reported in North Central Nigeria (Dan-Nwafor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2019), 6.5 % in Niger State (</w:t>
      </w:r>
      <w:proofErr w:type="spellStart"/>
      <w:r w:rsidRPr="00235994">
        <w:rPr>
          <w:rFonts w:ascii="Times New Roman" w:hAnsi="Times New Roman" w:cs="Times New Roman"/>
          <w:sz w:val="24"/>
          <w:szCs w:val="24"/>
        </w:rPr>
        <w:t>Elilin</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2024), 7.6 % nationwide (NCDC, 2024), 16 % in Zaria (Abdullahi and Ebele, 2023), and 36.4 % in Bayelsa (</w:t>
      </w:r>
      <w:proofErr w:type="spellStart"/>
      <w:r w:rsidRPr="00235994">
        <w:rPr>
          <w:rFonts w:ascii="Times New Roman" w:hAnsi="Times New Roman" w:cs="Times New Roman"/>
          <w:sz w:val="24"/>
          <w:szCs w:val="24"/>
        </w:rPr>
        <w:t>Aladese</w:t>
      </w:r>
      <w:proofErr w:type="spellEnd"/>
      <w:r w:rsidRPr="00235994">
        <w:rPr>
          <w:rFonts w:ascii="Times New Roman" w:hAnsi="Times New Roman" w:cs="Times New Roman"/>
          <w:sz w:val="24"/>
          <w:szCs w:val="24"/>
        </w:rPr>
        <w:t xml:space="preserve"> and </w:t>
      </w:r>
      <w:proofErr w:type="spellStart"/>
      <w:r w:rsidRPr="00235994">
        <w:rPr>
          <w:rFonts w:ascii="Times New Roman" w:hAnsi="Times New Roman" w:cs="Times New Roman"/>
          <w:sz w:val="24"/>
          <w:szCs w:val="24"/>
        </w:rPr>
        <w:t>Ariyo</w:t>
      </w:r>
      <w:proofErr w:type="spellEnd"/>
      <w:r w:rsidRPr="00235994">
        <w:rPr>
          <w:rFonts w:ascii="Times New Roman" w:hAnsi="Times New Roman" w:cs="Times New Roman"/>
          <w:sz w:val="24"/>
          <w:szCs w:val="24"/>
        </w:rPr>
        <w:t>, 2021). Conversely, it was higher than the 0.3 % observed in North East Nigeria (</w:t>
      </w:r>
      <w:proofErr w:type="spellStart"/>
      <w:r w:rsidRPr="00235994">
        <w:rPr>
          <w:rFonts w:ascii="Times New Roman" w:hAnsi="Times New Roman" w:cs="Times New Roman"/>
          <w:sz w:val="24"/>
          <w:szCs w:val="24"/>
        </w:rPr>
        <w:t>Fagbamila</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2023). A similar variation is reported in other African countries, where prevalence ranged from 9.2 % in Cameroon to as high as 38.5 % in Mali (</w:t>
      </w:r>
      <w:proofErr w:type="spellStart"/>
      <w:r w:rsidRPr="00235994">
        <w:rPr>
          <w:rFonts w:ascii="Times New Roman" w:hAnsi="Times New Roman" w:cs="Times New Roman"/>
          <w:sz w:val="24"/>
          <w:szCs w:val="24"/>
        </w:rPr>
        <w:t>Sodjinou</w:t>
      </w:r>
      <w:proofErr w:type="spellEnd"/>
      <w:r w:rsidRPr="00235994">
        <w:rPr>
          <w:rFonts w:ascii="Times New Roman" w:hAnsi="Times New Roman" w:cs="Times New Roman"/>
          <w:sz w:val="24"/>
          <w:szCs w:val="24"/>
        </w:rPr>
        <w:t xml:space="preserve">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xml:space="preserve">., 2022; Bitew </w:t>
      </w:r>
      <w:r w:rsidRPr="00235994">
        <w:rPr>
          <w:rFonts w:ascii="Times New Roman" w:hAnsi="Times New Roman" w:cs="Times New Roman"/>
          <w:i/>
          <w:iCs/>
          <w:sz w:val="24"/>
          <w:szCs w:val="24"/>
        </w:rPr>
        <w:t>et al</w:t>
      </w:r>
      <w:r w:rsidRPr="00235994">
        <w:rPr>
          <w:rFonts w:ascii="Times New Roman" w:hAnsi="Times New Roman" w:cs="Times New Roman"/>
          <w:sz w:val="24"/>
          <w:szCs w:val="24"/>
        </w:rPr>
        <w:t>., 2024). Such disparities may reflect contextual differences in water supply systems, sanitation infrastructure, and the timing of data collection in relation to outbreak cycles.</w:t>
      </w:r>
    </w:p>
    <w:p w14:paraId="5DF05B4C"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 xml:space="preserve">An important implication of these findings is that symptom-based diagnosis alone may be insufficient for effective cholera surveillance in IDP camps. Incorporating molecular characterization techniques provides a more accurate means of detecting </w:t>
      </w:r>
      <w:r w:rsidRPr="00235994">
        <w:rPr>
          <w:rFonts w:ascii="Times New Roman" w:hAnsi="Times New Roman" w:cs="Times New Roman"/>
          <w:i/>
          <w:iCs/>
          <w:sz w:val="24"/>
          <w:szCs w:val="24"/>
        </w:rPr>
        <w:t>Vibrio cholerae</w:t>
      </w:r>
      <w:r w:rsidRPr="00235994">
        <w:rPr>
          <w:rFonts w:ascii="Times New Roman" w:hAnsi="Times New Roman" w:cs="Times New Roman"/>
          <w:sz w:val="24"/>
          <w:szCs w:val="24"/>
        </w:rPr>
        <w:t xml:space="preserve"> and offers valuable insights into its genetic diversity. Such approaches can enhance disease monitoring and support targeted public health interventions.</w:t>
      </w:r>
    </w:p>
    <w:p w14:paraId="68EB4A0C"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lastRenderedPageBreak/>
        <w:t>IDPs relying on wells exhibited higher infection rates (25.0 %), whereas those using boreholes reported no positive cases. In contrast, waste disposal methods (χ² = 2.087, p = 0.837) and toilet type (χ² = 3.496, p = 0.321) were not significantly associated with infection. These findings emphasize the critical role of water safety in cholera transmission. Similar results were documented by Abdullahi and Ebele (2023), who identified unprotected wells and surface water as key risk factors. Although boreholes are considered safer, poor maintenance or contamination may still compromise their quality.</w:t>
      </w:r>
    </w:p>
    <w:p w14:paraId="2584AD97"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The strong association with water sources suggests that ensuring safe drinking water is paramount for cholera prevention in IDP camps. While sanitation practices remain important, the findings indicate that water interventions may yield the most immediate impact.</w:t>
      </w:r>
    </w:p>
    <w:p w14:paraId="6E043DAA" w14:textId="77777777" w:rsidR="001E0EFC" w:rsidRPr="00235994" w:rsidRDefault="001E0EFC" w:rsidP="001E0EFC">
      <w:pPr>
        <w:spacing w:after="0" w:line="480" w:lineRule="auto"/>
        <w:jc w:val="both"/>
        <w:rPr>
          <w:rFonts w:ascii="Times New Roman" w:hAnsi="Times New Roman" w:cs="Times New Roman"/>
          <w:sz w:val="24"/>
          <w:szCs w:val="24"/>
        </w:rPr>
      </w:pPr>
      <w:r w:rsidRPr="00235994">
        <w:rPr>
          <w:rFonts w:ascii="Times New Roman" w:hAnsi="Times New Roman" w:cs="Times New Roman"/>
          <w:sz w:val="24"/>
          <w:szCs w:val="24"/>
        </w:rPr>
        <w:t>The majority of IDPs reported using medicines (56.8 %) or herbs (38.2 %) to manage diarrhoea, yet these practices did not correlate with infection rates. This implies that environmental exposures, rather than individual treatment responses, drive cholera transmission in the camps. Consequently, public health interventions must prioritize structural improvements in sanitation and water provision over individual treatment choices.</w:t>
      </w:r>
    </w:p>
    <w:p w14:paraId="33BE8B5C" w14:textId="77777777" w:rsidR="001E0EFC" w:rsidRPr="00235994" w:rsidRDefault="002231A3" w:rsidP="001E0E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001E0EFC" w:rsidRPr="00235994">
        <w:rPr>
          <w:rFonts w:ascii="Times New Roman" w:hAnsi="Times New Roman" w:cs="Times New Roman"/>
          <w:sz w:val="24"/>
          <w:szCs w:val="24"/>
        </w:rPr>
        <w:t>ater treatment practices had no significant effect on cholera prevalence (χ² = 0.058, p = 0.971). Nearly all respondents (99.3 %) reported not treating their water. This finding diverges from studies such as Abdullahi and Ebele (2023), which emphasized the protective role of water treatment. In this context, however, the negligible practice of water purification and the overriding influence of poor sanitation likely obscured any potential benefits. These results indicate that isolated water treatment measures are insufficient without comprehensive WASH interventions.</w:t>
      </w:r>
    </w:p>
    <w:p w14:paraId="2FF511C7" w14:textId="77777777" w:rsidR="002231A3" w:rsidRPr="002231A3" w:rsidRDefault="002231A3" w:rsidP="002231A3">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r w:rsidRPr="002231A3">
        <w:rPr>
          <w:rFonts w:ascii="Times New Roman" w:eastAsia="Times New Roman" w:hAnsi="Times New Roman" w:cs="Times New Roman"/>
          <w:kern w:val="0"/>
          <w:sz w:val="24"/>
          <w:szCs w:val="24"/>
          <w:lang w:val="en-US"/>
          <w14:ligatures w14:val="none"/>
        </w:rPr>
        <w:t xml:space="preserve">The antimicrobial susceptibility profile revealed encouraging sensitivity to ciprofloxacin, tetracycline, and gentamicin. These findings are consistent with previous studies that identified </w:t>
      </w:r>
      <w:r w:rsidRPr="002231A3">
        <w:rPr>
          <w:rFonts w:ascii="Times New Roman" w:eastAsia="Times New Roman" w:hAnsi="Times New Roman" w:cs="Times New Roman"/>
          <w:kern w:val="0"/>
          <w:sz w:val="24"/>
          <w:szCs w:val="24"/>
          <w:lang w:val="en-US"/>
          <w14:ligatures w14:val="none"/>
        </w:rPr>
        <w:lastRenderedPageBreak/>
        <w:t xml:space="preserve">fluoroquinolones and tetracyclines as effective treatment options for cholera (Harris et al., 2012). However, the high resistance observed against nalidixic acid, cefotaxime, trimethoprim-sulfamethoxazole, and ampicillin is concerning. Similar resistance patterns have been reported globally, reflecting the growing problem of antimicrobial resistance in </w:t>
      </w:r>
      <w:r w:rsidRPr="002231A3">
        <w:rPr>
          <w:rFonts w:ascii="Times New Roman" w:eastAsia="Times New Roman" w:hAnsi="Times New Roman" w:cs="Times New Roman"/>
          <w:i/>
          <w:iCs/>
          <w:kern w:val="0"/>
          <w:sz w:val="24"/>
          <w:szCs w:val="24"/>
          <w:lang w:val="en-US"/>
          <w14:ligatures w14:val="none"/>
        </w:rPr>
        <w:t>Vibrio cholerae</w:t>
      </w:r>
      <w:r w:rsidRPr="002231A3">
        <w:rPr>
          <w:rFonts w:ascii="Times New Roman" w:eastAsia="Times New Roman" w:hAnsi="Times New Roman" w:cs="Times New Roman"/>
          <w:kern w:val="0"/>
          <w:sz w:val="24"/>
          <w:szCs w:val="24"/>
          <w:lang w:val="en-US"/>
          <w14:ligatures w14:val="none"/>
        </w:rPr>
        <w:t xml:space="preserve"> (Das et al., 2020).</w:t>
      </w:r>
    </w:p>
    <w:p w14:paraId="67B7D276" w14:textId="77777777" w:rsidR="005F1149" w:rsidRPr="003D06F6" w:rsidRDefault="005F1149" w:rsidP="005F1149">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3D06F6">
        <w:rPr>
          <w:rFonts w:ascii="Times New Roman" w:eastAsia="Times New Roman" w:hAnsi="Times New Roman" w:cs="Times New Roman"/>
          <w:b/>
          <w:bCs/>
          <w:kern w:val="0"/>
          <w:sz w:val="24"/>
          <w:szCs w:val="24"/>
          <w:lang w:val="en-US"/>
          <w14:ligatures w14:val="none"/>
        </w:rPr>
        <w:t>CONCLUSION</w:t>
      </w:r>
    </w:p>
    <w:p w14:paraId="135F1750" w14:textId="7747AF60" w:rsidR="00396727" w:rsidRPr="00396727" w:rsidRDefault="005F1149" w:rsidP="00396727">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r w:rsidRPr="005F1149">
        <w:rPr>
          <w:rFonts w:ascii="Times New Roman" w:eastAsia="Times New Roman" w:hAnsi="Times New Roman" w:cs="Times New Roman"/>
          <w:kern w:val="0"/>
          <w:sz w:val="24"/>
          <w:szCs w:val="24"/>
          <w:lang w:val="en-US"/>
          <w14:ligatures w14:val="none"/>
        </w:rPr>
        <w:t xml:space="preserve">This study demonstrated a low but significant prevalence of </w:t>
      </w:r>
      <w:r w:rsidRPr="005F1149">
        <w:rPr>
          <w:rFonts w:ascii="Times New Roman" w:eastAsia="Times New Roman" w:hAnsi="Times New Roman" w:cs="Times New Roman"/>
          <w:i/>
          <w:iCs/>
          <w:kern w:val="0"/>
          <w:sz w:val="24"/>
          <w:szCs w:val="24"/>
          <w:lang w:val="en-US"/>
          <w14:ligatures w14:val="none"/>
        </w:rPr>
        <w:t>Vibrio cholerae</w:t>
      </w:r>
      <w:r w:rsidRPr="005F1149">
        <w:rPr>
          <w:rFonts w:ascii="Times New Roman" w:eastAsia="Times New Roman" w:hAnsi="Times New Roman" w:cs="Times New Roman"/>
          <w:kern w:val="0"/>
          <w:sz w:val="24"/>
          <w:szCs w:val="24"/>
          <w:lang w:val="en-US"/>
          <w14:ligatures w14:val="none"/>
        </w:rPr>
        <w:t xml:space="preserve"> among internally displaced persons in North Central Nigeria, with water source identified as the major risk factor for infection. The findings underscore the critical role of safe drinking water in cholera prevention, particularly in vulnerable populations such as IDPs.</w:t>
      </w:r>
      <w:r>
        <w:rPr>
          <w:rFonts w:ascii="Times New Roman" w:eastAsia="Times New Roman" w:hAnsi="Times New Roman" w:cs="Times New Roman"/>
          <w:kern w:val="0"/>
          <w:sz w:val="24"/>
          <w:szCs w:val="24"/>
          <w:lang w:val="en-US"/>
          <w14:ligatures w14:val="none"/>
        </w:rPr>
        <w:t xml:space="preserve"> </w:t>
      </w:r>
      <w:r w:rsidRPr="005F1149">
        <w:rPr>
          <w:rFonts w:ascii="Times New Roman" w:eastAsia="Times New Roman" w:hAnsi="Times New Roman" w:cs="Times New Roman"/>
          <w:kern w:val="0"/>
          <w:sz w:val="24"/>
          <w:szCs w:val="24"/>
          <w:lang w:val="en-US"/>
          <w14:ligatures w14:val="none"/>
        </w:rPr>
        <w:t>The antimicrobial susceptibility profile revealed high effectiveness of ciprofloxacin, tetracycline, and gentamicin, alongside alarming resistance to several commonly used antibiotics. This highlights the urgent need for routine antimicrobial surveillance and rational antibiotic use.</w:t>
      </w:r>
      <w:r>
        <w:rPr>
          <w:rFonts w:ascii="Times New Roman" w:eastAsia="Times New Roman" w:hAnsi="Times New Roman" w:cs="Times New Roman"/>
          <w:kern w:val="0"/>
          <w:sz w:val="24"/>
          <w:szCs w:val="24"/>
          <w:lang w:val="en-US"/>
          <w14:ligatures w14:val="none"/>
        </w:rPr>
        <w:t xml:space="preserve"> </w:t>
      </w:r>
      <w:r w:rsidRPr="005F1149">
        <w:rPr>
          <w:rFonts w:ascii="Times New Roman" w:eastAsia="Times New Roman" w:hAnsi="Times New Roman" w:cs="Times New Roman"/>
          <w:kern w:val="0"/>
          <w:sz w:val="24"/>
          <w:szCs w:val="24"/>
          <w:lang w:val="en-US"/>
          <w14:ligatures w14:val="none"/>
        </w:rPr>
        <w:t>Overall, strengthening WASH interventions, improving access to safe water, and implementing continuous disease surveillance are essential strategies for preventing cholera outbreaks in IDP camps. Public health policies should prioritize integrated approaches that combine environmental management, health education, and antimicrobial stewardship to effectively control cholera transmission.</w:t>
      </w:r>
    </w:p>
    <w:p w14:paraId="3B228268" w14:textId="494C68D9" w:rsidR="00396727" w:rsidRPr="00396727" w:rsidRDefault="00396727" w:rsidP="00396727">
      <w:pPr>
        <w:spacing w:before="100" w:beforeAutospacing="1" w:after="100" w:afterAutospacing="1" w:line="480" w:lineRule="auto"/>
        <w:jc w:val="both"/>
        <w:rPr>
          <w:rFonts w:ascii="Times New Roman" w:eastAsia="Times New Roman" w:hAnsi="Times New Roman" w:cs="Times New Roman"/>
          <w:b/>
          <w:kern w:val="0"/>
          <w:sz w:val="24"/>
          <w:szCs w:val="24"/>
          <w:lang w:val="en-US"/>
          <w14:ligatures w14:val="none"/>
        </w:rPr>
      </w:pPr>
      <w:r w:rsidRPr="00396727">
        <w:rPr>
          <w:rFonts w:ascii="Times New Roman" w:eastAsia="Times New Roman" w:hAnsi="Times New Roman" w:cs="Times New Roman"/>
          <w:b/>
          <w:kern w:val="0"/>
          <w:sz w:val="24"/>
          <w:szCs w:val="24"/>
          <w:lang w:val="en-US"/>
          <w14:ligatures w14:val="none"/>
        </w:rPr>
        <w:t xml:space="preserve">Ethical </w:t>
      </w:r>
      <w:r w:rsidRPr="00396727">
        <w:rPr>
          <w:rFonts w:ascii="Times New Roman" w:eastAsia="Times New Roman" w:hAnsi="Times New Roman" w:cs="Times New Roman"/>
          <w:b/>
          <w:kern w:val="0"/>
          <w:sz w:val="24"/>
          <w:szCs w:val="24"/>
          <w:lang w:val="en-US"/>
          <w14:ligatures w14:val="none"/>
        </w:rPr>
        <w:t xml:space="preserve">Approval: </w:t>
      </w:r>
    </w:p>
    <w:p w14:paraId="1DEADA10" w14:textId="141FF448" w:rsidR="00396727" w:rsidRDefault="00396727" w:rsidP="00396727">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r w:rsidRPr="00396727">
        <w:rPr>
          <w:rFonts w:ascii="Times New Roman" w:eastAsia="Times New Roman" w:hAnsi="Times New Roman" w:cs="Times New Roman"/>
          <w:kern w:val="0"/>
          <w:sz w:val="24"/>
          <w:szCs w:val="24"/>
          <w:lang w:val="en-US"/>
          <w14:ligatures w14:val="none"/>
        </w:rPr>
        <w:t>Ethical approval for the study was obtained from the ethics committees of the respective State Emergency Management Agencies prior to the commencement of fieldwork.</w:t>
      </w:r>
    </w:p>
    <w:p w14:paraId="793F2B93" w14:textId="77777777" w:rsidR="00396727" w:rsidRPr="00396727" w:rsidRDefault="00396727" w:rsidP="00396727">
      <w:pPr>
        <w:spacing w:before="100" w:beforeAutospacing="1" w:after="100" w:afterAutospacing="1" w:line="480" w:lineRule="auto"/>
        <w:jc w:val="both"/>
        <w:rPr>
          <w:rFonts w:ascii="Times New Roman" w:eastAsia="Times New Roman" w:hAnsi="Times New Roman" w:cs="Times New Roman"/>
          <w:b/>
          <w:kern w:val="0"/>
          <w:sz w:val="24"/>
          <w:szCs w:val="24"/>
          <w:lang w:val="en-US"/>
          <w14:ligatures w14:val="none"/>
        </w:rPr>
      </w:pPr>
      <w:r w:rsidRPr="00396727">
        <w:rPr>
          <w:rFonts w:ascii="Times New Roman" w:eastAsia="Times New Roman" w:hAnsi="Times New Roman" w:cs="Times New Roman"/>
          <w:b/>
          <w:kern w:val="0"/>
          <w:sz w:val="24"/>
          <w:szCs w:val="24"/>
          <w:lang w:val="en-US"/>
          <w14:ligatures w14:val="none"/>
        </w:rPr>
        <w:t xml:space="preserve">Consent </w:t>
      </w:r>
    </w:p>
    <w:p w14:paraId="14A78F05" w14:textId="077794DA" w:rsidR="00396727" w:rsidRDefault="00396727" w:rsidP="00396727">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r w:rsidRPr="00396727">
        <w:rPr>
          <w:rFonts w:ascii="Times New Roman" w:eastAsia="Times New Roman" w:hAnsi="Times New Roman" w:cs="Times New Roman"/>
          <w:kern w:val="0"/>
          <w:sz w:val="24"/>
          <w:szCs w:val="24"/>
          <w:lang w:val="en-US"/>
          <w14:ligatures w14:val="none"/>
        </w:rPr>
        <w:lastRenderedPageBreak/>
        <w:t>As per international standards or university standards, Participants’ written consent has been collected and preserved by the author(s).</w:t>
      </w:r>
    </w:p>
    <w:p w14:paraId="07A3EBF1" w14:textId="77777777" w:rsidR="00396727" w:rsidRDefault="00396727" w:rsidP="00B60A81">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eastAsia="en-IN"/>
          <w14:ligatures w14:val="none"/>
        </w:rPr>
      </w:pPr>
      <w:bookmarkStart w:id="0" w:name="_Hlk218867759"/>
    </w:p>
    <w:p w14:paraId="162195C6" w14:textId="77777777" w:rsidR="00396727" w:rsidRDefault="00396727" w:rsidP="00B60A81">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eastAsia="en-IN"/>
          <w14:ligatures w14:val="none"/>
        </w:rPr>
      </w:pPr>
    </w:p>
    <w:p w14:paraId="09D71ED8" w14:textId="369F3E30" w:rsidR="00B60A81" w:rsidRPr="00396727" w:rsidRDefault="00B60A81" w:rsidP="00B60A81">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eastAsia="en-IN"/>
          <w14:ligatures w14:val="none"/>
        </w:rPr>
      </w:pPr>
      <w:r w:rsidRPr="00396727">
        <w:rPr>
          <w:rFonts w:ascii="Times New Roman" w:eastAsia="Times New Roman" w:hAnsi="Times New Roman" w:cs="Times New Roman"/>
          <w:b/>
          <w:bCs/>
          <w:kern w:val="0"/>
          <w:sz w:val="24"/>
          <w:szCs w:val="24"/>
          <w:highlight w:val="yellow"/>
          <w:lang w:eastAsia="en-IN"/>
          <w14:ligatures w14:val="none"/>
        </w:rPr>
        <w:t>Disclaimer (Artificial intelligence)</w:t>
      </w:r>
    </w:p>
    <w:p w14:paraId="1CC6FBFE" w14:textId="77777777" w:rsidR="00B60A81" w:rsidRPr="00B60A81" w:rsidRDefault="00B60A81" w:rsidP="00B60A81">
      <w:pPr>
        <w:keepNext/>
        <w:keepLines/>
        <w:spacing w:before="120" w:after="120" w:line="360" w:lineRule="auto"/>
        <w:jc w:val="both"/>
        <w:outlineLvl w:val="1"/>
        <w:rPr>
          <w:rFonts w:ascii="Times New Roman" w:eastAsia="Times New Roman" w:hAnsi="Times New Roman" w:cs="Times New Roman"/>
          <w:bCs/>
          <w:kern w:val="0"/>
          <w:sz w:val="24"/>
          <w:szCs w:val="24"/>
          <w:lang w:eastAsia="en-IN"/>
          <w14:ligatures w14:val="none"/>
        </w:rPr>
      </w:pPr>
      <w:r w:rsidRPr="00B60A81">
        <w:rPr>
          <w:rFonts w:ascii="Times New Roman" w:eastAsia="Times New Roman" w:hAnsi="Times New Roman" w:cs="Times New Roman"/>
          <w:bCs/>
          <w:kern w:val="0"/>
          <w:sz w:val="24"/>
          <w:szCs w:val="24"/>
          <w:highlight w:val="yellow"/>
          <w:lang w:eastAsia="en-IN"/>
          <w14:ligatures w14:val="none"/>
        </w:rPr>
        <w:t>Author(s) hereby declare that NO generative AI technologies such as Large Language Models (ChatGPT, COPILOT, etc.) and text-to-image generators have been used during the writing or editing of this manuscript.</w:t>
      </w:r>
      <w:r w:rsidRPr="00B60A81">
        <w:rPr>
          <w:rFonts w:ascii="Times New Roman" w:eastAsia="Times New Roman" w:hAnsi="Times New Roman" w:cs="Times New Roman"/>
          <w:bCs/>
          <w:kern w:val="0"/>
          <w:sz w:val="24"/>
          <w:szCs w:val="24"/>
          <w:lang w:eastAsia="en-IN"/>
          <w14:ligatures w14:val="none"/>
        </w:rPr>
        <w:t xml:space="preserve"> </w:t>
      </w:r>
    </w:p>
    <w:bookmarkEnd w:id="0"/>
    <w:p w14:paraId="6D670401" w14:textId="77777777" w:rsidR="00B60A81" w:rsidRPr="003D06F6" w:rsidRDefault="00B60A81" w:rsidP="003D06F6">
      <w:pPr>
        <w:spacing w:before="100" w:beforeAutospacing="1" w:after="100" w:afterAutospacing="1" w:line="480" w:lineRule="auto"/>
        <w:jc w:val="both"/>
        <w:rPr>
          <w:rFonts w:ascii="Times New Roman" w:eastAsia="Times New Roman" w:hAnsi="Times New Roman" w:cs="Times New Roman"/>
          <w:kern w:val="0"/>
          <w:sz w:val="24"/>
          <w:szCs w:val="24"/>
          <w:lang w:val="en-US"/>
          <w14:ligatures w14:val="none"/>
        </w:rPr>
      </w:pPr>
    </w:p>
    <w:p w14:paraId="545F524D" w14:textId="77777777" w:rsidR="003D06F6" w:rsidRPr="0011267A" w:rsidRDefault="003D06F6" w:rsidP="003D06F6">
      <w:pPr>
        <w:spacing w:before="100" w:beforeAutospacing="1" w:after="100" w:afterAutospacing="1" w:line="240" w:lineRule="auto"/>
        <w:outlineLvl w:val="1"/>
        <w:rPr>
          <w:rFonts w:ascii="Times New Roman" w:eastAsia="Times New Roman" w:hAnsi="Times New Roman" w:cs="Times New Roman"/>
          <w:b/>
          <w:bCs/>
          <w:kern w:val="0"/>
          <w:sz w:val="24"/>
          <w:szCs w:val="24"/>
          <w:lang w:val="es-US"/>
          <w14:ligatures w14:val="none"/>
        </w:rPr>
      </w:pPr>
      <w:r w:rsidRPr="0011267A">
        <w:rPr>
          <w:rFonts w:ascii="Times New Roman" w:eastAsia="Times New Roman" w:hAnsi="Times New Roman" w:cs="Times New Roman"/>
          <w:b/>
          <w:bCs/>
          <w:kern w:val="0"/>
          <w:sz w:val="24"/>
          <w:szCs w:val="24"/>
          <w:lang w:val="es-US"/>
          <w14:ligatures w14:val="none"/>
        </w:rPr>
        <w:t>REFERENCES</w:t>
      </w:r>
    </w:p>
    <w:p w14:paraId="67E52737"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bookmarkStart w:id="1" w:name="_GoBack"/>
      <w:r w:rsidRPr="00396727">
        <w:rPr>
          <w:rFonts w:ascii="Times New Roman" w:eastAsia="Times New Roman" w:hAnsi="Times New Roman" w:cs="Times New Roman"/>
          <w:sz w:val="24"/>
          <w:szCs w:val="24"/>
          <w:lang w:val="es-US"/>
        </w:rPr>
        <w:t xml:space="preserve">Abdullahi, M., &amp; </w:t>
      </w:r>
      <w:proofErr w:type="spellStart"/>
      <w:r w:rsidRPr="00396727">
        <w:rPr>
          <w:rFonts w:ascii="Times New Roman" w:eastAsia="Times New Roman" w:hAnsi="Times New Roman" w:cs="Times New Roman"/>
          <w:sz w:val="24"/>
          <w:szCs w:val="24"/>
          <w:lang w:val="es-US"/>
        </w:rPr>
        <w:t>Ebele</w:t>
      </w:r>
      <w:proofErr w:type="spellEnd"/>
      <w:r w:rsidRPr="00396727">
        <w:rPr>
          <w:rFonts w:ascii="Times New Roman" w:eastAsia="Times New Roman" w:hAnsi="Times New Roman" w:cs="Times New Roman"/>
          <w:sz w:val="24"/>
          <w:szCs w:val="24"/>
          <w:lang w:val="es-US"/>
        </w:rPr>
        <w:t xml:space="preserve">, U. (2023). </w:t>
      </w:r>
      <w:r w:rsidRPr="00396727">
        <w:rPr>
          <w:rFonts w:ascii="Times New Roman" w:eastAsia="Times New Roman" w:hAnsi="Times New Roman" w:cs="Times New Roman"/>
          <w:sz w:val="24"/>
          <w:szCs w:val="24"/>
          <w:lang w:val="en-US"/>
        </w:rPr>
        <w:t xml:space="preserve">Prevalence and risk factors associated with cholera outbreaks in Northern Nigeria. </w:t>
      </w:r>
      <w:r w:rsidRPr="00396727">
        <w:rPr>
          <w:rFonts w:ascii="Times New Roman" w:eastAsia="Times New Roman" w:hAnsi="Times New Roman" w:cs="Times New Roman"/>
          <w:i/>
          <w:iCs/>
          <w:sz w:val="24"/>
          <w:szCs w:val="24"/>
          <w:lang w:val="en-US"/>
        </w:rPr>
        <w:t>Journal of Infectious Diseases and Public Health</w:t>
      </w:r>
      <w:r w:rsidRPr="00396727">
        <w:rPr>
          <w:rFonts w:ascii="Times New Roman" w:eastAsia="Times New Roman" w:hAnsi="Times New Roman" w:cs="Times New Roman"/>
          <w:sz w:val="24"/>
          <w:szCs w:val="24"/>
          <w:lang w:val="en-US"/>
        </w:rPr>
        <w:t>, 16(2), 145–152.</w:t>
      </w:r>
    </w:p>
    <w:p w14:paraId="5D1E619D"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Abebe, A., Tadesse, B., &amp; Endris, M. (2021). Prevalence and antimicrobial susceptibility patterns of </w:t>
      </w:r>
      <w:r w:rsidRPr="00396727">
        <w:rPr>
          <w:rFonts w:ascii="Times New Roman" w:eastAsia="Times New Roman" w:hAnsi="Times New Roman" w:cs="Times New Roman"/>
          <w:i/>
          <w:iCs/>
          <w:sz w:val="24"/>
          <w:szCs w:val="24"/>
          <w:lang w:val="en-US"/>
        </w:rPr>
        <w:t>Vibrio cholerae</w:t>
      </w:r>
      <w:r w:rsidRPr="00396727">
        <w:rPr>
          <w:rFonts w:ascii="Times New Roman" w:eastAsia="Times New Roman" w:hAnsi="Times New Roman" w:cs="Times New Roman"/>
          <w:sz w:val="24"/>
          <w:szCs w:val="24"/>
          <w:lang w:val="en-US"/>
        </w:rPr>
        <w:t xml:space="preserve"> in Ethiopia: A cross-sectional study. </w:t>
      </w:r>
      <w:r w:rsidRPr="00396727">
        <w:rPr>
          <w:rFonts w:ascii="Times New Roman" w:eastAsia="Times New Roman" w:hAnsi="Times New Roman" w:cs="Times New Roman"/>
          <w:i/>
          <w:iCs/>
          <w:sz w:val="24"/>
          <w:szCs w:val="24"/>
          <w:lang w:val="en-US"/>
        </w:rPr>
        <w:t>BMC Infectious Diseases</w:t>
      </w:r>
      <w:r w:rsidRPr="00396727">
        <w:rPr>
          <w:rFonts w:ascii="Times New Roman" w:eastAsia="Times New Roman" w:hAnsi="Times New Roman" w:cs="Times New Roman"/>
          <w:sz w:val="24"/>
          <w:szCs w:val="24"/>
          <w:lang w:val="en-US"/>
        </w:rPr>
        <w:t>, 21(1), 456. https://doi.org/10.1186/s12879-021-06045-7</w:t>
      </w:r>
    </w:p>
    <w:p w14:paraId="7193AECE"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96727">
        <w:rPr>
          <w:rFonts w:ascii="Times New Roman" w:eastAsia="Times New Roman" w:hAnsi="Times New Roman" w:cs="Times New Roman"/>
          <w:sz w:val="24"/>
          <w:szCs w:val="24"/>
          <w:lang w:val="en-US"/>
        </w:rPr>
        <w:t>Aladese</w:t>
      </w:r>
      <w:proofErr w:type="spellEnd"/>
      <w:r w:rsidRPr="00396727">
        <w:rPr>
          <w:rFonts w:ascii="Times New Roman" w:eastAsia="Times New Roman" w:hAnsi="Times New Roman" w:cs="Times New Roman"/>
          <w:sz w:val="24"/>
          <w:szCs w:val="24"/>
          <w:lang w:val="en-US"/>
        </w:rPr>
        <w:t xml:space="preserve">, A. O., &amp; Ariyo, O. A. (2021). Prevalence and antimicrobial susceptibility pattern of </w:t>
      </w:r>
      <w:r w:rsidRPr="00396727">
        <w:rPr>
          <w:rFonts w:ascii="Times New Roman" w:eastAsia="Times New Roman" w:hAnsi="Times New Roman" w:cs="Times New Roman"/>
          <w:i/>
          <w:iCs/>
          <w:sz w:val="24"/>
          <w:szCs w:val="24"/>
          <w:lang w:val="en-US"/>
        </w:rPr>
        <w:t>Vibrio cholerae</w:t>
      </w:r>
      <w:r w:rsidRPr="00396727">
        <w:rPr>
          <w:rFonts w:ascii="Times New Roman" w:eastAsia="Times New Roman" w:hAnsi="Times New Roman" w:cs="Times New Roman"/>
          <w:sz w:val="24"/>
          <w:szCs w:val="24"/>
          <w:lang w:val="en-US"/>
        </w:rPr>
        <w:t xml:space="preserve"> in Bayelsa State, Nigeria. </w:t>
      </w:r>
      <w:r w:rsidRPr="00396727">
        <w:rPr>
          <w:rFonts w:ascii="Times New Roman" w:eastAsia="Times New Roman" w:hAnsi="Times New Roman" w:cs="Times New Roman"/>
          <w:i/>
          <w:iCs/>
          <w:sz w:val="24"/>
          <w:szCs w:val="24"/>
          <w:lang w:val="en-US"/>
        </w:rPr>
        <w:t>African Journal of Clinical and Experimental Microbiology</w:t>
      </w:r>
      <w:r w:rsidRPr="00396727">
        <w:rPr>
          <w:rFonts w:ascii="Times New Roman" w:eastAsia="Times New Roman" w:hAnsi="Times New Roman" w:cs="Times New Roman"/>
          <w:sz w:val="24"/>
          <w:szCs w:val="24"/>
          <w:lang w:val="en-US"/>
        </w:rPr>
        <w:t>, 22(3), 321–329.</w:t>
      </w:r>
    </w:p>
    <w:p w14:paraId="49A60ED2"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Anwar, M., Rahman, M., &amp; Hossain, M. (2012). Isolation and identification of </w:t>
      </w:r>
      <w:r w:rsidRPr="00396727">
        <w:rPr>
          <w:rFonts w:ascii="Times New Roman" w:eastAsia="Times New Roman" w:hAnsi="Times New Roman" w:cs="Times New Roman"/>
          <w:i/>
          <w:iCs/>
          <w:sz w:val="24"/>
          <w:szCs w:val="24"/>
          <w:lang w:val="en-US"/>
        </w:rPr>
        <w:t>Vibrio cholerae</w:t>
      </w:r>
      <w:r w:rsidRPr="00396727">
        <w:rPr>
          <w:rFonts w:ascii="Times New Roman" w:eastAsia="Times New Roman" w:hAnsi="Times New Roman" w:cs="Times New Roman"/>
          <w:sz w:val="24"/>
          <w:szCs w:val="24"/>
          <w:lang w:val="en-US"/>
        </w:rPr>
        <w:t xml:space="preserve"> from environmental samples. </w:t>
      </w:r>
      <w:r w:rsidRPr="00396727">
        <w:rPr>
          <w:rFonts w:ascii="Times New Roman" w:eastAsia="Times New Roman" w:hAnsi="Times New Roman" w:cs="Times New Roman"/>
          <w:i/>
          <w:iCs/>
          <w:sz w:val="24"/>
          <w:szCs w:val="24"/>
          <w:lang w:val="en-US"/>
        </w:rPr>
        <w:t>Journal of Microbiological Methods</w:t>
      </w:r>
      <w:r w:rsidRPr="00396727">
        <w:rPr>
          <w:rFonts w:ascii="Times New Roman" w:eastAsia="Times New Roman" w:hAnsi="Times New Roman" w:cs="Times New Roman"/>
          <w:sz w:val="24"/>
          <w:szCs w:val="24"/>
          <w:lang w:val="en-US"/>
        </w:rPr>
        <w:t>, 90(3), 268–272.</w:t>
      </w:r>
    </w:p>
    <w:p w14:paraId="02935D0B"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Bitew, A., Tesfaye, E., &amp; Alemu, Y. (2024). Cholera epidemiology and outbreak patterns in sub-Saharan Africa: A systematic review. </w:t>
      </w:r>
      <w:r w:rsidRPr="00396727">
        <w:rPr>
          <w:rFonts w:ascii="Times New Roman" w:eastAsia="Times New Roman" w:hAnsi="Times New Roman" w:cs="Times New Roman"/>
          <w:i/>
          <w:iCs/>
          <w:sz w:val="24"/>
          <w:szCs w:val="24"/>
          <w:lang w:val="en-US"/>
        </w:rPr>
        <w:t>Infectious Disease Reports</w:t>
      </w:r>
      <w:r w:rsidRPr="00396727">
        <w:rPr>
          <w:rFonts w:ascii="Times New Roman" w:eastAsia="Times New Roman" w:hAnsi="Times New Roman" w:cs="Times New Roman"/>
          <w:sz w:val="24"/>
          <w:szCs w:val="24"/>
          <w:lang w:val="en-US"/>
        </w:rPr>
        <w:t>, 16(1), 55–67.</w:t>
      </w:r>
    </w:p>
    <w:p w14:paraId="6A651ECC"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Bulus, T., Yusuf, I., &amp; Ahmed, A. (2015). Cholera outbreaks in Nigeria: An overview of epidemiological trends. </w:t>
      </w:r>
      <w:r w:rsidRPr="00396727">
        <w:rPr>
          <w:rFonts w:ascii="Times New Roman" w:eastAsia="Times New Roman" w:hAnsi="Times New Roman" w:cs="Times New Roman"/>
          <w:i/>
          <w:iCs/>
          <w:sz w:val="24"/>
          <w:szCs w:val="24"/>
          <w:lang w:val="en-US"/>
        </w:rPr>
        <w:t>Nigerian Journal of Medicine</w:t>
      </w:r>
      <w:r w:rsidRPr="00396727">
        <w:rPr>
          <w:rFonts w:ascii="Times New Roman" w:eastAsia="Times New Roman" w:hAnsi="Times New Roman" w:cs="Times New Roman"/>
          <w:sz w:val="24"/>
          <w:szCs w:val="24"/>
          <w:lang w:val="en-US"/>
        </w:rPr>
        <w:t>, 24(4), 305–312.</w:t>
      </w:r>
    </w:p>
    <w:p w14:paraId="445B73F8"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Cheesbrough, M. (2006). </w:t>
      </w:r>
      <w:r w:rsidRPr="00396727">
        <w:rPr>
          <w:rFonts w:ascii="Times New Roman" w:eastAsia="Times New Roman" w:hAnsi="Times New Roman" w:cs="Times New Roman"/>
          <w:i/>
          <w:iCs/>
          <w:sz w:val="24"/>
          <w:szCs w:val="24"/>
          <w:lang w:val="en-US"/>
        </w:rPr>
        <w:t>District laboratory practice in tropical countries</w:t>
      </w:r>
      <w:r w:rsidRPr="00396727">
        <w:rPr>
          <w:rFonts w:ascii="Times New Roman" w:eastAsia="Times New Roman" w:hAnsi="Times New Roman" w:cs="Times New Roman"/>
          <w:sz w:val="24"/>
          <w:szCs w:val="24"/>
          <w:lang w:val="en-US"/>
        </w:rPr>
        <w:t xml:space="preserve"> (2nd ed.). Cambridge University Press.</w:t>
      </w:r>
    </w:p>
    <w:p w14:paraId="037CC53E"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s-US"/>
        </w:rPr>
      </w:pPr>
      <w:r w:rsidRPr="00396727">
        <w:rPr>
          <w:rFonts w:ascii="Times New Roman" w:eastAsia="Times New Roman" w:hAnsi="Times New Roman" w:cs="Times New Roman"/>
          <w:sz w:val="24"/>
          <w:szCs w:val="24"/>
          <w:lang w:val="en-US"/>
        </w:rPr>
        <w:t xml:space="preserve">Clinical and Laboratory Standards Institute (CLSI). (2022). </w:t>
      </w:r>
      <w:r w:rsidRPr="00396727">
        <w:rPr>
          <w:rFonts w:ascii="Times New Roman" w:eastAsia="Times New Roman" w:hAnsi="Times New Roman" w:cs="Times New Roman"/>
          <w:i/>
          <w:iCs/>
          <w:sz w:val="24"/>
          <w:szCs w:val="24"/>
          <w:lang w:val="en-US"/>
        </w:rPr>
        <w:t>Performance standards for antimicrobial susceptibility testing</w:t>
      </w:r>
      <w:r w:rsidRPr="00396727">
        <w:rPr>
          <w:rFonts w:ascii="Times New Roman" w:eastAsia="Times New Roman" w:hAnsi="Times New Roman" w:cs="Times New Roman"/>
          <w:sz w:val="24"/>
          <w:szCs w:val="24"/>
          <w:lang w:val="en-US"/>
        </w:rPr>
        <w:t xml:space="preserve"> (32nd ed.). </w:t>
      </w:r>
      <w:r w:rsidRPr="00396727">
        <w:rPr>
          <w:rFonts w:ascii="Times New Roman" w:eastAsia="Times New Roman" w:hAnsi="Times New Roman" w:cs="Times New Roman"/>
          <w:sz w:val="24"/>
          <w:szCs w:val="24"/>
          <w:lang w:val="es-US"/>
        </w:rPr>
        <w:t xml:space="preserve">CLSI </w:t>
      </w:r>
      <w:proofErr w:type="spellStart"/>
      <w:r w:rsidRPr="00396727">
        <w:rPr>
          <w:rFonts w:ascii="Times New Roman" w:eastAsia="Times New Roman" w:hAnsi="Times New Roman" w:cs="Times New Roman"/>
          <w:sz w:val="24"/>
          <w:szCs w:val="24"/>
          <w:lang w:val="es-US"/>
        </w:rPr>
        <w:t>supplement</w:t>
      </w:r>
      <w:proofErr w:type="spellEnd"/>
      <w:r w:rsidRPr="00396727">
        <w:rPr>
          <w:rFonts w:ascii="Times New Roman" w:eastAsia="Times New Roman" w:hAnsi="Times New Roman" w:cs="Times New Roman"/>
          <w:sz w:val="24"/>
          <w:szCs w:val="24"/>
          <w:lang w:val="es-US"/>
        </w:rPr>
        <w:t xml:space="preserve"> M100. CLSI.</w:t>
      </w:r>
    </w:p>
    <w:p w14:paraId="64A78E53"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s-US"/>
        </w:rPr>
        <w:t xml:space="preserve">Dan-Nwafor, C. C., Ogbonna, U., </w:t>
      </w:r>
      <w:proofErr w:type="spellStart"/>
      <w:r w:rsidRPr="00396727">
        <w:rPr>
          <w:rFonts w:ascii="Times New Roman" w:eastAsia="Times New Roman" w:hAnsi="Times New Roman" w:cs="Times New Roman"/>
          <w:sz w:val="24"/>
          <w:szCs w:val="24"/>
          <w:lang w:val="es-US"/>
        </w:rPr>
        <w:t>Onyiah</w:t>
      </w:r>
      <w:proofErr w:type="spellEnd"/>
      <w:r w:rsidRPr="00396727">
        <w:rPr>
          <w:rFonts w:ascii="Times New Roman" w:eastAsia="Times New Roman" w:hAnsi="Times New Roman" w:cs="Times New Roman"/>
          <w:sz w:val="24"/>
          <w:szCs w:val="24"/>
          <w:lang w:val="es-US"/>
        </w:rPr>
        <w:t xml:space="preserve">, P., </w:t>
      </w:r>
      <w:proofErr w:type="spellStart"/>
      <w:r w:rsidRPr="00396727">
        <w:rPr>
          <w:rFonts w:ascii="Times New Roman" w:eastAsia="Times New Roman" w:hAnsi="Times New Roman" w:cs="Times New Roman"/>
          <w:sz w:val="24"/>
          <w:szCs w:val="24"/>
          <w:lang w:val="es-US"/>
        </w:rPr>
        <w:t>Gidado</w:t>
      </w:r>
      <w:proofErr w:type="spellEnd"/>
      <w:r w:rsidRPr="00396727">
        <w:rPr>
          <w:rFonts w:ascii="Times New Roman" w:eastAsia="Times New Roman" w:hAnsi="Times New Roman" w:cs="Times New Roman"/>
          <w:sz w:val="24"/>
          <w:szCs w:val="24"/>
          <w:lang w:val="es-US"/>
        </w:rPr>
        <w:t xml:space="preserve">, S., </w:t>
      </w:r>
      <w:proofErr w:type="spellStart"/>
      <w:r w:rsidRPr="00396727">
        <w:rPr>
          <w:rFonts w:ascii="Times New Roman" w:eastAsia="Times New Roman" w:hAnsi="Times New Roman" w:cs="Times New Roman"/>
          <w:sz w:val="24"/>
          <w:szCs w:val="24"/>
          <w:lang w:val="es-US"/>
        </w:rPr>
        <w:t>Adebobola</w:t>
      </w:r>
      <w:proofErr w:type="spellEnd"/>
      <w:r w:rsidRPr="00396727">
        <w:rPr>
          <w:rFonts w:ascii="Times New Roman" w:eastAsia="Times New Roman" w:hAnsi="Times New Roman" w:cs="Times New Roman"/>
          <w:sz w:val="24"/>
          <w:szCs w:val="24"/>
          <w:lang w:val="es-US"/>
        </w:rPr>
        <w:t xml:space="preserve">, B., &amp; </w:t>
      </w:r>
      <w:proofErr w:type="spellStart"/>
      <w:r w:rsidRPr="00396727">
        <w:rPr>
          <w:rFonts w:ascii="Times New Roman" w:eastAsia="Times New Roman" w:hAnsi="Times New Roman" w:cs="Times New Roman"/>
          <w:sz w:val="24"/>
          <w:szCs w:val="24"/>
          <w:lang w:val="es-US"/>
        </w:rPr>
        <w:t>Nguku</w:t>
      </w:r>
      <w:proofErr w:type="spellEnd"/>
      <w:r w:rsidRPr="00396727">
        <w:rPr>
          <w:rFonts w:ascii="Times New Roman" w:eastAsia="Times New Roman" w:hAnsi="Times New Roman" w:cs="Times New Roman"/>
          <w:sz w:val="24"/>
          <w:szCs w:val="24"/>
          <w:lang w:val="es-US"/>
        </w:rPr>
        <w:t xml:space="preserve">, P. (2019). </w:t>
      </w:r>
      <w:r w:rsidRPr="00396727">
        <w:rPr>
          <w:rFonts w:ascii="Times New Roman" w:eastAsia="Times New Roman" w:hAnsi="Times New Roman" w:cs="Times New Roman"/>
          <w:sz w:val="24"/>
          <w:szCs w:val="24"/>
          <w:lang w:val="en-US"/>
        </w:rPr>
        <w:t xml:space="preserve">A cholera outbreak in a rural community in Northern Nigeria. </w:t>
      </w:r>
      <w:r w:rsidRPr="00396727">
        <w:rPr>
          <w:rFonts w:ascii="Times New Roman" w:eastAsia="Times New Roman" w:hAnsi="Times New Roman" w:cs="Times New Roman"/>
          <w:i/>
          <w:iCs/>
          <w:sz w:val="24"/>
          <w:szCs w:val="24"/>
          <w:lang w:val="en-US"/>
        </w:rPr>
        <w:t>Pan African Medical Journal</w:t>
      </w:r>
      <w:r w:rsidRPr="00396727">
        <w:rPr>
          <w:rFonts w:ascii="Times New Roman" w:eastAsia="Times New Roman" w:hAnsi="Times New Roman" w:cs="Times New Roman"/>
          <w:sz w:val="24"/>
          <w:szCs w:val="24"/>
          <w:lang w:val="en-US"/>
        </w:rPr>
        <w:t>, 32, 15. https://doi.org/10.11604/pamj.2019.32.15.16420</w:t>
      </w:r>
    </w:p>
    <w:p w14:paraId="0B0BE5D7"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lastRenderedPageBreak/>
        <w:t xml:space="preserve">Das, B., Verma, J., Kumar, P., &amp; Ghosh, A. (2020). Antibiotic resistance in </w:t>
      </w:r>
      <w:r w:rsidRPr="00396727">
        <w:rPr>
          <w:rFonts w:ascii="Times New Roman" w:eastAsia="Times New Roman" w:hAnsi="Times New Roman" w:cs="Times New Roman"/>
          <w:i/>
          <w:iCs/>
          <w:sz w:val="24"/>
          <w:szCs w:val="24"/>
          <w:lang w:val="en-US"/>
        </w:rPr>
        <w:t>Vibrio cholerae</w:t>
      </w:r>
      <w:r w:rsidRPr="00396727">
        <w:rPr>
          <w:rFonts w:ascii="Times New Roman" w:eastAsia="Times New Roman" w:hAnsi="Times New Roman" w:cs="Times New Roman"/>
          <w:sz w:val="24"/>
          <w:szCs w:val="24"/>
          <w:lang w:val="en-US"/>
        </w:rPr>
        <w:t xml:space="preserve">: Understanding the ecology and transmission dynamics. </w:t>
      </w:r>
      <w:r w:rsidRPr="00396727">
        <w:rPr>
          <w:rFonts w:ascii="Times New Roman" w:eastAsia="Times New Roman" w:hAnsi="Times New Roman" w:cs="Times New Roman"/>
          <w:i/>
          <w:iCs/>
          <w:sz w:val="24"/>
          <w:szCs w:val="24"/>
          <w:lang w:val="en-US"/>
        </w:rPr>
        <w:t>Frontiers in Microbiology</w:t>
      </w:r>
      <w:r w:rsidRPr="00396727">
        <w:rPr>
          <w:rFonts w:ascii="Times New Roman" w:eastAsia="Times New Roman" w:hAnsi="Times New Roman" w:cs="Times New Roman"/>
          <w:sz w:val="24"/>
          <w:szCs w:val="24"/>
          <w:lang w:val="en-US"/>
        </w:rPr>
        <w:t>, 11, 123. https://doi.org/10.3389/fmicb.2020.00123</w:t>
      </w:r>
    </w:p>
    <w:p w14:paraId="627D1ADB"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Dele, O., Adeyemi, A., &amp; Oladipo, E. (2021). Cholera prevalence and associated risk factors in Nigeria: A multi-state analysis. </w:t>
      </w:r>
      <w:r w:rsidRPr="00396727">
        <w:rPr>
          <w:rFonts w:ascii="Times New Roman" w:eastAsia="Times New Roman" w:hAnsi="Times New Roman" w:cs="Times New Roman"/>
          <w:i/>
          <w:iCs/>
          <w:sz w:val="24"/>
          <w:szCs w:val="24"/>
          <w:lang w:val="en-US"/>
        </w:rPr>
        <w:t>African Health Sciences</w:t>
      </w:r>
      <w:r w:rsidRPr="00396727">
        <w:rPr>
          <w:rFonts w:ascii="Times New Roman" w:eastAsia="Times New Roman" w:hAnsi="Times New Roman" w:cs="Times New Roman"/>
          <w:sz w:val="24"/>
          <w:szCs w:val="24"/>
          <w:lang w:val="en-US"/>
        </w:rPr>
        <w:t>, 21(4), 1789–1798.</w:t>
      </w:r>
    </w:p>
    <w:p w14:paraId="747C34C6"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96727">
        <w:rPr>
          <w:rFonts w:ascii="Times New Roman" w:eastAsia="Times New Roman" w:hAnsi="Times New Roman" w:cs="Times New Roman"/>
          <w:sz w:val="24"/>
          <w:szCs w:val="24"/>
          <w:lang w:val="en-US"/>
        </w:rPr>
        <w:t>Elilin</w:t>
      </w:r>
      <w:proofErr w:type="spellEnd"/>
      <w:r w:rsidRPr="00396727">
        <w:rPr>
          <w:rFonts w:ascii="Times New Roman" w:eastAsia="Times New Roman" w:hAnsi="Times New Roman" w:cs="Times New Roman"/>
          <w:sz w:val="24"/>
          <w:szCs w:val="24"/>
          <w:lang w:val="en-US"/>
        </w:rPr>
        <w:t xml:space="preserve">, A., Musa, B., &amp; Abdullahi, S. (2024). Epidemiological trends of cholera in Niger State, Nigeria. </w:t>
      </w:r>
      <w:r w:rsidRPr="00396727">
        <w:rPr>
          <w:rFonts w:ascii="Times New Roman" w:eastAsia="Times New Roman" w:hAnsi="Times New Roman" w:cs="Times New Roman"/>
          <w:i/>
          <w:iCs/>
          <w:sz w:val="24"/>
          <w:szCs w:val="24"/>
          <w:lang w:val="en-US"/>
        </w:rPr>
        <w:t>Nigerian Journal of Epidemiology</w:t>
      </w:r>
      <w:r w:rsidRPr="00396727">
        <w:rPr>
          <w:rFonts w:ascii="Times New Roman" w:eastAsia="Times New Roman" w:hAnsi="Times New Roman" w:cs="Times New Roman"/>
          <w:sz w:val="24"/>
          <w:szCs w:val="24"/>
          <w:lang w:val="en-US"/>
        </w:rPr>
        <w:t>, 8(1), 22–30.</w:t>
      </w:r>
    </w:p>
    <w:p w14:paraId="5C017B60"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Elimian, K. O., </w:t>
      </w:r>
      <w:proofErr w:type="spellStart"/>
      <w:r w:rsidRPr="00396727">
        <w:rPr>
          <w:rFonts w:ascii="Times New Roman" w:eastAsia="Times New Roman" w:hAnsi="Times New Roman" w:cs="Times New Roman"/>
          <w:sz w:val="24"/>
          <w:szCs w:val="24"/>
          <w:lang w:val="en-US"/>
        </w:rPr>
        <w:t>Yennan</w:t>
      </w:r>
      <w:proofErr w:type="spellEnd"/>
      <w:r w:rsidRPr="00396727">
        <w:rPr>
          <w:rFonts w:ascii="Times New Roman" w:eastAsia="Times New Roman" w:hAnsi="Times New Roman" w:cs="Times New Roman"/>
          <w:sz w:val="24"/>
          <w:szCs w:val="24"/>
          <w:lang w:val="en-US"/>
        </w:rPr>
        <w:t xml:space="preserve">, S., Musa, S., et al. (2019). Descriptive epidemiology of cholera outbreaks in Nigeria, 2010–2017. </w:t>
      </w:r>
      <w:r w:rsidRPr="00396727">
        <w:rPr>
          <w:rFonts w:ascii="Times New Roman" w:eastAsia="Times New Roman" w:hAnsi="Times New Roman" w:cs="Times New Roman"/>
          <w:i/>
          <w:iCs/>
          <w:sz w:val="24"/>
          <w:szCs w:val="24"/>
          <w:lang w:val="en-US"/>
        </w:rPr>
        <w:t>Pan African Medical Journal</w:t>
      </w:r>
      <w:r w:rsidRPr="00396727">
        <w:rPr>
          <w:rFonts w:ascii="Times New Roman" w:eastAsia="Times New Roman" w:hAnsi="Times New Roman" w:cs="Times New Roman"/>
          <w:sz w:val="24"/>
          <w:szCs w:val="24"/>
          <w:lang w:val="en-US"/>
        </w:rPr>
        <w:t>, 33, 1–10.</w:t>
      </w:r>
    </w:p>
    <w:p w14:paraId="3FE6FDFF"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Fagbamila, I., Olatunji, O., &amp; Bello, A. (2023). Cholera surveillance and prevalence in North-East Nigeria. </w:t>
      </w:r>
      <w:r w:rsidRPr="00396727">
        <w:rPr>
          <w:rFonts w:ascii="Times New Roman" w:eastAsia="Times New Roman" w:hAnsi="Times New Roman" w:cs="Times New Roman"/>
          <w:i/>
          <w:iCs/>
          <w:sz w:val="24"/>
          <w:szCs w:val="24"/>
          <w:lang w:val="en-US"/>
        </w:rPr>
        <w:t>Journal of Public Health in Africa</w:t>
      </w:r>
      <w:r w:rsidRPr="00396727">
        <w:rPr>
          <w:rFonts w:ascii="Times New Roman" w:eastAsia="Times New Roman" w:hAnsi="Times New Roman" w:cs="Times New Roman"/>
          <w:sz w:val="24"/>
          <w:szCs w:val="24"/>
          <w:lang w:val="en-US"/>
        </w:rPr>
        <w:t>, 14(2), 215–222.</w:t>
      </w:r>
    </w:p>
    <w:p w14:paraId="1BAAFD99"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96727">
        <w:rPr>
          <w:rFonts w:ascii="Times New Roman" w:eastAsia="Times New Roman" w:hAnsi="Times New Roman" w:cs="Times New Roman"/>
          <w:sz w:val="24"/>
          <w:szCs w:val="24"/>
          <w:lang w:val="en-US"/>
        </w:rPr>
        <w:t>Fasema</w:t>
      </w:r>
      <w:proofErr w:type="spellEnd"/>
      <w:r w:rsidRPr="00396727">
        <w:rPr>
          <w:rFonts w:ascii="Times New Roman" w:eastAsia="Times New Roman" w:hAnsi="Times New Roman" w:cs="Times New Roman"/>
          <w:sz w:val="24"/>
          <w:szCs w:val="24"/>
          <w:lang w:val="en-US"/>
        </w:rPr>
        <w:t xml:space="preserve">, J. A., </w:t>
      </w:r>
      <w:proofErr w:type="spellStart"/>
      <w:r w:rsidRPr="00396727">
        <w:rPr>
          <w:rFonts w:ascii="Times New Roman" w:eastAsia="Times New Roman" w:hAnsi="Times New Roman" w:cs="Times New Roman"/>
          <w:sz w:val="24"/>
          <w:szCs w:val="24"/>
          <w:lang w:val="en-US"/>
        </w:rPr>
        <w:t>Aladese</w:t>
      </w:r>
      <w:proofErr w:type="spellEnd"/>
      <w:r w:rsidRPr="00396727">
        <w:rPr>
          <w:rFonts w:ascii="Times New Roman" w:eastAsia="Times New Roman" w:hAnsi="Times New Roman" w:cs="Times New Roman"/>
          <w:sz w:val="24"/>
          <w:szCs w:val="24"/>
          <w:lang w:val="en-US"/>
        </w:rPr>
        <w:t xml:space="preserve">, A. O., &amp; </w:t>
      </w:r>
      <w:proofErr w:type="spellStart"/>
      <w:r w:rsidRPr="00396727">
        <w:rPr>
          <w:rFonts w:ascii="Times New Roman" w:eastAsia="Times New Roman" w:hAnsi="Times New Roman" w:cs="Times New Roman"/>
          <w:sz w:val="24"/>
          <w:szCs w:val="24"/>
          <w:lang w:val="en-US"/>
        </w:rPr>
        <w:t>Arivo</w:t>
      </w:r>
      <w:proofErr w:type="spellEnd"/>
      <w:r w:rsidRPr="00396727">
        <w:rPr>
          <w:rFonts w:ascii="Times New Roman" w:eastAsia="Times New Roman" w:hAnsi="Times New Roman" w:cs="Times New Roman"/>
          <w:sz w:val="24"/>
          <w:szCs w:val="24"/>
          <w:lang w:val="en-US"/>
        </w:rPr>
        <w:t xml:space="preserve">, R. (2021). Prevalence of </w:t>
      </w:r>
      <w:r w:rsidRPr="00396727">
        <w:rPr>
          <w:rFonts w:ascii="Times New Roman" w:eastAsia="Times New Roman" w:hAnsi="Times New Roman" w:cs="Times New Roman"/>
          <w:i/>
          <w:iCs/>
          <w:sz w:val="24"/>
          <w:szCs w:val="24"/>
          <w:lang w:val="en-US"/>
        </w:rPr>
        <w:t>Vibrio cholerae</w:t>
      </w:r>
      <w:r w:rsidRPr="00396727">
        <w:rPr>
          <w:rFonts w:ascii="Times New Roman" w:eastAsia="Times New Roman" w:hAnsi="Times New Roman" w:cs="Times New Roman"/>
          <w:sz w:val="24"/>
          <w:szCs w:val="24"/>
          <w:lang w:val="en-US"/>
        </w:rPr>
        <w:t xml:space="preserve"> infection in Nigeria: A regional study. </w:t>
      </w:r>
      <w:r w:rsidRPr="00396727">
        <w:rPr>
          <w:rFonts w:ascii="Times New Roman" w:eastAsia="Times New Roman" w:hAnsi="Times New Roman" w:cs="Times New Roman"/>
          <w:i/>
          <w:iCs/>
          <w:sz w:val="24"/>
          <w:szCs w:val="24"/>
          <w:lang w:val="en-US"/>
        </w:rPr>
        <w:t>International Journal of Tropical Disease &amp; Health</w:t>
      </w:r>
      <w:r w:rsidRPr="00396727">
        <w:rPr>
          <w:rFonts w:ascii="Times New Roman" w:eastAsia="Times New Roman" w:hAnsi="Times New Roman" w:cs="Times New Roman"/>
          <w:sz w:val="24"/>
          <w:szCs w:val="24"/>
          <w:lang w:val="en-US"/>
        </w:rPr>
        <w:t>, 42(6), 34–41.</w:t>
      </w:r>
    </w:p>
    <w:p w14:paraId="09CFA7E2"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96727">
        <w:rPr>
          <w:rFonts w:ascii="Times New Roman" w:eastAsia="Times New Roman" w:hAnsi="Times New Roman" w:cs="Times New Roman"/>
          <w:sz w:val="24"/>
          <w:szCs w:val="24"/>
          <w:lang w:val="en-US"/>
        </w:rPr>
        <w:t>Gangarosa</w:t>
      </w:r>
      <w:proofErr w:type="spellEnd"/>
      <w:r w:rsidRPr="00396727">
        <w:rPr>
          <w:rFonts w:ascii="Times New Roman" w:eastAsia="Times New Roman" w:hAnsi="Times New Roman" w:cs="Times New Roman"/>
          <w:sz w:val="24"/>
          <w:szCs w:val="24"/>
          <w:lang w:val="en-US"/>
        </w:rPr>
        <w:t xml:space="preserve">, E. J., Bennett, J. V., Wyatt, C., et al. (1968). Epidemiological studies of cholera in Nigeria. </w:t>
      </w:r>
      <w:r w:rsidRPr="00396727">
        <w:rPr>
          <w:rFonts w:ascii="Times New Roman" w:eastAsia="Times New Roman" w:hAnsi="Times New Roman" w:cs="Times New Roman"/>
          <w:i/>
          <w:iCs/>
          <w:sz w:val="24"/>
          <w:szCs w:val="24"/>
          <w:lang w:val="en-US"/>
        </w:rPr>
        <w:t>Bulletin of the World Health Organization</w:t>
      </w:r>
      <w:r w:rsidRPr="00396727">
        <w:rPr>
          <w:rFonts w:ascii="Times New Roman" w:eastAsia="Times New Roman" w:hAnsi="Times New Roman" w:cs="Times New Roman"/>
          <w:sz w:val="24"/>
          <w:szCs w:val="24"/>
          <w:lang w:val="en-US"/>
        </w:rPr>
        <w:t>, 39(5), 747–759.</w:t>
      </w:r>
    </w:p>
    <w:p w14:paraId="7E683FA5"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96727">
        <w:rPr>
          <w:rFonts w:ascii="Times New Roman" w:eastAsia="Times New Roman" w:hAnsi="Times New Roman" w:cs="Times New Roman"/>
          <w:sz w:val="24"/>
          <w:szCs w:val="24"/>
          <w:lang w:val="en-US"/>
        </w:rPr>
        <w:t>Garbati</w:t>
      </w:r>
      <w:proofErr w:type="spellEnd"/>
      <w:r w:rsidRPr="00396727">
        <w:rPr>
          <w:rFonts w:ascii="Times New Roman" w:eastAsia="Times New Roman" w:hAnsi="Times New Roman" w:cs="Times New Roman"/>
          <w:sz w:val="24"/>
          <w:szCs w:val="24"/>
          <w:lang w:val="en-US"/>
        </w:rPr>
        <w:t xml:space="preserve">, M. A., et al. (2019). Molecular characterization of </w:t>
      </w:r>
      <w:r w:rsidRPr="00396727">
        <w:rPr>
          <w:rFonts w:ascii="Times New Roman" w:eastAsia="Times New Roman" w:hAnsi="Times New Roman" w:cs="Times New Roman"/>
          <w:i/>
          <w:iCs/>
          <w:sz w:val="24"/>
          <w:szCs w:val="24"/>
          <w:lang w:val="en-US"/>
        </w:rPr>
        <w:t>Vibrio cholerae</w:t>
      </w:r>
      <w:r w:rsidRPr="00396727">
        <w:rPr>
          <w:rFonts w:ascii="Times New Roman" w:eastAsia="Times New Roman" w:hAnsi="Times New Roman" w:cs="Times New Roman"/>
          <w:sz w:val="24"/>
          <w:szCs w:val="24"/>
          <w:lang w:val="en-US"/>
        </w:rPr>
        <w:t xml:space="preserve"> isolates in Africa. </w:t>
      </w:r>
      <w:r w:rsidRPr="00396727">
        <w:rPr>
          <w:rFonts w:ascii="Times New Roman" w:eastAsia="Times New Roman" w:hAnsi="Times New Roman" w:cs="Times New Roman"/>
          <w:i/>
          <w:iCs/>
          <w:sz w:val="24"/>
          <w:szCs w:val="24"/>
          <w:lang w:val="en-US"/>
        </w:rPr>
        <w:t>Journal of Medical Microbiology</w:t>
      </w:r>
      <w:r w:rsidRPr="00396727">
        <w:rPr>
          <w:rFonts w:ascii="Times New Roman" w:eastAsia="Times New Roman" w:hAnsi="Times New Roman" w:cs="Times New Roman"/>
          <w:sz w:val="24"/>
          <w:szCs w:val="24"/>
          <w:lang w:val="en-US"/>
        </w:rPr>
        <w:t>, 68(4), 567–575.</w:t>
      </w:r>
    </w:p>
    <w:p w14:paraId="005EA624"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Harris, J. B., LaRocque, R. C., Qadri, F., Ryan, E. T., &amp; Calderwood, S. B. (2012). Cholera. </w:t>
      </w:r>
      <w:r w:rsidRPr="00396727">
        <w:rPr>
          <w:rFonts w:ascii="Times New Roman" w:eastAsia="Times New Roman" w:hAnsi="Times New Roman" w:cs="Times New Roman"/>
          <w:i/>
          <w:iCs/>
          <w:sz w:val="24"/>
          <w:szCs w:val="24"/>
          <w:lang w:val="en-US"/>
        </w:rPr>
        <w:t>The Lancet</w:t>
      </w:r>
      <w:r w:rsidRPr="00396727">
        <w:rPr>
          <w:rFonts w:ascii="Times New Roman" w:eastAsia="Times New Roman" w:hAnsi="Times New Roman" w:cs="Times New Roman"/>
          <w:sz w:val="24"/>
          <w:szCs w:val="24"/>
          <w:lang w:val="en-US"/>
        </w:rPr>
        <w:t>, 379(9835), 2466–2476. https://doi.org/10.1016/S0140-6736(12)60436-X</w:t>
      </w:r>
    </w:p>
    <w:p w14:paraId="4A1856AB"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McLaughlin, J. C. (1995). Vibrio. In P. R. Murray (Ed.), </w:t>
      </w:r>
      <w:r w:rsidRPr="00396727">
        <w:rPr>
          <w:rFonts w:ascii="Times New Roman" w:eastAsia="Times New Roman" w:hAnsi="Times New Roman" w:cs="Times New Roman"/>
          <w:i/>
          <w:iCs/>
          <w:sz w:val="24"/>
          <w:szCs w:val="24"/>
          <w:lang w:val="en-US"/>
        </w:rPr>
        <w:t>Manual of clinical microbiology</w:t>
      </w:r>
      <w:r w:rsidRPr="00396727">
        <w:rPr>
          <w:rFonts w:ascii="Times New Roman" w:eastAsia="Times New Roman" w:hAnsi="Times New Roman" w:cs="Times New Roman"/>
          <w:sz w:val="24"/>
          <w:szCs w:val="24"/>
          <w:lang w:val="en-US"/>
        </w:rPr>
        <w:t xml:space="preserve"> (6th ed., pp. 465–476). ASM Press.</w:t>
      </w:r>
    </w:p>
    <w:p w14:paraId="22C1C2AE"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Naing, L., Winn, T., &amp; Rusli, B. N. (2022). Practical issues in calculating the sample size for prevalence studies. </w:t>
      </w:r>
      <w:r w:rsidRPr="00396727">
        <w:rPr>
          <w:rFonts w:ascii="Times New Roman" w:eastAsia="Times New Roman" w:hAnsi="Times New Roman" w:cs="Times New Roman"/>
          <w:i/>
          <w:iCs/>
          <w:sz w:val="24"/>
          <w:szCs w:val="24"/>
          <w:lang w:val="en-US"/>
        </w:rPr>
        <w:t>Archives of Orofacial Sciences</w:t>
      </w:r>
      <w:r w:rsidRPr="00396727">
        <w:rPr>
          <w:rFonts w:ascii="Times New Roman" w:eastAsia="Times New Roman" w:hAnsi="Times New Roman" w:cs="Times New Roman"/>
          <w:sz w:val="24"/>
          <w:szCs w:val="24"/>
          <w:lang w:val="en-US"/>
        </w:rPr>
        <w:t>, 17(1), 1–6.</w:t>
      </w:r>
    </w:p>
    <w:p w14:paraId="7E5645EE"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Nelson, E. J., Harris, J. B., Morris, J. G., Calderwood, S. B., &amp; Camilli, A. (2020). Cholera transmission: The host, pathogen and bacteriophage dynamic. </w:t>
      </w:r>
      <w:r w:rsidRPr="00396727">
        <w:rPr>
          <w:rFonts w:ascii="Times New Roman" w:eastAsia="Times New Roman" w:hAnsi="Times New Roman" w:cs="Times New Roman"/>
          <w:i/>
          <w:iCs/>
          <w:sz w:val="24"/>
          <w:szCs w:val="24"/>
          <w:lang w:val="en-US"/>
        </w:rPr>
        <w:t>Nature Reviews Microbiology</w:t>
      </w:r>
      <w:r w:rsidRPr="00396727">
        <w:rPr>
          <w:rFonts w:ascii="Times New Roman" w:eastAsia="Times New Roman" w:hAnsi="Times New Roman" w:cs="Times New Roman"/>
          <w:sz w:val="24"/>
          <w:szCs w:val="24"/>
          <w:lang w:val="en-US"/>
        </w:rPr>
        <w:t>, 18(12), 693–706.</w:t>
      </w:r>
    </w:p>
    <w:p w14:paraId="4EC5A88E"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s-US"/>
        </w:rPr>
        <w:t xml:space="preserve">Nguyen, B. M., Lee, J. H., Cuong, N. </w:t>
      </w:r>
      <w:proofErr w:type="gramStart"/>
      <w:r w:rsidRPr="00396727">
        <w:rPr>
          <w:rFonts w:ascii="Times New Roman" w:eastAsia="Times New Roman" w:hAnsi="Times New Roman" w:cs="Times New Roman"/>
          <w:sz w:val="24"/>
          <w:szCs w:val="24"/>
          <w:lang w:val="es-US"/>
        </w:rPr>
        <w:t>T.(</w:t>
      </w:r>
      <w:proofErr w:type="gramEnd"/>
      <w:r w:rsidRPr="00396727">
        <w:rPr>
          <w:rFonts w:ascii="Times New Roman" w:eastAsia="Times New Roman" w:hAnsi="Times New Roman" w:cs="Times New Roman"/>
          <w:sz w:val="24"/>
          <w:szCs w:val="24"/>
          <w:lang w:val="es-US"/>
        </w:rPr>
        <w:t xml:space="preserve">2014). </w:t>
      </w:r>
      <w:r w:rsidRPr="00396727">
        <w:rPr>
          <w:rFonts w:ascii="Times New Roman" w:eastAsia="Times New Roman" w:hAnsi="Times New Roman" w:cs="Times New Roman"/>
          <w:sz w:val="24"/>
          <w:szCs w:val="24"/>
          <w:lang w:val="en-US"/>
        </w:rPr>
        <w:t xml:space="preserve">Cholera outbreaks caused by an altered </w:t>
      </w:r>
      <w:r w:rsidRPr="00396727">
        <w:rPr>
          <w:rFonts w:ascii="Times New Roman" w:eastAsia="Times New Roman" w:hAnsi="Times New Roman" w:cs="Times New Roman"/>
          <w:i/>
          <w:iCs/>
          <w:sz w:val="24"/>
          <w:szCs w:val="24"/>
          <w:lang w:val="en-US"/>
        </w:rPr>
        <w:t>Vibrio cholerae</w:t>
      </w:r>
      <w:r w:rsidRPr="00396727">
        <w:rPr>
          <w:rFonts w:ascii="Times New Roman" w:eastAsia="Times New Roman" w:hAnsi="Times New Roman" w:cs="Times New Roman"/>
          <w:sz w:val="24"/>
          <w:szCs w:val="24"/>
          <w:lang w:val="en-US"/>
        </w:rPr>
        <w:t xml:space="preserve"> O1 El Tor strain producing classical cholera toxin. </w:t>
      </w:r>
      <w:r w:rsidRPr="00396727">
        <w:rPr>
          <w:rFonts w:ascii="Times New Roman" w:eastAsia="Times New Roman" w:hAnsi="Times New Roman" w:cs="Times New Roman"/>
          <w:i/>
          <w:iCs/>
          <w:sz w:val="24"/>
          <w:szCs w:val="24"/>
          <w:lang w:val="en-US"/>
        </w:rPr>
        <w:t>BMC Infectious Diseases</w:t>
      </w:r>
      <w:r w:rsidRPr="00396727">
        <w:rPr>
          <w:rFonts w:ascii="Times New Roman" w:eastAsia="Times New Roman" w:hAnsi="Times New Roman" w:cs="Times New Roman"/>
          <w:sz w:val="24"/>
          <w:szCs w:val="24"/>
          <w:lang w:val="en-US"/>
        </w:rPr>
        <w:t>, 14, 224.</w:t>
      </w:r>
    </w:p>
    <w:p w14:paraId="0FE03B69"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Nigeria Centre for Disease Control (NCDC). (2024). </w:t>
      </w:r>
      <w:r w:rsidRPr="00396727">
        <w:rPr>
          <w:rFonts w:ascii="Times New Roman" w:eastAsia="Times New Roman" w:hAnsi="Times New Roman" w:cs="Times New Roman"/>
          <w:i/>
          <w:iCs/>
          <w:sz w:val="24"/>
          <w:szCs w:val="24"/>
          <w:lang w:val="en-US"/>
        </w:rPr>
        <w:t>Cholera situation report in Nigeria</w:t>
      </w:r>
      <w:r w:rsidRPr="00396727">
        <w:rPr>
          <w:rFonts w:ascii="Times New Roman" w:eastAsia="Times New Roman" w:hAnsi="Times New Roman" w:cs="Times New Roman"/>
          <w:sz w:val="24"/>
          <w:szCs w:val="24"/>
          <w:lang w:val="en-US"/>
        </w:rPr>
        <w:t>. Abuja, Nigeria: NCDC.</w:t>
      </w:r>
    </w:p>
    <w:p w14:paraId="2853ED3C"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Sodjinou, E., </w:t>
      </w:r>
      <w:proofErr w:type="spellStart"/>
      <w:r w:rsidRPr="00396727">
        <w:rPr>
          <w:rFonts w:ascii="Times New Roman" w:eastAsia="Times New Roman" w:hAnsi="Times New Roman" w:cs="Times New Roman"/>
          <w:sz w:val="24"/>
          <w:szCs w:val="24"/>
          <w:lang w:val="en-US"/>
        </w:rPr>
        <w:t>Agossadou</w:t>
      </w:r>
      <w:proofErr w:type="spellEnd"/>
      <w:r w:rsidRPr="00396727">
        <w:rPr>
          <w:rFonts w:ascii="Times New Roman" w:eastAsia="Times New Roman" w:hAnsi="Times New Roman" w:cs="Times New Roman"/>
          <w:sz w:val="24"/>
          <w:szCs w:val="24"/>
          <w:lang w:val="en-US"/>
        </w:rPr>
        <w:t xml:space="preserve">, D., &amp; Bankole, H. (2022). Cholera epidemiology in West Africa: A systematic review. </w:t>
      </w:r>
      <w:r w:rsidRPr="00396727">
        <w:rPr>
          <w:rFonts w:ascii="Times New Roman" w:eastAsia="Times New Roman" w:hAnsi="Times New Roman" w:cs="Times New Roman"/>
          <w:i/>
          <w:iCs/>
          <w:sz w:val="24"/>
          <w:szCs w:val="24"/>
          <w:lang w:val="en-US"/>
        </w:rPr>
        <w:t>International Journal of Infectious Diseases</w:t>
      </w:r>
      <w:r w:rsidRPr="00396727">
        <w:rPr>
          <w:rFonts w:ascii="Times New Roman" w:eastAsia="Times New Roman" w:hAnsi="Times New Roman" w:cs="Times New Roman"/>
          <w:sz w:val="24"/>
          <w:szCs w:val="24"/>
          <w:lang w:val="en-US"/>
        </w:rPr>
        <w:t>, 116, 45–53.</w:t>
      </w:r>
    </w:p>
    <w:p w14:paraId="36C0D237" w14:textId="77777777" w:rsidR="003D06F6"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United Nations High Commissioner for Refugees (UNHCR). (1998). </w:t>
      </w:r>
      <w:r w:rsidRPr="00396727">
        <w:rPr>
          <w:rFonts w:ascii="Times New Roman" w:eastAsia="Times New Roman" w:hAnsi="Times New Roman" w:cs="Times New Roman"/>
          <w:i/>
          <w:iCs/>
          <w:sz w:val="24"/>
          <w:szCs w:val="24"/>
          <w:lang w:val="en-US"/>
        </w:rPr>
        <w:t>Guiding principles on internal displacement</w:t>
      </w:r>
      <w:r w:rsidRPr="00396727">
        <w:rPr>
          <w:rFonts w:ascii="Times New Roman" w:eastAsia="Times New Roman" w:hAnsi="Times New Roman" w:cs="Times New Roman"/>
          <w:sz w:val="24"/>
          <w:szCs w:val="24"/>
          <w:lang w:val="en-US"/>
        </w:rPr>
        <w:t>. United Nations.</w:t>
      </w:r>
    </w:p>
    <w:p w14:paraId="0DEFDB03" w14:textId="77777777" w:rsidR="008A661B" w:rsidRPr="00396727" w:rsidRDefault="003D06F6"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96727">
        <w:rPr>
          <w:rFonts w:ascii="Times New Roman" w:eastAsia="Times New Roman" w:hAnsi="Times New Roman" w:cs="Times New Roman"/>
          <w:sz w:val="24"/>
          <w:szCs w:val="24"/>
          <w:lang w:val="en-US"/>
        </w:rPr>
        <w:t xml:space="preserve">Wahed, T., Kaukab, S. S., Saha, N. C. (2013). Knowledge of cholera transmission and prevention in Bangladesh. </w:t>
      </w:r>
      <w:r w:rsidRPr="00396727">
        <w:rPr>
          <w:rFonts w:ascii="Times New Roman" w:eastAsia="Times New Roman" w:hAnsi="Times New Roman" w:cs="Times New Roman"/>
          <w:i/>
          <w:iCs/>
          <w:sz w:val="24"/>
          <w:szCs w:val="24"/>
          <w:lang w:val="en-US"/>
        </w:rPr>
        <w:t>BMC Public Health</w:t>
      </w:r>
      <w:r w:rsidRPr="00396727">
        <w:rPr>
          <w:rFonts w:ascii="Times New Roman" w:eastAsia="Times New Roman" w:hAnsi="Times New Roman" w:cs="Times New Roman"/>
          <w:sz w:val="24"/>
          <w:szCs w:val="24"/>
          <w:lang w:val="en-US"/>
        </w:rPr>
        <w:t>, 13, 1092.</w:t>
      </w:r>
      <w:r w:rsidR="008A661B" w:rsidRPr="00396727">
        <w:rPr>
          <w:rFonts w:ascii="Times New Roman" w:eastAsia="Times New Roman" w:hAnsi="Times New Roman" w:cs="Times New Roman"/>
          <w:sz w:val="24"/>
          <w:szCs w:val="24"/>
          <w:lang w:val="en-US"/>
        </w:rPr>
        <w:t xml:space="preserve"> </w:t>
      </w:r>
    </w:p>
    <w:p w14:paraId="71D28AB6" w14:textId="77777777" w:rsidR="00D10BF6" w:rsidRPr="00396727" w:rsidRDefault="008A661B" w:rsidP="00396727">
      <w:pPr>
        <w:pStyle w:val="ListParagraph"/>
        <w:numPr>
          <w:ilvl w:val="0"/>
          <w:numId w:val="36"/>
        </w:numPr>
        <w:spacing w:before="100" w:beforeAutospacing="1" w:after="100" w:afterAutospacing="1" w:line="240" w:lineRule="auto"/>
        <w:rPr>
          <w:rFonts w:ascii="Times New Roman" w:eastAsia="Times New Roman" w:hAnsi="Times New Roman" w:cs="Times New Roman"/>
          <w:sz w:val="24"/>
          <w:szCs w:val="24"/>
          <w:highlight w:val="yellow"/>
        </w:rPr>
      </w:pPr>
      <w:r w:rsidRPr="00396727">
        <w:rPr>
          <w:rFonts w:ascii="Times New Roman" w:eastAsia="Times New Roman" w:hAnsi="Times New Roman" w:cs="Times New Roman"/>
          <w:sz w:val="24"/>
          <w:szCs w:val="24"/>
          <w:highlight w:val="yellow"/>
        </w:rPr>
        <w:t xml:space="preserve">Mohamed, M. G., Dabou, E. A. A., Abdelsamad, S., &amp; </w:t>
      </w:r>
      <w:proofErr w:type="spellStart"/>
      <w:r w:rsidRPr="00396727">
        <w:rPr>
          <w:rFonts w:ascii="Times New Roman" w:eastAsia="Times New Roman" w:hAnsi="Times New Roman" w:cs="Times New Roman"/>
          <w:sz w:val="24"/>
          <w:szCs w:val="24"/>
          <w:highlight w:val="yellow"/>
        </w:rPr>
        <w:t>Elsalous</w:t>
      </w:r>
      <w:proofErr w:type="spellEnd"/>
      <w:r w:rsidRPr="00396727">
        <w:rPr>
          <w:rFonts w:ascii="Times New Roman" w:eastAsia="Times New Roman" w:hAnsi="Times New Roman" w:cs="Times New Roman"/>
          <w:sz w:val="24"/>
          <w:szCs w:val="24"/>
          <w:highlight w:val="yellow"/>
        </w:rPr>
        <w:t>, S. H. (2025). Cholera outbreaks: Public health implications, economic burden, and preventive strategies. </w:t>
      </w:r>
      <w:r w:rsidRPr="00396727">
        <w:rPr>
          <w:rFonts w:ascii="Times New Roman" w:eastAsia="Times New Roman" w:hAnsi="Times New Roman" w:cs="Times New Roman"/>
          <w:i/>
          <w:iCs/>
          <w:sz w:val="24"/>
          <w:szCs w:val="24"/>
          <w:highlight w:val="yellow"/>
        </w:rPr>
        <w:t>AIMS public health</w:t>
      </w:r>
      <w:r w:rsidRPr="00396727">
        <w:rPr>
          <w:rFonts w:ascii="Times New Roman" w:eastAsia="Times New Roman" w:hAnsi="Times New Roman" w:cs="Times New Roman"/>
          <w:sz w:val="24"/>
          <w:szCs w:val="24"/>
          <w:highlight w:val="yellow"/>
        </w:rPr>
        <w:t>, </w:t>
      </w:r>
      <w:r w:rsidRPr="00396727">
        <w:rPr>
          <w:rFonts w:ascii="Times New Roman" w:eastAsia="Times New Roman" w:hAnsi="Times New Roman" w:cs="Times New Roman"/>
          <w:i/>
          <w:iCs/>
          <w:sz w:val="24"/>
          <w:szCs w:val="24"/>
          <w:highlight w:val="yellow"/>
        </w:rPr>
        <w:t>12</w:t>
      </w:r>
      <w:r w:rsidRPr="00396727">
        <w:rPr>
          <w:rFonts w:ascii="Times New Roman" w:eastAsia="Times New Roman" w:hAnsi="Times New Roman" w:cs="Times New Roman"/>
          <w:sz w:val="24"/>
          <w:szCs w:val="24"/>
          <w:highlight w:val="yellow"/>
        </w:rPr>
        <w:t xml:space="preserve">(3), 767–795. </w:t>
      </w:r>
      <w:hyperlink r:id="rId7" w:history="1">
        <w:r w:rsidR="00D10BF6" w:rsidRPr="00396727">
          <w:rPr>
            <w:rStyle w:val="Hyperlink"/>
            <w:rFonts w:ascii="Times New Roman" w:eastAsia="Times New Roman" w:hAnsi="Times New Roman" w:cs="Times New Roman"/>
            <w:sz w:val="24"/>
            <w:szCs w:val="24"/>
            <w:highlight w:val="yellow"/>
          </w:rPr>
          <w:t>https://doi.org/10.3934/publichealth.2025039</w:t>
        </w:r>
      </w:hyperlink>
      <w:r w:rsidR="00D10BF6" w:rsidRPr="00396727">
        <w:rPr>
          <w:rFonts w:ascii="Times New Roman" w:eastAsia="Times New Roman" w:hAnsi="Times New Roman" w:cs="Times New Roman"/>
          <w:sz w:val="24"/>
          <w:szCs w:val="24"/>
          <w:highlight w:val="yellow"/>
        </w:rPr>
        <w:t xml:space="preserve"> </w:t>
      </w:r>
    </w:p>
    <w:p w14:paraId="190D7274" w14:textId="77777777" w:rsidR="00D10BF6" w:rsidRPr="00396727" w:rsidRDefault="00D10BF6" w:rsidP="00396727">
      <w:pPr>
        <w:pStyle w:val="ListParagraph"/>
        <w:numPr>
          <w:ilvl w:val="0"/>
          <w:numId w:val="36"/>
        </w:numPr>
        <w:spacing w:before="100" w:beforeAutospacing="1" w:after="100" w:afterAutospacing="1" w:line="240" w:lineRule="auto"/>
        <w:rPr>
          <w:rFonts w:ascii="Times New Roman" w:hAnsi="Times New Roman" w:cs="Times New Roman"/>
          <w:sz w:val="24"/>
          <w:szCs w:val="24"/>
          <w:highlight w:val="yellow"/>
          <w:lang w:val="en-US"/>
        </w:rPr>
      </w:pPr>
      <w:r w:rsidRPr="00396727">
        <w:rPr>
          <w:rFonts w:ascii="Times New Roman" w:hAnsi="Times New Roman" w:cs="Times New Roman"/>
          <w:sz w:val="24"/>
          <w:szCs w:val="24"/>
          <w:highlight w:val="yellow"/>
          <w:lang w:val="en-US"/>
        </w:rPr>
        <w:t xml:space="preserve">Ogunniyi, T. J., </w:t>
      </w:r>
      <w:proofErr w:type="spellStart"/>
      <w:r w:rsidRPr="00396727">
        <w:rPr>
          <w:rFonts w:ascii="Times New Roman" w:hAnsi="Times New Roman" w:cs="Times New Roman"/>
          <w:sz w:val="24"/>
          <w:szCs w:val="24"/>
          <w:highlight w:val="yellow"/>
          <w:lang w:val="en-US"/>
        </w:rPr>
        <w:t>Muoneke</w:t>
      </w:r>
      <w:proofErr w:type="spellEnd"/>
      <w:r w:rsidRPr="00396727">
        <w:rPr>
          <w:rFonts w:ascii="Times New Roman" w:hAnsi="Times New Roman" w:cs="Times New Roman"/>
          <w:sz w:val="24"/>
          <w:szCs w:val="24"/>
          <w:highlight w:val="yellow"/>
          <w:lang w:val="en-US"/>
        </w:rPr>
        <w:t>, A. P., Nimo, F., Yisa, S. S., &amp; Olorunfemi, O. A. (2025). Cholera in Nigeria: a five-decade review of outbreak dynamics and health system responses. </w:t>
      </w:r>
      <w:r w:rsidRPr="00396727">
        <w:rPr>
          <w:rFonts w:ascii="Times New Roman" w:hAnsi="Times New Roman" w:cs="Times New Roman"/>
          <w:i/>
          <w:iCs/>
          <w:sz w:val="24"/>
          <w:szCs w:val="24"/>
          <w:highlight w:val="yellow"/>
          <w:lang w:val="en-US"/>
        </w:rPr>
        <w:t>Journal of Health, Population and Nutrition</w:t>
      </w:r>
      <w:r w:rsidRPr="00396727">
        <w:rPr>
          <w:rFonts w:ascii="Times New Roman" w:hAnsi="Times New Roman" w:cs="Times New Roman"/>
          <w:sz w:val="24"/>
          <w:szCs w:val="24"/>
          <w:highlight w:val="yellow"/>
          <w:lang w:val="en-US"/>
        </w:rPr>
        <w:t>, </w:t>
      </w:r>
      <w:r w:rsidRPr="00396727">
        <w:rPr>
          <w:rFonts w:ascii="Times New Roman" w:hAnsi="Times New Roman" w:cs="Times New Roman"/>
          <w:i/>
          <w:iCs/>
          <w:sz w:val="24"/>
          <w:szCs w:val="24"/>
          <w:highlight w:val="yellow"/>
          <w:lang w:val="en-US"/>
        </w:rPr>
        <w:t>44</w:t>
      </w:r>
      <w:r w:rsidRPr="00396727">
        <w:rPr>
          <w:rFonts w:ascii="Times New Roman" w:hAnsi="Times New Roman" w:cs="Times New Roman"/>
          <w:sz w:val="24"/>
          <w:szCs w:val="24"/>
          <w:highlight w:val="yellow"/>
          <w:lang w:val="en-US"/>
        </w:rPr>
        <w:t xml:space="preserve">(1). </w:t>
      </w:r>
      <w:hyperlink r:id="rId8" w:history="1">
        <w:r w:rsidRPr="00396727">
          <w:rPr>
            <w:rStyle w:val="Hyperlink"/>
            <w:rFonts w:ascii="Times New Roman" w:hAnsi="Times New Roman" w:cs="Times New Roman"/>
            <w:sz w:val="24"/>
            <w:szCs w:val="24"/>
            <w:highlight w:val="yellow"/>
            <w:lang w:val="en-US"/>
          </w:rPr>
          <w:t>https://doi.org/10.1186/s41043-025-01096-7</w:t>
        </w:r>
      </w:hyperlink>
      <w:r w:rsidRPr="00396727">
        <w:rPr>
          <w:rFonts w:ascii="Times New Roman" w:hAnsi="Times New Roman" w:cs="Times New Roman"/>
          <w:sz w:val="24"/>
          <w:szCs w:val="24"/>
          <w:highlight w:val="yellow"/>
          <w:lang w:val="en-US"/>
        </w:rPr>
        <w:t xml:space="preserve"> </w:t>
      </w:r>
    </w:p>
    <w:p w14:paraId="5C3EDDBD" w14:textId="77777777" w:rsidR="0075633B" w:rsidRPr="00396727" w:rsidRDefault="00D10BF6" w:rsidP="00396727">
      <w:pPr>
        <w:pStyle w:val="ListParagraph"/>
        <w:numPr>
          <w:ilvl w:val="0"/>
          <w:numId w:val="36"/>
        </w:numPr>
        <w:spacing w:before="100" w:beforeAutospacing="1" w:after="100" w:afterAutospacing="1" w:line="240" w:lineRule="auto"/>
        <w:rPr>
          <w:rFonts w:ascii="Times New Roman" w:hAnsi="Times New Roman" w:cs="Times New Roman"/>
          <w:sz w:val="24"/>
          <w:szCs w:val="24"/>
          <w:highlight w:val="yellow"/>
        </w:rPr>
      </w:pPr>
      <w:r w:rsidRPr="00396727">
        <w:rPr>
          <w:rFonts w:ascii="Times New Roman" w:hAnsi="Times New Roman" w:cs="Times New Roman"/>
          <w:sz w:val="24"/>
          <w:szCs w:val="24"/>
          <w:highlight w:val="yellow"/>
        </w:rPr>
        <w:lastRenderedPageBreak/>
        <w:t>Asantewaa, A. A., Odoom, A., Owusu-Okyere, G., &amp; Donkor, E. S. (2024). Cholera Outbreaks in Low- and Middle-Income Countries in the Last Decade: A Systematic Review and Meta-Analysis. </w:t>
      </w:r>
      <w:r w:rsidRPr="00396727">
        <w:rPr>
          <w:rFonts w:ascii="Times New Roman" w:hAnsi="Times New Roman" w:cs="Times New Roman"/>
          <w:i/>
          <w:iCs/>
          <w:sz w:val="24"/>
          <w:szCs w:val="24"/>
          <w:highlight w:val="yellow"/>
        </w:rPr>
        <w:t>Microorganisms</w:t>
      </w:r>
      <w:r w:rsidRPr="00396727">
        <w:rPr>
          <w:rFonts w:ascii="Times New Roman" w:hAnsi="Times New Roman" w:cs="Times New Roman"/>
          <w:sz w:val="24"/>
          <w:szCs w:val="24"/>
          <w:highlight w:val="yellow"/>
        </w:rPr>
        <w:t>, </w:t>
      </w:r>
      <w:r w:rsidRPr="00396727">
        <w:rPr>
          <w:rFonts w:ascii="Times New Roman" w:hAnsi="Times New Roman" w:cs="Times New Roman"/>
          <w:i/>
          <w:iCs/>
          <w:sz w:val="24"/>
          <w:szCs w:val="24"/>
          <w:highlight w:val="yellow"/>
        </w:rPr>
        <w:t>12</w:t>
      </w:r>
      <w:r w:rsidRPr="00396727">
        <w:rPr>
          <w:rFonts w:ascii="Times New Roman" w:hAnsi="Times New Roman" w:cs="Times New Roman"/>
          <w:sz w:val="24"/>
          <w:szCs w:val="24"/>
          <w:highlight w:val="yellow"/>
        </w:rPr>
        <w:t xml:space="preserve">(12), 2504. </w:t>
      </w:r>
      <w:hyperlink r:id="rId9" w:history="1">
        <w:r w:rsidR="0075633B" w:rsidRPr="00396727">
          <w:rPr>
            <w:rStyle w:val="Hyperlink"/>
            <w:rFonts w:ascii="Times New Roman" w:hAnsi="Times New Roman" w:cs="Times New Roman"/>
            <w:sz w:val="24"/>
            <w:szCs w:val="24"/>
            <w:highlight w:val="yellow"/>
          </w:rPr>
          <w:t>https://doi.org/10.3390/microorganisms12122504</w:t>
        </w:r>
      </w:hyperlink>
      <w:r w:rsidR="0075633B" w:rsidRPr="00396727">
        <w:rPr>
          <w:rFonts w:ascii="Times New Roman" w:hAnsi="Times New Roman" w:cs="Times New Roman"/>
          <w:sz w:val="24"/>
          <w:szCs w:val="24"/>
          <w:highlight w:val="yellow"/>
        </w:rPr>
        <w:t xml:space="preserve"> </w:t>
      </w:r>
    </w:p>
    <w:p w14:paraId="278CDC51" w14:textId="77777777" w:rsidR="0075633B" w:rsidRPr="00396727" w:rsidRDefault="0075633B" w:rsidP="00396727">
      <w:pPr>
        <w:pStyle w:val="ListParagraph"/>
        <w:numPr>
          <w:ilvl w:val="0"/>
          <w:numId w:val="36"/>
        </w:numPr>
        <w:spacing w:before="100" w:beforeAutospacing="1" w:after="100" w:afterAutospacing="1" w:line="240" w:lineRule="auto"/>
        <w:rPr>
          <w:rFonts w:ascii="Times New Roman" w:hAnsi="Times New Roman" w:cs="Times New Roman"/>
          <w:sz w:val="24"/>
          <w:szCs w:val="24"/>
          <w:highlight w:val="yellow"/>
        </w:rPr>
      </w:pPr>
      <w:r w:rsidRPr="00396727">
        <w:rPr>
          <w:rFonts w:ascii="Times New Roman" w:hAnsi="Times New Roman" w:cs="Times New Roman"/>
          <w:sz w:val="24"/>
          <w:szCs w:val="24"/>
          <w:highlight w:val="yellow"/>
        </w:rPr>
        <w:t xml:space="preserve">Kayembe, H. C., </w:t>
      </w:r>
      <w:proofErr w:type="spellStart"/>
      <w:r w:rsidRPr="00396727">
        <w:rPr>
          <w:rFonts w:ascii="Times New Roman" w:hAnsi="Times New Roman" w:cs="Times New Roman"/>
          <w:sz w:val="24"/>
          <w:szCs w:val="24"/>
          <w:highlight w:val="yellow"/>
        </w:rPr>
        <w:t>Bompangue</w:t>
      </w:r>
      <w:proofErr w:type="spellEnd"/>
      <w:r w:rsidRPr="00396727">
        <w:rPr>
          <w:rFonts w:ascii="Times New Roman" w:hAnsi="Times New Roman" w:cs="Times New Roman"/>
          <w:sz w:val="24"/>
          <w:szCs w:val="24"/>
          <w:highlight w:val="yellow"/>
        </w:rPr>
        <w:t xml:space="preserve">, D., Linard, C., </w:t>
      </w:r>
      <w:proofErr w:type="spellStart"/>
      <w:r w:rsidRPr="00396727">
        <w:rPr>
          <w:rFonts w:ascii="Times New Roman" w:hAnsi="Times New Roman" w:cs="Times New Roman"/>
          <w:sz w:val="24"/>
          <w:szCs w:val="24"/>
          <w:highlight w:val="yellow"/>
        </w:rPr>
        <w:t>Mandja</w:t>
      </w:r>
      <w:proofErr w:type="spellEnd"/>
      <w:r w:rsidRPr="00396727">
        <w:rPr>
          <w:rFonts w:ascii="Times New Roman" w:hAnsi="Times New Roman" w:cs="Times New Roman"/>
          <w:sz w:val="24"/>
          <w:szCs w:val="24"/>
          <w:highlight w:val="yellow"/>
        </w:rPr>
        <w:t xml:space="preserve">, B. A., </w:t>
      </w:r>
      <w:proofErr w:type="spellStart"/>
      <w:r w:rsidRPr="00396727">
        <w:rPr>
          <w:rFonts w:ascii="Times New Roman" w:hAnsi="Times New Roman" w:cs="Times New Roman"/>
          <w:sz w:val="24"/>
          <w:szCs w:val="24"/>
          <w:highlight w:val="yellow"/>
        </w:rPr>
        <w:t>Batumbo</w:t>
      </w:r>
      <w:proofErr w:type="spellEnd"/>
      <w:r w:rsidRPr="00396727">
        <w:rPr>
          <w:rFonts w:ascii="Times New Roman" w:hAnsi="Times New Roman" w:cs="Times New Roman"/>
          <w:sz w:val="24"/>
          <w:szCs w:val="24"/>
          <w:highlight w:val="yellow"/>
        </w:rPr>
        <w:t>, D., Matunga, M., ... &amp; Ozer, P. (2023). Drivers of the dynamics of the spread of cholera in the Democratic Republic of the Congo, 2000–2018: an eco-epidemiological study. </w:t>
      </w:r>
      <w:proofErr w:type="spellStart"/>
      <w:r w:rsidRPr="00396727">
        <w:rPr>
          <w:rFonts w:ascii="Times New Roman" w:hAnsi="Times New Roman" w:cs="Times New Roman"/>
          <w:i/>
          <w:iCs/>
          <w:sz w:val="24"/>
          <w:szCs w:val="24"/>
          <w:highlight w:val="yellow"/>
        </w:rPr>
        <w:t>PLoS</w:t>
      </w:r>
      <w:proofErr w:type="spellEnd"/>
      <w:r w:rsidRPr="00396727">
        <w:rPr>
          <w:rFonts w:ascii="Times New Roman" w:hAnsi="Times New Roman" w:cs="Times New Roman"/>
          <w:i/>
          <w:iCs/>
          <w:sz w:val="24"/>
          <w:szCs w:val="24"/>
          <w:highlight w:val="yellow"/>
        </w:rPr>
        <w:t xml:space="preserve"> neglected tropical diseases</w:t>
      </w:r>
      <w:r w:rsidRPr="00396727">
        <w:rPr>
          <w:rFonts w:ascii="Times New Roman" w:hAnsi="Times New Roman" w:cs="Times New Roman"/>
          <w:sz w:val="24"/>
          <w:szCs w:val="24"/>
          <w:highlight w:val="yellow"/>
        </w:rPr>
        <w:t>, </w:t>
      </w:r>
      <w:r w:rsidRPr="00396727">
        <w:rPr>
          <w:rFonts w:ascii="Times New Roman" w:hAnsi="Times New Roman" w:cs="Times New Roman"/>
          <w:i/>
          <w:iCs/>
          <w:sz w:val="24"/>
          <w:szCs w:val="24"/>
          <w:highlight w:val="yellow"/>
        </w:rPr>
        <w:t>17</w:t>
      </w:r>
      <w:r w:rsidRPr="00396727">
        <w:rPr>
          <w:rFonts w:ascii="Times New Roman" w:hAnsi="Times New Roman" w:cs="Times New Roman"/>
          <w:sz w:val="24"/>
          <w:szCs w:val="24"/>
          <w:highlight w:val="yellow"/>
        </w:rPr>
        <w:t xml:space="preserve">(8), e0011597. </w:t>
      </w:r>
    </w:p>
    <w:p w14:paraId="0CF4021C" w14:textId="44AFCE5F" w:rsidR="00D10BF6" w:rsidRPr="00396727" w:rsidRDefault="0075633B" w:rsidP="00396727">
      <w:pPr>
        <w:pStyle w:val="ListParagraph"/>
        <w:numPr>
          <w:ilvl w:val="0"/>
          <w:numId w:val="36"/>
        </w:numPr>
        <w:spacing w:before="100" w:beforeAutospacing="1" w:after="100" w:afterAutospacing="1" w:line="240" w:lineRule="auto"/>
        <w:rPr>
          <w:rFonts w:ascii="Times New Roman" w:hAnsi="Times New Roman" w:cs="Times New Roman"/>
          <w:sz w:val="24"/>
          <w:szCs w:val="24"/>
          <w:highlight w:val="yellow"/>
          <w:lang w:val="en-US"/>
        </w:rPr>
      </w:pPr>
      <w:r w:rsidRPr="00396727">
        <w:rPr>
          <w:rFonts w:ascii="Times New Roman" w:hAnsi="Times New Roman" w:cs="Times New Roman"/>
          <w:sz w:val="24"/>
          <w:szCs w:val="24"/>
          <w:highlight w:val="yellow"/>
        </w:rPr>
        <w:t xml:space="preserve">Dafallah, I. A. E., </w:t>
      </w:r>
      <w:proofErr w:type="spellStart"/>
      <w:r w:rsidRPr="00396727">
        <w:rPr>
          <w:rFonts w:ascii="Times New Roman" w:hAnsi="Times New Roman" w:cs="Times New Roman"/>
          <w:sz w:val="24"/>
          <w:szCs w:val="24"/>
          <w:highlight w:val="yellow"/>
        </w:rPr>
        <w:t>Wedatalla</w:t>
      </w:r>
      <w:proofErr w:type="spellEnd"/>
      <w:r w:rsidRPr="00396727">
        <w:rPr>
          <w:rFonts w:ascii="Times New Roman" w:hAnsi="Times New Roman" w:cs="Times New Roman"/>
          <w:sz w:val="24"/>
          <w:szCs w:val="24"/>
          <w:highlight w:val="yellow"/>
        </w:rPr>
        <w:t xml:space="preserve">, R. A. E., Alshareef, A. M., Ibrahim, A. A., &amp; </w:t>
      </w:r>
      <w:proofErr w:type="spellStart"/>
      <w:r w:rsidRPr="00396727">
        <w:rPr>
          <w:rFonts w:ascii="Times New Roman" w:hAnsi="Times New Roman" w:cs="Times New Roman"/>
          <w:sz w:val="24"/>
          <w:szCs w:val="24"/>
          <w:highlight w:val="yellow"/>
        </w:rPr>
        <w:t>Elfaki</w:t>
      </w:r>
      <w:proofErr w:type="spellEnd"/>
      <w:r w:rsidRPr="00396727">
        <w:rPr>
          <w:rFonts w:ascii="Times New Roman" w:hAnsi="Times New Roman" w:cs="Times New Roman"/>
          <w:sz w:val="24"/>
          <w:szCs w:val="24"/>
          <w:highlight w:val="yellow"/>
        </w:rPr>
        <w:t>, Z. E. (2026). Assessing cholera knowledge among internally displaced persons in Kassala, Sudan: a community-based cross-sectional study. </w:t>
      </w:r>
      <w:r w:rsidRPr="00396727">
        <w:rPr>
          <w:rFonts w:ascii="Times New Roman" w:hAnsi="Times New Roman" w:cs="Times New Roman"/>
          <w:i/>
          <w:iCs/>
          <w:sz w:val="24"/>
          <w:szCs w:val="24"/>
          <w:highlight w:val="yellow"/>
        </w:rPr>
        <w:t>Journal of Water and Health</w:t>
      </w:r>
      <w:r w:rsidRPr="00396727">
        <w:rPr>
          <w:rFonts w:ascii="Times New Roman" w:hAnsi="Times New Roman" w:cs="Times New Roman"/>
          <w:sz w:val="24"/>
          <w:szCs w:val="24"/>
          <w:highlight w:val="yellow"/>
        </w:rPr>
        <w:t>.</w:t>
      </w:r>
    </w:p>
    <w:bookmarkEnd w:id="1"/>
    <w:p w14:paraId="08019AC8" w14:textId="77777777" w:rsidR="00D10BF6" w:rsidRPr="00D10BF6" w:rsidRDefault="00D10BF6" w:rsidP="00D10B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1267A">
        <w:rPr>
          <w:rFonts w:ascii="Times New Roman" w:eastAsia="Times New Roman" w:hAnsi="Times New Roman" w:cs="Times New Roman"/>
          <w:kern w:val="0"/>
          <w:sz w:val="24"/>
          <w:szCs w:val="24"/>
          <w:highlight w:val="yellow"/>
          <w:lang w:val="en-US"/>
          <w14:ligatures w14:val="none"/>
        </w:rPr>
        <w:t>‌</w:t>
      </w:r>
    </w:p>
    <w:p w14:paraId="1E4D6365" w14:textId="409B9D62" w:rsidR="003D06F6" w:rsidRPr="003D06F6" w:rsidRDefault="003D06F6" w:rsidP="003D06F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19EAE43F" w14:textId="77777777" w:rsidR="003D06F6" w:rsidRPr="003D06F6" w:rsidRDefault="003D06F6" w:rsidP="003D06F6">
      <w:pPr>
        <w:pBdr>
          <w:top w:val="single" w:sz="6" w:space="1" w:color="auto"/>
        </w:pBdr>
        <w:spacing w:after="0" w:line="240" w:lineRule="auto"/>
        <w:jc w:val="center"/>
        <w:rPr>
          <w:rFonts w:ascii="Arial" w:eastAsia="Times New Roman" w:hAnsi="Arial" w:cs="Arial"/>
          <w:vanish/>
          <w:kern w:val="0"/>
          <w:sz w:val="16"/>
          <w:szCs w:val="16"/>
          <w:lang w:val="en-US"/>
          <w14:ligatures w14:val="none"/>
        </w:rPr>
      </w:pPr>
      <w:r w:rsidRPr="003D06F6">
        <w:rPr>
          <w:rFonts w:ascii="Arial" w:eastAsia="Times New Roman" w:hAnsi="Arial" w:cs="Arial"/>
          <w:vanish/>
          <w:kern w:val="0"/>
          <w:sz w:val="16"/>
          <w:szCs w:val="16"/>
          <w:lang w:val="en-US"/>
          <w14:ligatures w14:val="none"/>
        </w:rPr>
        <w:t>Bottom of Form</w:t>
      </w:r>
    </w:p>
    <w:p w14:paraId="63431475" w14:textId="77777777" w:rsidR="002231A3" w:rsidRPr="00235994" w:rsidRDefault="002231A3" w:rsidP="00503EE7">
      <w:pPr>
        <w:spacing w:after="0" w:line="480" w:lineRule="auto"/>
        <w:jc w:val="both"/>
        <w:rPr>
          <w:rFonts w:ascii="Times New Roman" w:hAnsi="Times New Roman" w:cs="Times New Roman"/>
          <w:sz w:val="24"/>
          <w:szCs w:val="24"/>
        </w:rPr>
      </w:pPr>
    </w:p>
    <w:sectPr w:rsidR="002231A3" w:rsidRPr="002359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EB422" w14:textId="77777777" w:rsidR="00E53632" w:rsidRDefault="00E53632" w:rsidP="000B1A56">
      <w:pPr>
        <w:spacing w:after="0" w:line="240" w:lineRule="auto"/>
      </w:pPr>
      <w:r>
        <w:separator/>
      </w:r>
    </w:p>
  </w:endnote>
  <w:endnote w:type="continuationSeparator" w:id="0">
    <w:p w14:paraId="5859F774" w14:textId="77777777" w:rsidR="00E53632" w:rsidRDefault="00E53632" w:rsidP="000B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National Bold">
    <w:altName w:val="Nation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F07C" w14:textId="77777777" w:rsidR="000B1A56" w:rsidRDefault="000B1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0458" w14:textId="77777777" w:rsidR="000B1A56" w:rsidRDefault="000B1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801C" w14:textId="77777777" w:rsidR="000B1A56" w:rsidRDefault="000B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454C0" w14:textId="77777777" w:rsidR="00E53632" w:rsidRDefault="00E53632" w:rsidP="000B1A56">
      <w:pPr>
        <w:spacing w:after="0" w:line="240" w:lineRule="auto"/>
      </w:pPr>
      <w:r>
        <w:separator/>
      </w:r>
    </w:p>
  </w:footnote>
  <w:footnote w:type="continuationSeparator" w:id="0">
    <w:p w14:paraId="52F20A6F" w14:textId="77777777" w:rsidR="00E53632" w:rsidRDefault="00E53632" w:rsidP="000B1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0FD0" w14:textId="08FB828D" w:rsidR="000B1A56" w:rsidRDefault="00E53632">
    <w:pPr>
      <w:pStyle w:val="Header"/>
    </w:pPr>
    <w:r>
      <w:rPr>
        <w:noProof/>
      </w:rPr>
      <w:pict w14:anchorId="76BE9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42D8" w14:textId="19FA1F16" w:rsidR="000B1A56" w:rsidRDefault="00E53632">
    <w:pPr>
      <w:pStyle w:val="Header"/>
    </w:pPr>
    <w:r>
      <w:rPr>
        <w:noProof/>
      </w:rPr>
      <w:pict w14:anchorId="4CD4C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6F85" w14:textId="7CBBD6D7" w:rsidR="000B1A56" w:rsidRDefault="00E53632">
    <w:pPr>
      <w:pStyle w:val="Header"/>
    </w:pPr>
    <w:r>
      <w:rPr>
        <w:noProof/>
      </w:rPr>
      <w:pict w14:anchorId="0B23F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8D8"/>
    <w:multiLevelType w:val="hybridMultilevel"/>
    <w:tmpl w:val="A43AC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39C3"/>
    <w:multiLevelType w:val="multilevel"/>
    <w:tmpl w:val="5708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626FC"/>
    <w:multiLevelType w:val="multilevel"/>
    <w:tmpl w:val="746A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90DB1"/>
    <w:multiLevelType w:val="multilevel"/>
    <w:tmpl w:val="C3B0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7704B"/>
    <w:multiLevelType w:val="multilevel"/>
    <w:tmpl w:val="76B6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05996"/>
    <w:multiLevelType w:val="multilevel"/>
    <w:tmpl w:val="3F84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A73D9"/>
    <w:multiLevelType w:val="multilevel"/>
    <w:tmpl w:val="427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52428"/>
    <w:multiLevelType w:val="multilevel"/>
    <w:tmpl w:val="A52060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7482616"/>
    <w:multiLevelType w:val="multilevel"/>
    <w:tmpl w:val="C8F0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33779"/>
    <w:multiLevelType w:val="multilevel"/>
    <w:tmpl w:val="D48E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9010B"/>
    <w:multiLevelType w:val="multilevel"/>
    <w:tmpl w:val="61D2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E2F3A"/>
    <w:multiLevelType w:val="multilevel"/>
    <w:tmpl w:val="068E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D19DB"/>
    <w:multiLevelType w:val="multilevel"/>
    <w:tmpl w:val="2C1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E6DBD"/>
    <w:multiLevelType w:val="multilevel"/>
    <w:tmpl w:val="8B48D252"/>
    <w:lvl w:ilvl="0">
      <w:start w:val="3"/>
      <w:numFmt w:val="decimal"/>
      <w:lvlText w:val="%1"/>
      <w:lvlJc w:val="left"/>
      <w:pPr>
        <w:ind w:left="585" w:hanging="585"/>
      </w:pPr>
      <w:rPr>
        <w:rFonts w:hint="default"/>
        <w:b/>
        <w:color w:val="000000"/>
      </w:rPr>
    </w:lvl>
    <w:lvl w:ilvl="1">
      <w:start w:val="11"/>
      <w:numFmt w:val="decimal"/>
      <w:lvlText w:val="%1.%2"/>
      <w:lvlJc w:val="left"/>
      <w:pPr>
        <w:ind w:left="585" w:hanging="585"/>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4" w15:restartNumberingAfterBreak="0">
    <w:nsid w:val="3BF32777"/>
    <w:multiLevelType w:val="multilevel"/>
    <w:tmpl w:val="556C96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5D24C3"/>
    <w:multiLevelType w:val="multilevel"/>
    <w:tmpl w:val="2BC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650F9"/>
    <w:multiLevelType w:val="multilevel"/>
    <w:tmpl w:val="4CA6EB44"/>
    <w:lvl w:ilvl="0">
      <w:start w:val="3"/>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40017B"/>
    <w:multiLevelType w:val="multilevel"/>
    <w:tmpl w:val="EE9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608DB"/>
    <w:multiLevelType w:val="multilevel"/>
    <w:tmpl w:val="F37C7C56"/>
    <w:lvl w:ilvl="0">
      <w:start w:val="3"/>
      <w:numFmt w:val="decimal"/>
      <w:lvlText w:val="%1"/>
      <w:lvlJc w:val="left"/>
      <w:pPr>
        <w:ind w:left="600" w:hanging="600"/>
      </w:pPr>
      <w:rPr>
        <w:rFonts w:hint="default"/>
        <w:b/>
      </w:rPr>
    </w:lvl>
    <w:lvl w:ilvl="1">
      <w:start w:val="13"/>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9150177"/>
    <w:multiLevelType w:val="multilevel"/>
    <w:tmpl w:val="D690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05149"/>
    <w:multiLevelType w:val="multilevel"/>
    <w:tmpl w:val="510E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725D3"/>
    <w:multiLevelType w:val="multilevel"/>
    <w:tmpl w:val="744E52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D61D08"/>
    <w:multiLevelType w:val="hybridMultilevel"/>
    <w:tmpl w:val="07C43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B0837"/>
    <w:multiLevelType w:val="multilevel"/>
    <w:tmpl w:val="BAAAC518"/>
    <w:lvl w:ilvl="0">
      <w:start w:val="3"/>
      <w:numFmt w:val="decimal"/>
      <w:lvlText w:val="%1"/>
      <w:lvlJc w:val="left"/>
      <w:pPr>
        <w:ind w:left="780" w:hanging="780"/>
      </w:pPr>
      <w:rPr>
        <w:rFonts w:eastAsia="Times New Roman" w:hint="default"/>
        <w:b/>
      </w:rPr>
    </w:lvl>
    <w:lvl w:ilvl="1">
      <w:start w:val="11"/>
      <w:numFmt w:val="decimal"/>
      <w:lvlText w:val="%1.%2"/>
      <w:lvlJc w:val="left"/>
      <w:pPr>
        <w:ind w:left="780" w:hanging="780"/>
      </w:pPr>
      <w:rPr>
        <w:rFonts w:eastAsia="Times New Roman" w:hint="default"/>
        <w:b/>
      </w:rPr>
    </w:lvl>
    <w:lvl w:ilvl="2">
      <w:start w:val="3"/>
      <w:numFmt w:val="decimal"/>
      <w:lvlText w:val="%1.%2.%3"/>
      <w:lvlJc w:val="left"/>
      <w:pPr>
        <w:ind w:left="780" w:hanging="780"/>
      </w:pPr>
      <w:rPr>
        <w:rFonts w:eastAsia="Times New Roman" w:hint="default"/>
        <w:b/>
      </w:rPr>
    </w:lvl>
    <w:lvl w:ilvl="3">
      <w:start w:val="4"/>
      <w:numFmt w:val="decimal"/>
      <w:lvlText w:val="%1.%2.%3.%4"/>
      <w:lvlJc w:val="left"/>
      <w:pPr>
        <w:ind w:left="780" w:hanging="7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52317B75"/>
    <w:multiLevelType w:val="multilevel"/>
    <w:tmpl w:val="299A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123EF"/>
    <w:multiLevelType w:val="multilevel"/>
    <w:tmpl w:val="9D6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61528"/>
    <w:multiLevelType w:val="hybridMultilevel"/>
    <w:tmpl w:val="AF306DD8"/>
    <w:lvl w:ilvl="0" w:tplc="0409001B">
      <w:start w:val="1"/>
      <w:numFmt w:val="low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7" w15:restartNumberingAfterBreak="0">
    <w:nsid w:val="699C446A"/>
    <w:multiLevelType w:val="hybridMultilevel"/>
    <w:tmpl w:val="9DFAF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30D62"/>
    <w:multiLevelType w:val="multilevel"/>
    <w:tmpl w:val="1A8E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F57B3"/>
    <w:multiLevelType w:val="multilevel"/>
    <w:tmpl w:val="657A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013D64"/>
    <w:multiLevelType w:val="multilevel"/>
    <w:tmpl w:val="B8DC8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1831D3"/>
    <w:multiLevelType w:val="multilevel"/>
    <w:tmpl w:val="42BC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2F627D"/>
    <w:multiLevelType w:val="multilevel"/>
    <w:tmpl w:val="28D8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155D5C"/>
    <w:multiLevelType w:val="multilevel"/>
    <w:tmpl w:val="CAD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6790C"/>
    <w:multiLevelType w:val="multilevel"/>
    <w:tmpl w:val="4D2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C22236"/>
    <w:multiLevelType w:val="hybridMultilevel"/>
    <w:tmpl w:val="BEF0A0E8"/>
    <w:lvl w:ilvl="0" w:tplc="40C2D6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30"/>
  </w:num>
  <w:num w:numId="5">
    <w:abstractNumId w:val="31"/>
  </w:num>
  <w:num w:numId="6">
    <w:abstractNumId w:val="9"/>
  </w:num>
  <w:num w:numId="7">
    <w:abstractNumId w:val="21"/>
  </w:num>
  <w:num w:numId="8">
    <w:abstractNumId w:val="35"/>
  </w:num>
  <w:num w:numId="9">
    <w:abstractNumId w:val="0"/>
  </w:num>
  <w:num w:numId="10">
    <w:abstractNumId w:val="22"/>
  </w:num>
  <w:num w:numId="11">
    <w:abstractNumId w:val="26"/>
  </w:num>
  <w:num w:numId="12">
    <w:abstractNumId w:val="8"/>
  </w:num>
  <w:num w:numId="13">
    <w:abstractNumId w:val="14"/>
  </w:num>
  <w:num w:numId="14">
    <w:abstractNumId w:val="7"/>
  </w:num>
  <w:num w:numId="15">
    <w:abstractNumId w:val="16"/>
  </w:num>
  <w:num w:numId="16">
    <w:abstractNumId w:val="13"/>
  </w:num>
  <w:num w:numId="17">
    <w:abstractNumId w:val="20"/>
  </w:num>
  <w:num w:numId="18">
    <w:abstractNumId w:val="34"/>
  </w:num>
  <w:num w:numId="19">
    <w:abstractNumId w:val="2"/>
  </w:num>
  <w:num w:numId="20">
    <w:abstractNumId w:val="25"/>
  </w:num>
  <w:num w:numId="21">
    <w:abstractNumId w:val="17"/>
  </w:num>
  <w:num w:numId="22">
    <w:abstractNumId w:val="6"/>
  </w:num>
  <w:num w:numId="23">
    <w:abstractNumId w:val="12"/>
  </w:num>
  <w:num w:numId="24">
    <w:abstractNumId w:val="23"/>
  </w:num>
  <w:num w:numId="25">
    <w:abstractNumId w:val="10"/>
  </w:num>
  <w:num w:numId="26">
    <w:abstractNumId w:val="18"/>
  </w:num>
  <w:num w:numId="27">
    <w:abstractNumId w:val="29"/>
  </w:num>
  <w:num w:numId="28">
    <w:abstractNumId w:val="19"/>
  </w:num>
  <w:num w:numId="29">
    <w:abstractNumId w:val="28"/>
  </w:num>
  <w:num w:numId="30">
    <w:abstractNumId w:val="32"/>
  </w:num>
  <w:num w:numId="31">
    <w:abstractNumId w:val="11"/>
  </w:num>
  <w:num w:numId="32">
    <w:abstractNumId w:val="15"/>
  </w:num>
  <w:num w:numId="33">
    <w:abstractNumId w:val="4"/>
  </w:num>
  <w:num w:numId="34">
    <w:abstractNumId w:val="24"/>
  </w:num>
  <w:num w:numId="35">
    <w:abstractNumId w:val="3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NDMzN7M0NjU2MDNU0lEKTi0uzszPAykwrAUA65V+aiwAAAA="/>
  </w:docVars>
  <w:rsids>
    <w:rsidRoot w:val="001434E6"/>
    <w:rsid w:val="000838F3"/>
    <w:rsid w:val="000B1A56"/>
    <w:rsid w:val="0011267A"/>
    <w:rsid w:val="001434E6"/>
    <w:rsid w:val="001E0EFC"/>
    <w:rsid w:val="002231A3"/>
    <w:rsid w:val="00251E05"/>
    <w:rsid w:val="00285264"/>
    <w:rsid w:val="00331A98"/>
    <w:rsid w:val="00396727"/>
    <w:rsid w:val="003D06F6"/>
    <w:rsid w:val="004A542C"/>
    <w:rsid w:val="004F4A77"/>
    <w:rsid w:val="00503EE7"/>
    <w:rsid w:val="005F1149"/>
    <w:rsid w:val="0075633B"/>
    <w:rsid w:val="007E4179"/>
    <w:rsid w:val="008A661B"/>
    <w:rsid w:val="00962A8E"/>
    <w:rsid w:val="00B03A32"/>
    <w:rsid w:val="00B243CF"/>
    <w:rsid w:val="00B60A81"/>
    <w:rsid w:val="00B806DE"/>
    <w:rsid w:val="00C03131"/>
    <w:rsid w:val="00C32B6D"/>
    <w:rsid w:val="00CC16FE"/>
    <w:rsid w:val="00D10BF6"/>
    <w:rsid w:val="00DD79FA"/>
    <w:rsid w:val="00E53632"/>
    <w:rsid w:val="00E92F38"/>
    <w:rsid w:val="00EB6C25"/>
    <w:rsid w:val="00FD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9F8FF"/>
  <w15:chartTrackingRefBased/>
  <w15:docId w15:val="{320B8195-3E10-4632-80CB-5CF53F9F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4E6"/>
    <w:pPr>
      <w:spacing w:line="256" w:lineRule="auto"/>
    </w:pPr>
    <w:rPr>
      <w:kern w:val="2"/>
      <w:lang w:val="en-GB"/>
      <w14:ligatures w14:val="standardContextual"/>
    </w:rPr>
  </w:style>
  <w:style w:type="paragraph" w:styleId="Heading1">
    <w:name w:val="heading 1"/>
    <w:basedOn w:val="Normal"/>
    <w:next w:val="Normal"/>
    <w:link w:val="Heading1Char"/>
    <w:uiPriority w:val="9"/>
    <w:qFormat/>
    <w:rsid w:val="00C32B6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231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32B6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C32B6D"/>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6D"/>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rsid w:val="00C32B6D"/>
    <w:rPr>
      <w:rFonts w:ascii="Times New Roman" w:eastAsia="Times New Roman" w:hAnsi="Times New Roman" w:cs="Times New Roman"/>
      <w:b/>
      <w:bCs/>
      <w:sz w:val="27"/>
      <w:szCs w:val="27"/>
      <w:lang w:val="en-GB"/>
    </w:rPr>
  </w:style>
  <w:style w:type="character" w:customStyle="1" w:styleId="Heading4Char">
    <w:name w:val="Heading 4 Char"/>
    <w:basedOn w:val="DefaultParagraphFont"/>
    <w:link w:val="Heading4"/>
    <w:uiPriority w:val="9"/>
    <w:semiHidden/>
    <w:rsid w:val="00C32B6D"/>
    <w:rPr>
      <w:rFonts w:asciiTheme="majorHAnsi" w:eastAsiaTheme="majorEastAsia" w:hAnsiTheme="majorHAnsi" w:cstheme="majorBidi"/>
      <w:i/>
      <w:iCs/>
      <w:color w:val="2E74B5" w:themeColor="accent1" w:themeShade="BF"/>
      <w:kern w:val="2"/>
      <w:lang w:val="en-GB"/>
      <w14:ligatures w14:val="standardContextual"/>
    </w:rPr>
  </w:style>
  <w:style w:type="paragraph" w:styleId="NormalWeb">
    <w:name w:val="Normal (Web)"/>
    <w:basedOn w:val="Normal"/>
    <w:uiPriority w:val="99"/>
    <w:unhideWhenUsed/>
    <w:rsid w:val="00C32B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32B6D"/>
    <w:pPr>
      <w:spacing w:line="259" w:lineRule="auto"/>
      <w:ind w:left="720"/>
      <w:contextualSpacing/>
    </w:pPr>
    <w:rPr>
      <w:kern w:val="0"/>
      <w14:ligatures w14:val="none"/>
    </w:rPr>
  </w:style>
  <w:style w:type="paragraph" w:styleId="Header">
    <w:name w:val="header"/>
    <w:basedOn w:val="Normal"/>
    <w:link w:val="HeaderChar"/>
    <w:uiPriority w:val="99"/>
    <w:unhideWhenUsed/>
    <w:rsid w:val="00C3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B6D"/>
    <w:rPr>
      <w:kern w:val="2"/>
      <w:lang w:val="en-GB"/>
      <w14:ligatures w14:val="standardContextual"/>
    </w:rPr>
  </w:style>
  <w:style w:type="paragraph" w:styleId="Footer">
    <w:name w:val="footer"/>
    <w:basedOn w:val="Normal"/>
    <w:link w:val="FooterChar"/>
    <w:uiPriority w:val="99"/>
    <w:unhideWhenUsed/>
    <w:rsid w:val="00C3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B6D"/>
    <w:rPr>
      <w:kern w:val="2"/>
      <w:lang w:val="en-GB"/>
      <w14:ligatures w14:val="standardContextual"/>
    </w:rPr>
  </w:style>
  <w:style w:type="character" w:styleId="Hyperlink">
    <w:name w:val="Hyperlink"/>
    <w:basedOn w:val="DefaultParagraphFont"/>
    <w:uiPriority w:val="99"/>
    <w:unhideWhenUsed/>
    <w:rsid w:val="00C32B6D"/>
    <w:rPr>
      <w:color w:val="0563C1" w:themeColor="hyperlink"/>
      <w:u w:val="single"/>
    </w:rPr>
  </w:style>
  <w:style w:type="paragraph" w:customStyle="1" w:styleId="pw-post-body-paragraph">
    <w:name w:val="pw-post-body-paragraph"/>
    <w:basedOn w:val="Normal"/>
    <w:rsid w:val="00C32B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ditortnoteditedlongjunnx">
    <w:name w:val="editor_t__not_edited_long__junnx"/>
    <w:basedOn w:val="DefaultParagraphFont"/>
    <w:rsid w:val="00C32B6D"/>
  </w:style>
  <w:style w:type="character" w:customStyle="1" w:styleId="editortaddedltunj">
    <w:name w:val="editor_t__added__ltunj"/>
    <w:basedOn w:val="DefaultParagraphFont"/>
    <w:rsid w:val="00C32B6D"/>
  </w:style>
  <w:style w:type="character" w:customStyle="1" w:styleId="editortnoteditedwurp8">
    <w:name w:val="editor_t__not_edited__wurp8"/>
    <w:basedOn w:val="DefaultParagraphFont"/>
    <w:rsid w:val="00C32B6D"/>
  </w:style>
  <w:style w:type="paragraph" w:customStyle="1" w:styleId="Default">
    <w:name w:val="Default"/>
    <w:rsid w:val="00C32B6D"/>
    <w:pPr>
      <w:autoSpaceDE w:val="0"/>
      <w:autoSpaceDN w:val="0"/>
      <w:adjustRightInd w:val="0"/>
      <w:spacing w:after="0" w:line="240" w:lineRule="auto"/>
    </w:pPr>
    <w:rPr>
      <w:rFonts w:ascii="Book Antiqua" w:hAnsi="Book Antiqua" w:cs="Book Antiqua"/>
      <w:color w:val="000000"/>
      <w:sz w:val="24"/>
      <w:szCs w:val="24"/>
    </w:rPr>
  </w:style>
  <w:style w:type="character" w:customStyle="1" w:styleId="author-wrapper">
    <w:name w:val="author-wrapper"/>
    <w:basedOn w:val="DefaultParagraphFont"/>
    <w:rsid w:val="00C32B6D"/>
  </w:style>
  <w:style w:type="character" w:styleId="Strong">
    <w:name w:val="Strong"/>
    <w:basedOn w:val="DefaultParagraphFont"/>
    <w:uiPriority w:val="22"/>
    <w:qFormat/>
    <w:rsid w:val="00C32B6D"/>
    <w:rPr>
      <w:b/>
      <w:bCs/>
    </w:rPr>
  </w:style>
  <w:style w:type="character" w:styleId="Emphasis">
    <w:name w:val="Emphasis"/>
    <w:basedOn w:val="DefaultParagraphFont"/>
    <w:uiPriority w:val="20"/>
    <w:qFormat/>
    <w:rsid w:val="00C32B6D"/>
    <w:rPr>
      <w:i/>
      <w:iCs/>
    </w:rPr>
  </w:style>
  <w:style w:type="character" w:customStyle="1" w:styleId="A2">
    <w:name w:val="A2"/>
    <w:uiPriority w:val="99"/>
    <w:rsid w:val="00C32B6D"/>
    <w:rPr>
      <w:rFonts w:cs="Optima LT Std"/>
      <w:color w:val="000000"/>
      <w:sz w:val="16"/>
      <w:szCs w:val="16"/>
    </w:rPr>
  </w:style>
  <w:style w:type="character" w:customStyle="1" w:styleId="A5">
    <w:name w:val="A5"/>
    <w:uiPriority w:val="99"/>
    <w:rsid w:val="00C32B6D"/>
    <w:rPr>
      <w:rFonts w:cs="National Bold"/>
      <w:b/>
      <w:bCs/>
      <w:color w:val="000000"/>
      <w:sz w:val="12"/>
      <w:szCs w:val="12"/>
    </w:rPr>
  </w:style>
  <w:style w:type="character" w:customStyle="1" w:styleId="BalloonTextChar">
    <w:name w:val="Balloon Text Char"/>
    <w:basedOn w:val="DefaultParagraphFont"/>
    <w:link w:val="BalloonText"/>
    <w:uiPriority w:val="99"/>
    <w:semiHidden/>
    <w:rsid w:val="00C32B6D"/>
    <w:rPr>
      <w:rFonts w:ascii="Segoe UI" w:hAnsi="Segoe UI" w:cs="Segoe UI"/>
      <w:kern w:val="2"/>
      <w:sz w:val="18"/>
      <w:szCs w:val="18"/>
      <w:lang w:val="en-GB"/>
      <w14:ligatures w14:val="standardContextual"/>
    </w:rPr>
  </w:style>
  <w:style w:type="paragraph" w:styleId="BalloonText">
    <w:name w:val="Balloon Text"/>
    <w:basedOn w:val="Normal"/>
    <w:link w:val="BalloonTextChar"/>
    <w:uiPriority w:val="99"/>
    <w:semiHidden/>
    <w:unhideWhenUsed/>
    <w:rsid w:val="00C32B6D"/>
    <w:pPr>
      <w:spacing w:after="0" w:line="240" w:lineRule="auto"/>
    </w:pPr>
    <w:rPr>
      <w:rFonts w:ascii="Segoe UI" w:hAnsi="Segoe UI" w:cs="Segoe UI"/>
      <w:sz w:val="18"/>
      <w:szCs w:val="18"/>
    </w:rPr>
  </w:style>
  <w:style w:type="character" w:customStyle="1" w:styleId="Heading2Char">
    <w:name w:val="Heading 2 Char"/>
    <w:basedOn w:val="DefaultParagraphFont"/>
    <w:link w:val="Heading2"/>
    <w:uiPriority w:val="9"/>
    <w:semiHidden/>
    <w:rsid w:val="002231A3"/>
    <w:rPr>
      <w:rFonts w:asciiTheme="majorHAnsi" w:eastAsiaTheme="majorEastAsia" w:hAnsiTheme="majorHAnsi" w:cstheme="majorBidi"/>
      <w:color w:val="2E74B5" w:themeColor="accent1" w:themeShade="BF"/>
      <w:kern w:val="2"/>
      <w:sz w:val="26"/>
      <w:szCs w:val="26"/>
      <w:lang w:val="en-GB"/>
      <w14:ligatures w14:val="standardContextual"/>
    </w:rPr>
  </w:style>
  <w:style w:type="paragraph" w:styleId="Revision">
    <w:name w:val="Revision"/>
    <w:hidden/>
    <w:uiPriority w:val="99"/>
    <w:semiHidden/>
    <w:rsid w:val="00C03131"/>
    <w:pPr>
      <w:spacing w:after="0" w:line="240" w:lineRule="auto"/>
    </w:pPr>
    <w:rPr>
      <w:kern w:val="2"/>
      <w:lang w:val="en-GB"/>
      <w14:ligatures w14:val="standardContextual"/>
    </w:rPr>
  </w:style>
  <w:style w:type="character" w:styleId="UnresolvedMention">
    <w:name w:val="Unresolved Mention"/>
    <w:basedOn w:val="DefaultParagraphFont"/>
    <w:uiPriority w:val="99"/>
    <w:semiHidden/>
    <w:unhideWhenUsed/>
    <w:rsid w:val="00D10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9691">
      <w:bodyDiv w:val="1"/>
      <w:marLeft w:val="0"/>
      <w:marRight w:val="0"/>
      <w:marTop w:val="0"/>
      <w:marBottom w:val="0"/>
      <w:divBdr>
        <w:top w:val="none" w:sz="0" w:space="0" w:color="auto"/>
        <w:left w:val="none" w:sz="0" w:space="0" w:color="auto"/>
        <w:bottom w:val="none" w:sz="0" w:space="0" w:color="auto"/>
        <w:right w:val="none" w:sz="0" w:space="0" w:color="auto"/>
      </w:divBdr>
    </w:div>
    <w:div w:id="728916055">
      <w:bodyDiv w:val="1"/>
      <w:marLeft w:val="0"/>
      <w:marRight w:val="0"/>
      <w:marTop w:val="0"/>
      <w:marBottom w:val="0"/>
      <w:divBdr>
        <w:top w:val="none" w:sz="0" w:space="0" w:color="auto"/>
        <w:left w:val="none" w:sz="0" w:space="0" w:color="auto"/>
        <w:bottom w:val="none" w:sz="0" w:space="0" w:color="auto"/>
        <w:right w:val="none" w:sz="0" w:space="0" w:color="auto"/>
      </w:divBdr>
      <w:divsChild>
        <w:div w:id="775443600">
          <w:marLeft w:val="0"/>
          <w:marRight w:val="0"/>
          <w:marTop w:val="0"/>
          <w:marBottom w:val="0"/>
          <w:divBdr>
            <w:top w:val="none" w:sz="0" w:space="0" w:color="auto"/>
            <w:left w:val="none" w:sz="0" w:space="0" w:color="auto"/>
            <w:bottom w:val="none" w:sz="0" w:space="0" w:color="auto"/>
            <w:right w:val="none" w:sz="0" w:space="0" w:color="auto"/>
          </w:divBdr>
          <w:divsChild>
            <w:div w:id="462819087">
              <w:marLeft w:val="0"/>
              <w:marRight w:val="0"/>
              <w:marTop w:val="0"/>
              <w:marBottom w:val="0"/>
              <w:divBdr>
                <w:top w:val="none" w:sz="0" w:space="0" w:color="auto"/>
                <w:left w:val="none" w:sz="0" w:space="0" w:color="auto"/>
                <w:bottom w:val="none" w:sz="0" w:space="0" w:color="auto"/>
                <w:right w:val="none" w:sz="0" w:space="0" w:color="auto"/>
              </w:divBdr>
              <w:divsChild>
                <w:div w:id="42140072">
                  <w:marLeft w:val="0"/>
                  <w:marRight w:val="0"/>
                  <w:marTop w:val="0"/>
                  <w:marBottom w:val="0"/>
                  <w:divBdr>
                    <w:top w:val="none" w:sz="0" w:space="0" w:color="auto"/>
                    <w:left w:val="none" w:sz="0" w:space="0" w:color="auto"/>
                    <w:bottom w:val="none" w:sz="0" w:space="0" w:color="auto"/>
                    <w:right w:val="none" w:sz="0" w:space="0" w:color="auto"/>
                  </w:divBdr>
                  <w:divsChild>
                    <w:div w:id="1130512732">
                      <w:marLeft w:val="0"/>
                      <w:marRight w:val="0"/>
                      <w:marTop w:val="0"/>
                      <w:marBottom w:val="0"/>
                      <w:divBdr>
                        <w:top w:val="none" w:sz="0" w:space="0" w:color="auto"/>
                        <w:left w:val="none" w:sz="0" w:space="0" w:color="auto"/>
                        <w:bottom w:val="none" w:sz="0" w:space="0" w:color="auto"/>
                        <w:right w:val="none" w:sz="0" w:space="0" w:color="auto"/>
                      </w:divBdr>
                      <w:divsChild>
                        <w:div w:id="2135753730">
                          <w:marLeft w:val="0"/>
                          <w:marRight w:val="0"/>
                          <w:marTop w:val="0"/>
                          <w:marBottom w:val="0"/>
                          <w:divBdr>
                            <w:top w:val="none" w:sz="0" w:space="0" w:color="auto"/>
                            <w:left w:val="none" w:sz="0" w:space="0" w:color="auto"/>
                            <w:bottom w:val="none" w:sz="0" w:space="0" w:color="auto"/>
                            <w:right w:val="none" w:sz="0" w:space="0" w:color="auto"/>
                          </w:divBdr>
                          <w:divsChild>
                            <w:div w:id="728923802">
                              <w:marLeft w:val="0"/>
                              <w:marRight w:val="0"/>
                              <w:marTop w:val="0"/>
                              <w:marBottom w:val="0"/>
                              <w:divBdr>
                                <w:top w:val="none" w:sz="0" w:space="0" w:color="auto"/>
                                <w:left w:val="none" w:sz="0" w:space="0" w:color="auto"/>
                                <w:bottom w:val="none" w:sz="0" w:space="0" w:color="auto"/>
                                <w:right w:val="none" w:sz="0" w:space="0" w:color="auto"/>
                              </w:divBdr>
                              <w:divsChild>
                                <w:div w:id="71778349">
                                  <w:marLeft w:val="0"/>
                                  <w:marRight w:val="0"/>
                                  <w:marTop w:val="0"/>
                                  <w:marBottom w:val="0"/>
                                  <w:divBdr>
                                    <w:top w:val="none" w:sz="0" w:space="0" w:color="auto"/>
                                    <w:left w:val="none" w:sz="0" w:space="0" w:color="auto"/>
                                    <w:bottom w:val="none" w:sz="0" w:space="0" w:color="auto"/>
                                    <w:right w:val="none" w:sz="0" w:space="0" w:color="auto"/>
                                  </w:divBdr>
                                  <w:divsChild>
                                    <w:div w:id="1164928738">
                                      <w:marLeft w:val="0"/>
                                      <w:marRight w:val="0"/>
                                      <w:marTop w:val="0"/>
                                      <w:marBottom w:val="0"/>
                                      <w:divBdr>
                                        <w:top w:val="none" w:sz="0" w:space="0" w:color="auto"/>
                                        <w:left w:val="none" w:sz="0" w:space="0" w:color="auto"/>
                                        <w:bottom w:val="none" w:sz="0" w:space="0" w:color="auto"/>
                                        <w:right w:val="none" w:sz="0" w:space="0" w:color="auto"/>
                                      </w:divBdr>
                                      <w:divsChild>
                                        <w:div w:id="187792891">
                                          <w:marLeft w:val="0"/>
                                          <w:marRight w:val="0"/>
                                          <w:marTop w:val="0"/>
                                          <w:marBottom w:val="0"/>
                                          <w:divBdr>
                                            <w:top w:val="none" w:sz="0" w:space="0" w:color="auto"/>
                                            <w:left w:val="none" w:sz="0" w:space="0" w:color="auto"/>
                                            <w:bottom w:val="none" w:sz="0" w:space="0" w:color="auto"/>
                                            <w:right w:val="none" w:sz="0" w:space="0" w:color="auto"/>
                                          </w:divBdr>
                                          <w:divsChild>
                                            <w:div w:id="2053579438">
                                              <w:marLeft w:val="0"/>
                                              <w:marRight w:val="0"/>
                                              <w:marTop w:val="0"/>
                                              <w:marBottom w:val="0"/>
                                              <w:divBdr>
                                                <w:top w:val="none" w:sz="0" w:space="0" w:color="auto"/>
                                                <w:left w:val="none" w:sz="0" w:space="0" w:color="auto"/>
                                                <w:bottom w:val="none" w:sz="0" w:space="0" w:color="auto"/>
                                                <w:right w:val="none" w:sz="0" w:space="0" w:color="auto"/>
                                              </w:divBdr>
                                              <w:divsChild>
                                                <w:div w:id="348407643">
                                                  <w:marLeft w:val="0"/>
                                                  <w:marRight w:val="0"/>
                                                  <w:marTop w:val="0"/>
                                                  <w:marBottom w:val="0"/>
                                                  <w:divBdr>
                                                    <w:top w:val="none" w:sz="0" w:space="0" w:color="auto"/>
                                                    <w:left w:val="none" w:sz="0" w:space="0" w:color="auto"/>
                                                    <w:bottom w:val="none" w:sz="0" w:space="0" w:color="auto"/>
                                                    <w:right w:val="none" w:sz="0" w:space="0" w:color="auto"/>
                                                  </w:divBdr>
                                                  <w:divsChild>
                                                    <w:div w:id="1928999633">
                                                      <w:marLeft w:val="0"/>
                                                      <w:marRight w:val="0"/>
                                                      <w:marTop w:val="0"/>
                                                      <w:marBottom w:val="0"/>
                                                      <w:divBdr>
                                                        <w:top w:val="none" w:sz="0" w:space="0" w:color="auto"/>
                                                        <w:left w:val="none" w:sz="0" w:space="0" w:color="auto"/>
                                                        <w:bottom w:val="none" w:sz="0" w:space="0" w:color="auto"/>
                                                        <w:right w:val="none" w:sz="0" w:space="0" w:color="auto"/>
                                                      </w:divBdr>
                                                      <w:divsChild>
                                                        <w:div w:id="97868532">
                                                          <w:marLeft w:val="0"/>
                                                          <w:marRight w:val="0"/>
                                                          <w:marTop w:val="0"/>
                                                          <w:marBottom w:val="0"/>
                                                          <w:divBdr>
                                                            <w:top w:val="none" w:sz="0" w:space="0" w:color="auto"/>
                                                            <w:left w:val="none" w:sz="0" w:space="0" w:color="auto"/>
                                                            <w:bottom w:val="none" w:sz="0" w:space="0" w:color="auto"/>
                                                            <w:right w:val="none" w:sz="0" w:space="0" w:color="auto"/>
                                                          </w:divBdr>
                                                          <w:divsChild>
                                                            <w:div w:id="2025007734">
                                                              <w:marLeft w:val="0"/>
                                                              <w:marRight w:val="0"/>
                                                              <w:marTop w:val="0"/>
                                                              <w:marBottom w:val="0"/>
                                                              <w:divBdr>
                                                                <w:top w:val="none" w:sz="0" w:space="0" w:color="auto"/>
                                                                <w:left w:val="none" w:sz="0" w:space="0" w:color="auto"/>
                                                                <w:bottom w:val="none" w:sz="0" w:space="0" w:color="auto"/>
                                                                <w:right w:val="none" w:sz="0" w:space="0" w:color="auto"/>
                                                              </w:divBdr>
                                                              <w:divsChild>
                                                                <w:div w:id="385497328">
                                                                  <w:marLeft w:val="0"/>
                                                                  <w:marRight w:val="0"/>
                                                                  <w:marTop w:val="0"/>
                                                                  <w:marBottom w:val="0"/>
                                                                  <w:divBdr>
                                                                    <w:top w:val="none" w:sz="0" w:space="0" w:color="auto"/>
                                                                    <w:left w:val="none" w:sz="0" w:space="0" w:color="auto"/>
                                                                    <w:bottom w:val="none" w:sz="0" w:space="0" w:color="auto"/>
                                                                    <w:right w:val="none" w:sz="0" w:space="0" w:color="auto"/>
                                                                  </w:divBdr>
                                                                  <w:divsChild>
                                                                    <w:div w:id="10661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121929">
                                          <w:marLeft w:val="0"/>
                                          <w:marRight w:val="0"/>
                                          <w:marTop w:val="0"/>
                                          <w:marBottom w:val="0"/>
                                          <w:divBdr>
                                            <w:top w:val="none" w:sz="0" w:space="0" w:color="auto"/>
                                            <w:left w:val="none" w:sz="0" w:space="0" w:color="auto"/>
                                            <w:bottom w:val="none" w:sz="0" w:space="0" w:color="auto"/>
                                            <w:right w:val="none" w:sz="0" w:space="0" w:color="auto"/>
                                          </w:divBdr>
                                          <w:divsChild>
                                            <w:div w:id="1883667665">
                                              <w:marLeft w:val="0"/>
                                              <w:marRight w:val="0"/>
                                              <w:marTop w:val="0"/>
                                              <w:marBottom w:val="0"/>
                                              <w:divBdr>
                                                <w:top w:val="none" w:sz="0" w:space="0" w:color="auto"/>
                                                <w:left w:val="none" w:sz="0" w:space="0" w:color="auto"/>
                                                <w:bottom w:val="none" w:sz="0" w:space="0" w:color="auto"/>
                                                <w:right w:val="none" w:sz="0" w:space="0" w:color="auto"/>
                                              </w:divBdr>
                                              <w:divsChild>
                                                <w:div w:id="124664232">
                                                  <w:marLeft w:val="0"/>
                                                  <w:marRight w:val="0"/>
                                                  <w:marTop w:val="0"/>
                                                  <w:marBottom w:val="0"/>
                                                  <w:divBdr>
                                                    <w:top w:val="none" w:sz="0" w:space="0" w:color="auto"/>
                                                    <w:left w:val="none" w:sz="0" w:space="0" w:color="auto"/>
                                                    <w:bottom w:val="none" w:sz="0" w:space="0" w:color="auto"/>
                                                    <w:right w:val="none" w:sz="0" w:space="0" w:color="auto"/>
                                                  </w:divBdr>
                                                  <w:divsChild>
                                                    <w:div w:id="391004265">
                                                      <w:marLeft w:val="0"/>
                                                      <w:marRight w:val="0"/>
                                                      <w:marTop w:val="0"/>
                                                      <w:marBottom w:val="0"/>
                                                      <w:divBdr>
                                                        <w:top w:val="none" w:sz="0" w:space="0" w:color="auto"/>
                                                        <w:left w:val="none" w:sz="0" w:space="0" w:color="auto"/>
                                                        <w:bottom w:val="none" w:sz="0" w:space="0" w:color="auto"/>
                                                        <w:right w:val="none" w:sz="0" w:space="0" w:color="auto"/>
                                                      </w:divBdr>
                                                      <w:divsChild>
                                                        <w:div w:id="912275627">
                                                          <w:marLeft w:val="0"/>
                                                          <w:marRight w:val="0"/>
                                                          <w:marTop w:val="0"/>
                                                          <w:marBottom w:val="0"/>
                                                          <w:divBdr>
                                                            <w:top w:val="none" w:sz="0" w:space="0" w:color="auto"/>
                                                            <w:left w:val="none" w:sz="0" w:space="0" w:color="auto"/>
                                                            <w:bottom w:val="none" w:sz="0" w:space="0" w:color="auto"/>
                                                            <w:right w:val="none" w:sz="0" w:space="0" w:color="auto"/>
                                                          </w:divBdr>
                                                          <w:divsChild>
                                                            <w:div w:id="994450842">
                                                              <w:marLeft w:val="0"/>
                                                              <w:marRight w:val="0"/>
                                                              <w:marTop w:val="0"/>
                                                              <w:marBottom w:val="0"/>
                                                              <w:divBdr>
                                                                <w:top w:val="none" w:sz="0" w:space="0" w:color="auto"/>
                                                                <w:left w:val="none" w:sz="0" w:space="0" w:color="auto"/>
                                                                <w:bottom w:val="none" w:sz="0" w:space="0" w:color="auto"/>
                                                                <w:right w:val="none" w:sz="0" w:space="0" w:color="auto"/>
                                                              </w:divBdr>
                                                              <w:divsChild>
                                                                <w:div w:id="1873688735">
                                                                  <w:marLeft w:val="0"/>
                                                                  <w:marRight w:val="0"/>
                                                                  <w:marTop w:val="0"/>
                                                                  <w:marBottom w:val="0"/>
                                                                  <w:divBdr>
                                                                    <w:top w:val="none" w:sz="0" w:space="0" w:color="auto"/>
                                                                    <w:left w:val="none" w:sz="0" w:space="0" w:color="auto"/>
                                                                    <w:bottom w:val="none" w:sz="0" w:space="0" w:color="auto"/>
                                                                    <w:right w:val="none" w:sz="0" w:space="0" w:color="auto"/>
                                                                  </w:divBdr>
                                                                  <w:divsChild>
                                                                    <w:div w:id="1603028913">
                                                                      <w:marLeft w:val="0"/>
                                                                      <w:marRight w:val="0"/>
                                                                      <w:marTop w:val="0"/>
                                                                      <w:marBottom w:val="0"/>
                                                                      <w:divBdr>
                                                                        <w:top w:val="none" w:sz="0" w:space="0" w:color="auto"/>
                                                                        <w:left w:val="none" w:sz="0" w:space="0" w:color="auto"/>
                                                                        <w:bottom w:val="none" w:sz="0" w:space="0" w:color="auto"/>
                                                                        <w:right w:val="none" w:sz="0" w:space="0" w:color="auto"/>
                                                                      </w:divBdr>
                                                                      <w:divsChild>
                                                                        <w:div w:id="1087925238">
                                                                          <w:marLeft w:val="0"/>
                                                                          <w:marRight w:val="0"/>
                                                                          <w:marTop w:val="0"/>
                                                                          <w:marBottom w:val="0"/>
                                                                          <w:divBdr>
                                                                            <w:top w:val="none" w:sz="0" w:space="0" w:color="auto"/>
                                                                            <w:left w:val="none" w:sz="0" w:space="0" w:color="auto"/>
                                                                            <w:bottom w:val="none" w:sz="0" w:space="0" w:color="auto"/>
                                                                            <w:right w:val="none" w:sz="0" w:space="0" w:color="auto"/>
                                                                          </w:divBdr>
                                                                          <w:divsChild>
                                                                            <w:div w:id="168907770">
                                                                              <w:marLeft w:val="0"/>
                                                                              <w:marRight w:val="0"/>
                                                                              <w:marTop w:val="0"/>
                                                                              <w:marBottom w:val="0"/>
                                                                              <w:divBdr>
                                                                                <w:top w:val="none" w:sz="0" w:space="0" w:color="auto"/>
                                                                                <w:left w:val="none" w:sz="0" w:space="0" w:color="auto"/>
                                                                                <w:bottom w:val="none" w:sz="0" w:space="0" w:color="auto"/>
                                                                                <w:right w:val="none" w:sz="0" w:space="0" w:color="auto"/>
                                                                              </w:divBdr>
                                                                              <w:divsChild>
                                                                                <w:div w:id="9248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664199">
      <w:bodyDiv w:val="1"/>
      <w:marLeft w:val="0"/>
      <w:marRight w:val="0"/>
      <w:marTop w:val="0"/>
      <w:marBottom w:val="0"/>
      <w:divBdr>
        <w:top w:val="none" w:sz="0" w:space="0" w:color="auto"/>
        <w:left w:val="none" w:sz="0" w:space="0" w:color="auto"/>
        <w:bottom w:val="none" w:sz="0" w:space="0" w:color="auto"/>
        <w:right w:val="none" w:sz="0" w:space="0" w:color="auto"/>
      </w:divBdr>
    </w:div>
    <w:div w:id="1375811992">
      <w:bodyDiv w:val="1"/>
      <w:marLeft w:val="0"/>
      <w:marRight w:val="0"/>
      <w:marTop w:val="0"/>
      <w:marBottom w:val="0"/>
      <w:divBdr>
        <w:top w:val="none" w:sz="0" w:space="0" w:color="auto"/>
        <w:left w:val="none" w:sz="0" w:space="0" w:color="auto"/>
        <w:bottom w:val="none" w:sz="0" w:space="0" w:color="auto"/>
        <w:right w:val="none" w:sz="0" w:space="0" w:color="auto"/>
      </w:divBdr>
      <w:divsChild>
        <w:div w:id="173080739">
          <w:marLeft w:val="0"/>
          <w:marRight w:val="0"/>
          <w:marTop w:val="0"/>
          <w:marBottom w:val="0"/>
          <w:divBdr>
            <w:top w:val="none" w:sz="0" w:space="0" w:color="auto"/>
            <w:left w:val="none" w:sz="0" w:space="0" w:color="auto"/>
            <w:bottom w:val="none" w:sz="0" w:space="0" w:color="auto"/>
            <w:right w:val="none" w:sz="0" w:space="0" w:color="auto"/>
          </w:divBdr>
          <w:divsChild>
            <w:div w:id="1719013851">
              <w:marLeft w:val="0"/>
              <w:marRight w:val="0"/>
              <w:marTop w:val="0"/>
              <w:marBottom w:val="0"/>
              <w:divBdr>
                <w:top w:val="none" w:sz="0" w:space="0" w:color="auto"/>
                <w:left w:val="none" w:sz="0" w:space="0" w:color="auto"/>
                <w:bottom w:val="none" w:sz="0" w:space="0" w:color="auto"/>
                <w:right w:val="none" w:sz="0" w:space="0" w:color="auto"/>
              </w:divBdr>
              <w:divsChild>
                <w:div w:id="392043441">
                  <w:marLeft w:val="0"/>
                  <w:marRight w:val="0"/>
                  <w:marTop w:val="0"/>
                  <w:marBottom w:val="0"/>
                  <w:divBdr>
                    <w:top w:val="none" w:sz="0" w:space="0" w:color="auto"/>
                    <w:left w:val="none" w:sz="0" w:space="0" w:color="auto"/>
                    <w:bottom w:val="none" w:sz="0" w:space="0" w:color="auto"/>
                    <w:right w:val="none" w:sz="0" w:space="0" w:color="auto"/>
                  </w:divBdr>
                  <w:divsChild>
                    <w:div w:id="1348171304">
                      <w:marLeft w:val="0"/>
                      <w:marRight w:val="0"/>
                      <w:marTop w:val="0"/>
                      <w:marBottom w:val="0"/>
                      <w:divBdr>
                        <w:top w:val="none" w:sz="0" w:space="0" w:color="auto"/>
                        <w:left w:val="none" w:sz="0" w:space="0" w:color="auto"/>
                        <w:bottom w:val="none" w:sz="0" w:space="0" w:color="auto"/>
                        <w:right w:val="none" w:sz="0" w:space="0" w:color="auto"/>
                      </w:divBdr>
                      <w:divsChild>
                        <w:div w:id="1001927502">
                          <w:marLeft w:val="0"/>
                          <w:marRight w:val="0"/>
                          <w:marTop w:val="0"/>
                          <w:marBottom w:val="0"/>
                          <w:divBdr>
                            <w:top w:val="none" w:sz="0" w:space="0" w:color="auto"/>
                            <w:left w:val="none" w:sz="0" w:space="0" w:color="auto"/>
                            <w:bottom w:val="none" w:sz="0" w:space="0" w:color="auto"/>
                            <w:right w:val="none" w:sz="0" w:space="0" w:color="auto"/>
                          </w:divBdr>
                          <w:divsChild>
                            <w:div w:id="2124496715">
                              <w:marLeft w:val="0"/>
                              <w:marRight w:val="0"/>
                              <w:marTop w:val="0"/>
                              <w:marBottom w:val="0"/>
                              <w:divBdr>
                                <w:top w:val="none" w:sz="0" w:space="0" w:color="auto"/>
                                <w:left w:val="none" w:sz="0" w:space="0" w:color="auto"/>
                                <w:bottom w:val="none" w:sz="0" w:space="0" w:color="auto"/>
                                <w:right w:val="none" w:sz="0" w:space="0" w:color="auto"/>
                              </w:divBdr>
                              <w:divsChild>
                                <w:div w:id="1468009316">
                                  <w:marLeft w:val="0"/>
                                  <w:marRight w:val="0"/>
                                  <w:marTop w:val="0"/>
                                  <w:marBottom w:val="0"/>
                                  <w:divBdr>
                                    <w:top w:val="none" w:sz="0" w:space="0" w:color="auto"/>
                                    <w:left w:val="none" w:sz="0" w:space="0" w:color="auto"/>
                                    <w:bottom w:val="none" w:sz="0" w:space="0" w:color="auto"/>
                                    <w:right w:val="none" w:sz="0" w:space="0" w:color="auto"/>
                                  </w:divBdr>
                                  <w:divsChild>
                                    <w:div w:id="9359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748738">
          <w:marLeft w:val="0"/>
          <w:marRight w:val="0"/>
          <w:marTop w:val="0"/>
          <w:marBottom w:val="0"/>
          <w:divBdr>
            <w:top w:val="none" w:sz="0" w:space="0" w:color="auto"/>
            <w:left w:val="none" w:sz="0" w:space="0" w:color="auto"/>
            <w:bottom w:val="none" w:sz="0" w:space="0" w:color="auto"/>
            <w:right w:val="none" w:sz="0" w:space="0" w:color="auto"/>
          </w:divBdr>
          <w:divsChild>
            <w:div w:id="1721594783">
              <w:marLeft w:val="0"/>
              <w:marRight w:val="0"/>
              <w:marTop w:val="0"/>
              <w:marBottom w:val="0"/>
              <w:divBdr>
                <w:top w:val="none" w:sz="0" w:space="0" w:color="auto"/>
                <w:left w:val="none" w:sz="0" w:space="0" w:color="auto"/>
                <w:bottom w:val="none" w:sz="0" w:space="0" w:color="auto"/>
                <w:right w:val="none" w:sz="0" w:space="0" w:color="auto"/>
              </w:divBdr>
              <w:divsChild>
                <w:div w:id="393085134">
                  <w:marLeft w:val="0"/>
                  <w:marRight w:val="0"/>
                  <w:marTop w:val="0"/>
                  <w:marBottom w:val="0"/>
                  <w:divBdr>
                    <w:top w:val="none" w:sz="0" w:space="0" w:color="auto"/>
                    <w:left w:val="none" w:sz="0" w:space="0" w:color="auto"/>
                    <w:bottom w:val="none" w:sz="0" w:space="0" w:color="auto"/>
                    <w:right w:val="none" w:sz="0" w:space="0" w:color="auto"/>
                  </w:divBdr>
                  <w:divsChild>
                    <w:div w:id="29383707">
                      <w:marLeft w:val="0"/>
                      <w:marRight w:val="0"/>
                      <w:marTop w:val="0"/>
                      <w:marBottom w:val="0"/>
                      <w:divBdr>
                        <w:top w:val="none" w:sz="0" w:space="0" w:color="auto"/>
                        <w:left w:val="none" w:sz="0" w:space="0" w:color="auto"/>
                        <w:bottom w:val="none" w:sz="0" w:space="0" w:color="auto"/>
                        <w:right w:val="none" w:sz="0" w:space="0" w:color="auto"/>
                      </w:divBdr>
                      <w:divsChild>
                        <w:div w:id="303196174">
                          <w:marLeft w:val="0"/>
                          <w:marRight w:val="0"/>
                          <w:marTop w:val="0"/>
                          <w:marBottom w:val="0"/>
                          <w:divBdr>
                            <w:top w:val="none" w:sz="0" w:space="0" w:color="auto"/>
                            <w:left w:val="none" w:sz="0" w:space="0" w:color="auto"/>
                            <w:bottom w:val="none" w:sz="0" w:space="0" w:color="auto"/>
                            <w:right w:val="none" w:sz="0" w:space="0" w:color="auto"/>
                          </w:divBdr>
                          <w:divsChild>
                            <w:div w:id="1054043985">
                              <w:marLeft w:val="0"/>
                              <w:marRight w:val="0"/>
                              <w:marTop w:val="0"/>
                              <w:marBottom w:val="0"/>
                              <w:divBdr>
                                <w:top w:val="none" w:sz="0" w:space="0" w:color="auto"/>
                                <w:left w:val="none" w:sz="0" w:space="0" w:color="auto"/>
                                <w:bottom w:val="none" w:sz="0" w:space="0" w:color="auto"/>
                                <w:right w:val="none" w:sz="0" w:space="0" w:color="auto"/>
                              </w:divBdr>
                              <w:divsChild>
                                <w:div w:id="914703570">
                                  <w:marLeft w:val="0"/>
                                  <w:marRight w:val="0"/>
                                  <w:marTop w:val="0"/>
                                  <w:marBottom w:val="0"/>
                                  <w:divBdr>
                                    <w:top w:val="none" w:sz="0" w:space="0" w:color="auto"/>
                                    <w:left w:val="none" w:sz="0" w:space="0" w:color="auto"/>
                                    <w:bottom w:val="none" w:sz="0" w:space="0" w:color="auto"/>
                                    <w:right w:val="none" w:sz="0" w:space="0" w:color="auto"/>
                                  </w:divBdr>
                                  <w:divsChild>
                                    <w:div w:id="1452240365">
                                      <w:marLeft w:val="0"/>
                                      <w:marRight w:val="0"/>
                                      <w:marTop w:val="0"/>
                                      <w:marBottom w:val="0"/>
                                      <w:divBdr>
                                        <w:top w:val="none" w:sz="0" w:space="0" w:color="auto"/>
                                        <w:left w:val="none" w:sz="0" w:space="0" w:color="auto"/>
                                        <w:bottom w:val="none" w:sz="0" w:space="0" w:color="auto"/>
                                        <w:right w:val="none" w:sz="0" w:space="0" w:color="auto"/>
                                      </w:divBdr>
                                      <w:divsChild>
                                        <w:div w:id="770587431">
                                          <w:marLeft w:val="0"/>
                                          <w:marRight w:val="0"/>
                                          <w:marTop w:val="0"/>
                                          <w:marBottom w:val="0"/>
                                          <w:divBdr>
                                            <w:top w:val="none" w:sz="0" w:space="0" w:color="auto"/>
                                            <w:left w:val="none" w:sz="0" w:space="0" w:color="auto"/>
                                            <w:bottom w:val="none" w:sz="0" w:space="0" w:color="auto"/>
                                            <w:right w:val="none" w:sz="0" w:space="0" w:color="auto"/>
                                          </w:divBdr>
                                          <w:divsChild>
                                            <w:div w:id="20046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6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1043-025-01096-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934/publichealth.202503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microorganisms1212250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18</Pages>
  <Words>4246</Words>
  <Characters>26880</Characters>
  <Application>Microsoft Office Word</Application>
  <DocSecurity>0</DocSecurity>
  <Lines>488</Lines>
  <Paragraphs>184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17</cp:revision>
  <dcterms:created xsi:type="dcterms:W3CDTF">2026-03-10T13:23:00Z</dcterms:created>
  <dcterms:modified xsi:type="dcterms:W3CDTF">2026-04-08T11:57:00Z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f23d0e82-afd9-45b3-a26b-2927824c3509</vt:lpwstr>
  </property>
</Properties>
</file>