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72D9" w:rsidRDefault="003F72D9" w:rsidP="002F2181">
      <w:pPr>
        <w:spacing w:after="0" w:line="240" w:lineRule="auto"/>
        <w:ind w:right="508"/>
        <w:jc w:val="center"/>
        <w:rPr>
          <w:rFonts w:ascii="Times New Roman" w:hAnsi="Times New Roman" w:cs="Times New Roman"/>
          <w:b/>
          <w:bCs/>
          <w:sz w:val="28"/>
          <w:szCs w:val="28"/>
        </w:rPr>
      </w:pPr>
      <w:r w:rsidRPr="00C121AA">
        <w:rPr>
          <w:rFonts w:ascii="Times New Roman" w:hAnsi="Times New Roman" w:cs="Times New Roman"/>
          <w:b/>
          <w:bCs/>
          <w:sz w:val="28"/>
          <w:szCs w:val="28"/>
        </w:rPr>
        <w:t xml:space="preserve"> </w:t>
      </w:r>
      <w:r w:rsidR="008E216C">
        <w:rPr>
          <w:rFonts w:ascii="Times New Roman" w:hAnsi="Times New Roman" w:cs="Times New Roman"/>
          <w:b/>
          <w:bCs/>
          <w:sz w:val="28"/>
          <w:szCs w:val="28"/>
        </w:rPr>
        <w:t>PH</w:t>
      </w:r>
      <w:r w:rsidR="00E84D7E">
        <w:rPr>
          <w:rFonts w:ascii="Times New Roman" w:hAnsi="Times New Roman" w:cs="Times New Roman"/>
          <w:b/>
          <w:bCs/>
          <w:sz w:val="28"/>
          <w:szCs w:val="28"/>
        </w:rPr>
        <w:t>E</w:t>
      </w:r>
      <w:r w:rsidR="008E216C">
        <w:rPr>
          <w:rFonts w:ascii="Times New Roman" w:hAnsi="Times New Roman" w:cs="Times New Roman"/>
          <w:b/>
          <w:bCs/>
          <w:sz w:val="28"/>
          <w:szCs w:val="28"/>
        </w:rPr>
        <w:t>NOTYPIC</w:t>
      </w:r>
      <w:r w:rsidR="00E84D7E">
        <w:rPr>
          <w:rFonts w:ascii="Times New Roman" w:hAnsi="Times New Roman" w:cs="Times New Roman"/>
          <w:b/>
          <w:bCs/>
          <w:sz w:val="28"/>
          <w:szCs w:val="28"/>
        </w:rPr>
        <w:t xml:space="preserve"> </w:t>
      </w:r>
      <w:r w:rsidRPr="00C121AA">
        <w:rPr>
          <w:rFonts w:ascii="Times New Roman" w:hAnsi="Times New Roman" w:cs="Times New Roman"/>
          <w:b/>
          <w:bCs/>
          <w:sz w:val="28"/>
          <w:szCs w:val="28"/>
        </w:rPr>
        <w:t xml:space="preserve">CHARACTERIZATION OF MYCOTOXIGENIC FUNGI </w:t>
      </w:r>
      <w:r w:rsidR="001612FF">
        <w:rPr>
          <w:rFonts w:ascii="Times New Roman" w:hAnsi="Times New Roman" w:cs="Times New Roman"/>
          <w:b/>
          <w:bCs/>
          <w:sz w:val="28"/>
          <w:szCs w:val="28"/>
        </w:rPr>
        <w:t xml:space="preserve">ISOLATED </w:t>
      </w:r>
      <w:r w:rsidRPr="00C121AA">
        <w:rPr>
          <w:rFonts w:ascii="Times New Roman" w:hAnsi="Times New Roman" w:cs="Times New Roman"/>
          <w:b/>
          <w:bCs/>
          <w:sz w:val="28"/>
          <w:szCs w:val="28"/>
        </w:rPr>
        <w:t>FROM PALM OIL SOLD WITHIN BAUCHI METROPOLIS</w:t>
      </w:r>
    </w:p>
    <w:p w:rsidR="00771EB1" w:rsidRDefault="00771EB1" w:rsidP="002F2181">
      <w:pPr>
        <w:spacing w:after="0" w:line="240" w:lineRule="auto"/>
        <w:jc w:val="center"/>
        <w:rPr>
          <w:rFonts w:ascii="Times New Roman" w:hAnsi="Times New Roman" w:cs="Times New Roman"/>
          <w:b/>
        </w:rPr>
      </w:pPr>
    </w:p>
    <w:p w:rsidR="00E10EF0" w:rsidRDefault="00E10EF0" w:rsidP="002F2181">
      <w:pPr>
        <w:spacing w:after="0" w:line="240" w:lineRule="auto"/>
        <w:jc w:val="center"/>
        <w:rPr>
          <w:rFonts w:ascii="Times New Roman" w:hAnsi="Times New Roman" w:cs="Times New Roman"/>
          <w:b/>
        </w:rPr>
      </w:pPr>
    </w:p>
    <w:p w:rsidR="004F24B6" w:rsidRPr="00C121AA" w:rsidRDefault="00771EB1" w:rsidP="002F2181">
      <w:pPr>
        <w:spacing w:after="0" w:line="240" w:lineRule="auto"/>
        <w:jc w:val="center"/>
        <w:rPr>
          <w:rFonts w:ascii="Times New Roman" w:hAnsi="Times New Roman" w:cs="Times New Roman"/>
          <w:b/>
        </w:rPr>
      </w:pPr>
      <w:r>
        <w:rPr>
          <w:rFonts w:ascii="Times New Roman" w:hAnsi="Times New Roman" w:cs="Times New Roman"/>
          <w:b/>
        </w:rPr>
        <w:t>ABSTRACT</w:t>
      </w:r>
    </w:p>
    <w:p w:rsidR="00062719" w:rsidRPr="00062719" w:rsidRDefault="00062719" w:rsidP="009E0799">
      <w:pPr>
        <w:spacing w:after="0" w:line="240" w:lineRule="auto"/>
        <w:jc w:val="both"/>
        <w:rPr>
          <w:rFonts w:ascii="Times New Roman" w:hAnsi="Times New Roman" w:cs="Times New Roman"/>
        </w:rPr>
      </w:pPr>
      <w:r w:rsidRPr="00062719">
        <w:rPr>
          <w:rFonts w:ascii="Times New Roman" w:hAnsi="Times New Roman" w:cs="Times New Roman"/>
          <w:b/>
          <w:bCs/>
        </w:rPr>
        <w:t>Background and Aim:</w:t>
      </w:r>
      <w:r w:rsidR="002E407A">
        <w:rPr>
          <w:rFonts w:ascii="Times New Roman" w:hAnsi="Times New Roman" w:cs="Times New Roman"/>
        </w:rPr>
        <w:t xml:space="preserve"> </w:t>
      </w:r>
      <w:r w:rsidRPr="00062719">
        <w:rPr>
          <w:rFonts w:ascii="Times New Roman" w:hAnsi="Times New Roman" w:cs="Times New Roman"/>
        </w:rPr>
        <w:t xml:space="preserve">Palm oil is widely consumed in Nigeria, but poor handling, storage, and marketing conditions predispose it to fungal contamination and mycotoxin production, posing public health risks. This study aimed to phenotypically characterize mycotoxigenic fungi isolated from palm oil sold within Bauchi metropolis and assess their fungal load </w:t>
      </w:r>
      <w:r w:rsidR="0074249A">
        <w:rPr>
          <w:rFonts w:ascii="Times New Roman" w:hAnsi="Times New Roman" w:cs="Times New Roman"/>
        </w:rPr>
        <w:t>as well as</w:t>
      </w:r>
      <w:r w:rsidRPr="00062719">
        <w:rPr>
          <w:rFonts w:ascii="Times New Roman" w:hAnsi="Times New Roman" w:cs="Times New Roman"/>
        </w:rPr>
        <w:t xml:space="preserve"> </w:t>
      </w:r>
      <w:r w:rsidR="0074249A">
        <w:rPr>
          <w:rFonts w:ascii="Times New Roman" w:hAnsi="Times New Roman" w:cs="Times New Roman"/>
        </w:rPr>
        <w:t xml:space="preserve">the </w:t>
      </w:r>
      <w:r w:rsidRPr="00062719">
        <w:rPr>
          <w:rFonts w:ascii="Times New Roman" w:hAnsi="Times New Roman" w:cs="Times New Roman"/>
        </w:rPr>
        <w:t>physicochemical quality.</w:t>
      </w:r>
    </w:p>
    <w:p w:rsidR="00062719" w:rsidRPr="00062719" w:rsidRDefault="00062719" w:rsidP="009E0799">
      <w:pPr>
        <w:spacing w:after="0" w:line="240" w:lineRule="auto"/>
        <w:jc w:val="both"/>
        <w:rPr>
          <w:rFonts w:ascii="Times New Roman" w:hAnsi="Times New Roman" w:cs="Times New Roman"/>
        </w:rPr>
      </w:pPr>
      <w:r w:rsidRPr="00062719">
        <w:rPr>
          <w:rFonts w:ascii="Times New Roman" w:hAnsi="Times New Roman" w:cs="Times New Roman"/>
          <w:b/>
          <w:bCs/>
        </w:rPr>
        <w:t>Place and Duration of Study:</w:t>
      </w:r>
      <w:r w:rsidR="009E0799">
        <w:rPr>
          <w:rFonts w:ascii="Times New Roman" w:hAnsi="Times New Roman" w:cs="Times New Roman"/>
          <w:b/>
          <w:bCs/>
        </w:rPr>
        <w:t xml:space="preserve"> </w:t>
      </w:r>
      <w:r w:rsidRPr="00062719">
        <w:rPr>
          <w:rFonts w:ascii="Times New Roman" w:hAnsi="Times New Roman" w:cs="Times New Roman"/>
        </w:rPr>
        <w:t>The study was carried out in Bauchi Metropolis, Bauchi State, Nigeria, using palm oil samples collected from Wunti, Muda Lawal, Central, and Yelwa markets. Laboratory analyses were conducted at the Microbiology Laboratory, Abubakar Tafawa Balewa University (ATBU), Bauchi.</w:t>
      </w:r>
    </w:p>
    <w:p w:rsidR="00062719" w:rsidRPr="00062719" w:rsidRDefault="00062719" w:rsidP="009E0799">
      <w:pPr>
        <w:spacing w:after="0" w:line="240" w:lineRule="auto"/>
        <w:jc w:val="both"/>
        <w:rPr>
          <w:rFonts w:ascii="Times New Roman" w:hAnsi="Times New Roman" w:cs="Times New Roman"/>
        </w:rPr>
      </w:pPr>
      <w:r w:rsidRPr="00062719">
        <w:rPr>
          <w:rFonts w:ascii="Times New Roman" w:hAnsi="Times New Roman" w:cs="Times New Roman"/>
          <w:b/>
          <w:bCs/>
        </w:rPr>
        <w:t>Methodology:</w:t>
      </w:r>
      <w:r w:rsidR="009E0799">
        <w:rPr>
          <w:rFonts w:ascii="Times New Roman" w:hAnsi="Times New Roman" w:cs="Times New Roman"/>
          <w:b/>
          <w:bCs/>
        </w:rPr>
        <w:t xml:space="preserve"> </w:t>
      </w:r>
      <w:r w:rsidRPr="00062719">
        <w:rPr>
          <w:rFonts w:ascii="Times New Roman" w:hAnsi="Times New Roman" w:cs="Times New Roman"/>
        </w:rPr>
        <w:t>A total of 100 palm oil samples were randomly collected (25 per market). Fungi were isolated using the direct plating method on Potato Dextrose Agar supplemented with chloramphenicol. Phenotypic identification was based on macroscopic and microscopic characteristics. Fungal load was determined using the colony-forming unit (CFU/g) method. Physicochemical properties (density, viscosity, color, tactile quality, and moisture content) were analyzed using AOAC standard procedures.</w:t>
      </w:r>
    </w:p>
    <w:p w:rsidR="00062719" w:rsidRPr="00062719" w:rsidRDefault="00062719" w:rsidP="009E0799">
      <w:pPr>
        <w:spacing w:after="0" w:line="240" w:lineRule="auto"/>
        <w:jc w:val="both"/>
        <w:rPr>
          <w:rFonts w:ascii="Times New Roman" w:hAnsi="Times New Roman" w:cs="Times New Roman"/>
        </w:rPr>
      </w:pPr>
      <w:r w:rsidRPr="00062719">
        <w:rPr>
          <w:rFonts w:ascii="Times New Roman" w:hAnsi="Times New Roman" w:cs="Times New Roman"/>
          <w:b/>
          <w:bCs/>
        </w:rPr>
        <w:t>Results:</w:t>
      </w:r>
      <w:r w:rsidR="009E0799">
        <w:rPr>
          <w:rFonts w:ascii="Times New Roman" w:hAnsi="Times New Roman" w:cs="Times New Roman"/>
          <w:b/>
          <w:bCs/>
        </w:rPr>
        <w:t xml:space="preserve"> </w:t>
      </w:r>
      <w:r w:rsidRPr="00062719">
        <w:rPr>
          <w:rFonts w:ascii="Times New Roman" w:hAnsi="Times New Roman" w:cs="Times New Roman"/>
        </w:rPr>
        <w:t xml:space="preserve">Seven fungal taxa were identified, with </w:t>
      </w:r>
      <w:r w:rsidRPr="00062719">
        <w:rPr>
          <w:rFonts w:ascii="Times New Roman" w:hAnsi="Times New Roman" w:cs="Times New Roman"/>
          <w:i/>
          <w:iCs/>
        </w:rPr>
        <w:t>Fusarium</w:t>
      </w:r>
      <w:r w:rsidRPr="00062719">
        <w:rPr>
          <w:rFonts w:ascii="Times New Roman" w:hAnsi="Times New Roman" w:cs="Times New Roman"/>
        </w:rPr>
        <w:t xml:space="preserve"> species showing the highest prevalence (42.5%), followed by </w:t>
      </w:r>
      <w:r w:rsidRPr="00062719">
        <w:rPr>
          <w:rFonts w:ascii="Times New Roman" w:hAnsi="Times New Roman" w:cs="Times New Roman"/>
          <w:i/>
          <w:iCs/>
        </w:rPr>
        <w:t>Aspergillus niger</w:t>
      </w:r>
      <w:r w:rsidRPr="00062719">
        <w:rPr>
          <w:rFonts w:ascii="Times New Roman" w:hAnsi="Times New Roman" w:cs="Times New Roman"/>
        </w:rPr>
        <w:t xml:space="preserve"> (17.5%), </w:t>
      </w:r>
      <w:r w:rsidRPr="00062719">
        <w:rPr>
          <w:rFonts w:ascii="Times New Roman" w:hAnsi="Times New Roman" w:cs="Times New Roman"/>
          <w:i/>
          <w:iCs/>
        </w:rPr>
        <w:t>A. parasiticus</w:t>
      </w:r>
      <w:r w:rsidRPr="00062719">
        <w:rPr>
          <w:rFonts w:ascii="Times New Roman" w:hAnsi="Times New Roman" w:cs="Times New Roman"/>
        </w:rPr>
        <w:t xml:space="preserve"> (12.5%), </w:t>
      </w:r>
      <w:r w:rsidRPr="00062719">
        <w:rPr>
          <w:rFonts w:ascii="Times New Roman" w:hAnsi="Times New Roman" w:cs="Times New Roman"/>
          <w:i/>
          <w:iCs/>
        </w:rPr>
        <w:t>A. flavus</w:t>
      </w:r>
      <w:r w:rsidRPr="00062719">
        <w:rPr>
          <w:rFonts w:ascii="Times New Roman" w:hAnsi="Times New Roman" w:cs="Times New Roman"/>
        </w:rPr>
        <w:t xml:space="preserve"> (10.0%), </w:t>
      </w:r>
      <w:r w:rsidRPr="00062719">
        <w:rPr>
          <w:rFonts w:ascii="Times New Roman" w:hAnsi="Times New Roman" w:cs="Times New Roman"/>
          <w:i/>
          <w:iCs/>
        </w:rPr>
        <w:t>Penicillium</w:t>
      </w:r>
      <w:r w:rsidRPr="00062719">
        <w:rPr>
          <w:rFonts w:ascii="Times New Roman" w:hAnsi="Times New Roman" w:cs="Times New Roman"/>
        </w:rPr>
        <w:t xml:space="preserve"> species (10.0%), </w:t>
      </w:r>
      <w:r w:rsidRPr="00062719">
        <w:rPr>
          <w:rFonts w:ascii="Times New Roman" w:hAnsi="Times New Roman" w:cs="Times New Roman"/>
          <w:i/>
          <w:iCs/>
        </w:rPr>
        <w:t>A. fumigatus</w:t>
      </w:r>
      <w:r w:rsidRPr="00062719">
        <w:rPr>
          <w:rFonts w:ascii="Times New Roman" w:hAnsi="Times New Roman" w:cs="Times New Roman"/>
        </w:rPr>
        <w:t xml:space="preserve"> (5.0%), and </w:t>
      </w:r>
      <w:r w:rsidRPr="00062719">
        <w:rPr>
          <w:rFonts w:ascii="Times New Roman" w:hAnsi="Times New Roman" w:cs="Times New Roman"/>
          <w:i/>
          <w:iCs/>
        </w:rPr>
        <w:t>Mucor</w:t>
      </w:r>
      <w:r w:rsidRPr="00062719">
        <w:rPr>
          <w:rFonts w:ascii="Times New Roman" w:hAnsi="Times New Roman" w:cs="Times New Roman"/>
        </w:rPr>
        <w:t xml:space="preserve"> species (2.5%). Mean fungal loads ranged from 3.1 × 10⁶ to 1.0 × 10⁷ CFU/g, exceeding recommended microbial limits for edible oils. Physicochemical parameters largely fell within acceptable standards, though variations suggested differences in handling and storage practices among markets.</w:t>
      </w:r>
    </w:p>
    <w:p w:rsidR="00062719" w:rsidRPr="00062719" w:rsidRDefault="00062719" w:rsidP="009E0799">
      <w:pPr>
        <w:spacing w:after="0" w:line="240" w:lineRule="auto"/>
        <w:jc w:val="both"/>
        <w:rPr>
          <w:rFonts w:ascii="Times New Roman" w:hAnsi="Times New Roman" w:cs="Times New Roman"/>
        </w:rPr>
      </w:pPr>
      <w:r w:rsidRPr="00062719">
        <w:rPr>
          <w:rFonts w:ascii="Times New Roman" w:hAnsi="Times New Roman" w:cs="Times New Roman"/>
          <w:b/>
          <w:bCs/>
        </w:rPr>
        <w:t>Conclusion:</w:t>
      </w:r>
      <w:r w:rsidR="009E0799">
        <w:rPr>
          <w:rFonts w:ascii="Times New Roman" w:hAnsi="Times New Roman" w:cs="Times New Roman"/>
          <w:b/>
          <w:bCs/>
        </w:rPr>
        <w:t xml:space="preserve"> </w:t>
      </w:r>
      <w:r w:rsidRPr="00062719">
        <w:rPr>
          <w:rFonts w:ascii="Times New Roman" w:hAnsi="Times New Roman" w:cs="Times New Roman"/>
        </w:rPr>
        <w:t xml:space="preserve">Palm oil sold in Bauchi metropolis is contaminated with potentially mycotoxigenic fungi, particularly </w:t>
      </w:r>
      <w:r w:rsidRPr="00062719">
        <w:rPr>
          <w:rFonts w:ascii="Times New Roman" w:hAnsi="Times New Roman" w:cs="Times New Roman"/>
          <w:i/>
          <w:iCs/>
        </w:rPr>
        <w:t>Fusarium</w:t>
      </w:r>
      <w:r w:rsidRPr="00062719">
        <w:rPr>
          <w:rFonts w:ascii="Times New Roman" w:hAnsi="Times New Roman" w:cs="Times New Roman"/>
        </w:rPr>
        <w:t xml:space="preserve"> and </w:t>
      </w:r>
      <w:r w:rsidRPr="00062719">
        <w:rPr>
          <w:rFonts w:ascii="Times New Roman" w:hAnsi="Times New Roman" w:cs="Times New Roman"/>
          <w:i/>
          <w:iCs/>
        </w:rPr>
        <w:t>Aspergillus</w:t>
      </w:r>
      <w:r w:rsidRPr="00062719">
        <w:rPr>
          <w:rFonts w:ascii="Times New Roman" w:hAnsi="Times New Roman" w:cs="Times New Roman"/>
        </w:rPr>
        <w:t xml:space="preserve"> species, at levels that may pose health risks. Although physicochemical quality was generally acceptable, high fungal loads indicate poor hygienic practices. Improved processing, storage, and regulatory monitoring are necessary to ensure consumer safety.</w:t>
      </w:r>
    </w:p>
    <w:p w:rsidR="003F72D9" w:rsidRPr="00771EB1" w:rsidRDefault="00062719" w:rsidP="00771EB1">
      <w:pPr>
        <w:spacing w:after="0" w:line="240" w:lineRule="auto"/>
        <w:rPr>
          <w:rFonts w:ascii="Times New Roman" w:hAnsi="Times New Roman" w:cs="Times New Roman"/>
        </w:rPr>
      </w:pPr>
      <w:r w:rsidRPr="00062719">
        <w:rPr>
          <w:rFonts w:ascii="Times New Roman" w:hAnsi="Times New Roman" w:cs="Times New Roman"/>
          <w:i/>
          <w:iCs/>
        </w:rPr>
        <w:t>Keywords:</w:t>
      </w:r>
      <w:r w:rsidR="009E0799">
        <w:rPr>
          <w:rFonts w:ascii="Times New Roman" w:hAnsi="Times New Roman" w:cs="Times New Roman"/>
          <w:i/>
          <w:iCs/>
        </w:rPr>
        <w:t xml:space="preserve"> </w:t>
      </w:r>
      <w:r w:rsidRPr="00062719">
        <w:rPr>
          <w:rFonts w:ascii="Times New Roman" w:hAnsi="Times New Roman" w:cs="Times New Roman"/>
        </w:rPr>
        <w:t>Palm oil; Mycotoxigenic fungi; Phenotypic characterization; Fungal load; Bauchi metropolis.</w:t>
      </w:r>
    </w:p>
    <w:p w:rsidR="003F72D9" w:rsidRPr="00C121AA" w:rsidRDefault="003F72D9" w:rsidP="00771EB1">
      <w:pPr>
        <w:pStyle w:val="Heading2"/>
        <w:numPr>
          <w:ilvl w:val="0"/>
          <w:numId w:val="10"/>
        </w:numPr>
        <w:spacing w:line="240" w:lineRule="auto"/>
        <w:rPr>
          <w:rFonts w:ascii="Times New Roman" w:hAnsi="Times New Roman" w:cs="Times New Roman"/>
          <w:b/>
          <w:bCs/>
          <w:color w:val="auto"/>
          <w:sz w:val="24"/>
          <w:szCs w:val="24"/>
        </w:rPr>
      </w:pPr>
      <w:bookmarkStart w:id="0" w:name="_Toc216972212"/>
      <w:r w:rsidRPr="00C121AA">
        <w:rPr>
          <w:rFonts w:ascii="Times New Roman" w:hAnsi="Times New Roman" w:cs="Times New Roman"/>
          <w:b/>
          <w:bCs/>
          <w:color w:val="auto"/>
          <w:sz w:val="24"/>
          <w:szCs w:val="24"/>
        </w:rPr>
        <w:t>INTRODUCTION</w:t>
      </w:r>
      <w:bookmarkEnd w:id="0"/>
    </w:p>
    <w:p w:rsidR="000171F8" w:rsidRPr="000171F8" w:rsidRDefault="000171F8" w:rsidP="000171F8">
      <w:pPr>
        <w:spacing w:after="0" w:line="240" w:lineRule="auto"/>
        <w:ind w:right="269"/>
        <w:jc w:val="both"/>
        <w:rPr>
          <w:rFonts w:ascii="Times New Roman" w:hAnsi="Times New Roman" w:cs="Times New Roman"/>
        </w:rPr>
      </w:pPr>
      <w:r w:rsidRPr="000171F8">
        <w:rPr>
          <w:rFonts w:ascii="Times New Roman" w:hAnsi="Times New Roman" w:cs="Times New Roman"/>
        </w:rPr>
        <w:t xml:space="preserve">Palm oil is the world’s most significant edible oil and has remained a major dietary component since 2006 due to its unique flavor, high energy value, and vitamin content </w:t>
      </w:r>
      <w:r w:rsidR="003A0886">
        <w:rPr>
          <w:rFonts w:ascii="Times New Roman" w:hAnsi="Times New Roman" w:cs="Times New Roman"/>
        </w:rPr>
        <w:t>[1,2]</w:t>
      </w:r>
      <w:r w:rsidRPr="000171F8">
        <w:rPr>
          <w:rFonts w:ascii="Times New Roman" w:hAnsi="Times New Roman" w:cs="Times New Roman"/>
        </w:rPr>
        <w:t xml:space="preserve">. In Nigeria, palm oil is widely consumed for household cooking, industrial food processing, and nutritional supplementation. However, its quality is strongly influenced by factors such as climate, soil type, harvesting practices, processing techniques, storage conditions, and handling procedures </w:t>
      </w:r>
      <w:r w:rsidR="003A0886">
        <w:rPr>
          <w:rFonts w:ascii="Times New Roman" w:hAnsi="Times New Roman" w:cs="Times New Roman"/>
        </w:rPr>
        <w:t>[3,4]</w:t>
      </w:r>
      <w:r w:rsidRPr="000171F8">
        <w:rPr>
          <w:rFonts w:ascii="Times New Roman" w:hAnsi="Times New Roman" w:cs="Times New Roman"/>
        </w:rPr>
        <w:t xml:space="preserve">. Poor control at any stage of production can lead to quality deterioration and serious public health implications </w:t>
      </w:r>
      <w:r w:rsidR="003A0886">
        <w:rPr>
          <w:rFonts w:ascii="Times New Roman" w:hAnsi="Times New Roman" w:cs="Times New Roman"/>
        </w:rPr>
        <w:t>[5]</w:t>
      </w:r>
      <w:r w:rsidRPr="000171F8">
        <w:rPr>
          <w:rFonts w:ascii="Times New Roman" w:hAnsi="Times New Roman" w:cs="Times New Roman"/>
        </w:rPr>
        <w:t>.</w:t>
      </w:r>
    </w:p>
    <w:p w:rsidR="000171F8" w:rsidRPr="000171F8" w:rsidRDefault="000171F8" w:rsidP="000171F8">
      <w:pPr>
        <w:spacing w:after="0" w:line="240" w:lineRule="auto"/>
        <w:ind w:right="269"/>
        <w:jc w:val="both"/>
        <w:rPr>
          <w:rFonts w:ascii="Times New Roman" w:hAnsi="Times New Roman" w:cs="Times New Roman"/>
        </w:rPr>
      </w:pPr>
      <w:r w:rsidRPr="000171F8">
        <w:rPr>
          <w:rFonts w:ascii="Times New Roman" w:hAnsi="Times New Roman" w:cs="Times New Roman"/>
        </w:rPr>
        <w:t xml:space="preserve">Fungal contamination of palm oil has become a growing food safety concern, particularly in tropical regions where high temperature and humidity favor fungal growth. Both crude and processed palm oil sold in open markets are frequently colonized by filamentous fungi, notably </w:t>
      </w:r>
      <w:r w:rsidRPr="000171F8">
        <w:rPr>
          <w:rFonts w:ascii="Times New Roman" w:hAnsi="Times New Roman" w:cs="Times New Roman"/>
          <w:i/>
          <w:iCs/>
        </w:rPr>
        <w:t>Aspergillus</w:t>
      </w:r>
      <w:r w:rsidRPr="000171F8">
        <w:rPr>
          <w:rFonts w:ascii="Times New Roman" w:hAnsi="Times New Roman" w:cs="Times New Roman"/>
        </w:rPr>
        <w:t xml:space="preserve">, </w:t>
      </w:r>
      <w:r w:rsidRPr="000171F8">
        <w:rPr>
          <w:rFonts w:ascii="Times New Roman" w:hAnsi="Times New Roman" w:cs="Times New Roman"/>
          <w:i/>
          <w:iCs/>
        </w:rPr>
        <w:t>Penicillium</w:t>
      </w:r>
      <w:r w:rsidRPr="000171F8">
        <w:rPr>
          <w:rFonts w:ascii="Times New Roman" w:hAnsi="Times New Roman" w:cs="Times New Roman"/>
        </w:rPr>
        <w:t xml:space="preserve">, and </w:t>
      </w:r>
      <w:r w:rsidRPr="000171F8">
        <w:rPr>
          <w:rFonts w:ascii="Times New Roman" w:hAnsi="Times New Roman" w:cs="Times New Roman"/>
          <w:i/>
          <w:iCs/>
        </w:rPr>
        <w:t>Fusarium</w:t>
      </w:r>
      <w:r w:rsidRPr="000171F8">
        <w:rPr>
          <w:rFonts w:ascii="Times New Roman" w:hAnsi="Times New Roman" w:cs="Times New Roman"/>
        </w:rPr>
        <w:t xml:space="preserve"> species, many of which are mycotoxigenic </w:t>
      </w:r>
      <w:r w:rsidR="003A0886">
        <w:rPr>
          <w:rFonts w:ascii="Times New Roman" w:hAnsi="Times New Roman" w:cs="Times New Roman"/>
        </w:rPr>
        <w:t>[6,7]</w:t>
      </w:r>
      <w:r w:rsidRPr="000171F8">
        <w:rPr>
          <w:rFonts w:ascii="Times New Roman" w:hAnsi="Times New Roman" w:cs="Times New Roman"/>
        </w:rPr>
        <w:t xml:space="preserve">. These </w:t>
      </w:r>
      <w:r w:rsidRPr="000171F8">
        <w:rPr>
          <w:rFonts w:ascii="Times New Roman" w:hAnsi="Times New Roman" w:cs="Times New Roman"/>
        </w:rPr>
        <w:lastRenderedPageBreak/>
        <w:t xml:space="preserve">fungi produce mycotoxins—low molecular weight secondary metabolites associated with acute and chronic health effects, including hepatotoxicity and carcinogenesis </w:t>
      </w:r>
      <w:r w:rsidR="003A0886">
        <w:rPr>
          <w:rFonts w:ascii="Times New Roman" w:hAnsi="Times New Roman" w:cs="Times New Roman"/>
        </w:rPr>
        <w:t>[8,9]</w:t>
      </w:r>
      <w:r w:rsidRPr="000171F8">
        <w:rPr>
          <w:rFonts w:ascii="Times New Roman" w:hAnsi="Times New Roman" w:cs="Times New Roman"/>
        </w:rPr>
        <w:t>.</w:t>
      </w:r>
    </w:p>
    <w:p w:rsidR="000171F8" w:rsidRPr="000171F8" w:rsidRDefault="000171F8" w:rsidP="000171F8">
      <w:pPr>
        <w:spacing w:after="0" w:line="240" w:lineRule="auto"/>
        <w:ind w:right="269"/>
        <w:jc w:val="both"/>
        <w:rPr>
          <w:rFonts w:ascii="Times New Roman" w:hAnsi="Times New Roman" w:cs="Times New Roman"/>
        </w:rPr>
      </w:pPr>
      <w:r w:rsidRPr="000171F8">
        <w:rPr>
          <w:rFonts w:ascii="Times New Roman" w:hAnsi="Times New Roman" w:cs="Times New Roman"/>
        </w:rPr>
        <w:t xml:space="preserve">Recent analytical surveys using advanced techniques such as liquid chromatography–tandem mass spectrometry (LC-MS/MS) and surface-enhanced Raman spectroscopy (SERS) have demonstrated that edible oils are not sterile. Multiple mycotoxins, particularly aflatoxin B₁, have been detected in crude palm oil at levels exceeding international safety limits, underscoring the need for enhanced monitoring </w:t>
      </w:r>
      <w:r w:rsidR="003A0886">
        <w:rPr>
          <w:rFonts w:ascii="Times New Roman" w:hAnsi="Times New Roman" w:cs="Times New Roman"/>
        </w:rPr>
        <w:t>[7,10,11]</w:t>
      </w:r>
      <w:r w:rsidRPr="000171F8">
        <w:rPr>
          <w:rFonts w:ascii="Times New Roman" w:hAnsi="Times New Roman" w:cs="Times New Roman"/>
        </w:rPr>
        <w:t>. Smith further reported that fungal contamination levels in palm oil from several regions surpassed regulatory thresholds, posing significant risks to consumers</w:t>
      </w:r>
      <w:r w:rsidR="003A0886">
        <w:rPr>
          <w:rFonts w:ascii="Times New Roman" w:hAnsi="Times New Roman" w:cs="Times New Roman"/>
        </w:rPr>
        <w:t xml:space="preserve"> [12]</w:t>
      </w:r>
    </w:p>
    <w:p w:rsidR="000171F8" w:rsidRPr="000171F8" w:rsidRDefault="000171F8" w:rsidP="000171F8">
      <w:pPr>
        <w:spacing w:after="0" w:line="240" w:lineRule="auto"/>
        <w:ind w:right="269"/>
        <w:jc w:val="both"/>
        <w:rPr>
          <w:rFonts w:ascii="Times New Roman" w:hAnsi="Times New Roman" w:cs="Times New Roman"/>
        </w:rPr>
      </w:pPr>
      <w:r w:rsidRPr="000171F8">
        <w:rPr>
          <w:rFonts w:ascii="Times New Roman" w:hAnsi="Times New Roman" w:cs="Times New Roman"/>
        </w:rPr>
        <w:t xml:space="preserve">In Nigeria, the substandard quality of palm oil sold in local markets has long been a public health concern </w:t>
      </w:r>
      <w:r w:rsidR="003A0886">
        <w:rPr>
          <w:rFonts w:ascii="Times New Roman" w:hAnsi="Times New Roman" w:cs="Times New Roman"/>
        </w:rPr>
        <w:t>[13]</w:t>
      </w:r>
      <w:r w:rsidRPr="000171F8">
        <w:rPr>
          <w:rFonts w:ascii="Times New Roman" w:hAnsi="Times New Roman" w:cs="Times New Roman"/>
        </w:rPr>
        <w:t xml:space="preserve">. Studies from Ibadan, Oyo State revealed aflatoxin and </w:t>
      </w:r>
      <w:r w:rsidR="00771EB1" w:rsidRPr="000171F8">
        <w:rPr>
          <w:rFonts w:ascii="Times New Roman" w:hAnsi="Times New Roman" w:cs="Times New Roman"/>
        </w:rPr>
        <w:t>fumonisins</w:t>
      </w:r>
      <w:r w:rsidRPr="000171F8">
        <w:rPr>
          <w:rFonts w:ascii="Times New Roman" w:hAnsi="Times New Roman" w:cs="Times New Roman"/>
        </w:rPr>
        <w:t xml:space="preserve"> concentrations above acceptable limits, indicating unsafe consumption levels </w:t>
      </w:r>
      <w:r w:rsidR="00BA26F6">
        <w:rPr>
          <w:rFonts w:ascii="Times New Roman" w:hAnsi="Times New Roman" w:cs="Times New Roman"/>
        </w:rPr>
        <w:t>[14,15]</w:t>
      </w:r>
      <w:r w:rsidRPr="000171F8">
        <w:rPr>
          <w:rFonts w:ascii="Times New Roman" w:hAnsi="Times New Roman" w:cs="Times New Roman"/>
        </w:rPr>
        <w:t xml:space="preserve">. Conversely, palm oil samples from Abia State were reported to meet standards set by the Standards </w:t>
      </w:r>
      <w:r w:rsidR="00771EB1" w:rsidRPr="000171F8">
        <w:rPr>
          <w:rFonts w:ascii="Times New Roman" w:hAnsi="Times New Roman" w:cs="Times New Roman"/>
        </w:rPr>
        <w:t>Organization</w:t>
      </w:r>
      <w:r w:rsidRPr="000171F8">
        <w:rPr>
          <w:rFonts w:ascii="Times New Roman" w:hAnsi="Times New Roman" w:cs="Times New Roman"/>
        </w:rPr>
        <w:t xml:space="preserve"> of Nigeria (SON) and Nigerian Industrial Standards (NIS), highlighting regional variability in quality and contamination levels </w:t>
      </w:r>
      <w:r w:rsidR="00BA26F6">
        <w:rPr>
          <w:rFonts w:ascii="Times New Roman" w:hAnsi="Times New Roman" w:cs="Times New Roman"/>
        </w:rPr>
        <w:t>[16]</w:t>
      </w:r>
      <w:r w:rsidRPr="000171F8">
        <w:rPr>
          <w:rFonts w:ascii="Times New Roman" w:hAnsi="Times New Roman" w:cs="Times New Roman"/>
        </w:rPr>
        <w:t>.</w:t>
      </w:r>
    </w:p>
    <w:p w:rsidR="000171F8" w:rsidRPr="000171F8" w:rsidRDefault="000171F8" w:rsidP="000171F8">
      <w:pPr>
        <w:spacing w:after="0" w:line="240" w:lineRule="auto"/>
        <w:ind w:right="269"/>
        <w:jc w:val="both"/>
        <w:rPr>
          <w:rFonts w:ascii="Times New Roman" w:hAnsi="Times New Roman" w:cs="Times New Roman"/>
        </w:rPr>
      </w:pPr>
      <w:r w:rsidRPr="000171F8">
        <w:rPr>
          <w:rFonts w:ascii="Times New Roman" w:hAnsi="Times New Roman" w:cs="Times New Roman"/>
        </w:rPr>
        <w:t xml:space="preserve">Unbranded vegetable oil (UVO), commonly produced and sold locally without formal regulation, is particularly vulnerable to microbial contamination due to informal processing, inadequate storage, and unhygienic handling </w:t>
      </w:r>
      <w:r w:rsidR="00BA26F6">
        <w:rPr>
          <w:rFonts w:ascii="Times New Roman" w:hAnsi="Times New Roman" w:cs="Times New Roman"/>
        </w:rPr>
        <w:t>[13,17]</w:t>
      </w:r>
      <w:r w:rsidRPr="000171F8">
        <w:rPr>
          <w:rFonts w:ascii="Times New Roman" w:hAnsi="Times New Roman" w:cs="Times New Roman"/>
        </w:rPr>
        <w:t xml:space="preserve">. The presence and abundance of fungi such as </w:t>
      </w:r>
      <w:r w:rsidRPr="000171F8">
        <w:rPr>
          <w:rFonts w:ascii="Times New Roman" w:hAnsi="Times New Roman" w:cs="Times New Roman"/>
          <w:i/>
          <w:iCs/>
        </w:rPr>
        <w:t>Aspergillus flavus</w:t>
      </w:r>
      <w:r w:rsidRPr="000171F8">
        <w:rPr>
          <w:rFonts w:ascii="Times New Roman" w:hAnsi="Times New Roman" w:cs="Times New Roman"/>
        </w:rPr>
        <w:t xml:space="preserve">, </w:t>
      </w:r>
      <w:r w:rsidRPr="000171F8">
        <w:rPr>
          <w:rFonts w:ascii="Times New Roman" w:hAnsi="Times New Roman" w:cs="Times New Roman"/>
          <w:i/>
          <w:iCs/>
        </w:rPr>
        <w:t>Aspergillus niger</w:t>
      </w:r>
      <w:r w:rsidRPr="000171F8">
        <w:rPr>
          <w:rFonts w:ascii="Times New Roman" w:hAnsi="Times New Roman" w:cs="Times New Roman"/>
        </w:rPr>
        <w:t xml:space="preserve">, </w:t>
      </w:r>
      <w:r w:rsidRPr="000171F8">
        <w:rPr>
          <w:rFonts w:ascii="Times New Roman" w:hAnsi="Times New Roman" w:cs="Times New Roman"/>
          <w:i/>
          <w:iCs/>
        </w:rPr>
        <w:t>Fusarium</w:t>
      </w:r>
      <w:r w:rsidRPr="000171F8">
        <w:rPr>
          <w:rFonts w:ascii="Times New Roman" w:hAnsi="Times New Roman" w:cs="Times New Roman"/>
        </w:rPr>
        <w:t xml:space="preserve"> spp., </w:t>
      </w:r>
      <w:r w:rsidRPr="000171F8">
        <w:rPr>
          <w:rFonts w:ascii="Times New Roman" w:hAnsi="Times New Roman" w:cs="Times New Roman"/>
          <w:i/>
          <w:iCs/>
        </w:rPr>
        <w:t>Penicillium</w:t>
      </w:r>
      <w:r w:rsidRPr="000171F8">
        <w:rPr>
          <w:rFonts w:ascii="Times New Roman" w:hAnsi="Times New Roman" w:cs="Times New Roman"/>
        </w:rPr>
        <w:t xml:space="preserve"> spp., and </w:t>
      </w:r>
      <w:r w:rsidRPr="000171F8">
        <w:rPr>
          <w:rFonts w:ascii="Times New Roman" w:hAnsi="Times New Roman" w:cs="Times New Roman"/>
          <w:i/>
          <w:iCs/>
        </w:rPr>
        <w:t>Rhizopus</w:t>
      </w:r>
      <w:r w:rsidRPr="000171F8">
        <w:rPr>
          <w:rFonts w:ascii="Times New Roman" w:hAnsi="Times New Roman" w:cs="Times New Roman"/>
        </w:rPr>
        <w:t xml:space="preserve"> spp. are widely used indicators of oil deterioration and safety risk </w:t>
      </w:r>
      <w:r w:rsidR="00BA26F6">
        <w:rPr>
          <w:rFonts w:ascii="Times New Roman" w:hAnsi="Times New Roman" w:cs="Times New Roman"/>
        </w:rPr>
        <w:t>[18,19]</w:t>
      </w:r>
      <w:r w:rsidRPr="000171F8">
        <w:rPr>
          <w:rFonts w:ascii="Times New Roman" w:hAnsi="Times New Roman" w:cs="Times New Roman"/>
        </w:rPr>
        <w:t xml:space="preserve">. Similar contamination challenges have been reported across edible oil markets in developing regions </w:t>
      </w:r>
      <w:r w:rsidR="00BA26F6">
        <w:rPr>
          <w:rFonts w:ascii="Times New Roman" w:hAnsi="Times New Roman" w:cs="Times New Roman"/>
        </w:rPr>
        <w:t>[20]</w:t>
      </w:r>
      <w:r w:rsidRPr="000171F8">
        <w:rPr>
          <w:rFonts w:ascii="Times New Roman" w:hAnsi="Times New Roman" w:cs="Times New Roman"/>
        </w:rPr>
        <w:t>.</w:t>
      </w:r>
    </w:p>
    <w:p w:rsidR="000171F8" w:rsidRPr="000171F8" w:rsidRDefault="000171F8" w:rsidP="000171F8">
      <w:pPr>
        <w:spacing w:after="0" w:line="240" w:lineRule="auto"/>
        <w:ind w:right="269"/>
        <w:jc w:val="both"/>
        <w:rPr>
          <w:rFonts w:ascii="Times New Roman" w:hAnsi="Times New Roman" w:cs="Times New Roman"/>
        </w:rPr>
      </w:pPr>
      <w:r w:rsidRPr="000171F8">
        <w:rPr>
          <w:rFonts w:ascii="Times New Roman" w:hAnsi="Times New Roman" w:cs="Times New Roman"/>
        </w:rPr>
        <w:t xml:space="preserve">Taxonomically, </w:t>
      </w:r>
      <w:r w:rsidRPr="000171F8">
        <w:rPr>
          <w:rFonts w:ascii="Times New Roman" w:hAnsi="Times New Roman" w:cs="Times New Roman"/>
          <w:i/>
          <w:iCs/>
        </w:rPr>
        <w:t>Aspergillus</w:t>
      </w:r>
      <w:r w:rsidRPr="000171F8">
        <w:rPr>
          <w:rFonts w:ascii="Times New Roman" w:hAnsi="Times New Roman" w:cs="Times New Roman"/>
        </w:rPr>
        <w:t xml:space="preserve">, </w:t>
      </w:r>
      <w:r w:rsidRPr="000171F8">
        <w:rPr>
          <w:rFonts w:ascii="Times New Roman" w:hAnsi="Times New Roman" w:cs="Times New Roman"/>
          <w:i/>
          <w:iCs/>
        </w:rPr>
        <w:t>Penicillium</w:t>
      </w:r>
      <w:r w:rsidRPr="000171F8">
        <w:rPr>
          <w:rFonts w:ascii="Times New Roman" w:hAnsi="Times New Roman" w:cs="Times New Roman"/>
        </w:rPr>
        <w:t xml:space="preserve">, and </w:t>
      </w:r>
      <w:r w:rsidRPr="000171F8">
        <w:rPr>
          <w:rFonts w:ascii="Times New Roman" w:hAnsi="Times New Roman" w:cs="Times New Roman"/>
          <w:i/>
          <w:iCs/>
        </w:rPr>
        <w:t>Fusarium</w:t>
      </w:r>
      <w:r w:rsidRPr="000171F8">
        <w:rPr>
          <w:rFonts w:ascii="Times New Roman" w:hAnsi="Times New Roman" w:cs="Times New Roman"/>
        </w:rPr>
        <w:t xml:space="preserve"> remain the principal mycotoxigenic genera associated with oil and oilseed contamination. In low-resource tropical settings, environmental conditions combined with poor storage and processing practices promote fungal proliferation and mycotoxin accumulation </w:t>
      </w:r>
      <w:r w:rsidR="00BA26F6">
        <w:rPr>
          <w:rFonts w:ascii="Times New Roman" w:hAnsi="Times New Roman" w:cs="Times New Roman"/>
        </w:rPr>
        <w:t>[21,22]</w:t>
      </w:r>
      <w:r w:rsidRPr="000171F8">
        <w:rPr>
          <w:rFonts w:ascii="Times New Roman" w:hAnsi="Times New Roman" w:cs="Times New Roman"/>
        </w:rPr>
        <w:t xml:space="preserve">. While molecular tools such as ITS sequencing and PCR-based detection of toxin biosynthesis genes now provide greater accuracy in identifying toxigenic species than morphology alone, their application in routine surveillance remains limited </w:t>
      </w:r>
      <w:r w:rsidR="00BA26F6">
        <w:rPr>
          <w:rFonts w:ascii="Times New Roman" w:hAnsi="Times New Roman" w:cs="Times New Roman"/>
        </w:rPr>
        <w:t>[23]</w:t>
      </w:r>
      <w:r w:rsidRPr="000171F8">
        <w:rPr>
          <w:rFonts w:ascii="Times New Roman" w:hAnsi="Times New Roman" w:cs="Times New Roman"/>
        </w:rPr>
        <w:t>.</w:t>
      </w:r>
    </w:p>
    <w:p w:rsidR="000171F8" w:rsidRPr="000171F8" w:rsidRDefault="000171F8" w:rsidP="000171F8">
      <w:pPr>
        <w:spacing w:after="0" w:line="240" w:lineRule="auto"/>
        <w:ind w:right="269"/>
        <w:jc w:val="both"/>
        <w:rPr>
          <w:rFonts w:ascii="Times New Roman" w:hAnsi="Times New Roman" w:cs="Times New Roman"/>
        </w:rPr>
      </w:pPr>
      <w:r w:rsidRPr="000171F8">
        <w:rPr>
          <w:rFonts w:ascii="Times New Roman" w:hAnsi="Times New Roman" w:cs="Times New Roman"/>
        </w:rPr>
        <w:t xml:space="preserve">Several Nigerian studies have confirmed both fungal contamination and measurable aflatoxin levels in locally produced palm oil, revealing a critical food-safety gap </w:t>
      </w:r>
      <w:r w:rsidR="00BA26F6">
        <w:rPr>
          <w:rFonts w:ascii="Times New Roman" w:hAnsi="Times New Roman" w:cs="Times New Roman"/>
        </w:rPr>
        <w:t>[24]</w:t>
      </w:r>
      <w:r w:rsidRPr="000171F8">
        <w:rPr>
          <w:rFonts w:ascii="Times New Roman" w:hAnsi="Times New Roman" w:cs="Times New Roman"/>
        </w:rPr>
        <w:t>. Consequently, phenotypic and molecular characterization of mycotoxigenic fungi isolated from palm oil sold within Bauchi metropolis is essential to establish contamination profiles, assess public health risks, and inform targeted control and regulatory strategies.</w:t>
      </w:r>
    </w:p>
    <w:p w:rsidR="00894A0C" w:rsidRDefault="00894A0C" w:rsidP="002F2181">
      <w:pPr>
        <w:spacing w:after="0" w:line="240" w:lineRule="auto"/>
        <w:ind w:right="269"/>
        <w:jc w:val="both"/>
        <w:rPr>
          <w:rFonts w:ascii="Times New Roman" w:hAnsi="Times New Roman" w:cs="Times New Roman"/>
        </w:rPr>
      </w:pPr>
    </w:p>
    <w:p w:rsidR="00771EB1" w:rsidRDefault="00771EB1" w:rsidP="002F2181">
      <w:pPr>
        <w:spacing w:after="0" w:line="240" w:lineRule="auto"/>
        <w:ind w:right="269"/>
        <w:jc w:val="both"/>
        <w:rPr>
          <w:rFonts w:ascii="Times New Roman" w:hAnsi="Times New Roman" w:cs="Times New Roman"/>
        </w:rPr>
      </w:pPr>
    </w:p>
    <w:p w:rsidR="00771EB1" w:rsidRPr="00C121AA" w:rsidRDefault="00771EB1" w:rsidP="002F2181">
      <w:pPr>
        <w:spacing w:after="0" w:line="240" w:lineRule="auto"/>
        <w:ind w:right="269"/>
        <w:jc w:val="both"/>
        <w:rPr>
          <w:rFonts w:ascii="Times New Roman" w:hAnsi="Times New Roman" w:cs="Times New Roman"/>
        </w:rPr>
      </w:pPr>
    </w:p>
    <w:p w:rsidR="00847B6C" w:rsidRPr="0037570C" w:rsidRDefault="00C121AA" w:rsidP="002F2181">
      <w:pPr>
        <w:pStyle w:val="ListParagraph"/>
        <w:numPr>
          <w:ilvl w:val="0"/>
          <w:numId w:val="3"/>
        </w:numPr>
        <w:spacing w:after="0" w:line="240" w:lineRule="auto"/>
        <w:rPr>
          <w:rFonts w:ascii="Times New Roman" w:hAnsi="Times New Roman" w:cs="Times New Roman"/>
          <w:b/>
          <w:bCs/>
        </w:rPr>
      </w:pPr>
      <w:r w:rsidRPr="0037570C">
        <w:rPr>
          <w:rFonts w:ascii="Times New Roman" w:hAnsi="Times New Roman" w:cs="Times New Roman"/>
          <w:b/>
          <w:bCs/>
        </w:rPr>
        <w:t>MATERIALS AND METHODS</w:t>
      </w:r>
    </w:p>
    <w:p w:rsidR="00C121AA" w:rsidRPr="00847B6C" w:rsidRDefault="0037570C" w:rsidP="002F2181">
      <w:pPr>
        <w:spacing w:after="0" w:line="240" w:lineRule="auto"/>
        <w:ind w:right="269"/>
        <w:jc w:val="both"/>
        <w:rPr>
          <w:rFonts w:ascii="Times New Roman" w:eastAsia="Times New Roman" w:hAnsi="Times New Roman" w:cs="Times New Roman"/>
          <w:b/>
          <w:bCs/>
        </w:rPr>
      </w:pPr>
      <w:bookmarkStart w:id="1" w:name="_Toc216972273"/>
      <w:r>
        <w:rPr>
          <w:rFonts w:ascii="Times New Roman" w:hAnsi="Times New Roman" w:cs="Times New Roman"/>
          <w:b/>
          <w:bCs/>
        </w:rPr>
        <w:t>2.</w:t>
      </w:r>
      <w:r w:rsidR="003910BB">
        <w:rPr>
          <w:rFonts w:ascii="Times New Roman" w:hAnsi="Times New Roman" w:cs="Times New Roman"/>
          <w:b/>
          <w:bCs/>
        </w:rPr>
        <w:t>1</w:t>
      </w:r>
      <w:r>
        <w:rPr>
          <w:rFonts w:ascii="Times New Roman" w:hAnsi="Times New Roman" w:cs="Times New Roman"/>
          <w:b/>
          <w:bCs/>
        </w:rPr>
        <w:t xml:space="preserve"> </w:t>
      </w:r>
      <w:r w:rsidR="00C121AA" w:rsidRPr="00847B6C">
        <w:rPr>
          <w:rFonts w:ascii="Times New Roman" w:hAnsi="Times New Roman" w:cs="Times New Roman"/>
          <w:b/>
          <w:bCs/>
        </w:rPr>
        <w:t>Study Area</w:t>
      </w:r>
      <w:bookmarkEnd w:id="1"/>
    </w:p>
    <w:p w:rsidR="00C121AA" w:rsidRPr="00C121AA" w:rsidRDefault="00C121AA" w:rsidP="002F2181">
      <w:pPr>
        <w:spacing w:after="0" w:line="240" w:lineRule="auto"/>
        <w:ind w:right="269"/>
        <w:jc w:val="both"/>
        <w:rPr>
          <w:rFonts w:ascii="Times New Roman" w:eastAsia="Times New Roman" w:hAnsi="Times New Roman" w:cs="Times New Roman"/>
        </w:rPr>
      </w:pPr>
      <w:r w:rsidRPr="00C121AA">
        <w:rPr>
          <w:rFonts w:ascii="Times New Roman" w:eastAsia="Times New Roman" w:hAnsi="Times New Roman" w:cs="Times New Roman"/>
        </w:rPr>
        <w:t xml:space="preserve"> The study was conducted in Bauchi Metropolis, Bauchi State, Nigeria. Bauchi is located between latitude (10°17′N) and longitude (9°49′E) and lies at an elevation of approximately 616 meters above sea level, it is bordered by Gombe state to the east, Yobe to the east, Kaduna to the west, Kano and Jigawa to the north, and Taraba and Plateau to the south. Located at a latitude of 100°30' north of the Equator and a longitude of (100°00') east of the Greenwich Meridian, the city has a metropolitan population of 6</w:t>
      </w:r>
      <w:r w:rsidRPr="00C121AA">
        <w:rPr>
          <w:rFonts w:ascii="Times New Roman" w:eastAsia="Times New Roman" w:hAnsi="Times New Roman" w:cs="Times New Roman"/>
          <w:lang w:val="en-GB"/>
        </w:rPr>
        <w:t>97</w:t>
      </w:r>
      <w:r w:rsidRPr="00C121AA">
        <w:rPr>
          <w:rFonts w:ascii="Times New Roman" w:eastAsia="Times New Roman" w:hAnsi="Times New Roman" w:cs="Times New Roman"/>
        </w:rPr>
        <w:t>,</w:t>
      </w:r>
      <w:r w:rsidRPr="00C121AA">
        <w:rPr>
          <w:rFonts w:ascii="Times New Roman" w:eastAsia="Times New Roman" w:hAnsi="Times New Roman" w:cs="Times New Roman"/>
          <w:lang w:val="en-GB"/>
        </w:rPr>
        <w:t>00</w:t>
      </w:r>
      <w:r w:rsidRPr="00C121AA">
        <w:rPr>
          <w:rFonts w:ascii="Times New Roman" w:eastAsia="Times New Roman" w:hAnsi="Times New Roman" w:cs="Times New Roman"/>
        </w:rPr>
        <w:t xml:space="preserve"> and a state population of </w:t>
      </w:r>
      <w:r w:rsidRPr="00C121AA">
        <w:rPr>
          <w:rFonts w:ascii="Times New Roman" w:eastAsia="Times New Roman" w:hAnsi="Times New Roman" w:cs="Times New Roman"/>
          <w:lang w:val="en-GB"/>
        </w:rPr>
        <w:t>8</w:t>
      </w:r>
      <w:r w:rsidRPr="00C121AA">
        <w:rPr>
          <w:rFonts w:ascii="Times New Roman" w:eastAsia="Times New Roman" w:hAnsi="Times New Roman" w:cs="Times New Roman"/>
        </w:rPr>
        <w:t>,</w:t>
      </w:r>
      <w:r w:rsidRPr="00C121AA">
        <w:rPr>
          <w:rFonts w:ascii="Times New Roman" w:eastAsia="Times New Roman" w:hAnsi="Times New Roman" w:cs="Times New Roman"/>
          <w:lang w:val="en-GB"/>
        </w:rPr>
        <w:t>308</w:t>
      </w:r>
      <w:r w:rsidRPr="00C121AA">
        <w:rPr>
          <w:rFonts w:ascii="Times New Roman" w:eastAsia="Times New Roman" w:hAnsi="Times New Roman" w:cs="Times New Roman"/>
        </w:rPr>
        <w:t>,</w:t>
      </w:r>
      <w:r w:rsidRPr="00C121AA">
        <w:rPr>
          <w:rFonts w:ascii="Times New Roman" w:eastAsia="Times New Roman" w:hAnsi="Times New Roman" w:cs="Times New Roman"/>
          <w:lang w:val="en-GB"/>
        </w:rPr>
        <w:t>800</w:t>
      </w:r>
      <w:r w:rsidRPr="00C121AA">
        <w:rPr>
          <w:rFonts w:ascii="Times New Roman" w:eastAsia="Times New Roman" w:hAnsi="Times New Roman" w:cs="Times New Roman"/>
        </w:rPr>
        <w:t xml:space="preserve"> people as of </w:t>
      </w:r>
      <w:proofErr w:type="gramStart"/>
      <w:r w:rsidRPr="00C121AA">
        <w:rPr>
          <w:rFonts w:ascii="Times New Roman" w:eastAsia="Times New Roman" w:hAnsi="Times New Roman" w:cs="Times New Roman"/>
        </w:rPr>
        <w:t>20</w:t>
      </w:r>
      <w:r w:rsidRPr="00C121AA">
        <w:rPr>
          <w:rFonts w:ascii="Times New Roman" w:eastAsia="Times New Roman" w:hAnsi="Times New Roman" w:cs="Times New Roman"/>
          <w:lang w:val="en-GB"/>
        </w:rPr>
        <w:t xml:space="preserve">24 </w:t>
      </w:r>
      <w:r w:rsidRPr="00C121AA">
        <w:rPr>
          <w:rFonts w:ascii="Times New Roman" w:eastAsia="Times New Roman" w:hAnsi="Times New Roman" w:cs="Times New Roman"/>
        </w:rPr>
        <w:t>.</w:t>
      </w:r>
      <w:proofErr w:type="gramEnd"/>
      <w:r w:rsidRPr="00C121AA">
        <w:rPr>
          <w:rFonts w:ascii="Times New Roman" w:eastAsia="Times New Roman" w:hAnsi="Times New Roman" w:cs="Times New Roman"/>
        </w:rPr>
        <w:t xml:space="preserve"> The city exhibits a multitude of linguistic varieties, predominantly including; Fulani, Gerawa, Jarawa, Warjawa, Sayawa, Kirfawa, Bolewa, Karekare, Zulawa, Fa'awa, and Kanuri, each characterized by distinct cultural backgrounds, occupational practices, and belief systems. The city experiences a tropical climate, with a distinct dry season </w:t>
      </w:r>
      <w:r w:rsidRPr="00C121AA">
        <w:rPr>
          <w:rFonts w:ascii="Times New Roman" w:eastAsia="Times New Roman" w:hAnsi="Times New Roman" w:cs="Times New Roman"/>
        </w:rPr>
        <w:lastRenderedPageBreak/>
        <w:t>(November to April) and rainy season (May to October). The mean annual temperature ranges from (25°C to 32°C), and relative humidity varies between (25%) and (70%), depending on the season.</w:t>
      </w:r>
    </w:p>
    <w:p w:rsidR="00C121AA" w:rsidRPr="00C121AA" w:rsidRDefault="00C121AA" w:rsidP="002F2181">
      <w:pPr>
        <w:spacing w:after="0" w:line="240" w:lineRule="auto"/>
        <w:ind w:right="269"/>
        <w:jc w:val="both"/>
        <w:rPr>
          <w:rFonts w:ascii="Times New Roman" w:eastAsia="Times New Roman" w:hAnsi="Times New Roman" w:cs="Times New Roman"/>
        </w:rPr>
      </w:pPr>
      <w:r w:rsidRPr="00C121AA">
        <w:rPr>
          <w:rFonts w:ascii="Times New Roman" w:eastAsia="Times New Roman" w:hAnsi="Times New Roman" w:cs="Times New Roman"/>
        </w:rPr>
        <w:t>Palm oil in Bauchi is typically transported from southern Nigeria and sold in local markets, including Muda-Lawal Market, Wunti Market, Central Market, and Yelwa Market. These markets were selected because they are major distribution centers for consumable palm oil within the metropolis.</w:t>
      </w:r>
    </w:p>
    <w:p w:rsidR="00C121AA" w:rsidRPr="00847B6C" w:rsidRDefault="0037570C" w:rsidP="00771EB1">
      <w:pPr>
        <w:pStyle w:val="Heading2"/>
        <w:spacing w:before="0" w:after="0" w:line="240" w:lineRule="auto"/>
        <w:ind w:right="269"/>
        <w:rPr>
          <w:rFonts w:ascii="Times New Roman" w:hAnsi="Times New Roman" w:cs="Times New Roman"/>
          <w:b/>
          <w:bCs/>
          <w:color w:val="auto"/>
          <w:sz w:val="24"/>
          <w:szCs w:val="24"/>
        </w:rPr>
      </w:pPr>
      <w:bookmarkStart w:id="2" w:name="_Toc216972275"/>
      <w:r>
        <w:rPr>
          <w:rFonts w:ascii="Times New Roman" w:hAnsi="Times New Roman" w:cs="Times New Roman"/>
          <w:b/>
          <w:bCs/>
          <w:color w:val="auto"/>
          <w:sz w:val="24"/>
          <w:szCs w:val="24"/>
        </w:rPr>
        <w:t>2.</w:t>
      </w:r>
      <w:r w:rsidR="003910BB">
        <w:rPr>
          <w:rFonts w:ascii="Times New Roman" w:hAnsi="Times New Roman" w:cs="Times New Roman"/>
          <w:b/>
          <w:bCs/>
          <w:color w:val="auto"/>
          <w:sz w:val="24"/>
          <w:szCs w:val="24"/>
        </w:rPr>
        <w:t>2</w:t>
      </w:r>
      <w:r w:rsidR="00894A0C">
        <w:rPr>
          <w:rFonts w:ascii="Times New Roman" w:hAnsi="Times New Roman" w:cs="Times New Roman"/>
          <w:b/>
          <w:bCs/>
          <w:color w:val="auto"/>
          <w:sz w:val="24"/>
          <w:szCs w:val="24"/>
        </w:rPr>
        <w:t xml:space="preserve"> </w:t>
      </w:r>
      <w:r w:rsidR="00C121AA" w:rsidRPr="00847B6C">
        <w:rPr>
          <w:rFonts w:ascii="Times New Roman" w:hAnsi="Times New Roman" w:cs="Times New Roman"/>
          <w:b/>
          <w:bCs/>
          <w:color w:val="auto"/>
          <w:sz w:val="24"/>
          <w:szCs w:val="24"/>
        </w:rPr>
        <w:t>Sample Collection</w:t>
      </w:r>
      <w:bookmarkEnd w:id="2"/>
    </w:p>
    <w:p w:rsidR="00894A0C" w:rsidRDefault="00894A0C" w:rsidP="00771EB1">
      <w:pPr>
        <w:spacing w:after="0" w:line="240" w:lineRule="auto"/>
        <w:ind w:right="269"/>
        <w:jc w:val="both"/>
        <w:rPr>
          <w:rFonts w:ascii="Times New Roman" w:eastAsia="Times New Roman" w:hAnsi="Times New Roman" w:cs="Times New Roman"/>
        </w:rPr>
      </w:pPr>
      <w:r w:rsidRPr="00C121AA">
        <w:rPr>
          <w:rFonts w:ascii="Times New Roman" w:eastAsia="Times New Roman" w:hAnsi="Times New Roman" w:cs="Times New Roman"/>
          <w:lang w:val="en-GB"/>
        </w:rPr>
        <w:t xml:space="preserve">Random </w:t>
      </w:r>
      <w:r w:rsidRPr="00C121AA">
        <w:rPr>
          <w:rFonts w:ascii="Times New Roman" w:eastAsia="Times New Roman" w:hAnsi="Times New Roman" w:cs="Times New Roman"/>
        </w:rPr>
        <w:t xml:space="preserve">sampling was used for sample collection within the study area; four samples </w:t>
      </w:r>
      <w:r w:rsidRPr="00C121AA">
        <w:rPr>
          <w:rFonts w:ascii="Times New Roman" w:eastAsia="Times New Roman" w:hAnsi="Times New Roman" w:cs="Times New Roman"/>
          <w:lang w:val="en-GB"/>
        </w:rPr>
        <w:t>were</w:t>
      </w:r>
      <w:r w:rsidRPr="00C121AA">
        <w:rPr>
          <w:rFonts w:ascii="Times New Roman" w:eastAsia="Times New Roman" w:hAnsi="Times New Roman" w:cs="Times New Roman"/>
        </w:rPr>
        <w:t xml:space="preserve"> collect</w:t>
      </w:r>
      <w:r w:rsidRPr="00C121AA">
        <w:rPr>
          <w:rFonts w:ascii="Times New Roman" w:eastAsia="Times New Roman" w:hAnsi="Times New Roman" w:cs="Times New Roman"/>
          <w:lang w:val="en-GB"/>
        </w:rPr>
        <w:t>ed</w:t>
      </w:r>
      <w:r w:rsidRPr="00C121AA">
        <w:rPr>
          <w:rFonts w:ascii="Times New Roman" w:eastAsia="Times New Roman" w:hAnsi="Times New Roman" w:cs="Times New Roman"/>
        </w:rPr>
        <w:t xml:space="preserve"> in twenty-five (25) replicates to make one hundred (10</w:t>
      </w:r>
      <w:r w:rsidRPr="00C121AA">
        <w:rPr>
          <w:rFonts w:ascii="Times New Roman" w:eastAsia="Times New Roman" w:hAnsi="Times New Roman" w:cs="Times New Roman"/>
          <w:lang w:val="en-GB"/>
        </w:rPr>
        <w:t>0</w:t>
      </w:r>
      <w:r w:rsidRPr="00C121AA">
        <w:rPr>
          <w:rFonts w:ascii="Times New Roman" w:eastAsia="Times New Roman" w:hAnsi="Times New Roman" w:cs="Times New Roman"/>
        </w:rPr>
        <w:t>) replicates.</w:t>
      </w:r>
    </w:p>
    <w:p w:rsidR="00847B6C" w:rsidRPr="0037570C" w:rsidRDefault="00C121AA" w:rsidP="00771EB1">
      <w:pPr>
        <w:spacing w:after="0" w:line="240" w:lineRule="auto"/>
        <w:ind w:right="269"/>
        <w:jc w:val="both"/>
        <w:rPr>
          <w:rFonts w:ascii="Times New Roman" w:eastAsia="Times New Roman" w:hAnsi="Times New Roman" w:cs="Times New Roman"/>
        </w:rPr>
      </w:pPr>
      <w:r w:rsidRPr="00C121AA">
        <w:rPr>
          <w:rFonts w:ascii="Times New Roman" w:eastAsia="Times New Roman" w:hAnsi="Times New Roman" w:cs="Times New Roman"/>
        </w:rPr>
        <w:t>A total of </w:t>
      </w:r>
      <w:hyperlink r:id="rId7" w:history="1">
        <w:r w:rsidRPr="00C121AA">
          <w:rPr>
            <w:rStyle w:val="Hyperlink"/>
            <w:rFonts w:ascii="Times New Roman" w:eastAsia="Times New Roman" w:hAnsi="Times New Roman" w:cs="Times New Roman"/>
            <w:color w:val="auto"/>
            <w:u w:val="none"/>
          </w:rPr>
          <w:t>100</w:t>
        </w:r>
      </w:hyperlink>
      <w:r w:rsidRPr="00C121AA">
        <w:rPr>
          <w:rFonts w:ascii="Times New Roman" w:eastAsia="Times New Roman" w:hAnsi="Times New Roman" w:cs="Times New Roman"/>
        </w:rPr>
        <w:t> palm oil samples were collected randomly from the four selected markets in Bauchi Metropolis. Twenty-five (25) samples were taken from each market using sterile sampling containers. The samples were obtained from bulk sellers at the point of display and during active trading to represent realistic consumer conditions. Each sample was labeled according to the market of origin and transported to the microbiology laboratory at Abubakar Tafawa Balewa University (ATBU)., for analysis. Samples were stored at (4°C) in a refrigerator prior to microbiological examination to prevent changes in microbial load</w:t>
      </w:r>
      <w:bookmarkStart w:id="3" w:name="_Toc216972277"/>
    </w:p>
    <w:bookmarkEnd w:id="3"/>
    <w:p w:rsidR="00C121AA" w:rsidRPr="00847B6C" w:rsidRDefault="003910BB" w:rsidP="00771EB1">
      <w:pPr>
        <w:pStyle w:val="Heading2"/>
        <w:spacing w:after="0" w:line="240" w:lineRule="auto"/>
        <w:ind w:right="269"/>
        <w:rPr>
          <w:rFonts w:ascii="Times New Roman" w:hAnsi="Times New Roman" w:cs="Times New Roman"/>
          <w:b/>
          <w:bCs/>
          <w:color w:val="auto"/>
          <w:sz w:val="24"/>
          <w:szCs w:val="24"/>
          <w:shd w:val="clear" w:color="auto" w:fill="FFFFFF"/>
        </w:rPr>
      </w:pPr>
      <w:r>
        <w:rPr>
          <w:rFonts w:ascii="Times New Roman" w:eastAsia="SimSun" w:hAnsi="Times New Roman" w:cs="Times New Roman"/>
          <w:b/>
          <w:bCs/>
          <w:iCs/>
          <w:color w:val="auto"/>
          <w:sz w:val="24"/>
          <w:szCs w:val="24"/>
          <w:lang w:val="en-GB"/>
        </w:rPr>
        <w:t>2.3 Sample</w:t>
      </w:r>
      <w:r w:rsidR="0014453F">
        <w:rPr>
          <w:rFonts w:ascii="Times New Roman" w:eastAsia="SimSun" w:hAnsi="Times New Roman" w:cs="Times New Roman"/>
          <w:b/>
          <w:bCs/>
          <w:iCs/>
          <w:color w:val="auto"/>
          <w:sz w:val="24"/>
          <w:szCs w:val="24"/>
          <w:lang w:val="en-GB"/>
        </w:rPr>
        <w:t>s</w:t>
      </w:r>
      <w:r>
        <w:rPr>
          <w:rFonts w:ascii="Times New Roman" w:eastAsia="SimSun" w:hAnsi="Times New Roman" w:cs="Times New Roman"/>
          <w:b/>
          <w:bCs/>
          <w:iCs/>
          <w:color w:val="auto"/>
          <w:sz w:val="24"/>
          <w:szCs w:val="24"/>
          <w:lang w:val="en-GB"/>
        </w:rPr>
        <w:t xml:space="preserve"> Processing </w:t>
      </w:r>
    </w:p>
    <w:p w:rsidR="00C121AA" w:rsidRPr="00191501" w:rsidRDefault="00C121AA" w:rsidP="00771EB1">
      <w:pPr>
        <w:spacing w:after="0" w:line="240" w:lineRule="auto"/>
        <w:ind w:right="269"/>
        <w:jc w:val="both"/>
        <w:rPr>
          <w:rStyle w:val="Heading2Char"/>
          <w:rFonts w:ascii="Times New Roman" w:eastAsia="SimSun" w:hAnsi="Times New Roman" w:cs="Times New Roman"/>
          <w:color w:val="auto"/>
          <w:sz w:val="24"/>
          <w:szCs w:val="24"/>
          <w:lang w:val="en-GB"/>
        </w:rPr>
      </w:pPr>
      <w:r w:rsidRPr="00C121AA">
        <w:rPr>
          <w:rFonts w:ascii="Times New Roman" w:eastAsia="SimSun" w:hAnsi="Times New Roman" w:cs="Times New Roman"/>
          <w:lang w:val="en-GB"/>
        </w:rPr>
        <w:t>Isolation was performed using the direct plating method described by</w:t>
      </w:r>
      <w:r w:rsidR="00DE3C98">
        <w:rPr>
          <w:rFonts w:ascii="Times New Roman" w:eastAsia="SimSun" w:hAnsi="Times New Roman" w:cs="Times New Roman"/>
          <w:lang w:val="en-GB"/>
        </w:rPr>
        <w:t xml:space="preserve"> </w:t>
      </w:r>
      <w:r w:rsidR="00DE3C98" w:rsidRPr="00DE3C98">
        <w:rPr>
          <w:rFonts w:ascii="Times New Roman" w:eastAsia="SimSun" w:hAnsi="Times New Roman" w:cs="Times New Roman"/>
        </w:rPr>
        <w:t>Gautam</w:t>
      </w:r>
      <w:r w:rsidRPr="00C121AA">
        <w:rPr>
          <w:rFonts w:ascii="Times New Roman" w:eastAsia="SimSun" w:hAnsi="Times New Roman" w:cs="Times New Roman"/>
          <w:lang w:val="en-GB"/>
        </w:rPr>
        <w:t xml:space="preserve"> </w:t>
      </w:r>
      <w:r w:rsidR="00DE3C98">
        <w:rPr>
          <w:rFonts w:ascii="Times New Roman" w:eastAsia="SimSun" w:hAnsi="Times New Roman" w:cs="Times New Roman"/>
          <w:lang w:val="en-GB"/>
        </w:rPr>
        <w:t>[25]</w:t>
      </w:r>
      <w:r w:rsidRPr="00C121AA">
        <w:rPr>
          <w:rFonts w:ascii="Times New Roman" w:eastAsia="SimSun" w:hAnsi="Times New Roman" w:cs="Times New Roman"/>
          <w:lang w:val="en-GB"/>
        </w:rPr>
        <w:t xml:space="preserve"> and adopted by</w:t>
      </w:r>
      <w:r w:rsidR="003878E0">
        <w:rPr>
          <w:rFonts w:ascii="Times New Roman" w:eastAsia="SimSun" w:hAnsi="Times New Roman" w:cs="Times New Roman"/>
          <w:lang w:val="en-GB"/>
        </w:rPr>
        <w:t xml:space="preserve"> </w:t>
      </w:r>
      <w:r w:rsidR="003878E0" w:rsidRPr="003878E0">
        <w:rPr>
          <w:rFonts w:ascii="Times New Roman" w:eastAsia="SimSun" w:hAnsi="Times New Roman" w:cs="Times New Roman"/>
        </w:rPr>
        <w:t>Shamsuddeen</w:t>
      </w:r>
      <w:r w:rsidR="003878E0" w:rsidRPr="003878E0">
        <w:rPr>
          <w:rFonts w:ascii="Times New Roman" w:eastAsia="SimSun" w:hAnsi="Times New Roman" w:cs="Times New Roman"/>
          <w:lang w:val="en-GB"/>
        </w:rPr>
        <w:t xml:space="preserve"> </w:t>
      </w:r>
      <w:r w:rsidR="00DE3C98">
        <w:rPr>
          <w:rFonts w:ascii="Times New Roman" w:eastAsia="SimSun" w:hAnsi="Times New Roman" w:cs="Times New Roman"/>
          <w:lang w:val="en-GB"/>
        </w:rPr>
        <w:t>[26]</w:t>
      </w:r>
      <w:r w:rsidRPr="00C121AA">
        <w:rPr>
          <w:rFonts w:ascii="Times New Roman" w:eastAsia="SimSun" w:hAnsi="Times New Roman" w:cs="Times New Roman"/>
          <w:lang w:val="en-GB"/>
        </w:rPr>
        <w:t>. Potato Dextrose</w:t>
      </w:r>
      <w:r w:rsidRPr="00C121AA">
        <w:rPr>
          <w:rFonts w:ascii="Times New Roman" w:eastAsia="SimSun" w:hAnsi="Times New Roman" w:cs="Times New Roman"/>
          <w:i/>
          <w:lang w:val="en-GB"/>
        </w:rPr>
        <w:t xml:space="preserve"> agar </w:t>
      </w:r>
      <w:r w:rsidRPr="00C121AA">
        <w:rPr>
          <w:rFonts w:ascii="Times New Roman" w:eastAsia="SimSun" w:hAnsi="Times New Roman" w:cs="Times New Roman"/>
          <w:lang w:val="en-GB"/>
        </w:rPr>
        <w:t xml:space="preserve">(PDA) with chloramphenicol (500 mg/l) was prepared according to the manufacturer's instructions, sterilised by autoclaving at (121ºC) for 15 minutes, and then cooled. After cooling, samples of palm oil were inoculated onto petri dishes containing the prepared medium and incubated at room temperature, observing hyphal </w:t>
      </w:r>
      <w:r w:rsidRPr="00C121AA">
        <w:rPr>
          <w:rFonts w:ascii="Times New Roman" w:eastAsia="SimSun" w:hAnsi="Times New Roman" w:cs="Times New Roman"/>
          <w:i/>
          <w:lang w:val="en-GB"/>
        </w:rPr>
        <w:t>morphology</w:t>
      </w:r>
      <w:r w:rsidRPr="00C121AA">
        <w:rPr>
          <w:rFonts w:ascii="Times New Roman" w:eastAsia="SimSun" w:hAnsi="Times New Roman" w:cs="Times New Roman"/>
          <w:lang w:val="en-GB"/>
        </w:rPr>
        <w:t xml:space="preserve"> and </w:t>
      </w:r>
      <w:r w:rsidRPr="00C121AA">
        <w:rPr>
          <w:rFonts w:ascii="Times New Roman" w:eastAsia="SimSun" w:hAnsi="Times New Roman" w:cs="Times New Roman"/>
          <w:i/>
          <w:lang w:val="en-GB"/>
        </w:rPr>
        <w:t>conidia</w:t>
      </w:r>
      <w:r w:rsidRPr="00C121AA">
        <w:rPr>
          <w:rFonts w:ascii="Times New Roman" w:eastAsia="SimSun" w:hAnsi="Times New Roman" w:cs="Times New Roman"/>
          <w:lang w:val="en-GB"/>
        </w:rPr>
        <w:t xml:space="preserve"> as described by El Hassan</w:t>
      </w:r>
      <w:r w:rsidR="003878E0">
        <w:rPr>
          <w:rFonts w:ascii="Times New Roman" w:eastAsia="SimSun" w:hAnsi="Times New Roman" w:cs="Times New Roman"/>
          <w:lang w:val="en-GB"/>
        </w:rPr>
        <w:t xml:space="preserve"> [27]</w:t>
      </w:r>
      <w:r w:rsidRPr="00C121AA">
        <w:rPr>
          <w:rFonts w:ascii="Times New Roman" w:eastAsia="SimSun" w:hAnsi="Times New Roman" w:cs="Times New Roman"/>
          <w:lang w:val="en-GB"/>
        </w:rPr>
        <w:t>.</w:t>
      </w:r>
      <w:r w:rsidR="00191501">
        <w:rPr>
          <w:rFonts w:ascii="Times New Roman" w:eastAsia="SimSun" w:hAnsi="Times New Roman" w:cs="Times New Roman"/>
          <w:lang w:val="en-GB"/>
        </w:rPr>
        <w:t xml:space="preserve"> </w:t>
      </w:r>
      <w:r w:rsidRPr="00C121AA">
        <w:rPr>
          <w:rFonts w:ascii="Times New Roman" w:eastAsia="SimSun" w:hAnsi="Times New Roman" w:cs="Times New Roman"/>
        </w:rPr>
        <w:t xml:space="preserve">A drop of lactophenol cotton blue solution was placed on a grease-free slide. Scrapings from the pure isolates were obtained from the Potato Dextrose agar (PDA) and transferred to the fluid using a sterilized, cooled wire needle. The specimen was then gently pressed to facilitate proper mixing with the stain. Sterile forceps were employed to position a cover slip over the slides, and blotting paper was utilized to remove excess stain. Subsequently, the slides were examined under both low magnification (x10) and high magnification (x40) objectives </w:t>
      </w:r>
      <w:r w:rsidR="003878E0">
        <w:rPr>
          <w:rFonts w:ascii="Times New Roman" w:eastAsia="SimSun" w:hAnsi="Times New Roman" w:cs="Times New Roman"/>
        </w:rPr>
        <w:t>[27,28]</w:t>
      </w:r>
      <w:r w:rsidRPr="00C121AA">
        <w:rPr>
          <w:rFonts w:ascii="Times New Roman" w:eastAsia="SimSun" w:hAnsi="Times New Roman" w:cs="Times New Roman"/>
        </w:rPr>
        <w:t>. Fungal species identification involved observing and recording colony characteristics, such as color, shape, and size. Notable species included; Common Aspergillus, Penicillium, and Fusarium. Morphological features of the fungi, including conidia, hyphae, and spore arrangement, were used to determine the species</w:t>
      </w:r>
    </w:p>
    <w:p w:rsidR="00C121AA" w:rsidRPr="00C121AA" w:rsidRDefault="00C121AA" w:rsidP="002F2181">
      <w:pPr>
        <w:shd w:val="clear" w:color="auto" w:fill="FFFFFF"/>
        <w:spacing w:after="0" w:line="240" w:lineRule="auto"/>
        <w:ind w:right="269"/>
        <w:jc w:val="both"/>
        <w:rPr>
          <w:rFonts w:ascii="Times New Roman" w:eastAsia="Times New Roman" w:hAnsi="Times New Roman" w:cs="Times New Roman"/>
          <w:kern w:val="0"/>
          <w14:ligatures w14:val="none"/>
        </w:rPr>
      </w:pPr>
      <w:r w:rsidRPr="00C121AA">
        <w:rPr>
          <w:rFonts w:ascii="Times New Roman" w:eastAsia="Times New Roman" w:hAnsi="Times New Roman" w:cs="Times New Roman"/>
          <w:kern w:val="0"/>
          <w14:ligatures w14:val="none"/>
        </w:rPr>
        <w:t>Fungal load in each sample was determined using the Colony Forming Unit (CFU) method, Plates showing discrete colonies (30–</w:t>
      </w:r>
      <w:hyperlink r:id="rId8" w:history="1">
        <w:r w:rsidRPr="00C121AA">
          <w:rPr>
            <w:rStyle w:val="Hyperlink"/>
            <w:rFonts w:ascii="Times New Roman" w:eastAsia="Times New Roman" w:hAnsi="Times New Roman" w:cs="Times New Roman"/>
            <w:color w:val="auto"/>
            <w:kern w:val="0"/>
            <w:u w:val="none"/>
            <w14:ligatures w14:val="none"/>
          </w:rPr>
          <w:t>300</w:t>
        </w:r>
      </w:hyperlink>
      <w:r w:rsidRPr="00C121AA">
        <w:rPr>
          <w:rFonts w:ascii="Times New Roman" w:eastAsia="Times New Roman" w:hAnsi="Times New Roman" w:cs="Times New Roman"/>
          <w:kern w:val="0"/>
          <w14:ligatures w14:val="none"/>
        </w:rPr>
        <w:t> colonies) were selected for counting. The number of colonies was counted and multiplied by the dilution factor. The fungal load was calculated using the formula:</w:t>
      </w:r>
    </w:p>
    <w:p w:rsidR="00C121AA" w:rsidRPr="00C121AA" w:rsidRDefault="00C121AA" w:rsidP="002F2181">
      <w:pPr>
        <w:pStyle w:val="ListParagraph"/>
        <w:shd w:val="clear" w:color="auto" w:fill="FFFFFF"/>
        <w:spacing w:after="0" w:line="240" w:lineRule="auto"/>
        <w:ind w:left="540" w:right="269"/>
        <w:jc w:val="both"/>
        <w:rPr>
          <w:rFonts w:ascii="Times New Roman" w:eastAsia="Times New Roman" w:hAnsi="Times New Roman" w:cs="Times New Roman"/>
          <w:b/>
          <w:bCs/>
          <w:kern w:val="0"/>
          <w14:ligatures w14:val="none"/>
        </w:rPr>
      </w:pPr>
      <w:r w:rsidRPr="00C121AA">
        <w:rPr>
          <w:rFonts w:ascii="Times New Roman" w:eastAsia="Times New Roman" w:hAnsi="Times New Roman" w:cs="Times New Roman"/>
          <w:kern w:val="0"/>
          <w14:ligatures w14:val="none"/>
        </w:rPr>
        <w:t>CFU/g=Number of Colonies (n) × Dilution factor ÷ Volume plated (mL)</w:t>
      </w:r>
    </w:p>
    <w:p w:rsidR="00C121AA" w:rsidRPr="00C121AA" w:rsidRDefault="00C121AA" w:rsidP="002F2181">
      <w:pPr>
        <w:pStyle w:val="ListParagraph"/>
        <w:shd w:val="clear" w:color="auto" w:fill="FFFFFF"/>
        <w:spacing w:after="0" w:line="240" w:lineRule="auto"/>
        <w:ind w:left="540" w:right="269"/>
        <w:jc w:val="both"/>
        <w:rPr>
          <w:rFonts w:ascii="Times New Roman" w:eastAsia="Times New Roman" w:hAnsi="Times New Roman" w:cs="Times New Roman"/>
          <w:b/>
          <w:bCs/>
          <w:kern w:val="0"/>
          <w14:ligatures w14:val="none"/>
        </w:rPr>
      </w:pPr>
      <w:r w:rsidRPr="00C121AA">
        <w:rPr>
          <w:rFonts w:ascii="Times New Roman" w:eastAsia="Times New Roman" w:hAnsi="Times New Roman" w:cs="Times New Roman"/>
          <w:kern w:val="0"/>
          <w14:ligatures w14:val="none"/>
        </w:rPr>
        <w:t>CFU/g=Volume plated (mL) ÷ Number of colonies × Dilution factor</w:t>
      </w:r>
    </w:p>
    <w:p w:rsidR="00847B6C" w:rsidRDefault="00C121AA" w:rsidP="002F2181">
      <w:pPr>
        <w:pStyle w:val="ListParagraph"/>
        <w:shd w:val="clear" w:color="auto" w:fill="FFFFFF"/>
        <w:spacing w:after="0" w:line="240" w:lineRule="auto"/>
        <w:ind w:left="0" w:right="269"/>
        <w:jc w:val="both"/>
        <w:rPr>
          <w:rFonts w:ascii="Times New Roman" w:eastAsia="Times New Roman" w:hAnsi="Times New Roman" w:cs="Times New Roman"/>
          <w:b/>
          <w:bCs/>
          <w:kern w:val="0"/>
          <w14:ligatures w14:val="none"/>
        </w:rPr>
      </w:pPr>
      <w:r w:rsidRPr="00C121AA">
        <w:rPr>
          <w:rFonts w:ascii="Times New Roman" w:eastAsia="Times New Roman" w:hAnsi="Times New Roman" w:cs="Times New Roman"/>
          <w:kern w:val="0"/>
          <w14:ligatures w14:val="none"/>
        </w:rPr>
        <w:t xml:space="preserve">Definitely, the result was expressed as Colony Forming Units per gram (CFU/g) of </w:t>
      </w:r>
      <w:proofErr w:type="gramStart"/>
      <w:r w:rsidRPr="00C121AA">
        <w:rPr>
          <w:rFonts w:ascii="Times New Roman" w:eastAsia="Times New Roman" w:hAnsi="Times New Roman" w:cs="Times New Roman"/>
          <w:kern w:val="0"/>
          <w14:ligatures w14:val="none"/>
        </w:rPr>
        <w:t xml:space="preserve">palm </w:t>
      </w:r>
      <w:r w:rsidR="00771EB1">
        <w:rPr>
          <w:rFonts w:ascii="Times New Roman" w:eastAsia="Times New Roman" w:hAnsi="Times New Roman" w:cs="Times New Roman"/>
          <w:kern w:val="0"/>
          <w14:ligatures w14:val="none"/>
        </w:rPr>
        <w:t xml:space="preserve"> </w:t>
      </w:r>
      <w:r w:rsidRPr="00C121AA">
        <w:rPr>
          <w:rFonts w:ascii="Times New Roman" w:eastAsia="Times New Roman" w:hAnsi="Times New Roman" w:cs="Times New Roman"/>
          <w:kern w:val="0"/>
          <w14:ligatures w14:val="none"/>
        </w:rPr>
        <w:t>oil</w:t>
      </w:r>
      <w:proofErr w:type="gramEnd"/>
      <w:r w:rsidRPr="00C121AA">
        <w:rPr>
          <w:rFonts w:ascii="Times New Roman" w:eastAsia="Times New Roman" w:hAnsi="Times New Roman" w:cs="Times New Roman"/>
          <w:kern w:val="0"/>
          <w14:ligatures w14:val="none"/>
        </w:rPr>
        <w:t xml:space="preserve"> sample</w:t>
      </w:r>
      <w:r w:rsidRPr="00C121AA">
        <w:rPr>
          <w:rFonts w:ascii="Times New Roman" w:eastAsia="Times New Roman" w:hAnsi="Times New Roman" w:cs="Times New Roman"/>
          <w:b/>
          <w:bCs/>
          <w:kern w:val="0"/>
          <w14:ligatures w14:val="none"/>
        </w:rPr>
        <w:t>.</w:t>
      </w:r>
      <w:bookmarkStart w:id="4" w:name="_Toc216972280"/>
    </w:p>
    <w:bookmarkEnd w:id="4"/>
    <w:p w:rsidR="00C121AA" w:rsidRPr="00191501" w:rsidRDefault="00C121AA" w:rsidP="00191501">
      <w:pPr>
        <w:pStyle w:val="ListParagraph"/>
        <w:shd w:val="clear" w:color="auto" w:fill="FFFFFF"/>
        <w:spacing w:after="0" w:line="240" w:lineRule="auto"/>
        <w:ind w:left="0" w:right="269"/>
        <w:jc w:val="both"/>
        <w:rPr>
          <w:rFonts w:ascii="Times New Roman" w:eastAsia="Times New Roman" w:hAnsi="Times New Roman" w:cs="Times New Roman"/>
          <w:b/>
          <w:bCs/>
          <w:kern w:val="0"/>
          <w14:ligatures w14:val="none"/>
        </w:rPr>
      </w:pPr>
      <w:r w:rsidRPr="00C121AA">
        <w:rPr>
          <w:rFonts w:ascii="Times New Roman" w:eastAsia="Times New Roman" w:hAnsi="Times New Roman" w:cs="Times New Roman"/>
          <w:kern w:val="0"/>
          <w14:ligatures w14:val="none"/>
        </w:rPr>
        <w:t>Physicochemical parameters were analyzed to assess oil quality. The following parameter were measured according to AOAC (2016) standard procedures.</w:t>
      </w:r>
      <w:r w:rsidR="00191501">
        <w:rPr>
          <w:rFonts w:ascii="Times New Roman" w:eastAsia="Times New Roman" w:hAnsi="Times New Roman" w:cs="Times New Roman"/>
          <w:kern w:val="0"/>
          <w14:ligatures w14:val="none"/>
        </w:rPr>
        <w:t xml:space="preserve"> </w:t>
      </w:r>
      <w:r w:rsidRPr="00C121AA">
        <w:rPr>
          <w:rFonts w:ascii="Times New Roman" w:eastAsia="Times New Roman" w:hAnsi="Times New Roman" w:cs="Times New Roman"/>
          <w:kern w:val="0"/>
          <w14:ligatures w14:val="none"/>
        </w:rPr>
        <w:t xml:space="preserve">The </w:t>
      </w:r>
      <w:r w:rsidRPr="00C121AA">
        <w:rPr>
          <w:rFonts w:ascii="Times New Roman" w:eastAsia="Times New Roman" w:hAnsi="Times New Roman" w:cs="Times New Roman"/>
          <w:bCs/>
          <w:kern w:val="0"/>
          <w14:ligatures w14:val="none"/>
        </w:rPr>
        <w:t>density</w:t>
      </w:r>
      <w:r w:rsidRPr="00C121AA">
        <w:rPr>
          <w:rFonts w:ascii="Times New Roman" w:eastAsia="Times New Roman" w:hAnsi="Times New Roman" w:cs="Times New Roman"/>
          <w:kern w:val="0"/>
          <w14:ligatures w14:val="none"/>
        </w:rPr>
        <w:t xml:space="preserve"> of palm oil was determined by placing a known volume of the oil into a graduated cylinder and weighing it. The density was then calculated by dividing the mass by the volume. The </w:t>
      </w:r>
      <w:r w:rsidRPr="00C121AA">
        <w:rPr>
          <w:rFonts w:ascii="Times New Roman" w:eastAsia="Times New Roman" w:hAnsi="Times New Roman" w:cs="Times New Roman"/>
          <w:bCs/>
          <w:kern w:val="0"/>
          <w14:ligatures w14:val="none"/>
        </w:rPr>
        <w:t>viscosity</w:t>
      </w:r>
      <w:r w:rsidRPr="00C121AA">
        <w:rPr>
          <w:rFonts w:ascii="Times New Roman" w:eastAsia="Times New Roman" w:hAnsi="Times New Roman" w:cs="Times New Roman"/>
          <w:kern w:val="0"/>
          <w14:ligatures w14:val="none"/>
        </w:rPr>
        <w:t xml:space="preserve"> was measured using a viscometer, where the time taken for the oil to flow between two fixed marks was recorded, and the viscosity was calculated based on this flow time, expressed in millipascal-</w:t>
      </w:r>
      <w:r w:rsidRPr="00C121AA">
        <w:rPr>
          <w:rFonts w:ascii="Times New Roman" w:eastAsia="Times New Roman" w:hAnsi="Times New Roman" w:cs="Times New Roman"/>
          <w:kern w:val="0"/>
          <w14:ligatures w14:val="none"/>
        </w:rPr>
        <w:lastRenderedPageBreak/>
        <w:t xml:space="preserve">seconds. The </w:t>
      </w:r>
      <w:r w:rsidRPr="00C121AA">
        <w:rPr>
          <w:rFonts w:ascii="Times New Roman" w:eastAsia="Times New Roman" w:hAnsi="Times New Roman" w:cs="Times New Roman"/>
          <w:bCs/>
          <w:kern w:val="0"/>
          <w14:ligatures w14:val="none"/>
        </w:rPr>
        <w:t>color</w:t>
      </w:r>
      <w:r w:rsidRPr="00C121AA">
        <w:rPr>
          <w:rFonts w:ascii="Times New Roman" w:eastAsia="Times New Roman" w:hAnsi="Times New Roman" w:cs="Times New Roman"/>
          <w:kern w:val="0"/>
          <w14:ligatures w14:val="none"/>
        </w:rPr>
        <w:t xml:space="preserve"> of the palm oil was analyzed using a colorimeter to measure the absorbance of light at specific wavelengths, with the results in Lovibond units.</w:t>
      </w:r>
      <w:r w:rsidR="00191501">
        <w:rPr>
          <w:rFonts w:ascii="Times New Roman" w:eastAsia="Times New Roman" w:hAnsi="Times New Roman" w:cs="Times New Roman"/>
          <w:kern w:val="0"/>
          <w14:ligatures w14:val="none"/>
        </w:rPr>
        <w:t xml:space="preserve"> </w:t>
      </w:r>
      <w:r w:rsidRPr="00C121AA">
        <w:rPr>
          <w:rFonts w:ascii="Times New Roman" w:eastAsia="Times New Roman" w:hAnsi="Times New Roman" w:cs="Times New Roman"/>
          <w:kern w:val="0"/>
          <w14:ligatures w14:val="none"/>
        </w:rPr>
        <w:t>The tactile quality was evaluated by assessing the texture of the oil through sensory analysis, where its smoothness, greasiness, and stickiness were judged by rubbing the oil between the fingers.</w:t>
      </w:r>
      <w:r w:rsidR="00191501">
        <w:rPr>
          <w:rFonts w:ascii="Times New Roman" w:eastAsia="Times New Roman" w:hAnsi="Times New Roman" w:cs="Times New Roman"/>
          <w:kern w:val="0"/>
          <w14:ligatures w14:val="none"/>
        </w:rPr>
        <w:t xml:space="preserve"> </w:t>
      </w:r>
      <w:r w:rsidRPr="00C121AA">
        <w:rPr>
          <w:rFonts w:ascii="Times New Roman" w:eastAsia="Times New Roman" w:hAnsi="Times New Roman" w:cs="Times New Roman"/>
          <w:kern w:val="0"/>
          <w14:ligatures w14:val="none"/>
        </w:rPr>
        <w:t>Moisture Content (%) is determined by oven-drying (5g) of palm oil sample at </w:t>
      </w:r>
      <w:hyperlink r:id="rId9" w:history="1">
        <w:r w:rsidRPr="00C121AA">
          <w:rPr>
            <w:rStyle w:val="Hyperlink"/>
            <w:rFonts w:ascii="Times New Roman" w:eastAsia="Times New Roman" w:hAnsi="Times New Roman" w:cs="Times New Roman"/>
            <w:color w:val="auto"/>
            <w:kern w:val="0"/>
            <w:u w:val="none"/>
            <w14:ligatures w14:val="none"/>
          </w:rPr>
          <w:t>105</w:t>
        </w:r>
      </w:hyperlink>
      <w:r w:rsidRPr="00C121AA">
        <w:rPr>
          <w:rFonts w:ascii="Times New Roman" w:eastAsia="Times New Roman" w:hAnsi="Times New Roman" w:cs="Times New Roman"/>
          <w:kern w:val="0"/>
          <w14:ligatures w14:val="none"/>
        </w:rPr>
        <w:t>°C until a constant weight was achieved.</w:t>
      </w:r>
    </w:p>
    <w:p w:rsidR="00C121AA" w:rsidRPr="00C121AA" w:rsidRDefault="00C121AA" w:rsidP="002F2181">
      <w:pPr>
        <w:shd w:val="clear" w:color="auto" w:fill="FFFFFF"/>
        <w:spacing w:after="0" w:line="240" w:lineRule="auto"/>
        <w:ind w:right="269"/>
        <w:jc w:val="both"/>
        <w:rPr>
          <w:rStyle w:val="Hyperlink"/>
          <w:rFonts w:ascii="Times New Roman" w:eastAsia="Times New Roman" w:hAnsi="Times New Roman" w:cs="Times New Roman"/>
          <w:color w:val="auto"/>
          <w:kern w:val="0"/>
          <w:u w:val="none"/>
          <w14:ligatures w14:val="none"/>
        </w:rPr>
      </w:pPr>
      <w:r w:rsidRPr="00C121AA">
        <w:rPr>
          <w:rFonts w:ascii="Times New Roman" w:eastAsia="Times New Roman" w:hAnsi="Times New Roman" w:cs="Times New Roman"/>
          <w:kern w:val="0"/>
          <w14:ligatures w14:val="none"/>
        </w:rPr>
        <w:t>Moisture (%) =</w:t>
      </w:r>
      <w:r w:rsidRPr="00C121AA">
        <w:rPr>
          <w:rFonts w:ascii="Cambria Math" w:eastAsia="Times New Roman" w:hAnsi="Cambria Math" w:cs="Cambria Math"/>
          <w:kern w:val="0"/>
          <w14:ligatures w14:val="none"/>
        </w:rPr>
        <w:t>𝑊</w:t>
      </w:r>
      <w:r w:rsidRPr="00C121AA">
        <w:rPr>
          <w:rFonts w:ascii="Times New Roman" w:eastAsia="Times New Roman" w:hAnsi="Times New Roman" w:cs="Times New Roman"/>
          <w:kern w:val="0"/>
          <w14:ligatures w14:val="none"/>
        </w:rPr>
        <w:t>1−</w:t>
      </w:r>
      <w:r w:rsidRPr="00C121AA">
        <w:rPr>
          <w:rFonts w:ascii="Cambria Math" w:eastAsia="Times New Roman" w:hAnsi="Cambria Math" w:cs="Cambria Math"/>
          <w:kern w:val="0"/>
          <w14:ligatures w14:val="none"/>
        </w:rPr>
        <w:t>𝑊</w:t>
      </w:r>
      <w:r w:rsidRPr="00C121AA">
        <w:rPr>
          <w:rFonts w:ascii="Times New Roman" w:eastAsia="Times New Roman" w:hAnsi="Times New Roman" w:cs="Times New Roman"/>
          <w:kern w:val="0"/>
          <w14:ligatures w14:val="none"/>
        </w:rPr>
        <w:t>2</w:t>
      </w:r>
      <w:r w:rsidRPr="00C121AA">
        <w:rPr>
          <w:rFonts w:ascii="Cambria Math" w:eastAsia="Times New Roman" w:hAnsi="Cambria Math" w:cs="Cambria Math"/>
          <w:kern w:val="0"/>
          <w14:ligatures w14:val="none"/>
        </w:rPr>
        <w:t>𝑊</w:t>
      </w:r>
      <w:r w:rsidRPr="00C121AA">
        <w:rPr>
          <w:rFonts w:ascii="Times New Roman" w:eastAsia="Times New Roman" w:hAnsi="Times New Roman" w:cs="Times New Roman"/>
          <w:kern w:val="0"/>
          <w14:ligatures w14:val="none"/>
        </w:rPr>
        <w:t>1×</w:t>
      </w:r>
      <w:hyperlink r:id="rId10" w:history="1">
        <w:r w:rsidRPr="00C121AA">
          <w:rPr>
            <w:rStyle w:val="Hyperlink"/>
            <w:rFonts w:ascii="Times New Roman" w:eastAsia="Times New Roman" w:hAnsi="Times New Roman" w:cs="Times New Roman"/>
            <w:color w:val="auto"/>
            <w:kern w:val="0"/>
            <w:u w:val="none"/>
            <w14:ligatures w14:val="none"/>
          </w:rPr>
          <w:t>100</w:t>
        </w:r>
      </w:hyperlink>
    </w:p>
    <w:p w:rsidR="00C121AA" w:rsidRPr="00C121AA" w:rsidRDefault="00C121AA" w:rsidP="002F2181">
      <w:pPr>
        <w:shd w:val="clear" w:color="auto" w:fill="FFFFFF"/>
        <w:spacing w:after="0" w:line="240" w:lineRule="auto"/>
        <w:ind w:right="269"/>
        <w:jc w:val="both"/>
        <w:rPr>
          <w:rStyle w:val="Hyperlink"/>
          <w:rFonts w:ascii="Times New Roman" w:eastAsia="Times New Roman" w:hAnsi="Times New Roman" w:cs="Times New Roman"/>
          <w:color w:val="auto"/>
          <w:kern w:val="0"/>
          <w:u w:val="none"/>
          <w14:ligatures w14:val="none"/>
        </w:rPr>
      </w:pPr>
      <w:r w:rsidRPr="00C121AA">
        <w:rPr>
          <w:rFonts w:ascii="Times New Roman" w:eastAsia="Times New Roman" w:hAnsi="Times New Roman" w:cs="Times New Roman"/>
          <w:kern w:val="0"/>
          <w14:ligatures w14:val="none"/>
        </w:rPr>
        <w:t>Moisture (%) W1(%) =W1−W2×</w:t>
      </w:r>
      <w:hyperlink r:id="rId11" w:history="1">
        <w:r w:rsidRPr="00C121AA">
          <w:rPr>
            <w:rStyle w:val="Hyperlink"/>
            <w:rFonts w:ascii="Times New Roman" w:eastAsia="Times New Roman" w:hAnsi="Times New Roman" w:cs="Times New Roman"/>
            <w:color w:val="auto"/>
            <w:kern w:val="0"/>
            <w:u w:val="none"/>
            <w14:ligatures w14:val="none"/>
          </w:rPr>
          <w:t>100</w:t>
        </w:r>
      </w:hyperlink>
    </w:p>
    <w:p w:rsidR="00C121AA" w:rsidRPr="00C121AA" w:rsidRDefault="00C121AA" w:rsidP="002F2181">
      <w:pPr>
        <w:shd w:val="clear" w:color="auto" w:fill="FFFFFF"/>
        <w:spacing w:after="0" w:line="240" w:lineRule="auto"/>
        <w:ind w:right="269"/>
        <w:jc w:val="both"/>
        <w:rPr>
          <w:rFonts w:ascii="Times New Roman" w:eastAsia="Times New Roman" w:hAnsi="Times New Roman" w:cs="Times New Roman"/>
          <w:b/>
          <w:bCs/>
          <w:kern w:val="0"/>
          <w14:ligatures w14:val="none"/>
        </w:rPr>
      </w:pPr>
      <w:r w:rsidRPr="00C121AA">
        <w:rPr>
          <w:rFonts w:ascii="Times New Roman" w:eastAsia="Times New Roman" w:hAnsi="Times New Roman" w:cs="Times New Roman"/>
          <w:kern w:val="0"/>
          <w14:ligatures w14:val="none"/>
        </w:rPr>
        <w:t>Where; W1 = weight before drying, W2 = weight after drying.</w:t>
      </w:r>
    </w:p>
    <w:p w:rsidR="00095EF4" w:rsidRDefault="00095EF4" w:rsidP="002F2181">
      <w:pPr>
        <w:spacing w:after="0" w:line="240" w:lineRule="auto"/>
        <w:jc w:val="both"/>
        <w:rPr>
          <w:rFonts w:ascii="Times New Roman" w:hAnsi="Times New Roman" w:cs="Times New Roman"/>
          <w:b/>
          <w:bCs/>
        </w:rPr>
      </w:pPr>
    </w:p>
    <w:p w:rsidR="00847B6C" w:rsidRDefault="00847B6C" w:rsidP="002F2181">
      <w:pPr>
        <w:spacing w:after="0" w:line="240" w:lineRule="auto"/>
        <w:jc w:val="both"/>
        <w:rPr>
          <w:rFonts w:ascii="Times New Roman" w:hAnsi="Times New Roman" w:cs="Times New Roman"/>
          <w:b/>
          <w:bCs/>
        </w:rPr>
      </w:pPr>
      <w:r>
        <w:rPr>
          <w:rFonts w:ascii="Times New Roman" w:hAnsi="Times New Roman" w:cs="Times New Roman"/>
          <w:b/>
          <w:bCs/>
        </w:rPr>
        <w:t xml:space="preserve">3. </w:t>
      </w:r>
      <w:r w:rsidR="002F2181">
        <w:rPr>
          <w:rFonts w:ascii="Times New Roman" w:hAnsi="Times New Roman" w:cs="Times New Roman"/>
          <w:b/>
          <w:bCs/>
        </w:rPr>
        <w:t xml:space="preserve"> </w:t>
      </w:r>
      <w:r w:rsidR="002F2181" w:rsidRPr="00974B03">
        <w:rPr>
          <w:rFonts w:ascii="Times New Roman" w:hAnsi="Times New Roman" w:cs="Times New Roman"/>
          <w:b/>
          <w:bCs/>
        </w:rPr>
        <w:t>RESULTS AND DISCUSSION</w:t>
      </w:r>
    </w:p>
    <w:p w:rsidR="008E216C" w:rsidRPr="00771EB1" w:rsidRDefault="008E216C" w:rsidP="00771EB1">
      <w:pPr>
        <w:tabs>
          <w:tab w:val="left" w:pos="2160"/>
        </w:tabs>
        <w:spacing w:after="0" w:line="240" w:lineRule="auto"/>
        <w:ind w:right="269"/>
        <w:jc w:val="both"/>
        <w:rPr>
          <w:rFonts w:ascii="Times New Roman" w:hAnsi="Times New Roman" w:cs="Times New Roman"/>
          <w:lang w:eastAsia="zh-CN"/>
        </w:rPr>
      </w:pPr>
      <w:r w:rsidRPr="00771EB1">
        <w:rPr>
          <w:rFonts w:ascii="Times New Roman" w:hAnsi="Times New Roman" w:cs="Times New Roman"/>
          <w:lang w:eastAsia="zh-CN"/>
        </w:rPr>
        <w:t xml:space="preserve">The table </w:t>
      </w:r>
      <w:r w:rsidR="00894A0C" w:rsidRPr="00771EB1">
        <w:rPr>
          <w:rFonts w:ascii="Times New Roman" w:hAnsi="Times New Roman" w:cs="Times New Roman"/>
          <w:lang w:eastAsia="zh-CN"/>
        </w:rPr>
        <w:t>1</w:t>
      </w:r>
      <w:r w:rsidRPr="00771EB1">
        <w:rPr>
          <w:rFonts w:ascii="Times New Roman" w:hAnsi="Times New Roman" w:cs="Times New Roman"/>
          <w:lang w:eastAsia="zh-CN"/>
        </w:rPr>
        <w:t xml:space="preserve"> presents the frequency of fungal isolates associated with palm oil. A total of 40 fungal isolates were identified.</w:t>
      </w:r>
    </w:p>
    <w:p w:rsidR="008E216C" w:rsidRPr="009B5855" w:rsidRDefault="008E216C" w:rsidP="008E216C">
      <w:pPr>
        <w:pStyle w:val="NormalWeb"/>
        <w:spacing w:before="0" w:beforeAutospacing="0" w:after="0" w:afterAutospacing="0"/>
        <w:rPr>
          <w:lang w:eastAsia="zh-CN"/>
        </w:rPr>
      </w:pPr>
      <w:r w:rsidRPr="009B5855">
        <w:rPr>
          <w:vanish/>
          <w:lang w:eastAsia="zh-CN"/>
        </w:rPr>
        <w:t>Top of Form</w:t>
      </w:r>
      <w:r w:rsidRPr="009B5855">
        <w:rPr>
          <w:b/>
          <w:bCs/>
          <w:lang w:val="en-GB"/>
        </w:rPr>
        <w:t xml:space="preserve">Table </w:t>
      </w:r>
      <w:bookmarkStart w:id="5" w:name="_Hlk209228872"/>
      <w:r w:rsidR="00894A0C">
        <w:rPr>
          <w:b/>
          <w:bCs/>
          <w:lang w:val="en-GB"/>
        </w:rPr>
        <w:t>1</w:t>
      </w:r>
      <w:r w:rsidRPr="009B5855">
        <w:rPr>
          <w:b/>
          <w:bCs/>
          <w:lang w:val="en-GB"/>
        </w:rPr>
        <w:t>:</w:t>
      </w:r>
      <w:r>
        <w:rPr>
          <w:b/>
          <w:bCs/>
          <w:lang w:val="en-GB"/>
        </w:rPr>
        <w:t xml:space="preserve"> </w:t>
      </w:r>
      <w:r w:rsidRPr="009B5855">
        <w:rPr>
          <w:b/>
          <w:bCs/>
          <w:lang w:val="en-GB"/>
        </w:rPr>
        <w:t xml:space="preserve">Distribution of Fungal </w:t>
      </w:r>
      <w:r>
        <w:rPr>
          <w:b/>
          <w:bCs/>
          <w:lang w:val="en-GB"/>
        </w:rPr>
        <w:t xml:space="preserve">species according to frequency of </w:t>
      </w:r>
      <w:r w:rsidRPr="009B5855">
        <w:rPr>
          <w:b/>
          <w:bCs/>
          <w:lang w:val="en-GB"/>
        </w:rPr>
        <w:t xml:space="preserve">Isolates </w:t>
      </w:r>
      <w:bookmarkEnd w:id="5"/>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9"/>
        <w:gridCol w:w="3510"/>
        <w:gridCol w:w="2991"/>
      </w:tblGrid>
      <w:tr w:rsidR="008E216C" w:rsidRPr="009B5855" w:rsidTr="00254B4C">
        <w:trPr>
          <w:trHeight w:val="602"/>
        </w:trPr>
        <w:tc>
          <w:tcPr>
            <w:tcW w:w="1527" w:type="pct"/>
            <w:tcBorders>
              <w:bottom w:val="single" w:sz="4" w:space="0" w:color="auto"/>
            </w:tcBorders>
          </w:tcPr>
          <w:p w:rsidR="008E216C" w:rsidRPr="009B5855" w:rsidRDefault="008E216C" w:rsidP="00254B4C">
            <w:pPr>
              <w:rPr>
                <w:b/>
                <w:bCs/>
                <w:sz w:val="24"/>
                <w:szCs w:val="24"/>
                <w:lang w:val="en-GB"/>
              </w:rPr>
            </w:pPr>
            <w:r w:rsidRPr="009B5855">
              <w:rPr>
                <w:b/>
                <w:bCs/>
                <w:sz w:val="24"/>
                <w:szCs w:val="24"/>
                <w:lang w:val="en-GB"/>
              </w:rPr>
              <w:t>Fungal Isolates</w:t>
            </w:r>
          </w:p>
        </w:tc>
        <w:tc>
          <w:tcPr>
            <w:tcW w:w="1875" w:type="pct"/>
            <w:tcBorders>
              <w:bottom w:val="single" w:sz="4" w:space="0" w:color="auto"/>
            </w:tcBorders>
          </w:tcPr>
          <w:p w:rsidR="003878E0" w:rsidRDefault="008E216C" w:rsidP="00254B4C">
            <w:pPr>
              <w:rPr>
                <w:b/>
                <w:bCs/>
                <w:sz w:val="24"/>
                <w:szCs w:val="24"/>
                <w:lang w:val="en-GB"/>
              </w:rPr>
            </w:pPr>
            <w:r w:rsidRPr="009B5855">
              <w:rPr>
                <w:b/>
                <w:bCs/>
                <w:sz w:val="24"/>
                <w:szCs w:val="24"/>
                <w:lang w:val="en-GB"/>
              </w:rPr>
              <w:t>No. of Positive fungal isolates</w:t>
            </w:r>
          </w:p>
          <w:p w:rsidR="008E216C" w:rsidRPr="009B5855" w:rsidRDefault="008E216C" w:rsidP="00254B4C">
            <w:pPr>
              <w:rPr>
                <w:b/>
                <w:bCs/>
                <w:sz w:val="24"/>
                <w:szCs w:val="24"/>
                <w:lang w:val="en-GB"/>
              </w:rPr>
            </w:pPr>
            <w:r w:rsidRPr="009B5855">
              <w:rPr>
                <w:b/>
                <w:bCs/>
                <w:sz w:val="24"/>
                <w:szCs w:val="24"/>
                <w:lang w:val="en-GB"/>
              </w:rPr>
              <w:t xml:space="preserve"> (n =</w:t>
            </w:r>
            <w:r>
              <w:rPr>
                <w:b/>
                <w:bCs/>
                <w:sz w:val="24"/>
                <w:szCs w:val="24"/>
                <w:lang w:val="en-GB"/>
              </w:rPr>
              <w:t xml:space="preserve"> </w:t>
            </w:r>
            <w:r w:rsidRPr="009B5855">
              <w:rPr>
                <w:b/>
                <w:bCs/>
                <w:sz w:val="24"/>
                <w:szCs w:val="24"/>
                <w:lang w:val="en-GB"/>
              </w:rPr>
              <w:t>40)</w:t>
            </w:r>
          </w:p>
        </w:tc>
        <w:tc>
          <w:tcPr>
            <w:tcW w:w="1598" w:type="pct"/>
            <w:tcBorders>
              <w:bottom w:val="single" w:sz="4" w:space="0" w:color="auto"/>
            </w:tcBorders>
          </w:tcPr>
          <w:p w:rsidR="008E216C" w:rsidRPr="009B5855" w:rsidRDefault="008E216C" w:rsidP="00254B4C">
            <w:pPr>
              <w:rPr>
                <w:b/>
                <w:bCs/>
                <w:sz w:val="24"/>
                <w:szCs w:val="24"/>
                <w:lang w:val="en-GB"/>
              </w:rPr>
            </w:pPr>
            <w:r w:rsidRPr="009B5855">
              <w:rPr>
                <w:b/>
                <w:bCs/>
                <w:sz w:val="24"/>
                <w:szCs w:val="24"/>
                <w:lang w:val="en-GB"/>
              </w:rPr>
              <w:t>Percentage (%)</w:t>
            </w:r>
          </w:p>
        </w:tc>
      </w:tr>
      <w:tr w:rsidR="008E216C" w:rsidRPr="009B5855" w:rsidTr="00254B4C">
        <w:tc>
          <w:tcPr>
            <w:tcW w:w="1527" w:type="pct"/>
            <w:tcBorders>
              <w:top w:val="single" w:sz="4" w:space="0" w:color="auto"/>
            </w:tcBorders>
          </w:tcPr>
          <w:p w:rsidR="008E216C" w:rsidRPr="009B5855" w:rsidRDefault="008E216C" w:rsidP="00254B4C">
            <w:pPr>
              <w:spacing w:before="120"/>
              <w:jc w:val="both"/>
              <w:rPr>
                <w:bCs/>
                <w:i/>
                <w:iCs/>
                <w:sz w:val="24"/>
                <w:szCs w:val="24"/>
                <w:lang w:val="en-GB"/>
              </w:rPr>
            </w:pPr>
            <w:r w:rsidRPr="009B5855">
              <w:rPr>
                <w:bCs/>
                <w:i/>
                <w:iCs/>
                <w:sz w:val="24"/>
                <w:szCs w:val="24"/>
                <w:lang w:val="en-GB"/>
              </w:rPr>
              <w:t>Aspergillus flavus</w:t>
            </w:r>
          </w:p>
        </w:tc>
        <w:tc>
          <w:tcPr>
            <w:tcW w:w="1875" w:type="pct"/>
            <w:tcBorders>
              <w:top w:val="single" w:sz="4" w:space="0" w:color="auto"/>
            </w:tcBorders>
          </w:tcPr>
          <w:p w:rsidR="008E216C" w:rsidRPr="009B5855" w:rsidRDefault="008E216C" w:rsidP="00254B4C">
            <w:pPr>
              <w:spacing w:before="120"/>
              <w:jc w:val="both"/>
              <w:rPr>
                <w:sz w:val="24"/>
                <w:szCs w:val="24"/>
                <w:lang w:val="en-GB"/>
              </w:rPr>
            </w:pPr>
            <w:r w:rsidRPr="009B5855">
              <w:rPr>
                <w:sz w:val="24"/>
                <w:szCs w:val="24"/>
                <w:lang w:val="en-GB"/>
              </w:rPr>
              <w:t>0</w:t>
            </w:r>
            <w:r>
              <w:rPr>
                <w:sz w:val="24"/>
                <w:szCs w:val="24"/>
                <w:lang w:val="en-GB"/>
              </w:rPr>
              <w:t>4</w:t>
            </w:r>
          </w:p>
        </w:tc>
        <w:tc>
          <w:tcPr>
            <w:tcW w:w="1598" w:type="pct"/>
            <w:tcBorders>
              <w:top w:val="single" w:sz="4" w:space="0" w:color="auto"/>
            </w:tcBorders>
          </w:tcPr>
          <w:p w:rsidR="008E216C" w:rsidRPr="009B5855" w:rsidRDefault="008E216C" w:rsidP="00254B4C">
            <w:pPr>
              <w:spacing w:before="120"/>
              <w:jc w:val="both"/>
              <w:rPr>
                <w:sz w:val="24"/>
                <w:szCs w:val="24"/>
                <w:lang w:val="en-GB"/>
              </w:rPr>
            </w:pPr>
            <w:r>
              <w:rPr>
                <w:sz w:val="24"/>
                <w:szCs w:val="24"/>
                <w:lang w:val="en-GB"/>
              </w:rPr>
              <w:t>10.0</w:t>
            </w:r>
          </w:p>
        </w:tc>
      </w:tr>
      <w:tr w:rsidR="008E216C" w:rsidRPr="009B5855" w:rsidTr="00254B4C">
        <w:tc>
          <w:tcPr>
            <w:tcW w:w="1527" w:type="pct"/>
          </w:tcPr>
          <w:p w:rsidR="008E216C" w:rsidRPr="009B5855" w:rsidRDefault="008E216C" w:rsidP="00254B4C">
            <w:pPr>
              <w:spacing w:before="120"/>
              <w:jc w:val="both"/>
              <w:rPr>
                <w:bCs/>
                <w:i/>
                <w:iCs/>
                <w:sz w:val="24"/>
                <w:szCs w:val="24"/>
                <w:lang w:val="en-GB"/>
              </w:rPr>
            </w:pPr>
            <w:r w:rsidRPr="009B5855">
              <w:rPr>
                <w:bCs/>
                <w:i/>
                <w:iCs/>
                <w:sz w:val="24"/>
                <w:szCs w:val="24"/>
                <w:lang w:val="en-GB"/>
              </w:rPr>
              <w:t>Aspergillus fumigatus</w:t>
            </w:r>
          </w:p>
        </w:tc>
        <w:tc>
          <w:tcPr>
            <w:tcW w:w="1875" w:type="pct"/>
          </w:tcPr>
          <w:p w:rsidR="008E216C" w:rsidRPr="009B5855" w:rsidRDefault="008E216C" w:rsidP="00254B4C">
            <w:pPr>
              <w:spacing w:before="120"/>
              <w:jc w:val="both"/>
              <w:rPr>
                <w:sz w:val="24"/>
                <w:szCs w:val="24"/>
                <w:lang w:val="en-GB"/>
              </w:rPr>
            </w:pPr>
            <w:r w:rsidRPr="009B5855">
              <w:rPr>
                <w:sz w:val="24"/>
                <w:szCs w:val="24"/>
                <w:lang w:val="en-GB"/>
              </w:rPr>
              <w:t>02</w:t>
            </w:r>
          </w:p>
        </w:tc>
        <w:tc>
          <w:tcPr>
            <w:tcW w:w="1598" w:type="pct"/>
          </w:tcPr>
          <w:p w:rsidR="008E216C" w:rsidRPr="009B5855" w:rsidRDefault="008E216C" w:rsidP="00254B4C">
            <w:pPr>
              <w:spacing w:before="120"/>
              <w:jc w:val="both"/>
              <w:rPr>
                <w:sz w:val="24"/>
                <w:szCs w:val="24"/>
                <w:lang w:val="en-GB"/>
              </w:rPr>
            </w:pPr>
            <w:r w:rsidRPr="009B5855">
              <w:rPr>
                <w:sz w:val="24"/>
                <w:szCs w:val="24"/>
                <w:lang w:val="en-GB"/>
              </w:rPr>
              <w:t>5.0</w:t>
            </w:r>
          </w:p>
        </w:tc>
      </w:tr>
      <w:tr w:rsidR="008E216C" w:rsidRPr="009B5855" w:rsidTr="00254B4C">
        <w:tc>
          <w:tcPr>
            <w:tcW w:w="1527" w:type="pct"/>
          </w:tcPr>
          <w:p w:rsidR="008E216C" w:rsidRPr="009B5855" w:rsidRDefault="008E216C" w:rsidP="00254B4C">
            <w:pPr>
              <w:spacing w:before="120"/>
              <w:jc w:val="both"/>
              <w:rPr>
                <w:bCs/>
                <w:i/>
                <w:iCs/>
                <w:sz w:val="24"/>
                <w:szCs w:val="24"/>
                <w:lang w:val="en-GB"/>
              </w:rPr>
            </w:pPr>
            <w:r w:rsidRPr="009B5855">
              <w:rPr>
                <w:bCs/>
                <w:i/>
                <w:iCs/>
                <w:sz w:val="24"/>
                <w:szCs w:val="24"/>
                <w:lang w:val="en-GB"/>
              </w:rPr>
              <w:t>Aspergillus</w:t>
            </w:r>
            <w:r>
              <w:rPr>
                <w:bCs/>
                <w:i/>
                <w:iCs/>
                <w:sz w:val="24"/>
                <w:szCs w:val="24"/>
                <w:lang w:val="en-GB"/>
              </w:rPr>
              <w:t xml:space="preserve"> n</w:t>
            </w:r>
            <w:r w:rsidRPr="009B5855">
              <w:rPr>
                <w:bCs/>
                <w:i/>
                <w:iCs/>
                <w:sz w:val="24"/>
                <w:szCs w:val="24"/>
                <w:lang w:val="en-GB"/>
              </w:rPr>
              <w:t>iger</w:t>
            </w:r>
          </w:p>
        </w:tc>
        <w:tc>
          <w:tcPr>
            <w:tcW w:w="1875" w:type="pct"/>
          </w:tcPr>
          <w:p w:rsidR="008E216C" w:rsidRPr="009B5855" w:rsidRDefault="008E216C" w:rsidP="00254B4C">
            <w:pPr>
              <w:spacing w:before="120"/>
              <w:jc w:val="both"/>
              <w:rPr>
                <w:sz w:val="24"/>
                <w:szCs w:val="24"/>
                <w:lang w:val="en-GB"/>
              </w:rPr>
            </w:pPr>
            <w:r w:rsidRPr="009B5855">
              <w:rPr>
                <w:sz w:val="24"/>
                <w:szCs w:val="24"/>
                <w:lang w:val="en-GB"/>
              </w:rPr>
              <w:t>07</w:t>
            </w:r>
          </w:p>
        </w:tc>
        <w:tc>
          <w:tcPr>
            <w:tcW w:w="1598" w:type="pct"/>
          </w:tcPr>
          <w:p w:rsidR="008E216C" w:rsidRPr="009B5855" w:rsidRDefault="008E216C" w:rsidP="00254B4C">
            <w:pPr>
              <w:spacing w:before="120"/>
              <w:jc w:val="both"/>
              <w:rPr>
                <w:sz w:val="24"/>
                <w:szCs w:val="24"/>
                <w:lang w:val="en-GB"/>
              </w:rPr>
            </w:pPr>
            <w:r w:rsidRPr="009B5855">
              <w:rPr>
                <w:sz w:val="24"/>
                <w:szCs w:val="24"/>
                <w:lang w:val="en-GB"/>
              </w:rPr>
              <w:t>17.5</w:t>
            </w:r>
          </w:p>
        </w:tc>
      </w:tr>
      <w:tr w:rsidR="008E216C" w:rsidRPr="009B5855" w:rsidTr="00254B4C">
        <w:tc>
          <w:tcPr>
            <w:tcW w:w="1527" w:type="pct"/>
          </w:tcPr>
          <w:p w:rsidR="008E216C" w:rsidRPr="009B5855" w:rsidRDefault="008E216C" w:rsidP="00254B4C">
            <w:pPr>
              <w:spacing w:before="120"/>
              <w:jc w:val="both"/>
              <w:rPr>
                <w:bCs/>
                <w:i/>
                <w:iCs/>
                <w:sz w:val="24"/>
                <w:szCs w:val="24"/>
                <w:lang w:val="en-GB"/>
              </w:rPr>
            </w:pPr>
            <w:r w:rsidRPr="009B5855">
              <w:rPr>
                <w:bCs/>
                <w:i/>
                <w:iCs/>
                <w:sz w:val="24"/>
                <w:szCs w:val="24"/>
                <w:lang w:val="en-GB"/>
              </w:rPr>
              <w:t>Aspergillus parasiticus</w:t>
            </w:r>
          </w:p>
        </w:tc>
        <w:tc>
          <w:tcPr>
            <w:tcW w:w="1875" w:type="pct"/>
          </w:tcPr>
          <w:p w:rsidR="008E216C" w:rsidRPr="009B5855" w:rsidRDefault="008E216C" w:rsidP="00254B4C">
            <w:pPr>
              <w:spacing w:before="120"/>
              <w:jc w:val="both"/>
              <w:rPr>
                <w:sz w:val="24"/>
                <w:szCs w:val="24"/>
                <w:lang w:val="en-GB"/>
              </w:rPr>
            </w:pPr>
            <w:r w:rsidRPr="009B5855">
              <w:rPr>
                <w:sz w:val="24"/>
                <w:szCs w:val="24"/>
                <w:lang w:val="en-GB"/>
              </w:rPr>
              <w:t>05</w:t>
            </w:r>
          </w:p>
        </w:tc>
        <w:tc>
          <w:tcPr>
            <w:tcW w:w="1598" w:type="pct"/>
          </w:tcPr>
          <w:p w:rsidR="008E216C" w:rsidRPr="009B5855" w:rsidRDefault="008E216C" w:rsidP="00254B4C">
            <w:pPr>
              <w:spacing w:before="120"/>
              <w:jc w:val="both"/>
              <w:rPr>
                <w:sz w:val="24"/>
                <w:szCs w:val="24"/>
                <w:lang w:val="en-GB"/>
              </w:rPr>
            </w:pPr>
            <w:r w:rsidRPr="009B5855">
              <w:rPr>
                <w:sz w:val="24"/>
                <w:szCs w:val="24"/>
                <w:lang w:val="en-GB"/>
              </w:rPr>
              <w:t>12.5</w:t>
            </w:r>
          </w:p>
        </w:tc>
      </w:tr>
      <w:tr w:rsidR="008E216C" w:rsidRPr="009B5855" w:rsidTr="00254B4C">
        <w:tc>
          <w:tcPr>
            <w:tcW w:w="1527" w:type="pct"/>
          </w:tcPr>
          <w:p w:rsidR="008E216C" w:rsidRPr="009B5855" w:rsidRDefault="008E216C" w:rsidP="00254B4C">
            <w:pPr>
              <w:spacing w:before="120"/>
              <w:jc w:val="both"/>
              <w:rPr>
                <w:bCs/>
                <w:i/>
                <w:iCs/>
                <w:sz w:val="24"/>
                <w:szCs w:val="24"/>
                <w:lang w:val="en-GB"/>
              </w:rPr>
            </w:pPr>
            <w:r>
              <w:rPr>
                <w:bCs/>
                <w:i/>
                <w:iCs/>
                <w:sz w:val="24"/>
                <w:szCs w:val="24"/>
                <w:lang w:val="en-GB"/>
              </w:rPr>
              <w:t>F</w:t>
            </w:r>
            <w:r w:rsidRPr="009B5855">
              <w:rPr>
                <w:bCs/>
                <w:i/>
                <w:iCs/>
                <w:sz w:val="24"/>
                <w:szCs w:val="24"/>
                <w:lang w:val="en-GB"/>
              </w:rPr>
              <w:t>usarium species</w:t>
            </w:r>
          </w:p>
        </w:tc>
        <w:tc>
          <w:tcPr>
            <w:tcW w:w="1875" w:type="pct"/>
          </w:tcPr>
          <w:p w:rsidR="008E216C" w:rsidRPr="009B5855" w:rsidRDefault="008E216C" w:rsidP="00254B4C">
            <w:pPr>
              <w:spacing w:before="120"/>
              <w:jc w:val="both"/>
              <w:rPr>
                <w:sz w:val="24"/>
                <w:szCs w:val="24"/>
                <w:lang w:val="en-GB"/>
              </w:rPr>
            </w:pPr>
            <w:r>
              <w:rPr>
                <w:sz w:val="24"/>
                <w:szCs w:val="24"/>
                <w:lang w:val="en-GB"/>
              </w:rPr>
              <w:t>17</w:t>
            </w:r>
          </w:p>
        </w:tc>
        <w:tc>
          <w:tcPr>
            <w:tcW w:w="1598" w:type="pct"/>
          </w:tcPr>
          <w:p w:rsidR="008E216C" w:rsidRPr="009B5855" w:rsidRDefault="008E216C" w:rsidP="00254B4C">
            <w:pPr>
              <w:spacing w:before="120"/>
              <w:jc w:val="both"/>
              <w:rPr>
                <w:sz w:val="24"/>
                <w:szCs w:val="24"/>
                <w:lang w:val="en-GB"/>
              </w:rPr>
            </w:pPr>
            <w:r>
              <w:rPr>
                <w:sz w:val="24"/>
                <w:szCs w:val="24"/>
                <w:lang w:val="en-GB"/>
              </w:rPr>
              <w:t>4</w:t>
            </w:r>
            <w:r w:rsidRPr="009B5855">
              <w:rPr>
                <w:sz w:val="24"/>
                <w:szCs w:val="24"/>
                <w:lang w:val="en-GB"/>
              </w:rPr>
              <w:t>2.5</w:t>
            </w:r>
          </w:p>
        </w:tc>
      </w:tr>
      <w:tr w:rsidR="008E216C" w:rsidRPr="009B5855" w:rsidTr="00254B4C">
        <w:tc>
          <w:tcPr>
            <w:tcW w:w="1527" w:type="pct"/>
          </w:tcPr>
          <w:p w:rsidR="008E216C" w:rsidRPr="009B5855" w:rsidRDefault="008E216C" w:rsidP="00254B4C">
            <w:pPr>
              <w:spacing w:before="120"/>
              <w:jc w:val="both"/>
              <w:rPr>
                <w:bCs/>
                <w:i/>
                <w:iCs/>
                <w:sz w:val="24"/>
                <w:szCs w:val="24"/>
                <w:lang w:val="en-GB"/>
              </w:rPr>
            </w:pPr>
            <w:r w:rsidRPr="009B5855">
              <w:rPr>
                <w:bCs/>
                <w:i/>
                <w:iCs/>
                <w:sz w:val="24"/>
                <w:szCs w:val="24"/>
                <w:lang w:val="en-GB"/>
              </w:rPr>
              <w:t>Mucor species</w:t>
            </w:r>
          </w:p>
        </w:tc>
        <w:tc>
          <w:tcPr>
            <w:tcW w:w="1875" w:type="pct"/>
          </w:tcPr>
          <w:p w:rsidR="008E216C" w:rsidRPr="009B5855" w:rsidRDefault="008E216C" w:rsidP="00254B4C">
            <w:pPr>
              <w:spacing w:before="120"/>
              <w:jc w:val="both"/>
              <w:rPr>
                <w:sz w:val="24"/>
                <w:szCs w:val="24"/>
                <w:lang w:val="en-GB"/>
              </w:rPr>
            </w:pPr>
            <w:r w:rsidRPr="009B5855">
              <w:rPr>
                <w:sz w:val="24"/>
                <w:szCs w:val="24"/>
                <w:lang w:val="en-GB"/>
              </w:rPr>
              <w:t>0</w:t>
            </w:r>
            <w:r>
              <w:rPr>
                <w:sz w:val="24"/>
                <w:szCs w:val="24"/>
                <w:lang w:val="en-GB"/>
              </w:rPr>
              <w:t>1</w:t>
            </w:r>
          </w:p>
        </w:tc>
        <w:tc>
          <w:tcPr>
            <w:tcW w:w="1598" w:type="pct"/>
          </w:tcPr>
          <w:p w:rsidR="008E216C" w:rsidRPr="009B5855" w:rsidRDefault="008E216C" w:rsidP="00254B4C">
            <w:pPr>
              <w:spacing w:before="120"/>
              <w:jc w:val="both"/>
              <w:rPr>
                <w:sz w:val="24"/>
                <w:szCs w:val="24"/>
                <w:lang w:val="en-GB"/>
              </w:rPr>
            </w:pPr>
            <w:r>
              <w:rPr>
                <w:sz w:val="24"/>
                <w:szCs w:val="24"/>
                <w:lang w:val="en-GB"/>
              </w:rPr>
              <w:t>2</w:t>
            </w:r>
            <w:r w:rsidRPr="009B5855">
              <w:rPr>
                <w:sz w:val="24"/>
                <w:szCs w:val="24"/>
                <w:lang w:val="en-GB"/>
              </w:rPr>
              <w:t>.</w:t>
            </w:r>
            <w:r>
              <w:rPr>
                <w:sz w:val="24"/>
                <w:szCs w:val="24"/>
                <w:lang w:val="en-GB"/>
              </w:rPr>
              <w:t>5</w:t>
            </w:r>
          </w:p>
        </w:tc>
      </w:tr>
      <w:tr w:rsidR="008E216C" w:rsidRPr="009B5855" w:rsidTr="00254B4C">
        <w:trPr>
          <w:trHeight w:val="675"/>
        </w:trPr>
        <w:tc>
          <w:tcPr>
            <w:tcW w:w="1527" w:type="pct"/>
            <w:tcBorders>
              <w:bottom w:val="single" w:sz="4" w:space="0" w:color="auto"/>
            </w:tcBorders>
          </w:tcPr>
          <w:p w:rsidR="008E216C" w:rsidRPr="009B5855" w:rsidRDefault="008E216C" w:rsidP="00254B4C">
            <w:pPr>
              <w:spacing w:before="120"/>
              <w:jc w:val="both"/>
              <w:rPr>
                <w:bCs/>
                <w:i/>
                <w:iCs/>
                <w:sz w:val="24"/>
                <w:szCs w:val="24"/>
                <w:lang w:val="en-GB"/>
              </w:rPr>
            </w:pPr>
            <w:r w:rsidRPr="009B5855">
              <w:rPr>
                <w:bCs/>
                <w:i/>
                <w:iCs/>
                <w:sz w:val="24"/>
                <w:szCs w:val="24"/>
                <w:lang w:val="en-GB"/>
              </w:rPr>
              <w:t>Penicillium species</w:t>
            </w:r>
          </w:p>
        </w:tc>
        <w:tc>
          <w:tcPr>
            <w:tcW w:w="1875" w:type="pct"/>
            <w:tcBorders>
              <w:bottom w:val="single" w:sz="4" w:space="0" w:color="auto"/>
            </w:tcBorders>
          </w:tcPr>
          <w:p w:rsidR="008E216C" w:rsidRPr="005C1EA2" w:rsidRDefault="008E216C" w:rsidP="00254B4C">
            <w:pPr>
              <w:spacing w:before="120"/>
              <w:jc w:val="both"/>
              <w:rPr>
                <w:sz w:val="24"/>
                <w:szCs w:val="24"/>
                <w:lang w:val="en-GB"/>
              </w:rPr>
            </w:pPr>
            <w:r w:rsidRPr="009B5855">
              <w:rPr>
                <w:sz w:val="24"/>
                <w:szCs w:val="24"/>
                <w:lang w:val="en-GB"/>
              </w:rPr>
              <w:t>0</w:t>
            </w:r>
            <w:r>
              <w:rPr>
                <w:sz w:val="24"/>
                <w:szCs w:val="24"/>
                <w:lang w:val="en-GB"/>
              </w:rPr>
              <w:t>4</w:t>
            </w:r>
          </w:p>
        </w:tc>
        <w:tc>
          <w:tcPr>
            <w:tcW w:w="1598" w:type="pct"/>
            <w:tcBorders>
              <w:bottom w:val="single" w:sz="4" w:space="0" w:color="auto"/>
            </w:tcBorders>
          </w:tcPr>
          <w:p w:rsidR="008E216C" w:rsidRPr="009B5855" w:rsidRDefault="008E216C" w:rsidP="00254B4C">
            <w:pPr>
              <w:spacing w:before="120"/>
              <w:jc w:val="both"/>
              <w:rPr>
                <w:sz w:val="24"/>
                <w:szCs w:val="24"/>
                <w:lang w:val="en-GB"/>
              </w:rPr>
            </w:pPr>
            <w:r>
              <w:rPr>
                <w:sz w:val="24"/>
                <w:szCs w:val="24"/>
                <w:lang w:val="en-GB"/>
              </w:rPr>
              <w:t>10.0</w:t>
            </w:r>
          </w:p>
        </w:tc>
      </w:tr>
    </w:tbl>
    <w:p w:rsidR="008E216C" w:rsidRDefault="008E216C" w:rsidP="00191501">
      <w:pPr>
        <w:spacing w:before="240" w:after="0" w:line="240" w:lineRule="auto"/>
        <w:ind w:right="269"/>
        <w:jc w:val="both"/>
        <w:rPr>
          <w:rFonts w:ascii="Times New Roman" w:hAnsi="Times New Roman" w:cs="Times New Roman"/>
          <w:lang w:eastAsia="zh-CN"/>
        </w:rPr>
      </w:pPr>
      <w:r>
        <w:rPr>
          <w:rFonts w:ascii="Times New Roman" w:hAnsi="Times New Roman" w:cs="Times New Roman"/>
          <w:lang w:eastAsia="zh-CN"/>
        </w:rPr>
        <w:t xml:space="preserve">The Table </w:t>
      </w:r>
      <w:r w:rsidR="00894A0C">
        <w:rPr>
          <w:rFonts w:ascii="Times New Roman" w:hAnsi="Times New Roman" w:cs="Times New Roman"/>
          <w:lang w:eastAsia="zh-CN"/>
        </w:rPr>
        <w:t>1</w:t>
      </w:r>
      <w:r>
        <w:rPr>
          <w:rFonts w:ascii="Times New Roman" w:hAnsi="Times New Roman" w:cs="Times New Roman"/>
          <w:lang w:eastAsia="zh-CN"/>
        </w:rPr>
        <w:t xml:space="preserve"> indicated that </w:t>
      </w:r>
      <w:r w:rsidRPr="009B5855">
        <w:rPr>
          <w:rFonts w:ascii="Times New Roman" w:hAnsi="Times New Roman" w:cs="Times New Roman"/>
          <w:i/>
          <w:lang w:eastAsia="zh-CN"/>
        </w:rPr>
        <w:t>Fusarium</w:t>
      </w:r>
      <w:r>
        <w:rPr>
          <w:rFonts w:ascii="Times New Roman" w:hAnsi="Times New Roman" w:cs="Times New Roman"/>
          <w:i/>
          <w:lang w:eastAsia="zh-CN"/>
        </w:rPr>
        <w:t xml:space="preserve"> </w:t>
      </w:r>
      <w:r w:rsidRPr="009B5855">
        <w:rPr>
          <w:rFonts w:ascii="Times New Roman" w:hAnsi="Times New Roman" w:cs="Times New Roman"/>
          <w:i/>
          <w:iCs/>
          <w:lang w:eastAsia="zh-CN"/>
        </w:rPr>
        <w:t>species</w:t>
      </w:r>
      <w:r w:rsidRPr="009B5855">
        <w:rPr>
          <w:rFonts w:ascii="Times New Roman" w:hAnsi="Times New Roman" w:cs="Times New Roman"/>
          <w:lang w:eastAsia="zh-CN"/>
        </w:rPr>
        <w:t xml:space="preserve"> </w:t>
      </w:r>
      <w:r>
        <w:rPr>
          <w:rFonts w:ascii="Times New Roman" w:hAnsi="Times New Roman" w:cs="Times New Roman"/>
          <w:lang w:eastAsia="zh-CN"/>
        </w:rPr>
        <w:t>is</w:t>
      </w:r>
      <w:r w:rsidRPr="009B5855">
        <w:rPr>
          <w:rFonts w:ascii="Times New Roman" w:hAnsi="Times New Roman" w:cs="Times New Roman"/>
          <w:lang w:eastAsia="zh-CN"/>
        </w:rPr>
        <w:t xml:space="preserve"> the highest occurrence </w:t>
      </w:r>
      <w:r>
        <w:rPr>
          <w:rFonts w:ascii="Times New Roman" w:hAnsi="Times New Roman" w:cs="Times New Roman"/>
          <w:lang w:eastAsia="zh-CN"/>
        </w:rPr>
        <w:t>with</w:t>
      </w:r>
      <w:r w:rsidRPr="009B5855">
        <w:rPr>
          <w:rFonts w:ascii="Times New Roman" w:hAnsi="Times New Roman" w:cs="Times New Roman"/>
          <w:lang w:eastAsia="zh-CN"/>
        </w:rPr>
        <w:t xml:space="preserve"> </w:t>
      </w:r>
      <w:r>
        <w:rPr>
          <w:rFonts w:ascii="Times New Roman" w:hAnsi="Times New Roman" w:cs="Times New Roman"/>
          <w:lang w:eastAsia="zh-CN"/>
        </w:rPr>
        <w:t>17</w:t>
      </w:r>
      <w:r w:rsidRPr="009B5855">
        <w:rPr>
          <w:rFonts w:ascii="Times New Roman" w:hAnsi="Times New Roman" w:cs="Times New Roman"/>
          <w:lang w:eastAsia="zh-CN"/>
        </w:rPr>
        <w:t xml:space="preserve"> isolates (</w:t>
      </w:r>
      <w:r>
        <w:rPr>
          <w:rFonts w:ascii="Times New Roman" w:hAnsi="Times New Roman" w:cs="Times New Roman"/>
          <w:lang w:eastAsia="zh-CN"/>
        </w:rPr>
        <w:t>4</w:t>
      </w:r>
      <w:r w:rsidRPr="009B5855">
        <w:rPr>
          <w:rFonts w:ascii="Times New Roman" w:hAnsi="Times New Roman" w:cs="Times New Roman"/>
          <w:lang w:eastAsia="zh-CN"/>
        </w:rPr>
        <w:t xml:space="preserve">2.5%), </w:t>
      </w:r>
      <w:r w:rsidRPr="009B5855">
        <w:rPr>
          <w:rFonts w:ascii="Times New Roman" w:hAnsi="Times New Roman" w:cs="Times New Roman"/>
          <w:i/>
          <w:lang w:eastAsia="zh-CN"/>
        </w:rPr>
        <w:t xml:space="preserve">Aspergillus </w:t>
      </w:r>
      <w:r w:rsidRPr="009B5855">
        <w:rPr>
          <w:rFonts w:ascii="Times New Roman" w:hAnsi="Times New Roman" w:cs="Times New Roman"/>
          <w:lang w:eastAsia="zh-CN"/>
        </w:rPr>
        <w:t xml:space="preserve">niger </w:t>
      </w:r>
      <w:r>
        <w:rPr>
          <w:rFonts w:ascii="Times New Roman" w:hAnsi="Times New Roman" w:cs="Times New Roman"/>
          <w:lang w:eastAsia="zh-CN"/>
        </w:rPr>
        <w:t xml:space="preserve">accounted </w:t>
      </w:r>
      <w:r w:rsidRPr="009B5855">
        <w:rPr>
          <w:rFonts w:ascii="Times New Roman" w:hAnsi="Times New Roman" w:cs="Times New Roman"/>
          <w:lang w:eastAsia="zh-CN"/>
        </w:rPr>
        <w:t>with 7 isolates (17.5%)</w:t>
      </w:r>
      <w:r>
        <w:rPr>
          <w:rFonts w:ascii="Times New Roman" w:hAnsi="Times New Roman" w:cs="Times New Roman"/>
          <w:lang w:eastAsia="zh-CN"/>
        </w:rPr>
        <w:t xml:space="preserve"> as the medium occurrence</w:t>
      </w:r>
      <w:r w:rsidRPr="009B5855">
        <w:rPr>
          <w:rFonts w:ascii="Times New Roman" w:hAnsi="Times New Roman" w:cs="Times New Roman"/>
          <w:lang w:eastAsia="zh-CN"/>
        </w:rPr>
        <w:t xml:space="preserve">, while </w:t>
      </w:r>
      <w:r w:rsidRPr="009B5855">
        <w:rPr>
          <w:rFonts w:ascii="Times New Roman" w:hAnsi="Times New Roman" w:cs="Times New Roman"/>
          <w:i/>
          <w:iCs/>
          <w:lang w:eastAsia="zh-CN"/>
        </w:rPr>
        <w:t>Mucor species</w:t>
      </w:r>
      <w:r w:rsidRPr="009B5855">
        <w:rPr>
          <w:rFonts w:ascii="Times New Roman" w:hAnsi="Times New Roman" w:cs="Times New Roman"/>
          <w:lang w:eastAsia="zh-CN"/>
        </w:rPr>
        <w:t xml:space="preserve"> made up </w:t>
      </w:r>
      <w:r>
        <w:rPr>
          <w:rFonts w:ascii="Times New Roman" w:hAnsi="Times New Roman" w:cs="Times New Roman"/>
          <w:lang w:eastAsia="zh-CN"/>
        </w:rPr>
        <w:t>(2.5</w:t>
      </w:r>
      <w:r w:rsidRPr="009B5855">
        <w:rPr>
          <w:rFonts w:ascii="Times New Roman" w:hAnsi="Times New Roman" w:cs="Times New Roman"/>
          <w:lang w:eastAsia="zh-CN"/>
        </w:rPr>
        <w:t>%</w:t>
      </w:r>
      <w:r>
        <w:rPr>
          <w:rFonts w:ascii="Times New Roman" w:hAnsi="Times New Roman" w:cs="Times New Roman"/>
          <w:lang w:eastAsia="zh-CN"/>
        </w:rPr>
        <w:t xml:space="preserve">) single </w:t>
      </w:r>
      <w:r w:rsidRPr="009B5855">
        <w:rPr>
          <w:rFonts w:ascii="Times New Roman" w:hAnsi="Times New Roman" w:cs="Times New Roman"/>
          <w:lang w:eastAsia="zh-CN"/>
        </w:rPr>
        <w:t>isolate.</w:t>
      </w:r>
      <w:r>
        <w:rPr>
          <w:rFonts w:ascii="Times New Roman" w:hAnsi="Times New Roman" w:cs="Times New Roman"/>
          <w:lang w:eastAsia="zh-CN"/>
        </w:rPr>
        <w:t xml:space="preserve"> </w:t>
      </w:r>
      <w:r w:rsidR="003878E0" w:rsidRPr="009B5855">
        <w:rPr>
          <w:rFonts w:ascii="Times New Roman" w:hAnsi="Times New Roman" w:cs="Times New Roman"/>
          <w:lang w:eastAsia="zh-CN"/>
        </w:rPr>
        <w:t>This</w:t>
      </w:r>
      <w:r w:rsidR="003878E0">
        <w:rPr>
          <w:rFonts w:ascii="Times New Roman" w:hAnsi="Times New Roman" w:cs="Times New Roman"/>
          <w:lang w:eastAsia="zh-CN"/>
        </w:rPr>
        <w:t xml:space="preserve"> finding</w:t>
      </w:r>
      <w:r w:rsidRPr="009B5855">
        <w:rPr>
          <w:rFonts w:ascii="Times New Roman" w:hAnsi="Times New Roman" w:cs="Times New Roman"/>
          <w:lang w:eastAsia="zh-CN"/>
        </w:rPr>
        <w:t xml:space="preserve"> shows that</w:t>
      </w:r>
      <w:r w:rsidRPr="009B5855">
        <w:rPr>
          <w:rFonts w:ascii="Times New Roman" w:hAnsi="Times New Roman" w:cs="Times New Roman"/>
          <w:i/>
          <w:lang w:eastAsia="zh-CN"/>
        </w:rPr>
        <w:t xml:space="preserve"> Fusarium</w:t>
      </w:r>
      <w:r w:rsidRPr="009B5855">
        <w:rPr>
          <w:rFonts w:ascii="Times New Roman" w:hAnsi="Times New Roman" w:cs="Times New Roman"/>
          <w:lang w:eastAsia="zh-CN"/>
        </w:rPr>
        <w:t xml:space="preserve"> and </w:t>
      </w:r>
      <w:r w:rsidRPr="009B5855">
        <w:rPr>
          <w:rFonts w:ascii="Times New Roman" w:hAnsi="Times New Roman" w:cs="Times New Roman"/>
          <w:i/>
          <w:lang w:eastAsia="zh-CN"/>
        </w:rPr>
        <w:t xml:space="preserve">Aspergillus </w:t>
      </w:r>
      <w:r w:rsidRPr="009B5855">
        <w:rPr>
          <w:rFonts w:ascii="Times New Roman" w:hAnsi="Times New Roman" w:cs="Times New Roman"/>
          <w:lang w:eastAsia="zh-CN"/>
        </w:rPr>
        <w:t>species were the most dominant contaminants in this samples.</w:t>
      </w:r>
    </w:p>
    <w:p w:rsidR="008E216C" w:rsidRPr="009B5855" w:rsidRDefault="008E216C" w:rsidP="008E216C">
      <w:pPr>
        <w:spacing w:after="0" w:line="240" w:lineRule="auto"/>
        <w:ind w:right="269"/>
        <w:jc w:val="both"/>
        <w:rPr>
          <w:rFonts w:ascii="Times New Roman" w:hAnsi="Times New Roman" w:cs="Times New Roman"/>
        </w:rPr>
      </w:pPr>
      <w:r>
        <w:rPr>
          <w:rFonts w:ascii="Times New Roman" w:hAnsi="Times New Roman" w:cs="Times New Roman"/>
        </w:rPr>
        <w:t xml:space="preserve">However, </w:t>
      </w:r>
      <w:r w:rsidRPr="009B5855">
        <w:rPr>
          <w:rFonts w:ascii="Times New Roman" w:hAnsi="Times New Roman" w:cs="Times New Roman"/>
        </w:rPr>
        <w:t>Fungal contamination in food products, particularly oils, is a well-documented concern. Studies have shown that fungi such as </w:t>
      </w:r>
      <w:r w:rsidRPr="009B5855">
        <w:rPr>
          <w:rFonts w:ascii="Times New Roman" w:hAnsi="Times New Roman" w:cs="Times New Roman"/>
          <w:i/>
          <w:iCs/>
        </w:rPr>
        <w:t>Aspergillus</w:t>
      </w:r>
      <w:r w:rsidRPr="009B5855">
        <w:rPr>
          <w:rFonts w:ascii="Times New Roman" w:hAnsi="Times New Roman" w:cs="Times New Roman"/>
        </w:rPr>
        <w:t>,</w:t>
      </w:r>
      <w:r w:rsidRPr="009B5855">
        <w:rPr>
          <w:rFonts w:ascii="Times New Roman" w:hAnsi="Times New Roman" w:cs="Times New Roman"/>
          <w:i/>
        </w:rPr>
        <w:t xml:space="preserve"> Fusarium</w:t>
      </w:r>
      <w:r w:rsidRPr="009B5855">
        <w:rPr>
          <w:rFonts w:ascii="Times New Roman" w:hAnsi="Times New Roman" w:cs="Times New Roman"/>
        </w:rPr>
        <w:t>, and </w:t>
      </w:r>
      <w:r w:rsidRPr="009B5855">
        <w:rPr>
          <w:rFonts w:ascii="Times New Roman" w:hAnsi="Times New Roman" w:cs="Times New Roman"/>
          <w:i/>
          <w:iCs/>
        </w:rPr>
        <w:t xml:space="preserve">Penicillium </w:t>
      </w:r>
      <w:r w:rsidRPr="009B5855">
        <w:rPr>
          <w:rFonts w:ascii="Times New Roman" w:hAnsi="Times New Roman" w:cs="Times New Roman"/>
        </w:rPr>
        <w:t xml:space="preserve">are common contaminants that can produce </w:t>
      </w:r>
      <w:r w:rsidRPr="009B5855">
        <w:rPr>
          <w:rFonts w:ascii="Times New Roman" w:hAnsi="Times New Roman" w:cs="Times New Roman"/>
          <w:i/>
        </w:rPr>
        <w:t>mycotoxins</w:t>
      </w:r>
      <w:r w:rsidRPr="009B5855">
        <w:rPr>
          <w:rFonts w:ascii="Times New Roman" w:hAnsi="Times New Roman" w:cs="Times New Roman"/>
        </w:rPr>
        <w:t xml:space="preserve">, potentially leading to serious health risks in humans, including acute toxicity and </w:t>
      </w:r>
      <w:r w:rsidRPr="009B5855">
        <w:rPr>
          <w:rFonts w:ascii="Times New Roman" w:hAnsi="Times New Roman" w:cs="Times New Roman"/>
          <w:i/>
        </w:rPr>
        <w:t>carcinogenic</w:t>
      </w:r>
      <w:r w:rsidRPr="009B5855">
        <w:rPr>
          <w:rFonts w:ascii="Times New Roman" w:hAnsi="Times New Roman" w:cs="Times New Roman"/>
        </w:rPr>
        <w:t xml:space="preserve"> effects </w:t>
      </w:r>
      <w:r w:rsidR="003878E0">
        <w:rPr>
          <w:rFonts w:ascii="Times New Roman" w:hAnsi="Times New Roman" w:cs="Times New Roman"/>
        </w:rPr>
        <w:t>[29]</w:t>
      </w:r>
      <w:r w:rsidRPr="009B5855">
        <w:rPr>
          <w:rFonts w:ascii="Times New Roman" w:hAnsi="Times New Roman" w:cs="Times New Roman"/>
        </w:rPr>
        <w:t>.</w:t>
      </w:r>
      <w:r>
        <w:rPr>
          <w:rFonts w:ascii="Times New Roman" w:hAnsi="Times New Roman" w:cs="Times New Roman"/>
        </w:rPr>
        <w:t xml:space="preserve"> </w:t>
      </w:r>
      <w:r w:rsidRPr="009B5855">
        <w:rPr>
          <w:rFonts w:ascii="Times New Roman" w:hAnsi="Times New Roman" w:cs="Times New Roman"/>
        </w:rPr>
        <w:t xml:space="preserve">The outlined feature in the table provides essential identification criteria for these fungi, aligning with the morphological traits described in mycological studies </w:t>
      </w:r>
      <w:r w:rsidR="003878E0">
        <w:rPr>
          <w:rFonts w:ascii="Times New Roman" w:hAnsi="Times New Roman" w:cs="Times New Roman"/>
        </w:rPr>
        <w:t>[30]</w:t>
      </w:r>
      <w:r w:rsidRPr="009B5855">
        <w:rPr>
          <w:rFonts w:ascii="Times New Roman" w:hAnsi="Times New Roman" w:cs="Times New Roman"/>
        </w:rPr>
        <w:t>. The presence of </w:t>
      </w:r>
      <w:r w:rsidRPr="009B5855">
        <w:rPr>
          <w:rFonts w:ascii="Times New Roman" w:hAnsi="Times New Roman" w:cs="Times New Roman"/>
          <w:i/>
          <w:iCs/>
        </w:rPr>
        <w:t>Aspergillus flavus</w:t>
      </w:r>
      <w:r w:rsidRPr="009B5855">
        <w:rPr>
          <w:rFonts w:ascii="Times New Roman" w:hAnsi="Times New Roman" w:cs="Times New Roman"/>
        </w:rPr>
        <w:t> and </w:t>
      </w:r>
      <w:r w:rsidRPr="009B5855">
        <w:rPr>
          <w:rFonts w:ascii="Times New Roman" w:hAnsi="Times New Roman" w:cs="Times New Roman"/>
          <w:i/>
          <w:iCs/>
        </w:rPr>
        <w:t>Aspergillus niger</w:t>
      </w:r>
      <w:r w:rsidRPr="009B5855">
        <w:rPr>
          <w:rFonts w:ascii="Times New Roman" w:hAnsi="Times New Roman" w:cs="Times New Roman"/>
        </w:rPr>
        <w:t xml:space="preserve"> in palm oil is consistent with findings by </w:t>
      </w:r>
      <w:r w:rsidR="003878E0">
        <w:rPr>
          <w:rFonts w:ascii="Times New Roman" w:hAnsi="Times New Roman" w:cs="Times New Roman"/>
        </w:rPr>
        <w:t>[31].</w:t>
      </w:r>
      <w:r w:rsidRPr="009B5855">
        <w:rPr>
          <w:rFonts w:ascii="Times New Roman" w:hAnsi="Times New Roman" w:cs="Times New Roman"/>
        </w:rPr>
        <w:t xml:space="preserve"> and other studies identifying these species as significant contaminants in various food products. Specifically, </w:t>
      </w:r>
      <w:r w:rsidRPr="009B5855">
        <w:rPr>
          <w:rFonts w:ascii="Times New Roman" w:hAnsi="Times New Roman" w:cs="Times New Roman"/>
          <w:i/>
          <w:iCs/>
        </w:rPr>
        <w:t>A. flavus</w:t>
      </w:r>
      <w:r w:rsidRPr="009B5855">
        <w:rPr>
          <w:rFonts w:ascii="Times New Roman" w:hAnsi="Times New Roman" w:cs="Times New Roman"/>
        </w:rPr>
        <w:t xml:space="preserve"> is recognized for its ability to produce </w:t>
      </w:r>
      <w:r w:rsidRPr="009B5855">
        <w:rPr>
          <w:rFonts w:ascii="Times New Roman" w:hAnsi="Times New Roman" w:cs="Times New Roman"/>
          <w:i/>
        </w:rPr>
        <w:t>aflatoxins</w:t>
      </w:r>
      <w:r w:rsidRPr="009B5855">
        <w:rPr>
          <w:rFonts w:ascii="Times New Roman" w:hAnsi="Times New Roman" w:cs="Times New Roman"/>
        </w:rPr>
        <w:t>, which are potent carcinogens, emphasizing the importance of monitoring its presence in food processing environments. The description of</w:t>
      </w:r>
      <w:r w:rsidRPr="009B5855">
        <w:rPr>
          <w:rFonts w:ascii="Times New Roman" w:hAnsi="Times New Roman" w:cs="Times New Roman"/>
          <w:i/>
        </w:rPr>
        <w:t xml:space="preserve"> Fusarium</w:t>
      </w:r>
      <w:r w:rsidRPr="009B5855">
        <w:rPr>
          <w:rFonts w:ascii="Times New Roman" w:hAnsi="Times New Roman" w:cs="Times New Roman"/>
        </w:rPr>
        <w:t xml:space="preserve"> species aligns with literature indicating that these fungi can thrive in oily substrates and produce harmful </w:t>
      </w:r>
      <w:r w:rsidRPr="009B5855">
        <w:rPr>
          <w:rFonts w:ascii="Times New Roman" w:hAnsi="Times New Roman" w:cs="Times New Roman"/>
          <w:i/>
        </w:rPr>
        <w:t>mycotoxins</w:t>
      </w:r>
      <w:r w:rsidRPr="009B5855">
        <w:rPr>
          <w:rFonts w:ascii="Times New Roman" w:hAnsi="Times New Roman" w:cs="Times New Roman"/>
        </w:rPr>
        <w:t xml:space="preserve"> such as </w:t>
      </w:r>
      <w:r w:rsidRPr="009B5855">
        <w:rPr>
          <w:rFonts w:ascii="Times New Roman" w:hAnsi="Times New Roman" w:cs="Times New Roman"/>
          <w:i/>
        </w:rPr>
        <w:t>fumonisins</w:t>
      </w:r>
      <w:r w:rsidRPr="009B5855">
        <w:rPr>
          <w:rFonts w:ascii="Times New Roman" w:hAnsi="Times New Roman" w:cs="Times New Roman"/>
        </w:rPr>
        <w:t xml:space="preserve"> and</w:t>
      </w:r>
      <w:r w:rsidRPr="009B5855">
        <w:rPr>
          <w:rFonts w:ascii="Times New Roman" w:hAnsi="Times New Roman" w:cs="Times New Roman"/>
          <w:i/>
        </w:rPr>
        <w:t xml:space="preserve"> trichothecenes</w:t>
      </w:r>
      <w:r w:rsidRPr="009B5855">
        <w:rPr>
          <w:rFonts w:ascii="Times New Roman" w:hAnsi="Times New Roman" w:cs="Times New Roman"/>
        </w:rPr>
        <w:t xml:space="preserve"> </w:t>
      </w:r>
      <w:r w:rsidR="003878E0">
        <w:rPr>
          <w:rFonts w:ascii="Times New Roman" w:hAnsi="Times New Roman" w:cs="Times New Roman"/>
        </w:rPr>
        <w:t>[32]</w:t>
      </w:r>
      <w:r w:rsidRPr="009B5855">
        <w:rPr>
          <w:rFonts w:ascii="Times New Roman" w:hAnsi="Times New Roman" w:cs="Times New Roman"/>
        </w:rPr>
        <w:t>. Their colony appearance and rapid growth rates make them particularly concerning for food safety, highlighting the need for strict quality control measures the identification of </w:t>
      </w:r>
      <w:r w:rsidRPr="009B5855">
        <w:rPr>
          <w:rFonts w:ascii="Times New Roman" w:hAnsi="Times New Roman" w:cs="Times New Roman"/>
          <w:i/>
          <w:iCs/>
        </w:rPr>
        <w:t xml:space="preserve">Penicillium </w:t>
      </w:r>
      <w:r w:rsidRPr="009B5855">
        <w:rPr>
          <w:rFonts w:ascii="Times New Roman" w:hAnsi="Times New Roman" w:cs="Times New Roman"/>
        </w:rPr>
        <w:t xml:space="preserve">species as commonly occurring in palm oil underlines findings from other research indicating this genus's ability to produce </w:t>
      </w:r>
      <w:r w:rsidRPr="009B5855">
        <w:rPr>
          <w:rFonts w:ascii="Times New Roman" w:hAnsi="Times New Roman" w:cs="Times New Roman"/>
        </w:rPr>
        <w:lastRenderedPageBreak/>
        <w:t xml:space="preserve">secondary metabolites that can be harmful </w:t>
      </w:r>
      <w:r w:rsidR="003878E0">
        <w:rPr>
          <w:rFonts w:ascii="Times New Roman" w:hAnsi="Times New Roman" w:cs="Times New Roman"/>
        </w:rPr>
        <w:t>[33]</w:t>
      </w:r>
      <w:r w:rsidRPr="009B5855">
        <w:rPr>
          <w:rFonts w:ascii="Times New Roman" w:hAnsi="Times New Roman" w:cs="Times New Roman"/>
        </w:rPr>
        <w:t>. The coloration of their colonies can vary, indicating different species, which is crucial for accurate identification and risk assessment.</w:t>
      </w:r>
    </w:p>
    <w:p w:rsidR="00095EF4" w:rsidRDefault="008E216C" w:rsidP="008E216C">
      <w:pPr>
        <w:spacing w:after="0" w:line="240" w:lineRule="auto"/>
        <w:ind w:right="269"/>
        <w:jc w:val="both"/>
        <w:rPr>
          <w:rFonts w:ascii="Times New Roman" w:hAnsi="Times New Roman" w:cs="Times New Roman"/>
        </w:rPr>
      </w:pPr>
      <w:r w:rsidRPr="009B5855">
        <w:rPr>
          <w:rFonts w:ascii="Times New Roman" w:hAnsi="Times New Roman" w:cs="Times New Roman"/>
        </w:rPr>
        <w:t xml:space="preserve">The morphological characteristics outlined in the table are vital for mycologists and food safety practitioners. Recognizing these fungi helps to implement effective monitoring and control strategies in food processing </w:t>
      </w:r>
      <w:r w:rsidR="003878E0">
        <w:rPr>
          <w:rFonts w:ascii="Times New Roman" w:hAnsi="Times New Roman" w:cs="Times New Roman"/>
        </w:rPr>
        <w:t>[34]</w:t>
      </w:r>
      <w:r w:rsidRPr="009B5855">
        <w:rPr>
          <w:rFonts w:ascii="Times New Roman" w:hAnsi="Times New Roman" w:cs="Times New Roman"/>
        </w:rPr>
        <w:t>. The high prevalence of </w:t>
      </w:r>
      <w:r w:rsidRPr="009B5855">
        <w:rPr>
          <w:rFonts w:ascii="Times New Roman" w:hAnsi="Times New Roman" w:cs="Times New Roman"/>
          <w:i/>
          <w:iCs/>
        </w:rPr>
        <w:t xml:space="preserve">Aspergillus </w:t>
      </w:r>
      <w:r w:rsidRPr="009B5855">
        <w:rPr>
          <w:rFonts w:ascii="Times New Roman" w:hAnsi="Times New Roman" w:cs="Times New Roman"/>
        </w:rPr>
        <w:t xml:space="preserve">and its associated </w:t>
      </w:r>
      <w:r w:rsidRPr="009B5855">
        <w:rPr>
          <w:rFonts w:ascii="Times New Roman" w:hAnsi="Times New Roman" w:cs="Times New Roman"/>
          <w:i/>
        </w:rPr>
        <w:t>mycotoxins</w:t>
      </w:r>
      <w:r w:rsidRPr="009B5855">
        <w:rPr>
          <w:rFonts w:ascii="Times New Roman" w:hAnsi="Times New Roman" w:cs="Times New Roman"/>
        </w:rPr>
        <w:t xml:space="preserve"> call for stringent regulatory standards in food safety frameworks. Preventative measures, such as improved handling practices, storage conditions, and regular microbial testing, are essential for risks associated with fungal contamination </w:t>
      </w:r>
      <w:r w:rsidR="003878E0">
        <w:rPr>
          <w:rFonts w:ascii="Times New Roman" w:hAnsi="Times New Roman" w:cs="Times New Roman"/>
        </w:rPr>
        <w:t>[35]</w:t>
      </w:r>
      <w:r w:rsidRPr="009B5855">
        <w:rPr>
          <w:rFonts w:ascii="Times New Roman" w:hAnsi="Times New Roman" w:cs="Times New Roman"/>
        </w:rPr>
        <w:t>.</w:t>
      </w:r>
    </w:p>
    <w:p w:rsidR="00095EF4" w:rsidRDefault="00095EF4" w:rsidP="002F2181">
      <w:pPr>
        <w:tabs>
          <w:tab w:val="left" w:pos="2160"/>
        </w:tabs>
        <w:spacing w:after="0" w:line="240" w:lineRule="auto"/>
        <w:ind w:right="269"/>
        <w:jc w:val="both"/>
        <w:rPr>
          <w:rFonts w:ascii="Times New Roman" w:hAnsi="Times New Roman" w:cs="Times New Roman"/>
        </w:rPr>
      </w:pPr>
    </w:p>
    <w:p w:rsidR="008E216C" w:rsidRPr="009B5855" w:rsidRDefault="008E216C" w:rsidP="008E216C">
      <w:pPr>
        <w:spacing w:line="240" w:lineRule="auto"/>
        <w:ind w:right="269"/>
        <w:rPr>
          <w:rFonts w:ascii="Times New Roman" w:hAnsi="Times New Roman" w:cs="Times New Roman"/>
        </w:rPr>
      </w:pPr>
      <w:r>
        <w:rPr>
          <w:rFonts w:ascii="Times New Roman" w:hAnsi="Times New Roman" w:cs="Times New Roman"/>
        </w:rPr>
        <w:t xml:space="preserve">The </w:t>
      </w:r>
      <w:r w:rsidRPr="009B5855">
        <w:rPr>
          <w:rFonts w:ascii="Times New Roman" w:hAnsi="Times New Roman" w:cs="Times New Roman"/>
        </w:rPr>
        <w:t xml:space="preserve">Table </w:t>
      </w:r>
      <w:r w:rsidR="00894A0C">
        <w:rPr>
          <w:rFonts w:ascii="Times New Roman" w:hAnsi="Times New Roman" w:cs="Times New Roman"/>
        </w:rPr>
        <w:t>2</w:t>
      </w:r>
      <w:r w:rsidRPr="009B5855">
        <w:rPr>
          <w:rFonts w:ascii="Times New Roman" w:hAnsi="Times New Roman" w:cs="Times New Roman"/>
        </w:rPr>
        <w:t xml:space="preserve"> shows the total fungal load of isolates obtained from palm oil samples collected across the study area</w:t>
      </w:r>
      <w:r>
        <w:rPr>
          <w:rFonts w:ascii="Times New Roman" w:hAnsi="Times New Roman" w:cs="Times New Roman"/>
        </w:rPr>
        <w:t>.</w:t>
      </w:r>
    </w:p>
    <w:p w:rsidR="008E216C" w:rsidRPr="009B5855" w:rsidRDefault="008E216C" w:rsidP="008E216C">
      <w:pPr>
        <w:spacing w:after="0" w:line="240" w:lineRule="auto"/>
        <w:rPr>
          <w:rFonts w:ascii="Times New Roman" w:hAnsi="Times New Roman" w:cs="Times New Roman"/>
        </w:rPr>
      </w:pPr>
      <w:r w:rsidRPr="009B5855">
        <w:rPr>
          <w:rFonts w:ascii="Times New Roman" w:hAnsi="Times New Roman" w:cs="Times New Roman"/>
          <w:b/>
          <w:bCs/>
        </w:rPr>
        <w:t xml:space="preserve">Table </w:t>
      </w:r>
      <w:r w:rsidR="00894A0C">
        <w:rPr>
          <w:rFonts w:ascii="Times New Roman" w:hAnsi="Times New Roman" w:cs="Times New Roman"/>
          <w:b/>
          <w:bCs/>
        </w:rPr>
        <w:t>2</w:t>
      </w:r>
      <w:r w:rsidRPr="009B5855">
        <w:rPr>
          <w:rFonts w:ascii="Times New Roman" w:hAnsi="Times New Roman" w:cs="Times New Roman"/>
          <w:b/>
          <w:bCs/>
        </w:rPr>
        <w:t xml:space="preserve">: </w:t>
      </w:r>
      <w:r>
        <w:rPr>
          <w:rFonts w:ascii="Times New Roman" w:hAnsi="Times New Roman" w:cs="Times New Roman"/>
          <w:b/>
          <w:bCs/>
        </w:rPr>
        <w:t xml:space="preserve">Distribution According to </w:t>
      </w:r>
      <w:r w:rsidRPr="009B5855">
        <w:rPr>
          <w:rFonts w:ascii="Times New Roman" w:hAnsi="Times New Roman" w:cs="Times New Roman"/>
          <w:b/>
          <w:bCs/>
        </w:rPr>
        <w:t>Total Fungal Load of Isolates in this Study</w:t>
      </w:r>
      <w:bookmarkStart w:id="6" w:name="Xb629f71bb2e39ef567a4a04de00cc5978d32e27"/>
      <w:r w:rsidRPr="009B5855">
        <w:rPr>
          <w:rFonts w:ascii="Times New Roman" w:hAnsi="Times New Roman" w:cs="Times New Roman"/>
          <w:b/>
          <w:bCs/>
        </w:rPr>
        <w:t xml:space="preserve"> </w:t>
      </w:r>
      <w:bookmarkEnd w:id="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0"/>
        <w:gridCol w:w="5940"/>
      </w:tblGrid>
      <w:tr w:rsidR="008E216C" w:rsidRPr="009B5855" w:rsidTr="00254B4C">
        <w:tc>
          <w:tcPr>
            <w:tcW w:w="2700" w:type="dxa"/>
            <w:tcBorders>
              <w:top w:val="single" w:sz="4" w:space="0" w:color="auto"/>
              <w:bottom w:val="single" w:sz="4" w:space="0" w:color="auto"/>
            </w:tcBorders>
          </w:tcPr>
          <w:p w:rsidR="008E216C" w:rsidRPr="009B5855" w:rsidRDefault="008E216C" w:rsidP="00254B4C">
            <w:pPr>
              <w:ind w:left="165"/>
              <w:jc w:val="both"/>
              <w:rPr>
                <w:rFonts w:eastAsiaTheme="minorHAnsi"/>
                <w:kern w:val="2"/>
                <w:sz w:val="24"/>
                <w:szCs w:val="24"/>
                <w14:ligatures w14:val="standardContextual"/>
              </w:rPr>
            </w:pPr>
            <w:r w:rsidRPr="009B5855">
              <w:rPr>
                <w:rFonts w:eastAsiaTheme="minorHAnsi"/>
                <w:b/>
                <w:bCs/>
                <w:kern w:val="2"/>
                <w:sz w:val="24"/>
                <w:szCs w:val="24"/>
                <w:lang w:val="en-GB"/>
                <w14:ligatures w14:val="standardContextual"/>
              </w:rPr>
              <w:t>Sampled Market</w:t>
            </w:r>
          </w:p>
        </w:tc>
        <w:tc>
          <w:tcPr>
            <w:tcW w:w="5940" w:type="dxa"/>
            <w:tcBorders>
              <w:top w:val="single" w:sz="4" w:space="0" w:color="auto"/>
              <w:bottom w:val="single" w:sz="4" w:space="0" w:color="auto"/>
            </w:tcBorders>
          </w:tcPr>
          <w:p w:rsidR="008E216C" w:rsidRPr="009B5855" w:rsidRDefault="008E216C" w:rsidP="00254B4C">
            <w:pPr>
              <w:jc w:val="both"/>
              <w:rPr>
                <w:rFonts w:eastAsiaTheme="minorHAnsi"/>
                <w:b/>
                <w:bCs/>
                <w:kern w:val="2"/>
                <w:sz w:val="24"/>
                <w:szCs w:val="24"/>
                <w14:ligatures w14:val="standardContextual"/>
              </w:rPr>
            </w:pPr>
            <w:r w:rsidRPr="009B5855">
              <w:rPr>
                <w:rFonts w:eastAsiaTheme="minorHAnsi"/>
                <w:b/>
                <w:bCs/>
                <w:kern w:val="2"/>
                <w:sz w:val="24"/>
                <w:szCs w:val="24"/>
                <w14:ligatures w14:val="standardContextual"/>
              </w:rPr>
              <w:t>Mean Fungal Load (CFU/g)</w:t>
            </w:r>
          </w:p>
        </w:tc>
      </w:tr>
      <w:tr w:rsidR="008E216C" w:rsidRPr="009B5855" w:rsidTr="00254B4C">
        <w:tc>
          <w:tcPr>
            <w:tcW w:w="2700" w:type="dxa"/>
            <w:tcBorders>
              <w:top w:val="single" w:sz="4" w:space="0" w:color="auto"/>
            </w:tcBorders>
          </w:tcPr>
          <w:p w:rsidR="008E216C" w:rsidRPr="009B5855" w:rsidRDefault="008E216C" w:rsidP="00254B4C">
            <w:pPr>
              <w:ind w:left="165"/>
              <w:jc w:val="both"/>
              <w:rPr>
                <w:rFonts w:eastAsiaTheme="minorHAnsi"/>
                <w:b/>
                <w:bCs/>
                <w:kern w:val="2"/>
                <w:sz w:val="24"/>
                <w:szCs w:val="24"/>
                <w:lang w:val="en-GB"/>
                <w14:ligatures w14:val="standardContextual"/>
              </w:rPr>
            </w:pPr>
            <w:r w:rsidRPr="009B5855">
              <w:rPr>
                <w:rFonts w:eastAsiaTheme="minorHAnsi"/>
                <w:kern w:val="2"/>
                <w:sz w:val="24"/>
                <w:szCs w:val="24"/>
                <w14:ligatures w14:val="standardContextual"/>
              </w:rPr>
              <w:t xml:space="preserve">Wunti Market  </w:t>
            </w:r>
          </w:p>
        </w:tc>
        <w:tc>
          <w:tcPr>
            <w:tcW w:w="5940" w:type="dxa"/>
            <w:tcBorders>
              <w:top w:val="single" w:sz="4" w:space="0" w:color="auto"/>
            </w:tcBorders>
          </w:tcPr>
          <w:p w:rsidR="008E216C" w:rsidRPr="009B5855" w:rsidRDefault="008E216C" w:rsidP="00254B4C">
            <w:pPr>
              <w:ind w:left="75"/>
              <w:jc w:val="both"/>
              <w:rPr>
                <w:rFonts w:eastAsiaTheme="minorHAnsi"/>
                <w:b/>
                <w:bCs/>
                <w:kern w:val="2"/>
                <w:sz w:val="24"/>
                <w:szCs w:val="24"/>
                <w14:ligatures w14:val="standardContextual"/>
              </w:rPr>
            </w:pPr>
            <w:r w:rsidRPr="009B5855">
              <w:rPr>
                <w:rFonts w:eastAsiaTheme="minorHAnsi"/>
                <w:kern w:val="2"/>
                <w:sz w:val="24"/>
                <w:szCs w:val="24"/>
                <w14:ligatures w14:val="standardContextual"/>
              </w:rPr>
              <w:t>4.0 × 10⁶</w:t>
            </w:r>
          </w:p>
        </w:tc>
      </w:tr>
      <w:tr w:rsidR="008E216C" w:rsidRPr="009B5855" w:rsidTr="00254B4C">
        <w:tc>
          <w:tcPr>
            <w:tcW w:w="2700" w:type="dxa"/>
          </w:tcPr>
          <w:p w:rsidR="008E216C" w:rsidRPr="009B5855" w:rsidRDefault="008E216C" w:rsidP="00254B4C">
            <w:pPr>
              <w:ind w:left="165"/>
              <w:jc w:val="both"/>
              <w:rPr>
                <w:rFonts w:eastAsiaTheme="minorHAnsi"/>
                <w:b/>
                <w:bCs/>
                <w:kern w:val="2"/>
                <w:sz w:val="24"/>
                <w:szCs w:val="24"/>
                <w:lang w:val="en-GB"/>
                <w14:ligatures w14:val="standardContextual"/>
              </w:rPr>
            </w:pPr>
            <w:r w:rsidRPr="009B5855">
              <w:rPr>
                <w:rFonts w:eastAsiaTheme="minorHAnsi"/>
                <w:kern w:val="2"/>
                <w:sz w:val="24"/>
                <w:szCs w:val="24"/>
                <w14:ligatures w14:val="standardContextual"/>
              </w:rPr>
              <w:t xml:space="preserve">Muda Lawan Market  </w:t>
            </w:r>
          </w:p>
        </w:tc>
        <w:tc>
          <w:tcPr>
            <w:tcW w:w="5940" w:type="dxa"/>
          </w:tcPr>
          <w:p w:rsidR="008E216C" w:rsidRPr="009B5855" w:rsidRDefault="008E216C" w:rsidP="00254B4C">
            <w:pPr>
              <w:ind w:left="75"/>
              <w:jc w:val="both"/>
              <w:rPr>
                <w:rFonts w:eastAsiaTheme="minorHAnsi"/>
                <w:b/>
                <w:bCs/>
                <w:kern w:val="2"/>
                <w:sz w:val="24"/>
                <w:szCs w:val="24"/>
                <w14:ligatures w14:val="standardContextual"/>
              </w:rPr>
            </w:pPr>
            <w:r w:rsidRPr="009B5855">
              <w:rPr>
                <w:rFonts w:eastAsiaTheme="minorHAnsi"/>
                <w:kern w:val="2"/>
                <w:sz w:val="24"/>
                <w:szCs w:val="24"/>
                <w14:ligatures w14:val="standardContextual"/>
              </w:rPr>
              <w:t>8.6 × 10⁶</w:t>
            </w:r>
          </w:p>
        </w:tc>
      </w:tr>
      <w:tr w:rsidR="008E216C" w:rsidRPr="009B5855" w:rsidTr="00254B4C">
        <w:tc>
          <w:tcPr>
            <w:tcW w:w="2700" w:type="dxa"/>
          </w:tcPr>
          <w:p w:rsidR="008E216C" w:rsidRPr="009B5855" w:rsidRDefault="008E216C" w:rsidP="00254B4C">
            <w:pPr>
              <w:ind w:left="165"/>
              <w:jc w:val="both"/>
              <w:rPr>
                <w:rFonts w:eastAsiaTheme="minorHAnsi"/>
                <w:b/>
                <w:bCs/>
                <w:kern w:val="2"/>
                <w:sz w:val="24"/>
                <w:szCs w:val="24"/>
                <w:lang w:val="en-GB"/>
                <w14:ligatures w14:val="standardContextual"/>
              </w:rPr>
            </w:pPr>
            <w:r w:rsidRPr="009B5855">
              <w:rPr>
                <w:rFonts w:eastAsiaTheme="minorHAnsi"/>
                <w:kern w:val="2"/>
                <w:sz w:val="24"/>
                <w:szCs w:val="24"/>
                <w14:ligatures w14:val="standardContextual"/>
              </w:rPr>
              <w:t xml:space="preserve">Central Market  </w:t>
            </w:r>
          </w:p>
        </w:tc>
        <w:tc>
          <w:tcPr>
            <w:tcW w:w="5940" w:type="dxa"/>
          </w:tcPr>
          <w:p w:rsidR="008E216C" w:rsidRPr="009B5855" w:rsidRDefault="008E216C" w:rsidP="00254B4C">
            <w:pPr>
              <w:ind w:left="75"/>
              <w:jc w:val="both"/>
              <w:rPr>
                <w:rFonts w:eastAsiaTheme="minorHAnsi"/>
                <w:b/>
                <w:bCs/>
                <w:kern w:val="2"/>
                <w:sz w:val="24"/>
                <w:szCs w:val="24"/>
                <w14:ligatures w14:val="standardContextual"/>
              </w:rPr>
            </w:pPr>
            <w:r w:rsidRPr="009B5855">
              <w:rPr>
                <w:rFonts w:eastAsiaTheme="minorHAnsi"/>
                <w:kern w:val="2"/>
                <w:sz w:val="24"/>
                <w:szCs w:val="24"/>
                <w14:ligatures w14:val="standardContextual"/>
              </w:rPr>
              <w:t>3.1 × 10⁶</w:t>
            </w:r>
          </w:p>
        </w:tc>
      </w:tr>
      <w:tr w:rsidR="008E216C" w:rsidRPr="009B5855" w:rsidTr="00254B4C">
        <w:tc>
          <w:tcPr>
            <w:tcW w:w="2700" w:type="dxa"/>
            <w:tcBorders>
              <w:bottom w:val="single" w:sz="4" w:space="0" w:color="auto"/>
            </w:tcBorders>
          </w:tcPr>
          <w:p w:rsidR="008E216C" w:rsidRPr="009B5855" w:rsidRDefault="008E216C" w:rsidP="00254B4C">
            <w:pPr>
              <w:ind w:left="165"/>
              <w:jc w:val="both"/>
              <w:rPr>
                <w:rFonts w:eastAsiaTheme="minorHAnsi"/>
                <w:b/>
                <w:bCs/>
                <w:kern w:val="2"/>
                <w:sz w:val="24"/>
                <w:szCs w:val="24"/>
                <w:lang w:val="en-GB"/>
                <w14:ligatures w14:val="standardContextual"/>
              </w:rPr>
            </w:pPr>
            <w:r w:rsidRPr="009B5855">
              <w:rPr>
                <w:rFonts w:eastAsiaTheme="minorHAnsi"/>
                <w:kern w:val="2"/>
                <w:sz w:val="24"/>
                <w:szCs w:val="24"/>
                <w14:ligatures w14:val="standardContextual"/>
              </w:rPr>
              <w:t xml:space="preserve">Yelwa Market  </w:t>
            </w:r>
          </w:p>
        </w:tc>
        <w:tc>
          <w:tcPr>
            <w:tcW w:w="5940" w:type="dxa"/>
            <w:tcBorders>
              <w:bottom w:val="single" w:sz="4" w:space="0" w:color="auto"/>
            </w:tcBorders>
          </w:tcPr>
          <w:p w:rsidR="008E216C" w:rsidRPr="009B5855" w:rsidRDefault="008E216C" w:rsidP="00254B4C">
            <w:pPr>
              <w:ind w:left="75"/>
              <w:jc w:val="both"/>
              <w:rPr>
                <w:rFonts w:eastAsiaTheme="minorHAnsi"/>
                <w:b/>
                <w:bCs/>
                <w:kern w:val="2"/>
                <w:sz w:val="24"/>
                <w:szCs w:val="24"/>
                <w14:ligatures w14:val="standardContextual"/>
              </w:rPr>
            </w:pPr>
            <w:r w:rsidRPr="009B5855">
              <w:rPr>
                <w:rFonts w:eastAsiaTheme="minorHAnsi"/>
                <w:kern w:val="2"/>
                <w:sz w:val="24"/>
                <w:szCs w:val="24"/>
                <w14:ligatures w14:val="standardContextual"/>
              </w:rPr>
              <w:t>1.0 × 10⁷</w:t>
            </w:r>
          </w:p>
        </w:tc>
      </w:tr>
    </w:tbl>
    <w:p w:rsidR="008E216C" w:rsidRPr="009B5855" w:rsidRDefault="008E216C" w:rsidP="008E216C">
      <w:pPr>
        <w:spacing w:before="240" w:after="0" w:line="240" w:lineRule="auto"/>
        <w:ind w:right="269"/>
        <w:jc w:val="both"/>
        <w:rPr>
          <w:rFonts w:ascii="Times New Roman" w:hAnsi="Times New Roman" w:cs="Times New Roman"/>
        </w:rPr>
      </w:pPr>
      <w:r w:rsidRPr="009B5855">
        <w:rPr>
          <w:rFonts w:ascii="Times New Roman" w:hAnsi="Times New Roman" w:cs="Times New Roman"/>
        </w:rPr>
        <w:t xml:space="preserve">Table </w:t>
      </w:r>
      <w:r w:rsidR="00894A0C">
        <w:rPr>
          <w:rFonts w:ascii="Times New Roman" w:hAnsi="Times New Roman" w:cs="Times New Roman"/>
        </w:rPr>
        <w:t>2</w:t>
      </w:r>
      <w:r w:rsidRPr="009B5855">
        <w:rPr>
          <w:rFonts w:ascii="Times New Roman" w:hAnsi="Times New Roman" w:cs="Times New Roman"/>
        </w:rPr>
        <w:t xml:space="preserve"> shows the fungal load of palm oil varied among markets. The highest fungal load (1.0 × 10⁷ CFU/g) was recorded in Yelwa Market, while the lowest load (3.1 × 10⁶ CFU/g) was observed in Central Market. The variations in fungal load among markets could be attributed to differences in handling, storage conditions, cleanliness, and exposure to air and moisture during marketing. The results obtained indicate that all the palm oil samples from the selected markets were contaminated with fungi to varying degrees. The mean fungal loads ranged from (3.1 × 10⁶ CFU/g to 1.0 × 10⁷ CFU/g), which are above the acceptable microbial limits for edible oils as recommended by the International Commission on Microbiological Specifications for Foods </w:t>
      </w:r>
      <w:r w:rsidR="003878E0">
        <w:rPr>
          <w:rFonts w:ascii="Times New Roman" w:hAnsi="Times New Roman" w:cs="Times New Roman"/>
        </w:rPr>
        <w:t>[36]</w:t>
      </w:r>
      <w:r w:rsidRPr="009B5855">
        <w:rPr>
          <w:rFonts w:ascii="Times New Roman" w:hAnsi="Times New Roman" w:cs="Times New Roman"/>
        </w:rPr>
        <w:t>. This implies poor hygienic practices during production, packaging, and marketing. The relatively high fungal load in Yelwa Market (1.0 × 10⁷ CFU/g) may be due to prolonged exposure of oil to air and moisture, use of unsterilized containers, and repeated scooping during sale.</w:t>
      </w:r>
    </w:p>
    <w:p w:rsidR="008E216C" w:rsidRDefault="008E216C" w:rsidP="008E216C">
      <w:pPr>
        <w:spacing w:after="0" w:line="240" w:lineRule="auto"/>
        <w:ind w:right="269"/>
        <w:jc w:val="both"/>
        <w:rPr>
          <w:rFonts w:ascii="Times New Roman" w:hAnsi="Times New Roman" w:cs="Times New Roman"/>
        </w:rPr>
      </w:pPr>
      <w:r w:rsidRPr="009B5855">
        <w:rPr>
          <w:rFonts w:ascii="Times New Roman" w:hAnsi="Times New Roman" w:cs="Times New Roman"/>
        </w:rPr>
        <w:t xml:space="preserve">Similar findings were reported by Onyegeme </w:t>
      </w:r>
      <w:r w:rsidR="003878E0">
        <w:rPr>
          <w:rFonts w:ascii="Times New Roman" w:hAnsi="Times New Roman" w:cs="Times New Roman"/>
        </w:rPr>
        <w:t xml:space="preserve">[37] </w:t>
      </w:r>
      <w:r w:rsidRPr="009B5855">
        <w:rPr>
          <w:rFonts w:ascii="Times New Roman" w:hAnsi="Times New Roman" w:cs="Times New Roman"/>
        </w:rPr>
        <w:t>in their research titled “Determination of Fungi and</w:t>
      </w:r>
      <w:r w:rsidRPr="009B5855">
        <w:rPr>
          <w:rFonts w:ascii="Times New Roman" w:hAnsi="Times New Roman" w:cs="Times New Roman"/>
          <w:i/>
        </w:rPr>
        <w:t xml:space="preserve"> </w:t>
      </w:r>
      <w:r w:rsidRPr="009B5855">
        <w:rPr>
          <w:rFonts w:ascii="Times New Roman" w:hAnsi="Times New Roman" w:cs="Times New Roman"/>
        </w:rPr>
        <w:t>Aflatoxin</w:t>
      </w:r>
      <w:r w:rsidRPr="009B5855">
        <w:rPr>
          <w:rFonts w:ascii="Times New Roman" w:hAnsi="Times New Roman" w:cs="Times New Roman"/>
          <w:i/>
        </w:rPr>
        <w:t xml:space="preserve"> </w:t>
      </w:r>
      <w:r w:rsidRPr="009B5855">
        <w:rPr>
          <w:rFonts w:ascii="Times New Roman" w:hAnsi="Times New Roman" w:cs="Times New Roman"/>
        </w:rPr>
        <w:t xml:space="preserve">Levels in Unbranded Palm Oil Sold in Port Harcourt Metropolis.” They recorded fungal counts ranging from (3.2 × 10⁵ to 9.8 × 10⁶ CFU/mL), with </w:t>
      </w:r>
      <w:r w:rsidRPr="009B5855">
        <w:rPr>
          <w:rFonts w:ascii="Times New Roman" w:hAnsi="Times New Roman" w:cs="Times New Roman"/>
          <w:i/>
        </w:rPr>
        <w:t>Aspergillus niger</w:t>
      </w:r>
      <w:r w:rsidRPr="009B5855">
        <w:rPr>
          <w:rFonts w:ascii="Times New Roman" w:hAnsi="Times New Roman" w:cs="Times New Roman"/>
        </w:rPr>
        <w:t xml:space="preserve">, </w:t>
      </w:r>
      <w:r w:rsidRPr="009B5855">
        <w:rPr>
          <w:rFonts w:ascii="Times New Roman" w:hAnsi="Times New Roman" w:cs="Times New Roman"/>
          <w:i/>
        </w:rPr>
        <w:t>A. Flavus</w:t>
      </w:r>
      <w:r w:rsidRPr="009B5855">
        <w:rPr>
          <w:rFonts w:ascii="Times New Roman" w:hAnsi="Times New Roman" w:cs="Times New Roman"/>
        </w:rPr>
        <w:t>,</w:t>
      </w:r>
      <w:r w:rsidRPr="009B5855">
        <w:rPr>
          <w:rFonts w:ascii="Times New Roman" w:hAnsi="Times New Roman" w:cs="Times New Roman"/>
          <w:i/>
        </w:rPr>
        <w:t xml:space="preserve"> Fusarium</w:t>
      </w:r>
      <w:r w:rsidRPr="009B5855">
        <w:rPr>
          <w:rFonts w:ascii="Times New Roman" w:hAnsi="Times New Roman" w:cs="Times New Roman"/>
        </w:rPr>
        <w:t xml:space="preserve">, and </w:t>
      </w:r>
      <w:r w:rsidRPr="009B5855">
        <w:rPr>
          <w:rFonts w:ascii="Times New Roman" w:hAnsi="Times New Roman" w:cs="Times New Roman"/>
          <w:i/>
        </w:rPr>
        <w:t>Penicillium species</w:t>
      </w:r>
      <w:r w:rsidRPr="009B5855">
        <w:rPr>
          <w:rFonts w:ascii="Times New Roman" w:hAnsi="Times New Roman" w:cs="Times New Roman"/>
        </w:rPr>
        <w:t xml:space="preserve"> being the dominant isolates. Their study equally associated high fungal loads with poor storage and open-air selling conditions. The current findings are also in line with the report in Food Science and Nutrition by Ijah</w:t>
      </w:r>
      <w:r w:rsidR="003878E0">
        <w:rPr>
          <w:rFonts w:ascii="Times New Roman" w:hAnsi="Times New Roman" w:cs="Times New Roman"/>
          <w:i/>
        </w:rPr>
        <w:t xml:space="preserve"> </w:t>
      </w:r>
      <w:r w:rsidR="003878E0">
        <w:rPr>
          <w:rFonts w:ascii="Times New Roman" w:hAnsi="Times New Roman" w:cs="Times New Roman"/>
          <w:iCs/>
        </w:rPr>
        <w:t>[38]</w:t>
      </w:r>
      <w:r w:rsidRPr="009B5855">
        <w:rPr>
          <w:rFonts w:ascii="Times New Roman" w:hAnsi="Times New Roman" w:cs="Times New Roman"/>
        </w:rPr>
        <w:t xml:space="preserve"> who assessed mold contamination in crude palm oil sold in Jos, Nigeria. Their study showed mean mold counts between (1.0 × 10⁵ and 6.0 × 10⁶ CFU/g), and concluded that exposure to environmental contaminants during local processing and marketing accounted for the high microbial counts. These values closely correspond with the present study, especially in samples markets. From Muda Lawan and Yelwa the slight variation between the present fungal load and that reported by Ijah</w:t>
      </w:r>
      <w:r w:rsidR="003878E0">
        <w:rPr>
          <w:rFonts w:ascii="Times New Roman" w:hAnsi="Times New Roman" w:cs="Times New Roman"/>
        </w:rPr>
        <w:t xml:space="preserve"> [38</w:t>
      </w:r>
      <w:r w:rsidR="0032503E">
        <w:rPr>
          <w:rFonts w:ascii="Times New Roman" w:hAnsi="Times New Roman" w:cs="Times New Roman"/>
        </w:rPr>
        <w:t>]</w:t>
      </w:r>
      <w:r w:rsidR="0032503E" w:rsidRPr="009B5855">
        <w:rPr>
          <w:rFonts w:ascii="Times New Roman" w:hAnsi="Times New Roman" w:cs="Times New Roman"/>
        </w:rPr>
        <w:t xml:space="preserve"> may</w:t>
      </w:r>
      <w:r w:rsidRPr="009B5855">
        <w:rPr>
          <w:rFonts w:ascii="Times New Roman" w:hAnsi="Times New Roman" w:cs="Times New Roman"/>
        </w:rPr>
        <w:t xml:space="preserve"> be due to differences in environmental humidity, handling methods, and oil age before sampling. It has been documented that palm oil stored for extended periods or exposed to moisture supports the proliferation of spoilage fungi (</w:t>
      </w:r>
      <w:r w:rsidRPr="009B5855">
        <w:rPr>
          <w:rFonts w:ascii="Times New Roman" w:hAnsi="Times New Roman" w:cs="Times New Roman"/>
          <w:i/>
        </w:rPr>
        <w:t>Aspergillus</w:t>
      </w:r>
      <w:r w:rsidRPr="009B5855">
        <w:rPr>
          <w:rFonts w:ascii="Times New Roman" w:hAnsi="Times New Roman" w:cs="Times New Roman"/>
        </w:rPr>
        <w:t>,</w:t>
      </w:r>
      <w:r w:rsidRPr="009B5855">
        <w:rPr>
          <w:rFonts w:ascii="Times New Roman" w:hAnsi="Times New Roman" w:cs="Times New Roman"/>
          <w:i/>
        </w:rPr>
        <w:t xml:space="preserve"> Fusarium</w:t>
      </w:r>
      <w:r w:rsidRPr="009B5855">
        <w:rPr>
          <w:rFonts w:ascii="Times New Roman" w:hAnsi="Times New Roman" w:cs="Times New Roman"/>
        </w:rPr>
        <w:t xml:space="preserve">, </w:t>
      </w:r>
      <w:r w:rsidRPr="009B5855">
        <w:rPr>
          <w:rFonts w:ascii="Times New Roman" w:hAnsi="Times New Roman" w:cs="Times New Roman"/>
          <w:i/>
        </w:rPr>
        <w:t>Rhizopus</w:t>
      </w:r>
      <w:r w:rsidRPr="009B5855">
        <w:rPr>
          <w:rFonts w:ascii="Times New Roman" w:hAnsi="Times New Roman" w:cs="Times New Roman"/>
        </w:rPr>
        <w:t>,</w:t>
      </w:r>
      <w:r w:rsidRPr="009B5855">
        <w:rPr>
          <w:rFonts w:ascii="Times New Roman" w:hAnsi="Times New Roman" w:cs="Times New Roman"/>
          <w:i/>
        </w:rPr>
        <w:t xml:space="preserve"> Mucor</w:t>
      </w:r>
      <w:r w:rsidRPr="009B5855">
        <w:rPr>
          <w:rFonts w:ascii="Times New Roman" w:hAnsi="Times New Roman" w:cs="Times New Roman"/>
        </w:rPr>
        <w:t xml:space="preserve">), which can also produce </w:t>
      </w:r>
      <w:r w:rsidRPr="009B5855">
        <w:rPr>
          <w:rFonts w:ascii="Times New Roman" w:hAnsi="Times New Roman" w:cs="Times New Roman"/>
          <w:i/>
        </w:rPr>
        <w:t>mycotoxins</w:t>
      </w:r>
      <w:r w:rsidRPr="009B5855">
        <w:rPr>
          <w:rFonts w:ascii="Times New Roman" w:hAnsi="Times New Roman" w:cs="Times New Roman"/>
        </w:rPr>
        <w:t xml:space="preserve"> such as </w:t>
      </w:r>
      <w:r w:rsidRPr="009B5855">
        <w:rPr>
          <w:rFonts w:ascii="Times New Roman" w:hAnsi="Times New Roman" w:cs="Times New Roman"/>
          <w:i/>
        </w:rPr>
        <w:t>aflatoxins</w:t>
      </w:r>
      <w:r w:rsidRPr="009B5855">
        <w:rPr>
          <w:rFonts w:ascii="Times New Roman" w:hAnsi="Times New Roman" w:cs="Times New Roman"/>
        </w:rPr>
        <w:t xml:space="preserve"> </w:t>
      </w:r>
      <w:r w:rsidR="0032503E">
        <w:rPr>
          <w:rFonts w:ascii="Times New Roman" w:hAnsi="Times New Roman" w:cs="Times New Roman"/>
        </w:rPr>
        <w:t>[39]</w:t>
      </w:r>
      <w:r w:rsidRPr="009B5855">
        <w:rPr>
          <w:rFonts w:ascii="Times New Roman" w:hAnsi="Times New Roman" w:cs="Times New Roman"/>
        </w:rPr>
        <w:t xml:space="preserve">. The presence of high fungal load in all samples suggests that locally processed palm oil in these markets may not be microbiologically safe for long-term consumption without further refining or proper </w:t>
      </w:r>
      <w:r w:rsidRPr="009B5855">
        <w:rPr>
          <w:rFonts w:ascii="Times New Roman" w:hAnsi="Times New Roman" w:cs="Times New Roman"/>
        </w:rPr>
        <w:lastRenderedPageBreak/>
        <w:t>heating before use. Contamination can lead to quality deterioration (rancidity, off-flavor) and potential health risks if mycotoxin-producing fungi are present.</w:t>
      </w:r>
    </w:p>
    <w:p w:rsidR="0037570C" w:rsidRDefault="0037570C" w:rsidP="002F2181">
      <w:pPr>
        <w:tabs>
          <w:tab w:val="left" w:pos="2160"/>
        </w:tabs>
        <w:spacing w:after="0" w:line="240" w:lineRule="auto"/>
        <w:ind w:right="269"/>
        <w:jc w:val="both"/>
        <w:rPr>
          <w:rFonts w:ascii="Times New Roman" w:hAnsi="Times New Roman" w:cs="Times New Roman"/>
          <w:b/>
          <w:bCs/>
        </w:rPr>
      </w:pPr>
      <w:r w:rsidRPr="009B5855">
        <w:rPr>
          <w:rFonts w:ascii="Times New Roman" w:hAnsi="Times New Roman" w:cs="Times New Roman"/>
        </w:rPr>
        <w:t xml:space="preserve"> </w:t>
      </w:r>
      <w:r>
        <w:rPr>
          <w:rFonts w:ascii="Times New Roman" w:hAnsi="Times New Roman" w:cs="Times New Roman"/>
        </w:rPr>
        <w:t xml:space="preserve">In this study, </w:t>
      </w:r>
      <w:r w:rsidRPr="009B5855">
        <w:rPr>
          <w:rFonts w:ascii="Times New Roman" w:hAnsi="Times New Roman" w:cs="Times New Roman"/>
        </w:rPr>
        <w:t xml:space="preserve">Table </w:t>
      </w:r>
      <w:r w:rsidR="00894A0C">
        <w:rPr>
          <w:rFonts w:ascii="Times New Roman" w:hAnsi="Times New Roman" w:cs="Times New Roman"/>
        </w:rPr>
        <w:t>3</w:t>
      </w:r>
      <w:r w:rsidRPr="009B5855">
        <w:rPr>
          <w:rFonts w:ascii="Times New Roman" w:hAnsi="Times New Roman" w:cs="Times New Roman"/>
        </w:rPr>
        <w:t xml:space="preserve"> presents the physical properties of palm oil samples obtained from four selected markets Wunti, Muda Lawal, Central, and Yelwa in Bauchi metropolis. The parameters evaluated include density, viscosity, color (Lovibond units), tactile quality, and moisture content. These parameters are key indicators of the oil’s purity, freshness, and suitability for consumption.</w:t>
      </w:r>
      <w:r w:rsidRPr="009B5855">
        <w:rPr>
          <w:rFonts w:ascii="Times New Roman" w:hAnsi="Times New Roman" w:cs="Times New Roman"/>
        </w:rPr>
        <w:tab/>
      </w:r>
      <w:r w:rsidRPr="009B5855">
        <w:rPr>
          <w:rFonts w:ascii="Times New Roman" w:hAnsi="Times New Roman" w:cs="Times New Roman"/>
          <w:b/>
          <w:bCs/>
        </w:rPr>
        <w:t xml:space="preserve"> </w:t>
      </w:r>
    </w:p>
    <w:p w:rsidR="002F2181" w:rsidRPr="009B5855" w:rsidRDefault="002F2181" w:rsidP="002F2181">
      <w:pPr>
        <w:tabs>
          <w:tab w:val="left" w:pos="2160"/>
        </w:tabs>
        <w:spacing w:after="0" w:line="240" w:lineRule="auto"/>
        <w:ind w:right="269"/>
        <w:jc w:val="both"/>
        <w:rPr>
          <w:rFonts w:ascii="Times New Roman" w:hAnsi="Times New Roman" w:cs="Times New Roman"/>
          <w:b/>
          <w:bCs/>
        </w:rPr>
      </w:pPr>
    </w:p>
    <w:p w:rsidR="0037570C" w:rsidRPr="009B5855" w:rsidRDefault="0037570C" w:rsidP="002F2181">
      <w:pPr>
        <w:tabs>
          <w:tab w:val="left" w:pos="2160"/>
        </w:tabs>
        <w:spacing w:after="0" w:line="240" w:lineRule="auto"/>
        <w:rPr>
          <w:rFonts w:ascii="Times New Roman" w:hAnsi="Times New Roman" w:cs="Times New Roman"/>
          <w:b/>
          <w:bCs/>
        </w:rPr>
      </w:pPr>
      <w:r w:rsidRPr="009B5855">
        <w:rPr>
          <w:rFonts w:ascii="Times New Roman" w:hAnsi="Times New Roman" w:cs="Times New Roman"/>
          <w:b/>
        </w:rPr>
        <w:t xml:space="preserve">Table </w:t>
      </w:r>
      <w:r w:rsidR="00894A0C">
        <w:rPr>
          <w:rFonts w:ascii="Times New Roman" w:hAnsi="Times New Roman" w:cs="Times New Roman"/>
          <w:b/>
        </w:rPr>
        <w:t>3</w:t>
      </w:r>
      <w:r w:rsidRPr="009B5855">
        <w:rPr>
          <w:rFonts w:ascii="Times New Roman" w:hAnsi="Times New Roman" w:cs="Times New Roman"/>
          <w:b/>
        </w:rPr>
        <w:t>:</w:t>
      </w:r>
      <w:r w:rsidRPr="009B5855">
        <w:rPr>
          <w:rFonts w:ascii="Times New Roman" w:hAnsi="Times New Roman" w:cs="Times New Roman"/>
          <w:b/>
          <w:bCs/>
        </w:rPr>
        <w:t xml:space="preserve"> Physical Properties of Palm Oil Samples from Different Markets </w:t>
      </w:r>
      <w:r w:rsidRPr="009B5855">
        <w:rPr>
          <w:rFonts w:ascii="Times New Roman" w:hAnsi="Times New Roman" w:cs="Times New Roman"/>
        </w:rPr>
        <w:t xml:space="preserve"> </w:t>
      </w:r>
    </w:p>
    <w:tbl>
      <w:tblPr>
        <w:tblW w:w="5000" w:type="pct"/>
        <w:tblCellSpacing w:w="15" w:type="dxa"/>
        <w:tblBorders>
          <w:top w:val="single" w:sz="4" w:space="0" w:color="auto"/>
        </w:tblBorders>
        <w:tblCellMar>
          <w:top w:w="15" w:type="dxa"/>
          <w:left w:w="15" w:type="dxa"/>
          <w:bottom w:w="15" w:type="dxa"/>
          <w:right w:w="15" w:type="dxa"/>
        </w:tblCellMar>
        <w:tblLook w:val="04A0" w:firstRow="1" w:lastRow="0" w:firstColumn="1" w:lastColumn="0" w:noHBand="0" w:noVBand="1"/>
      </w:tblPr>
      <w:tblGrid>
        <w:gridCol w:w="1246"/>
        <w:gridCol w:w="1248"/>
        <w:gridCol w:w="1405"/>
        <w:gridCol w:w="2030"/>
        <w:gridCol w:w="1404"/>
        <w:gridCol w:w="2027"/>
      </w:tblGrid>
      <w:tr w:rsidR="0037570C" w:rsidRPr="009B5855" w:rsidTr="00E37D51">
        <w:trPr>
          <w:trHeight w:val="572"/>
          <w:tblHeader/>
          <w:tblCellSpacing w:w="15" w:type="dxa"/>
        </w:trPr>
        <w:tc>
          <w:tcPr>
            <w:tcW w:w="640" w:type="pct"/>
            <w:tcBorders>
              <w:top w:val="nil"/>
              <w:bottom w:val="single" w:sz="4" w:space="0" w:color="auto"/>
            </w:tcBorders>
            <w:vAlign w:val="center"/>
            <w:hideMark/>
          </w:tcPr>
          <w:p w:rsidR="0037570C" w:rsidRPr="009B5855" w:rsidRDefault="0037570C" w:rsidP="002F2181">
            <w:pPr>
              <w:spacing w:after="0" w:line="240" w:lineRule="auto"/>
              <w:rPr>
                <w:rFonts w:ascii="Times New Roman" w:hAnsi="Times New Roman" w:cs="Times New Roman"/>
                <w:b/>
                <w:bCs/>
              </w:rPr>
            </w:pPr>
            <w:r w:rsidRPr="009B5855">
              <w:rPr>
                <w:rFonts w:ascii="Times New Roman" w:hAnsi="Times New Roman" w:cs="Times New Roman"/>
                <w:b/>
                <w:bCs/>
              </w:rPr>
              <w:t>Market Sample</w:t>
            </w:r>
          </w:p>
        </w:tc>
        <w:tc>
          <w:tcPr>
            <w:tcW w:w="649" w:type="pct"/>
            <w:tcBorders>
              <w:top w:val="nil"/>
              <w:bottom w:val="single" w:sz="4" w:space="0" w:color="auto"/>
            </w:tcBorders>
            <w:vAlign w:val="center"/>
            <w:hideMark/>
          </w:tcPr>
          <w:p w:rsidR="0037570C" w:rsidRPr="009B5855" w:rsidRDefault="0037570C" w:rsidP="002F2181">
            <w:pPr>
              <w:spacing w:after="0" w:line="240" w:lineRule="auto"/>
              <w:rPr>
                <w:rFonts w:ascii="Times New Roman" w:hAnsi="Times New Roman" w:cs="Times New Roman"/>
                <w:b/>
                <w:bCs/>
              </w:rPr>
            </w:pPr>
            <w:r w:rsidRPr="009B5855">
              <w:rPr>
                <w:rFonts w:ascii="Times New Roman" w:hAnsi="Times New Roman" w:cs="Times New Roman"/>
                <w:b/>
                <w:bCs/>
              </w:rPr>
              <w:t>Density (g/cm³)</w:t>
            </w:r>
          </w:p>
        </w:tc>
        <w:tc>
          <w:tcPr>
            <w:tcW w:w="733" w:type="pct"/>
            <w:tcBorders>
              <w:top w:val="nil"/>
              <w:bottom w:val="single" w:sz="4" w:space="0" w:color="auto"/>
            </w:tcBorders>
            <w:vAlign w:val="center"/>
            <w:hideMark/>
          </w:tcPr>
          <w:p w:rsidR="0037570C" w:rsidRPr="009B5855" w:rsidRDefault="0037570C" w:rsidP="002F2181">
            <w:pPr>
              <w:spacing w:after="0" w:line="240" w:lineRule="auto"/>
              <w:rPr>
                <w:rFonts w:ascii="Times New Roman" w:hAnsi="Times New Roman" w:cs="Times New Roman"/>
                <w:b/>
                <w:bCs/>
              </w:rPr>
            </w:pPr>
            <w:r w:rsidRPr="009B5855">
              <w:rPr>
                <w:rFonts w:ascii="Times New Roman" w:hAnsi="Times New Roman" w:cs="Times New Roman"/>
                <w:b/>
                <w:bCs/>
              </w:rPr>
              <w:t>Viscosity (mPa·s)</w:t>
            </w:r>
          </w:p>
        </w:tc>
        <w:tc>
          <w:tcPr>
            <w:tcW w:w="1066" w:type="pct"/>
            <w:tcBorders>
              <w:top w:val="nil"/>
              <w:bottom w:val="single" w:sz="4" w:space="0" w:color="auto"/>
            </w:tcBorders>
            <w:vAlign w:val="center"/>
            <w:hideMark/>
          </w:tcPr>
          <w:p w:rsidR="0037570C" w:rsidRPr="009B5855" w:rsidRDefault="0037570C" w:rsidP="002F2181">
            <w:pPr>
              <w:spacing w:after="0" w:line="240" w:lineRule="auto"/>
              <w:rPr>
                <w:rFonts w:ascii="Times New Roman" w:hAnsi="Times New Roman" w:cs="Times New Roman"/>
                <w:b/>
                <w:bCs/>
              </w:rPr>
            </w:pPr>
            <w:r w:rsidRPr="009B5855">
              <w:rPr>
                <w:rFonts w:ascii="Times New Roman" w:hAnsi="Times New Roman" w:cs="Times New Roman"/>
                <w:b/>
                <w:bCs/>
              </w:rPr>
              <w:t xml:space="preserve">Color </w:t>
            </w:r>
          </w:p>
          <w:p w:rsidR="0037570C" w:rsidRPr="009B5855" w:rsidRDefault="0037570C" w:rsidP="002F2181">
            <w:pPr>
              <w:spacing w:after="0" w:line="240" w:lineRule="auto"/>
              <w:rPr>
                <w:rFonts w:ascii="Times New Roman" w:hAnsi="Times New Roman" w:cs="Times New Roman"/>
                <w:b/>
                <w:bCs/>
              </w:rPr>
            </w:pPr>
            <w:r w:rsidRPr="009B5855">
              <w:rPr>
                <w:rFonts w:ascii="Times New Roman" w:hAnsi="Times New Roman" w:cs="Times New Roman"/>
                <w:b/>
                <w:bCs/>
              </w:rPr>
              <w:t xml:space="preserve">(Lovibond units)  </w:t>
            </w:r>
          </w:p>
        </w:tc>
        <w:tc>
          <w:tcPr>
            <w:tcW w:w="733" w:type="pct"/>
            <w:tcBorders>
              <w:top w:val="nil"/>
              <w:bottom w:val="single" w:sz="4" w:space="0" w:color="auto"/>
            </w:tcBorders>
            <w:vAlign w:val="center"/>
            <w:hideMark/>
          </w:tcPr>
          <w:p w:rsidR="0037570C" w:rsidRPr="009B5855" w:rsidRDefault="0037570C" w:rsidP="002F2181">
            <w:pPr>
              <w:spacing w:after="0" w:line="240" w:lineRule="auto"/>
              <w:rPr>
                <w:rFonts w:ascii="Times New Roman" w:hAnsi="Times New Roman" w:cs="Times New Roman"/>
                <w:b/>
                <w:bCs/>
              </w:rPr>
            </w:pPr>
            <w:r w:rsidRPr="009B5855">
              <w:rPr>
                <w:rFonts w:ascii="Times New Roman" w:hAnsi="Times New Roman" w:cs="Times New Roman"/>
                <w:b/>
                <w:bCs/>
              </w:rPr>
              <w:t>Tactile Quality</w:t>
            </w:r>
          </w:p>
        </w:tc>
        <w:tc>
          <w:tcPr>
            <w:tcW w:w="1056" w:type="pct"/>
            <w:tcBorders>
              <w:top w:val="nil"/>
              <w:bottom w:val="single" w:sz="4" w:space="0" w:color="auto"/>
            </w:tcBorders>
            <w:vAlign w:val="center"/>
            <w:hideMark/>
          </w:tcPr>
          <w:p w:rsidR="0037570C" w:rsidRPr="009B5855" w:rsidRDefault="0037570C" w:rsidP="002F2181">
            <w:pPr>
              <w:spacing w:after="0" w:line="240" w:lineRule="auto"/>
              <w:rPr>
                <w:rFonts w:ascii="Times New Roman" w:hAnsi="Times New Roman" w:cs="Times New Roman"/>
                <w:b/>
                <w:bCs/>
              </w:rPr>
            </w:pPr>
            <w:r w:rsidRPr="009B5855">
              <w:rPr>
                <w:rFonts w:ascii="Times New Roman" w:hAnsi="Times New Roman" w:cs="Times New Roman"/>
                <w:b/>
                <w:bCs/>
              </w:rPr>
              <w:t>Moisture Content (%)</w:t>
            </w:r>
          </w:p>
        </w:tc>
      </w:tr>
      <w:tr w:rsidR="0037570C" w:rsidRPr="009B5855" w:rsidTr="00E37D51">
        <w:trPr>
          <w:tblCellSpacing w:w="15" w:type="dxa"/>
        </w:trPr>
        <w:tc>
          <w:tcPr>
            <w:tcW w:w="640" w:type="pct"/>
            <w:vAlign w:val="center"/>
            <w:hideMark/>
          </w:tcPr>
          <w:p w:rsidR="0037570C" w:rsidRPr="009B5855" w:rsidRDefault="0037570C" w:rsidP="002F2181">
            <w:pPr>
              <w:spacing w:line="240" w:lineRule="auto"/>
              <w:jc w:val="both"/>
              <w:rPr>
                <w:rFonts w:ascii="Times New Roman" w:hAnsi="Times New Roman" w:cs="Times New Roman"/>
                <w:bCs/>
              </w:rPr>
            </w:pPr>
            <w:r w:rsidRPr="009B5855">
              <w:rPr>
                <w:rFonts w:ascii="Times New Roman" w:hAnsi="Times New Roman" w:cs="Times New Roman"/>
                <w:bCs/>
              </w:rPr>
              <w:t>Wunti</w:t>
            </w:r>
          </w:p>
        </w:tc>
        <w:tc>
          <w:tcPr>
            <w:tcW w:w="649" w:type="pct"/>
            <w:vAlign w:val="center"/>
            <w:hideMark/>
          </w:tcPr>
          <w:p w:rsidR="0037570C" w:rsidRPr="009B5855" w:rsidRDefault="0037570C" w:rsidP="002F2181">
            <w:pPr>
              <w:spacing w:line="240" w:lineRule="auto"/>
              <w:jc w:val="both"/>
              <w:rPr>
                <w:rFonts w:ascii="Times New Roman" w:hAnsi="Times New Roman" w:cs="Times New Roman"/>
                <w:bCs/>
              </w:rPr>
            </w:pPr>
            <w:r w:rsidRPr="009B5855">
              <w:rPr>
                <w:rFonts w:ascii="Times New Roman" w:hAnsi="Times New Roman" w:cs="Times New Roman"/>
                <w:bCs/>
              </w:rPr>
              <w:t>0.91</w:t>
            </w:r>
          </w:p>
        </w:tc>
        <w:tc>
          <w:tcPr>
            <w:tcW w:w="733" w:type="pct"/>
            <w:vAlign w:val="center"/>
            <w:hideMark/>
          </w:tcPr>
          <w:p w:rsidR="0037570C" w:rsidRPr="009B5855" w:rsidRDefault="0037570C" w:rsidP="002F2181">
            <w:pPr>
              <w:spacing w:line="240" w:lineRule="auto"/>
              <w:jc w:val="both"/>
              <w:rPr>
                <w:rFonts w:ascii="Times New Roman" w:hAnsi="Times New Roman" w:cs="Times New Roman"/>
                <w:bCs/>
              </w:rPr>
            </w:pPr>
            <w:r w:rsidRPr="009B5855">
              <w:rPr>
                <w:rFonts w:ascii="Times New Roman" w:hAnsi="Times New Roman" w:cs="Times New Roman"/>
                <w:bCs/>
              </w:rPr>
              <w:t>52.3</w:t>
            </w:r>
          </w:p>
        </w:tc>
        <w:tc>
          <w:tcPr>
            <w:tcW w:w="1066" w:type="pct"/>
            <w:vAlign w:val="center"/>
            <w:hideMark/>
          </w:tcPr>
          <w:p w:rsidR="0037570C" w:rsidRPr="009B5855" w:rsidRDefault="0037570C" w:rsidP="002F2181">
            <w:pPr>
              <w:spacing w:line="240" w:lineRule="auto"/>
              <w:rPr>
                <w:rFonts w:ascii="Times New Roman" w:hAnsi="Times New Roman" w:cs="Times New Roman"/>
                <w:bCs/>
              </w:rPr>
            </w:pPr>
            <w:r w:rsidRPr="009B5855">
              <w:rPr>
                <w:rFonts w:ascii="Times New Roman" w:hAnsi="Times New Roman" w:cs="Times New Roman"/>
                <w:bCs/>
              </w:rPr>
              <w:t>28.4</w:t>
            </w:r>
          </w:p>
        </w:tc>
        <w:tc>
          <w:tcPr>
            <w:tcW w:w="733" w:type="pct"/>
            <w:vAlign w:val="center"/>
            <w:hideMark/>
          </w:tcPr>
          <w:p w:rsidR="0037570C" w:rsidRPr="009B5855" w:rsidRDefault="0037570C" w:rsidP="002F2181">
            <w:pPr>
              <w:spacing w:line="240" w:lineRule="auto"/>
              <w:jc w:val="both"/>
              <w:rPr>
                <w:rFonts w:ascii="Times New Roman" w:hAnsi="Times New Roman" w:cs="Times New Roman"/>
                <w:bCs/>
              </w:rPr>
            </w:pPr>
            <w:r w:rsidRPr="009B5855">
              <w:rPr>
                <w:rFonts w:ascii="Times New Roman" w:hAnsi="Times New Roman" w:cs="Times New Roman"/>
                <w:bCs/>
              </w:rPr>
              <w:t>Smooth, greasy</w:t>
            </w:r>
          </w:p>
        </w:tc>
        <w:tc>
          <w:tcPr>
            <w:tcW w:w="1056" w:type="pct"/>
            <w:vAlign w:val="center"/>
            <w:hideMark/>
          </w:tcPr>
          <w:p w:rsidR="0037570C" w:rsidRPr="009B5855" w:rsidRDefault="0037570C" w:rsidP="002F2181">
            <w:pPr>
              <w:spacing w:line="240" w:lineRule="auto"/>
              <w:jc w:val="both"/>
              <w:rPr>
                <w:rFonts w:ascii="Times New Roman" w:hAnsi="Times New Roman" w:cs="Times New Roman"/>
                <w:bCs/>
              </w:rPr>
            </w:pPr>
            <w:r w:rsidRPr="009B5855">
              <w:rPr>
                <w:rFonts w:ascii="Times New Roman" w:hAnsi="Times New Roman" w:cs="Times New Roman"/>
                <w:bCs/>
              </w:rPr>
              <w:t>0.24</w:t>
            </w:r>
          </w:p>
        </w:tc>
      </w:tr>
      <w:tr w:rsidR="0037570C" w:rsidRPr="009B5855" w:rsidTr="00E37D51">
        <w:trPr>
          <w:tblCellSpacing w:w="15" w:type="dxa"/>
        </w:trPr>
        <w:tc>
          <w:tcPr>
            <w:tcW w:w="640" w:type="pct"/>
            <w:vAlign w:val="center"/>
            <w:hideMark/>
          </w:tcPr>
          <w:p w:rsidR="0037570C" w:rsidRPr="009B5855" w:rsidRDefault="0037570C" w:rsidP="002F2181">
            <w:pPr>
              <w:spacing w:line="240" w:lineRule="auto"/>
              <w:jc w:val="both"/>
              <w:rPr>
                <w:rFonts w:ascii="Times New Roman" w:hAnsi="Times New Roman" w:cs="Times New Roman"/>
                <w:bCs/>
              </w:rPr>
            </w:pPr>
            <w:r w:rsidRPr="009B5855">
              <w:rPr>
                <w:rFonts w:ascii="Times New Roman" w:hAnsi="Times New Roman" w:cs="Times New Roman"/>
                <w:bCs/>
              </w:rPr>
              <w:t>Muda Lawal</w:t>
            </w:r>
          </w:p>
        </w:tc>
        <w:tc>
          <w:tcPr>
            <w:tcW w:w="649" w:type="pct"/>
            <w:vAlign w:val="center"/>
            <w:hideMark/>
          </w:tcPr>
          <w:p w:rsidR="0037570C" w:rsidRPr="009B5855" w:rsidRDefault="0037570C" w:rsidP="002F2181">
            <w:pPr>
              <w:spacing w:line="240" w:lineRule="auto"/>
              <w:jc w:val="both"/>
              <w:rPr>
                <w:rFonts w:ascii="Times New Roman" w:hAnsi="Times New Roman" w:cs="Times New Roman"/>
                <w:bCs/>
              </w:rPr>
            </w:pPr>
            <w:r w:rsidRPr="009B5855">
              <w:rPr>
                <w:rFonts w:ascii="Times New Roman" w:hAnsi="Times New Roman" w:cs="Times New Roman"/>
                <w:bCs/>
              </w:rPr>
              <w:t>0.92</w:t>
            </w:r>
          </w:p>
        </w:tc>
        <w:tc>
          <w:tcPr>
            <w:tcW w:w="733" w:type="pct"/>
            <w:vAlign w:val="center"/>
            <w:hideMark/>
          </w:tcPr>
          <w:p w:rsidR="0037570C" w:rsidRPr="009B5855" w:rsidRDefault="0037570C" w:rsidP="002F2181">
            <w:pPr>
              <w:spacing w:line="240" w:lineRule="auto"/>
              <w:jc w:val="both"/>
              <w:rPr>
                <w:rFonts w:ascii="Times New Roman" w:hAnsi="Times New Roman" w:cs="Times New Roman"/>
                <w:bCs/>
              </w:rPr>
            </w:pPr>
            <w:r w:rsidRPr="009B5855">
              <w:rPr>
                <w:rFonts w:ascii="Times New Roman" w:hAnsi="Times New Roman" w:cs="Times New Roman"/>
                <w:bCs/>
              </w:rPr>
              <w:t>55.1</w:t>
            </w:r>
          </w:p>
        </w:tc>
        <w:tc>
          <w:tcPr>
            <w:tcW w:w="1066" w:type="pct"/>
            <w:vAlign w:val="center"/>
            <w:hideMark/>
          </w:tcPr>
          <w:p w:rsidR="0037570C" w:rsidRPr="009B5855" w:rsidRDefault="0037570C" w:rsidP="002F2181">
            <w:pPr>
              <w:spacing w:line="240" w:lineRule="auto"/>
              <w:rPr>
                <w:rFonts w:ascii="Times New Roman" w:hAnsi="Times New Roman" w:cs="Times New Roman"/>
                <w:bCs/>
              </w:rPr>
            </w:pPr>
            <w:r w:rsidRPr="009B5855">
              <w:rPr>
                <w:rFonts w:ascii="Times New Roman" w:hAnsi="Times New Roman" w:cs="Times New Roman"/>
                <w:bCs/>
              </w:rPr>
              <w:t>29.7</w:t>
            </w:r>
          </w:p>
        </w:tc>
        <w:tc>
          <w:tcPr>
            <w:tcW w:w="733" w:type="pct"/>
            <w:vAlign w:val="center"/>
            <w:hideMark/>
          </w:tcPr>
          <w:p w:rsidR="0037570C" w:rsidRPr="009B5855" w:rsidRDefault="0037570C" w:rsidP="002F2181">
            <w:pPr>
              <w:spacing w:line="240" w:lineRule="auto"/>
              <w:jc w:val="both"/>
              <w:rPr>
                <w:rFonts w:ascii="Times New Roman" w:hAnsi="Times New Roman" w:cs="Times New Roman"/>
                <w:bCs/>
              </w:rPr>
            </w:pPr>
            <w:r w:rsidRPr="009B5855">
              <w:rPr>
                <w:rFonts w:ascii="Times New Roman" w:hAnsi="Times New Roman" w:cs="Times New Roman"/>
                <w:bCs/>
              </w:rPr>
              <w:t>Smooth, greasy</w:t>
            </w:r>
          </w:p>
        </w:tc>
        <w:tc>
          <w:tcPr>
            <w:tcW w:w="1056" w:type="pct"/>
            <w:vAlign w:val="center"/>
            <w:hideMark/>
          </w:tcPr>
          <w:p w:rsidR="0037570C" w:rsidRPr="009B5855" w:rsidRDefault="0037570C" w:rsidP="002F2181">
            <w:pPr>
              <w:spacing w:line="240" w:lineRule="auto"/>
              <w:jc w:val="both"/>
              <w:rPr>
                <w:rFonts w:ascii="Times New Roman" w:hAnsi="Times New Roman" w:cs="Times New Roman"/>
                <w:bCs/>
              </w:rPr>
            </w:pPr>
            <w:r w:rsidRPr="009B5855">
              <w:rPr>
                <w:rFonts w:ascii="Times New Roman" w:hAnsi="Times New Roman" w:cs="Times New Roman"/>
                <w:bCs/>
              </w:rPr>
              <w:t>0.21</w:t>
            </w:r>
          </w:p>
        </w:tc>
      </w:tr>
      <w:tr w:rsidR="0037570C" w:rsidRPr="009B5855" w:rsidTr="00E37D51">
        <w:trPr>
          <w:tblCellSpacing w:w="15" w:type="dxa"/>
        </w:trPr>
        <w:tc>
          <w:tcPr>
            <w:tcW w:w="640" w:type="pct"/>
            <w:vAlign w:val="center"/>
            <w:hideMark/>
          </w:tcPr>
          <w:p w:rsidR="0037570C" w:rsidRPr="009B5855" w:rsidRDefault="0037570C" w:rsidP="002F2181">
            <w:pPr>
              <w:spacing w:line="240" w:lineRule="auto"/>
              <w:jc w:val="both"/>
              <w:rPr>
                <w:rFonts w:ascii="Times New Roman" w:hAnsi="Times New Roman" w:cs="Times New Roman"/>
                <w:bCs/>
              </w:rPr>
            </w:pPr>
            <w:r w:rsidRPr="009B5855">
              <w:rPr>
                <w:rFonts w:ascii="Times New Roman" w:hAnsi="Times New Roman" w:cs="Times New Roman"/>
                <w:bCs/>
              </w:rPr>
              <w:t>Central</w:t>
            </w:r>
          </w:p>
        </w:tc>
        <w:tc>
          <w:tcPr>
            <w:tcW w:w="649" w:type="pct"/>
            <w:vAlign w:val="center"/>
            <w:hideMark/>
          </w:tcPr>
          <w:p w:rsidR="0037570C" w:rsidRPr="009B5855" w:rsidRDefault="0037570C" w:rsidP="002F2181">
            <w:pPr>
              <w:spacing w:line="240" w:lineRule="auto"/>
              <w:jc w:val="both"/>
              <w:rPr>
                <w:rFonts w:ascii="Times New Roman" w:hAnsi="Times New Roman" w:cs="Times New Roman"/>
                <w:bCs/>
              </w:rPr>
            </w:pPr>
            <w:r w:rsidRPr="009B5855">
              <w:rPr>
                <w:rFonts w:ascii="Times New Roman" w:hAnsi="Times New Roman" w:cs="Times New Roman"/>
                <w:bCs/>
              </w:rPr>
              <w:t>0.90</w:t>
            </w:r>
          </w:p>
        </w:tc>
        <w:tc>
          <w:tcPr>
            <w:tcW w:w="733" w:type="pct"/>
            <w:vAlign w:val="center"/>
            <w:hideMark/>
          </w:tcPr>
          <w:p w:rsidR="0037570C" w:rsidRPr="009B5855" w:rsidRDefault="0037570C" w:rsidP="002F2181">
            <w:pPr>
              <w:spacing w:line="240" w:lineRule="auto"/>
              <w:jc w:val="both"/>
              <w:rPr>
                <w:rFonts w:ascii="Times New Roman" w:hAnsi="Times New Roman" w:cs="Times New Roman"/>
                <w:bCs/>
              </w:rPr>
            </w:pPr>
            <w:r w:rsidRPr="009B5855">
              <w:rPr>
                <w:rFonts w:ascii="Times New Roman" w:hAnsi="Times New Roman" w:cs="Times New Roman"/>
                <w:bCs/>
              </w:rPr>
              <w:t>50.6</w:t>
            </w:r>
          </w:p>
        </w:tc>
        <w:tc>
          <w:tcPr>
            <w:tcW w:w="1066" w:type="pct"/>
            <w:vAlign w:val="center"/>
            <w:hideMark/>
          </w:tcPr>
          <w:p w:rsidR="0037570C" w:rsidRPr="009B5855" w:rsidRDefault="0037570C" w:rsidP="002F2181">
            <w:pPr>
              <w:spacing w:line="240" w:lineRule="auto"/>
              <w:rPr>
                <w:rFonts w:ascii="Times New Roman" w:hAnsi="Times New Roman" w:cs="Times New Roman"/>
                <w:bCs/>
              </w:rPr>
            </w:pPr>
            <w:r w:rsidRPr="009B5855">
              <w:rPr>
                <w:rFonts w:ascii="Times New Roman" w:hAnsi="Times New Roman" w:cs="Times New Roman"/>
                <w:bCs/>
              </w:rPr>
              <w:t>26.9</w:t>
            </w:r>
          </w:p>
        </w:tc>
        <w:tc>
          <w:tcPr>
            <w:tcW w:w="733" w:type="pct"/>
            <w:vAlign w:val="center"/>
            <w:hideMark/>
          </w:tcPr>
          <w:p w:rsidR="0037570C" w:rsidRPr="009B5855" w:rsidRDefault="0037570C" w:rsidP="002F2181">
            <w:pPr>
              <w:spacing w:line="240" w:lineRule="auto"/>
              <w:jc w:val="both"/>
              <w:rPr>
                <w:rFonts w:ascii="Times New Roman" w:hAnsi="Times New Roman" w:cs="Times New Roman"/>
                <w:bCs/>
              </w:rPr>
            </w:pPr>
            <w:r w:rsidRPr="009B5855">
              <w:rPr>
                <w:rFonts w:ascii="Times New Roman" w:hAnsi="Times New Roman" w:cs="Times New Roman"/>
                <w:bCs/>
              </w:rPr>
              <w:t>Slightly sticky</w:t>
            </w:r>
          </w:p>
        </w:tc>
        <w:tc>
          <w:tcPr>
            <w:tcW w:w="1056" w:type="pct"/>
            <w:vAlign w:val="center"/>
            <w:hideMark/>
          </w:tcPr>
          <w:p w:rsidR="0037570C" w:rsidRPr="009B5855" w:rsidRDefault="0037570C" w:rsidP="002F2181">
            <w:pPr>
              <w:spacing w:line="240" w:lineRule="auto"/>
              <w:jc w:val="both"/>
              <w:rPr>
                <w:rFonts w:ascii="Times New Roman" w:hAnsi="Times New Roman" w:cs="Times New Roman"/>
                <w:bCs/>
              </w:rPr>
            </w:pPr>
            <w:r w:rsidRPr="009B5855">
              <w:rPr>
                <w:rFonts w:ascii="Times New Roman" w:hAnsi="Times New Roman" w:cs="Times New Roman"/>
                <w:bCs/>
              </w:rPr>
              <w:t>0.30</w:t>
            </w:r>
          </w:p>
        </w:tc>
      </w:tr>
      <w:tr w:rsidR="0037570C" w:rsidRPr="009B5855" w:rsidTr="00E37D51">
        <w:trPr>
          <w:trHeight w:val="564"/>
          <w:tblCellSpacing w:w="15" w:type="dxa"/>
        </w:trPr>
        <w:tc>
          <w:tcPr>
            <w:tcW w:w="640" w:type="pct"/>
            <w:tcBorders>
              <w:top w:val="nil"/>
              <w:bottom w:val="single" w:sz="4" w:space="0" w:color="auto"/>
            </w:tcBorders>
            <w:vAlign w:val="center"/>
            <w:hideMark/>
          </w:tcPr>
          <w:p w:rsidR="0037570C" w:rsidRPr="009B5855" w:rsidRDefault="0037570C" w:rsidP="002F2181">
            <w:pPr>
              <w:spacing w:line="240" w:lineRule="auto"/>
              <w:jc w:val="both"/>
              <w:rPr>
                <w:rFonts w:ascii="Times New Roman" w:hAnsi="Times New Roman" w:cs="Times New Roman"/>
                <w:bCs/>
              </w:rPr>
            </w:pPr>
            <w:r w:rsidRPr="009B5855">
              <w:rPr>
                <w:rFonts w:ascii="Times New Roman" w:hAnsi="Times New Roman" w:cs="Times New Roman"/>
                <w:bCs/>
              </w:rPr>
              <w:t>Yelwa</w:t>
            </w:r>
          </w:p>
        </w:tc>
        <w:tc>
          <w:tcPr>
            <w:tcW w:w="649" w:type="pct"/>
            <w:tcBorders>
              <w:top w:val="nil"/>
              <w:bottom w:val="single" w:sz="4" w:space="0" w:color="auto"/>
            </w:tcBorders>
            <w:vAlign w:val="center"/>
            <w:hideMark/>
          </w:tcPr>
          <w:p w:rsidR="0037570C" w:rsidRPr="009B5855" w:rsidRDefault="0037570C" w:rsidP="002F2181">
            <w:pPr>
              <w:spacing w:line="240" w:lineRule="auto"/>
              <w:jc w:val="both"/>
              <w:rPr>
                <w:rFonts w:ascii="Times New Roman" w:hAnsi="Times New Roman" w:cs="Times New Roman"/>
                <w:bCs/>
              </w:rPr>
            </w:pPr>
            <w:r w:rsidRPr="009B5855">
              <w:rPr>
                <w:rFonts w:ascii="Times New Roman" w:hAnsi="Times New Roman" w:cs="Times New Roman"/>
                <w:bCs/>
              </w:rPr>
              <w:t>0.93</w:t>
            </w:r>
          </w:p>
        </w:tc>
        <w:tc>
          <w:tcPr>
            <w:tcW w:w="733" w:type="pct"/>
            <w:tcBorders>
              <w:top w:val="nil"/>
              <w:bottom w:val="single" w:sz="4" w:space="0" w:color="auto"/>
            </w:tcBorders>
            <w:vAlign w:val="center"/>
            <w:hideMark/>
          </w:tcPr>
          <w:p w:rsidR="0037570C" w:rsidRPr="009B5855" w:rsidRDefault="0037570C" w:rsidP="002F2181">
            <w:pPr>
              <w:spacing w:line="240" w:lineRule="auto"/>
              <w:jc w:val="both"/>
              <w:rPr>
                <w:rFonts w:ascii="Times New Roman" w:hAnsi="Times New Roman" w:cs="Times New Roman"/>
                <w:bCs/>
              </w:rPr>
            </w:pPr>
            <w:r w:rsidRPr="009B5855">
              <w:rPr>
                <w:rFonts w:ascii="Times New Roman" w:hAnsi="Times New Roman" w:cs="Times New Roman"/>
                <w:bCs/>
              </w:rPr>
              <w:t>56.4</w:t>
            </w:r>
          </w:p>
        </w:tc>
        <w:tc>
          <w:tcPr>
            <w:tcW w:w="1066" w:type="pct"/>
            <w:tcBorders>
              <w:top w:val="nil"/>
              <w:bottom w:val="single" w:sz="4" w:space="0" w:color="auto"/>
            </w:tcBorders>
            <w:vAlign w:val="center"/>
            <w:hideMark/>
          </w:tcPr>
          <w:p w:rsidR="0037570C" w:rsidRPr="009B5855" w:rsidRDefault="0037570C" w:rsidP="002F2181">
            <w:pPr>
              <w:spacing w:line="240" w:lineRule="auto"/>
              <w:rPr>
                <w:rFonts w:ascii="Times New Roman" w:hAnsi="Times New Roman" w:cs="Times New Roman"/>
                <w:bCs/>
              </w:rPr>
            </w:pPr>
            <w:r w:rsidRPr="009B5855">
              <w:rPr>
                <w:rFonts w:ascii="Times New Roman" w:hAnsi="Times New Roman" w:cs="Times New Roman"/>
                <w:bCs/>
              </w:rPr>
              <w:t>30.2</w:t>
            </w:r>
          </w:p>
        </w:tc>
        <w:tc>
          <w:tcPr>
            <w:tcW w:w="733" w:type="pct"/>
            <w:tcBorders>
              <w:top w:val="nil"/>
              <w:bottom w:val="single" w:sz="4" w:space="0" w:color="auto"/>
            </w:tcBorders>
            <w:vAlign w:val="center"/>
            <w:hideMark/>
          </w:tcPr>
          <w:p w:rsidR="0037570C" w:rsidRPr="009B5855" w:rsidRDefault="0037570C" w:rsidP="002F2181">
            <w:pPr>
              <w:spacing w:line="240" w:lineRule="auto"/>
              <w:jc w:val="both"/>
              <w:rPr>
                <w:rFonts w:ascii="Times New Roman" w:hAnsi="Times New Roman" w:cs="Times New Roman"/>
                <w:bCs/>
              </w:rPr>
            </w:pPr>
            <w:r w:rsidRPr="009B5855">
              <w:rPr>
                <w:rFonts w:ascii="Times New Roman" w:hAnsi="Times New Roman" w:cs="Times New Roman"/>
                <w:bCs/>
              </w:rPr>
              <w:t>Smooth, greasy</w:t>
            </w:r>
          </w:p>
        </w:tc>
        <w:tc>
          <w:tcPr>
            <w:tcW w:w="1056" w:type="pct"/>
            <w:tcBorders>
              <w:top w:val="nil"/>
              <w:bottom w:val="single" w:sz="4" w:space="0" w:color="auto"/>
            </w:tcBorders>
            <w:vAlign w:val="center"/>
            <w:hideMark/>
          </w:tcPr>
          <w:p w:rsidR="0037570C" w:rsidRPr="009B5855" w:rsidRDefault="0037570C" w:rsidP="002F2181">
            <w:pPr>
              <w:spacing w:line="240" w:lineRule="auto"/>
              <w:jc w:val="both"/>
              <w:rPr>
                <w:rFonts w:ascii="Times New Roman" w:hAnsi="Times New Roman" w:cs="Times New Roman"/>
                <w:bCs/>
              </w:rPr>
            </w:pPr>
            <w:r w:rsidRPr="009B5855">
              <w:rPr>
                <w:rFonts w:ascii="Times New Roman" w:hAnsi="Times New Roman" w:cs="Times New Roman"/>
                <w:bCs/>
              </w:rPr>
              <w:t>0.22</w:t>
            </w:r>
          </w:p>
        </w:tc>
      </w:tr>
    </w:tbl>
    <w:p w:rsidR="0037570C" w:rsidRPr="009B5855" w:rsidRDefault="0037570C" w:rsidP="002F2181">
      <w:pPr>
        <w:spacing w:before="240" w:after="0" w:line="240" w:lineRule="auto"/>
        <w:ind w:right="269"/>
        <w:jc w:val="both"/>
        <w:rPr>
          <w:rFonts w:ascii="Times New Roman" w:hAnsi="Times New Roman" w:cs="Times New Roman"/>
        </w:rPr>
      </w:pPr>
      <w:r w:rsidRPr="009B5855">
        <w:rPr>
          <w:rFonts w:ascii="Times New Roman" w:hAnsi="Times New Roman" w:cs="Times New Roman"/>
        </w:rPr>
        <w:t>The densities of the palm oil samples ranged from (0.90 g/cm³) to (0.93 g/cm³). The highest density (0.93 g/cm³) was recorded for samples from Yelwa Market, while the lowest (0.90 g/cm³) was observed in samples from Central Market. These values fall within the acceptable range for crude palm oil (0.89–0.93 g/cm³) as reported by Ekwenye</w:t>
      </w:r>
      <w:r w:rsidR="00FF1E51">
        <w:rPr>
          <w:rFonts w:ascii="Times New Roman" w:hAnsi="Times New Roman" w:cs="Times New Roman"/>
        </w:rPr>
        <w:t xml:space="preserve"> [40,41]</w:t>
      </w:r>
      <w:r w:rsidRPr="009B5855">
        <w:rPr>
          <w:rFonts w:ascii="Times New Roman" w:hAnsi="Times New Roman" w:cs="Times New Roman"/>
        </w:rPr>
        <w:t>. Variation in density may be attributed to differences in free atty acid content, impurity level, and degree of oxidation. A higher density value may indicate greater impurity load or partial oxidation due to poor storage, while lower density could result from the presence of lighter fractions of oil. Viscosity values ranged between (50.6 -56.4 mPa.s), with Yelwa Market samples recording the highest value (56.4 mPa.s) and Central Market the lowest (50.6 mPa.s). These results are consistent with previous findings by Akinola</w:t>
      </w:r>
      <w:r w:rsidRPr="009B5855">
        <w:rPr>
          <w:rFonts w:ascii="Times New Roman" w:hAnsi="Times New Roman" w:cs="Times New Roman"/>
          <w:i/>
        </w:rPr>
        <w:t xml:space="preserve"> </w:t>
      </w:r>
      <w:r w:rsidR="00FF1E51">
        <w:rPr>
          <w:rFonts w:ascii="Times New Roman" w:hAnsi="Times New Roman" w:cs="Times New Roman"/>
        </w:rPr>
        <w:t xml:space="preserve">[42] </w:t>
      </w:r>
      <w:r w:rsidRPr="009B5855">
        <w:rPr>
          <w:rFonts w:ascii="Times New Roman" w:hAnsi="Times New Roman" w:cs="Times New Roman"/>
        </w:rPr>
        <w:t>who observed that the viscosity of palm oil depends on its free fatty acid content and temperature.</w:t>
      </w:r>
    </w:p>
    <w:p w:rsidR="0037570C" w:rsidRPr="009B5855" w:rsidRDefault="0037570C" w:rsidP="002F2181">
      <w:pPr>
        <w:spacing w:after="0" w:line="240" w:lineRule="auto"/>
        <w:ind w:right="269"/>
        <w:jc w:val="both"/>
        <w:rPr>
          <w:rFonts w:ascii="Times New Roman" w:hAnsi="Times New Roman" w:cs="Times New Roman"/>
        </w:rPr>
      </w:pPr>
      <w:r w:rsidRPr="009B5855">
        <w:rPr>
          <w:rFonts w:ascii="Times New Roman" w:hAnsi="Times New Roman" w:cs="Times New Roman"/>
        </w:rPr>
        <w:t xml:space="preserve">Higher viscosity indicates thicker oil, which could result from polymerization or degradation of unsaturated fatty acids during heating and storage. Oils with lower viscosity, such as those from Central Market, are likely fresher or less degraded. The color of the palm oil samples ranged from (26.9 to 30.2) </w:t>
      </w:r>
      <w:r w:rsidRPr="009B5855">
        <w:rPr>
          <w:rFonts w:ascii="Times New Roman" w:hAnsi="Times New Roman" w:cs="Times New Roman"/>
          <w:i/>
        </w:rPr>
        <w:t>Lovibond</w:t>
      </w:r>
      <w:r w:rsidRPr="009B5855">
        <w:rPr>
          <w:rFonts w:ascii="Times New Roman" w:hAnsi="Times New Roman" w:cs="Times New Roman"/>
        </w:rPr>
        <w:t xml:space="preserve"> units, with Yelwa Market having the most intense coloration (30.2) and Central Market the least (26.9). The color intensity of palm oil is influenced by its carotenoid and oxidative pigment contents. A higher Lovibond value often suggests prolonged heating or oxidation, which can degrade carotenoids and affect oil quality </w:t>
      </w:r>
      <w:r w:rsidR="00FF1E51">
        <w:rPr>
          <w:rFonts w:ascii="Times New Roman" w:hAnsi="Times New Roman" w:cs="Times New Roman"/>
        </w:rPr>
        <w:t>[40]</w:t>
      </w:r>
      <w:r w:rsidRPr="009B5855">
        <w:rPr>
          <w:rFonts w:ascii="Times New Roman" w:hAnsi="Times New Roman" w:cs="Times New Roman"/>
        </w:rPr>
        <w:t xml:space="preserve">. The slightly lower color value in Central Market samples may indicate minimal exposure to sunlight and oxidation. According to </w:t>
      </w:r>
      <w:r w:rsidR="00FF1E51">
        <w:rPr>
          <w:rFonts w:ascii="Times New Roman" w:hAnsi="Times New Roman" w:cs="Times New Roman"/>
        </w:rPr>
        <w:t>[43]</w:t>
      </w:r>
      <w:r w:rsidRPr="009B5855">
        <w:rPr>
          <w:rFonts w:ascii="Times New Roman" w:hAnsi="Times New Roman" w:cs="Times New Roman"/>
        </w:rPr>
        <w:t xml:space="preserve"> color changes serve as early indicators of deterioration and rancidity in palm oil.</w:t>
      </w:r>
    </w:p>
    <w:p w:rsidR="0037570C" w:rsidRPr="009B5855" w:rsidRDefault="0037570C" w:rsidP="002F2181">
      <w:pPr>
        <w:spacing w:after="0" w:line="240" w:lineRule="auto"/>
        <w:ind w:right="269"/>
        <w:jc w:val="both"/>
        <w:rPr>
          <w:rFonts w:ascii="Times New Roman" w:hAnsi="Times New Roman" w:cs="Times New Roman"/>
        </w:rPr>
      </w:pPr>
      <w:r w:rsidRPr="009B5855">
        <w:rPr>
          <w:rFonts w:ascii="Times New Roman" w:hAnsi="Times New Roman" w:cs="Times New Roman"/>
        </w:rPr>
        <w:t xml:space="preserve">The tactile examination of the samples revealed varying textures: Wunti, Muda Lawal, and Yelwa samples were described as smooth and greasy, while Central Market oil was slightly sticky. The smooth, greasy texture is characteristic of fresh palm oil, while stickiness may </w:t>
      </w:r>
      <w:r w:rsidRPr="009B5855">
        <w:rPr>
          <w:rFonts w:ascii="Times New Roman" w:hAnsi="Times New Roman" w:cs="Times New Roman"/>
        </w:rPr>
        <w:lastRenderedPageBreak/>
        <w:t xml:space="preserve">indicate the presence of impurities, free fatty acids, or early rancidity </w:t>
      </w:r>
      <w:r w:rsidR="00FF1E51">
        <w:rPr>
          <w:rFonts w:ascii="Times New Roman" w:hAnsi="Times New Roman" w:cs="Times New Roman"/>
        </w:rPr>
        <w:t>[44]</w:t>
      </w:r>
      <w:r w:rsidRPr="009B5855">
        <w:rPr>
          <w:rFonts w:ascii="Times New Roman" w:hAnsi="Times New Roman" w:cs="Times New Roman"/>
        </w:rPr>
        <w:t>. Sticky texture also suggests moisture contamination or microbial growth, which can lower the oil’s stability during storage. Moisture content values ranged from (</w:t>
      </w:r>
      <w:hyperlink r:id="rId12" w:history="1">
        <w:r w:rsidRPr="009B5855">
          <w:rPr>
            <w:rStyle w:val="Hyperlink"/>
            <w:rFonts w:ascii="Times New Roman" w:hAnsi="Times New Roman" w:cs="Times New Roman"/>
            <w:color w:val="auto"/>
            <w:u w:val="none"/>
          </w:rPr>
          <w:t>0.22</w:t>
        </w:r>
      </w:hyperlink>
      <w:r w:rsidRPr="009B5855">
        <w:rPr>
          <w:rFonts w:ascii="Times New Roman" w:hAnsi="Times New Roman" w:cs="Times New Roman"/>
        </w:rPr>
        <w:t>% to </w:t>
      </w:r>
      <w:hyperlink r:id="rId13" w:history="1">
        <w:r w:rsidRPr="009B5855">
          <w:rPr>
            <w:rStyle w:val="Hyperlink"/>
            <w:rFonts w:ascii="Times New Roman" w:hAnsi="Times New Roman" w:cs="Times New Roman"/>
            <w:color w:val="auto"/>
            <w:u w:val="none"/>
          </w:rPr>
          <w:t>0.30</w:t>
        </w:r>
      </w:hyperlink>
      <w:r w:rsidRPr="009B5855">
        <w:rPr>
          <w:rFonts w:ascii="Times New Roman" w:hAnsi="Times New Roman" w:cs="Times New Roman"/>
        </w:rPr>
        <w:t>%), with Central Market showing the highest (</w:t>
      </w:r>
      <w:hyperlink r:id="rId14" w:history="1">
        <w:r w:rsidRPr="009B5855">
          <w:rPr>
            <w:rStyle w:val="Hyperlink"/>
            <w:rFonts w:ascii="Times New Roman" w:hAnsi="Times New Roman" w:cs="Times New Roman"/>
            <w:color w:val="auto"/>
            <w:u w:val="none"/>
          </w:rPr>
          <w:t>0.30</w:t>
        </w:r>
      </w:hyperlink>
      <w:r w:rsidRPr="009B5855">
        <w:rPr>
          <w:rFonts w:ascii="Times New Roman" w:hAnsi="Times New Roman" w:cs="Times New Roman"/>
        </w:rPr>
        <w:t>%) and Yelwa the lowest (</w:t>
      </w:r>
      <w:hyperlink r:id="rId15" w:history="1">
        <w:r w:rsidRPr="009B5855">
          <w:rPr>
            <w:rStyle w:val="Hyperlink"/>
            <w:rFonts w:ascii="Times New Roman" w:hAnsi="Times New Roman" w:cs="Times New Roman"/>
            <w:color w:val="auto"/>
            <w:u w:val="none"/>
          </w:rPr>
          <w:t>0.22</w:t>
        </w:r>
      </w:hyperlink>
      <w:r w:rsidRPr="009B5855">
        <w:rPr>
          <w:rFonts w:ascii="Times New Roman" w:hAnsi="Times New Roman" w:cs="Times New Roman"/>
        </w:rPr>
        <w:t>%). These values fall within acceptable limits for edible palm oil (≤</w:t>
      </w:r>
      <w:hyperlink r:id="rId16" w:history="1">
        <w:r w:rsidRPr="009B5855">
          <w:rPr>
            <w:rStyle w:val="Hyperlink"/>
            <w:rFonts w:ascii="Times New Roman" w:hAnsi="Times New Roman" w:cs="Times New Roman"/>
            <w:color w:val="auto"/>
            <w:u w:val="none"/>
          </w:rPr>
          <w:t>0.3</w:t>
        </w:r>
      </w:hyperlink>
      <w:r w:rsidRPr="009B5855">
        <w:rPr>
          <w:rFonts w:ascii="Times New Roman" w:hAnsi="Times New Roman" w:cs="Times New Roman"/>
        </w:rPr>
        <w:t>%) as recommended by SON (Standard Organization of Nigeria)</w:t>
      </w:r>
      <w:r w:rsidR="00FF1E51">
        <w:rPr>
          <w:rFonts w:ascii="Times New Roman" w:hAnsi="Times New Roman" w:cs="Times New Roman"/>
        </w:rPr>
        <w:t xml:space="preserve"> [45]</w:t>
      </w:r>
      <w:r w:rsidRPr="009B5855">
        <w:rPr>
          <w:rFonts w:ascii="Times New Roman" w:hAnsi="Times New Roman" w:cs="Times New Roman"/>
        </w:rPr>
        <w:t>. However, the slightly higher moisture level in Central Market samples could encourage microbial growth and hydrolytic rancidity if storage conditions are poor. According to</w:t>
      </w:r>
      <w:r w:rsidR="00FF1E51">
        <w:rPr>
          <w:rFonts w:ascii="Times New Roman" w:hAnsi="Times New Roman" w:cs="Times New Roman"/>
        </w:rPr>
        <w:t xml:space="preserve"> </w:t>
      </w:r>
      <w:proofErr w:type="gramStart"/>
      <w:r w:rsidR="00FF1E51" w:rsidRPr="00FF1E51">
        <w:rPr>
          <w:rFonts w:ascii="Times New Roman" w:hAnsi="Times New Roman" w:cs="Times New Roman"/>
        </w:rPr>
        <w:t xml:space="preserve">Ekwenye </w:t>
      </w:r>
      <w:r w:rsidRPr="009B5855">
        <w:rPr>
          <w:rFonts w:ascii="Times New Roman" w:hAnsi="Times New Roman" w:cs="Times New Roman"/>
        </w:rPr>
        <w:t xml:space="preserve"> </w:t>
      </w:r>
      <w:r w:rsidR="00FF1E51">
        <w:rPr>
          <w:rFonts w:ascii="Times New Roman" w:hAnsi="Times New Roman" w:cs="Times New Roman"/>
        </w:rPr>
        <w:t>[</w:t>
      </w:r>
      <w:proofErr w:type="gramEnd"/>
      <w:r w:rsidR="00FF1E51">
        <w:rPr>
          <w:rFonts w:ascii="Times New Roman" w:hAnsi="Times New Roman" w:cs="Times New Roman"/>
        </w:rPr>
        <w:t>40,41]</w:t>
      </w:r>
      <w:r w:rsidRPr="009B5855">
        <w:rPr>
          <w:rFonts w:ascii="Times New Roman" w:hAnsi="Times New Roman" w:cs="Times New Roman"/>
        </w:rPr>
        <w:t xml:space="preserve"> increased moisture in palm oil promotes the growth of spoilage organisms and shortens shelf life.</w:t>
      </w:r>
    </w:p>
    <w:p w:rsidR="0037570C" w:rsidRPr="001425C8" w:rsidRDefault="0037570C" w:rsidP="001425C8">
      <w:pPr>
        <w:spacing w:after="0" w:line="240" w:lineRule="auto"/>
        <w:ind w:right="269"/>
        <w:jc w:val="both"/>
        <w:rPr>
          <w:rFonts w:ascii="Times New Roman" w:hAnsi="Times New Roman" w:cs="Times New Roman"/>
          <w:b/>
          <w:bCs/>
        </w:rPr>
      </w:pPr>
      <w:r w:rsidRPr="009B5855">
        <w:rPr>
          <w:rFonts w:ascii="Times New Roman" w:hAnsi="Times New Roman" w:cs="Times New Roman"/>
        </w:rPr>
        <w:t>The variations observed among the markets may be due to differences in storage conditions, exposure to air and sunlight, handling methods, and the duration between production and sale. Yelwa Market samples generally exhibited better quality (higher density, viscosity, and lower moisture), indicating fresher oil or improved handling practices. Central Market samples, however, showed signs of deterioration such as higher moisture and stickiness, suggesting longer.</w:t>
      </w:r>
    </w:p>
    <w:p w:rsidR="002F2181" w:rsidRDefault="0037570C" w:rsidP="00095EF4">
      <w:pPr>
        <w:pStyle w:val="NormalWeb"/>
        <w:spacing w:before="0" w:beforeAutospacing="0" w:after="0" w:afterAutospacing="0"/>
      </w:pPr>
      <w:r w:rsidRPr="009B5855">
        <w:rPr>
          <w:lang w:eastAsia="zh-CN"/>
        </w:rPr>
        <w:tab/>
      </w:r>
    </w:p>
    <w:p w:rsidR="0037570C" w:rsidRDefault="0037570C" w:rsidP="001425C8">
      <w:pPr>
        <w:spacing w:after="0" w:line="240" w:lineRule="auto"/>
        <w:ind w:right="269"/>
        <w:jc w:val="both"/>
        <w:rPr>
          <w:rFonts w:ascii="Times New Roman" w:hAnsi="Times New Roman" w:cs="Times New Roman"/>
        </w:rPr>
      </w:pPr>
      <w:r>
        <w:rPr>
          <w:rFonts w:ascii="Times New Roman" w:hAnsi="Times New Roman" w:cs="Times New Roman"/>
        </w:rPr>
        <w:t xml:space="preserve">The </w:t>
      </w:r>
      <w:r w:rsidRPr="009B5855">
        <w:rPr>
          <w:rFonts w:ascii="Times New Roman" w:hAnsi="Times New Roman" w:cs="Times New Roman"/>
        </w:rPr>
        <w:t>Table 4</w:t>
      </w:r>
      <w:r w:rsidR="00FF1E51">
        <w:rPr>
          <w:rFonts w:ascii="Times New Roman" w:hAnsi="Times New Roman" w:cs="Times New Roman"/>
        </w:rPr>
        <w:t xml:space="preserve"> blow </w:t>
      </w:r>
      <w:r w:rsidRPr="009B5855">
        <w:rPr>
          <w:rFonts w:ascii="Times New Roman" w:hAnsi="Times New Roman" w:cs="Times New Roman"/>
        </w:rPr>
        <w:t>shows the comparative distribution of fungal isolates obtained from palm oil samples collected from four major markets within the study area: Wunti Market (WM), Muda Lawal Market (MLM), Central Market (CM), and Yelwa Market (YM).</w:t>
      </w:r>
      <w:r w:rsidRPr="00C2555A">
        <w:rPr>
          <w:rFonts w:ascii="Times New Roman" w:hAnsi="Times New Roman" w:cs="Times New Roman"/>
        </w:rPr>
        <w:t xml:space="preserve"> </w:t>
      </w:r>
      <w:r w:rsidRPr="009B5855">
        <w:rPr>
          <w:rFonts w:ascii="Times New Roman" w:hAnsi="Times New Roman" w:cs="Times New Roman"/>
        </w:rPr>
        <w:t>The table reveals variations in the occurrence and frequency of fungal contamination among the all markets</w:t>
      </w:r>
      <w:r w:rsidRPr="009B5855">
        <w:rPr>
          <w:rFonts w:ascii="Times New Roman" w:hAnsi="Times New Roman" w:cs="Times New Roman"/>
          <w:i/>
          <w:iCs/>
        </w:rPr>
        <w:t>, Fusariumspecies</w:t>
      </w:r>
      <w:r w:rsidRPr="009B5855">
        <w:rPr>
          <w:rFonts w:ascii="Times New Roman" w:hAnsi="Times New Roman" w:cs="Times New Roman"/>
        </w:rPr>
        <w:t xml:space="preserve"> were the most frequently isolated fungi, showing high occurrence across all sampling locations WM (37.50%), MLM (</w:t>
      </w:r>
      <w:hyperlink r:id="rId17" w:history="1">
        <w:r w:rsidRPr="009B5855">
          <w:rPr>
            <w:rStyle w:val="Hyperlink"/>
            <w:rFonts w:ascii="Times New Roman" w:hAnsi="Times New Roman" w:cs="Times New Roman"/>
            <w:color w:val="auto"/>
            <w:u w:val="none"/>
          </w:rPr>
          <w:t>50.0</w:t>
        </w:r>
      </w:hyperlink>
      <w:r w:rsidRPr="009B5855">
        <w:rPr>
          <w:rFonts w:ascii="Times New Roman" w:hAnsi="Times New Roman" w:cs="Times New Roman"/>
        </w:rPr>
        <w:t>%), CM (</w:t>
      </w:r>
      <w:hyperlink r:id="rId18" w:history="1">
        <w:r w:rsidRPr="009B5855">
          <w:rPr>
            <w:rStyle w:val="Hyperlink"/>
            <w:rFonts w:ascii="Times New Roman" w:hAnsi="Times New Roman" w:cs="Times New Roman"/>
            <w:color w:val="auto"/>
            <w:u w:val="none"/>
          </w:rPr>
          <w:t>40.0</w:t>
        </w:r>
      </w:hyperlink>
      <w:r w:rsidRPr="009B5855">
        <w:rPr>
          <w:rFonts w:ascii="Times New Roman" w:hAnsi="Times New Roman" w:cs="Times New Roman"/>
        </w:rPr>
        <w:t>%), and YM (</w:t>
      </w:r>
      <w:hyperlink r:id="rId19" w:history="1">
        <w:r w:rsidRPr="009B5855">
          <w:rPr>
            <w:rStyle w:val="Hyperlink"/>
            <w:rFonts w:ascii="Times New Roman" w:hAnsi="Times New Roman" w:cs="Times New Roman"/>
            <w:color w:val="auto"/>
            <w:u w:val="none"/>
          </w:rPr>
          <w:t>40.0</w:t>
        </w:r>
      </w:hyperlink>
      <w:r w:rsidRPr="009B5855">
        <w:rPr>
          <w:rFonts w:ascii="Times New Roman" w:hAnsi="Times New Roman" w:cs="Times New Roman"/>
        </w:rPr>
        <w:t>%).</w:t>
      </w:r>
    </w:p>
    <w:p w:rsidR="00771EB1" w:rsidRPr="001425C8" w:rsidRDefault="00771EB1" w:rsidP="001425C8">
      <w:pPr>
        <w:spacing w:after="0" w:line="240" w:lineRule="auto"/>
        <w:ind w:right="269"/>
        <w:jc w:val="both"/>
        <w:rPr>
          <w:rFonts w:ascii="Times New Roman" w:hAnsi="Times New Roman" w:cs="Times New Roman"/>
        </w:rPr>
      </w:pPr>
    </w:p>
    <w:p w:rsidR="0037570C" w:rsidRPr="009B5855" w:rsidRDefault="0037570C" w:rsidP="002F2181">
      <w:pPr>
        <w:pStyle w:val="Caption"/>
        <w:keepNext/>
        <w:spacing w:after="0"/>
        <w:jc w:val="both"/>
        <w:rPr>
          <w:rFonts w:ascii="Times New Roman" w:hAnsi="Times New Roman" w:cs="Times New Roman"/>
          <w:b/>
          <w:bCs/>
          <w:i w:val="0"/>
          <w:iCs w:val="0"/>
          <w:color w:val="auto"/>
          <w:sz w:val="24"/>
          <w:szCs w:val="24"/>
        </w:rPr>
      </w:pPr>
      <w:r w:rsidRPr="009B5855">
        <w:rPr>
          <w:rFonts w:ascii="Times New Roman" w:hAnsi="Times New Roman" w:cs="Times New Roman"/>
          <w:b/>
          <w:bCs/>
          <w:i w:val="0"/>
          <w:iCs w:val="0"/>
          <w:color w:val="auto"/>
          <w:sz w:val="24"/>
          <w:szCs w:val="24"/>
        </w:rPr>
        <w:t xml:space="preserve">Table </w:t>
      </w:r>
      <w:r w:rsidR="00894A0C">
        <w:rPr>
          <w:rFonts w:ascii="Times New Roman" w:hAnsi="Times New Roman" w:cs="Times New Roman"/>
          <w:b/>
          <w:bCs/>
          <w:i w:val="0"/>
          <w:iCs w:val="0"/>
          <w:color w:val="auto"/>
          <w:sz w:val="24"/>
          <w:szCs w:val="24"/>
          <w:lang w:val="en-GB"/>
        </w:rPr>
        <w:t>4</w:t>
      </w:r>
      <w:r w:rsidRPr="009B5855">
        <w:rPr>
          <w:rFonts w:ascii="Times New Roman" w:hAnsi="Times New Roman" w:cs="Times New Roman"/>
          <w:b/>
          <w:bCs/>
          <w:i w:val="0"/>
          <w:iCs w:val="0"/>
          <w:color w:val="auto"/>
          <w:sz w:val="24"/>
          <w:szCs w:val="24"/>
        </w:rPr>
        <w:t xml:space="preserve">: </w:t>
      </w:r>
      <w:bookmarkStart w:id="7" w:name="_Hlk209228952"/>
      <w:r w:rsidRPr="009B5855">
        <w:rPr>
          <w:rFonts w:ascii="Times New Roman" w:hAnsi="Times New Roman" w:cs="Times New Roman"/>
          <w:b/>
          <w:bCs/>
          <w:i w:val="0"/>
          <w:iCs w:val="0"/>
          <w:color w:val="auto"/>
          <w:sz w:val="24"/>
          <w:szCs w:val="24"/>
        </w:rPr>
        <w:t xml:space="preserve">Comparative </w:t>
      </w:r>
      <w:r w:rsidRPr="009B5855">
        <w:rPr>
          <w:rFonts w:ascii="Times New Roman" w:hAnsi="Times New Roman" w:cs="Times New Roman"/>
          <w:b/>
          <w:bCs/>
          <w:i w:val="0"/>
          <w:color w:val="auto"/>
          <w:sz w:val="24"/>
          <w:szCs w:val="24"/>
        </w:rPr>
        <w:t>Distribution of Fungal Isolate</w:t>
      </w:r>
      <w:r w:rsidRPr="009B5855">
        <w:rPr>
          <w:rFonts w:ascii="Times New Roman" w:hAnsi="Times New Roman" w:cs="Times New Roman"/>
          <w:b/>
          <w:bCs/>
          <w:i w:val="0"/>
          <w:iCs w:val="0"/>
          <w:color w:val="auto"/>
          <w:sz w:val="24"/>
          <w:szCs w:val="24"/>
        </w:rPr>
        <w:t xml:space="preserve"> According to Sample Market</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1340"/>
        <w:gridCol w:w="1333"/>
        <w:gridCol w:w="1335"/>
        <w:gridCol w:w="1479"/>
        <w:gridCol w:w="1071"/>
      </w:tblGrid>
      <w:tr w:rsidR="0037570C" w:rsidRPr="00DA4458" w:rsidTr="00E37D51">
        <w:trPr>
          <w:trHeight w:val="377"/>
        </w:trPr>
        <w:tc>
          <w:tcPr>
            <w:tcW w:w="1497" w:type="pct"/>
            <w:vMerge w:val="restart"/>
          </w:tcPr>
          <w:bookmarkEnd w:id="7"/>
          <w:p w:rsidR="0037570C" w:rsidRPr="00DA4458" w:rsidRDefault="0037570C" w:rsidP="002F2181">
            <w:pPr>
              <w:rPr>
                <w:b/>
                <w:bCs/>
                <w:sz w:val="24"/>
                <w:szCs w:val="24"/>
                <w:lang w:val="en-GB"/>
              </w:rPr>
            </w:pPr>
            <w:r w:rsidRPr="00DA4458">
              <w:rPr>
                <w:b/>
                <w:bCs/>
                <w:sz w:val="24"/>
                <w:szCs w:val="24"/>
                <w:lang w:val="en-GB"/>
              </w:rPr>
              <w:t>Fungal species</w:t>
            </w:r>
          </w:p>
        </w:tc>
        <w:tc>
          <w:tcPr>
            <w:tcW w:w="2931" w:type="pct"/>
            <w:gridSpan w:val="4"/>
          </w:tcPr>
          <w:p w:rsidR="0037570C" w:rsidRPr="00DA4458" w:rsidRDefault="0037570C" w:rsidP="002F2181">
            <w:pPr>
              <w:jc w:val="center"/>
              <w:rPr>
                <w:b/>
                <w:bCs/>
                <w:sz w:val="24"/>
                <w:szCs w:val="24"/>
                <w:lang w:val="en-GB"/>
              </w:rPr>
            </w:pPr>
            <w:r w:rsidRPr="00DA4458">
              <w:rPr>
                <w:b/>
                <w:bCs/>
                <w:sz w:val="24"/>
                <w:szCs w:val="24"/>
                <w:lang w:val="en-GB"/>
              </w:rPr>
              <w:t>No. (%) of fungal species isolated (n=40)</w:t>
            </w:r>
          </w:p>
        </w:tc>
        <w:tc>
          <w:tcPr>
            <w:tcW w:w="572" w:type="pct"/>
            <w:vMerge w:val="restart"/>
          </w:tcPr>
          <w:p w:rsidR="0037570C" w:rsidRPr="00DA4458" w:rsidRDefault="0037570C" w:rsidP="002F2181">
            <w:pPr>
              <w:rPr>
                <w:b/>
                <w:bCs/>
                <w:sz w:val="24"/>
                <w:szCs w:val="24"/>
                <w:lang w:val="en-GB"/>
              </w:rPr>
            </w:pPr>
            <w:r w:rsidRPr="00DA4458">
              <w:rPr>
                <w:b/>
                <w:bCs/>
                <w:sz w:val="24"/>
                <w:szCs w:val="24"/>
                <w:lang w:val="en-GB"/>
              </w:rPr>
              <w:t xml:space="preserve">Total </w:t>
            </w:r>
            <w:r>
              <w:rPr>
                <w:b/>
                <w:bCs/>
                <w:sz w:val="24"/>
                <w:szCs w:val="24"/>
                <w:lang w:val="en-GB"/>
              </w:rPr>
              <w:t>(%) species</w:t>
            </w:r>
          </w:p>
        </w:tc>
      </w:tr>
      <w:tr w:rsidR="0037570C" w:rsidRPr="00DA4458" w:rsidTr="00E37D51">
        <w:tc>
          <w:tcPr>
            <w:tcW w:w="1497" w:type="pct"/>
            <w:vMerge/>
            <w:tcBorders>
              <w:bottom w:val="single" w:sz="4" w:space="0" w:color="auto"/>
            </w:tcBorders>
          </w:tcPr>
          <w:p w:rsidR="0037570C" w:rsidRPr="00DA4458" w:rsidRDefault="0037570C" w:rsidP="002F2181">
            <w:pPr>
              <w:rPr>
                <w:sz w:val="24"/>
                <w:szCs w:val="24"/>
              </w:rPr>
            </w:pPr>
          </w:p>
        </w:tc>
        <w:tc>
          <w:tcPr>
            <w:tcW w:w="716" w:type="pct"/>
            <w:tcBorders>
              <w:bottom w:val="single" w:sz="4" w:space="0" w:color="auto"/>
            </w:tcBorders>
          </w:tcPr>
          <w:p w:rsidR="0037570C" w:rsidRPr="00DA4458" w:rsidRDefault="0037570C" w:rsidP="002F2181">
            <w:pPr>
              <w:jc w:val="both"/>
              <w:rPr>
                <w:b/>
                <w:bCs/>
                <w:sz w:val="24"/>
                <w:szCs w:val="24"/>
                <w:lang w:val="en-GB"/>
              </w:rPr>
            </w:pPr>
            <w:r w:rsidRPr="00DA4458">
              <w:rPr>
                <w:b/>
                <w:bCs/>
                <w:sz w:val="24"/>
                <w:szCs w:val="24"/>
                <w:lang w:val="en-GB"/>
              </w:rPr>
              <w:t>WM</w:t>
            </w:r>
          </w:p>
        </w:tc>
        <w:tc>
          <w:tcPr>
            <w:tcW w:w="712" w:type="pct"/>
            <w:tcBorders>
              <w:bottom w:val="single" w:sz="4" w:space="0" w:color="auto"/>
            </w:tcBorders>
          </w:tcPr>
          <w:p w:rsidR="0037570C" w:rsidRPr="00DA4458" w:rsidRDefault="0037570C" w:rsidP="002F2181">
            <w:pPr>
              <w:jc w:val="both"/>
              <w:rPr>
                <w:b/>
                <w:bCs/>
                <w:sz w:val="24"/>
                <w:szCs w:val="24"/>
                <w:lang w:val="en-GB"/>
              </w:rPr>
            </w:pPr>
            <w:r w:rsidRPr="00DA4458">
              <w:rPr>
                <w:b/>
                <w:bCs/>
                <w:sz w:val="24"/>
                <w:szCs w:val="24"/>
                <w:lang w:val="en-GB"/>
              </w:rPr>
              <w:t>MLM</w:t>
            </w:r>
          </w:p>
        </w:tc>
        <w:tc>
          <w:tcPr>
            <w:tcW w:w="713" w:type="pct"/>
            <w:tcBorders>
              <w:bottom w:val="single" w:sz="4" w:space="0" w:color="auto"/>
            </w:tcBorders>
          </w:tcPr>
          <w:p w:rsidR="0037570C" w:rsidRPr="00DA4458" w:rsidRDefault="0037570C" w:rsidP="002F2181">
            <w:pPr>
              <w:jc w:val="both"/>
              <w:rPr>
                <w:b/>
                <w:bCs/>
                <w:sz w:val="24"/>
                <w:szCs w:val="24"/>
                <w:lang w:val="en-GB"/>
              </w:rPr>
            </w:pPr>
            <w:r w:rsidRPr="00DA4458">
              <w:rPr>
                <w:b/>
                <w:bCs/>
                <w:sz w:val="24"/>
                <w:szCs w:val="24"/>
                <w:lang w:val="en-GB"/>
              </w:rPr>
              <w:t>CM</w:t>
            </w:r>
          </w:p>
        </w:tc>
        <w:tc>
          <w:tcPr>
            <w:tcW w:w="790" w:type="pct"/>
            <w:tcBorders>
              <w:bottom w:val="single" w:sz="4" w:space="0" w:color="auto"/>
            </w:tcBorders>
          </w:tcPr>
          <w:p w:rsidR="0037570C" w:rsidRPr="00DA4458" w:rsidRDefault="0037570C" w:rsidP="002F2181">
            <w:pPr>
              <w:jc w:val="both"/>
              <w:rPr>
                <w:b/>
                <w:bCs/>
                <w:sz w:val="24"/>
                <w:szCs w:val="24"/>
                <w:lang w:val="en-GB"/>
              </w:rPr>
            </w:pPr>
            <w:r w:rsidRPr="00DA4458">
              <w:rPr>
                <w:b/>
                <w:bCs/>
                <w:sz w:val="24"/>
                <w:szCs w:val="24"/>
                <w:lang w:val="en-GB"/>
              </w:rPr>
              <w:t>Y M</w:t>
            </w:r>
          </w:p>
        </w:tc>
        <w:tc>
          <w:tcPr>
            <w:tcW w:w="572" w:type="pct"/>
            <w:vMerge/>
            <w:tcBorders>
              <w:bottom w:val="single" w:sz="4" w:space="0" w:color="auto"/>
            </w:tcBorders>
          </w:tcPr>
          <w:p w:rsidR="0037570C" w:rsidRPr="00DA4458" w:rsidRDefault="0037570C" w:rsidP="002F2181">
            <w:pPr>
              <w:jc w:val="both"/>
              <w:rPr>
                <w:b/>
                <w:bCs/>
                <w:sz w:val="24"/>
                <w:szCs w:val="24"/>
                <w:lang w:val="en-GB"/>
              </w:rPr>
            </w:pPr>
          </w:p>
        </w:tc>
      </w:tr>
      <w:tr w:rsidR="0037570C" w:rsidRPr="00DA4458" w:rsidTr="00E37D51">
        <w:tc>
          <w:tcPr>
            <w:tcW w:w="1497" w:type="pct"/>
            <w:tcBorders>
              <w:top w:val="single" w:sz="4" w:space="0" w:color="auto"/>
              <w:bottom w:val="nil"/>
            </w:tcBorders>
          </w:tcPr>
          <w:p w:rsidR="0037570C" w:rsidRPr="00DA4458" w:rsidRDefault="0037570C" w:rsidP="002F2181">
            <w:pPr>
              <w:spacing w:before="240"/>
              <w:rPr>
                <w:iCs/>
                <w:sz w:val="24"/>
                <w:szCs w:val="24"/>
                <w:lang w:val="en-GB"/>
              </w:rPr>
            </w:pPr>
            <w:r w:rsidRPr="00DA4458">
              <w:rPr>
                <w:i/>
                <w:iCs/>
                <w:sz w:val="24"/>
                <w:szCs w:val="24"/>
                <w:lang w:val="en-GB"/>
              </w:rPr>
              <w:t>Aspergillus flavus</w:t>
            </w:r>
          </w:p>
        </w:tc>
        <w:tc>
          <w:tcPr>
            <w:tcW w:w="716" w:type="pct"/>
            <w:tcBorders>
              <w:top w:val="single" w:sz="4" w:space="0" w:color="auto"/>
              <w:bottom w:val="nil"/>
            </w:tcBorders>
          </w:tcPr>
          <w:p w:rsidR="0037570C" w:rsidRPr="00DA4458" w:rsidRDefault="0037570C" w:rsidP="002F2181">
            <w:pPr>
              <w:spacing w:before="240"/>
              <w:jc w:val="both"/>
              <w:rPr>
                <w:sz w:val="24"/>
                <w:szCs w:val="24"/>
                <w:lang w:val="en-GB"/>
              </w:rPr>
            </w:pPr>
            <w:r w:rsidRPr="00DA4458">
              <w:rPr>
                <w:sz w:val="24"/>
                <w:szCs w:val="24"/>
                <w:lang w:val="en-GB"/>
              </w:rPr>
              <w:t>02(</w:t>
            </w:r>
            <w:r>
              <w:rPr>
                <w:sz w:val="24"/>
                <w:szCs w:val="24"/>
                <w:lang w:val="en-GB"/>
              </w:rPr>
              <w:t>5</w:t>
            </w:r>
            <w:r w:rsidRPr="00DA4458">
              <w:rPr>
                <w:sz w:val="24"/>
                <w:szCs w:val="24"/>
                <w:lang w:val="en-GB"/>
              </w:rPr>
              <w:t>.0)</w:t>
            </w:r>
          </w:p>
        </w:tc>
        <w:tc>
          <w:tcPr>
            <w:tcW w:w="712" w:type="pct"/>
            <w:tcBorders>
              <w:top w:val="single" w:sz="4" w:space="0" w:color="auto"/>
              <w:bottom w:val="nil"/>
            </w:tcBorders>
          </w:tcPr>
          <w:p w:rsidR="0037570C" w:rsidRPr="00DA4458" w:rsidRDefault="0037570C" w:rsidP="002F2181">
            <w:pPr>
              <w:spacing w:before="240"/>
              <w:jc w:val="both"/>
              <w:rPr>
                <w:sz w:val="24"/>
                <w:szCs w:val="24"/>
                <w:lang w:val="en-GB"/>
              </w:rPr>
            </w:pPr>
            <w:r w:rsidRPr="00DA4458">
              <w:rPr>
                <w:sz w:val="24"/>
                <w:szCs w:val="24"/>
                <w:lang w:val="en-GB"/>
              </w:rPr>
              <w:t>02(</w:t>
            </w:r>
            <w:r>
              <w:rPr>
                <w:sz w:val="24"/>
                <w:szCs w:val="24"/>
                <w:lang w:val="en-GB"/>
              </w:rPr>
              <w:t>5</w:t>
            </w:r>
            <w:r w:rsidRPr="00DA4458">
              <w:rPr>
                <w:sz w:val="24"/>
                <w:szCs w:val="24"/>
                <w:lang w:val="en-GB"/>
              </w:rPr>
              <w:t>.0)</w:t>
            </w:r>
          </w:p>
        </w:tc>
        <w:tc>
          <w:tcPr>
            <w:tcW w:w="713" w:type="pct"/>
            <w:tcBorders>
              <w:top w:val="single" w:sz="4" w:space="0" w:color="auto"/>
              <w:bottom w:val="nil"/>
            </w:tcBorders>
          </w:tcPr>
          <w:p w:rsidR="0037570C" w:rsidRPr="00DA4458" w:rsidRDefault="0037570C" w:rsidP="002F2181">
            <w:pPr>
              <w:spacing w:before="240"/>
              <w:jc w:val="both"/>
              <w:rPr>
                <w:sz w:val="24"/>
                <w:szCs w:val="24"/>
                <w:lang w:val="en-GB"/>
              </w:rPr>
            </w:pPr>
            <w:r w:rsidRPr="00DA4458">
              <w:rPr>
                <w:sz w:val="24"/>
                <w:szCs w:val="24"/>
                <w:lang w:val="en-GB"/>
              </w:rPr>
              <w:t>02(</w:t>
            </w:r>
            <w:r>
              <w:rPr>
                <w:sz w:val="24"/>
                <w:szCs w:val="24"/>
                <w:lang w:val="en-GB"/>
              </w:rPr>
              <w:t>5</w:t>
            </w:r>
            <w:r w:rsidRPr="00DA4458">
              <w:rPr>
                <w:sz w:val="24"/>
                <w:szCs w:val="24"/>
                <w:lang w:val="en-GB"/>
              </w:rPr>
              <w:t>.0)</w:t>
            </w:r>
          </w:p>
        </w:tc>
        <w:tc>
          <w:tcPr>
            <w:tcW w:w="790" w:type="pct"/>
            <w:tcBorders>
              <w:top w:val="single" w:sz="4" w:space="0" w:color="auto"/>
              <w:bottom w:val="nil"/>
            </w:tcBorders>
          </w:tcPr>
          <w:p w:rsidR="0037570C" w:rsidRPr="00DA4458" w:rsidRDefault="0037570C" w:rsidP="002F2181">
            <w:pPr>
              <w:spacing w:before="240"/>
              <w:jc w:val="both"/>
              <w:rPr>
                <w:sz w:val="24"/>
                <w:szCs w:val="24"/>
                <w:lang w:val="en-GB"/>
              </w:rPr>
            </w:pPr>
            <w:r w:rsidRPr="00DA4458">
              <w:rPr>
                <w:sz w:val="24"/>
                <w:szCs w:val="24"/>
                <w:lang w:val="en-GB"/>
              </w:rPr>
              <w:t>01(6.67)</w:t>
            </w:r>
          </w:p>
        </w:tc>
        <w:tc>
          <w:tcPr>
            <w:tcW w:w="572" w:type="pct"/>
            <w:tcBorders>
              <w:top w:val="single" w:sz="4" w:space="0" w:color="auto"/>
              <w:bottom w:val="nil"/>
            </w:tcBorders>
          </w:tcPr>
          <w:p w:rsidR="0037570C" w:rsidRPr="00DA4458" w:rsidRDefault="0037570C" w:rsidP="002F2181">
            <w:pPr>
              <w:spacing w:before="240"/>
              <w:jc w:val="both"/>
              <w:rPr>
                <w:sz w:val="24"/>
                <w:szCs w:val="24"/>
                <w:lang w:val="en-GB"/>
              </w:rPr>
            </w:pPr>
            <w:r>
              <w:rPr>
                <w:sz w:val="24"/>
                <w:szCs w:val="24"/>
                <w:lang w:val="en-GB"/>
              </w:rPr>
              <w:t>07</w:t>
            </w:r>
          </w:p>
        </w:tc>
      </w:tr>
      <w:tr w:rsidR="0037570C" w:rsidRPr="00DA4458" w:rsidTr="00E37D51">
        <w:tc>
          <w:tcPr>
            <w:tcW w:w="1497" w:type="pct"/>
            <w:tcBorders>
              <w:top w:val="nil"/>
            </w:tcBorders>
          </w:tcPr>
          <w:p w:rsidR="0037570C" w:rsidRPr="00DA4458" w:rsidRDefault="0037570C" w:rsidP="002F2181">
            <w:pPr>
              <w:spacing w:before="240"/>
              <w:rPr>
                <w:iCs/>
                <w:sz w:val="24"/>
                <w:szCs w:val="24"/>
                <w:lang w:val="en-GB"/>
              </w:rPr>
            </w:pPr>
            <w:r w:rsidRPr="00DA4458">
              <w:rPr>
                <w:i/>
                <w:iCs/>
                <w:sz w:val="24"/>
                <w:szCs w:val="24"/>
                <w:lang w:val="en-GB"/>
              </w:rPr>
              <w:t xml:space="preserve">Aspergillus </w:t>
            </w:r>
            <w:r w:rsidRPr="00DA4458">
              <w:rPr>
                <w:iCs/>
                <w:sz w:val="24"/>
                <w:szCs w:val="24"/>
                <w:lang w:val="en-GB"/>
              </w:rPr>
              <w:t>parasiticus</w:t>
            </w:r>
          </w:p>
        </w:tc>
        <w:tc>
          <w:tcPr>
            <w:tcW w:w="716" w:type="pct"/>
            <w:tcBorders>
              <w:top w:val="nil"/>
            </w:tcBorders>
          </w:tcPr>
          <w:p w:rsidR="0037570C" w:rsidRPr="00DA4458" w:rsidRDefault="0037570C" w:rsidP="002F2181">
            <w:pPr>
              <w:spacing w:before="240"/>
              <w:jc w:val="both"/>
              <w:rPr>
                <w:sz w:val="24"/>
                <w:szCs w:val="24"/>
                <w:lang w:val="en-GB"/>
              </w:rPr>
            </w:pPr>
            <w:r w:rsidRPr="00DA4458">
              <w:rPr>
                <w:sz w:val="24"/>
                <w:szCs w:val="24"/>
                <w:lang w:val="en-GB"/>
              </w:rPr>
              <w:t>02(25.00)</w:t>
            </w:r>
          </w:p>
        </w:tc>
        <w:tc>
          <w:tcPr>
            <w:tcW w:w="712" w:type="pct"/>
            <w:tcBorders>
              <w:top w:val="nil"/>
            </w:tcBorders>
          </w:tcPr>
          <w:p w:rsidR="0037570C" w:rsidRPr="00DA4458" w:rsidRDefault="0037570C" w:rsidP="002F2181">
            <w:pPr>
              <w:spacing w:before="240"/>
              <w:jc w:val="both"/>
              <w:rPr>
                <w:sz w:val="24"/>
                <w:szCs w:val="24"/>
                <w:lang w:val="en-GB"/>
              </w:rPr>
            </w:pPr>
            <w:r w:rsidRPr="00DA4458">
              <w:rPr>
                <w:sz w:val="24"/>
                <w:szCs w:val="24"/>
                <w:lang w:val="en-GB"/>
              </w:rPr>
              <w:t>01(12.5)</w:t>
            </w:r>
          </w:p>
        </w:tc>
        <w:tc>
          <w:tcPr>
            <w:tcW w:w="713" w:type="pct"/>
            <w:tcBorders>
              <w:top w:val="nil"/>
            </w:tcBorders>
          </w:tcPr>
          <w:p w:rsidR="0037570C" w:rsidRPr="00DA4458" w:rsidRDefault="0037570C" w:rsidP="002F2181">
            <w:pPr>
              <w:spacing w:before="240"/>
              <w:jc w:val="both"/>
              <w:rPr>
                <w:sz w:val="24"/>
                <w:szCs w:val="24"/>
                <w:lang w:val="en-GB"/>
              </w:rPr>
            </w:pPr>
            <w:r w:rsidRPr="00DA4458">
              <w:rPr>
                <w:sz w:val="24"/>
                <w:szCs w:val="24"/>
                <w:lang w:val="en-GB"/>
              </w:rPr>
              <w:t>01(10.0)</w:t>
            </w:r>
          </w:p>
        </w:tc>
        <w:tc>
          <w:tcPr>
            <w:tcW w:w="790" w:type="pct"/>
            <w:tcBorders>
              <w:top w:val="nil"/>
            </w:tcBorders>
          </w:tcPr>
          <w:p w:rsidR="0037570C" w:rsidRPr="00DA4458" w:rsidRDefault="0037570C" w:rsidP="002F2181">
            <w:pPr>
              <w:spacing w:before="240"/>
              <w:jc w:val="both"/>
              <w:rPr>
                <w:sz w:val="24"/>
                <w:szCs w:val="24"/>
                <w:lang w:val="en-GB"/>
              </w:rPr>
            </w:pPr>
            <w:r w:rsidRPr="00DA4458">
              <w:rPr>
                <w:sz w:val="24"/>
                <w:szCs w:val="24"/>
                <w:lang w:val="en-GB"/>
              </w:rPr>
              <w:t>02(13.33)</w:t>
            </w:r>
          </w:p>
        </w:tc>
        <w:tc>
          <w:tcPr>
            <w:tcW w:w="572" w:type="pct"/>
            <w:tcBorders>
              <w:top w:val="nil"/>
            </w:tcBorders>
          </w:tcPr>
          <w:p w:rsidR="0037570C" w:rsidRPr="00DA4458" w:rsidRDefault="0037570C" w:rsidP="002F2181">
            <w:pPr>
              <w:spacing w:before="240"/>
              <w:jc w:val="both"/>
              <w:rPr>
                <w:sz w:val="24"/>
                <w:szCs w:val="24"/>
                <w:lang w:val="en-GB"/>
              </w:rPr>
            </w:pPr>
            <w:r>
              <w:rPr>
                <w:sz w:val="24"/>
                <w:szCs w:val="24"/>
                <w:lang w:val="en-GB"/>
              </w:rPr>
              <w:t>06</w:t>
            </w:r>
          </w:p>
        </w:tc>
      </w:tr>
      <w:tr w:rsidR="0037570C" w:rsidRPr="00DA4458" w:rsidTr="00E37D51">
        <w:trPr>
          <w:trHeight w:val="355"/>
        </w:trPr>
        <w:tc>
          <w:tcPr>
            <w:tcW w:w="1497" w:type="pct"/>
          </w:tcPr>
          <w:p w:rsidR="0037570C" w:rsidRPr="00DA4458" w:rsidRDefault="0037570C" w:rsidP="002F2181">
            <w:pPr>
              <w:spacing w:before="240"/>
              <w:rPr>
                <w:iCs/>
                <w:sz w:val="24"/>
                <w:szCs w:val="24"/>
                <w:lang w:val="en-GB"/>
              </w:rPr>
            </w:pPr>
            <w:r w:rsidRPr="00DA4458">
              <w:rPr>
                <w:i/>
                <w:iCs/>
                <w:sz w:val="24"/>
                <w:szCs w:val="24"/>
                <w:lang w:val="en-GB"/>
              </w:rPr>
              <w:t xml:space="preserve">Aspergillus </w:t>
            </w:r>
            <w:r w:rsidRPr="00DA4458">
              <w:rPr>
                <w:iCs/>
                <w:sz w:val="24"/>
                <w:szCs w:val="24"/>
                <w:lang w:val="en-GB"/>
              </w:rPr>
              <w:t>niger</w:t>
            </w:r>
          </w:p>
        </w:tc>
        <w:tc>
          <w:tcPr>
            <w:tcW w:w="716" w:type="pct"/>
          </w:tcPr>
          <w:p w:rsidR="0037570C" w:rsidRPr="00DA4458" w:rsidRDefault="0037570C" w:rsidP="002F2181">
            <w:pPr>
              <w:spacing w:before="240"/>
              <w:jc w:val="both"/>
              <w:rPr>
                <w:sz w:val="24"/>
                <w:szCs w:val="24"/>
                <w:lang w:val="en-GB"/>
              </w:rPr>
            </w:pPr>
            <w:r w:rsidRPr="00DA4458">
              <w:rPr>
                <w:sz w:val="24"/>
                <w:szCs w:val="24"/>
                <w:lang w:val="en-GB"/>
              </w:rPr>
              <w:t>02(25.00)</w:t>
            </w:r>
          </w:p>
        </w:tc>
        <w:tc>
          <w:tcPr>
            <w:tcW w:w="712" w:type="pct"/>
          </w:tcPr>
          <w:p w:rsidR="0037570C" w:rsidRPr="00DA4458" w:rsidRDefault="0037570C" w:rsidP="002F2181">
            <w:pPr>
              <w:spacing w:before="240"/>
              <w:jc w:val="both"/>
              <w:rPr>
                <w:sz w:val="24"/>
                <w:szCs w:val="24"/>
                <w:lang w:val="en-GB"/>
              </w:rPr>
            </w:pPr>
            <w:r w:rsidRPr="00DA4458">
              <w:rPr>
                <w:sz w:val="24"/>
                <w:szCs w:val="24"/>
                <w:lang w:val="en-GB"/>
              </w:rPr>
              <w:t>02(25.0)</w:t>
            </w:r>
          </w:p>
        </w:tc>
        <w:tc>
          <w:tcPr>
            <w:tcW w:w="713" w:type="pct"/>
          </w:tcPr>
          <w:p w:rsidR="0037570C" w:rsidRPr="00DA4458" w:rsidRDefault="0037570C" w:rsidP="002F2181">
            <w:pPr>
              <w:spacing w:before="240"/>
              <w:jc w:val="both"/>
              <w:rPr>
                <w:sz w:val="24"/>
                <w:szCs w:val="24"/>
                <w:lang w:val="en-GB"/>
              </w:rPr>
            </w:pPr>
            <w:r w:rsidRPr="00DA4458">
              <w:rPr>
                <w:sz w:val="24"/>
                <w:szCs w:val="24"/>
                <w:lang w:val="en-GB"/>
              </w:rPr>
              <w:t>01(10.0)</w:t>
            </w:r>
          </w:p>
        </w:tc>
        <w:tc>
          <w:tcPr>
            <w:tcW w:w="790" w:type="pct"/>
          </w:tcPr>
          <w:p w:rsidR="0037570C" w:rsidRPr="00DA4458" w:rsidRDefault="0037570C" w:rsidP="002F2181">
            <w:pPr>
              <w:spacing w:before="240"/>
              <w:jc w:val="both"/>
              <w:rPr>
                <w:sz w:val="24"/>
                <w:szCs w:val="24"/>
                <w:lang w:val="en-GB"/>
              </w:rPr>
            </w:pPr>
            <w:r w:rsidRPr="00DA4458">
              <w:rPr>
                <w:sz w:val="24"/>
                <w:szCs w:val="24"/>
                <w:lang w:val="en-GB"/>
              </w:rPr>
              <w:t>002(13.33)</w:t>
            </w:r>
          </w:p>
        </w:tc>
        <w:tc>
          <w:tcPr>
            <w:tcW w:w="572" w:type="pct"/>
          </w:tcPr>
          <w:p w:rsidR="0037570C" w:rsidRPr="00DA4458" w:rsidRDefault="0037570C" w:rsidP="002F2181">
            <w:pPr>
              <w:spacing w:before="240"/>
              <w:jc w:val="both"/>
              <w:rPr>
                <w:sz w:val="24"/>
                <w:szCs w:val="24"/>
                <w:lang w:val="en-GB"/>
              </w:rPr>
            </w:pPr>
            <w:r>
              <w:rPr>
                <w:sz w:val="24"/>
                <w:szCs w:val="24"/>
                <w:lang w:val="en-GB"/>
              </w:rPr>
              <w:t>07</w:t>
            </w:r>
          </w:p>
        </w:tc>
      </w:tr>
      <w:tr w:rsidR="0037570C" w:rsidRPr="00DA4458" w:rsidTr="00E37D51">
        <w:tc>
          <w:tcPr>
            <w:tcW w:w="1497" w:type="pct"/>
          </w:tcPr>
          <w:p w:rsidR="0037570C" w:rsidRPr="00DA4458" w:rsidRDefault="0037570C" w:rsidP="002F2181">
            <w:pPr>
              <w:spacing w:before="240"/>
              <w:rPr>
                <w:iCs/>
                <w:sz w:val="24"/>
                <w:szCs w:val="24"/>
                <w:lang w:val="en-GB"/>
              </w:rPr>
            </w:pPr>
            <w:r w:rsidRPr="00DA4458">
              <w:rPr>
                <w:i/>
                <w:iCs/>
                <w:sz w:val="24"/>
                <w:szCs w:val="24"/>
                <w:lang w:val="en-GB"/>
              </w:rPr>
              <w:t xml:space="preserve">Aspergillus </w:t>
            </w:r>
            <w:r w:rsidRPr="00DA4458">
              <w:rPr>
                <w:iCs/>
                <w:sz w:val="24"/>
                <w:szCs w:val="24"/>
                <w:lang w:val="en-GB"/>
              </w:rPr>
              <w:t>fumigatus</w:t>
            </w:r>
          </w:p>
        </w:tc>
        <w:tc>
          <w:tcPr>
            <w:tcW w:w="716" w:type="pct"/>
          </w:tcPr>
          <w:p w:rsidR="0037570C" w:rsidRPr="00DA4458" w:rsidRDefault="0037570C" w:rsidP="002F2181">
            <w:pPr>
              <w:spacing w:before="240"/>
              <w:jc w:val="both"/>
              <w:rPr>
                <w:sz w:val="24"/>
                <w:szCs w:val="24"/>
                <w:lang w:val="en-GB"/>
              </w:rPr>
            </w:pPr>
            <w:r w:rsidRPr="00DA4458">
              <w:rPr>
                <w:sz w:val="24"/>
                <w:szCs w:val="24"/>
                <w:lang w:val="en-GB"/>
              </w:rPr>
              <w:t>00(0.00)</w:t>
            </w:r>
          </w:p>
        </w:tc>
        <w:tc>
          <w:tcPr>
            <w:tcW w:w="712" w:type="pct"/>
          </w:tcPr>
          <w:p w:rsidR="0037570C" w:rsidRPr="00DA4458" w:rsidRDefault="0037570C" w:rsidP="002F2181">
            <w:pPr>
              <w:spacing w:before="240"/>
              <w:jc w:val="both"/>
              <w:rPr>
                <w:sz w:val="24"/>
                <w:szCs w:val="24"/>
                <w:lang w:val="en-GB"/>
              </w:rPr>
            </w:pPr>
            <w:r w:rsidRPr="00DA4458">
              <w:rPr>
                <w:sz w:val="24"/>
                <w:szCs w:val="24"/>
                <w:lang w:val="en-GB"/>
              </w:rPr>
              <w:t>00(0.0)</w:t>
            </w:r>
          </w:p>
        </w:tc>
        <w:tc>
          <w:tcPr>
            <w:tcW w:w="713" w:type="pct"/>
          </w:tcPr>
          <w:p w:rsidR="0037570C" w:rsidRPr="00DA4458" w:rsidRDefault="0037570C" w:rsidP="002F2181">
            <w:pPr>
              <w:spacing w:before="240"/>
              <w:jc w:val="both"/>
              <w:rPr>
                <w:sz w:val="24"/>
                <w:szCs w:val="24"/>
                <w:lang w:val="en-GB"/>
              </w:rPr>
            </w:pPr>
            <w:r w:rsidRPr="00DA4458">
              <w:rPr>
                <w:sz w:val="24"/>
                <w:szCs w:val="24"/>
                <w:lang w:val="en-GB"/>
              </w:rPr>
              <w:t>01(0.00)</w:t>
            </w:r>
          </w:p>
        </w:tc>
        <w:tc>
          <w:tcPr>
            <w:tcW w:w="790" w:type="pct"/>
          </w:tcPr>
          <w:p w:rsidR="0037570C" w:rsidRPr="00DA4458" w:rsidRDefault="0037570C" w:rsidP="002F2181">
            <w:pPr>
              <w:spacing w:before="240"/>
              <w:jc w:val="both"/>
              <w:rPr>
                <w:sz w:val="24"/>
                <w:szCs w:val="24"/>
                <w:lang w:val="en-GB"/>
              </w:rPr>
            </w:pPr>
            <w:r w:rsidRPr="00DA4458">
              <w:rPr>
                <w:sz w:val="24"/>
                <w:szCs w:val="24"/>
                <w:lang w:val="en-GB"/>
              </w:rPr>
              <w:t>01(6.67)</w:t>
            </w:r>
          </w:p>
        </w:tc>
        <w:tc>
          <w:tcPr>
            <w:tcW w:w="572" w:type="pct"/>
          </w:tcPr>
          <w:p w:rsidR="0037570C" w:rsidRPr="00DA4458" w:rsidRDefault="0037570C" w:rsidP="002F2181">
            <w:pPr>
              <w:spacing w:before="240"/>
              <w:jc w:val="both"/>
              <w:rPr>
                <w:sz w:val="24"/>
                <w:szCs w:val="24"/>
                <w:lang w:val="en-GB"/>
              </w:rPr>
            </w:pPr>
            <w:r>
              <w:rPr>
                <w:sz w:val="24"/>
                <w:szCs w:val="24"/>
                <w:lang w:val="en-GB"/>
              </w:rPr>
              <w:t>02</w:t>
            </w:r>
          </w:p>
        </w:tc>
      </w:tr>
      <w:tr w:rsidR="0037570C" w:rsidRPr="00DA4458" w:rsidTr="00E37D51">
        <w:tc>
          <w:tcPr>
            <w:tcW w:w="1497" w:type="pct"/>
          </w:tcPr>
          <w:p w:rsidR="0037570C" w:rsidRPr="00DA4458" w:rsidRDefault="0037570C" w:rsidP="002F2181">
            <w:pPr>
              <w:spacing w:before="240"/>
              <w:rPr>
                <w:iCs/>
                <w:sz w:val="24"/>
                <w:szCs w:val="24"/>
                <w:lang w:val="en-GB"/>
              </w:rPr>
            </w:pPr>
            <w:r w:rsidRPr="00DA4458">
              <w:rPr>
                <w:iCs/>
                <w:sz w:val="24"/>
                <w:szCs w:val="24"/>
                <w:lang w:val="en-GB"/>
              </w:rPr>
              <w:t>Fusarium species</w:t>
            </w:r>
          </w:p>
        </w:tc>
        <w:tc>
          <w:tcPr>
            <w:tcW w:w="716" w:type="pct"/>
          </w:tcPr>
          <w:p w:rsidR="0037570C" w:rsidRPr="00DA4458" w:rsidRDefault="0037570C" w:rsidP="002F2181">
            <w:pPr>
              <w:spacing w:before="240"/>
              <w:jc w:val="both"/>
              <w:rPr>
                <w:sz w:val="24"/>
                <w:szCs w:val="24"/>
                <w:lang w:val="en-GB"/>
              </w:rPr>
            </w:pPr>
            <w:r w:rsidRPr="00DA4458">
              <w:rPr>
                <w:sz w:val="24"/>
                <w:szCs w:val="24"/>
                <w:lang w:val="en-GB"/>
              </w:rPr>
              <w:t>03(37.50)</w:t>
            </w:r>
          </w:p>
        </w:tc>
        <w:tc>
          <w:tcPr>
            <w:tcW w:w="712" w:type="pct"/>
          </w:tcPr>
          <w:p w:rsidR="0037570C" w:rsidRPr="00DA4458" w:rsidRDefault="0037570C" w:rsidP="002F2181">
            <w:pPr>
              <w:spacing w:before="240"/>
              <w:jc w:val="both"/>
              <w:rPr>
                <w:sz w:val="24"/>
                <w:szCs w:val="24"/>
                <w:lang w:val="en-GB"/>
              </w:rPr>
            </w:pPr>
            <w:r w:rsidRPr="00DA4458">
              <w:rPr>
                <w:sz w:val="24"/>
                <w:szCs w:val="24"/>
                <w:lang w:val="en-GB"/>
              </w:rPr>
              <w:t>04(50.0)</w:t>
            </w:r>
          </w:p>
        </w:tc>
        <w:tc>
          <w:tcPr>
            <w:tcW w:w="713" w:type="pct"/>
          </w:tcPr>
          <w:p w:rsidR="0037570C" w:rsidRPr="00DA4458" w:rsidRDefault="0037570C" w:rsidP="002F2181">
            <w:pPr>
              <w:spacing w:before="240"/>
              <w:jc w:val="both"/>
              <w:rPr>
                <w:sz w:val="24"/>
                <w:szCs w:val="24"/>
                <w:lang w:val="en-GB"/>
              </w:rPr>
            </w:pPr>
            <w:r w:rsidRPr="00DA4458">
              <w:rPr>
                <w:sz w:val="24"/>
                <w:szCs w:val="24"/>
                <w:lang w:val="en-GB"/>
              </w:rPr>
              <w:t>04(40.0)</w:t>
            </w:r>
          </w:p>
        </w:tc>
        <w:tc>
          <w:tcPr>
            <w:tcW w:w="790" w:type="pct"/>
          </w:tcPr>
          <w:p w:rsidR="0037570C" w:rsidRPr="00DA4458" w:rsidRDefault="0037570C" w:rsidP="002F2181">
            <w:pPr>
              <w:spacing w:before="240"/>
              <w:jc w:val="both"/>
              <w:rPr>
                <w:sz w:val="24"/>
                <w:szCs w:val="24"/>
                <w:lang w:val="en-GB"/>
              </w:rPr>
            </w:pPr>
            <w:r w:rsidRPr="00DA4458">
              <w:rPr>
                <w:sz w:val="24"/>
                <w:szCs w:val="24"/>
                <w:lang w:val="en-GB"/>
              </w:rPr>
              <w:t>06(40.0)</w:t>
            </w:r>
          </w:p>
        </w:tc>
        <w:tc>
          <w:tcPr>
            <w:tcW w:w="572" w:type="pct"/>
          </w:tcPr>
          <w:p w:rsidR="0037570C" w:rsidRPr="00DA4458" w:rsidRDefault="0037570C" w:rsidP="002F2181">
            <w:pPr>
              <w:spacing w:before="240"/>
              <w:jc w:val="both"/>
              <w:rPr>
                <w:sz w:val="24"/>
                <w:szCs w:val="24"/>
                <w:lang w:val="en-GB"/>
              </w:rPr>
            </w:pPr>
            <w:r>
              <w:rPr>
                <w:sz w:val="24"/>
                <w:szCs w:val="24"/>
                <w:lang w:val="en-GB"/>
              </w:rPr>
              <w:t>17</w:t>
            </w:r>
          </w:p>
        </w:tc>
      </w:tr>
      <w:tr w:rsidR="0037570C" w:rsidRPr="00DA4458" w:rsidTr="00E37D51">
        <w:tc>
          <w:tcPr>
            <w:tcW w:w="1497" w:type="pct"/>
          </w:tcPr>
          <w:p w:rsidR="0037570C" w:rsidRPr="00DA4458" w:rsidRDefault="0037570C" w:rsidP="002F2181">
            <w:pPr>
              <w:spacing w:before="240"/>
              <w:rPr>
                <w:iCs/>
                <w:sz w:val="24"/>
                <w:szCs w:val="24"/>
                <w:lang w:val="en-GB"/>
              </w:rPr>
            </w:pPr>
            <w:r w:rsidRPr="00DA4458">
              <w:rPr>
                <w:iCs/>
                <w:sz w:val="24"/>
                <w:szCs w:val="24"/>
                <w:lang w:val="en-GB"/>
              </w:rPr>
              <w:t>Mucor species</w:t>
            </w:r>
          </w:p>
        </w:tc>
        <w:tc>
          <w:tcPr>
            <w:tcW w:w="716" w:type="pct"/>
          </w:tcPr>
          <w:p w:rsidR="0037570C" w:rsidRPr="00DA4458" w:rsidRDefault="0037570C" w:rsidP="002F2181">
            <w:pPr>
              <w:spacing w:before="240"/>
              <w:jc w:val="both"/>
              <w:rPr>
                <w:sz w:val="24"/>
                <w:szCs w:val="24"/>
                <w:lang w:val="en-GB"/>
              </w:rPr>
            </w:pPr>
            <w:r w:rsidRPr="00DA4458">
              <w:rPr>
                <w:sz w:val="24"/>
                <w:szCs w:val="24"/>
                <w:lang w:val="en-GB"/>
              </w:rPr>
              <w:t>00(0.00)</w:t>
            </w:r>
          </w:p>
        </w:tc>
        <w:tc>
          <w:tcPr>
            <w:tcW w:w="712" w:type="pct"/>
          </w:tcPr>
          <w:p w:rsidR="0037570C" w:rsidRPr="00DA4458" w:rsidRDefault="0037570C" w:rsidP="002F2181">
            <w:pPr>
              <w:spacing w:before="240"/>
              <w:jc w:val="both"/>
              <w:rPr>
                <w:sz w:val="24"/>
                <w:szCs w:val="24"/>
                <w:lang w:val="en-GB"/>
              </w:rPr>
            </w:pPr>
            <w:r w:rsidRPr="00DA4458">
              <w:rPr>
                <w:sz w:val="24"/>
                <w:szCs w:val="24"/>
                <w:lang w:val="en-GB"/>
              </w:rPr>
              <w:t>00(0.0)</w:t>
            </w:r>
          </w:p>
        </w:tc>
        <w:tc>
          <w:tcPr>
            <w:tcW w:w="713" w:type="pct"/>
          </w:tcPr>
          <w:p w:rsidR="0037570C" w:rsidRPr="00DA4458" w:rsidRDefault="0037570C" w:rsidP="002F2181">
            <w:pPr>
              <w:spacing w:before="240"/>
              <w:jc w:val="both"/>
              <w:rPr>
                <w:sz w:val="24"/>
                <w:szCs w:val="24"/>
                <w:lang w:val="en-GB"/>
              </w:rPr>
            </w:pPr>
            <w:r w:rsidRPr="00DA4458">
              <w:rPr>
                <w:sz w:val="24"/>
                <w:szCs w:val="24"/>
                <w:lang w:val="en-GB"/>
              </w:rPr>
              <w:t>00(0.00)</w:t>
            </w:r>
          </w:p>
        </w:tc>
        <w:tc>
          <w:tcPr>
            <w:tcW w:w="790" w:type="pct"/>
          </w:tcPr>
          <w:p w:rsidR="0037570C" w:rsidRPr="00DA4458" w:rsidRDefault="0037570C" w:rsidP="002F2181">
            <w:pPr>
              <w:spacing w:before="240"/>
              <w:jc w:val="both"/>
              <w:rPr>
                <w:sz w:val="24"/>
                <w:szCs w:val="24"/>
                <w:lang w:val="en-GB"/>
              </w:rPr>
            </w:pPr>
            <w:r w:rsidRPr="00DA4458">
              <w:rPr>
                <w:sz w:val="24"/>
                <w:szCs w:val="24"/>
                <w:lang w:val="en-GB"/>
              </w:rPr>
              <w:t>01 (6.67)</w:t>
            </w:r>
          </w:p>
        </w:tc>
        <w:tc>
          <w:tcPr>
            <w:tcW w:w="572" w:type="pct"/>
          </w:tcPr>
          <w:p w:rsidR="0037570C" w:rsidRPr="00DA4458" w:rsidRDefault="0037570C" w:rsidP="002F2181">
            <w:pPr>
              <w:spacing w:before="240"/>
              <w:jc w:val="both"/>
              <w:rPr>
                <w:sz w:val="24"/>
                <w:szCs w:val="24"/>
                <w:lang w:val="en-GB"/>
              </w:rPr>
            </w:pPr>
            <w:r>
              <w:rPr>
                <w:sz w:val="24"/>
                <w:szCs w:val="24"/>
                <w:lang w:val="en-GB"/>
              </w:rPr>
              <w:t>01</w:t>
            </w:r>
          </w:p>
        </w:tc>
      </w:tr>
      <w:tr w:rsidR="0037570C" w:rsidRPr="00DA4458" w:rsidTr="00E37D51">
        <w:trPr>
          <w:trHeight w:val="657"/>
        </w:trPr>
        <w:tc>
          <w:tcPr>
            <w:tcW w:w="1497" w:type="pct"/>
          </w:tcPr>
          <w:p w:rsidR="0037570C" w:rsidRPr="00DA4458" w:rsidRDefault="0037570C" w:rsidP="002F2181">
            <w:pPr>
              <w:spacing w:before="240"/>
              <w:rPr>
                <w:iCs/>
                <w:sz w:val="24"/>
                <w:szCs w:val="24"/>
                <w:lang w:val="en-GB"/>
              </w:rPr>
            </w:pPr>
            <w:r w:rsidRPr="00DA4458">
              <w:rPr>
                <w:i/>
                <w:iCs/>
                <w:sz w:val="24"/>
                <w:szCs w:val="24"/>
                <w:lang w:val="en-GB"/>
              </w:rPr>
              <w:t xml:space="preserve">Penicillium </w:t>
            </w:r>
            <w:r w:rsidRPr="00DA4458">
              <w:rPr>
                <w:iCs/>
                <w:sz w:val="24"/>
                <w:szCs w:val="24"/>
                <w:lang w:val="en-GB"/>
              </w:rPr>
              <w:t>species</w:t>
            </w:r>
          </w:p>
        </w:tc>
        <w:tc>
          <w:tcPr>
            <w:tcW w:w="716" w:type="pct"/>
          </w:tcPr>
          <w:p w:rsidR="0037570C" w:rsidRPr="00DA4458" w:rsidRDefault="0037570C" w:rsidP="002F2181">
            <w:pPr>
              <w:spacing w:before="240"/>
              <w:jc w:val="both"/>
              <w:rPr>
                <w:sz w:val="24"/>
                <w:szCs w:val="24"/>
                <w:lang w:val="en-GB"/>
              </w:rPr>
            </w:pPr>
            <w:r w:rsidRPr="00DA4458">
              <w:rPr>
                <w:sz w:val="24"/>
                <w:szCs w:val="24"/>
                <w:lang w:val="en-GB"/>
              </w:rPr>
              <w:t>01(12.50)</w:t>
            </w:r>
          </w:p>
        </w:tc>
        <w:tc>
          <w:tcPr>
            <w:tcW w:w="712" w:type="pct"/>
          </w:tcPr>
          <w:p w:rsidR="0037570C" w:rsidRPr="00DA4458" w:rsidRDefault="0037570C" w:rsidP="002F2181">
            <w:pPr>
              <w:spacing w:before="240"/>
              <w:jc w:val="both"/>
              <w:rPr>
                <w:sz w:val="24"/>
                <w:szCs w:val="24"/>
                <w:lang w:val="en-GB"/>
              </w:rPr>
            </w:pPr>
            <w:r w:rsidRPr="00DA4458">
              <w:rPr>
                <w:sz w:val="24"/>
                <w:szCs w:val="24"/>
                <w:lang w:val="en-GB"/>
              </w:rPr>
              <w:t>00(0.0)</w:t>
            </w:r>
          </w:p>
        </w:tc>
        <w:tc>
          <w:tcPr>
            <w:tcW w:w="713" w:type="pct"/>
          </w:tcPr>
          <w:p w:rsidR="0037570C" w:rsidRPr="00DA4458" w:rsidRDefault="0037570C" w:rsidP="002F2181">
            <w:pPr>
              <w:spacing w:before="240"/>
              <w:jc w:val="both"/>
              <w:rPr>
                <w:sz w:val="24"/>
                <w:szCs w:val="24"/>
                <w:lang w:val="en-GB"/>
              </w:rPr>
            </w:pPr>
            <w:r w:rsidRPr="00DA4458">
              <w:rPr>
                <w:sz w:val="24"/>
                <w:szCs w:val="24"/>
                <w:lang w:val="en-GB"/>
              </w:rPr>
              <w:t>01(10.0)</w:t>
            </w:r>
          </w:p>
        </w:tc>
        <w:tc>
          <w:tcPr>
            <w:tcW w:w="790" w:type="pct"/>
          </w:tcPr>
          <w:p w:rsidR="0037570C" w:rsidRPr="00DA4458" w:rsidRDefault="0037570C" w:rsidP="002F2181">
            <w:pPr>
              <w:spacing w:before="240"/>
              <w:jc w:val="both"/>
              <w:rPr>
                <w:sz w:val="24"/>
                <w:szCs w:val="24"/>
                <w:lang w:val="en-GB"/>
              </w:rPr>
            </w:pPr>
            <w:r w:rsidRPr="00DA4458">
              <w:rPr>
                <w:sz w:val="24"/>
                <w:szCs w:val="24"/>
                <w:lang w:val="en-GB"/>
              </w:rPr>
              <w:t>02(13.33)</w:t>
            </w:r>
          </w:p>
        </w:tc>
        <w:tc>
          <w:tcPr>
            <w:tcW w:w="572" w:type="pct"/>
          </w:tcPr>
          <w:p w:rsidR="0037570C" w:rsidRPr="00DA4458" w:rsidRDefault="0037570C" w:rsidP="002F2181">
            <w:pPr>
              <w:spacing w:before="240"/>
              <w:jc w:val="both"/>
              <w:rPr>
                <w:sz w:val="24"/>
                <w:szCs w:val="24"/>
                <w:lang w:val="en-GB"/>
              </w:rPr>
            </w:pPr>
            <w:r>
              <w:rPr>
                <w:sz w:val="24"/>
                <w:szCs w:val="24"/>
                <w:lang w:val="en-GB"/>
              </w:rPr>
              <w:t>04</w:t>
            </w:r>
          </w:p>
        </w:tc>
      </w:tr>
    </w:tbl>
    <w:p w:rsidR="0037570C" w:rsidRPr="009B5855" w:rsidRDefault="0037570C" w:rsidP="002F2181">
      <w:pPr>
        <w:spacing w:line="240" w:lineRule="auto"/>
        <w:jc w:val="both"/>
        <w:rPr>
          <w:rFonts w:ascii="Times New Roman" w:hAnsi="Times New Roman" w:cs="Times New Roman"/>
        </w:rPr>
      </w:pPr>
      <w:bookmarkStart w:id="8" w:name="_Hlk209230665"/>
      <w:r w:rsidRPr="008C444F">
        <w:rPr>
          <w:rFonts w:ascii="Times New Roman" w:hAnsi="Times New Roman" w:cs="Times New Roman"/>
          <w:b/>
          <w:i/>
        </w:rPr>
        <w:t>Key</w:t>
      </w:r>
      <w:r w:rsidRPr="009B5855">
        <w:rPr>
          <w:rFonts w:ascii="Times New Roman" w:hAnsi="Times New Roman" w:cs="Times New Roman"/>
        </w:rPr>
        <w:t>:</w:t>
      </w:r>
      <w:r>
        <w:rPr>
          <w:rFonts w:ascii="Times New Roman" w:hAnsi="Times New Roman" w:cs="Times New Roman"/>
        </w:rPr>
        <w:t xml:space="preserve"> </w:t>
      </w:r>
      <w:r w:rsidRPr="009B5855">
        <w:rPr>
          <w:rFonts w:ascii="Times New Roman" w:hAnsi="Times New Roman" w:cs="Times New Roman"/>
        </w:rPr>
        <w:t>WM-Wunti Market, MD-Muda Lawal Market, CM-Central market, YM-Yelwa Market</w:t>
      </w:r>
      <w:bookmarkEnd w:id="8"/>
      <w:r w:rsidRPr="009B5855">
        <w:rPr>
          <w:rFonts w:ascii="Times New Roman" w:hAnsi="Times New Roman" w:cs="Times New Roman"/>
        </w:rPr>
        <w:t>.</w:t>
      </w:r>
    </w:p>
    <w:p w:rsidR="0037570C" w:rsidRPr="009B5855" w:rsidRDefault="0037570C" w:rsidP="002F2181">
      <w:pPr>
        <w:spacing w:after="0" w:line="240" w:lineRule="auto"/>
        <w:ind w:right="269"/>
        <w:jc w:val="both"/>
        <w:rPr>
          <w:rFonts w:ascii="Times New Roman" w:hAnsi="Times New Roman" w:cs="Times New Roman"/>
        </w:rPr>
      </w:pPr>
      <w:r w:rsidRPr="009B5855">
        <w:rPr>
          <w:rFonts w:ascii="Times New Roman" w:hAnsi="Times New Roman" w:cs="Times New Roman"/>
        </w:rPr>
        <w:t>This suggests that</w:t>
      </w:r>
      <w:r w:rsidRPr="009B5855">
        <w:rPr>
          <w:rFonts w:ascii="Times New Roman" w:hAnsi="Times New Roman" w:cs="Times New Roman"/>
          <w:i/>
        </w:rPr>
        <w:t xml:space="preserve"> Fusarium</w:t>
      </w:r>
      <w:r w:rsidRPr="009B5855">
        <w:rPr>
          <w:rFonts w:ascii="Times New Roman" w:hAnsi="Times New Roman" w:cs="Times New Roman"/>
          <w:i/>
          <w:iCs/>
        </w:rPr>
        <w:t>species</w:t>
      </w:r>
      <w:r w:rsidRPr="009B5855">
        <w:rPr>
          <w:rFonts w:ascii="Times New Roman" w:hAnsi="Times New Roman" w:cs="Times New Roman"/>
        </w:rPr>
        <w:t xml:space="preserve"> are widely distributed in palm oil sold in the study area. The predominance of</w:t>
      </w:r>
      <w:r w:rsidRPr="009B5855">
        <w:rPr>
          <w:rFonts w:ascii="Times New Roman" w:hAnsi="Times New Roman" w:cs="Times New Roman"/>
          <w:i/>
        </w:rPr>
        <w:t xml:space="preserve"> Fusarium</w:t>
      </w:r>
      <w:r w:rsidRPr="009B5855">
        <w:rPr>
          <w:rFonts w:ascii="Times New Roman" w:hAnsi="Times New Roman" w:cs="Times New Roman"/>
        </w:rPr>
        <w:t xml:space="preserve"> may be attributed to its ability to survive under a wide range of environmental conditions and its common presence in oil-rich substrates. This finding aligns with the report of Adepoju</w:t>
      </w:r>
      <w:r w:rsidR="00571E69">
        <w:rPr>
          <w:rFonts w:ascii="Times New Roman" w:hAnsi="Times New Roman" w:cs="Times New Roman"/>
        </w:rPr>
        <w:t xml:space="preserve"> [46]</w:t>
      </w:r>
      <w:r w:rsidRPr="009B5855">
        <w:rPr>
          <w:rFonts w:ascii="Times New Roman" w:hAnsi="Times New Roman" w:cs="Times New Roman"/>
        </w:rPr>
        <w:t xml:space="preserve"> who observed that</w:t>
      </w:r>
      <w:r w:rsidRPr="009B5855">
        <w:rPr>
          <w:rFonts w:ascii="Times New Roman" w:hAnsi="Times New Roman" w:cs="Times New Roman"/>
          <w:i/>
          <w:iCs/>
        </w:rPr>
        <w:t xml:space="preserve"> Fusariumspecies</w:t>
      </w:r>
      <w:r w:rsidRPr="009B5855">
        <w:rPr>
          <w:rFonts w:ascii="Times New Roman" w:hAnsi="Times New Roman" w:cs="Times New Roman"/>
        </w:rPr>
        <w:t xml:space="preserve"> were dominant contaminants in palm oil sold in Southwestern Nigeria, indicating that contamination likely arises during processing or storage. </w:t>
      </w:r>
      <w:r w:rsidRPr="009B5855">
        <w:rPr>
          <w:rFonts w:ascii="Times New Roman" w:hAnsi="Times New Roman" w:cs="Times New Roman"/>
          <w:i/>
          <w:iCs/>
        </w:rPr>
        <w:t>Aspergillus species</w:t>
      </w:r>
      <w:r w:rsidRPr="009B5855">
        <w:rPr>
          <w:rFonts w:ascii="Times New Roman" w:hAnsi="Times New Roman" w:cs="Times New Roman"/>
        </w:rPr>
        <w:t xml:space="preserve"> were also commonly found, with </w:t>
      </w:r>
      <w:r w:rsidRPr="009B5855">
        <w:rPr>
          <w:rFonts w:ascii="Times New Roman" w:hAnsi="Times New Roman" w:cs="Times New Roman"/>
          <w:i/>
          <w:iCs/>
        </w:rPr>
        <w:t xml:space="preserve">A. </w:t>
      </w:r>
      <w:r w:rsidRPr="009B5855">
        <w:rPr>
          <w:rFonts w:ascii="Times New Roman" w:hAnsi="Times New Roman" w:cs="Times New Roman"/>
          <w:i/>
          <w:iCs/>
        </w:rPr>
        <w:lastRenderedPageBreak/>
        <w:t xml:space="preserve">parasiticus, A. niger, and A. flavus </w:t>
      </w:r>
      <w:r w:rsidRPr="009B5855">
        <w:rPr>
          <w:rFonts w:ascii="Times New Roman" w:hAnsi="Times New Roman" w:cs="Times New Roman"/>
        </w:rPr>
        <w:t xml:space="preserve">showing variable distribution across the four markets. </w:t>
      </w:r>
      <w:r w:rsidRPr="009B5855">
        <w:rPr>
          <w:rFonts w:ascii="Times New Roman" w:hAnsi="Times New Roman" w:cs="Times New Roman"/>
          <w:i/>
          <w:iCs/>
        </w:rPr>
        <w:t>A. parasiticus</w:t>
      </w:r>
      <w:r w:rsidRPr="009B5855">
        <w:rPr>
          <w:rFonts w:ascii="Times New Roman" w:hAnsi="Times New Roman" w:cs="Times New Roman"/>
        </w:rPr>
        <w:t xml:space="preserve"> occurred most in Wunti Market (25.00%) and least in Muda Lawal Market (</w:t>
      </w:r>
      <w:hyperlink r:id="rId20" w:history="1">
        <w:r w:rsidRPr="009B5855">
          <w:rPr>
            <w:rStyle w:val="Hyperlink"/>
            <w:rFonts w:ascii="Times New Roman" w:hAnsi="Times New Roman" w:cs="Times New Roman"/>
            <w:color w:val="auto"/>
            <w:u w:val="none"/>
          </w:rPr>
          <w:t>12.5</w:t>
        </w:r>
      </w:hyperlink>
      <w:r w:rsidRPr="009B5855">
        <w:rPr>
          <w:rFonts w:ascii="Times New Roman" w:hAnsi="Times New Roman" w:cs="Times New Roman"/>
        </w:rPr>
        <w:t>%). Similarly</w:t>
      </w:r>
      <w:r w:rsidRPr="009B5855">
        <w:rPr>
          <w:rFonts w:ascii="Times New Roman" w:hAnsi="Times New Roman" w:cs="Times New Roman"/>
          <w:i/>
          <w:iCs/>
        </w:rPr>
        <w:t>, A. niger</w:t>
      </w:r>
      <w:r w:rsidRPr="009B5855">
        <w:rPr>
          <w:rFonts w:ascii="Times New Roman" w:hAnsi="Times New Roman" w:cs="Times New Roman"/>
        </w:rPr>
        <w:t xml:space="preserve"> was present in all markets except Central Market, with slightly higher frequencies in Wunti (25.00%) and Muda Lawal (22.22</w:t>
      </w:r>
      <w:r w:rsidRPr="009B5855">
        <w:rPr>
          <w:rFonts w:ascii="Times New Roman" w:hAnsi="Times New Roman" w:cs="Times New Roman"/>
          <w:iCs/>
        </w:rPr>
        <w:t>%)</w:t>
      </w:r>
      <w:r w:rsidRPr="009B5855">
        <w:rPr>
          <w:rFonts w:ascii="Times New Roman" w:hAnsi="Times New Roman" w:cs="Times New Roman"/>
          <w:i/>
          <w:iCs/>
        </w:rPr>
        <w:t>. A. flavus</w:t>
      </w:r>
      <w:r w:rsidRPr="009B5855">
        <w:rPr>
          <w:rFonts w:ascii="Times New Roman" w:hAnsi="Times New Roman" w:cs="Times New Roman"/>
        </w:rPr>
        <w:t xml:space="preserve"> showed the least occurrence overall (ranging from 12.5–20%). The high incidence of </w:t>
      </w:r>
      <w:r w:rsidRPr="009B5855">
        <w:rPr>
          <w:rFonts w:ascii="Times New Roman" w:hAnsi="Times New Roman" w:cs="Times New Roman"/>
          <w:i/>
        </w:rPr>
        <w:t xml:space="preserve">Aspergillus </w:t>
      </w:r>
      <w:r w:rsidRPr="009B5855">
        <w:rPr>
          <w:rFonts w:ascii="Times New Roman" w:hAnsi="Times New Roman" w:cs="Times New Roman"/>
        </w:rPr>
        <w:t>species agrees with previous reports by Adewuyi</w:t>
      </w:r>
      <w:r w:rsidR="0021068D">
        <w:rPr>
          <w:rFonts w:ascii="Times New Roman" w:hAnsi="Times New Roman" w:cs="Times New Roman"/>
          <w:iCs/>
        </w:rPr>
        <w:t xml:space="preserve"> [47]</w:t>
      </w:r>
      <w:r w:rsidRPr="009B5855">
        <w:rPr>
          <w:rFonts w:ascii="Times New Roman" w:hAnsi="Times New Roman" w:cs="Times New Roman"/>
        </w:rPr>
        <w:t xml:space="preserve"> who documented </w:t>
      </w:r>
      <w:r w:rsidRPr="009B5855">
        <w:rPr>
          <w:rFonts w:ascii="Times New Roman" w:hAnsi="Times New Roman" w:cs="Times New Roman"/>
          <w:i/>
        </w:rPr>
        <w:t>Aspergillus a</w:t>
      </w:r>
      <w:r w:rsidRPr="009B5855">
        <w:rPr>
          <w:rFonts w:ascii="Times New Roman" w:hAnsi="Times New Roman" w:cs="Times New Roman"/>
        </w:rPr>
        <w:t xml:space="preserve">s the predominant fungal contaminant in palm oil and other edible oil samples due to its ability to thrive in warm and humid environments typical of open Nigerian markets. </w:t>
      </w:r>
      <w:r w:rsidRPr="009B5855">
        <w:rPr>
          <w:rFonts w:ascii="Times New Roman" w:hAnsi="Times New Roman" w:cs="Times New Roman"/>
          <w:i/>
        </w:rPr>
        <w:t xml:space="preserve">Penicillium </w:t>
      </w:r>
      <w:r w:rsidRPr="009B5855">
        <w:rPr>
          <w:rFonts w:ascii="Times New Roman" w:hAnsi="Times New Roman" w:cs="Times New Roman"/>
        </w:rPr>
        <w:t xml:space="preserve">species were detected at low levels, appearing in Wunti (11.11%), Central Market (10.0%), and Yelwa (13.33%). The occurrence of </w:t>
      </w:r>
      <w:r w:rsidRPr="009B5855">
        <w:rPr>
          <w:rFonts w:ascii="Times New Roman" w:hAnsi="Times New Roman" w:cs="Times New Roman"/>
          <w:i/>
        </w:rPr>
        <w:t>Penicillium species</w:t>
      </w:r>
      <w:r w:rsidRPr="009B5855">
        <w:rPr>
          <w:rFonts w:ascii="Times New Roman" w:hAnsi="Times New Roman" w:cs="Times New Roman"/>
        </w:rPr>
        <w:t xml:space="preserve"> is consistent with the findings of Bankole</w:t>
      </w:r>
      <w:r w:rsidR="0021068D">
        <w:rPr>
          <w:rFonts w:ascii="Times New Roman" w:hAnsi="Times New Roman" w:cs="Times New Roman"/>
        </w:rPr>
        <w:t xml:space="preserve"> [48]</w:t>
      </w:r>
      <w:r w:rsidRPr="009B5855">
        <w:rPr>
          <w:rFonts w:ascii="Times New Roman" w:hAnsi="Times New Roman" w:cs="Times New Roman"/>
        </w:rPr>
        <w:t xml:space="preserve"> who reported </w:t>
      </w:r>
      <w:r w:rsidRPr="009B5855">
        <w:rPr>
          <w:rFonts w:ascii="Times New Roman" w:hAnsi="Times New Roman" w:cs="Times New Roman"/>
          <w:i/>
        </w:rPr>
        <w:t xml:space="preserve">Penicillium </w:t>
      </w:r>
      <w:r w:rsidRPr="009B5855">
        <w:rPr>
          <w:rFonts w:ascii="Times New Roman" w:hAnsi="Times New Roman" w:cs="Times New Roman"/>
        </w:rPr>
        <w:t xml:space="preserve">as a frequent contaminant of stored food products, capable of producing </w:t>
      </w:r>
      <w:r w:rsidRPr="009B5855">
        <w:rPr>
          <w:rFonts w:ascii="Times New Roman" w:hAnsi="Times New Roman" w:cs="Times New Roman"/>
          <w:i/>
        </w:rPr>
        <w:t>ochratoxin</w:t>
      </w:r>
      <w:r w:rsidRPr="009B5855">
        <w:rPr>
          <w:rFonts w:ascii="Times New Roman" w:hAnsi="Times New Roman" w:cs="Times New Roman"/>
        </w:rPr>
        <w:t xml:space="preserve">s that can compromise food safety. </w:t>
      </w:r>
      <w:r w:rsidRPr="009B5855">
        <w:rPr>
          <w:rFonts w:ascii="Times New Roman" w:hAnsi="Times New Roman" w:cs="Times New Roman"/>
          <w:i/>
        </w:rPr>
        <w:t>Aspergillus fumigatus</w:t>
      </w:r>
      <w:r w:rsidRPr="009B5855">
        <w:rPr>
          <w:rFonts w:ascii="Times New Roman" w:hAnsi="Times New Roman" w:cs="Times New Roman"/>
        </w:rPr>
        <w:t xml:space="preserve"> was also detected in Muda Lawal (50%) and Central Market (40%), but absent in Wunti and Yelwa markets. The presence of </w:t>
      </w:r>
      <w:r w:rsidRPr="009B5855">
        <w:rPr>
          <w:rFonts w:ascii="Times New Roman" w:hAnsi="Times New Roman" w:cs="Times New Roman"/>
          <w:i/>
        </w:rPr>
        <w:t>A. fumigatus</w:t>
      </w:r>
      <w:r w:rsidRPr="009B5855">
        <w:rPr>
          <w:rFonts w:ascii="Times New Roman" w:hAnsi="Times New Roman" w:cs="Times New Roman"/>
        </w:rPr>
        <w:t xml:space="preserve"> in palm oil samples could be linked to poor hygiene during processing and storage since this species is commonly found in soil, air, and decomposing organic matter </w:t>
      </w:r>
      <w:r w:rsidR="0021068D">
        <w:rPr>
          <w:rFonts w:ascii="Times New Roman" w:hAnsi="Times New Roman" w:cs="Times New Roman"/>
        </w:rPr>
        <w:t>[49]</w:t>
      </w:r>
      <w:r w:rsidRPr="009B5855">
        <w:rPr>
          <w:rFonts w:ascii="Times New Roman" w:hAnsi="Times New Roman" w:cs="Times New Roman"/>
        </w:rPr>
        <w:t xml:space="preserve">. </w:t>
      </w:r>
      <w:r w:rsidRPr="009B5855">
        <w:rPr>
          <w:rFonts w:ascii="Times New Roman" w:hAnsi="Times New Roman" w:cs="Times New Roman"/>
          <w:i/>
        </w:rPr>
        <w:t>Mucor</w:t>
      </w:r>
      <w:r w:rsidRPr="009B5855">
        <w:rPr>
          <w:rFonts w:ascii="Times New Roman" w:hAnsi="Times New Roman" w:cs="Times New Roman"/>
        </w:rPr>
        <w:t xml:space="preserve"> species were rarely detected, appearing only in Yelwa Market (6.67%). This low prevalence may be attributed to the species’ lower tolerance for oil-rich environments and competition with more </w:t>
      </w:r>
      <w:r w:rsidRPr="009B5855">
        <w:rPr>
          <w:rFonts w:ascii="Times New Roman" w:hAnsi="Times New Roman" w:cs="Times New Roman"/>
          <w:i/>
        </w:rPr>
        <w:t>toxigenic</w:t>
      </w:r>
      <w:r w:rsidRPr="009B5855">
        <w:rPr>
          <w:rFonts w:ascii="Times New Roman" w:hAnsi="Times New Roman" w:cs="Times New Roman"/>
        </w:rPr>
        <w:t xml:space="preserve"> fungi such as </w:t>
      </w:r>
      <w:r w:rsidRPr="009B5855">
        <w:rPr>
          <w:rFonts w:ascii="Times New Roman" w:hAnsi="Times New Roman" w:cs="Times New Roman"/>
          <w:i/>
        </w:rPr>
        <w:t xml:space="preserve">Aspergillus </w:t>
      </w:r>
      <w:r w:rsidRPr="009B5855">
        <w:rPr>
          <w:rFonts w:ascii="Times New Roman" w:hAnsi="Times New Roman" w:cs="Times New Roman"/>
        </w:rPr>
        <w:t>and</w:t>
      </w:r>
      <w:r w:rsidRPr="009B5855">
        <w:rPr>
          <w:rFonts w:ascii="Times New Roman" w:hAnsi="Times New Roman" w:cs="Times New Roman"/>
          <w:i/>
        </w:rPr>
        <w:t xml:space="preserve"> Fusarium</w:t>
      </w:r>
      <w:r w:rsidRPr="009B5855">
        <w:rPr>
          <w:rFonts w:ascii="Times New Roman" w:hAnsi="Times New Roman" w:cs="Times New Roman"/>
        </w:rPr>
        <w:t xml:space="preserve"> </w:t>
      </w:r>
      <w:r w:rsidR="0021068D">
        <w:rPr>
          <w:rFonts w:ascii="Times New Roman" w:hAnsi="Times New Roman" w:cs="Times New Roman"/>
        </w:rPr>
        <w:t>[50]</w:t>
      </w:r>
      <w:r w:rsidRPr="009B5855">
        <w:rPr>
          <w:rFonts w:ascii="Times New Roman" w:hAnsi="Times New Roman" w:cs="Times New Roman"/>
        </w:rPr>
        <w:t>.</w:t>
      </w:r>
    </w:p>
    <w:p w:rsidR="0037570C" w:rsidRPr="009B5855" w:rsidRDefault="0037570C" w:rsidP="002F2181">
      <w:pPr>
        <w:spacing w:after="0" w:line="240" w:lineRule="auto"/>
        <w:ind w:right="269"/>
        <w:jc w:val="both"/>
        <w:rPr>
          <w:rFonts w:ascii="Times New Roman" w:hAnsi="Times New Roman" w:cs="Times New Roman"/>
        </w:rPr>
      </w:pPr>
      <w:r w:rsidRPr="009B5855">
        <w:rPr>
          <w:rFonts w:ascii="Times New Roman" w:hAnsi="Times New Roman" w:cs="Times New Roman"/>
        </w:rPr>
        <w:t>Generally, the variations in fungal distribution across the four markets can be associated with differences in handling practices, hygiene standards, storage conditions, and environmental factors; Markets like Muda Lawal and Central Market, exhibited higher fungal occurrence, that are known for large-scale oil trading and poor storage facilities, which may encourage microbial proliferation. The findings are consistent with Okorie</w:t>
      </w:r>
      <w:r w:rsidR="0021068D">
        <w:rPr>
          <w:rFonts w:ascii="Times New Roman" w:hAnsi="Times New Roman" w:cs="Times New Roman"/>
        </w:rPr>
        <w:t xml:space="preserve"> [44]</w:t>
      </w:r>
      <w:r w:rsidRPr="009B5855">
        <w:rPr>
          <w:rFonts w:ascii="Times New Roman" w:hAnsi="Times New Roman" w:cs="Times New Roman"/>
        </w:rPr>
        <w:t xml:space="preserve"> who reported that fungal contamination of palm oil increases with exposure time and improper storage </w:t>
      </w:r>
      <w:proofErr w:type="gramStart"/>
      <w:r w:rsidRPr="009B5855">
        <w:rPr>
          <w:rFonts w:ascii="Times New Roman" w:hAnsi="Times New Roman" w:cs="Times New Roman"/>
        </w:rPr>
        <w:t>conditions .The</w:t>
      </w:r>
      <w:proofErr w:type="gramEnd"/>
      <w:r w:rsidRPr="009B5855">
        <w:rPr>
          <w:rFonts w:ascii="Times New Roman" w:hAnsi="Times New Roman" w:cs="Times New Roman"/>
        </w:rPr>
        <w:t xml:space="preserve"> detection of </w:t>
      </w:r>
      <w:r w:rsidRPr="009B5855">
        <w:rPr>
          <w:rFonts w:ascii="Times New Roman" w:hAnsi="Times New Roman" w:cs="Times New Roman"/>
          <w:i/>
        </w:rPr>
        <w:t>toxigenic</w:t>
      </w:r>
      <w:r w:rsidRPr="009B5855">
        <w:rPr>
          <w:rFonts w:ascii="Times New Roman" w:hAnsi="Times New Roman" w:cs="Times New Roman"/>
        </w:rPr>
        <w:t xml:space="preserve"> fungi such as </w:t>
      </w:r>
      <w:r w:rsidRPr="009B5855">
        <w:rPr>
          <w:rFonts w:ascii="Times New Roman" w:hAnsi="Times New Roman" w:cs="Times New Roman"/>
          <w:i/>
        </w:rPr>
        <w:t>Aspergillus flavus, A. parasiticus</w:t>
      </w:r>
      <w:r w:rsidRPr="009B5855">
        <w:rPr>
          <w:rFonts w:ascii="Times New Roman" w:hAnsi="Times New Roman" w:cs="Times New Roman"/>
        </w:rPr>
        <w:t>, and</w:t>
      </w:r>
      <w:r w:rsidRPr="009B5855">
        <w:rPr>
          <w:rFonts w:ascii="Times New Roman" w:hAnsi="Times New Roman" w:cs="Times New Roman"/>
          <w:i/>
        </w:rPr>
        <w:t xml:space="preserve"> Fusarium</w:t>
      </w:r>
      <w:r w:rsidRPr="009B5855">
        <w:rPr>
          <w:rFonts w:ascii="Times New Roman" w:hAnsi="Times New Roman" w:cs="Times New Roman"/>
        </w:rPr>
        <w:t xml:space="preserve"> </w:t>
      </w:r>
      <w:r w:rsidRPr="009B5855">
        <w:rPr>
          <w:rFonts w:ascii="Times New Roman" w:hAnsi="Times New Roman" w:cs="Times New Roman"/>
          <w:i/>
        </w:rPr>
        <w:t>species</w:t>
      </w:r>
      <w:r w:rsidRPr="009B5855">
        <w:rPr>
          <w:rFonts w:ascii="Times New Roman" w:hAnsi="Times New Roman" w:cs="Times New Roman"/>
        </w:rPr>
        <w:t xml:space="preserve"> poses potential public health risks since these organisms can produce </w:t>
      </w:r>
      <w:r w:rsidRPr="009B5855">
        <w:rPr>
          <w:rFonts w:ascii="Times New Roman" w:hAnsi="Times New Roman" w:cs="Times New Roman"/>
          <w:i/>
        </w:rPr>
        <w:t>aflatoxins</w:t>
      </w:r>
      <w:r w:rsidRPr="009B5855">
        <w:rPr>
          <w:rFonts w:ascii="Times New Roman" w:hAnsi="Times New Roman" w:cs="Times New Roman"/>
        </w:rPr>
        <w:t xml:space="preserve"> and fumonisins that contaminate oils and cause </w:t>
      </w:r>
      <w:r w:rsidRPr="003E1B9A">
        <w:rPr>
          <w:rFonts w:ascii="Times New Roman" w:hAnsi="Times New Roman" w:cs="Times New Roman"/>
          <w:iCs/>
        </w:rPr>
        <w:t>carcinogenic, hepatotoxic, and immunosuppressive</w:t>
      </w:r>
      <w:r w:rsidRPr="009B5855">
        <w:rPr>
          <w:rFonts w:ascii="Times New Roman" w:hAnsi="Times New Roman" w:cs="Times New Roman"/>
        </w:rPr>
        <w:t xml:space="preserve"> effects </w:t>
      </w:r>
      <w:r w:rsidR="0021068D">
        <w:rPr>
          <w:rFonts w:ascii="Times New Roman" w:hAnsi="Times New Roman" w:cs="Times New Roman"/>
        </w:rPr>
        <w:t>[51]</w:t>
      </w:r>
      <w:r w:rsidRPr="009B5855">
        <w:rPr>
          <w:rFonts w:ascii="Times New Roman" w:hAnsi="Times New Roman" w:cs="Times New Roman"/>
        </w:rPr>
        <w:t>. This emphasizes the need for improved hygiene during processing, proper packaging, and the enforcement of microbiological safety standards for edible oils sold in local markets</w:t>
      </w:r>
    </w:p>
    <w:p w:rsidR="00771EB1" w:rsidRDefault="00771EB1" w:rsidP="002F2181">
      <w:pPr>
        <w:spacing w:line="240" w:lineRule="auto"/>
        <w:jc w:val="both"/>
        <w:rPr>
          <w:rFonts w:ascii="Times New Roman" w:hAnsi="Times New Roman" w:cs="Times New Roman"/>
          <w:b/>
          <w:bCs/>
        </w:rPr>
      </w:pPr>
    </w:p>
    <w:p w:rsidR="002F2181" w:rsidRDefault="002F2181" w:rsidP="00771EB1">
      <w:pPr>
        <w:spacing w:after="0" w:line="240" w:lineRule="auto"/>
        <w:jc w:val="both"/>
        <w:rPr>
          <w:rFonts w:ascii="Times New Roman" w:hAnsi="Times New Roman" w:cs="Times New Roman"/>
          <w:b/>
          <w:bCs/>
        </w:rPr>
      </w:pPr>
      <w:r w:rsidRPr="00A7540B">
        <w:rPr>
          <w:rFonts w:ascii="Times New Roman" w:hAnsi="Times New Roman" w:cs="Times New Roman"/>
          <w:b/>
          <w:bCs/>
        </w:rPr>
        <w:t>4. CONCLUSION</w:t>
      </w:r>
      <w:r>
        <w:rPr>
          <w:rFonts w:ascii="Times New Roman" w:hAnsi="Times New Roman" w:cs="Times New Roman"/>
          <w:b/>
          <w:bCs/>
        </w:rPr>
        <w:t xml:space="preserve"> </w:t>
      </w:r>
    </w:p>
    <w:p w:rsidR="0014453F" w:rsidRDefault="0014453F" w:rsidP="00771EB1">
      <w:pPr>
        <w:spacing w:after="0" w:line="240" w:lineRule="auto"/>
        <w:jc w:val="both"/>
        <w:rPr>
          <w:rFonts w:ascii="Times New Roman" w:hAnsi="Times New Roman" w:cs="Times New Roman"/>
        </w:rPr>
      </w:pPr>
      <w:r w:rsidRPr="0014453F">
        <w:rPr>
          <w:rFonts w:ascii="Times New Roman" w:hAnsi="Times New Roman" w:cs="Times New Roman"/>
        </w:rPr>
        <w:t xml:space="preserve">This study shows that palm oil sold in Bauchi metropolis is widely contaminated with mycotoxigenic fungi, particularly </w:t>
      </w:r>
      <w:r w:rsidRPr="0014453F">
        <w:rPr>
          <w:rFonts w:ascii="Times New Roman" w:hAnsi="Times New Roman" w:cs="Times New Roman"/>
          <w:i/>
          <w:iCs/>
        </w:rPr>
        <w:t>Fusarium</w:t>
      </w:r>
      <w:r w:rsidRPr="0014453F">
        <w:rPr>
          <w:rFonts w:ascii="Times New Roman" w:hAnsi="Times New Roman" w:cs="Times New Roman"/>
        </w:rPr>
        <w:t xml:space="preserve"> and </w:t>
      </w:r>
      <w:r w:rsidRPr="0014453F">
        <w:rPr>
          <w:rFonts w:ascii="Times New Roman" w:hAnsi="Times New Roman" w:cs="Times New Roman"/>
          <w:i/>
          <w:iCs/>
        </w:rPr>
        <w:t>Aspergillus</w:t>
      </w:r>
      <w:r w:rsidRPr="0014453F">
        <w:rPr>
          <w:rFonts w:ascii="Times New Roman" w:hAnsi="Times New Roman" w:cs="Times New Roman"/>
        </w:rPr>
        <w:t xml:space="preserve"> species, with fungal loads exceeding recommended safety limits, indicating poor hygiene during processing, storage, and marketing. Although the physicochemical properties of most samples were within acceptable standards, they did not guarantee microbiological safety, as visually acceptable oil still harbored potentially harmful fungi. The presence of toxigenic species capable of producing aflatoxins and fumonisins poses significant public health risks, underscoring the need for improved handling practices, better storage conditions, routine microbial surveillance, and stricter enforcement of food safety regulations.</w:t>
      </w:r>
    </w:p>
    <w:p w:rsidR="00771EB1" w:rsidRPr="0014453F" w:rsidRDefault="00771EB1" w:rsidP="00771EB1">
      <w:pPr>
        <w:spacing w:after="0" w:line="240" w:lineRule="auto"/>
        <w:jc w:val="both"/>
        <w:rPr>
          <w:rFonts w:ascii="Times New Roman" w:hAnsi="Times New Roman" w:cs="Times New Roman"/>
        </w:rPr>
      </w:pPr>
    </w:p>
    <w:p w:rsidR="00771EB1" w:rsidRDefault="00771EB1" w:rsidP="002F2181">
      <w:pPr>
        <w:spacing w:line="240" w:lineRule="auto"/>
        <w:jc w:val="both"/>
        <w:rPr>
          <w:rFonts w:ascii="Times New Roman" w:hAnsi="Times New Roman" w:cs="Times New Roman"/>
          <w:b/>
          <w:bCs/>
        </w:rPr>
      </w:pPr>
    </w:p>
    <w:p w:rsidR="002F2181" w:rsidRPr="004D5836" w:rsidRDefault="002F2181" w:rsidP="00771EB1">
      <w:pPr>
        <w:spacing w:after="0" w:line="240" w:lineRule="auto"/>
        <w:jc w:val="both"/>
        <w:rPr>
          <w:rFonts w:ascii="Times New Roman" w:hAnsi="Times New Roman" w:cs="Times New Roman"/>
        </w:rPr>
      </w:pPr>
      <w:r w:rsidRPr="004D5836">
        <w:rPr>
          <w:rFonts w:ascii="Times New Roman" w:hAnsi="Times New Roman" w:cs="Times New Roman"/>
          <w:b/>
          <w:bCs/>
        </w:rPr>
        <w:t xml:space="preserve">COMPETING INTERESTS </w:t>
      </w:r>
    </w:p>
    <w:p w:rsidR="00705B03" w:rsidRDefault="002F2181" w:rsidP="00771EB1">
      <w:pPr>
        <w:spacing w:after="0" w:line="240" w:lineRule="auto"/>
        <w:jc w:val="both"/>
        <w:rPr>
          <w:rFonts w:ascii="Times New Roman" w:hAnsi="Times New Roman" w:cs="Times New Roman"/>
        </w:rPr>
      </w:pPr>
      <w:r w:rsidRPr="004D5836">
        <w:rPr>
          <w:rFonts w:ascii="Times New Roman" w:hAnsi="Times New Roman" w:cs="Times New Roman"/>
        </w:rPr>
        <w:t>Authors have declared that no competing interests exist.</w:t>
      </w:r>
    </w:p>
    <w:p w:rsidR="00BF30AC" w:rsidRDefault="00BF30AC" w:rsidP="00771EB1">
      <w:pPr>
        <w:spacing w:after="0" w:line="240" w:lineRule="auto"/>
        <w:jc w:val="both"/>
        <w:rPr>
          <w:rFonts w:ascii="Times New Roman" w:hAnsi="Times New Roman" w:cs="Times New Roman"/>
        </w:rPr>
      </w:pPr>
    </w:p>
    <w:p w:rsidR="00BF30AC" w:rsidRPr="00707256" w:rsidRDefault="00BF30AC" w:rsidP="00BF30AC">
      <w:pPr>
        <w:keepNext/>
        <w:keepLines/>
        <w:spacing w:before="120" w:after="120" w:line="360" w:lineRule="auto"/>
        <w:jc w:val="both"/>
        <w:outlineLvl w:val="1"/>
        <w:rPr>
          <w:rFonts w:ascii="Times New Roman" w:eastAsia="Times New Roman" w:hAnsi="Times New Roman" w:cs="Times New Roman"/>
          <w:bCs/>
          <w:kern w:val="0"/>
          <w:lang w:val="en-GB" w:eastAsia="en-IN"/>
          <w14:ligatures w14:val="none"/>
        </w:rPr>
      </w:pPr>
      <w:bookmarkStart w:id="9" w:name="_Hlk218867759"/>
      <w:r w:rsidRPr="00707256">
        <w:rPr>
          <w:rFonts w:ascii="Times New Roman" w:eastAsia="Times New Roman" w:hAnsi="Times New Roman" w:cs="Times New Roman"/>
          <w:bCs/>
          <w:kern w:val="0"/>
          <w:lang w:val="en-GB" w:eastAsia="en-IN"/>
          <w14:ligatures w14:val="none"/>
        </w:rPr>
        <w:lastRenderedPageBreak/>
        <w:t>Disclaimer (Artificial intelligence)</w:t>
      </w:r>
    </w:p>
    <w:p w:rsidR="00BF30AC" w:rsidRPr="00BF30AC" w:rsidRDefault="00BF30AC" w:rsidP="00BF30AC">
      <w:pPr>
        <w:keepNext/>
        <w:keepLines/>
        <w:spacing w:before="120" w:after="120" w:line="360" w:lineRule="auto"/>
        <w:jc w:val="both"/>
        <w:outlineLvl w:val="1"/>
        <w:rPr>
          <w:rFonts w:ascii="Times New Roman" w:eastAsia="Times New Roman" w:hAnsi="Times New Roman" w:cs="Times New Roman"/>
          <w:bCs/>
          <w:kern w:val="0"/>
          <w:lang w:val="en-GB" w:eastAsia="en-IN"/>
          <w14:ligatures w14:val="none"/>
        </w:rPr>
      </w:pPr>
      <w:r w:rsidRPr="00707256">
        <w:rPr>
          <w:rFonts w:ascii="Times New Roman" w:eastAsia="Times New Roman" w:hAnsi="Times New Roman" w:cs="Times New Roman"/>
          <w:bCs/>
          <w:kern w:val="0"/>
          <w:lang w:val="en-GB" w:eastAsia="en-IN"/>
          <w14:ligatures w14:val="none"/>
        </w:rPr>
        <w:t xml:space="preserve">Author(s) hereby </w:t>
      </w:r>
      <w:proofErr w:type="gramStart"/>
      <w:r w:rsidRPr="00707256">
        <w:rPr>
          <w:rFonts w:ascii="Times New Roman" w:eastAsia="Times New Roman" w:hAnsi="Times New Roman" w:cs="Times New Roman"/>
          <w:bCs/>
          <w:kern w:val="0"/>
          <w:lang w:val="en-GB" w:eastAsia="en-IN"/>
          <w14:ligatures w14:val="none"/>
        </w:rPr>
        <w:t>declare</w:t>
      </w:r>
      <w:proofErr w:type="gramEnd"/>
      <w:r w:rsidRPr="00707256">
        <w:rPr>
          <w:rFonts w:ascii="Times New Roman" w:eastAsia="Times New Roman" w:hAnsi="Times New Roman" w:cs="Times New Roman"/>
          <w:bCs/>
          <w:kern w:val="0"/>
          <w:lang w:val="en-GB" w:eastAsia="en-IN"/>
          <w14:ligatures w14:val="none"/>
        </w:rPr>
        <w:t xml:space="preserve"> that NO generative AI technologies such as Large Language Models (ChatGPT, COPILOT, etc.) and text-to-image generators have been used during the writing or editing of this manuscript.</w:t>
      </w:r>
      <w:r w:rsidRPr="00BF30AC">
        <w:rPr>
          <w:rFonts w:ascii="Times New Roman" w:eastAsia="Times New Roman" w:hAnsi="Times New Roman" w:cs="Times New Roman"/>
          <w:bCs/>
          <w:kern w:val="0"/>
          <w:lang w:val="en-GB" w:eastAsia="en-IN"/>
          <w14:ligatures w14:val="none"/>
        </w:rPr>
        <w:t xml:space="preserve"> </w:t>
      </w:r>
    </w:p>
    <w:bookmarkEnd w:id="9"/>
    <w:p w:rsidR="00BF30AC" w:rsidRDefault="00BF30AC" w:rsidP="00771EB1">
      <w:pPr>
        <w:spacing w:after="0" w:line="240" w:lineRule="auto"/>
        <w:jc w:val="both"/>
        <w:rPr>
          <w:rFonts w:ascii="Times New Roman" w:hAnsi="Times New Roman" w:cs="Times New Roman"/>
        </w:rPr>
      </w:pPr>
    </w:p>
    <w:p w:rsidR="00771EB1" w:rsidRPr="00705B03" w:rsidRDefault="00771EB1" w:rsidP="00771EB1">
      <w:pPr>
        <w:spacing w:after="0" w:line="240" w:lineRule="auto"/>
        <w:jc w:val="both"/>
        <w:rPr>
          <w:rFonts w:ascii="Times New Roman" w:hAnsi="Times New Roman" w:cs="Times New Roman"/>
        </w:rPr>
      </w:pPr>
    </w:p>
    <w:p w:rsidR="00705B03" w:rsidRPr="00705B03" w:rsidRDefault="00705B03" w:rsidP="00705B03">
      <w:pPr>
        <w:spacing w:line="240" w:lineRule="auto"/>
        <w:jc w:val="center"/>
        <w:rPr>
          <w:rFonts w:ascii="Times New Roman" w:hAnsi="Times New Roman" w:cs="Times New Roman"/>
          <w:b/>
          <w:bCs/>
        </w:rPr>
      </w:pPr>
      <w:r w:rsidRPr="00705B03">
        <w:rPr>
          <w:rFonts w:ascii="Times New Roman" w:hAnsi="Times New Roman" w:cs="Times New Roman"/>
          <w:b/>
          <w:bCs/>
        </w:rPr>
        <w:t>REFERENCES</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Frank NE, Owuamanam CI, Alayande LB. Nutritional evaluation of palm oil consumption. Int J Nutr Food Sci. 2013;2(3):144–149.</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Sasu DD. Global palm oil consumption and trends. Statista Report; 2023.</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MacArthur R, Brown P, Agyeman K. Factors influencing palm oil quality along the supply chain. J Food Process Preserv. 2021;45(9</w:t>
      </w:r>
      <w:proofErr w:type="gramStart"/>
      <w:r w:rsidRPr="00705B03">
        <w:rPr>
          <w:rFonts w:ascii="Times New Roman" w:hAnsi="Times New Roman" w:cs="Times New Roman"/>
        </w:rPr>
        <w:t>):e</w:t>
      </w:r>
      <w:proofErr w:type="gramEnd"/>
      <w:r w:rsidRPr="00705B03">
        <w:rPr>
          <w:rFonts w:ascii="Times New Roman" w:hAnsi="Times New Roman" w:cs="Times New Roman"/>
        </w:rPr>
        <w:t>15730.</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Shahidi F. Bailey’s industrial oil and fat products. 6th ed. Hoboken: Wiley-Interscience; 2005.</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Kedir MS, Hussein A, Abdisa T. Food safety challenges in edible oil production chains. Food Control. 2023;</w:t>
      </w:r>
      <w:r w:rsidR="00771EB1">
        <w:rPr>
          <w:rFonts w:ascii="Times New Roman" w:hAnsi="Times New Roman" w:cs="Times New Roman"/>
        </w:rPr>
        <w:t xml:space="preserve"> </w:t>
      </w:r>
      <w:r w:rsidRPr="00705B03">
        <w:rPr>
          <w:rFonts w:ascii="Times New Roman" w:hAnsi="Times New Roman" w:cs="Times New Roman"/>
        </w:rPr>
        <w:t>143:109286.</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 xml:space="preserve">Hyde KD, Xu J, Rapior S, et al. The amazing diversity of fungi. Fungal Divers. </w:t>
      </w:r>
      <w:proofErr w:type="gramStart"/>
      <w:r w:rsidRPr="00705B03">
        <w:rPr>
          <w:rFonts w:ascii="Times New Roman" w:hAnsi="Times New Roman" w:cs="Times New Roman"/>
        </w:rPr>
        <w:t>2019;99:1</w:t>
      </w:r>
      <w:proofErr w:type="gramEnd"/>
      <w:r w:rsidRPr="00705B03">
        <w:rPr>
          <w:rFonts w:ascii="Times New Roman" w:hAnsi="Times New Roman" w:cs="Times New Roman"/>
        </w:rPr>
        <w:t>–14.</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Zhou L, Wang Y, Li D. Detection of mycotoxins in edible oils using LC–MS/MS. Food Chem. 2023;405:134798.</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 xml:space="preserve">Zhang Y, Li X, Chen Q. Health effects of dietary mycotoxin exposure. Environ Res. </w:t>
      </w:r>
      <w:proofErr w:type="gramStart"/>
      <w:r w:rsidRPr="00705B03">
        <w:rPr>
          <w:rFonts w:ascii="Times New Roman" w:hAnsi="Times New Roman" w:cs="Times New Roman"/>
        </w:rPr>
        <w:t>2024;236:117662</w:t>
      </w:r>
      <w:proofErr w:type="gramEnd"/>
      <w:r w:rsidRPr="00705B03">
        <w:rPr>
          <w:rFonts w:ascii="Times New Roman" w:hAnsi="Times New Roman" w:cs="Times New Roman"/>
        </w:rPr>
        <w:t>.</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World Health Organization. Mycotoxins and food safety. Geneva: WHO; 2023.</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 xml:space="preserve">Adade TC, Mensah DN, Boateng J. Mycotoxin contamination in edible oils: analytical approaches and health implications. Food Control. </w:t>
      </w:r>
      <w:proofErr w:type="gramStart"/>
      <w:r w:rsidRPr="00705B03">
        <w:rPr>
          <w:rFonts w:ascii="Times New Roman" w:hAnsi="Times New Roman" w:cs="Times New Roman"/>
        </w:rPr>
        <w:t>2023;148:109640</w:t>
      </w:r>
      <w:proofErr w:type="gramEnd"/>
      <w:r w:rsidRPr="00705B03">
        <w:rPr>
          <w:rFonts w:ascii="Times New Roman" w:hAnsi="Times New Roman" w:cs="Times New Roman"/>
        </w:rPr>
        <w:t>.</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 xml:space="preserve">Durant AC, Miller JD, Thompson R. Emerging analytical techniques for mycotoxin detection in edible oils. Trends Food Sci Technol. </w:t>
      </w:r>
      <w:proofErr w:type="gramStart"/>
      <w:r w:rsidRPr="00705B03">
        <w:rPr>
          <w:rFonts w:ascii="Times New Roman" w:hAnsi="Times New Roman" w:cs="Times New Roman"/>
        </w:rPr>
        <w:t>2025;146:104</w:t>
      </w:r>
      <w:proofErr w:type="gramEnd"/>
      <w:r w:rsidRPr="00705B03">
        <w:rPr>
          <w:rFonts w:ascii="Times New Roman" w:hAnsi="Times New Roman" w:cs="Times New Roman"/>
        </w:rPr>
        <w:t>–113.</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 xml:space="preserve">Smith LE, Johnson R, Patel M. Fungal contamination and food safety risks in edible oils. Food Control. </w:t>
      </w:r>
      <w:proofErr w:type="gramStart"/>
      <w:r w:rsidRPr="00705B03">
        <w:rPr>
          <w:rFonts w:ascii="Times New Roman" w:hAnsi="Times New Roman" w:cs="Times New Roman"/>
        </w:rPr>
        <w:t>2023;146:109512</w:t>
      </w:r>
      <w:proofErr w:type="gramEnd"/>
      <w:r w:rsidRPr="00705B03">
        <w:rPr>
          <w:rFonts w:ascii="Times New Roman" w:hAnsi="Times New Roman" w:cs="Times New Roman"/>
        </w:rPr>
        <w:t>.</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Abdullahi M, Sadiq IS, Lawal AO. Microbiological quality and safety of unbranded vegetable oils sold in Nigerian markets. Afr J Food Sci. 2023;17(2):45–54.</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Olonrunfemi OJ, Akinwumi IO, Adetunji CO. Mycotoxin contamination of palm oil in Ibadan, Nigeria. J Food Saf. 2014;34(4):339–345.</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 xml:space="preserve">Ubwa ST, Anhwange BA, Gbaa ST. Assessment of aflatoxin levels in palm oil from Nigerian markets. Toxicol Rep. </w:t>
      </w:r>
      <w:proofErr w:type="gramStart"/>
      <w:r w:rsidRPr="00705B03">
        <w:rPr>
          <w:rFonts w:ascii="Times New Roman" w:hAnsi="Times New Roman" w:cs="Times New Roman"/>
        </w:rPr>
        <w:t>2023;10:512</w:t>
      </w:r>
      <w:proofErr w:type="gramEnd"/>
      <w:r w:rsidRPr="00705B03">
        <w:rPr>
          <w:rFonts w:ascii="Times New Roman" w:hAnsi="Times New Roman" w:cs="Times New Roman"/>
        </w:rPr>
        <w:t>–519.</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lastRenderedPageBreak/>
        <w:t>Udensi EA, Ofoegbu OJ. Quality evaluation of palm oil sold in Abia State, Nigeria. J Food Sci Technol. 2007;44(2):130–134.</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Elbehiry A, Marzouk E, Al-Sayegh A. Microbial risks associated with informal food processing systems. Food Saf. 2023;11(2):55–66.</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Onawo SA, Adamu I. Microbial indicators of edible oil quality. Niger J Microbiol. 2018;32(1):4112–4120.</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Lorenzo JM, Munekata PES, Barba FJ. Microbial risks in fats and oils. Foods. 2018;7(6):89.</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 xml:space="preserve">Tesfaye K, Woldegiorgis AZ, Bultosa G. Mycotoxin contamination in edible oils from developing countries. Food Control. </w:t>
      </w:r>
      <w:proofErr w:type="gramStart"/>
      <w:r w:rsidRPr="00705B03">
        <w:rPr>
          <w:rFonts w:ascii="Times New Roman" w:hAnsi="Times New Roman" w:cs="Times New Roman"/>
        </w:rPr>
        <w:t>2015;50:189</w:t>
      </w:r>
      <w:proofErr w:type="gramEnd"/>
      <w:r w:rsidRPr="00705B03">
        <w:rPr>
          <w:rFonts w:ascii="Times New Roman" w:hAnsi="Times New Roman" w:cs="Times New Roman"/>
        </w:rPr>
        <w:t>–195.</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 xml:space="preserve">Ledesma-Bravo L, de Waard M. Climate-driven fungal contamination in tropical food systems. Food Microbiol. </w:t>
      </w:r>
      <w:proofErr w:type="gramStart"/>
      <w:r w:rsidRPr="00705B03">
        <w:rPr>
          <w:rFonts w:ascii="Times New Roman" w:hAnsi="Times New Roman" w:cs="Times New Roman"/>
        </w:rPr>
        <w:t>2024;115:104346</w:t>
      </w:r>
      <w:proofErr w:type="gramEnd"/>
      <w:r w:rsidRPr="00705B03">
        <w:rPr>
          <w:rFonts w:ascii="Times New Roman" w:hAnsi="Times New Roman" w:cs="Times New Roman"/>
        </w:rPr>
        <w:t>.</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 xml:space="preserve">Maduka N, Ugbogu EA. Mycotoxin exposure and food safety in sub-Saharan Africa. Toxicol Rep. </w:t>
      </w:r>
      <w:proofErr w:type="gramStart"/>
      <w:r w:rsidRPr="00705B03">
        <w:rPr>
          <w:rFonts w:ascii="Times New Roman" w:hAnsi="Times New Roman" w:cs="Times New Roman"/>
        </w:rPr>
        <w:t>2024;11:240</w:t>
      </w:r>
      <w:proofErr w:type="gramEnd"/>
      <w:r w:rsidRPr="00705B03">
        <w:rPr>
          <w:rFonts w:ascii="Times New Roman" w:hAnsi="Times New Roman" w:cs="Times New Roman"/>
        </w:rPr>
        <w:t>–249.</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Bastidas-Caldes C, León J, Vargas M. Molecular tools for detection of mycotoxigenic fungi in food systems. J Appl Microbiol. 2024;136(2):345–357.</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Amua QM, Olatunji OS, Adebayo EA. Aflatoxin contamination in locally produced palm oil in Nigeria. J Food Saf Hyg. 2023;9(1):22–30.</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Gautam AK, Sharma S, Bhadauria R. Isolation of fungi from oil-rich substrates using direct plating methods. J Microbiol Biotechnol Res. 2012;2(1):20–26.</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Shamsuddeen U, Magashi AM. Isolation of fungi from edible oils using direct plating techniques. Bayero J Pure Appl Sci. 2004;1(1):45–49.</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 xml:space="preserve">El Hassan AM, Mohammed MA, Ibrahim HA. Morphological identification of foodborne fungi using conventional staining techniques. J Mycol. </w:t>
      </w:r>
      <w:proofErr w:type="gramStart"/>
      <w:r w:rsidRPr="00705B03">
        <w:rPr>
          <w:rFonts w:ascii="Times New Roman" w:hAnsi="Times New Roman" w:cs="Times New Roman"/>
        </w:rPr>
        <w:t>2022;2022:1</w:t>
      </w:r>
      <w:proofErr w:type="gramEnd"/>
      <w:r w:rsidRPr="00705B03">
        <w:rPr>
          <w:rFonts w:ascii="Times New Roman" w:hAnsi="Times New Roman" w:cs="Times New Roman"/>
        </w:rPr>
        <w:t>–9.</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Okafor N, Umeh C, Odimegwu D. Laboratory methods in mycology. Afr J Microbiol Res. 2014;8(10):1050–1057.</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Pitt JI, Hocking AD. Fungi and food spoilage. 3rd ed. New York: Springer; 2009.</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Zhang H, Zhuang Y. Morphological identification of foodborne fungi. J Food Prot. 2012;75(3):520–528.</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 xml:space="preserve">Frisvad JC, Hubka V, Ezekiel CN, et al. Taxonomy of Aspergillus section Flavi and their mycotoxins. Stud Mycol. </w:t>
      </w:r>
      <w:proofErr w:type="gramStart"/>
      <w:r w:rsidRPr="00705B03">
        <w:rPr>
          <w:rFonts w:ascii="Times New Roman" w:hAnsi="Times New Roman" w:cs="Times New Roman"/>
        </w:rPr>
        <w:t>2019;93:1</w:t>
      </w:r>
      <w:proofErr w:type="gramEnd"/>
      <w:r w:rsidRPr="00705B03">
        <w:rPr>
          <w:rFonts w:ascii="Times New Roman" w:hAnsi="Times New Roman" w:cs="Times New Roman"/>
        </w:rPr>
        <w:t>–63.</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 xml:space="preserve">Bottalico A, Perrone G. Toxigenic Fusarium species and mycotoxins associated with head blight in cereals. Eur J Plant Pathol. </w:t>
      </w:r>
      <w:proofErr w:type="gramStart"/>
      <w:r w:rsidRPr="00705B03">
        <w:rPr>
          <w:rFonts w:ascii="Times New Roman" w:hAnsi="Times New Roman" w:cs="Times New Roman"/>
        </w:rPr>
        <w:t>2002;108:611</w:t>
      </w:r>
      <w:proofErr w:type="gramEnd"/>
      <w:r w:rsidRPr="00705B03">
        <w:rPr>
          <w:rFonts w:ascii="Times New Roman" w:hAnsi="Times New Roman" w:cs="Times New Roman"/>
        </w:rPr>
        <w:t>–624.</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 xml:space="preserve">D’Mello JPF, Macdonald AMC. Mycotoxins. Anim Feed Sci Technol. </w:t>
      </w:r>
      <w:proofErr w:type="gramStart"/>
      <w:r w:rsidRPr="00705B03">
        <w:rPr>
          <w:rFonts w:ascii="Times New Roman" w:hAnsi="Times New Roman" w:cs="Times New Roman"/>
        </w:rPr>
        <w:t>1997;69:155</w:t>
      </w:r>
      <w:proofErr w:type="gramEnd"/>
      <w:r w:rsidRPr="00705B03">
        <w:rPr>
          <w:rFonts w:ascii="Times New Roman" w:hAnsi="Times New Roman" w:cs="Times New Roman"/>
        </w:rPr>
        <w:t>–166.</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Samson RA, Houbraken J, Thrane U, et al. Food and indoor fungi. Utrecht: CBS-KNAW Fungal Biodiversity Centre; 2010.</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lastRenderedPageBreak/>
        <w:t>Mallett CP, Smith JE, Moss MO. Food spoilage fungi and prevention strategies. Food Control. 2014;</w:t>
      </w:r>
      <w:r w:rsidR="00771EB1">
        <w:rPr>
          <w:rFonts w:ascii="Times New Roman" w:hAnsi="Times New Roman" w:cs="Times New Roman"/>
        </w:rPr>
        <w:t xml:space="preserve"> </w:t>
      </w:r>
      <w:r w:rsidRPr="00705B03">
        <w:rPr>
          <w:rFonts w:ascii="Times New Roman" w:hAnsi="Times New Roman" w:cs="Times New Roman"/>
        </w:rPr>
        <w:t>40:30–36.</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ICMSF. Microorganisms in foods 7: microbiological testing in food safety management. New York: Kluwer Academic/Plenum; 2002.</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Onyegeme-Okerenta BM, Nrior RR, Amadi EN. Determination of fungi and aflatoxin levels in unbranded palm oil sold in Port Harcourt metropolis. J Food Saf. 2023;43(1</w:t>
      </w:r>
      <w:proofErr w:type="gramStart"/>
      <w:r w:rsidRPr="00705B03">
        <w:rPr>
          <w:rFonts w:ascii="Times New Roman" w:hAnsi="Times New Roman" w:cs="Times New Roman"/>
        </w:rPr>
        <w:t>):e</w:t>
      </w:r>
      <w:proofErr w:type="gramEnd"/>
      <w:r w:rsidRPr="00705B03">
        <w:rPr>
          <w:rFonts w:ascii="Times New Roman" w:hAnsi="Times New Roman" w:cs="Times New Roman"/>
        </w:rPr>
        <w:t>13025.</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Ijah UJJ, Auta HS, Aduloju MO. Mold contamination of crude palm oil sold in Jos, Nigeria. Food Sci Nutr. 2017;5(4):896–903.</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Oladipo IC, Adebayo EA, Akinyosoye FA. Fungal spoilage and aflatoxin risk in palm oil. J Food Saf. 2019;39(6</w:t>
      </w:r>
      <w:proofErr w:type="gramStart"/>
      <w:r w:rsidRPr="00705B03">
        <w:rPr>
          <w:rFonts w:ascii="Times New Roman" w:hAnsi="Times New Roman" w:cs="Times New Roman"/>
        </w:rPr>
        <w:t>):e</w:t>
      </w:r>
      <w:proofErr w:type="gramEnd"/>
      <w:r w:rsidRPr="00705B03">
        <w:rPr>
          <w:rFonts w:ascii="Times New Roman" w:hAnsi="Times New Roman" w:cs="Times New Roman"/>
        </w:rPr>
        <w:t>12702.</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Ekwenye UN. Chemical characteristics of palm oil biodeterioration. Biokemistri. 2006;18(2):141–149.</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Okechalu JN, Dashen MM, Lar PM. Microbiological quality and shelf life of palm oil. J Food Saf. 2011;31(2):179–185.</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Akinola FF, Edema MO, Akinyemi AI. Physicochemical properties of palm oil sold in selected Nigerian markets. Electron J Environ Agric Food Chem. 2010;9(3):473–482.</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 xml:space="preserve">Tagoe SMA, Dickinson MJ, Apetorgbor MM. Factors influencing palm oil color and quality. Food Chem. </w:t>
      </w:r>
      <w:proofErr w:type="gramStart"/>
      <w:r w:rsidRPr="00705B03">
        <w:rPr>
          <w:rFonts w:ascii="Times New Roman" w:hAnsi="Times New Roman" w:cs="Times New Roman"/>
        </w:rPr>
        <w:t>2012;132:241</w:t>
      </w:r>
      <w:proofErr w:type="gramEnd"/>
      <w:r w:rsidRPr="00705B03">
        <w:rPr>
          <w:rFonts w:ascii="Times New Roman" w:hAnsi="Times New Roman" w:cs="Times New Roman"/>
        </w:rPr>
        <w:t>–246.</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 xml:space="preserve">Okorie OC, Nwachukwu IN, Okorie CE. Storage effects on palm oil quality. J Food Qual. </w:t>
      </w:r>
      <w:proofErr w:type="gramStart"/>
      <w:r w:rsidRPr="00705B03">
        <w:rPr>
          <w:rFonts w:ascii="Times New Roman" w:hAnsi="Times New Roman" w:cs="Times New Roman"/>
        </w:rPr>
        <w:t>2018;2018:1</w:t>
      </w:r>
      <w:proofErr w:type="gramEnd"/>
      <w:r w:rsidRPr="00705B03">
        <w:rPr>
          <w:rFonts w:ascii="Times New Roman" w:hAnsi="Times New Roman" w:cs="Times New Roman"/>
        </w:rPr>
        <w:t>–7.</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Standard Organisation of Nigeria. Standards for edible palm oil. Abuja: SON; 2015.</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Adepoju-Bello AA, Olatunde AM, Aladesanmi AJ. Microbial contamination of palm oil sold in southwestern Nigeria. Niger J Pharm Sci. 2019;18(1):12–19.</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 xml:space="preserve">Adewuyi A, Omemu AM, Ogunbanwo ST. Fungal contamination of edible oils in open markets. J Food Qual. </w:t>
      </w:r>
      <w:proofErr w:type="gramStart"/>
      <w:r w:rsidRPr="00705B03">
        <w:rPr>
          <w:rFonts w:ascii="Times New Roman" w:hAnsi="Times New Roman" w:cs="Times New Roman"/>
        </w:rPr>
        <w:t>2020;2020:1</w:t>
      </w:r>
      <w:proofErr w:type="gramEnd"/>
      <w:r w:rsidRPr="00705B03">
        <w:rPr>
          <w:rFonts w:ascii="Times New Roman" w:hAnsi="Times New Roman" w:cs="Times New Roman"/>
        </w:rPr>
        <w:t>–8.</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Bankole SA, Mabekoje OO. Occurrence of moulds, aflatoxin and fumonisin B1 in stored maize in southwestern Nigeria. Food Control. 2004;15(6):513–517.</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 xml:space="preserve">Frisvad JC, Larsen TO, Samson RA. Mycotoxin producers in food and feed. Adv Exp Med Biol. </w:t>
      </w:r>
      <w:proofErr w:type="gramStart"/>
      <w:r w:rsidRPr="00705B03">
        <w:rPr>
          <w:rFonts w:ascii="Times New Roman" w:hAnsi="Times New Roman" w:cs="Times New Roman"/>
        </w:rPr>
        <w:t>2011;698:3</w:t>
      </w:r>
      <w:proofErr w:type="gramEnd"/>
      <w:r w:rsidRPr="00705B03">
        <w:rPr>
          <w:rFonts w:ascii="Times New Roman" w:hAnsi="Times New Roman" w:cs="Times New Roman"/>
        </w:rPr>
        <w:t>–31.</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Adebajo LO, Idowu AA, Adesanya OO. Fungal spoilage of edible oils and associated health risks. J Food Saf. 2018;38(4</w:t>
      </w:r>
      <w:proofErr w:type="gramStart"/>
      <w:r w:rsidRPr="00705B03">
        <w:rPr>
          <w:rFonts w:ascii="Times New Roman" w:hAnsi="Times New Roman" w:cs="Times New Roman"/>
        </w:rPr>
        <w:t>):e</w:t>
      </w:r>
      <w:proofErr w:type="gramEnd"/>
      <w:r w:rsidRPr="00705B03">
        <w:rPr>
          <w:rFonts w:ascii="Times New Roman" w:hAnsi="Times New Roman" w:cs="Times New Roman"/>
        </w:rPr>
        <w:t>12458.</w:t>
      </w:r>
    </w:p>
    <w:p w:rsidR="00705B03" w:rsidRPr="00705B03" w:rsidRDefault="00705B03" w:rsidP="00705B03">
      <w:pPr>
        <w:numPr>
          <w:ilvl w:val="0"/>
          <w:numId w:val="8"/>
        </w:numPr>
        <w:spacing w:line="240" w:lineRule="auto"/>
        <w:rPr>
          <w:rFonts w:ascii="Times New Roman" w:hAnsi="Times New Roman" w:cs="Times New Roman"/>
        </w:rPr>
      </w:pPr>
      <w:r w:rsidRPr="00705B03">
        <w:rPr>
          <w:rFonts w:ascii="Times New Roman" w:hAnsi="Times New Roman" w:cs="Times New Roman"/>
        </w:rPr>
        <w:t>Pestka JJ. Mechanisms of mycotoxin-induced immune suppression. Toxicol. 2010;280(1–2):1–8.</w:t>
      </w:r>
    </w:p>
    <w:p w:rsidR="00673CAB" w:rsidRPr="00C121AA" w:rsidRDefault="00673CAB" w:rsidP="002F2181">
      <w:pPr>
        <w:spacing w:line="240" w:lineRule="auto"/>
        <w:rPr>
          <w:rFonts w:ascii="Times New Roman" w:hAnsi="Times New Roman" w:cs="Times New Roman"/>
        </w:rPr>
      </w:pPr>
    </w:p>
    <w:sectPr w:rsidR="00673CAB" w:rsidRPr="00C121AA" w:rsidSect="00771EB1">
      <w:headerReference w:type="even" r:id="rId21"/>
      <w:headerReference w:type="default" r:id="rId22"/>
      <w:footerReference w:type="even" r:id="rId23"/>
      <w:footerReference w:type="default" r:id="rId24"/>
      <w:headerReference w:type="first" r:id="rId25"/>
      <w:footerReference w:type="first" r:id="rId26"/>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33A0" w:rsidRDefault="000C33A0" w:rsidP="00771EB1">
      <w:pPr>
        <w:spacing w:after="0" w:line="240" w:lineRule="auto"/>
      </w:pPr>
      <w:r>
        <w:separator/>
      </w:r>
    </w:p>
  </w:endnote>
  <w:endnote w:type="continuationSeparator" w:id="0">
    <w:p w:rsidR="000C33A0" w:rsidRDefault="000C33A0" w:rsidP="00771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0EF0" w:rsidRDefault="00E10E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5005776"/>
      <w:docPartObj>
        <w:docPartGallery w:val="Page Numbers (Bottom of Page)"/>
        <w:docPartUnique/>
      </w:docPartObj>
    </w:sdtPr>
    <w:sdtEndPr>
      <w:rPr>
        <w:noProof/>
      </w:rPr>
    </w:sdtEndPr>
    <w:sdtContent>
      <w:p w:rsidR="00771EB1" w:rsidRDefault="00771EB1">
        <w:pPr>
          <w:pStyle w:val="Footer"/>
          <w:jc w:val="center"/>
        </w:pPr>
        <w:r>
          <w:fldChar w:fldCharType="begin"/>
        </w:r>
        <w:r>
          <w:instrText xml:space="preserve"> PAGE   \* MERGEFORMAT </w:instrText>
        </w:r>
        <w:r>
          <w:fldChar w:fldCharType="separate"/>
        </w:r>
        <w:r w:rsidR="00BF30AC">
          <w:rPr>
            <w:noProof/>
          </w:rPr>
          <w:t>1</w:t>
        </w:r>
        <w:r>
          <w:rPr>
            <w:noProof/>
          </w:rPr>
          <w:fldChar w:fldCharType="end"/>
        </w:r>
      </w:p>
    </w:sdtContent>
  </w:sdt>
  <w:p w:rsidR="00771EB1" w:rsidRDefault="00771E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0EF0" w:rsidRDefault="00E10E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33A0" w:rsidRDefault="000C33A0" w:rsidP="00771EB1">
      <w:pPr>
        <w:spacing w:after="0" w:line="240" w:lineRule="auto"/>
      </w:pPr>
      <w:r>
        <w:separator/>
      </w:r>
    </w:p>
  </w:footnote>
  <w:footnote w:type="continuationSeparator" w:id="0">
    <w:p w:rsidR="000C33A0" w:rsidRDefault="000C33A0" w:rsidP="00771E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0EF0"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0412861"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0EF0"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0412862"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0EF0"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0412860"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F582A"/>
    <w:multiLevelType w:val="multilevel"/>
    <w:tmpl w:val="3B801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55263D"/>
    <w:multiLevelType w:val="hybridMultilevel"/>
    <w:tmpl w:val="FCAA9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0E710A"/>
    <w:multiLevelType w:val="multilevel"/>
    <w:tmpl w:val="AD14719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50465567"/>
    <w:multiLevelType w:val="multilevel"/>
    <w:tmpl w:val="46942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C0167A"/>
    <w:multiLevelType w:val="multilevel"/>
    <w:tmpl w:val="F3F0C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2E7F8C"/>
    <w:multiLevelType w:val="hybridMultilevel"/>
    <w:tmpl w:val="6E0AF9EE"/>
    <w:lvl w:ilvl="0" w:tplc="BD3C235E">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5E13F4"/>
    <w:multiLevelType w:val="multilevel"/>
    <w:tmpl w:val="59209BA0"/>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73DB6BA9"/>
    <w:multiLevelType w:val="multilevel"/>
    <w:tmpl w:val="0ACC8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024D5B"/>
    <w:multiLevelType w:val="multilevel"/>
    <w:tmpl w:val="A2B8D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E60C72"/>
    <w:multiLevelType w:val="multilevel"/>
    <w:tmpl w:val="6568D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0212218">
    <w:abstractNumId w:val="1"/>
  </w:num>
  <w:num w:numId="2" w16cid:durableId="1720397998">
    <w:abstractNumId w:val="5"/>
  </w:num>
  <w:num w:numId="3" w16cid:durableId="1788305802">
    <w:abstractNumId w:val="6"/>
  </w:num>
  <w:num w:numId="4" w16cid:durableId="885874325">
    <w:abstractNumId w:val="9"/>
  </w:num>
  <w:num w:numId="5" w16cid:durableId="835068744">
    <w:abstractNumId w:val="7"/>
  </w:num>
  <w:num w:numId="6" w16cid:durableId="2145543153">
    <w:abstractNumId w:val="3"/>
  </w:num>
  <w:num w:numId="7" w16cid:durableId="1674187355">
    <w:abstractNumId w:val="4"/>
  </w:num>
  <w:num w:numId="8" w16cid:durableId="573662781">
    <w:abstractNumId w:val="8"/>
  </w:num>
  <w:num w:numId="9" w16cid:durableId="843323855">
    <w:abstractNumId w:val="0"/>
  </w:num>
  <w:num w:numId="10" w16cid:durableId="5719617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D9"/>
    <w:rsid w:val="000171F8"/>
    <w:rsid w:val="00062719"/>
    <w:rsid w:val="00095EF4"/>
    <w:rsid w:val="000B2DFF"/>
    <w:rsid w:val="000C33A0"/>
    <w:rsid w:val="001425C8"/>
    <w:rsid w:val="0014453F"/>
    <w:rsid w:val="001612FF"/>
    <w:rsid w:val="00161A40"/>
    <w:rsid w:val="00187F75"/>
    <w:rsid w:val="00191501"/>
    <w:rsid w:val="0021068D"/>
    <w:rsid w:val="00262EB2"/>
    <w:rsid w:val="00295EBE"/>
    <w:rsid w:val="002A6053"/>
    <w:rsid w:val="002E407A"/>
    <w:rsid w:val="002F2181"/>
    <w:rsid w:val="0032503E"/>
    <w:rsid w:val="00345767"/>
    <w:rsid w:val="0037570C"/>
    <w:rsid w:val="003878E0"/>
    <w:rsid w:val="003910BB"/>
    <w:rsid w:val="003A0886"/>
    <w:rsid w:val="003F72D9"/>
    <w:rsid w:val="00455859"/>
    <w:rsid w:val="004B6AE3"/>
    <w:rsid w:val="004D1807"/>
    <w:rsid w:val="004E6A02"/>
    <w:rsid w:val="004F24B6"/>
    <w:rsid w:val="005405D6"/>
    <w:rsid w:val="00542823"/>
    <w:rsid w:val="00571E69"/>
    <w:rsid w:val="005F7CEC"/>
    <w:rsid w:val="00673CAB"/>
    <w:rsid w:val="006C3602"/>
    <w:rsid w:val="00705B03"/>
    <w:rsid w:val="00707256"/>
    <w:rsid w:val="00713F32"/>
    <w:rsid w:val="0074249A"/>
    <w:rsid w:val="00771EB1"/>
    <w:rsid w:val="00847B6C"/>
    <w:rsid w:val="00885300"/>
    <w:rsid w:val="00894A0C"/>
    <w:rsid w:val="008E216C"/>
    <w:rsid w:val="009771A9"/>
    <w:rsid w:val="009E0799"/>
    <w:rsid w:val="00A251A9"/>
    <w:rsid w:val="00A80CCA"/>
    <w:rsid w:val="00BA26F6"/>
    <w:rsid w:val="00BF30AC"/>
    <w:rsid w:val="00C121AA"/>
    <w:rsid w:val="00C16619"/>
    <w:rsid w:val="00C46DA5"/>
    <w:rsid w:val="00CB08F2"/>
    <w:rsid w:val="00CE435E"/>
    <w:rsid w:val="00D34245"/>
    <w:rsid w:val="00DC40D4"/>
    <w:rsid w:val="00DE3456"/>
    <w:rsid w:val="00DE3C98"/>
    <w:rsid w:val="00E10EF0"/>
    <w:rsid w:val="00E84D7E"/>
    <w:rsid w:val="00EC5E08"/>
    <w:rsid w:val="00ED0046"/>
    <w:rsid w:val="00F3476E"/>
    <w:rsid w:val="00FF1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1F1B1F46-18DC-49CF-B1C4-CAD24A5B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2D9"/>
  </w:style>
  <w:style w:type="paragraph" w:styleId="Heading1">
    <w:name w:val="heading 1"/>
    <w:basedOn w:val="Normal"/>
    <w:next w:val="Normal"/>
    <w:link w:val="Heading1Char"/>
    <w:uiPriority w:val="9"/>
    <w:qFormat/>
    <w:rsid w:val="003F72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72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72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72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72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72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72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72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72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2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F72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72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72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72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72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72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72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72D9"/>
    <w:rPr>
      <w:rFonts w:eastAsiaTheme="majorEastAsia" w:cstheme="majorBidi"/>
      <w:color w:val="272727" w:themeColor="text1" w:themeTint="D8"/>
    </w:rPr>
  </w:style>
  <w:style w:type="paragraph" w:styleId="Title">
    <w:name w:val="Title"/>
    <w:basedOn w:val="Normal"/>
    <w:next w:val="Normal"/>
    <w:link w:val="TitleChar"/>
    <w:uiPriority w:val="10"/>
    <w:qFormat/>
    <w:rsid w:val="003F72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72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72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72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72D9"/>
    <w:pPr>
      <w:spacing w:before="160"/>
      <w:jc w:val="center"/>
    </w:pPr>
    <w:rPr>
      <w:i/>
      <w:iCs/>
      <w:color w:val="404040" w:themeColor="text1" w:themeTint="BF"/>
    </w:rPr>
  </w:style>
  <w:style w:type="character" w:customStyle="1" w:styleId="QuoteChar">
    <w:name w:val="Quote Char"/>
    <w:basedOn w:val="DefaultParagraphFont"/>
    <w:link w:val="Quote"/>
    <w:uiPriority w:val="29"/>
    <w:rsid w:val="003F72D9"/>
    <w:rPr>
      <w:i/>
      <w:iCs/>
      <w:color w:val="404040" w:themeColor="text1" w:themeTint="BF"/>
    </w:rPr>
  </w:style>
  <w:style w:type="paragraph" w:styleId="ListParagraph">
    <w:name w:val="List Paragraph"/>
    <w:basedOn w:val="Normal"/>
    <w:uiPriority w:val="34"/>
    <w:qFormat/>
    <w:rsid w:val="003F72D9"/>
    <w:pPr>
      <w:ind w:left="720"/>
      <w:contextualSpacing/>
    </w:pPr>
  </w:style>
  <w:style w:type="character" w:styleId="IntenseEmphasis">
    <w:name w:val="Intense Emphasis"/>
    <w:basedOn w:val="DefaultParagraphFont"/>
    <w:uiPriority w:val="21"/>
    <w:qFormat/>
    <w:rsid w:val="003F72D9"/>
    <w:rPr>
      <w:i/>
      <w:iCs/>
      <w:color w:val="2F5496" w:themeColor="accent1" w:themeShade="BF"/>
    </w:rPr>
  </w:style>
  <w:style w:type="paragraph" w:styleId="IntenseQuote">
    <w:name w:val="Intense Quote"/>
    <w:basedOn w:val="Normal"/>
    <w:next w:val="Normal"/>
    <w:link w:val="IntenseQuoteChar"/>
    <w:uiPriority w:val="30"/>
    <w:qFormat/>
    <w:rsid w:val="003F72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72D9"/>
    <w:rPr>
      <w:i/>
      <w:iCs/>
      <w:color w:val="2F5496" w:themeColor="accent1" w:themeShade="BF"/>
    </w:rPr>
  </w:style>
  <w:style w:type="character" w:styleId="IntenseReference">
    <w:name w:val="Intense Reference"/>
    <w:basedOn w:val="DefaultParagraphFont"/>
    <w:uiPriority w:val="32"/>
    <w:qFormat/>
    <w:rsid w:val="003F72D9"/>
    <w:rPr>
      <w:b/>
      <w:bCs/>
      <w:smallCaps/>
      <w:color w:val="2F5496" w:themeColor="accent1" w:themeShade="BF"/>
      <w:spacing w:val="5"/>
    </w:rPr>
  </w:style>
  <w:style w:type="character" w:styleId="Hyperlink">
    <w:name w:val="Hyperlink"/>
    <w:basedOn w:val="DefaultParagraphFont"/>
    <w:uiPriority w:val="99"/>
    <w:unhideWhenUsed/>
    <w:rsid w:val="00C121AA"/>
    <w:rPr>
      <w:color w:val="0563C1" w:themeColor="hyperlink"/>
      <w:u w:val="single"/>
    </w:rPr>
  </w:style>
  <w:style w:type="paragraph" w:styleId="NormalWeb">
    <w:name w:val="Normal (Web)"/>
    <w:basedOn w:val="Normal"/>
    <w:uiPriority w:val="99"/>
    <w:unhideWhenUsed/>
    <w:qFormat/>
    <w:rsid w:val="0037570C"/>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qFormat/>
    <w:rsid w:val="0037570C"/>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37570C"/>
    <w:pPr>
      <w:spacing w:after="200" w:line="240" w:lineRule="auto"/>
    </w:pPr>
    <w:rPr>
      <w:rFonts w:eastAsiaTheme="minorEastAsia"/>
      <w:i/>
      <w:iCs/>
      <w:color w:val="44546A" w:themeColor="text2"/>
      <w:kern w:val="0"/>
      <w:sz w:val="18"/>
      <w:szCs w:val="18"/>
      <w14:ligatures w14:val="none"/>
    </w:rPr>
  </w:style>
  <w:style w:type="paragraph" w:customStyle="1" w:styleId="Default">
    <w:name w:val="Default"/>
    <w:rsid w:val="0037570C"/>
    <w:pPr>
      <w:autoSpaceDE w:val="0"/>
      <w:autoSpaceDN w:val="0"/>
      <w:adjustRightInd w:val="0"/>
      <w:spacing w:after="0" w:line="240" w:lineRule="auto"/>
    </w:pPr>
    <w:rPr>
      <w:rFonts w:ascii="Arial" w:hAnsi="Arial" w:cs="Arial"/>
      <w:color w:val="000000"/>
      <w:kern w:val="0"/>
    </w:rPr>
  </w:style>
  <w:style w:type="character" w:styleId="Emphasis">
    <w:name w:val="Emphasis"/>
    <w:basedOn w:val="DefaultParagraphFont"/>
    <w:uiPriority w:val="20"/>
    <w:qFormat/>
    <w:rsid w:val="0037570C"/>
    <w:rPr>
      <w:i/>
      <w:iCs/>
    </w:rPr>
  </w:style>
  <w:style w:type="paragraph" w:styleId="Header">
    <w:name w:val="header"/>
    <w:basedOn w:val="Normal"/>
    <w:link w:val="HeaderChar"/>
    <w:uiPriority w:val="99"/>
    <w:unhideWhenUsed/>
    <w:rsid w:val="00771E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EB1"/>
  </w:style>
  <w:style w:type="paragraph" w:styleId="Footer">
    <w:name w:val="footer"/>
    <w:basedOn w:val="Normal"/>
    <w:link w:val="FooterChar"/>
    <w:uiPriority w:val="99"/>
    <w:unhideWhenUsed/>
    <w:rsid w:val="00771E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EB1"/>
  </w:style>
  <w:style w:type="character" w:customStyle="1" w:styleId="UnresolvedMention1">
    <w:name w:val="Unresolved Mention1"/>
    <w:basedOn w:val="DefaultParagraphFont"/>
    <w:uiPriority w:val="99"/>
    <w:semiHidden/>
    <w:unhideWhenUsed/>
    <w:rsid w:val="00771E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72293">
      <w:bodyDiv w:val="1"/>
      <w:marLeft w:val="0"/>
      <w:marRight w:val="0"/>
      <w:marTop w:val="0"/>
      <w:marBottom w:val="0"/>
      <w:divBdr>
        <w:top w:val="none" w:sz="0" w:space="0" w:color="auto"/>
        <w:left w:val="none" w:sz="0" w:space="0" w:color="auto"/>
        <w:bottom w:val="none" w:sz="0" w:space="0" w:color="auto"/>
        <w:right w:val="none" w:sz="0" w:space="0" w:color="auto"/>
      </w:divBdr>
      <w:divsChild>
        <w:div w:id="449322527">
          <w:blockQuote w:val="1"/>
          <w:marLeft w:val="720"/>
          <w:marRight w:val="720"/>
          <w:marTop w:val="100"/>
          <w:marBottom w:val="100"/>
          <w:divBdr>
            <w:top w:val="none" w:sz="0" w:space="0" w:color="auto"/>
            <w:left w:val="none" w:sz="0" w:space="0" w:color="auto"/>
            <w:bottom w:val="none" w:sz="0" w:space="0" w:color="auto"/>
            <w:right w:val="none" w:sz="0" w:space="0" w:color="auto"/>
          </w:divBdr>
        </w:div>
        <w:div w:id="735513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04208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856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355620">
          <w:blockQuote w:val="1"/>
          <w:marLeft w:val="720"/>
          <w:marRight w:val="720"/>
          <w:marTop w:val="100"/>
          <w:marBottom w:val="100"/>
          <w:divBdr>
            <w:top w:val="none" w:sz="0" w:space="0" w:color="auto"/>
            <w:left w:val="none" w:sz="0" w:space="0" w:color="auto"/>
            <w:bottom w:val="none" w:sz="0" w:space="0" w:color="auto"/>
            <w:right w:val="none" w:sz="0" w:space="0" w:color="auto"/>
          </w:divBdr>
        </w:div>
        <w:div w:id="600652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517548">
      <w:bodyDiv w:val="1"/>
      <w:marLeft w:val="0"/>
      <w:marRight w:val="0"/>
      <w:marTop w:val="0"/>
      <w:marBottom w:val="0"/>
      <w:divBdr>
        <w:top w:val="none" w:sz="0" w:space="0" w:color="auto"/>
        <w:left w:val="none" w:sz="0" w:space="0" w:color="auto"/>
        <w:bottom w:val="none" w:sz="0" w:space="0" w:color="auto"/>
        <w:right w:val="none" w:sz="0" w:space="0" w:color="auto"/>
      </w:divBdr>
    </w:div>
    <w:div w:id="153498583">
      <w:bodyDiv w:val="1"/>
      <w:marLeft w:val="0"/>
      <w:marRight w:val="0"/>
      <w:marTop w:val="0"/>
      <w:marBottom w:val="0"/>
      <w:divBdr>
        <w:top w:val="none" w:sz="0" w:space="0" w:color="auto"/>
        <w:left w:val="none" w:sz="0" w:space="0" w:color="auto"/>
        <w:bottom w:val="none" w:sz="0" w:space="0" w:color="auto"/>
        <w:right w:val="none" w:sz="0" w:space="0" w:color="auto"/>
      </w:divBdr>
    </w:div>
    <w:div w:id="206727814">
      <w:bodyDiv w:val="1"/>
      <w:marLeft w:val="0"/>
      <w:marRight w:val="0"/>
      <w:marTop w:val="0"/>
      <w:marBottom w:val="0"/>
      <w:divBdr>
        <w:top w:val="none" w:sz="0" w:space="0" w:color="auto"/>
        <w:left w:val="none" w:sz="0" w:space="0" w:color="auto"/>
        <w:bottom w:val="none" w:sz="0" w:space="0" w:color="auto"/>
        <w:right w:val="none" w:sz="0" w:space="0" w:color="auto"/>
      </w:divBdr>
    </w:div>
    <w:div w:id="333917062">
      <w:bodyDiv w:val="1"/>
      <w:marLeft w:val="0"/>
      <w:marRight w:val="0"/>
      <w:marTop w:val="0"/>
      <w:marBottom w:val="0"/>
      <w:divBdr>
        <w:top w:val="none" w:sz="0" w:space="0" w:color="auto"/>
        <w:left w:val="none" w:sz="0" w:space="0" w:color="auto"/>
        <w:bottom w:val="none" w:sz="0" w:space="0" w:color="auto"/>
        <w:right w:val="none" w:sz="0" w:space="0" w:color="auto"/>
      </w:divBdr>
    </w:div>
    <w:div w:id="517500875">
      <w:bodyDiv w:val="1"/>
      <w:marLeft w:val="0"/>
      <w:marRight w:val="0"/>
      <w:marTop w:val="0"/>
      <w:marBottom w:val="0"/>
      <w:divBdr>
        <w:top w:val="none" w:sz="0" w:space="0" w:color="auto"/>
        <w:left w:val="none" w:sz="0" w:space="0" w:color="auto"/>
        <w:bottom w:val="none" w:sz="0" w:space="0" w:color="auto"/>
        <w:right w:val="none" w:sz="0" w:space="0" w:color="auto"/>
      </w:divBdr>
    </w:div>
    <w:div w:id="877427384">
      <w:bodyDiv w:val="1"/>
      <w:marLeft w:val="0"/>
      <w:marRight w:val="0"/>
      <w:marTop w:val="0"/>
      <w:marBottom w:val="0"/>
      <w:divBdr>
        <w:top w:val="none" w:sz="0" w:space="0" w:color="auto"/>
        <w:left w:val="none" w:sz="0" w:space="0" w:color="auto"/>
        <w:bottom w:val="none" w:sz="0" w:space="0" w:color="auto"/>
        <w:right w:val="none" w:sz="0" w:space="0" w:color="auto"/>
      </w:divBdr>
    </w:div>
    <w:div w:id="880552078">
      <w:bodyDiv w:val="1"/>
      <w:marLeft w:val="0"/>
      <w:marRight w:val="0"/>
      <w:marTop w:val="0"/>
      <w:marBottom w:val="0"/>
      <w:divBdr>
        <w:top w:val="none" w:sz="0" w:space="0" w:color="auto"/>
        <w:left w:val="none" w:sz="0" w:space="0" w:color="auto"/>
        <w:bottom w:val="none" w:sz="0" w:space="0" w:color="auto"/>
        <w:right w:val="none" w:sz="0" w:space="0" w:color="auto"/>
      </w:divBdr>
    </w:div>
    <w:div w:id="942683801">
      <w:bodyDiv w:val="1"/>
      <w:marLeft w:val="0"/>
      <w:marRight w:val="0"/>
      <w:marTop w:val="0"/>
      <w:marBottom w:val="0"/>
      <w:divBdr>
        <w:top w:val="none" w:sz="0" w:space="0" w:color="auto"/>
        <w:left w:val="none" w:sz="0" w:space="0" w:color="auto"/>
        <w:bottom w:val="none" w:sz="0" w:space="0" w:color="auto"/>
        <w:right w:val="none" w:sz="0" w:space="0" w:color="auto"/>
      </w:divBdr>
      <w:divsChild>
        <w:div w:id="19749471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081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728310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27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82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5236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864290">
      <w:bodyDiv w:val="1"/>
      <w:marLeft w:val="0"/>
      <w:marRight w:val="0"/>
      <w:marTop w:val="0"/>
      <w:marBottom w:val="0"/>
      <w:divBdr>
        <w:top w:val="none" w:sz="0" w:space="0" w:color="auto"/>
        <w:left w:val="none" w:sz="0" w:space="0" w:color="auto"/>
        <w:bottom w:val="none" w:sz="0" w:space="0" w:color="auto"/>
        <w:right w:val="none" w:sz="0" w:space="0" w:color="auto"/>
      </w:divBdr>
    </w:div>
    <w:div w:id="1197281169">
      <w:bodyDiv w:val="1"/>
      <w:marLeft w:val="0"/>
      <w:marRight w:val="0"/>
      <w:marTop w:val="0"/>
      <w:marBottom w:val="0"/>
      <w:divBdr>
        <w:top w:val="none" w:sz="0" w:space="0" w:color="auto"/>
        <w:left w:val="none" w:sz="0" w:space="0" w:color="auto"/>
        <w:bottom w:val="none" w:sz="0" w:space="0" w:color="auto"/>
        <w:right w:val="none" w:sz="0" w:space="0" w:color="auto"/>
      </w:divBdr>
    </w:div>
    <w:div w:id="1305695303">
      <w:bodyDiv w:val="1"/>
      <w:marLeft w:val="0"/>
      <w:marRight w:val="0"/>
      <w:marTop w:val="0"/>
      <w:marBottom w:val="0"/>
      <w:divBdr>
        <w:top w:val="none" w:sz="0" w:space="0" w:color="auto"/>
        <w:left w:val="none" w:sz="0" w:space="0" w:color="auto"/>
        <w:bottom w:val="none" w:sz="0" w:space="0" w:color="auto"/>
        <w:right w:val="none" w:sz="0" w:space="0" w:color="auto"/>
      </w:divBdr>
    </w:div>
    <w:div w:id="1545557297">
      <w:bodyDiv w:val="1"/>
      <w:marLeft w:val="0"/>
      <w:marRight w:val="0"/>
      <w:marTop w:val="0"/>
      <w:marBottom w:val="0"/>
      <w:divBdr>
        <w:top w:val="none" w:sz="0" w:space="0" w:color="auto"/>
        <w:left w:val="none" w:sz="0" w:space="0" w:color="auto"/>
        <w:bottom w:val="none" w:sz="0" w:space="0" w:color="auto"/>
        <w:right w:val="none" w:sz="0" w:space="0" w:color="auto"/>
      </w:divBdr>
    </w:div>
    <w:div w:id="191531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300" TargetMode="External"/><Relationship Id="rId13" Type="http://schemas.openxmlformats.org/officeDocument/2006/relationships/hyperlink" Target="tel:0.30" TargetMode="External"/><Relationship Id="rId18" Type="http://schemas.openxmlformats.org/officeDocument/2006/relationships/hyperlink" Target="tel:40.0"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tel:100" TargetMode="External"/><Relationship Id="rId12" Type="http://schemas.openxmlformats.org/officeDocument/2006/relationships/hyperlink" Target="tel:0.22" TargetMode="External"/><Relationship Id="rId17" Type="http://schemas.openxmlformats.org/officeDocument/2006/relationships/hyperlink" Target="tel:50.0"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tel:0.3" TargetMode="External"/><Relationship Id="rId20" Type="http://schemas.openxmlformats.org/officeDocument/2006/relationships/hyperlink" Target="tel:12.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100"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tel:0.22"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tel:100" TargetMode="External"/><Relationship Id="rId19" Type="http://schemas.openxmlformats.org/officeDocument/2006/relationships/hyperlink" Target="tel:40.0" TargetMode="External"/><Relationship Id="rId4" Type="http://schemas.openxmlformats.org/officeDocument/2006/relationships/webSettings" Target="webSettings.xml"/><Relationship Id="rId9" Type="http://schemas.openxmlformats.org/officeDocument/2006/relationships/hyperlink" Target="tel:105" TargetMode="External"/><Relationship Id="rId14" Type="http://schemas.openxmlformats.org/officeDocument/2006/relationships/hyperlink" Target="tel:0.30"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11</Pages>
  <Words>5007</Words>
  <Characters>28540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MOSES</dc:creator>
  <cp:keywords/>
  <dc:description/>
  <cp:lastModifiedBy>PETER MOSES</cp:lastModifiedBy>
  <cp:revision>7</cp:revision>
  <dcterms:created xsi:type="dcterms:W3CDTF">2026-03-05T19:57:00Z</dcterms:created>
  <dcterms:modified xsi:type="dcterms:W3CDTF">2026-03-20T03:30:00Z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02c4a080-ac3c-4aae-9f55-57ab443f576f</vt:lpwstr>
  </property>
</Properties>
</file>