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03F29" w14:textId="77777777" w:rsidR="00754C9A" w:rsidRDefault="00754C9A" w:rsidP="003F5B1C">
      <w:pPr>
        <w:pStyle w:val="Title"/>
        <w:spacing w:after="0"/>
        <w:jc w:val="both"/>
        <w:rPr>
          <w:rFonts w:ascii="Arial" w:hAnsi="Arial" w:cs="Arial"/>
        </w:rPr>
      </w:pPr>
    </w:p>
    <w:p w14:paraId="6E33DC43" w14:textId="79C58ACD" w:rsidR="00A258C3" w:rsidRDefault="008A47A1" w:rsidP="003F5B1C">
      <w:pPr>
        <w:pStyle w:val="Author"/>
        <w:spacing w:line="240" w:lineRule="auto"/>
        <w:jc w:val="both"/>
        <w:rPr>
          <w:rFonts w:ascii="Arial" w:hAnsi="Arial" w:cs="Arial"/>
          <w:bCs/>
          <w:iCs/>
          <w:kern w:val="28"/>
          <w:sz w:val="36"/>
        </w:rPr>
      </w:pPr>
      <w:r w:rsidRPr="008A47A1">
        <w:rPr>
          <w:rFonts w:ascii="Arial" w:hAnsi="Arial" w:cs="Arial"/>
          <w:bCs/>
          <w:iCs/>
          <w:kern w:val="28"/>
          <w:sz w:val="36"/>
        </w:rPr>
        <w:t xml:space="preserve">Marketing efficiency and </w:t>
      </w:r>
      <w:r>
        <w:rPr>
          <w:rFonts w:ascii="Arial" w:hAnsi="Arial" w:cs="Arial"/>
          <w:bCs/>
          <w:iCs/>
          <w:kern w:val="28"/>
          <w:sz w:val="36"/>
        </w:rPr>
        <w:t>P</w:t>
      </w:r>
      <w:r w:rsidRPr="008A47A1">
        <w:rPr>
          <w:rFonts w:ascii="Arial" w:hAnsi="Arial" w:cs="Arial"/>
          <w:bCs/>
          <w:iCs/>
          <w:kern w:val="28"/>
          <w:sz w:val="36"/>
        </w:rPr>
        <w:t xml:space="preserve">rice dynamics of </w:t>
      </w:r>
      <w:r>
        <w:rPr>
          <w:rFonts w:ascii="Arial" w:hAnsi="Arial" w:cs="Arial"/>
          <w:bCs/>
          <w:iCs/>
          <w:kern w:val="28"/>
          <w:sz w:val="36"/>
        </w:rPr>
        <w:t>O</w:t>
      </w:r>
      <w:r w:rsidRPr="008A47A1">
        <w:rPr>
          <w:rFonts w:ascii="Arial" w:hAnsi="Arial" w:cs="Arial"/>
          <w:bCs/>
          <w:iCs/>
          <w:kern w:val="28"/>
          <w:sz w:val="36"/>
        </w:rPr>
        <w:t>ff-</w:t>
      </w:r>
      <w:r>
        <w:rPr>
          <w:rFonts w:ascii="Arial" w:hAnsi="Arial" w:cs="Arial"/>
          <w:bCs/>
          <w:iCs/>
          <w:kern w:val="28"/>
          <w:sz w:val="36"/>
        </w:rPr>
        <w:t>S</w:t>
      </w:r>
      <w:r w:rsidRPr="008A47A1">
        <w:rPr>
          <w:rFonts w:ascii="Arial" w:hAnsi="Arial" w:cs="Arial"/>
          <w:bCs/>
          <w:iCs/>
          <w:kern w:val="28"/>
          <w:sz w:val="36"/>
        </w:rPr>
        <w:t xml:space="preserve">eason </w:t>
      </w:r>
      <w:r>
        <w:rPr>
          <w:rFonts w:ascii="Arial" w:hAnsi="Arial" w:cs="Arial"/>
          <w:bCs/>
          <w:iCs/>
          <w:kern w:val="28"/>
          <w:sz w:val="36"/>
        </w:rPr>
        <w:t>C</w:t>
      </w:r>
      <w:r w:rsidRPr="008A47A1">
        <w:rPr>
          <w:rFonts w:ascii="Arial" w:hAnsi="Arial" w:cs="Arial"/>
          <w:bCs/>
          <w:iCs/>
          <w:kern w:val="28"/>
          <w:sz w:val="36"/>
        </w:rPr>
        <w:t xml:space="preserve">abbage in </w:t>
      </w:r>
      <w:r>
        <w:rPr>
          <w:rFonts w:ascii="Arial" w:hAnsi="Arial" w:cs="Arial"/>
          <w:bCs/>
          <w:iCs/>
          <w:kern w:val="28"/>
          <w:sz w:val="36"/>
        </w:rPr>
        <w:t>M</w:t>
      </w:r>
      <w:r w:rsidRPr="008A47A1">
        <w:rPr>
          <w:rFonts w:ascii="Arial" w:hAnsi="Arial" w:cs="Arial"/>
          <w:bCs/>
          <w:iCs/>
          <w:kern w:val="28"/>
          <w:sz w:val="36"/>
        </w:rPr>
        <w:t xml:space="preserve">anipur: </w:t>
      </w:r>
      <w:r>
        <w:rPr>
          <w:rFonts w:ascii="Arial" w:hAnsi="Arial" w:cs="Arial"/>
          <w:bCs/>
          <w:iCs/>
          <w:kern w:val="28"/>
          <w:sz w:val="36"/>
        </w:rPr>
        <w:t>A</w:t>
      </w:r>
      <w:r w:rsidRPr="008A47A1">
        <w:rPr>
          <w:rFonts w:ascii="Arial" w:hAnsi="Arial" w:cs="Arial"/>
          <w:bCs/>
          <w:iCs/>
          <w:kern w:val="28"/>
          <w:sz w:val="36"/>
        </w:rPr>
        <w:t xml:space="preserve"> </w:t>
      </w:r>
      <w:r>
        <w:rPr>
          <w:rFonts w:ascii="Arial" w:hAnsi="Arial" w:cs="Arial"/>
          <w:bCs/>
          <w:iCs/>
          <w:kern w:val="28"/>
          <w:sz w:val="36"/>
        </w:rPr>
        <w:t>B</w:t>
      </w:r>
      <w:r w:rsidRPr="008A47A1">
        <w:rPr>
          <w:rFonts w:ascii="Arial" w:hAnsi="Arial" w:cs="Arial"/>
          <w:bCs/>
          <w:iCs/>
          <w:kern w:val="28"/>
          <w:sz w:val="36"/>
        </w:rPr>
        <w:t>ernoulli–</w:t>
      </w:r>
      <w:r>
        <w:rPr>
          <w:rFonts w:ascii="Arial" w:hAnsi="Arial" w:cs="Arial"/>
          <w:bCs/>
          <w:iCs/>
          <w:kern w:val="28"/>
          <w:sz w:val="36"/>
        </w:rPr>
        <w:t>B</w:t>
      </w:r>
      <w:r w:rsidRPr="008A47A1">
        <w:rPr>
          <w:rFonts w:ascii="Arial" w:hAnsi="Arial" w:cs="Arial"/>
          <w:bCs/>
          <w:iCs/>
          <w:kern w:val="28"/>
          <w:sz w:val="36"/>
        </w:rPr>
        <w:t>inomial approach</w:t>
      </w:r>
    </w:p>
    <w:p w14:paraId="16E56C5B" w14:textId="77777777" w:rsidR="008A47A1" w:rsidRPr="008A47A1" w:rsidRDefault="008A47A1" w:rsidP="003F5B1C">
      <w:pPr>
        <w:pStyle w:val="Author"/>
        <w:spacing w:line="240" w:lineRule="auto"/>
        <w:jc w:val="both"/>
        <w:rPr>
          <w:rFonts w:ascii="Arial" w:hAnsi="Arial" w:cs="Arial"/>
          <w:bCs/>
          <w:iCs/>
          <w:kern w:val="28"/>
          <w:sz w:val="36"/>
        </w:rPr>
      </w:pPr>
    </w:p>
    <w:p w14:paraId="398BAC77" w14:textId="77777777" w:rsidR="002C57D2" w:rsidRPr="00FB3A86" w:rsidRDefault="002C57D2" w:rsidP="003F5B1C">
      <w:pPr>
        <w:pStyle w:val="Affiliation"/>
        <w:spacing w:after="0" w:line="240" w:lineRule="auto"/>
        <w:jc w:val="both"/>
        <w:rPr>
          <w:rFonts w:ascii="Arial" w:hAnsi="Arial" w:cs="Arial"/>
        </w:rPr>
      </w:pPr>
    </w:p>
    <w:p w14:paraId="3E642C6B" w14:textId="332EAFA1" w:rsidR="00B01FCD" w:rsidRPr="00FB3A86" w:rsidRDefault="00ED642D" w:rsidP="003F5B1C">
      <w:pPr>
        <w:pStyle w:val="Copyright"/>
        <w:spacing w:after="0" w:line="240" w:lineRule="auto"/>
        <w:jc w:val="both"/>
        <w:rPr>
          <w:rFonts w:ascii="Arial" w:hAnsi="Arial" w:cs="Arial"/>
        </w:rPr>
        <w:sectPr w:rsidR="00B01FCD" w:rsidRPr="00FB3A86" w:rsidSect="00B37D7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E5C398" wp14:editId="4BE1DED7">
                <wp:extent cx="5303520" cy="635"/>
                <wp:effectExtent l="17145" t="18415" r="13335" b="10160"/>
                <wp:docPr id="2648078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0CB8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08E0E3" w14:textId="5227A13A" w:rsidR="00B01FCD" w:rsidRDefault="00B01FCD" w:rsidP="003F5B1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A81A0B" w14:textId="77777777" w:rsidR="00790ADA" w:rsidRPr="00FB3A86" w:rsidRDefault="00790ADA" w:rsidP="003F5B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FE453A" w14:textId="77777777" w:rsidTr="001E44FE">
        <w:tc>
          <w:tcPr>
            <w:tcW w:w="9576" w:type="dxa"/>
            <w:shd w:val="clear" w:color="auto" w:fill="F2F2F2"/>
          </w:tcPr>
          <w:p w14:paraId="395299EE" w14:textId="08FBAAE5"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Background:</w:t>
            </w:r>
            <w:r>
              <w:rPr>
                <w:rFonts w:ascii="Arial" w:eastAsia="Calibri" w:hAnsi="Arial" w:cs="Arial"/>
                <w:b/>
                <w:bCs/>
                <w:szCs w:val="22"/>
                <w:lang w:val="en-IN"/>
              </w:rPr>
              <w:t xml:space="preserve"> </w:t>
            </w:r>
            <w:r w:rsidRPr="008A47A1">
              <w:rPr>
                <w:rFonts w:ascii="Arial" w:eastAsia="Calibri" w:hAnsi="Arial" w:cs="Arial"/>
                <w:szCs w:val="22"/>
                <w:lang w:val="en-IN"/>
              </w:rPr>
              <w:t xml:space="preserve">Vegetable cultivation plays a significant role in livelihood improvement and nutritional security, particularly in hill regions where land resources are limited and market access is often constrained. Off-season cabbage cultivation in Senapati district of Manipur has gained importance due to </w:t>
            </w:r>
            <w:proofErr w:type="spellStart"/>
            <w:r w:rsidRPr="008A47A1">
              <w:rPr>
                <w:rFonts w:ascii="Arial" w:eastAsia="Calibri" w:hAnsi="Arial" w:cs="Arial"/>
                <w:szCs w:val="22"/>
                <w:lang w:val="en-IN"/>
              </w:rPr>
              <w:t>favorable</w:t>
            </w:r>
            <w:proofErr w:type="spellEnd"/>
            <w:r w:rsidRPr="008A47A1">
              <w:rPr>
                <w:rFonts w:ascii="Arial" w:eastAsia="Calibri" w:hAnsi="Arial" w:cs="Arial"/>
                <w:szCs w:val="22"/>
                <w:lang w:val="en-IN"/>
              </w:rPr>
              <w:t xml:space="preserve"> </w:t>
            </w:r>
            <w:proofErr w:type="spellStart"/>
            <w:r w:rsidRPr="008A47A1">
              <w:rPr>
                <w:rFonts w:ascii="Arial" w:eastAsia="Calibri" w:hAnsi="Arial" w:cs="Arial"/>
                <w:szCs w:val="22"/>
                <w:lang w:val="en-IN"/>
              </w:rPr>
              <w:t>agro</w:t>
            </w:r>
            <w:proofErr w:type="spellEnd"/>
            <w:r w:rsidRPr="008A47A1">
              <w:rPr>
                <w:rFonts w:ascii="Arial" w:eastAsia="Calibri" w:hAnsi="Arial" w:cs="Arial"/>
                <w:szCs w:val="22"/>
                <w:lang w:val="en-IN"/>
              </w:rPr>
              <w:t>-climatic conditions and higher market demand, making it a key commercial vegetable in the region.</w:t>
            </w:r>
          </w:p>
          <w:p w14:paraId="35952773" w14:textId="0470F322"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Aims:</w:t>
            </w:r>
            <w:r>
              <w:rPr>
                <w:rFonts w:ascii="Arial" w:eastAsia="Calibri" w:hAnsi="Arial" w:cs="Arial"/>
                <w:b/>
                <w:bCs/>
                <w:szCs w:val="22"/>
                <w:lang w:val="en-IN"/>
              </w:rPr>
              <w:t xml:space="preserve"> </w:t>
            </w:r>
            <w:r w:rsidRPr="008A47A1">
              <w:rPr>
                <w:rFonts w:ascii="Arial" w:eastAsia="Calibri" w:hAnsi="Arial" w:cs="Arial"/>
                <w:szCs w:val="22"/>
                <w:lang w:val="en-IN"/>
              </w:rPr>
              <w:t xml:space="preserve">The study was undertaken to </w:t>
            </w:r>
            <w:proofErr w:type="spellStart"/>
            <w:r w:rsidRPr="008A47A1">
              <w:rPr>
                <w:rFonts w:ascii="Arial" w:eastAsia="Calibri" w:hAnsi="Arial" w:cs="Arial"/>
                <w:szCs w:val="22"/>
                <w:lang w:val="en-IN"/>
              </w:rPr>
              <w:t>analyze</w:t>
            </w:r>
            <w:proofErr w:type="spellEnd"/>
            <w:r w:rsidRPr="008A47A1">
              <w:rPr>
                <w:rFonts w:ascii="Arial" w:eastAsia="Calibri" w:hAnsi="Arial" w:cs="Arial"/>
                <w:szCs w:val="22"/>
                <w:lang w:val="en-IN"/>
              </w:rPr>
              <w:t xml:space="preserve"> marketable surplus, marketing channels, price spread, marketing costs and margins, and marketing efficiency of off-season cabbage in Senapati district of Manipur.</w:t>
            </w:r>
          </w:p>
          <w:p w14:paraId="4CA5D681" w14:textId="427C1972"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Study Design:</w:t>
            </w:r>
            <w:r>
              <w:rPr>
                <w:rFonts w:ascii="Arial" w:eastAsia="Calibri" w:hAnsi="Arial" w:cs="Arial"/>
                <w:b/>
                <w:bCs/>
                <w:szCs w:val="22"/>
                <w:lang w:val="en-IN"/>
              </w:rPr>
              <w:t xml:space="preserve"> </w:t>
            </w:r>
            <w:r w:rsidRPr="008A47A1">
              <w:rPr>
                <w:rFonts w:ascii="Arial" w:eastAsia="Calibri" w:hAnsi="Arial" w:cs="Arial"/>
                <w:szCs w:val="22"/>
                <w:lang w:val="en-IN"/>
              </w:rPr>
              <w:t>The study followed a descriptive research design based on primary survey data using simple random sampling with proportional allocation.</w:t>
            </w:r>
          </w:p>
          <w:p w14:paraId="215B7B0D" w14:textId="5D06DC21"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Place and Duration of Study:</w:t>
            </w:r>
            <w:r>
              <w:rPr>
                <w:rFonts w:ascii="Arial" w:eastAsia="Calibri" w:hAnsi="Arial" w:cs="Arial"/>
                <w:b/>
                <w:bCs/>
                <w:szCs w:val="22"/>
                <w:lang w:val="en-IN"/>
              </w:rPr>
              <w:t xml:space="preserve"> </w:t>
            </w:r>
            <w:r w:rsidRPr="008A47A1">
              <w:rPr>
                <w:rFonts w:ascii="Arial" w:eastAsia="Calibri" w:hAnsi="Arial" w:cs="Arial"/>
                <w:szCs w:val="22"/>
                <w:lang w:val="en-IN"/>
              </w:rPr>
              <w:t>The study was conducted in Mao-</w:t>
            </w:r>
            <w:proofErr w:type="spellStart"/>
            <w:r w:rsidRPr="008A47A1">
              <w:rPr>
                <w:rFonts w:ascii="Arial" w:eastAsia="Calibri" w:hAnsi="Arial" w:cs="Arial"/>
                <w:szCs w:val="22"/>
                <w:lang w:val="en-IN"/>
              </w:rPr>
              <w:t>Maram</w:t>
            </w:r>
            <w:proofErr w:type="spellEnd"/>
            <w:r w:rsidRPr="008A47A1">
              <w:rPr>
                <w:rFonts w:ascii="Arial" w:eastAsia="Calibri" w:hAnsi="Arial" w:cs="Arial"/>
                <w:szCs w:val="22"/>
                <w:lang w:val="en-IN"/>
              </w:rPr>
              <w:t xml:space="preserve"> and </w:t>
            </w:r>
            <w:proofErr w:type="spellStart"/>
            <w:r w:rsidRPr="008A47A1">
              <w:rPr>
                <w:rFonts w:ascii="Arial" w:eastAsia="Calibri" w:hAnsi="Arial" w:cs="Arial"/>
                <w:szCs w:val="22"/>
                <w:lang w:val="en-IN"/>
              </w:rPr>
              <w:t>Paomata</w:t>
            </w:r>
            <w:proofErr w:type="spellEnd"/>
            <w:r w:rsidRPr="008A47A1">
              <w:rPr>
                <w:rFonts w:ascii="Arial" w:eastAsia="Calibri" w:hAnsi="Arial" w:cs="Arial"/>
                <w:szCs w:val="22"/>
                <w:lang w:val="en-IN"/>
              </w:rPr>
              <w:t xml:space="preserve"> blocks of Senapati district, Manipur. Four villages namely </w:t>
            </w:r>
            <w:proofErr w:type="spellStart"/>
            <w:r w:rsidRPr="008A47A1">
              <w:rPr>
                <w:rFonts w:ascii="Arial" w:eastAsia="Calibri" w:hAnsi="Arial" w:cs="Arial"/>
                <w:szCs w:val="22"/>
                <w:lang w:val="en-IN"/>
              </w:rPr>
              <w:t>Makuilongdi</w:t>
            </w:r>
            <w:proofErr w:type="spellEnd"/>
            <w:r w:rsidRPr="008A47A1">
              <w:rPr>
                <w:rFonts w:ascii="Arial" w:eastAsia="Calibri" w:hAnsi="Arial" w:cs="Arial"/>
                <w:szCs w:val="22"/>
                <w:lang w:val="en-IN"/>
              </w:rPr>
              <w:t xml:space="preserve">, </w:t>
            </w:r>
            <w:proofErr w:type="spellStart"/>
            <w:r w:rsidRPr="008A47A1">
              <w:rPr>
                <w:rFonts w:ascii="Arial" w:eastAsia="Calibri" w:hAnsi="Arial" w:cs="Arial"/>
                <w:szCs w:val="22"/>
                <w:lang w:val="en-IN"/>
              </w:rPr>
              <w:t>Punanamei</w:t>
            </w:r>
            <w:proofErr w:type="spellEnd"/>
            <w:r w:rsidRPr="008A47A1">
              <w:rPr>
                <w:rFonts w:ascii="Arial" w:eastAsia="Calibri" w:hAnsi="Arial" w:cs="Arial"/>
                <w:szCs w:val="22"/>
                <w:lang w:val="en-IN"/>
              </w:rPr>
              <w:t xml:space="preserve">, </w:t>
            </w:r>
            <w:proofErr w:type="spellStart"/>
            <w:r w:rsidRPr="008A47A1">
              <w:rPr>
                <w:rFonts w:ascii="Arial" w:eastAsia="Calibri" w:hAnsi="Arial" w:cs="Arial"/>
                <w:szCs w:val="22"/>
                <w:lang w:val="en-IN"/>
              </w:rPr>
              <w:t>Laii</w:t>
            </w:r>
            <w:proofErr w:type="spellEnd"/>
            <w:r w:rsidRPr="008A47A1">
              <w:rPr>
                <w:rFonts w:ascii="Arial" w:eastAsia="Calibri" w:hAnsi="Arial" w:cs="Arial"/>
                <w:szCs w:val="22"/>
                <w:lang w:val="en-IN"/>
              </w:rPr>
              <w:t xml:space="preserve">, and </w:t>
            </w:r>
            <w:proofErr w:type="spellStart"/>
            <w:r w:rsidRPr="008A47A1">
              <w:rPr>
                <w:rFonts w:ascii="Arial" w:eastAsia="Calibri" w:hAnsi="Arial" w:cs="Arial"/>
                <w:szCs w:val="22"/>
                <w:lang w:val="en-IN"/>
              </w:rPr>
              <w:t>Tungjoy</w:t>
            </w:r>
            <w:proofErr w:type="spellEnd"/>
            <w:r w:rsidRPr="008A47A1">
              <w:rPr>
                <w:rFonts w:ascii="Arial" w:eastAsia="Calibri" w:hAnsi="Arial" w:cs="Arial"/>
                <w:szCs w:val="22"/>
                <w:lang w:val="en-IN"/>
              </w:rPr>
              <w:t xml:space="preserve"> were selected. A total of 80 off-season cabbage growers were surveyed during the year 2022–23.</w:t>
            </w:r>
          </w:p>
          <w:p w14:paraId="4F9BF01A" w14:textId="2D0C5670"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Methodology:</w:t>
            </w:r>
            <w:r>
              <w:rPr>
                <w:rFonts w:ascii="Arial" w:eastAsia="Calibri" w:hAnsi="Arial" w:cs="Arial"/>
                <w:b/>
                <w:bCs/>
                <w:szCs w:val="22"/>
                <w:lang w:val="en-IN"/>
              </w:rPr>
              <w:t xml:space="preserve"> </w:t>
            </w:r>
            <w:r w:rsidRPr="008A47A1">
              <w:rPr>
                <w:rFonts w:ascii="Arial" w:eastAsia="Calibri" w:hAnsi="Arial" w:cs="Arial"/>
                <w:szCs w:val="22"/>
                <w:lang w:val="en-IN"/>
              </w:rPr>
              <w:t xml:space="preserve">Primary data were collected from cabbage growers and market intermediaries using a structured interview schedule. Marketable surplus was estimated using standard surplus concepts. Marketing costs, margins, and price spread were </w:t>
            </w:r>
            <w:proofErr w:type="spellStart"/>
            <w:r w:rsidRPr="008A47A1">
              <w:rPr>
                <w:rFonts w:ascii="Arial" w:eastAsia="Calibri" w:hAnsi="Arial" w:cs="Arial"/>
                <w:szCs w:val="22"/>
                <w:lang w:val="en-IN"/>
              </w:rPr>
              <w:t>analyzed</w:t>
            </w:r>
            <w:proofErr w:type="spellEnd"/>
            <w:r w:rsidRPr="008A47A1">
              <w:rPr>
                <w:rFonts w:ascii="Arial" w:eastAsia="Calibri" w:hAnsi="Arial" w:cs="Arial"/>
                <w:szCs w:val="22"/>
                <w:lang w:val="en-IN"/>
              </w:rPr>
              <w:t xml:space="preserve"> across different identified marketing channels. Marketing efficiency was measured using</w:t>
            </w:r>
            <w:r w:rsidRPr="008A47A1">
              <w:rPr>
                <w:rFonts w:ascii="Arial" w:eastAsia="Calibri" w:hAnsi="Arial" w:cs="Arial"/>
                <w:b/>
                <w:bCs/>
                <w:szCs w:val="22"/>
                <w:lang w:val="en-IN"/>
              </w:rPr>
              <w:t xml:space="preserve"> standard </w:t>
            </w:r>
            <w:r w:rsidRPr="008A47A1">
              <w:rPr>
                <w:rFonts w:ascii="Arial" w:eastAsia="Calibri" w:hAnsi="Arial" w:cs="Arial"/>
                <w:szCs w:val="22"/>
                <w:lang w:val="en-IN"/>
              </w:rPr>
              <w:t xml:space="preserve">efficiency indices to compare performance across channels. In addition, marketing and utilization patterns of off-season cabbage were </w:t>
            </w:r>
            <w:proofErr w:type="spellStart"/>
            <w:r w:rsidRPr="008A47A1">
              <w:rPr>
                <w:rFonts w:ascii="Arial" w:eastAsia="Calibri" w:hAnsi="Arial" w:cs="Arial"/>
                <w:szCs w:val="22"/>
                <w:lang w:val="en-IN"/>
              </w:rPr>
              <w:t>analyzed</w:t>
            </w:r>
            <w:proofErr w:type="spellEnd"/>
            <w:r w:rsidRPr="008A47A1">
              <w:rPr>
                <w:rFonts w:ascii="Arial" w:eastAsia="Calibri" w:hAnsi="Arial" w:cs="Arial"/>
                <w:szCs w:val="22"/>
                <w:lang w:val="en-IN"/>
              </w:rPr>
              <w:t xml:space="preserve"> using a Bernoulli–Binomial probabilistic framework, treating each unit of produce as a binary outcome of sale or retention/spoilage, enabling assessment of channel-wise marketing efficiency and risk in perishable commodity distribution</w:t>
            </w:r>
            <w:r w:rsidRPr="008A47A1">
              <w:rPr>
                <w:rFonts w:ascii="Arial" w:eastAsia="Calibri" w:hAnsi="Arial" w:cs="Arial"/>
                <w:b/>
                <w:bCs/>
                <w:szCs w:val="22"/>
                <w:lang w:val="en-IN"/>
              </w:rPr>
              <w:t>.</w:t>
            </w:r>
          </w:p>
          <w:p w14:paraId="78511101" w14:textId="7D977E4D"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Results:</w:t>
            </w:r>
            <w:r>
              <w:rPr>
                <w:rFonts w:ascii="Arial" w:eastAsia="Calibri" w:hAnsi="Arial" w:cs="Arial"/>
                <w:b/>
                <w:bCs/>
                <w:szCs w:val="22"/>
                <w:lang w:val="en-IN"/>
              </w:rPr>
              <w:t xml:space="preserve"> </w:t>
            </w:r>
            <w:r w:rsidRPr="008A47A1">
              <w:rPr>
                <w:rFonts w:ascii="Arial" w:eastAsia="Calibri" w:hAnsi="Arial" w:cs="Arial"/>
                <w:szCs w:val="22"/>
                <w:lang w:val="en-IN"/>
              </w:rPr>
              <w:t>The results revealed that a substantial proportion of cabbage production entered the market, indicating strong commercial orientation in the study area. Price spread analysis showed variation in producer’s share in the consumer’s rupee across different marketing channels. Longer marketing channels were associated with higher marketing costs and increased intermediary margins, thereby reducing the producer’s share. The Bernoulli–Binomial framework indicated variability in realization of marketable output, highlighting inefficiencies and risk in perishable vegetable marketing systems.</w:t>
            </w:r>
          </w:p>
          <w:p w14:paraId="5906410F" w14:textId="77777777" w:rsidR="008A47A1" w:rsidRPr="008A47A1" w:rsidRDefault="008A47A1" w:rsidP="008A47A1">
            <w:pPr>
              <w:pStyle w:val="Body"/>
              <w:spacing w:after="0"/>
              <w:rPr>
                <w:rFonts w:ascii="Arial" w:eastAsia="Calibri" w:hAnsi="Arial" w:cs="Arial"/>
                <w:b/>
                <w:bCs/>
                <w:szCs w:val="22"/>
                <w:lang w:val="en-IN"/>
              </w:rPr>
            </w:pPr>
            <w:r w:rsidRPr="008A47A1">
              <w:rPr>
                <w:rFonts w:ascii="Arial" w:eastAsia="Calibri" w:hAnsi="Arial" w:cs="Arial"/>
                <w:b/>
                <w:bCs/>
                <w:szCs w:val="22"/>
                <w:lang w:val="en-IN"/>
              </w:rPr>
              <w:t>Concluding Remarks:</w:t>
            </w:r>
          </w:p>
          <w:p w14:paraId="5FFAB34A" w14:textId="77777777" w:rsidR="008A47A1" w:rsidRPr="008A47A1" w:rsidRDefault="008A47A1" w:rsidP="008A47A1">
            <w:pPr>
              <w:pStyle w:val="Body"/>
              <w:spacing w:after="0"/>
              <w:rPr>
                <w:rFonts w:ascii="Arial" w:eastAsia="Calibri" w:hAnsi="Arial" w:cs="Arial"/>
                <w:szCs w:val="22"/>
                <w:lang w:val="en-IN"/>
              </w:rPr>
            </w:pPr>
            <w:r w:rsidRPr="008A47A1">
              <w:rPr>
                <w:rFonts w:ascii="Arial" w:eastAsia="Calibri" w:hAnsi="Arial" w:cs="Arial"/>
                <w:szCs w:val="22"/>
                <w:lang w:val="en-IN"/>
              </w:rPr>
              <w:t>The study indicates that improving marketing efficiency through shorter supply chains, better market integration, and reduced intermediary costs can enhance producer’s share in the consumer’s rupee. Strengthening market infrastructure and promoting efficient marketing channels can significantly improve returns to cabbage growers in hill regions.</w:t>
            </w:r>
          </w:p>
          <w:p w14:paraId="5D21C137" w14:textId="0C1C7A8E" w:rsidR="00505F06" w:rsidRPr="00BA1B01" w:rsidRDefault="008A47A1" w:rsidP="008A47A1">
            <w:pPr>
              <w:pStyle w:val="Body"/>
              <w:spacing w:after="0"/>
              <w:rPr>
                <w:rFonts w:ascii="Arial" w:eastAsia="Calibri" w:hAnsi="Arial" w:cs="Arial"/>
                <w:szCs w:val="22"/>
              </w:rPr>
            </w:pPr>
            <w:r>
              <w:rPr>
                <w:rFonts w:ascii="Arial" w:eastAsia="Calibri" w:hAnsi="Arial" w:cs="Arial"/>
                <w:b/>
                <w:bCs/>
                <w:szCs w:val="22"/>
              </w:rPr>
              <w:t xml:space="preserve"> </w:t>
            </w:r>
          </w:p>
        </w:tc>
      </w:tr>
    </w:tbl>
    <w:p w14:paraId="1FB2B1A4" w14:textId="77777777" w:rsidR="00636EB2" w:rsidRDefault="00636EB2" w:rsidP="003F5B1C">
      <w:pPr>
        <w:pStyle w:val="Body"/>
        <w:spacing w:after="0"/>
        <w:rPr>
          <w:rFonts w:ascii="Arial" w:hAnsi="Arial" w:cs="Arial"/>
          <w:i/>
        </w:rPr>
      </w:pPr>
    </w:p>
    <w:p w14:paraId="394E859F" w14:textId="03E7E3E1" w:rsidR="00AD766E" w:rsidRPr="008A47A1" w:rsidRDefault="00A24E7E" w:rsidP="008A47A1">
      <w:pPr>
        <w:pStyle w:val="Body"/>
        <w:rPr>
          <w:rFonts w:ascii="Arial" w:hAnsi="Arial" w:cs="Arial"/>
          <w:b/>
          <w:bCs/>
          <w:i/>
        </w:rPr>
      </w:pPr>
      <w:r w:rsidRPr="008A47A1">
        <w:rPr>
          <w:rFonts w:ascii="Arial" w:hAnsi="Arial" w:cs="Arial"/>
          <w:b/>
          <w:bCs/>
          <w:i/>
        </w:rPr>
        <w:t>Keywords:</w:t>
      </w:r>
      <w:r w:rsidR="00AD766E" w:rsidRPr="008A47A1">
        <w:rPr>
          <w:rFonts w:ascii="Arial" w:hAnsi="Arial" w:cs="Arial"/>
          <w:b/>
          <w:bCs/>
          <w:i/>
        </w:rPr>
        <w:t xml:space="preserve"> Off-season cabbage, Constraints severity index, Constraints, Vegetables.</w:t>
      </w:r>
    </w:p>
    <w:p w14:paraId="432D994C" w14:textId="77777777" w:rsidR="00AD766E" w:rsidRDefault="00AD766E" w:rsidP="003F5B1C">
      <w:pPr>
        <w:pStyle w:val="AbstHead"/>
        <w:spacing w:after="0"/>
        <w:jc w:val="both"/>
        <w:rPr>
          <w:rFonts w:ascii="Arial" w:hAnsi="Arial" w:cs="Arial"/>
        </w:rPr>
      </w:pPr>
    </w:p>
    <w:p w14:paraId="60386840" w14:textId="71C4B369" w:rsidR="007F7B32" w:rsidRDefault="00902823" w:rsidP="003F5B1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04551C" w14:textId="77777777" w:rsidR="00790ADA" w:rsidRPr="00FB3A86" w:rsidRDefault="00790ADA" w:rsidP="003F5B1C">
      <w:pPr>
        <w:pStyle w:val="AbstHead"/>
        <w:spacing w:after="0"/>
        <w:jc w:val="both"/>
        <w:rPr>
          <w:rFonts w:ascii="Arial" w:hAnsi="Arial" w:cs="Arial"/>
        </w:rPr>
      </w:pPr>
    </w:p>
    <w:p w14:paraId="652DD7F3" w14:textId="77777777" w:rsidR="008A4637" w:rsidRDefault="008A4637" w:rsidP="008A4637">
      <w:pPr>
        <w:pStyle w:val="Body"/>
        <w:spacing w:after="0"/>
        <w:rPr>
          <w:rFonts w:ascii="Arial" w:hAnsi="Arial" w:cs="Arial"/>
          <w:lang w:val="en-IN"/>
        </w:rPr>
      </w:pPr>
      <w:r w:rsidRPr="008A4637">
        <w:rPr>
          <w:rFonts w:ascii="Arial" w:hAnsi="Arial" w:cs="Arial"/>
          <w:lang w:val="en-IN"/>
        </w:rPr>
        <w:t>India has consolidated its position as the second largest producer of vegetables globally, reflecting the increasing contribution of horticulture to agricultural growth, nutritional security, and income diversification. Vegetable production rose from 188.28 million tonnes in 2019–20 to 196.27 million tonnes in 2020–21, registering a growth of 4.24 per cent. This expansion has largely been driven by increased production of major vegetables such as potato, onion, brinjal, and cabbage.</w:t>
      </w:r>
    </w:p>
    <w:p w14:paraId="3D2E6D22" w14:textId="77777777" w:rsidR="008A4637" w:rsidRPr="008A4637" w:rsidRDefault="008A4637" w:rsidP="008A4637">
      <w:pPr>
        <w:pStyle w:val="Body"/>
        <w:spacing w:after="0"/>
        <w:rPr>
          <w:rFonts w:ascii="Arial" w:hAnsi="Arial" w:cs="Arial"/>
          <w:lang w:val="en-IN"/>
        </w:rPr>
      </w:pPr>
    </w:p>
    <w:p w14:paraId="2AC28465" w14:textId="59BBBBC4" w:rsidR="008A4637" w:rsidRDefault="008A4637" w:rsidP="008A4637">
      <w:pPr>
        <w:pStyle w:val="Body"/>
        <w:spacing w:after="0"/>
        <w:rPr>
          <w:rFonts w:ascii="Arial" w:hAnsi="Arial" w:cs="Arial"/>
          <w:lang w:val="en-IN"/>
        </w:rPr>
      </w:pPr>
      <w:r w:rsidRPr="008A4637">
        <w:rPr>
          <w:rFonts w:ascii="Arial" w:hAnsi="Arial" w:cs="Arial"/>
          <w:lang w:val="en-IN"/>
        </w:rPr>
        <w:t xml:space="preserve">Off-season vegetable cultivation refers to the production of vegetables during non-traditional growing periods when market supply is limited and prices are relatively higher. It has emerged as a strategic approach to enhance farm income, reduce seasonal price volatility, and improve market availability of perishable commodities (Deshmukh et al., 2019). Recent empirical evidence further suggests that off-season production systems significantly improve price realization and marketing efficiency due to temporal arbitrage in vegetable markets </w:t>
      </w:r>
    </w:p>
    <w:p w14:paraId="528B1A38" w14:textId="70EBE536" w:rsidR="008A4637" w:rsidRPr="008A4637" w:rsidRDefault="006A15FF" w:rsidP="006A15FF">
      <w:pPr>
        <w:pStyle w:val="Body"/>
        <w:rPr>
          <w:rFonts w:ascii="Arial" w:hAnsi="Arial" w:cs="Arial"/>
          <w:lang w:val="en-IN"/>
        </w:rPr>
      </w:pPr>
      <w:r w:rsidRPr="006A15FF">
        <w:rPr>
          <w:rFonts w:ascii="Arial" w:hAnsi="Arial" w:cs="Arial"/>
        </w:rPr>
        <w:t>Most horticultural crops have input-output ratios that are significantly higher than those of field crops, and they also have the added benefit of helping the environment (Chadha and Pareek, 1993).</w:t>
      </w:r>
    </w:p>
    <w:p w14:paraId="035DE346" w14:textId="1B27C5F4" w:rsidR="008A4637" w:rsidRDefault="008A4637" w:rsidP="008A4637">
      <w:pPr>
        <w:pStyle w:val="Body"/>
        <w:spacing w:after="0"/>
        <w:rPr>
          <w:rFonts w:ascii="Arial" w:hAnsi="Arial" w:cs="Arial"/>
          <w:lang w:val="en-IN"/>
        </w:rPr>
      </w:pPr>
      <w:r w:rsidRPr="008A4637">
        <w:rPr>
          <w:rFonts w:ascii="Arial" w:hAnsi="Arial" w:cs="Arial"/>
          <w:lang w:val="en-IN"/>
        </w:rPr>
        <w:t>Cabbage (</w:t>
      </w:r>
      <w:r w:rsidRPr="008A4637">
        <w:rPr>
          <w:rFonts w:ascii="Arial" w:hAnsi="Arial" w:cs="Arial"/>
          <w:i/>
          <w:iCs/>
          <w:lang w:val="en-IN"/>
        </w:rPr>
        <w:t>Brassica oleracea</w:t>
      </w:r>
      <w:r w:rsidRPr="008A4637">
        <w:rPr>
          <w:rFonts w:ascii="Arial" w:hAnsi="Arial" w:cs="Arial"/>
          <w:lang w:val="en-IN"/>
        </w:rPr>
        <w:t xml:space="preserve"> var. </w:t>
      </w:r>
      <w:r w:rsidRPr="008A4637">
        <w:rPr>
          <w:rFonts w:ascii="Arial" w:hAnsi="Arial" w:cs="Arial"/>
          <w:i/>
          <w:iCs/>
          <w:lang w:val="en-IN"/>
        </w:rPr>
        <w:t>capitata</w:t>
      </w:r>
      <w:r w:rsidRPr="008A4637">
        <w:rPr>
          <w:rFonts w:ascii="Arial" w:hAnsi="Arial" w:cs="Arial"/>
          <w:lang w:val="en-IN"/>
        </w:rPr>
        <w:t>), belonging to the Brassicaceae family, is one of the most widely cultivated leafy vegetables due to its nutritional value, economic importance, and consumer demand. Globally, cabbage remains a key component of vegetable consumption systems. In India, production reached approximately 9.59 million metric tonnes over an area of about 404 thousand hectares in 2021, highlighting its strong commercial significance (</w:t>
      </w:r>
      <w:proofErr w:type="spellStart"/>
      <w:r w:rsidRPr="008A4637">
        <w:rPr>
          <w:rFonts w:ascii="Arial" w:hAnsi="Arial" w:cs="Arial"/>
          <w:lang w:val="en-IN"/>
        </w:rPr>
        <w:t>GoI</w:t>
      </w:r>
      <w:proofErr w:type="spellEnd"/>
      <w:r w:rsidRPr="008A4637">
        <w:rPr>
          <w:rFonts w:ascii="Arial" w:hAnsi="Arial" w:cs="Arial"/>
          <w:lang w:val="en-IN"/>
        </w:rPr>
        <w:t>, 2021).</w:t>
      </w:r>
    </w:p>
    <w:p w14:paraId="5292B9BF" w14:textId="77777777" w:rsidR="008A4637" w:rsidRPr="008A4637" w:rsidRDefault="008A4637" w:rsidP="008A4637">
      <w:pPr>
        <w:pStyle w:val="Body"/>
        <w:spacing w:after="0"/>
        <w:rPr>
          <w:rFonts w:ascii="Arial" w:hAnsi="Arial" w:cs="Arial"/>
          <w:lang w:val="en-IN"/>
        </w:rPr>
      </w:pPr>
    </w:p>
    <w:p w14:paraId="43E499F8" w14:textId="651D04B7" w:rsidR="008A4637" w:rsidRDefault="008A4637" w:rsidP="008A4637">
      <w:pPr>
        <w:pStyle w:val="Body"/>
        <w:spacing w:after="0"/>
        <w:rPr>
          <w:rFonts w:ascii="Arial" w:hAnsi="Arial" w:cs="Arial"/>
          <w:lang w:val="en-IN"/>
        </w:rPr>
      </w:pPr>
      <w:r w:rsidRPr="008A4637">
        <w:rPr>
          <w:rFonts w:ascii="Arial" w:hAnsi="Arial" w:cs="Arial"/>
          <w:lang w:val="en-IN"/>
        </w:rPr>
        <w:t xml:space="preserve">In recent years, cabbage cultivation has expanded significantly in the North Eastern Region, particularly in Manipur, where </w:t>
      </w:r>
      <w:proofErr w:type="spellStart"/>
      <w:r w:rsidRPr="008A4637">
        <w:rPr>
          <w:rFonts w:ascii="Arial" w:hAnsi="Arial" w:cs="Arial"/>
          <w:lang w:val="en-IN"/>
        </w:rPr>
        <w:t>agro</w:t>
      </w:r>
      <w:proofErr w:type="spellEnd"/>
      <w:r w:rsidRPr="008A4637">
        <w:rPr>
          <w:rFonts w:ascii="Arial" w:hAnsi="Arial" w:cs="Arial"/>
          <w:lang w:val="en-IN"/>
        </w:rPr>
        <w:t>-climatic conditions are highly favourable for off-season vegetable production. The state has recorded increasing area allocation under cabbage cultivation during 2020–21 (</w:t>
      </w:r>
      <w:proofErr w:type="spellStart"/>
      <w:r w:rsidRPr="008A4637">
        <w:rPr>
          <w:rFonts w:ascii="Arial" w:hAnsi="Arial" w:cs="Arial"/>
          <w:lang w:val="en-IN"/>
        </w:rPr>
        <w:t>GoM</w:t>
      </w:r>
      <w:proofErr w:type="spellEnd"/>
      <w:r w:rsidRPr="008A4637">
        <w:rPr>
          <w:rFonts w:ascii="Arial" w:hAnsi="Arial" w:cs="Arial"/>
          <w:lang w:val="en-IN"/>
        </w:rPr>
        <w:t>, 2021a). Studies indicate that horticultural expansion in hill states is strongly influenced by altitude-specific microclimates and growing urban demand for off-season vegetables</w:t>
      </w:r>
      <w:r w:rsidR="006A15FF">
        <w:rPr>
          <w:rFonts w:ascii="Arial" w:hAnsi="Arial" w:cs="Arial"/>
          <w:lang w:val="en-IN"/>
        </w:rPr>
        <w:t>.</w:t>
      </w:r>
      <w:r w:rsidR="006A15FF" w:rsidRPr="006A15FF">
        <w:rPr>
          <w:rFonts w:ascii="Arial" w:hAnsi="Arial" w:cs="Arial"/>
          <w:color w:val="000000" w:themeColor="text1"/>
          <w:sz w:val="22"/>
          <w:szCs w:val="22"/>
        </w:rPr>
        <w:t xml:space="preserve"> </w:t>
      </w:r>
    </w:p>
    <w:p w14:paraId="56904B87" w14:textId="77777777" w:rsidR="008A4637" w:rsidRPr="008A4637" w:rsidRDefault="008A4637" w:rsidP="008A4637">
      <w:pPr>
        <w:pStyle w:val="Body"/>
        <w:spacing w:after="0"/>
        <w:rPr>
          <w:rFonts w:ascii="Arial" w:hAnsi="Arial" w:cs="Arial"/>
          <w:lang w:val="en-IN"/>
        </w:rPr>
      </w:pPr>
    </w:p>
    <w:p w14:paraId="33F39902" w14:textId="04D23A85" w:rsidR="008A4637" w:rsidRDefault="008A4637" w:rsidP="008A4637">
      <w:pPr>
        <w:pStyle w:val="Body"/>
        <w:spacing w:after="0"/>
        <w:rPr>
          <w:rFonts w:ascii="Arial" w:hAnsi="Arial" w:cs="Arial"/>
          <w:lang w:val="en-IN"/>
        </w:rPr>
      </w:pPr>
      <w:r w:rsidRPr="008A4637">
        <w:rPr>
          <w:rFonts w:ascii="Arial" w:hAnsi="Arial" w:cs="Arial"/>
          <w:lang w:val="en-IN"/>
        </w:rPr>
        <w:t xml:space="preserve">Senapati district, located in the temperate sub-alpine zone of Manipur, provides suitable </w:t>
      </w:r>
      <w:proofErr w:type="spellStart"/>
      <w:r w:rsidRPr="008A4637">
        <w:rPr>
          <w:rFonts w:ascii="Arial" w:hAnsi="Arial" w:cs="Arial"/>
          <w:lang w:val="en-IN"/>
        </w:rPr>
        <w:t>agro</w:t>
      </w:r>
      <w:proofErr w:type="spellEnd"/>
      <w:r w:rsidRPr="008A4637">
        <w:rPr>
          <w:rFonts w:ascii="Arial" w:hAnsi="Arial" w:cs="Arial"/>
          <w:lang w:val="en-IN"/>
        </w:rPr>
        <w:t>-ecological conditions for cabbage cultivation. Despite favourable production conditions, cabbage productivity in the state remains below the national average, although it continues to be a commercially important crop due to its off-season price advantage and market demand (</w:t>
      </w:r>
      <w:proofErr w:type="spellStart"/>
      <w:r w:rsidRPr="008A4637">
        <w:rPr>
          <w:rFonts w:ascii="Arial" w:hAnsi="Arial" w:cs="Arial"/>
          <w:lang w:val="en-IN"/>
        </w:rPr>
        <w:t>GoI</w:t>
      </w:r>
      <w:proofErr w:type="spellEnd"/>
      <w:r w:rsidRPr="008A4637">
        <w:rPr>
          <w:rFonts w:ascii="Arial" w:hAnsi="Arial" w:cs="Arial"/>
          <w:lang w:val="en-IN"/>
        </w:rPr>
        <w:t>, 2018b).</w:t>
      </w:r>
    </w:p>
    <w:p w14:paraId="2DCA01E6" w14:textId="77777777" w:rsidR="008A4637" w:rsidRPr="008A4637" w:rsidRDefault="008A4637" w:rsidP="008A4637">
      <w:pPr>
        <w:pStyle w:val="Body"/>
        <w:spacing w:after="0"/>
        <w:rPr>
          <w:rFonts w:ascii="Arial" w:hAnsi="Arial" w:cs="Arial"/>
          <w:lang w:val="en-IN"/>
        </w:rPr>
      </w:pPr>
    </w:p>
    <w:p w14:paraId="2341BA5E" w14:textId="64A37E15" w:rsidR="008A4637" w:rsidRDefault="008A4637" w:rsidP="008A4637">
      <w:pPr>
        <w:pStyle w:val="Body"/>
        <w:spacing w:after="0"/>
        <w:rPr>
          <w:rFonts w:ascii="Arial" w:hAnsi="Arial" w:cs="Arial"/>
          <w:lang w:val="en-IN"/>
        </w:rPr>
      </w:pPr>
      <w:r w:rsidRPr="008A4637">
        <w:rPr>
          <w:rFonts w:ascii="Arial" w:hAnsi="Arial" w:cs="Arial"/>
          <w:lang w:val="en-IN"/>
        </w:rPr>
        <w:t>However, recent literature on horticultural marketing systems highlights that perishable vegetable crops are highly vulnerable to inefficiencies in supply chains, including multiple intermediaries, high transaction costs, and weak market integration (Verma et al., 2022; Singh &amp; Meena, 2021). These inefficiencies often lead to a low producer’s share in the consumer’s rupee and significant price spread between farm gate and retail markets.</w:t>
      </w:r>
      <w:r w:rsidR="006A15FF" w:rsidRPr="006A15FF">
        <w:rPr>
          <w:rFonts w:ascii="Arial" w:eastAsiaTheme="minorHAnsi" w:hAnsi="Arial" w:cs="Arial"/>
          <w:color w:val="000000" w:themeColor="text1"/>
          <w:sz w:val="22"/>
          <w:szCs w:val="22"/>
          <w:lang w:val="en-IN"/>
        </w:rPr>
        <w:t xml:space="preserve"> </w:t>
      </w:r>
      <w:r w:rsidR="006A15FF" w:rsidRPr="006A15FF">
        <w:rPr>
          <w:rFonts w:ascii="Arial" w:hAnsi="Arial" w:cs="Arial"/>
          <w:lang w:val="en-IN"/>
        </w:rPr>
        <w:t xml:space="preserve">Poor marketing efficiency and inadequate infrastructure were noted to be the main important factors of net price received by the farmer. (Kaul </w:t>
      </w:r>
      <w:r w:rsidR="006A15FF" w:rsidRPr="006A15FF">
        <w:rPr>
          <w:rFonts w:ascii="Arial" w:hAnsi="Arial" w:cs="Arial"/>
          <w:i/>
          <w:iCs/>
          <w:lang w:val="en-IN"/>
        </w:rPr>
        <w:t xml:space="preserve">et </w:t>
      </w:r>
      <w:r w:rsidR="006A15FF" w:rsidRPr="006A15FF">
        <w:rPr>
          <w:rFonts w:ascii="Arial" w:hAnsi="Arial" w:cs="Arial"/>
          <w:lang w:val="en-IN"/>
        </w:rPr>
        <w:t xml:space="preserve">al.,1997). </w:t>
      </w:r>
      <w:r w:rsidRPr="008A4637">
        <w:rPr>
          <w:rFonts w:ascii="Arial" w:hAnsi="Arial" w:cs="Arial"/>
          <w:lang w:val="en-IN"/>
        </w:rPr>
        <w:t xml:space="preserve"> Studies in hill agriculture systems further emphasize that fragmented markets and poor infrastructure intensify marketing losses in perishable crops</w:t>
      </w:r>
      <w:r w:rsidR="006A15FF">
        <w:rPr>
          <w:rFonts w:ascii="Arial" w:hAnsi="Arial" w:cs="Arial"/>
          <w:lang w:val="en-IN"/>
        </w:rPr>
        <w:t>.</w:t>
      </w:r>
    </w:p>
    <w:p w14:paraId="6729F929" w14:textId="77777777" w:rsidR="008A4637" w:rsidRPr="008A4637" w:rsidRDefault="008A4637" w:rsidP="008A4637">
      <w:pPr>
        <w:pStyle w:val="Body"/>
        <w:spacing w:after="0"/>
        <w:rPr>
          <w:rFonts w:ascii="Arial" w:hAnsi="Arial" w:cs="Arial"/>
          <w:lang w:val="en-IN"/>
        </w:rPr>
      </w:pPr>
    </w:p>
    <w:p w14:paraId="2B977D6B"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 xml:space="preserve">Although cabbage is cultivated across all districts of Manipur, Senapati remains one of the </w:t>
      </w:r>
      <w:proofErr w:type="gramStart"/>
      <w:r w:rsidRPr="008A4637">
        <w:rPr>
          <w:rFonts w:ascii="Arial" w:hAnsi="Arial" w:cs="Arial"/>
          <w:lang w:val="en-IN"/>
        </w:rPr>
        <w:t>key</w:t>
      </w:r>
      <w:proofErr w:type="gramEnd"/>
      <w:r w:rsidRPr="008A4637">
        <w:rPr>
          <w:rFonts w:ascii="Arial" w:hAnsi="Arial" w:cs="Arial"/>
          <w:lang w:val="en-IN"/>
        </w:rPr>
        <w:t xml:space="preserve"> producing districts due to its climatic suitability. Yet, systematic empirical studies focusing on marketing structure, price spread, and efficiency of off-season cabbage in this region remain </w:t>
      </w:r>
      <w:r w:rsidRPr="008A4637">
        <w:rPr>
          <w:rFonts w:ascii="Arial" w:hAnsi="Arial" w:cs="Arial"/>
          <w:lang w:val="en-IN"/>
        </w:rPr>
        <w:lastRenderedPageBreak/>
        <w:t>limited. Understanding these aspects is essential for improving market performance, reducing inefficiencies, and enhancing farmer income in hill-based vegetable systems.</w:t>
      </w:r>
    </w:p>
    <w:p w14:paraId="6BFBC470" w14:textId="77777777" w:rsidR="008A4637" w:rsidRDefault="008A4637" w:rsidP="003F5B1C">
      <w:pPr>
        <w:pStyle w:val="Body"/>
        <w:spacing w:after="0"/>
        <w:rPr>
          <w:rFonts w:ascii="Arial" w:hAnsi="Arial" w:cs="Arial"/>
          <w:lang w:val="en-IN"/>
        </w:rPr>
      </w:pPr>
    </w:p>
    <w:p w14:paraId="1CB3349F" w14:textId="77777777" w:rsidR="00920306" w:rsidRDefault="00920306" w:rsidP="003F5B1C">
      <w:pPr>
        <w:pStyle w:val="Body"/>
        <w:spacing w:after="0"/>
        <w:rPr>
          <w:rFonts w:ascii="Arial" w:hAnsi="Arial" w:cs="Arial"/>
        </w:rPr>
      </w:pPr>
    </w:p>
    <w:p w14:paraId="7B19CF7A" w14:textId="77777777" w:rsidR="00790ADA" w:rsidRPr="00FB3A86" w:rsidRDefault="00790ADA" w:rsidP="003F5B1C">
      <w:pPr>
        <w:pStyle w:val="Body"/>
        <w:spacing w:after="0"/>
        <w:rPr>
          <w:rFonts w:ascii="Arial" w:hAnsi="Arial" w:cs="Arial"/>
        </w:rPr>
      </w:pPr>
    </w:p>
    <w:p w14:paraId="3EE30542" w14:textId="09C1D160" w:rsidR="00790ADA" w:rsidRDefault="00902823" w:rsidP="003F5B1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A7E414" w14:textId="77777777" w:rsidR="008A4637" w:rsidRPr="00FB3A86" w:rsidRDefault="008A4637" w:rsidP="003F5B1C">
      <w:pPr>
        <w:pStyle w:val="AbstHead"/>
        <w:spacing w:after="0"/>
        <w:jc w:val="both"/>
        <w:rPr>
          <w:rFonts w:ascii="Arial" w:hAnsi="Arial" w:cs="Arial"/>
        </w:rPr>
      </w:pPr>
    </w:p>
    <w:p w14:paraId="54D1E057"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 xml:space="preserve">The present study was conducted in Manipur, a north-eastern state of India located between 92°58′23.422″–94°43′35.553″ E longitude and 23°49′45.530″–25°42′1.456″ N latitude. The state is characterized by a unique physiography comprising a central oval-shaped valley surrounded by hill ranges, which significantly influences its </w:t>
      </w:r>
      <w:proofErr w:type="spellStart"/>
      <w:r w:rsidRPr="008A4637">
        <w:rPr>
          <w:rFonts w:ascii="Arial" w:hAnsi="Arial" w:cs="Arial"/>
          <w:lang w:val="en-IN"/>
        </w:rPr>
        <w:t>agro</w:t>
      </w:r>
      <w:proofErr w:type="spellEnd"/>
      <w:r w:rsidRPr="008A4637">
        <w:rPr>
          <w:rFonts w:ascii="Arial" w:hAnsi="Arial" w:cs="Arial"/>
          <w:lang w:val="en-IN"/>
        </w:rPr>
        <w:t>-climatic conditions and cropping systems. It shares an international border of about 352 km with Myanmar and is bounded by Nagaland in the north, Assam in the west, and Mizoram in the south and south-west. The total geographical area is about 22,327 sq. km, of which nearly 90 per cent is hilly terrain and only 10 per cent is valley region. The climate ranges from tropical to sub-tropical, with an average annual rainfall of about 1137.1 mm, supporting diverse agricultural and horticultural crops such as rice, maize, cabbage, cauliflower, potato, pulses, and various fruits.</w:t>
      </w:r>
    </w:p>
    <w:p w14:paraId="12983D74" w14:textId="77777777" w:rsidR="008A4637" w:rsidRDefault="008A4637" w:rsidP="008A4637">
      <w:pPr>
        <w:pStyle w:val="Body"/>
        <w:spacing w:after="0"/>
        <w:rPr>
          <w:rFonts w:ascii="Arial" w:hAnsi="Arial" w:cs="Arial"/>
          <w:lang w:val="en-IN"/>
        </w:rPr>
      </w:pPr>
      <w:r w:rsidRPr="008A4637">
        <w:rPr>
          <w:rFonts w:ascii="Arial" w:hAnsi="Arial" w:cs="Arial"/>
          <w:lang w:val="en-IN"/>
        </w:rPr>
        <w:t xml:space="preserve">Administratively, Manipur is divided into nine districts, comprising four valley districts (Imphal East, Imphal West, </w:t>
      </w:r>
      <w:proofErr w:type="spellStart"/>
      <w:r w:rsidRPr="008A4637">
        <w:rPr>
          <w:rFonts w:ascii="Arial" w:hAnsi="Arial" w:cs="Arial"/>
          <w:lang w:val="en-IN"/>
        </w:rPr>
        <w:t>Bishnupur</w:t>
      </w:r>
      <w:proofErr w:type="spellEnd"/>
      <w:r w:rsidRPr="008A4637">
        <w:rPr>
          <w:rFonts w:ascii="Arial" w:hAnsi="Arial" w:cs="Arial"/>
          <w:lang w:val="en-IN"/>
        </w:rPr>
        <w:t xml:space="preserve">, and </w:t>
      </w:r>
      <w:proofErr w:type="spellStart"/>
      <w:r w:rsidRPr="008A4637">
        <w:rPr>
          <w:rFonts w:ascii="Arial" w:hAnsi="Arial" w:cs="Arial"/>
          <w:lang w:val="en-IN"/>
        </w:rPr>
        <w:t>Thoubal</w:t>
      </w:r>
      <w:proofErr w:type="spellEnd"/>
      <w:r w:rsidRPr="008A4637">
        <w:rPr>
          <w:rFonts w:ascii="Arial" w:hAnsi="Arial" w:cs="Arial"/>
          <w:lang w:val="en-IN"/>
        </w:rPr>
        <w:t xml:space="preserve">) and five hill districts (Senapati, </w:t>
      </w:r>
      <w:proofErr w:type="spellStart"/>
      <w:r w:rsidRPr="008A4637">
        <w:rPr>
          <w:rFonts w:ascii="Arial" w:hAnsi="Arial" w:cs="Arial"/>
          <w:lang w:val="en-IN"/>
        </w:rPr>
        <w:t>Tamenglong</w:t>
      </w:r>
      <w:proofErr w:type="spellEnd"/>
      <w:r w:rsidRPr="008A4637">
        <w:rPr>
          <w:rFonts w:ascii="Arial" w:hAnsi="Arial" w:cs="Arial"/>
          <w:lang w:val="en-IN"/>
        </w:rPr>
        <w:t xml:space="preserve">, </w:t>
      </w:r>
      <w:proofErr w:type="spellStart"/>
      <w:r w:rsidRPr="008A4637">
        <w:rPr>
          <w:rFonts w:ascii="Arial" w:hAnsi="Arial" w:cs="Arial"/>
          <w:lang w:val="en-IN"/>
        </w:rPr>
        <w:t>Churachandpur</w:t>
      </w:r>
      <w:proofErr w:type="spellEnd"/>
      <w:r w:rsidRPr="008A4637">
        <w:rPr>
          <w:rFonts w:ascii="Arial" w:hAnsi="Arial" w:cs="Arial"/>
          <w:lang w:val="en-IN"/>
        </w:rPr>
        <w:t xml:space="preserve">, </w:t>
      </w:r>
      <w:proofErr w:type="spellStart"/>
      <w:r w:rsidRPr="008A4637">
        <w:rPr>
          <w:rFonts w:ascii="Arial" w:hAnsi="Arial" w:cs="Arial"/>
          <w:lang w:val="en-IN"/>
        </w:rPr>
        <w:t>Chandel</w:t>
      </w:r>
      <w:proofErr w:type="spellEnd"/>
      <w:r w:rsidRPr="008A4637">
        <w:rPr>
          <w:rFonts w:ascii="Arial" w:hAnsi="Arial" w:cs="Arial"/>
          <w:lang w:val="en-IN"/>
        </w:rPr>
        <w:t xml:space="preserve">, and </w:t>
      </w:r>
      <w:proofErr w:type="spellStart"/>
      <w:r w:rsidRPr="008A4637">
        <w:rPr>
          <w:rFonts w:ascii="Arial" w:hAnsi="Arial" w:cs="Arial"/>
          <w:lang w:val="en-IN"/>
        </w:rPr>
        <w:t>Ukhrul</w:t>
      </w:r>
      <w:proofErr w:type="spellEnd"/>
      <w:r w:rsidRPr="008A4637">
        <w:rPr>
          <w:rFonts w:ascii="Arial" w:hAnsi="Arial" w:cs="Arial"/>
          <w:lang w:val="en-IN"/>
        </w:rPr>
        <w:t xml:space="preserve">). The hill districts, due to their cooler climate and favourable </w:t>
      </w:r>
      <w:proofErr w:type="spellStart"/>
      <w:r w:rsidRPr="008A4637">
        <w:rPr>
          <w:rFonts w:ascii="Arial" w:hAnsi="Arial" w:cs="Arial"/>
          <w:lang w:val="en-IN"/>
        </w:rPr>
        <w:t>agro</w:t>
      </w:r>
      <w:proofErr w:type="spellEnd"/>
      <w:r w:rsidRPr="008A4637">
        <w:rPr>
          <w:rFonts w:ascii="Arial" w:hAnsi="Arial" w:cs="Arial"/>
          <w:lang w:val="en-IN"/>
        </w:rPr>
        <w:t>-ecological conditions, are particularly suitable for off-season vegetable cultivation, including cabbage.</w:t>
      </w:r>
    </w:p>
    <w:p w14:paraId="23D941FF" w14:textId="77777777" w:rsidR="008A4637" w:rsidRPr="008A4637" w:rsidRDefault="008A4637" w:rsidP="008A4637">
      <w:pPr>
        <w:pStyle w:val="Body"/>
        <w:spacing w:after="0"/>
        <w:rPr>
          <w:rFonts w:ascii="Arial" w:hAnsi="Arial" w:cs="Arial"/>
          <w:lang w:val="en-IN"/>
        </w:rPr>
      </w:pPr>
    </w:p>
    <w:p w14:paraId="757A486E"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Senapati district was purposively selected for the study due to its prominence in off-season cabbage production and relatively larger cultivated area under the crop. The district comprises several blocks, namely Mao-</w:t>
      </w:r>
      <w:proofErr w:type="spellStart"/>
      <w:r w:rsidRPr="008A4637">
        <w:rPr>
          <w:rFonts w:ascii="Arial" w:hAnsi="Arial" w:cs="Arial"/>
          <w:lang w:val="en-IN"/>
        </w:rPr>
        <w:t>Maram</w:t>
      </w:r>
      <w:proofErr w:type="spellEnd"/>
      <w:r w:rsidRPr="008A4637">
        <w:rPr>
          <w:rFonts w:ascii="Arial" w:hAnsi="Arial" w:cs="Arial"/>
          <w:lang w:val="en-IN"/>
        </w:rPr>
        <w:t xml:space="preserve">, </w:t>
      </w:r>
      <w:proofErr w:type="spellStart"/>
      <w:r w:rsidRPr="008A4637">
        <w:rPr>
          <w:rFonts w:ascii="Arial" w:hAnsi="Arial" w:cs="Arial"/>
          <w:lang w:val="en-IN"/>
        </w:rPr>
        <w:t>Paomata</w:t>
      </w:r>
      <w:proofErr w:type="spellEnd"/>
      <w:r w:rsidRPr="008A4637">
        <w:rPr>
          <w:rFonts w:ascii="Arial" w:hAnsi="Arial" w:cs="Arial"/>
          <w:lang w:val="en-IN"/>
        </w:rPr>
        <w:t xml:space="preserve">, </w:t>
      </w:r>
      <w:proofErr w:type="spellStart"/>
      <w:r w:rsidRPr="008A4637">
        <w:rPr>
          <w:rFonts w:ascii="Arial" w:hAnsi="Arial" w:cs="Arial"/>
          <w:lang w:val="en-IN"/>
        </w:rPr>
        <w:t>Purul</w:t>
      </w:r>
      <w:proofErr w:type="spellEnd"/>
      <w:r w:rsidRPr="008A4637">
        <w:rPr>
          <w:rFonts w:ascii="Arial" w:hAnsi="Arial" w:cs="Arial"/>
          <w:lang w:val="en-IN"/>
        </w:rPr>
        <w:t xml:space="preserve">, </w:t>
      </w:r>
      <w:proofErr w:type="spellStart"/>
      <w:r w:rsidRPr="008A4637">
        <w:rPr>
          <w:rFonts w:ascii="Arial" w:hAnsi="Arial" w:cs="Arial"/>
          <w:lang w:val="en-IN"/>
        </w:rPr>
        <w:t>Willong</w:t>
      </w:r>
      <w:proofErr w:type="spellEnd"/>
      <w:r w:rsidRPr="008A4637">
        <w:rPr>
          <w:rFonts w:ascii="Arial" w:hAnsi="Arial" w:cs="Arial"/>
          <w:lang w:val="en-IN"/>
        </w:rPr>
        <w:t xml:space="preserve">, </w:t>
      </w:r>
      <w:proofErr w:type="spellStart"/>
      <w:r w:rsidRPr="008A4637">
        <w:rPr>
          <w:rFonts w:ascii="Arial" w:hAnsi="Arial" w:cs="Arial"/>
          <w:lang w:val="en-IN"/>
        </w:rPr>
        <w:t>Chilivai-Phaibung</w:t>
      </w:r>
      <w:proofErr w:type="spellEnd"/>
      <w:r w:rsidRPr="008A4637">
        <w:rPr>
          <w:rFonts w:ascii="Arial" w:hAnsi="Arial" w:cs="Arial"/>
          <w:lang w:val="en-IN"/>
        </w:rPr>
        <w:t xml:space="preserve">, Song-Song, and </w:t>
      </w:r>
      <w:proofErr w:type="spellStart"/>
      <w:r w:rsidRPr="008A4637">
        <w:rPr>
          <w:rFonts w:ascii="Arial" w:hAnsi="Arial" w:cs="Arial"/>
          <w:lang w:val="en-IN"/>
        </w:rPr>
        <w:t>Lairouching</w:t>
      </w:r>
      <w:proofErr w:type="spellEnd"/>
      <w:r w:rsidRPr="008A4637">
        <w:rPr>
          <w:rFonts w:ascii="Arial" w:hAnsi="Arial" w:cs="Arial"/>
          <w:lang w:val="en-IN"/>
        </w:rPr>
        <w:t>. Among these, Mao-</w:t>
      </w:r>
      <w:proofErr w:type="spellStart"/>
      <w:r w:rsidRPr="008A4637">
        <w:rPr>
          <w:rFonts w:ascii="Arial" w:hAnsi="Arial" w:cs="Arial"/>
          <w:lang w:val="en-IN"/>
        </w:rPr>
        <w:t>Maram</w:t>
      </w:r>
      <w:proofErr w:type="spellEnd"/>
      <w:r w:rsidRPr="008A4637">
        <w:rPr>
          <w:rFonts w:ascii="Arial" w:hAnsi="Arial" w:cs="Arial"/>
          <w:lang w:val="en-IN"/>
        </w:rPr>
        <w:t xml:space="preserve"> and </w:t>
      </w:r>
      <w:proofErr w:type="spellStart"/>
      <w:r w:rsidRPr="008A4637">
        <w:rPr>
          <w:rFonts w:ascii="Arial" w:hAnsi="Arial" w:cs="Arial"/>
          <w:lang w:val="en-IN"/>
        </w:rPr>
        <w:t>Paomata</w:t>
      </w:r>
      <w:proofErr w:type="spellEnd"/>
      <w:r w:rsidRPr="008A4637">
        <w:rPr>
          <w:rFonts w:ascii="Arial" w:hAnsi="Arial" w:cs="Arial"/>
          <w:lang w:val="en-IN"/>
        </w:rPr>
        <w:t xml:space="preserve"> blocks were purposively selected based on higher concentration of off-season cabbage cultivation.</w:t>
      </w:r>
    </w:p>
    <w:p w14:paraId="6F399420"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In the next stage, four villages—</w:t>
      </w:r>
      <w:proofErr w:type="spellStart"/>
      <w:r w:rsidRPr="008A4637">
        <w:rPr>
          <w:rFonts w:ascii="Arial" w:hAnsi="Arial" w:cs="Arial"/>
          <w:lang w:val="en-IN"/>
        </w:rPr>
        <w:t>Makuilongdi</w:t>
      </w:r>
      <w:proofErr w:type="spellEnd"/>
      <w:r w:rsidRPr="008A4637">
        <w:rPr>
          <w:rFonts w:ascii="Arial" w:hAnsi="Arial" w:cs="Arial"/>
          <w:lang w:val="en-IN"/>
        </w:rPr>
        <w:t xml:space="preserve"> and </w:t>
      </w:r>
      <w:proofErr w:type="spellStart"/>
      <w:r w:rsidRPr="008A4637">
        <w:rPr>
          <w:rFonts w:ascii="Arial" w:hAnsi="Arial" w:cs="Arial"/>
          <w:lang w:val="en-IN"/>
        </w:rPr>
        <w:t>Punanamei</w:t>
      </w:r>
      <w:proofErr w:type="spellEnd"/>
      <w:r w:rsidRPr="008A4637">
        <w:rPr>
          <w:rFonts w:ascii="Arial" w:hAnsi="Arial" w:cs="Arial"/>
          <w:lang w:val="en-IN"/>
        </w:rPr>
        <w:t xml:space="preserve"> from Mao-</w:t>
      </w:r>
      <w:proofErr w:type="spellStart"/>
      <w:r w:rsidRPr="008A4637">
        <w:rPr>
          <w:rFonts w:ascii="Arial" w:hAnsi="Arial" w:cs="Arial"/>
          <w:lang w:val="en-IN"/>
        </w:rPr>
        <w:t>Maram</w:t>
      </w:r>
      <w:proofErr w:type="spellEnd"/>
      <w:r w:rsidRPr="008A4637">
        <w:rPr>
          <w:rFonts w:ascii="Arial" w:hAnsi="Arial" w:cs="Arial"/>
          <w:lang w:val="en-IN"/>
        </w:rPr>
        <w:t xml:space="preserve"> block, and </w:t>
      </w:r>
      <w:proofErr w:type="spellStart"/>
      <w:r w:rsidRPr="008A4637">
        <w:rPr>
          <w:rFonts w:ascii="Arial" w:hAnsi="Arial" w:cs="Arial"/>
          <w:lang w:val="en-IN"/>
        </w:rPr>
        <w:t>Laii</w:t>
      </w:r>
      <w:proofErr w:type="spellEnd"/>
      <w:r w:rsidRPr="008A4637">
        <w:rPr>
          <w:rFonts w:ascii="Arial" w:hAnsi="Arial" w:cs="Arial"/>
          <w:lang w:val="en-IN"/>
        </w:rPr>
        <w:t xml:space="preserve"> and </w:t>
      </w:r>
      <w:proofErr w:type="spellStart"/>
      <w:r w:rsidRPr="008A4637">
        <w:rPr>
          <w:rFonts w:ascii="Arial" w:hAnsi="Arial" w:cs="Arial"/>
          <w:lang w:val="en-IN"/>
        </w:rPr>
        <w:t>Tungjoy</w:t>
      </w:r>
      <w:proofErr w:type="spellEnd"/>
      <w:r w:rsidRPr="008A4637">
        <w:rPr>
          <w:rFonts w:ascii="Arial" w:hAnsi="Arial" w:cs="Arial"/>
          <w:lang w:val="en-IN"/>
        </w:rPr>
        <w:t xml:space="preserve"> from </w:t>
      </w:r>
      <w:proofErr w:type="spellStart"/>
      <w:r w:rsidRPr="008A4637">
        <w:rPr>
          <w:rFonts w:ascii="Arial" w:hAnsi="Arial" w:cs="Arial"/>
          <w:lang w:val="en-IN"/>
        </w:rPr>
        <w:t>Paomata</w:t>
      </w:r>
      <w:proofErr w:type="spellEnd"/>
      <w:r w:rsidRPr="008A4637">
        <w:rPr>
          <w:rFonts w:ascii="Arial" w:hAnsi="Arial" w:cs="Arial"/>
          <w:lang w:val="en-IN"/>
        </w:rPr>
        <w:t xml:space="preserve"> block—were selected based on the availability of a substantial number of cabbage growers, as identified through records of the Krishi Vigyan Kendra (KVK), </w:t>
      </w:r>
      <w:proofErr w:type="spellStart"/>
      <w:r w:rsidRPr="008A4637">
        <w:rPr>
          <w:rFonts w:ascii="Arial" w:hAnsi="Arial" w:cs="Arial"/>
          <w:lang w:val="en-IN"/>
        </w:rPr>
        <w:t>Hengbung</w:t>
      </w:r>
      <w:proofErr w:type="spellEnd"/>
      <w:r w:rsidRPr="008A4637">
        <w:rPr>
          <w:rFonts w:ascii="Arial" w:hAnsi="Arial" w:cs="Arial"/>
          <w:lang w:val="en-IN"/>
        </w:rPr>
        <w:t>, Senapati. From each village, a list of cabbage growers was prepared, and respondents were selected using simple random sampling with proportional allocation. A total of 80 farmers were included in the study to ensure adequate representation across villages.</w:t>
      </w:r>
    </w:p>
    <w:p w14:paraId="0EF48CAF"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This multi-stage sampling design ensured systematic coverage of the study area and provided a reliable basis for capturing field-level realities of off-season cabbage cultivation in the hill regions of Manipur.</w:t>
      </w:r>
    </w:p>
    <w:p w14:paraId="3D6EDA20" w14:textId="77777777" w:rsidR="008A4637" w:rsidRDefault="008A4637" w:rsidP="003F5B1C">
      <w:pPr>
        <w:pStyle w:val="Body"/>
        <w:spacing w:after="0"/>
        <w:rPr>
          <w:rFonts w:ascii="Arial" w:hAnsi="Arial" w:cs="Arial"/>
          <w:lang w:val="en-IN"/>
        </w:rPr>
      </w:pPr>
    </w:p>
    <w:p w14:paraId="40A38B43" w14:textId="3FA08899" w:rsidR="00920306" w:rsidRPr="00B37D7E" w:rsidRDefault="00920306" w:rsidP="003F5B1C">
      <w:pPr>
        <w:pStyle w:val="Body"/>
        <w:spacing w:after="0"/>
        <w:rPr>
          <w:rFonts w:ascii="Arial" w:hAnsi="Arial" w:cs="Arial"/>
          <w:b/>
          <w:bCs/>
          <w:sz w:val="22"/>
          <w:szCs w:val="22"/>
        </w:rPr>
      </w:pPr>
      <w:r w:rsidRPr="00920306">
        <w:rPr>
          <w:rFonts w:ascii="Arial" w:hAnsi="Arial" w:cs="Arial"/>
          <w:b/>
          <w:bCs/>
          <w:sz w:val="22"/>
          <w:szCs w:val="22"/>
        </w:rPr>
        <w:t xml:space="preserve">2.1 </w:t>
      </w:r>
      <w:r w:rsidR="00456238" w:rsidRPr="00B37D7E">
        <w:rPr>
          <w:rFonts w:ascii="Arial" w:hAnsi="Arial" w:cs="Arial"/>
          <w:b/>
          <w:bCs/>
          <w:sz w:val="22"/>
          <w:szCs w:val="22"/>
        </w:rPr>
        <w:t>ANALYTICAL TOOLS</w:t>
      </w:r>
    </w:p>
    <w:p w14:paraId="64A06482" w14:textId="77777777" w:rsidR="00471FE5" w:rsidRPr="00920306" w:rsidRDefault="00471FE5" w:rsidP="003F5B1C">
      <w:pPr>
        <w:pStyle w:val="Body"/>
        <w:spacing w:after="0"/>
        <w:rPr>
          <w:rFonts w:ascii="Arial" w:hAnsi="Arial" w:cs="Arial"/>
          <w:b/>
          <w:bCs/>
          <w:sz w:val="22"/>
          <w:szCs w:val="22"/>
        </w:rPr>
      </w:pPr>
    </w:p>
    <w:p w14:paraId="17B852B2" w14:textId="4F40442C" w:rsidR="008A4637" w:rsidRDefault="00920306" w:rsidP="008A4637">
      <w:pPr>
        <w:pStyle w:val="Body"/>
        <w:spacing w:after="0"/>
        <w:rPr>
          <w:rFonts w:ascii="Arial" w:hAnsi="Arial" w:cs="Arial"/>
          <w:b/>
          <w:bCs/>
          <w:lang w:val="en-IN"/>
        </w:rPr>
      </w:pPr>
      <w:r w:rsidRPr="00920306">
        <w:rPr>
          <w:rFonts w:ascii="Arial" w:hAnsi="Arial" w:cs="Arial"/>
          <w:b/>
          <w:bCs/>
          <w:sz w:val="22"/>
          <w:szCs w:val="22"/>
        </w:rPr>
        <w:t>2.1.</w:t>
      </w:r>
      <w:r w:rsidRPr="008A4637">
        <w:rPr>
          <w:rFonts w:ascii="Arial" w:hAnsi="Arial" w:cs="Arial"/>
          <w:b/>
          <w:bCs/>
          <w:sz w:val="22"/>
          <w:szCs w:val="22"/>
        </w:rPr>
        <w:t xml:space="preserve">1 </w:t>
      </w:r>
      <w:r w:rsidR="008A4637" w:rsidRPr="008A4637">
        <w:rPr>
          <w:rFonts w:ascii="Arial" w:hAnsi="Arial" w:cs="Arial"/>
          <w:b/>
          <w:bCs/>
          <w:sz w:val="22"/>
          <w:szCs w:val="22"/>
          <w:lang w:val="en-IN"/>
        </w:rPr>
        <w:t>Marketing of Cabbage</w:t>
      </w:r>
      <w:r w:rsidR="008A4637" w:rsidRPr="008A4637">
        <w:rPr>
          <w:rFonts w:ascii="Arial" w:hAnsi="Arial" w:cs="Arial"/>
          <w:b/>
          <w:bCs/>
          <w:lang w:val="en-IN"/>
        </w:rPr>
        <w:t xml:space="preserve"> </w:t>
      </w:r>
    </w:p>
    <w:p w14:paraId="23A33026" w14:textId="77777777" w:rsidR="008A4637" w:rsidRPr="008A4637" w:rsidRDefault="008A4637" w:rsidP="008A4637">
      <w:pPr>
        <w:pStyle w:val="Body"/>
        <w:spacing w:after="0"/>
        <w:rPr>
          <w:rFonts w:ascii="Arial" w:hAnsi="Arial" w:cs="Arial"/>
          <w:b/>
          <w:bCs/>
          <w:sz w:val="22"/>
          <w:szCs w:val="22"/>
        </w:rPr>
      </w:pPr>
    </w:p>
    <w:p w14:paraId="154933E2" w14:textId="33A6A532" w:rsidR="008A4637" w:rsidRDefault="008A4637" w:rsidP="008A4637">
      <w:pPr>
        <w:pStyle w:val="Body"/>
        <w:spacing w:after="0"/>
        <w:rPr>
          <w:rFonts w:ascii="Arial" w:hAnsi="Arial" w:cs="Arial"/>
          <w:lang w:val="en-IN"/>
        </w:rPr>
      </w:pPr>
      <w:r w:rsidRPr="008A4637">
        <w:rPr>
          <w:rFonts w:ascii="Arial" w:hAnsi="Arial" w:cs="Arial"/>
          <w:lang w:val="en-IN"/>
        </w:rPr>
        <w:t>The marketable surplus, marketed surplus, and marketing efficiency of off-season cabbage were estimated under different marketing channels adopted in the study area.</w:t>
      </w:r>
      <w:r w:rsidR="005052C5" w:rsidRPr="005052C5">
        <w:t xml:space="preserve"> </w:t>
      </w:r>
      <w:r w:rsidR="005052C5" w:rsidRPr="005052C5">
        <w:rPr>
          <w:rFonts w:ascii="Arial" w:hAnsi="Arial" w:cs="Arial"/>
        </w:rPr>
        <w:t>The estimation of marketing cost, marketing margin, price spread, producer’s share in consumer’s rupee, and marketing efficiency follows standard procedures widely used in agricultural marketing studies (Acharya &amp; Agarwal, 2007).</w:t>
      </w:r>
      <w:r w:rsidR="005052C5" w:rsidRPr="005052C5">
        <w:t xml:space="preserve"> </w:t>
      </w:r>
      <w:r w:rsidR="005052C5" w:rsidRPr="005052C5">
        <w:rPr>
          <w:rFonts w:ascii="Arial" w:hAnsi="Arial" w:cs="Arial"/>
        </w:rPr>
        <w:t>The concepts of price spread and marketing margins are based on classical agricultural marketing frameworks (Shepherd, 1965).</w:t>
      </w:r>
    </w:p>
    <w:p w14:paraId="57E07D4A" w14:textId="77777777" w:rsidR="008A4637" w:rsidRPr="008A4637" w:rsidRDefault="008A4637" w:rsidP="008A4637">
      <w:pPr>
        <w:pStyle w:val="Body"/>
        <w:spacing w:after="0"/>
        <w:rPr>
          <w:rFonts w:ascii="Arial" w:hAnsi="Arial" w:cs="Arial"/>
          <w:lang w:val="en-IN"/>
        </w:rPr>
      </w:pPr>
    </w:p>
    <w:p w14:paraId="345827F0" w14:textId="4108B1D8" w:rsidR="008A4637" w:rsidRDefault="008A4637" w:rsidP="008A4637">
      <w:pPr>
        <w:pStyle w:val="Body"/>
        <w:spacing w:after="0"/>
        <w:rPr>
          <w:rFonts w:ascii="Arial" w:hAnsi="Arial" w:cs="Arial"/>
          <w:b/>
          <w:bCs/>
          <w:i/>
          <w:iCs/>
          <w:lang w:val="en-IN"/>
        </w:rPr>
      </w:pPr>
      <w:r w:rsidRPr="008A4637">
        <w:rPr>
          <w:rFonts w:ascii="Arial" w:hAnsi="Arial" w:cs="Arial"/>
          <w:b/>
          <w:bCs/>
          <w:i/>
          <w:iCs/>
          <w:lang w:val="en-IN"/>
        </w:rPr>
        <w:t>2.1.1.1Marketing Cost</w:t>
      </w:r>
    </w:p>
    <w:p w14:paraId="524271E1" w14:textId="77777777" w:rsidR="008A4637" w:rsidRPr="008A4637" w:rsidRDefault="008A4637" w:rsidP="008A4637">
      <w:pPr>
        <w:pStyle w:val="Body"/>
        <w:spacing w:after="0"/>
        <w:rPr>
          <w:rFonts w:ascii="Arial" w:hAnsi="Arial" w:cs="Arial"/>
          <w:b/>
          <w:bCs/>
          <w:i/>
          <w:iCs/>
          <w:lang w:val="en-IN"/>
        </w:rPr>
      </w:pPr>
    </w:p>
    <w:p w14:paraId="3500FCED"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lastRenderedPageBreak/>
        <w:t>The total marketing cost represents the aggregate expenditure incurred by the producer-seller and all intermediaries involved in the movement of cabbage from farm to consumer. It was estimated as:</w:t>
      </w:r>
    </w:p>
    <w:p w14:paraId="01F3E8AB" w14:textId="1C5CDF8E" w:rsidR="008A4637" w:rsidRPr="008A4637" w:rsidRDefault="00A674FE" w:rsidP="008A4637">
      <w:pPr>
        <w:pStyle w:val="Body"/>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T</m:t>
              </m:r>
            </m:e>
            <m:sub>
              <m:r>
                <w:rPr>
                  <w:rFonts w:ascii="Cambria Math" w:hAnsi="Cambria Math" w:cs="Arial"/>
                  <w:lang w:val="en-IN"/>
                </w:rPr>
                <m:t>c</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c</m:t>
              </m:r>
            </m:sub>
          </m:sSub>
          <m:r>
            <w:rPr>
              <w:rFonts w:ascii="Cambria Math" w:hAnsi="Cambria Math" w:cs="Arial"/>
              <w:lang w:val="en-IN"/>
            </w:rPr>
            <m:t>+∑M</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i</m:t>
              </m:r>
            </m:sub>
          </m:sSub>
          <m:r>
            <m:rPr>
              <m:sty m:val="p"/>
            </m:rPr>
            <w:rPr>
              <w:rFonts w:ascii="Arial" w:hAnsi="Arial" w:cs="Arial"/>
              <w:lang w:val="en-IN"/>
            </w:rPr>
            <w:br/>
          </m:r>
        </m:oMath>
      </m:oMathPara>
    </w:p>
    <w:p w14:paraId="5970622C" w14:textId="10A15D3D" w:rsidR="008A4637" w:rsidRDefault="008A4637" w:rsidP="008A4637">
      <w:pPr>
        <w:pStyle w:val="Body"/>
        <w:spacing w:after="0"/>
        <w:jc w:val="left"/>
        <w:rPr>
          <w:rFonts w:ascii="Arial" w:hAnsi="Arial" w:cs="Arial"/>
          <w:lang w:val="en-IN"/>
        </w:rPr>
      </w:pPr>
      <w:r w:rsidRPr="008A4637">
        <w:rPr>
          <w:rFonts w:ascii="Arial" w:hAnsi="Arial" w:cs="Arial"/>
          <w:lang w:val="en-IN"/>
        </w:rPr>
        <w:t>where,</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T</m:t>
            </m:r>
          </m:e>
          <m:sub>
            <m:r>
              <w:rPr>
                <w:rFonts w:ascii="Cambria Math" w:hAnsi="Cambria Math" w:cs="Arial"/>
                <w:lang w:val="en-IN"/>
              </w:rPr>
              <m:t>c</m:t>
            </m:r>
          </m:sub>
        </m:sSub>
      </m:oMath>
      <w:r w:rsidRPr="008A4637">
        <w:rPr>
          <w:rFonts w:ascii="Arial" w:hAnsi="Arial" w:cs="Arial"/>
          <w:lang w:val="en-IN"/>
        </w:rPr>
        <w:t>= Total marketing cost</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c</m:t>
            </m:r>
          </m:sub>
        </m:sSub>
      </m:oMath>
      <w:r w:rsidRPr="008A4637">
        <w:rPr>
          <w:rFonts w:ascii="Arial" w:hAnsi="Arial" w:cs="Arial"/>
          <w:lang w:val="en-IN"/>
        </w:rPr>
        <w:t>= Cost incurred by the producer in marketing the produce</w:t>
      </w:r>
      <w:r w:rsidRPr="008A4637">
        <w:rPr>
          <w:rFonts w:ascii="Arial" w:hAnsi="Arial" w:cs="Arial"/>
          <w:lang w:val="en-IN"/>
        </w:rPr>
        <w:br/>
      </w:r>
      <m:oMath>
        <m:r>
          <w:rPr>
            <w:rFonts w:ascii="Cambria Math" w:hAnsi="Cambria Math" w:cs="Arial"/>
            <w:lang w:val="en-IN"/>
          </w:rPr>
          <m:t>M</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i</m:t>
            </m:r>
          </m:sub>
        </m:sSub>
      </m:oMath>
      <w:r w:rsidRPr="008A4637">
        <w:rPr>
          <w:rFonts w:ascii="Arial" w:hAnsi="Arial" w:cs="Arial"/>
          <w:lang w:val="en-IN"/>
        </w:rPr>
        <w:t xml:space="preserve">= Cost incurred by the </w:t>
      </w:r>
      <w:proofErr w:type="spellStart"/>
      <w:r w:rsidRPr="008A4637">
        <w:rPr>
          <w:rFonts w:ascii="Arial" w:hAnsi="Arial" w:cs="Arial"/>
          <w:lang w:val="en-IN"/>
        </w:rPr>
        <w:t>i-th</w:t>
      </w:r>
      <w:proofErr w:type="spellEnd"/>
      <w:r w:rsidRPr="008A4637">
        <w:rPr>
          <w:rFonts w:ascii="Arial" w:hAnsi="Arial" w:cs="Arial"/>
          <w:lang w:val="en-IN"/>
        </w:rPr>
        <w:t xml:space="preserve"> intermediary</w:t>
      </w:r>
    </w:p>
    <w:p w14:paraId="75A28036" w14:textId="77777777" w:rsidR="008A4637" w:rsidRPr="008A4637" w:rsidRDefault="008A4637" w:rsidP="008A4637">
      <w:pPr>
        <w:pStyle w:val="Body"/>
        <w:spacing w:after="0"/>
        <w:jc w:val="left"/>
        <w:rPr>
          <w:rFonts w:ascii="Arial" w:hAnsi="Arial" w:cs="Arial"/>
          <w:lang w:val="en-IN"/>
        </w:rPr>
      </w:pPr>
    </w:p>
    <w:p w14:paraId="477310D6" w14:textId="411513F7" w:rsidR="008A4637" w:rsidRPr="008A4637" w:rsidRDefault="008A4637" w:rsidP="008A4637">
      <w:pPr>
        <w:pStyle w:val="Body"/>
        <w:spacing w:after="0"/>
        <w:rPr>
          <w:rFonts w:ascii="Arial" w:hAnsi="Arial" w:cs="Arial"/>
          <w:b/>
          <w:bCs/>
          <w:i/>
          <w:iCs/>
          <w:lang w:val="en-IN"/>
        </w:rPr>
      </w:pPr>
      <w:r>
        <w:rPr>
          <w:rFonts w:ascii="Arial" w:hAnsi="Arial" w:cs="Arial"/>
          <w:b/>
          <w:bCs/>
          <w:i/>
          <w:iCs/>
          <w:lang w:val="en-IN"/>
        </w:rPr>
        <w:t xml:space="preserve">2.1.1.2 </w:t>
      </w:r>
      <w:r w:rsidRPr="008A4637">
        <w:rPr>
          <w:rFonts w:ascii="Arial" w:hAnsi="Arial" w:cs="Arial"/>
          <w:b/>
          <w:bCs/>
          <w:i/>
          <w:iCs/>
          <w:lang w:val="en-IN"/>
        </w:rPr>
        <w:t>Marketing Margin</w:t>
      </w:r>
    </w:p>
    <w:p w14:paraId="46D084D3" w14:textId="77777777" w:rsidR="008A4637" w:rsidRPr="008A4637" w:rsidRDefault="008A4637" w:rsidP="008A4637">
      <w:pPr>
        <w:pStyle w:val="Body"/>
        <w:spacing w:after="0"/>
        <w:rPr>
          <w:rFonts w:ascii="Arial" w:hAnsi="Arial" w:cs="Arial"/>
          <w:b/>
          <w:bCs/>
          <w:lang w:val="en-IN"/>
        </w:rPr>
      </w:pPr>
    </w:p>
    <w:p w14:paraId="2459AAA6"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Marketing margin of intermediaries was calculated as:</w:t>
      </w:r>
    </w:p>
    <w:p w14:paraId="1EF47208" w14:textId="74018636" w:rsidR="008A4637" w:rsidRPr="008A4637" w:rsidRDefault="00A674FE" w:rsidP="008A4637">
      <w:pPr>
        <w:pStyle w:val="Body"/>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A</m:t>
              </m:r>
            </m:e>
            <m:sub>
              <m:r>
                <w:rPr>
                  <w:rFonts w:ascii="Cambria Math" w:hAnsi="Cambria Math" w:cs="Arial"/>
                  <w:lang w:val="en-IN"/>
                </w:rPr>
                <m:t>mi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Ri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pi</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mi</m:t>
              </m:r>
            </m:sub>
          </m:sSub>
          <m:r>
            <w:rPr>
              <w:rFonts w:ascii="Cambria Math" w:hAnsi="Cambria Math" w:cs="Arial"/>
              <w:lang w:val="en-IN"/>
            </w:rPr>
            <m:t>)</m:t>
          </m:r>
          <m:r>
            <m:rPr>
              <m:sty m:val="p"/>
            </m:rPr>
            <w:rPr>
              <w:rFonts w:ascii="Arial" w:hAnsi="Arial" w:cs="Arial"/>
              <w:lang w:val="en-IN"/>
            </w:rPr>
            <w:br/>
          </m:r>
        </m:oMath>
      </m:oMathPara>
    </w:p>
    <w:p w14:paraId="22C75A93" w14:textId="721DB6F5" w:rsidR="008A4637" w:rsidRPr="008A4637" w:rsidRDefault="008A4637" w:rsidP="008A4637">
      <w:pPr>
        <w:pStyle w:val="Body"/>
        <w:spacing w:after="0"/>
        <w:jc w:val="left"/>
        <w:rPr>
          <w:rFonts w:ascii="Arial" w:hAnsi="Arial" w:cs="Arial"/>
          <w:lang w:val="en-IN"/>
        </w:rPr>
      </w:pPr>
      <w:r w:rsidRPr="008A4637">
        <w:rPr>
          <w:rFonts w:ascii="Arial" w:hAnsi="Arial" w:cs="Arial"/>
          <w:lang w:val="en-IN"/>
        </w:rPr>
        <w:t>where,</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A</m:t>
            </m:r>
          </m:e>
          <m:sub>
            <m:r>
              <w:rPr>
                <w:rFonts w:ascii="Cambria Math" w:hAnsi="Cambria Math" w:cs="Arial"/>
                <w:lang w:val="en-IN"/>
              </w:rPr>
              <m:t>mi</m:t>
            </m:r>
          </m:sub>
        </m:sSub>
      </m:oMath>
      <w:r w:rsidRPr="008A4637">
        <w:rPr>
          <w:rFonts w:ascii="Arial" w:hAnsi="Arial" w:cs="Arial"/>
          <w:lang w:val="en-IN"/>
        </w:rPr>
        <w:t>= Absolute marketing margin of i-th intermediary</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Ri</m:t>
            </m:r>
          </m:sub>
        </m:sSub>
      </m:oMath>
      <w:r w:rsidRPr="008A4637">
        <w:rPr>
          <w:rFonts w:ascii="Arial" w:hAnsi="Arial" w:cs="Arial"/>
          <w:lang w:val="en-IN"/>
        </w:rPr>
        <w:t>= Selling price per unit</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pi</m:t>
            </m:r>
          </m:sub>
        </m:sSub>
      </m:oMath>
      <w:r w:rsidRPr="008A4637">
        <w:rPr>
          <w:rFonts w:ascii="Arial" w:hAnsi="Arial" w:cs="Arial"/>
          <w:lang w:val="en-IN"/>
        </w:rPr>
        <w:t>= Purchase price per unit</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mi</m:t>
            </m:r>
          </m:sub>
        </m:sSub>
      </m:oMath>
      <w:r w:rsidRPr="008A4637">
        <w:rPr>
          <w:rFonts w:ascii="Arial" w:hAnsi="Arial" w:cs="Arial"/>
          <w:lang w:val="en-IN"/>
        </w:rPr>
        <w:t>= Marketing cost incurred per unit</w:t>
      </w:r>
    </w:p>
    <w:p w14:paraId="5A9F0B62" w14:textId="77777777" w:rsidR="008A4637" w:rsidRDefault="008A4637" w:rsidP="008A4637">
      <w:pPr>
        <w:pStyle w:val="Body"/>
        <w:spacing w:after="0"/>
        <w:rPr>
          <w:rFonts w:ascii="Arial" w:hAnsi="Arial" w:cs="Arial"/>
          <w:lang w:val="en-IN"/>
        </w:rPr>
      </w:pPr>
    </w:p>
    <w:p w14:paraId="433144F3" w14:textId="665D284A" w:rsidR="008A4637" w:rsidRPr="008A4637" w:rsidRDefault="008A4637" w:rsidP="008A4637">
      <w:pPr>
        <w:pStyle w:val="Body"/>
        <w:spacing w:after="0"/>
        <w:rPr>
          <w:rFonts w:ascii="Arial" w:hAnsi="Arial" w:cs="Arial"/>
          <w:b/>
          <w:bCs/>
          <w:i/>
          <w:iCs/>
          <w:lang w:val="en-IN"/>
        </w:rPr>
      </w:pPr>
      <w:r>
        <w:rPr>
          <w:rFonts w:ascii="Arial" w:hAnsi="Arial" w:cs="Arial"/>
          <w:b/>
          <w:bCs/>
          <w:i/>
          <w:iCs/>
          <w:lang w:val="en-IN"/>
        </w:rPr>
        <w:t xml:space="preserve">2.1.1.3 </w:t>
      </w:r>
      <w:r w:rsidRPr="008A4637">
        <w:rPr>
          <w:rFonts w:ascii="Arial" w:hAnsi="Arial" w:cs="Arial"/>
          <w:b/>
          <w:bCs/>
          <w:i/>
          <w:iCs/>
          <w:lang w:val="en-IN"/>
        </w:rPr>
        <w:t>Price Spread</w:t>
      </w:r>
    </w:p>
    <w:p w14:paraId="51030DC4" w14:textId="77777777" w:rsidR="008A4637" w:rsidRPr="008A4637" w:rsidRDefault="008A4637" w:rsidP="008A4637">
      <w:pPr>
        <w:pStyle w:val="Body"/>
        <w:spacing w:after="0"/>
        <w:rPr>
          <w:rFonts w:ascii="Arial" w:hAnsi="Arial" w:cs="Arial"/>
          <w:b/>
          <w:bCs/>
          <w:lang w:val="en-IN"/>
        </w:rPr>
      </w:pPr>
    </w:p>
    <w:p w14:paraId="542EF917"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Price spread refers to the difference between the price paid by the consumer and the price received by the producer, indicating the share absorbed by intermediaries in the marketing system.</w:t>
      </w:r>
    </w:p>
    <w:p w14:paraId="0262D221" w14:textId="77777777" w:rsidR="008A4637" w:rsidRDefault="008A4637" w:rsidP="008A4637">
      <w:pPr>
        <w:pStyle w:val="Body"/>
        <w:spacing w:after="0"/>
        <w:rPr>
          <w:rFonts w:ascii="Arial" w:hAnsi="Arial" w:cs="Arial"/>
          <w:lang w:val="en-IN"/>
        </w:rPr>
      </w:pPr>
    </w:p>
    <w:p w14:paraId="69D8E301" w14:textId="00EAD12C" w:rsidR="008A4637" w:rsidRPr="008A4637" w:rsidRDefault="008A4637" w:rsidP="008A4637">
      <w:pPr>
        <w:pStyle w:val="Body"/>
        <w:spacing w:after="0"/>
        <w:rPr>
          <w:rFonts w:ascii="Arial" w:hAnsi="Arial" w:cs="Arial"/>
          <w:b/>
          <w:bCs/>
          <w:i/>
          <w:iCs/>
          <w:lang w:val="en-IN"/>
        </w:rPr>
      </w:pPr>
      <w:r w:rsidRPr="008A4637">
        <w:rPr>
          <w:rFonts w:ascii="Arial" w:hAnsi="Arial" w:cs="Arial"/>
          <w:b/>
          <w:bCs/>
          <w:i/>
          <w:iCs/>
          <w:lang w:val="en-IN"/>
        </w:rPr>
        <w:t>2.1.1.4 Producer’s Share in Consumer’s Rupee</w:t>
      </w:r>
    </w:p>
    <w:p w14:paraId="0EB83BA9" w14:textId="77777777" w:rsidR="008A4637" w:rsidRPr="008A4637" w:rsidRDefault="008A4637" w:rsidP="008A4637">
      <w:pPr>
        <w:pStyle w:val="Body"/>
        <w:spacing w:after="0"/>
        <w:rPr>
          <w:rFonts w:ascii="Arial" w:hAnsi="Arial" w:cs="Arial"/>
          <w:b/>
          <w:bCs/>
          <w:lang w:val="en-IN"/>
        </w:rPr>
      </w:pPr>
    </w:p>
    <w:p w14:paraId="408996D3"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The producer’s share in the consumer’s rupee was computed as:</w:t>
      </w:r>
    </w:p>
    <w:p w14:paraId="796BE0FC" w14:textId="19C1B1C4" w:rsidR="008A4637" w:rsidRPr="008A4637" w:rsidRDefault="00A674FE" w:rsidP="008A4637">
      <w:pPr>
        <w:pStyle w:val="Body"/>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s</m:t>
              </m:r>
            </m:sub>
          </m:sSub>
          <m: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f</m:t>
                  </m:r>
                </m:sub>
              </m:sSub>
            </m:num>
            <m:den>
              <m:sSub>
                <m:sSubPr>
                  <m:ctrlPr>
                    <w:rPr>
                      <w:rFonts w:ascii="Cambria Math" w:hAnsi="Cambria Math" w:cs="Arial"/>
                      <w:lang w:val="en-IN"/>
                    </w:rPr>
                  </m:ctrlPr>
                </m:sSubPr>
                <m:e>
                  <m:r>
                    <w:rPr>
                      <w:rFonts w:ascii="Cambria Math" w:hAnsi="Cambria Math" w:cs="Arial"/>
                      <w:lang w:val="en-IN"/>
                    </w:rPr>
                    <m:t>P</m:t>
                  </m:r>
                </m:e>
                <m:sub>
                  <m:r>
                    <w:rPr>
                      <w:rFonts w:ascii="Cambria Math" w:hAnsi="Cambria Math" w:cs="Arial"/>
                      <w:lang w:val="en-IN"/>
                    </w:rPr>
                    <m:t>r</m:t>
                  </m:r>
                </m:sub>
              </m:sSub>
            </m:den>
          </m:f>
          <m:r>
            <w:rPr>
              <w:rFonts w:ascii="Cambria Math" w:hAnsi="Cambria Math" w:cs="Arial"/>
              <w:lang w:val="en-IN"/>
            </w:rPr>
            <m:t>×100</m:t>
          </m:r>
          <m:r>
            <m:rPr>
              <m:sty m:val="p"/>
            </m:rPr>
            <w:rPr>
              <w:rFonts w:ascii="Arial" w:hAnsi="Arial" w:cs="Arial"/>
              <w:lang w:val="en-IN"/>
            </w:rPr>
            <w:br/>
          </m:r>
        </m:oMath>
      </m:oMathPara>
    </w:p>
    <w:p w14:paraId="3AA31690" w14:textId="3B2C3F09" w:rsidR="008A4637" w:rsidRDefault="008A4637" w:rsidP="008A4637">
      <w:pPr>
        <w:pStyle w:val="Body"/>
        <w:spacing w:after="0"/>
        <w:jc w:val="left"/>
        <w:rPr>
          <w:rFonts w:ascii="Arial" w:hAnsi="Arial" w:cs="Arial"/>
          <w:lang w:val="en-IN"/>
        </w:rPr>
      </w:pPr>
      <w:r w:rsidRPr="008A4637">
        <w:rPr>
          <w:rFonts w:ascii="Arial" w:hAnsi="Arial" w:cs="Arial"/>
          <w:lang w:val="en-IN"/>
        </w:rPr>
        <w:t>where,</w:t>
      </w:r>
      <w:r w:rsidRPr="008A4637">
        <w:rPr>
          <w:rFonts w:ascii="Arial" w:hAnsi="Arial" w:cs="Arial"/>
          <w:lang w:val="en-IN"/>
        </w:rPr>
        <w:br/>
      </w:r>
      <m:oMath>
        <m:sSub>
          <m:sSubPr>
            <m:ctrlPr>
              <w:rPr>
                <w:rFonts w:ascii="Cambria Math" w:hAnsi="Cambria Math" w:cs="Arial"/>
                <w:lang w:val="en-IN"/>
              </w:rPr>
            </m:ctrlPr>
          </m:sSubPr>
          <m:e>
            <m:r>
              <m:rPr>
                <m:sty m:val="p"/>
              </m:rPr>
              <w:rPr>
                <w:rFonts w:ascii="Cambria Math" w:hAnsi="Cambria Math" w:cs="Arial"/>
                <w:lang w:val="en-IN"/>
              </w:rPr>
              <m:t>P</m:t>
            </m:r>
          </m:e>
          <m:sub>
            <m:r>
              <m:rPr>
                <m:sty m:val="p"/>
              </m:rPr>
              <w:rPr>
                <w:rFonts w:ascii="Cambria Math" w:hAnsi="Cambria Math" w:cs="Arial"/>
                <w:lang w:val="en-IN"/>
              </w:rPr>
              <m:t>s</m:t>
            </m:r>
          </m:sub>
        </m:sSub>
      </m:oMath>
      <w:r w:rsidRPr="008A4637">
        <w:rPr>
          <w:rFonts w:ascii="Arial" w:hAnsi="Arial" w:cs="Arial"/>
          <w:lang w:val="en-IN"/>
        </w:rPr>
        <w:t>= Producer’s share in consumer’s rupee</w:t>
      </w:r>
      <w:r w:rsidRPr="008A4637">
        <w:rPr>
          <w:rFonts w:ascii="Arial" w:hAnsi="Arial" w:cs="Arial"/>
          <w:lang w:val="en-IN"/>
        </w:rPr>
        <w:br/>
      </w:r>
      <m:oMath>
        <m:sSub>
          <m:sSubPr>
            <m:ctrlPr>
              <w:rPr>
                <w:rFonts w:ascii="Cambria Math" w:hAnsi="Cambria Math" w:cs="Arial"/>
                <w:lang w:val="en-IN"/>
              </w:rPr>
            </m:ctrlPr>
          </m:sSubPr>
          <m:e>
            <m:r>
              <m:rPr>
                <m:sty m:val="p"/>
              </m:rPr>
              <w:rPr>
                <w:rFonts w:ascii="Cambria Math" w:hAnsi="Cambria Math" w:cs="Arial"/>
                <w:lang w:val="en-IN"/>
              </w:rPr>
              <m:t>P</m:t>
            </m:r>
          </m:e>
          <m:sub>
            <m:r>
              <m:rPr>
                <m:sty m:val="p"/>
              </m:rPr>
              <w:rPr>
                <w:rFonts w:ascii="Cambria Math" w:hAnsi="Cambria Math" w:cs="Arial"/>
                <w:lang w:val="en-IN"/>
              </w:rPr>
              <m:t>f</m:t>
            </m:r>
          </m:sub>
        </m:sSub>
      </m:oMath>
      <w:r w:rsidRPr="008A4637">
        <w:rPr>
          <w:rFonts w:ascii="Arial" w:hAnsi="Arial" w:cs="Arial"/>
          <w:lang w:val="en-IN"/>
        </w:rPr>
        <w:t>= Price received by farmer per unit</w:t>
      </w:r>
      <w:r w:rsidRPr="008A4637">
        <w:rPr>
          <w:rFonts w:ascii="Arial" w:hAnsi="Arial" w:cs="Arial"/>
          <w:lang w:val="en-IN"/>
        </w:rPr>
        <w:br/>
      </w:r>
      <m:oMath>
        <m:sSub>
          <m:sSubPr>
            <m:ctrlPr>
              <w:rPr>
                <w:rFonts w:ascii="Cambria Math" w:hAnsi="Cambria Math" w:cs="Arial"/>
                <w:lang w:val="en-IN"/>
              </w:rPr>
            </m:ctrlPr>
          </m:sSubPr>
          <m:e>
            <m:r>
              <m:rPr>
                <m:sty m:val="p"/>
              </m:rPr>
              <w:rPr>
                <w:rFonts w:ascii="Cambria Math" w:hAnsi="Cambria Math" w:cs="Arial"/>
                <w:lang w:val="en-IN"/>
              </w:rPr>
              <m:t>P</m:t>
            </m:r>
          </m:e>
          <m:sub>
            <m:r>
              <m:rPr>
                <m:sty m:val="p"/>
              </m:rPr>
              <w:rPr>
                <w:rFonts w:ascii="Cambria Math" w:hAnsi="Cambria Math" w:cs="Arial"/>
                <w:lang w:val="en-IN"/>
              </w:rPr>
              <m:t>r</m:t>
            </m:r>
          </m:sub>
        </m:sSub>
      </m:oMath>
      <w:r w:rsidRPr="008A4637">
        <w:rPr>
          <w:rFonts w:ascii="Arial" w:hAnsi="Arial" w:cs="Arial"/>
          <w:lang w:val="en-IN"/>
        </w:rPr>
        <w:t>= Retail price per unit</w:t>
      </w:r>
    </w:p>
    <w:p w14:paraId="23FEA6F6" w14:textId="77777777" w:rsidR="008A4637" w:rsidRPr="008A4637" w:rsidRDefault="008A4637" w:rsidP="008A4637">
      <w:pPr>
        <w:pStyle w:val="Body"/>
        <w:spacing w:after="0"/>
        <w:jc w:val="left"/>
        <w:rPr>
          <w:rFonts w:ascii="Arial" w:hAnsi="Arial" w:cs="Arial"/>
          <w:lang w:val="en-IN"/>
        </w:rPr>
      </w:pPr>
    </w:p>
    <w:p w14:paraId="6D2A71BC" w14:textId="0C69B941" w:rsidR="008A4637" w:rsidRDefault="008A4637" w:rsidP="008A4637">
      <w:pPr>
        <w:pStyle w:val="Body"/>
        <w:spacing w:after="0"/>
        <w:rPr>
          <w:rFonts w:ascii="Arial" w:hAnsi="Arial" w:cs="Arial"/>
          <w:b/>
          <w:bCs/>
          <w:i/>
          <w:iCs/>
          <w:lang w:val="en-IN"/>
        </w:rPr>
      </w:pPr>
      <w:r w:rsidRPr="008A4637">
        <w:rPr>
          <w:rFonts w:ascii="Arial" w:hAnsi="Arial" w:cs="Arial"/>
          <w:b/>
          <w:bCs/>
          <w:i/>
          <w:iCs/>
          <w:lang w:val="en-IN"/>
        </w:rPr>
        <w:t>2.1.1.5 Marketing Efficiency</w:t>
      </w:r>
    </w:p>
    <w:p w14:paraId="272DC034" w14:textId="77777777" w:rsidR="008A4637" w:rsidRPr="008A4637" w:rsidRDefault="008A4637" w:rsidP="008A4637">
      <w:pPr>
        <w:pStyle w:val="Body"/>
        <w:spacing w:after="0"/>
        <w:rPr>
          <w:rFonts w:ascii="Arial" w:hAnsi="Arial" w:cs="Arial"/>
          <w:b/>
          <w:bCs/>
          <w:i/>
          <w:iCs/>
          <w:lang w:val="en-IN"/>
        </w:rPr>
      </w:pPr>
    </w:p>
    <w:p w14:paraId="105A348F" w14:textId="77777777" w:rsidR="008A4637" w:rsidRPr="008A4637" w:rsidRDefault="008A4637" w:rsidP="008A4637">
      <w:pPr>
        <w:pStyle w:val="Body"/>
        <w:spacing w:after="0"/>
        <w:rPr>
          <w:rFonts w:ascii="Arial" w:hAnsi="Arial" w:cs="Arial"/>
          <w:lang w:val="en-IN"/>
        </w:rPr>
      </w:pPr>
      <w:r w:rsidRPr="008A4637">
        <w:rPr>
          <w:rFonts w:ascii="Arial" w:hAnsi="Arial" w:cs="Arial"/>
          <w:lang w:val="en-IN"/>
        </w:rPr>
        <w:t>Marketing efficiency of different channels was estimated using Acharya and Agarwal (2007) approach:</w:t>
      </w:r>
    </w:p>
    <w:p w14:paraId="6F9EFDC8" w14:textId="320E7612" w:rsidR="008A4637" w:rsidRPr="008A4637" w:rsidRDefault="008A4637" w:rsidP="008A4637">
      <w:pPr>
        <w:pStyle w:val="Body"/>
        <w:rPr>
          <w:rFonts w:ascii="Arial" w:hAnsi="Arial" w:cs="Arial"/>
          <w:lang w:val="en-IN"/>
        </w:rPr>
      </w:pPr>
      <m:oMathPara>
        <m:oMath>
          <m:r>
            <w:rPr>
              <w:rFonts w:ascii="Cambria Math" w:hAnsi="Cambria Math" w:cs="Arial"/>
              <w:lang w:val="en-IN"/>
            </w:rPr>
            <m:t>ME=</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F</m:t>
                  </m:r>
                </m:e>
                <m:sub>
                  <m:r>
                    <w:rPr>
                      <w:rFonts w:ascii="Cambria Math" w:hAnsi="Cambria Math" w:cs="Arial"/>
                      <w:lang w:val="en-IN"/>
                    </w:rPr>
                    <m:t>p</m:t>
                  </m:r>
                </m:sub>
              </m:sSub>
            </m:num>
            <m:den>
              <m:sSub>
                <m:sSubPr>
                  <m:ctrlPr>
                    <w:rPr>
                      <w:rFonts w:ascii="Cambria Math" w:hAnsi="Cambria Math" w:cs="Arial"/>
                      <w:lang w:val="en-IN"/>
                    </w:rPr>
                  </m:ctrlPr>
                </m:sSubPr>
                <m:e>
                  <m:r>
                    <w:rPr>
                      <w:rFonts w:ascii="Cambria Math" w:hAnsi="Cambria Math" w:cs="Arial"/>
                      <w:lang w:val="en-IN"/>
                    </w:rPr>
                    <m:t>M</m:t>
                  </m:r>
                </m:e>
                <m:sub>
                  <m:r>
                    <w:rPr>
                      <w:rFonts w:ascii="Cambria Math" w:hAnsi="Cambria Math" w:cs="Arial"/>
                      <w:lang w:val="en-IN"/>
                    </w:rPr>
                    <m:t>c</m:t>
                  </m:r>
                </m:sub>
              </m:sSub>
              <m: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M</m:t>
                  </m:r>
                </m:e>
                <m:sub>
                  <m:r>
                    <w:rPr>
                      <w:rFonts w:ascii="Cambria Math" w:hAnsi="Cambria Math" w:cs="Arial"/>
                      <w:lang w:val="en-IN"/>
                    </w:rPr>
                    <m:t>m</m:t>
                  </m:r>
                </m:sub>
              </m:sSub>
            </m:den>
          </m:f>
          <m:r>
            <m:rPr>
              <m:sty m:val="p"/>
            </m:rPr>
            <w:rPr>
              <w:rFonts w:ascii="Arial" w:hAnsi="Arial" w:cs="Arial"/>
              <w:lang w:val="en-IN"/>
            </w:rPr>
            <w:br/>
          </m:r>
        </m:oMath>
      </m:oMathPara>
    </w:p>
    <w:p w14:paraId="417AC576" w14:textId="2934301D" w:rsidR="008A4637" w:rsidRPr="008A4637" w:rsidRDefault="008A4637" w:rsidP="008A4637">
      <w:pPr>
        <w:pStyle w:val="Body"/>
        <w:spacing w:after="0"/>
        <w:jc w:val="left"/>
        <w:rPr>
          <w:rFonts w:ascii="Arial" w:hAnsi="Arial" w:cs="Arial"/>
          <w:lang w:val="en-IN"/>
        </w:rPr>
      </w:pPr>
      <w:r w:rsidRPr="008A4637">
        <w:rPr>
          <w:rFonts w:ascii="Arial" w:hAnsi="Arial" w:cs="Arial"/>
          <w:lang w:val="en-IN"/>
        </w:rPr>
        <w:t>where,</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F</m:t>
            </m:r>
          </m:e>
          <m:sub>
            <m:r>
              <w:rPr>
                <w:rFonts w:ascii="Cambria Math" w:hAnsi="Cambria Math" w:cs="Arial"/>
                <w:lang w:val="en-IN"/>
              </w:rPr>
              <m:t>p</m:t>
            </m:r>
          </m:sub>
        </m:sSub>
      </m:oMath>
      <w:r w:rsidRPr="008A4637">
        <w:rPr>
          <w:rFonts w:ascii="Arial" w:hAnsi="Arial" w:cs="Arial"/>
          <w:lang w:val="en-IN"/>
        </w:rPr>
        <w:t>= Net price received by farmer</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M</m:t>
            </m:r>
          </m:e>
          <m:sub>
            <m:r>
              <w:rPr>
                <w:rFonts w:ascii="Cambria Math" w:hAnsi="Cambria Math" w:cs="Arial"/>
                <w:lang w:val="en-IN"/>
              </w:rPr>
              <m:t>c</m:t>
            </m:r>
          </m:sub>
        </m:sSub>
      </m:oMath>
      <w:r w:rsidRPr="008A4637">
        <w:rPr>
          <w:rFonts w:ascii="Arial" w:hAnsi="Arial" w:cs="Arial"/>
          <w:lang w:val="en-IN"/>
        </w:rPr>
        <w:t>= Total marketing cost</w:t>
      </w:r>
      <w:r w:rsidRPr="008A4637">
        <w:rPr>
          <w:rFonts w:ascii="Arial" w:hAnsi="Arial" w:cs="Arial"/>
          <w:lang w:val="en-IN"/>
        </w:rPr>
        <w:br/>
      </w:r>
      <m:oMath>
        <m:sSub>
          <m:sSubPr>
            <m:ctrlPr>
              <w:rPr>
                <w:rFonts w:ascii="Cambria Math" w:hAnsi="Cambria Math" w:cs="Arial"/>
                <w:lang w:val="en-IN"/>
              </w:rPr>
            </m:ctrlPr>
          </m:sSubPr>
          <m:e>
            <m:r>
              <w:rPr>
                <w:rFonts w:ascii="Cambria Math" w:hAnsi="Cambria Math" w:cs="Arial"/>
                <w:lang w:val="en-IN"/>
              </w:rPr>
              <m:t>M</m:t>
            </m:r>
          </m:e>
          <m:sub>
            <m:r>
              <w:rPr>
                <w:rFonts w:ascii="Cambria Math" w:hAnsi="Cambria Math" w:cs="Arial"/>
                <w:lang w:val="en-IN"/>
              </w:rPr>
              <m:t>m</m:t>
            </m:r>
          </m:sub>
        </m:sSub>
      </m:oMath>
      <w:r w:rsidRPr="008A4637">
        <w:rPr>
          <w:rFonts w:ascii="Arial" w:hAnsi="Arial" w:cs="Arial"/>
          <w:lang w:val="en-IN"/>
        </w:rPr>
        <w:t>= Total marketing margin</w:t>
      </w:r>
    </w:p>
    <w:p w14:paraId="1DF6179C" w14:textId="6B7366D0" w:rsidR="008A4637" w:rsidRPr="008A4637" w:rsidRDefault="008A4637" w:rsidP="008A4637">
      <w:pPr>
        <w:pStyle w:val="Body"/>
        <w:jc w:val="left"/>
        <w:rPr>
          <w:rFonts w:ascii="Arial" w:hAnsi="Arial" w:cs="Arial"/>
          <w:lang w:val="en-IN"/>
        </w:rPr>
      </w:pPr>
    </w:p>
    <w:p w14:paraId="04F48A0D" w14:textId="119B30CB" w:rsidR="008A4637" w:rsidRPr="008A4637" w:rsidRDefault="008A4637" w:rsidP="008A4637">
      <w:pPr>
        <w:pStyle w:val="Body"/>
        <w:spacing w:after="0"/>
        <w:rPr>
          <w:rFonts w:ascii="Arial" w:hAnsi="Arial" w:cs="Arial"/>
          <w:b/>
          <w:bCs/>
          <w:sz w:val="22"/>
          <w:szCs w:val="22"/>
          <w:lang w:val="en-IN"/>
        </w:rPr>
      </w:pPr>
      <w:r w:rsidRPr="008A4637">
        <w:rPr>
          <w:rFonts w:ascii="Arial" w:hAnsi="Arial" w:cs="Arial"/>
          <w:b/>
          <w:bCs/>
          <w:sz w:val="22"/>
          <w:szCs w:val="22"/>
          <w:lang w:val="en-IN"/>
        </w:rPr>
        <w:t>2.2 Bernoulli–Binomial Analytical Framework</w:t>
      </w:r>
    </w:p>
    <w:p w14:paraId="14ED3788" w14:textId="77777777" w:rsidR="008A4637" w:rsidRPr="008A4637" w:rsidRDefault="008A4637" w:rsidP="008A4637">
      <w:pPr>
        <w:pStyle w:val="Body"/>
        <w:spacing w:after="0"/>
        <w:rPr>
          <w:rFonts w:ascii="Arial" w:hAnsi="Arial" w:cs="Arial"/>
          <w:b/>
          <w:bCs/>
          <w:lang w:val="en-IN"/>
        </w:rPr>
      </w:pPr>
    </w:p>
    <w:p w14:paraId="3460C80D" w14:textId="068D8E78" w:rsidR="008A4637" w:rsidRPr="008A4637" w:rsidRDefault="006A15FF" w:rsidP="008A4637">
      <w:pPr>
        <w:pStyle w:val="Body"/>
        <w:spacing w:after="0"/>
        <w:rPr>
          <w:rFonts w:ascii="Arial" w:hAnsi="Arial" w:cs="Arial"/>
          <w:lang w:val="en-IN"/>
        </w:rPr>
      </w:pPr>
      <w:r w:rsidRPr="006A15FF">
        <w:rPr>
          <w:rFonts w:ascii="Arial" w:hAnsi="Arial" w:cs="Arial"/>
        </w:rPr>
        <w:t>The use of Bernoulli trials and the binomial distribution for modeling binary outcomes is well established in probability theory and widely applied in empirical research involving success–failure processes</w:t>
      </w:r>
      <w:r w:rsidR="005052C5">
        <w:rPr>
          <w:rFonts w:ascii="Arial" w:hAnsi="Arial" w:cs="Arial"/>
        </w:rPr>
        <w:t xml:space="preserve"> (</w:t>
      </w:r>
      <w:proofErr w:type="spellStart"/>
      <w:r w:rsidR="005052C5" w:rsidRPr="005052C5">
        <w:rPr>
          <w:rFonts w:ascii="Arial" w:hAnsi="Arial" w:cs="Arial"/>
        </w:rPr>
        <w:t>Vellaisamy</w:t>
      </w:r>
      <w:proofErr w:type="spellEnd"/>
      <w:r w:rsidR="005052C5">
        <w:rPr>
          <w:rFonts w:ascii="Arial" w:hAnsi="Arial" w:cs="Arial"/>
        </w:rPr>
        <w:t xml:space="preserve"> &amp; </w:t>
      </w:r>
      <w:proofErr w:type="spellStart"/>
      <w:r w:rsidR="005052C5" w:rsidRPr="005052C5">
        <w:rPr>
          <w:rFonts w:ascii="Arial" w:hAnsi="Arial" w:cs="Arial"/>
        </w:rPr>
        <w:t>Punnen</w:t>
      </w:r>
      <w:proofErr w:type="spellEnd"/>
      <w:r w:rsidR="005052C5" w:rsidRPr="005052C5">
        <w:rPr>
          <w:rFonts w:ascii="Arial" w:hAnsi="Arial" w:cs="Arial"/>
        </w:rPr>
        <w:t xml:space="preserve"> 2001</w:t>
      </w:r>
      <w:r w:rsidR="005052C5">
        <w:rPr>
          <w:rFonts w:ascii="Arial" w:hAnsi="Arial" w:cs="Arial"/>
        </w:rPr>
        <w:t xml:space="preserve">). </w:t>
      </w:r>
      <w:r w:rsidR="008A4637" w:rsidRPr="008A4637">
        <w:rPr>
          <w:rFonts w:ascii="Arial" w:hAnsi="Arial" w:cs="Arial"/>
          <w:lang w:val="en-IN"/>
        </w:rPr>
        <w:t>Marketing and utilization patterns of off-season cabbage were further analy</w:t>
      </w:r>
      <w:r w:rsidR="005052C5">
        <w:rPr>
          <w:rFonts w:ascii="Arial" w:hAnsi="Arial" w:cs="Arial"/>
          <w:lang w:val="en-IN"/>
        </w:rPr>
        <w:t>s</w:t>
      </w:r>
      <w:r w:rsidR="008A4637" w:rsidRPr="008A4637">
        <w:rPr>
          <w:rFonts w:ascii="Arial" w:hAnsi="Arial" w:cs="Arial"/>
          <w:lang w:val="en-IN"/>
        </w:rPr>
        <w:t>ed using a Bernoulli–Binomial framework. Each unit of produce was treated as an independent Bernoulli trial with binary outcomes—marketed (success) or retained/spoiled (failure). Similarly, spoilage occurrence and channel selection were model</w:t>
      </w:r>
      <w:r w:rsidR="005052C5">
        <w:rPr>
          <w:rFonts w:ascii="Arial" w:hAnsi="Arial" w:cs="Arial"/>
          <w:lang w:val="en-IN"/>
        </w:rPr>
        <w:t>l</w:t>
      </w:r>
      <w:r w:rsidR="008A4637" w:rsidRPr="008A4637">
        <w:rPr>
          <w:rFonts w:ascii="Arial" w:hAnsi="Arial" w:cs="Arial"/>
          <w:lang w:val="en-IN"/>
        </w:rPr>
        <w:t>ed as binary events.</w:t>
      </w:r>
    </w:p>
    <w:p w14:paraId="7FE75E74" w14:textId="2ECE52F2" w:rsidR="008A4637" w:rsidRPr="008A4637" w:rsidRDefault="008A4637" w:rsidP="008A4637">
      <w:pPr>
        <w:pStyle w:val="Body"/>
        <w:spacing w:after="0"/>
        <w:rPr>
          <w:rFonts w:ascii="Arial" w:hAnsi="Arial" w:cs="Arial"/>
          <w:lang w:val="en-IN"/>
        </w:rPr>
      </w:pPr>
      <w:r w:rsidRPr="008A4637">
        <w:rPr>
          <w:rFonts w:ascii="Arial" w:hAnsi="Arial" w:cs="Arial"/>
          <w:lang w:val="en-IN"/>
        </w:rPr>
        <w:t>The probability of success (</w:t>
      </w:r>
      <m:oMath>
        <m:r>
          <w:rPr>
            <w:rFonts w:ascii="Cambria Math" w:hAnsi="Cambria Math" w:cs="Arial"/>
            <w:lang w:val="en-IN"/>
          </w:rPr>
          <m:t>p</m:t>
        </m:r>
      </m:oMath>
      <w:r w:rsidRPr="008A4637">
        <w:rPr>
          <w:rFonts w:ascii="Arial" w:hAnsi="Arial" w:cs="Arial"/>
          <w:lang w:val="en-IN"/>
        </w:rPr>
        <w:t>) was estimated from observed proportions, and aggregate outcomes followed a binomial distribution:</w:t>
      </w:r>
    </w:p>
    <w:p w14:paraId="6A1F9022" w14:textId="3F490FD5" w:rsidR="008A4637" w:rsidRPr="008A4637" w:rsidRDefault="008A4637" w:rsidP="008A4637">
      <w:pPr>
        <w:pStyle w:val="Body"/>
        <w:rPr>
          <w:rFonts w:ascii="Arial" w:hAnsi="Arial" w:cs="Arial"/>
          <w:lang w:val="en-IN"/>
        </w:rPr>
      </w:pPr>
      <m:oMathPara>
        <m:oMath>
          <m:r>
            <w:rPr>
              <w:rFonts w:ascii="Cambria Math" w:hAnsi="Cambria Math" w:cs="Arial"/>
              <w:lang w:val="en-IN"/>
            </w:rPr>
            <m:t>E[X]=n⋅p</m:t>
          </m:r>
          <m:r>
            <m:rPr>
              <m:sty m:val="p"/>
            </m:rPr>
            <w:rPr>
              <w:rFonts w:ascii="Arial" w:hAnsi="Arial" w:cs="Arial"/>
              <w:lang w:val="en-IN"/>
            </w:rPr>
            <w:br/>
          </m:r>
        </m:oMath>
        <m:oMath>
          <m:r>
            <w:rPr>
              <w:rFonts w:ascii="Cambria Math" w:hAnsi="Cambria Math" w:cs="Arial"/>
              <w:lang w:val="en-IN"/>
            </w:rPr>
            <m:t>Var[X]=n⋅p⋅(1-p)</m:t>
          </m:r>
          <m:r>
            <m:rPr>
              <m:sty m:val="p"/>
            </m:rPr>
            <w:rPr>
              <w:rFonts w:ascii="Arial" w:hAnsi="Arial" w:cs="Arial"/>
              <w:lang w:val="en-IN"/>
            </w:rPr>
            <w:br/>
          </m:r>
        </m:oMath>
      </m:oMathPara>
    </w:p>
    <w:p w14:paraId="57E95C44" w14:textId="54CA432F" w:rsidR="008A4637" w:rsidRPr="008A4637" w:rsidRDefault="008A4637" w:rsidP="00AB1697">
      <w:pPr>
        <w:pStyle w:val="Body"/>
        <w:spacing w:after="0"/>
        <w:jc w:val="left"/>
        <w:rPr>
          <w:rFonts w:ascii="Arial" w:hAnsi="Arial" w:cs="Arial"/>
          <w:lang w:val="en-IN"/>
        </w:rPr>
      </w:pPr>
      <w:r w:rsidRPr="008A4637">
        <w:rPr>
          <w:rFonts w:ascii="Arial" w:hAnsi="Arial" w:cs="Arial"/>
          <w:lang w:val="en-IN"/>
        </w:rPr>
        <w:t>where,</w:t>
      </w:r>
      <w:r w:rsidRPr="008A4637">
        <w:rPr>
          <w:rFonts w:ascii="Arial" w:hAnsi="Arial" w:cs="Arial"/>
          <w:lang w:val="en-IN"/>
        </w:rPr>
        <w:br/>
      </w:r>
      <m:oMath>
        <m:r>
          <w:rPr>
            <w:rFonts w:ascii="Cambria Math" w:hAnsi="Cambria Math" w:cs="Arial"/>
            <w:lang w:val="en-IN"/>
          </w:rPr>
          <m:t>n</m:t>
        </m:r>
      </m:oMath>
      <w:r w:rsidRPr="008A4637">
        <w:rPr>
          <w:rFonts w:ascii="Arial" w:hAnsi="Arial" w:cs="Arial"/>
          <w:lang w:val="en-IN"/>
        </w:rPr>
        <w:t>= total quantity of production/marketed output</w:t>
      </w:r>
      <w:r w:rsidRPr="008A4637">
        <w:rPr>
          <w:rFonts w:ascii="Arial" w:hAnsi="Arial" w:cs="Arial"/>
          <w:lang w:val="en-IN"/>
        </w:rPr>
        <w:br/>
      </w:r>
      <m:oMath>
        <m:r>
          <w:rPr>
            <w:rFonts w:ascii="Cambria Math" w:hAnsi="Cambria Math" w:cs="Arial"/>
            <w:lang w:val="en-IN"/>
          </w:rPr>
          <m:t>p</m:t>
        </m:r>
      </m:oMath>
      <w:r w:rsidRPr="008A4637">
        <w:rPr>
          <w:rFonts w:ascii="Arial" w:hAnsi="Arial" w:cs="Arial"/>
          <w:lang w:val="en-IN"/>
        </w:rPr>
        <w:t>= probability of success</w:t>
      </w:r>
    </w:p>
    <w:p w14:paraId="2E857678" w14:textId="77777777" w:rsidR="008A4637" w:rsidRPr="008A4637" w:rsidRDefault="008A4637" w:rsidP="00AB1697">
      <w:pPr>
        <w:pStyle w:val="Body"/>
        <w:spacing w:after="0"/>
        <w:jc w:val="left"/>
        <w:rPr>
          <w:rFonts w:ascii="Arial" w:hAnsi="Arial" w:cs="Arial"/>
          <w:lang w:val="en-IN"/>
        </w:rPr>
      </w:pPr>
      <w:r w:rsidRPr="008A4637">
        <w:rPr>
          <w:rFonts w:ascii="Arial" w:hAnsi="Arial" w:cs="Arial"/>
          <w:lang w:val="en-IN"/>
        </w:rPr>
        <w:t>This framework facilitated the quantification of marketing efficiency, spoilage risk, and channel dominance in a perishable and imperfect market system.</w:t>
      </w:r>
    </w:p>
    <w:p w14:paraId="47AFBB61" w14:textId="5A123BA7" w:rsidR="008A4637" w:rsidRDefault="00AB1697" w:rsidP="003F5B1C">
      <w:pPr>
        <w:pStyle w:val="Body"/>
        <w:spacing w:after="0"/>
        <w:rPr>
          <w:rFonts w:ascii="Arial" w:hAnsi="Arial" w:cs="Arial"/>
          <w:lang w:val="en-IN"/>
        </w:rPr>
      </w:pPr>
      <w:r>
        <w:rPr>
          <w:rFonts w:ascii="Arial" w:hAnsi="Arial" w:cs="Arial"/>
          <w:lang w:val="en-IN"/>
        </w:rPr>
        <w:t xml:space="preserve"> </w:t>
      </w:r>
    </w:p>
    <w:p w14:paraId="4E0431BB" w14:textId="77777777" w:rsidR="00AB1697" w:rsidRDefault="00AB1697" w:rsidP="003F5B1C">
      <w:pPr>
        <w:pStyle w:val="Body"/>
        <w:spacing w:after="0"/>
        <w:rPr>
          <w:rFonts w:ascii="Arial" w:hAnsi="Arial" w:cs="Arial"/>
          <w:lang w:val="en-IN"/>
        </w:rPr>
      </w:pPr>
    </w:p>
    <w:p w14:paraId="27D25D2E" w14:textId="3EBE4032" w:rsidR="00AB1697" w:rsidRDefault="00AB1697" w:rsidP="00AB1697">
      <w:pPr>
        <w:pStyle w:val="ConcHead"/>
        <w:spacing w:after="0"/>
        <w:jc w:val="both"/>
        <w:rPr>
          <w:rFonts w:ascii="Arial" w:hAnsi="Arial" w:cs="Arial"/>
        </w:rPr>
      </w:pPr>
      <w:r>
        <w:rPr>
          <w:rFonts w:ascii="Arial" w:hAnsi="Arial" w:cs="Arial"/>
        </w:rPr>
        <w:t>3. result and discussion</w:t>
      </w:r>
    </w:p>
    <w:p w14:paraId="6E5968FC" w14:textId="77777777" w:rsidR="00AB1697" w:rsidRDefault="00AB1697" w:rsidP="00AB1697">
      <w:pPr>
        <w:pStyle w:val="ConcHead"/>
        <w:spacing w:after="0"/>
        <w:jc w:val="both"/>
        <w:rPr>
          <w:rFonts w:ascii="Arial" w:hAnsi="Arial" w:cs="Arial"/>
        </w:rPr>
      </w:pPr>
    </w:p>
    <w:p w14:paraId="422D8F73" w14:textId="3697FEE4" w:rsidR="00AB1697" w:rsidRPr="00AB1697" w:rsidRDefault="00AB1697" w:rsidP="00AB1697">
      <w:pPr>
        <w:jc w:val="both"/>
        <w:rPr>
          <w:rFonts w:ascii="Arial" w:hAnsi="Arial" w:cs="Arial"/>
          <w:b/>
          <w:bCs/>
          <w:sz w:val="22"/>
          <w:szCs w:val="22"/>
          <w:lang w:val="en-IN"/>
        </w:rPr>
      </w:pPr>
      <w:r w:rsidRPr="00AB1697">
        <w:rPr>
          <w:rFonts w:ascii="Arial" w:hAnsi="Arial" w:cs="Arial"/>
          <w:b/>
          <w:bCs/>
          <w:sz w:val="22"/>
          <w:szCs w:val="22"/>
          <w:lang w:val="en-IN"/>
        </w:rPr>
        <w:t>3.1 Producer’s surplus of Off-season Cabbage</w:t>
      </w:r>
    </w:p>
    <w:p w14:paraId="0B05BB6D" w14:textId="77777777" w:rsidR="00AB1697" w:rsidRPr="00AB1697" w:rsidRDefault="00AB1697" w:rsidP="00AB1697">
      <w:pPr>
        <w:jc w:val="both"/>
        <w:rPr>
          <w:rFonts w:ascii="Arial" w:hAnsi="Arial" w:cs="Arial"/>
          <w:b/>
          <w:bCs/>
          <w:lang w:val="en-IN"/>
        </w:rPr>
      </w:pPr>
    </w:p>
    <w:p w14:paraId="68E50E75" w14:textId="77777777" w:rsidR="00AB1697" w:rsidRDefault="00AB1697" w:rsidP="00AB1697">
      <w:pPr>
        <w:jc w:val="both"/>
        <w:rPr>
          <w:rFonts w:ascii="Arial" w:hAnsi="Arial" w:cs="Arial"/>
          <w:bCs/>
          <w:lang w:val="en-IN"/>
        </w:rPr>
      </w:pPr>
      <w:r w:rsidRPr="00AB1697">
        <w:rPr>
          <w:rFonts w:ascii="Arial" w:hAnsi="Arial" w:cs="Arial"/>
          <w:bCs/>
          <w:lang w:val="en-IN"/>
        </w:rPr>
        <w:t xml:space="preserve">Marketable and marketed surplus are critical indicators of commercialization and market participation in vegetable production systems. Given the perishable nature of off-season cabbage, farmers allocate a portion of total output for household consumption, social obligations such as gifts, in-kind payments, and other non-market uses, with the remaining quantity constituting marketable surplus. </w:t>
      </w:r>
      <w:r w:rsidRPr="00AB1697">
        <w:rPr>
          <w:rFonts w:ascii="Arial" w:hAnsi="Arial" w:cs="Arial"/>
          <w:bCs/>
        </w:rPr>
        <w:t>The quantity of produce retained by respondents in the study area averaged 119.87 kg across all farm categories. Retention was highest among small farms (168.25 kg) and lowest among marginal farms (89.62 kg). Given the perishable nature of horticultural crops, post-harvest spoilage was observed across all farm sizes. Spoilage losses accounted for 0.76% in small farms, 0.51% in marginal farms, and 0.71% at the aggregate level. This was followed by home consumption, which constituted 0.55% of total output in small farms, 0.46% in marginal farms, and 0.55% overall. Other forms of retention, including gifts in kind and miscellaneous uses, represented a relatively smaller share, amounting to 0.25% in small farms, 0.22% in marginal farms, and 0.26% across all farms.</w:t>
      </w:r>
      <w:r w:rsidRPr="00AB1697">
        <w:rPr>
          <w:rFonts w:ascii="Arial" w:hAnsi="Arial" w:cs="Arial"/>
          <w:bCs/>
          <w:lang w:val="en-IN"/>
        </w:rPr>
        <w:t xml:space="preserve"> This suggests that although small farms produce and market larger quantities, they also experience relatively higher losses, possibly due to greater handling volumes and limited post-harvest infrastructure.</w:t>
      </w:r>
    </w:p>
    <w:p w14:paraId="5C29C046" w14:textId="77777777" w:rsidR="00AB1697" w:rsidRPr="00AB1697" w:rsidRDefault="00AB1697" w:rsidP="00AB1697">
      <w:pPr>
        <w:jc w:val="both"/>
        <w:rPr>
          <w:rFonts w:ascii="Arial" w:hAnsi="Arial" w:cs="Arial"/>
          <w:bCs/>
          <w:lang w:val="en-IN"/>
        </w:rPr>
      </w:pPr>
    </w:p>
    <w:tbl>
      <w:tblPr>
        <w:tblW w:w="8445" w:type="dxa"/>
        <w:tblInd w:w="113" w:type="dxa"/>
        <w:tblLook w:val="04A0" w:firstRow="1" w:lastRow="0" w:firstColumn="1" w:lastColumn="0" w:noHBand="0" w:noVBand="1"/>
      </w:tblPr>
      <w:tblGrid>
        <w:gridCol w:w="1112"/>
        <w:gridCol w:w="3673"/>
        <w:gridCol w:w="1219"/>
        <w:gridCol w:w="1219"/>
        <w:gridCol w:w="1222"/>
      </w:tblGrid>
      <w:tr w:rsidR="00AB1697" w:rsidRPr="00AB1697" w14:paraId="665B3A66" w14:textId="77777777" w:rsidTr="0056611F">
        <w:trPr>
          <w:trHeight w:val="305"/>
        </w:trPr>
        <w:tc>
          <w:tcPr>
            <w:tcW w:w="8445" w:type="dxa"/>
            <w:gridSpan w:val="5"/>
            <w:tcBorders>
              <w:top w:val="single" w:sz="4" w:space="0" w:color="auto"/>
              <w:left w:val="single" w:sz="4" w:space="0" w:color="auto"/>
              <w:bottom w:val="single" w:sz="4" w:space="0" w:color="auto"/>
              <w:right w:val="single" w:sz="4" w:space="0" w:color="auto"/>
            </w:tcBorders>
            <w:noWrap/>
            <w:vAlign w:val="bottom"/>
          </w:tcPr>
          <w:p w14:paraId="36689CFC"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Table 1- Producer’s surplus and utilization of off-season cabbage from Senapati</w:t>
            </w:r>
          </w:p>
        </w:tc>
      </w:tr>
      <w:tr w:rsidR="00AB1697" w:rsidRPr="00AB1697" w14:paraId="4B36EC1F"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54DC4680"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S No</w:t>
            </w:r>
          </w:p>
        </w:tc>
        <w:tc>
          <w:tcPr>
            <w:tcW w:w="3673" w:type="dxa"/>
            <w:tcBorders>
              <w:top w:val="single" w:sz="4" w:space="0" w:color="auto"/>
              <w:left w:val="nil"/>
              <w:bottom w:val="single" w:sz="4" w:space="0" w:color="auto"/>
              <w:right w:val="single" w:sz="4" w:space="0" w:color="000000"/>
            </w:tcBorders>
            <w:noWrap/>
            <w:vAlign w:val="bottom"/>
            <w:hideMark/>
          </w:tcPr>
          <w:p w14:paraId="21898879"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Particulars</w:t>
            </w:r>
          </w:p>
        </w:tc>
        <w:tc>
          <w:tcPr>
            <w:tcW w:w="1219" w:type="dxa"/>
            <w:tcBorders>
              <w:top w:val="nil"/>
              <w:left w:val="nil"/>
              <w:bottom w:val="single" w:sz="4" w:space="0" w:color="auto"/>
              <w:right w:val="single" w:sz="4" w:space="0" w:color="auto"/>
            </w:tcBorders>
            <w:noWrap/>
            <w:vAlign w:val="bottom"/>
            <w:hideMark/>
          </w:tcPr>
          <w:p w14:paraId="344559FB"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 xml:space="preserve">Small </w:t>
            </w:r>
          </w:p>
          <w:p w14:paraId="6399CBB9"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in kg</w:t>
            </w:r>
          </w:p>
        </w:tc>
        <w:tc>
          <w:tcPr>
            <w:tcW w:w="1219" w:type="dxa"/>
            <w:tcBorders>
              <w:top w:val="nil"/>
              <w:left w:val="nil"/>
              <w:bottom w:val="single" w:sz="4" w:space="0" w:color="auto"/>
              <w:right w:val="single" w:sz="4" w:space="0" w:color="auto"/>
            </w:tcBorders>
            <w:noWrap/>
            <w:vAlign w:val="bottom"/>
            <w:hideMark/>
          </w:tcPr>
          <w:p w14:paraId="1E29545F"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Marginal in kg</w:t>
            </w:r>
          </w:p>
        </w:tc>
        <w:tc>
          <w:tcPr>
            <w:tcW w:w="1222" w:type="dxa"/>
            <w:tcBorders>
              <w:top w:val="nil"/>
              <w:left w:val="nil"/>
              <w:bottom w:val="single" w:sz="4" w:space="0" w:color="auto"/>
              <w:right w:val="single" w:sz="4" w:space="0" w:color="auto"/>
            </w:tcBorders>
            <w:noWrap/>
            <w:vAlign w:val="bottom"/>
            <w:hideMark/>
          </w:tcPr>
          <w:p w14:paraId="32968406"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Overall</w:t>
            </w:r>
          </w:p>
          <w:p w14:paraId="5353A6E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 xml:space="preserve"> in kg</w:t>
            </w:r>
          </w:p>
        </w:tc>
      </w:tr>
      <w:tr w:rsidR="00AB1697" w:rsidRPr="00AB1697" w14:paraId="27B707E4"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150D32F0" w14:textId="77777777" w:rsidR="00AB1697" w:rsidRPr="00AB1697" w:rsidRDefault="00AB1697" w:rsidP="0056611F">
            <w:pPr>
              <w:jc w:val="both"/>
              <w:rPr>
                <w:rFonts w:ascii="Arial" w:hAnsi="Arial" w:cs="Arial"/>
                <w:color w:val="000000"/>
              </w:rPr>
            </w:pPr>
            <w:r w:rsidRPr="00AB1697">
              <w:rPr>
                <w:rFonts w:ascii="Arial" w:hAnsi="Arial" w:cs="Arial"/>
                <w:color w:val="000000"/>
              </w:rPr>
              <w:t>1</w:t>
            </w:r>
          </w:p>
        </w:tc>
        <w:tc>
          <w:tcPr>
            <w:tcW w:w="3673" w:type="dxa"/>
            <w:tcBorders>
              <w:top w:val="single" w:sz="4" w:space="0" w:color="auto"/>
              <w:left w:val="nil"/>
              <w:bottom w:val="single" w:sz="4" w:space="0" w:color="auto"/>
              <w:right w:val="single" w:sz="4" w:space="0" w:color="000000"/>
            </w:tcBorders>
            <w:noWrap/>
            <w:vAlign w:val="bottom"/>
            <w:hideMark/>
          </w:tcPr>
          <w:p w14:paraId="3667D437" w14:textId="77777777" w:rsidR="00AB1697" w:rsidRPr="00AB1697" w:rsidRDefault="00AB1697" w:rsidP="0056611F">
            <w:pPr>
              <w:jc w:val="both"/>
              <w:rPr>
                <w:rFonts w:ascii="Arial" w:hAnsi="Arial" w:cs="Arial"/>
                <w:color w:val="000000"/>
              </w:rPr>
            </w:pPr>
            <w:r w:rsidRPr="00AB1697">
              <w:rPr>
                <w:rFonts w:ascii="Arial" w:hAnsi="Arial" w:cs="Arial"/>
                <w:color w:val="000000"/>
              </w:rPr>
              <w:t>Total production</w:t>
            </w:r>
          </w:p>
        </w:tc>
        <w:tc>
          <w:tcPr>
            <w:tcW w:w="1219" w:type="dxa"/>
            <w:tcBorders>
              <w:top w:val="nil"/>
              <w:left w:val="nil"/>
              <w:bottom w:val="single" w:sz="4" w:space="0" w:color="auto"/>
              <w:right w:val="single" w:sz="4" w:space="0" w:color="auto"/>
            </w:tcBorders>
            <w:noWrap/>
            <w:vAlign w:val="bottom"/>
            <w:hideMark/>
          </w:tcPr>
          <w:p w14:paraId="48451035" w14:textId="77777777" w:rsidR="00AB1697" w:rsidRPr="00AB1697" w:rsidRDefault="00AB1697" w:rsidP="0056611F">
            <w:pPr>
              <w:jc w:val="both"/>
              <w:rPr>
                <w:rFonts w:ascii="Arial" w:hAnsi="Arial" w:cs="Arial"/>
                <w:color w:val="000000"/>
              </w:rPr>
            </w:pPr>
            <w:r w:rsidRPr="00AB1697">
              <w:rPr>
                <w:rFonts w:ascii="Arial" w:hAnsi="Arial" w:cs="Arial"/>
                <w:color w:val="000000"/>
              </w:rPr>
              <w:t>10695.39</w:t>
            </w:r>
          </w:p>
          <w:p w14:paraId="1C8B8D02" w14:textId="77777777" w:rsidR="00AB1697" w:rsidRPr="00AB1697" w:rsidRDefault="00AB1697" w:rsidP="0056611F">
            <w:pPr>
              <w:jc w:val="both"/>
              <w:rPr>
                <w:rFonts w:ascii="Arial" w:hAnsi="Arial" w:cs="Arial"/>
                <w:color w:val="000000"/>
              </w:rPr>
            </w:pPr>
            <w:r w:rsidRPr="00AB1697">
              <w:rPr>
                <w:rFonts w:ascii="Arial" w:hAnsi="Arial" w:cs="Arial"/>
                <w:color w:val="000000"/>
              </w:rPr>
              <w:t>(100)</w:t>
            </w:r>
          </w:p>
        </w:tc>
        <w:tc>
          <w:tcPr>
            <w:tcW w:w="1219" w:type="dxa"/>
            <w:tcBorders>
              <w:top w:val="nil"/>
              <w:left w:val="nil"/>
              <w:bottom w:val="single" w:sz="4" w:space="0" w:color="auto"/>
              <w:right w:val="single" w:sz="4" w:space="0" w:color="auto"/>
            </w:tcBorders>
            <w:noWrap/>
            <w:vAlign w:val="bottom"/>
            <w:hideMark/>
          </w:tcPr>
          <w:p w14:paraId="30AD51B5" w14:textId="77777777" w:rsidR="00AB1697" w:rsidRPr="00AB1697" w:rsidRDefault="00AB1697" w:rsidP="0056611F">
            <w:pPr>
              <w:jc w:val="both"/>
              <w:rPr>
                <w:rFonts w:ascii="Arial" w:hAnsi="Arial" w:cs="Arial"/>
                <w:color w:val="000000"/>
              </w:rPr>
            </w:pPr>
            <w:r w:rsidRPr="00AB1697">
              <w:rPr>
                <w:rFonts w:ascii="Arial" w:hAnsi="Arial" w:cs="Arial"/>
                <w:color w:val="000000"/>
              </w:rPr>
              <w:t>7150.55</w:t>
            </w:r>
          </w:p>
          <w:p w14:paraId="04244747" w14:textId="77777777" w:rsidR="00AB1697" w:rsidRPr="00AB1697" w:rsidRDefault="00AB1697" w:rsidP="0056611F">
            <w:pPr>
              <w:jc w:val="both"/>
              <w:rPr>
                <w:rFonts w:ascii="Arial" w:hAnsi="Arial" w:cs="Arial"/>
                <w:color w:val="000000"/>
              </w:rPr>
            </w:pPr>
            <w:r w:rsidRPr="00AB1697">
              <w:rPr>
                <w:rFonts w:ascii="Arial" w:hAnsi="Arial" w:cs="Arial"/>
                <w:color w:val="000000"/>
              </w:rPr>
              <w:t>(100)</w:t>
            </w:r>
          </w:p>
        </w:tc>
        <w:tc>
          <w:tcPr>
            <w:tcW w:w="1222" w:type="dxa"/>
            <w:tcBorders>
              <w:top w:val="nil"/>
              <w:left w:val="nil"/>
              <w:bottom w:val="single" w:sz="4" w:space="0" w:color="auto"/>
              <w:right w:val="single" w:sz="4" w:space="0" w:color="auto"/>
            </w:tcBorders>
            <w:noWrap/>
            <w:vAlign w:val="bottom"/>
            <w:hideMark/>
          </w:tcPr>
          <w:p w14:paraId="7ECF1CF2" w14:textId="77777777" w:rsidR="00AB1697" w:rsidRPr="00AB1697" w:rsidRDefault="00AB1697" w:rsidP="0056611F">
            <w:pPr>
              <w:jc w:val="both"/>
              <w:rPr>
                <w:rFonts w:ascii="Arial" w:hAnsi="Arial" w:cs="Arial"/>
                <w:color w:val="000000"/>
              </w:rPr>
            </w:pPr>
            <w:r w:rsidRPr="00AB1697">
              <w:rPr>
                <w:rFonts w:ascii="Arial" w:hAnsi="Arial" w:cs="Arial"/>
                <w:color w:val="000000"/>
              </w:rPr>
              <w:t>7830.91</w:t>
            </w:r>
          </w:p>
          <w:p w14:paraId="6A966BEB" w14:textId="77777777" w:rsidR="00AB1697" w:rsidRPr="00AB1697" w:rsidRDefault="00AB1697" w:rsidP="0056611F">
            <w:pPr>
              <w:jc w:val="both"/>
              <w:rPr>
                <w:rFonts w:ascii="Arial" w:hAnsi="Arial" w:cs="Arial"/>
                <w:color w:val="000000"/>
              </w:rPr>
            </w:pPr>
            <w:r w:rsidRPr="00AB1697">
              <w:rPr>
                <w:rFonts w:ascii="Arial" w:hAnsi="Arial" w:cs="Arial"/>
                <w:color w:val="000000"/>
              </w:rPr>
              <w:t>(100)</w:t>
            </w:r>
          </w:p>
        </w:tc>
      </w:tr>
      <w:tr w:rsidR="00AB1697" w:rsidRPr="00AB1697" w14:paraId="71878E53"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33B6706C" w14:textId="77777777" w:rsidR="00AB1697" w:rsidRPr="00AB1697" w:rsidRDefault="00AB1697" w:rsidP="0056611F">
            <w:pPr>
              <w:jc w:val="both"/>
              <w:rPr>
                <w:rFonts w:ascii="Arial" w:hAnsi="Arial" w:cs="Arial"/>
                <w:color w:val="000000"/>
              </w:rPr>
            </w:pPr>
            <w:r w:rsidRPr="00AB1697">
              <w:rPr>
                <w:rFonts w:ascii="Arial" w:hAnsi="Arial" w:cs="Arial"/>
                <w:color w:val="000000"/>
              </w:rPr>
              <w:lastRenderedPageBreak/>
              <w:t>2</w:t>
            </w:r>
          </w:p>
        </w:tc>
        <w:tc>
          <w:tcPr>
            <w:tcW w:w="3673" w:type="dxa"/>
            <w:tcBorders>
              <w:top w:val="single" w:sz="4" w:space="0" w:color="auto"/>
              <w:left w:val="nil"/>
              <w:bottom w:val="single" w:sz="4" w:space="0" w:color="auto"/>
              <w:right w:val="single" w:sz="4" w:space="0" w:color="000000"/>
            </w:tcBorders>
            <w:noWrap/>
            <w:vAlign w:val="bottom"/>
            <w:hideMark/>
          </w:tcPr>
          <w:p w14:paraId="7903BAB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Retained for</w:t>
            </w:r>
          </w:p>
        </w:tc>
        <w:tc>
          <w:tcPr>
            <w:tcW w:w="1219" w:type="dxa"/>
            <w:tcBorders>
              <w:top w:val="nil"/>
              <w:left w:val="nil"/>
              <w:bottom w:val="single" w:sz="4" w:space="0" w:color="auto"/>
              <w:right w:val="single" w:sz="4" w:space="0" w:color="auto"/>
            </w:tcBorders>
            <w:noWrap/>
            <w:vAlign w:val="bottom"/>
            <w:hideMark/>
          </w:tcPr>
          <w:p w14:paraId="1F1F1CBB" w14:textId="77777777" w:rsidR="00AB1697" w:rsidRPr="00AB1697" w:rsidRDefault="00AB1697" w:rsidP="0056611F">
            <w:pPr>
              <w:jc w:val="both"/>
              <w:rPr>
                <w:rFonts w:ascii="Arial" w:hAnsi="Arial" w:cs="Arial"/>
                <w:color w:val="000000"/>
              </w:rPr>
            </w:pPr>
          </w:p>
        </w:tc>
        <w:tc>
          <w:tcPr>
            <w:tcW w:w="1219" w:type="dxa"/>
            <w:tcBorders>
              <w:top w:val="nil"/>
              <w:left w:val="nil"/>
              <w:bottom w:val="single" w:sz="4" w:space="0" w:color="auto"/>
              <w:right w:val="single" w:sz="4" w:space="0" w:color="auto"/>
            </w:tcBorders>
            <w:noWrap/>
            <w:vAlign w:val="bottom"/>
            <w:hideMark/>
          </w:tcPr>
          <w:p w14:paraId="079DFD64" w14:textId="77777777" w:rsidR="00AB1697" w:rsidRPr="00AB1697" w:rsidRDefault="00AB1697" w:rsidP="0056611F">
            <w:pPr>
              <w:jc w:val="both"/>
              <w:rPr>
                <w:rFonts w:ascii="Arial" w:hAnsi="Arial" w:cs="Arial"/>
                <w:color w:val="000000"/>
              </w:rPr>
            </w:pPr>
          </w:p>
        </w:tc>
        <w:tc>
          <w:tcPr>
            <w:tcW w:w="1222" w:type="dxa"/>
            <w:tcBorders>
              <w:top w:val="nil"/>
              <w:left w:val="nil"/>
              <w:bottom w:val="single" w:sz="4" w:space="0" w:color="auto"/>
              <w:right w:val="single" w:sz="4" w:space="0" w:color="auto"/>
            </w:tcBorders>
            <w:noWrap/>
            <w:vAlign w:val="bottom"/>
            <w:hideMark/>
          </w:tcPr>
          <w:p w14:paraId="530E956E" w14:textId="77777777" w:rsidR="00AB1697" w:rsidRPr="00AB1697" w:rsidRDefault="00AB1697" w:rsidP="0056611F">
            <w:pPr>
              <w:jc w:val="both"/>
              <w:rPr>
                <w:rFonts w:ascii="Arial" w:hAnsi="Arial" w:cs="Arial"/>
                <w:color w:val="000000"/>
              </w:rPr>
            </w:pPr>
          </w:p>
        </w:tc>
      </w:tr>
      <w:tr w:rsidR="00AB1697" w:rsidRPr="00AB1697" w14:paraId="45D81EBA"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786BFF88" w14:textId="77777777" w:rsidR="00AB1697" w:rsidRPr="00AB1697" w:rsidRDefault="00AB1697" w:rsidP="0056611F">
            <w:pPr>
              <w:jc w:val="both"/>
              <w:rPr>
                <w:rFonts w:ascii="Arial" w:hAnsi="Arial" w:cs="Arial"/>
                <w:color w:val="000000"/>
              </w:rPr>
            </w:pPr>
            <w:r w:rsidRPr="00AB1697">
              <w:rPr>
                <w:rFonts w:ascii="Arial" w:hAnsi="Arial" w:cs="Arial"/>
                <w:color w:val="000000"/>
              </w:rPr>
              <w:t>a)</w:t>
            </w:r>
          </w:p>
        </w:tc>
        <w:tc>
          <w:tcPr>
            <w:tcW w:w="3673" w:type="dxa"/>
            <w:tcBorders>
              <w:top w:val="single" w:sz="4" w:space="0" w:color="auto"/>
              <w:left w:val="nil"/>
              <w:bottom w:val="single" w:sz="4" w:space="0" w:color="auto"/>
              <w:right w:val="single" w:sz="4" w:space="0" w:color="000000"/>
            </w:tcBorders>
            <w:noWrap/>
            <w:vAlign w:val="bottom"/>
            <w:hideMark/>
          </w:tcPr>
          <w:p w14:paraId="62370E7F" w14:textId="77777777" w:rsidR="00AB1697" w:rsidRPr="00AB1697" w:rsidRDefault="00AB1697" w:rsidP="0056611F">
            <w:pPr>
              <w:jc w:val="both"/>
              <w:rPr>
                <w:rFonts w:ascii="Arial" w:hAnsi="Arial" w:cs="Arial"/>
                <w:color w:val="000000"/>
              </w:rPr>
            </w:pPr>
            <w:r w:rsidRPr="00AB1697">
              <w:rPr>
                <w:rFonts w:ascii="Arial" w:hAnsi="Arial" w:cs="Arial"/>
                <w:color w:val="000000"/>
              </w:rPr>
              <w:t>Home Consumption</w:t>
            </w:r>
          </w:p>
        </w:tc>
        <w:tc>
          <w:tcPr>
            <w:tcW w:w="1219" w:type="dxa"/>
            <w:tcBorders>
              <w:top w:val="nil"/>
              <w:left w:val="nil"/>
              <w:bottom w:val="single" w:sz="4" w:space="0" w:color="auto"/>
              <w:right w:val="single" w:sz="4" w:space="0" w:color="auto"/>
            </w:tcBorders>
            <w:noWrap/>
            <w:vAlign w:val="bottom"/>
            <w:hideMark/>
          </w:tcPr>
          <w:p w14:paraId="75341558" w14:textId="77777777" w:rsidR="00AB1697" w:rsidRPr="00AB1697" w:rsidRDefault="00AB1697" w:rsidP="0056611F">
            <w:pPr>
              <w:jc w:val="both"/>
              <w:rPr>
                <w:rFonts w:ascii="Arial" w:hAnsi="Arial" w:cs="Arial"/>
                <w:color w:val="000000"/>
              </w:rPr>
            </w:pPr>
            <w:r w:rsidRPr="00AB1697">
              <w:rPr>
                <w:rFonts w:ascii="Arial" w:hAnsi="Arial" w:cs="Arial"/>
                <w:color w:val="000000"/>
              </w:rPr>
              <w:t>59.08</w:t>
            </w:r>
          </w:p>
          <w:p w14:paraId="6A23D0CB" w14:textId="77777777" w:rsidR="00AB1697" w:rsidRPr="00AB1697" w:rsidRDefault="00AB1697" w:rsidP="0056611F">
            <w:pPr>
              <w:jc w:val="both"/>
              <w:rPr>
                <w:rFonts w:ascii="Arial" w:hAnsi="Arial" w:cs="Arial"/>
                <w:color w:val="000000"/>
              </w:rPr>
            </w:pPr>
            <w:r w:rsidRPr="00AB1697">
              <w:rPr>
                <w:rFonts w:ascii="Arial" w:hAnsi="Arial" w:cs="Arial"/>
                <w:color w:val="000000"/>
              </w:rPr>
              <w:t>(0.55)</w:t>
            </w:r>
          </w:p>
        </w:tc>
        <w:tc>
          <w:tcPr>
            <w:tcW w:w="1219" w:type="dxa"/>
            <w:tcBorders>
              <w:top w:val="nil"/>
              <w:left w:val="nil"/>
              <w:bottom w:val="single" w:sz="4" w:space="0" w:color="auto"/>
              <w:right w:val="single" w:sz="4" w:space="0" w:color="auto"/>
            </w:tcBorders>
            <w:noWrap/>
            <w:vAlign w:val="bottom"/>
            <w:hideMark/>
          </w:tcPr>
          <w:p w14:paraId="7B0DF773" w14:textId="77777777" w:rsidR="00AB1697" w:rsidRPr="00AB1697" w:rsidRDefault="00AB1697" w:rsidP="0056611F">
            <w:pPr>
              <w:jc w:val="both"/>
              <w:rPr>
                <w:rFonts w:ascii="Arial" w:hAnsi="Arial" w:cs="Arial"/>
                <w:color w:val="000000"/>
              </w:rPr>
            </w:pPr>
            <w:r w:rsidRPr="00AB1697">
              <w:rPr>
                <w:rFonts w:ascii="Arial" w:hAnsi="Arial" w:cs="Arial"/>
                <w:color w:val="000000"/>
              </w:rPr>
              <w:t>33.54</w:t>
            </w:r>
          </w:p>
          <w:p w14:paraId="61DAF2B5" w14:textId="77777777" w:rsidR="00AB1697" w:rsidRPr="00AB1697" w:rsidRDefault="00AB1697" w:rsidP="0056611F">
            <w:pPr>
              <w:jc w:val="both"/>
              <w:rPr>
                <w:rFonts w:ascii="Arial" w:hAnsi="Arial" w:cs="Arial"/>
                <w:color w:val="000000"/>
              </w:rPr>
            </w:pPr>
            <w:r w:rsidRPr="00AB1697">
              <w:rPr>
                <w:rFonts w:ascii="Arial" w:hAnsi="Arial" w:cs="Arial"/>
                <w:color w:val="000000"/>
              </w:rPr>
              <w:t>(0.46)</w:t>
            </w:r>
          </w:p>
        </w:tc>
        <w:tc>
          <w:tcPr>
            <w:tcW w:w="1222" w:type="dxa"/>
            <w:tcBorders>
              <w:top w:val="nil"/>
              <w:left w:val="nil"/>
              <w:bottom w:val="single" w:sz="4" w:space="0" w:color="auto"/>
              <w:right w:val="single" w:sz="4" w:space="0" w:color="auto"/>
            </w:tcBorders>
            <w:noWrap/>
            <w:vAlign w:val="bottom"/>
            <w:hideMark/>
          </w:tcPr>
          <w:p w14:paraId="279DF461" w14:textId="77777777" w:rsidR="00AB1697" w:rsidRPr="00AB1697" w:rsidRDefault="00AB1697" w:rsidP="0056611F">
            <w:pPr>
              <w:jc w:val="both"/>
              <w:rPr>
                <w:rFonts w:ascii="Arial" w:hAnsi="Arial" w:cs="Arial"/>
                <w:color w:val="000000"/>
              </w:rPr>
            </w:pPr>
            <w:r w:rsidRPr="00AB1697">
              <w:rPr>
                <w:rFonts w:ascii="Arial" w:hAnsi="Arial" w:cs="Arial"/>
                <w:color w:val="000000"/>
              </w:rPr>
              <w:t>43.44</w:t>
            </w:r>
          </w:p>
          <w:p w14:paraId="71B4F2EB" w14:textId="77777777" w:rsidR="00AB1697" w:rsidRPr="00AB1697" w:rsidRDefault="00AB1697" w:rsidP="0056611F">
            <w:pPr>
              <w:jc w:val="both"/>
              <w:rPr>
                <w:rFonts w:ascii="Arial" w:hAnsi="Arial" w:cs="Arial"/>
                <w:color w:val="000000"/>
              </w:rPr>
            </w:pPr>
            <w:r w:rsidRPr="00AB1697">
              <w:rPr>
                <w:rFonts w:ascii="Arial" w:hAnsi="Arial" w:cs="Arial"/>
                <w:color w:val="000000"/>
              </w:rPr>
              <w:t>(0.55)</w:t>
            </w:r>
          </w:p>
        </w:tc>
      </w:tr>
      <w:tr w:rsidR="00AB1697" w:rsidRPr="00AB1697" w14:paraId="3CE38D56"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0F1F9B11" w14:textId="77777777" w:rsidR="00AB1697" w:rsidRPr="00AB1697" w:rsidRDefault="00AB1697" w:rsidP="0056611F">
            <w:pPr>
              <w:jc w:val="both"/>
              <w:rPr>
                <w:rFonts w:ascii="Arial" w:hAnsi="Arial" w:cs="Arial"/>
                <w:color w:val="000000"/>
              </w:rPr>
            </w:pPr>
            <w:r w:rsidRPr="00AB1697">
              <w:rPr>
                <w:rFonts w:ascii="Arial" w:hAnsi="Arial" w:cs="Arial"/>
                <w:color w:val="000000"/>
              </w:rPr>
              <w:t>b)</w:t>
            </w:r>
          </w:p>
        </w:tc>
        <w:tc>
          <w:tcPr>
            <w:tcW w:w="3673" w:type="dxa"/>
            <w:tcBorders>
              <w:top w:val="single" w:sz="4" w:space="0" w:color="auto"/>
              <w:left w:val="nil"/>
              <w:bottom w:val="single" w:sz="4" w:space="0" w:color="auto"/>
              <w:right w:val="single" w:sz="4" w:space="0" w:color="000000"/>
            </w:tcBorders>
            <w:noWrap/>
            <w:vAlign w:val="bottom"/>
            <w:hideMark/>
          </w:tcPr>
          <w:p w14:paraId="4A8C9851" w14:textId="77777777" w:rsidR="00AB1697" w:rsidRPr="00AB1697" w:rsidRDefault="00AB1697" w:rsidP="0056611F">
            <w:pPr>
              <w:jc w:val="both"/>
              <w:rPr>
                <w:rFonts w:ascii="Arial" w:hAnsi="Arial" w:cs="Arial"/>
                <w:color w:val="000000"/>
              </w:rPr>
            </w:pPr>
            <w:r w:rsidRPr="00AB1697">
              <w:rPr>
                <w:rFonts w:ascii="Arial" w:hAnsi="Arial" w:cs="Arial"/>
                <w:color w:val="000000"/>
              </w:rPr>
              <w:t>Gift and others</w:t>
            </w:r>
          </w:p>
        </w:tc>
        <w:tc>
          <w:tcPr>
            <w:tcW w:w="1219" w:type="dxa"/>
            <w:tcBorders>
              <w:top w:val="nil"/>
              <w:left w:val="nil"/>
              <w:bottom w:val="single" w:sz="4" w:space="0" w:color="auto"/>
              <w:right w:val="single" w:sz="4" w:space="0" w:color="auto"/>
            </w:tcBorders>
            <w:noWrap/>
            <w:vAlign w:val="bottom"/>
            <w:hideMark/>
          </w:tcPr>
          <w:p w14:paraId="0EBC3DA9" w14:textId="77777777" w:rsidR="00AB1697" w:rsidRPr="00AB1697" w:rsidRDefault="00AB1697" w:rsidP="0056611F">
            <w:pPr>
              <w:jc w:val="both"/>
              <w:rPr>
                <w:rFonts w:ascii="Arial" w:hAnsi="Arial" w:cs="Arial"/>
                <w:color w:val="000000"/>
              </w:rPr>
            </w:pPr>
            <w:r w:rsidRPr="00AB1697">
              <w:rPr>
                <w:rFonts w:ascii="Arial" w:hAnsi="Arial" w:cs="Arial"/>
                <w:color w:val="000000"/>
              </w:rPr>
              <w:t>27.79</w:t>
            </w:r>
          </w:p>
          <w:p w14:paraId="669634E3" w14:textId="77777777" w:rsidR="00AB1697" w:rsidRPr="00AB1697" w:rsidRDefault="00AB1697" w:rsidP="0056611F">
            <w:pPr>
              <w:jc w:val="both"/>
              <w:rPr>
                <w:rFonts w:ascii="Arial" w:hAnsi="Arial" w:cs="Arial"/>
                <w:color w:val="000000"/>
              </w:rPr>
            </w:pPr>
            <w:r w:rsidRPr="00AB1697">
              <w:rPr>
                <w:rFonts w:ascii="Arial" w:hAnsi="Arial" w:cs="Arial"/>
                <w:color w:val="000000"/>
              </w:rPr>
              <w:t>(0.25)</w:t>
            </w:r>
          </w:p>
        </w:tc>
        <w:tc>
          <w:tcPr>
            <w:tcW w:w="1219" w:type="dxa"/>
            <w:tcBorders>
              <w:top w:val="nil"/>
              <w:left w:val="nil"/>
              <w:bottom w:val="single" w:sz="4" w:space="0" w:color="auto"/>
              <w:right w:val="single" w:sz="4" w:space="0" w:color="auto"/>
            </w:tcBorders>
            <w:noWrap/>
            <w:vAlign w:val="bottom"/>
            <w:hideMark/>
          </w:tcPr>
          <w:p w14:paraId="2B77E705" w14:textId="77777777" w:rsidR="00AB1697" w:rsidRPr="00AB1697" w:rsidRDefault="00AB1697" w:rsidP="0056611F">
            <w:pPr>
              <w:jc w:val="both"/>
              <w:rPr>
                <w:rFonts w:ascii="Arial" w:hAnsi="Arial" w:cs="Arial"/>
                <w:color w:val="000000"/>
              </w:rPr>
            </w:pPr>
            <w:r w:rsidRPr="00AB1697">
              <w:rPr>
                <w:rFonts w:ascii="Arial" w:hAnsi="Arial" w:cs="Arial"/>
                <w:color w:val="000000"/>
              </w:rPr>
              <w:t>16.37</w:t>
            </w:r>
          </w:p>
          <w:p w14:paraId="31E67CA4" w14:textId="77777777" w:rsidR="00AB1697" w:rsidRPr="00AB1697" w:rsidRDefault="00AB1697" w:rsidP="0056611F">
            <w:pPr>
              <w:jc w:val="both"/>
              <w:rPr>
                <w:rFonts w:ascii="Arial" w:hAnsi="Arial" w:cs="Arial"/>
                <w:color w:val="000000"/>
              </w:rPr>
            </w:pPr>
            <w:r w:rsidRPr="00AB1697">
              <w:rPr>
                <w:rFonts w:ascii="Arial" w:hAnsi="Arial" w:cs="Arial"/>
                <w:color w:val="000000"/>
              </w:rPr>
              <w:t>(0.22)</w:t>
            </w:r>
          </w:p>
        </w:tc>
        <w:tc>
          <w:tcPr>
            <w:tcW w:w="1222" w:type="dxa"/>
            <w:tcBorders>
              <w:top w:val="nil"/>
              <w:left w:val="nil"/>
              <w:bottom w:val="single" w:sz="4" w:space="0" w:color="auto"/>
              <w:right w:val="single" w:sz="4" w:space="0" w:color="auto"/>
            </w:tcBorders>
            <w:noWrap/>
            <w:vAlign w:val="bottom"/>
            <w:hideMark/>
          </w:tcPr>
          <w:p w14:paraId="7248608A" w14:textId="77777777" w:rsidR="00AB1697" w:rsidRPr="00AB1697" w:rsidRDefault="00AB1697" w:rsidP="0056611F">
            <w:pPr>
              <w:jc w:val="both"/>
              <w:rPr>
                <w:rFonts w:ascii="Arial" w:hAnsi="Arial" w:cs="Arial"/>
                <w:color w:val="000000"/>
              </w:rPr>
            </w:pPr>
            <w:r w:rsidRPr="00AB1697">
              <w:rPr>
                <w:rFonts w:ascii="Arial" w:hAnsi="Arial" w:cs="Arial"/>
                <w:color w:val="000000"/>
              </w:rPr>
              <w:t>20.79</w:t>
            </w:r>
          </w:p>
          <w:p w14:paraId="5DAC7A7A" w14:textId="77777777" w:rsidR="00AB1697" w:rsidRPr="00AB1697" w:rsidRDefault="00AB1697" w:rsidP="0056611F">
            <w:pPr>
              <w:jc w:val="both"/>
              <w:rPr>
                <w:rFonts w:ascii="Arial" w:hAnsi="Arial" w:cs="Arial"/>
                <w:color w:val="000000"/>
              </w:rPr>
            </w:pPr>
            <w:r w:rsidRPr="00AB1697">
              <w:rPr>
                <w:rFonts w:ascii="Arial" w:hAnsi="Arial" w:cs="Arial"/>
                <w:color w:val="000000"/>
              </w:rPr>
              <w:t>(0.26)</w:t>
            </w:r>
          </w:p>
        </w:tc>
      </w:tr>
      <w:tr w:rsidR="00AB1697" w:rsidRPr="00AB1697" w14:paraId="0C901153"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00B1EF1E" w14:textId="77777777" w:rsidR="00AB1697" w:rsidRPr="00AB1697" w:rsidRDefault="00AB1697" w:rsidP="0056611F">
            <w:pPr>
              <w:jc w:val="both"/>
              <w:rPr>
                <w:rFonts w:ascii="Arial" w:hAnsi="Arial" w:cs="Arial"/>
                <w:color w:val="000000"/>
              </w:rPr>
            </w:pPr>
            <w:r w:rsidRPr="00AB1697">
              <w:rPr>
                <w:rFonts w:ascii="Arial" w:hAnsi="Arial" w:cs="Arial"/>
                <w:color w:val="000000"/>
              </w:rPr>
              <w:t>c)</w:t>
            </w:r>
          </w:p>
        </w:tc>
        <w:tc>
          <w:tcPr>
            <w:tcW w:w="3673" w:type="dxa"/>
            <w:tcBorders>
              <w:top w:val="single" w:sz="4" w:space="0" w:color="auto"/>
              <w:left w:val="nil"/>
              <w:bottom w:val="single" w:sz="4" w:space="0" w:color="auto"/>
              <w:right w:val="single" w:sz="4" w:space="0" w:color="000000"/>
            </w:tcBorders>
            <w:noWrap/>
            <w:vAlign w:val="bottom"/>
            <w:hideMark/>
          </w:tcPr>
          <w:p w14:paraId="452F0154" w14:textId="77777777" w:rsidR="00AB1697" w:rsidRPr="00AB1697" w:rsidRDefault="00AB1697" w:rsidP="0056611F">
            <w:pPr>
              <w:jc w:val="both"/>
              <w:rPr>
                <w:rFonts w:ascii="Arial" w:hAnsi="Arial" w:cs="Arial"/>
                <w:color w:val="000000"/>
              </w:rPr>
            </w:pPr>
            <w:r w:rsidRPr="00AB1697">
              <w:rPr>
                <w:rFonts w:ascii="Arial" w:hAnsi="Arial" w:cs="Arial"/>
                <w:color w:val="000000"/>
              </w:rPr>
              <w:t>Spoilage</w:t>
            </w:r>
          </w:p>
        </w:tc>
        <w:tc>
          <w:tcPr>
            <w:tcW w:w="1219" w:type="dxa"/>
            <w:tcBorders>
              <w:top w:val="nil"/>
              <w:left w:val="nil"/>
              <w:bottom w:val="single" w:sz="4" w:space="0" w:color="auto"/>
              <w:right w:val="single" w:sz="4" w:space="0" w:color="auto"/>
            </w:tcBorders>
            <w:noWrap/>
            <w:vAlign w:val="bottom"/>
            <w:hideMark/>
          </w:tcPr>
          <w:p w14:paraId="3752CC88" w14:textId="77777777" w:rsidR="00AB1697" w:rsidRPr="00AB1697" w:rsidRDefault="00AB1697" w:rsidP="0056611F">
            <w:pPr>
              <w:jc w:val="both"/>
              <w:rPr>
                <w:rFonts w:ascii="Arial" w:hAnsi="Arial" w:cs="Arial"/>
                <w:color w:val="000000"/>
              </w:rPr>
            </w:pPr>
            <w:r w:rsidRPr="00AB1697">
              <w:rPr>
                <w:rFonts w:ascii="Arial" w:hAnsi="Arial" w:cs="Arial"/>
                <w:color w:val="000000"/>
              </w:rPr>
              <w:t>81.38</w:t>
            </w:r>
          </w:p>
          <w:p w14:paraId="7E7D5A9D" w14:textId="77777777" w:rsidR="00AB1697" w:rsidRPr="00AB1697" w:rsidRDefault="00AB1697" w:rsidP="0056611F">
            <w:pPr>
              <w:jc w:val="both"/>
              <w:rPr>
                <w:rFonts w:ascii="Arial" w:hAnsi="Arial" w:cs="Arial"/>
                <w:b/>
                <w:bCs/>
                <w:color w:val="000000"/>
              </w:rPr>
            </w:pPr>
            <w:r w:rsidRPr="00AB1697">
              <w:rPr>
                <w:rFonts w:ascii="Arial" w:hAnsi="Arial" w:cs="Arial"/>
                <w:color w:val="000000"/>
              </w:rPr>
              <w:t>(0.76)</w:t>
            </w:r>
          </w:p>
        </w:tc>
        <w:tc>
          <w:tcPr>
            <w:tcW w:w="1219" w:type="dxa"/>
            <w:tcBorders>
              <w:top w:val="nil"/>
              <w:left w:val="nil"/>
              <w:bottom w:val="single" w:sz="4" w:space="0" w:color="auto"/>
              <w:right w:val="single" w:sz="4" w:space="0" w:color="auto"/>
            </w:tcBorders>
            <w:noWrap/>
            <w:vAlign w:val="bottom"/>
            <w:hideMark/>
          </w:tcPr>
          <w:p w14:paraId="2A0A37BE" w14:textId="77777777" w:rsidR="00AB1697" w:rsidRPr="00AB1697" w:rsidRDefault="00AB1697" w:rsidP="0056611F">
            <w:pPr>
              <w:jc w:val="both"/>
              <w:rPr>
                <w:rFonts w:ascii="Arial" w:hAnsi="Arial" w:cs="Arial"/>
                <w:color w:val="000000"/>
              </w:rPr>
            </w:pPr>
            <w:r w:rsidRPr="00AB1697">
              <w:rPr>
                <w:rFonts w:ascii="Arial" w:hAnsi="Arial" w:cs="Arial"/>
                <w:color w:val="000000"/>
              </w:rPr>
              <w:t>39.35</w:t>
            </w:r>
          </w:p>
          <w:p w14:paraId="65092D7E" w14:textId="77777777" w:rsidR="00AB1697" w:rsidRPr="00AB1697" w:rsidRDefault="00AB1697" w:rsidP="0056611F">
            <w:pPr>
              <w:jc w:val="both"/>
              <w:rPr>
                <w:rFonts w:ascii="Arial" w:hAnsi="Arial" w:cs="Arial"/>
                <w:color w:val="000000"/>
              </w:rPr>
            </w:pPr>
            <w:r w:rsidRPr="00AB1697">
              <w:rPr>
                <w:rFonts w:ascii="Arial" w:hAnsi="Arial" w:cs="Arial"/>
                <w:color w:val="000000"/>
              </w:rPr>
              <w:t>(0.55)</w:t>
            </w:r>
          </w:p>
        </w:tc>
        <w:tc>
          <w:tcPr>
            <w:tcW w:w="1222" w:type="dxa"/>
            <w:tcBorders>
              <w:top w:val="nil"/>
              <w:left w:val="nil"/>
              <w:bottom w:val="single" w:sz="4" w:space="0" w:color="auto"/>
              <w:right w:val="single" w:sz="4" w:space="0" w:color="auto"/>
            </w:tcBorders>
            <w:noWrap/>
            <w:vAlign w:val="bottom"/>
            <w:hideMark/>
          </w:tcPr>
          <w:p w14:paraId="2C2320D4" w14:textId="77777777" w:rsidR="00AB1697" w:rsidRPr="00AB1697" w:rsidRDefault="00AB1697" w:rsidP="0056611F">
            <w:pPr>
              <w:jc w:val="both"/>
              <w:rPr>
                <w:rFonts w:ascii="Arial" w:hAnsi="Arial" w:cs="Arial"/>
                <w:color w:val="000000"/>
              </w:rPr>
            </w:pPr>
            <w:r w:rsidRPr="00AB1697">
              <w:rPr>
                <w:rFonts w:ascii="Arial" w:hAnsi="Arial" w:cs="Arial"/>
                <w:color w:val="000000"/>
              </w:rPr>
              <w:t>55.64</w:t>
            </w:r>
          </w:p>
          <w:p w14:paraId="5AAF27A0" w14:textId="77777777" w:rsidR="00AB1697" w:rsidRPr="00AB1697" w:rsidRDefault="00AB1697" w:rsidP="0056611F">
            <w:pPr>
              <w:jc w:val="both"/>
              <w:rPr>
                <w:rFonts w:ascii="Arial" w:hAnsi="Arial" w:cs="Arial"/>
                <w:b/>
                <w:bCs/>
                <w:color w:val="000000"/>
              </w:rPr>
            </w:pPr>
            <w:r w:rsidRPr="00AB1697">
              <w:rPr>
                <w:rFonts w:ascii="Arial" w:hAnsi="Arial" w:cs="Arial"/>
                <w:color w:val="000000"/>
              </w:rPr>
              <w:t>(0.71)</w:t>
            </w:r>
          </w:p>
        </w:tc>
      </w:tr>
      <w:tr w:rsidR="00AB1697" w:rsidRPr="00AB1697" w14:paraId="4E0B0BA1"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tcPr>
          <w:p w14:paraId="0DF55BB9" w14:textId="77777777" w:rsidR="00AB1697" w:rsidRPr="00AB1697" w:rsidRDefault="00AB1697" w:rsidP="0056611F">
            <w:pPr>
              <w:jc w:val="both"/>
              <w:rPr>
                <w:rFonts w:ascii="Arial" w:hAnsi="Arial" w:cs="Arial"/>
                <w:color w:val="000000"/>
              </w:rPr>
            </w:pPr>
          </w:p>
        </w:tc>
        <w:tc>
          <w:tcPr>
            <w:tcW w:w="3673" w:type="dxa"/>
            <w:tcBorders>
              <w:top w:val="single" w:sz="4" w:space="0" w:color="auto"/>
              <w:left w:val="nil"/>
              <w:bottom w:val="single" w:sz="4" w:space="0" w:color="auto"/>
              <w:right w:val="single" w:sz="4" w:space="0" w:color="000000"/>
            </w:tcBorders>
            <w:noWrap/>
            <w:vAlign w:val="bottom"/>
          </w:tcPr>
          <w:p w14:paraId="18CC6F06"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Total (a to c)</w:t>
            </w:r>
          </w:p>
        </w:tc>
        <w:tc>
          <w:tcPr>
            <w:tcW w:w="1219" w:type="dxa"/>
            <w:tcBorders>
              <w:top w:val="nil"/>
              <w:left w:val="nil"/>
              <w:bottom w:val="single" w:sz="4" w:space="0" w:color="auto"/>
              <w:right w:val="single" w:sz="4" w:space="0" w:color="auto"/>
            </w:tcBorders>
            <w:noWrap/>
            <w:vAlign w:val="bottom"/>
          </w:tcPr>
          <w:p w14:paraId="75CBF019"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168.25</w:t>
            </w:r>
          </w:p>
          <w:p w14:paraId="2BC6F4C1"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(1.57)</w:t>
            </w:r>
          </w:p>
        </w:tc>
        <w:tc>
          <w:tcPr>
            <w:tcW w:w="1219" w:type="dxa"/>
            <w:tcBorders>
              <w:top w:val="nil"/>
              <w:left w:val="nil"/>
              <w:bottom w:val="single" w:sz="4" w:space="0" w:color="auto"/>
              <w:right w:val="single" w:sz="4" w:space="0" w:color="auto"/>
            </w:tcBorders>
            <w:noWrap/>
            <w:vAlign w:val="bottom"/>
          </w:tcPr>
          <w:p w14:paraId="0AA86BC1"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89.62</w:t>
            </w:r>
          </w:p>
          <w:p w14:paraId="7A3A8435"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(1.25)</w:t>
            </w:r>
          </w:p>
        </w:tc>
        <w:tc>
          <w:tcPr>
            <w:tcW w:w="1222" w:type="dxa"/>
            <w:tcBorders>
              <w:top w:val="nil"/>
              <w:left w:val="nil"/>
              <w:bottom w:val="single" w:sz="4" w:space="0" w:color="auto"/>
              <w:right w:val="single" w:sz="4" w:space="0" w:color="auto"/>
            </w:tcBorders>
            <w:noWrap/>
            <w:vAlign w:val="bottom"/>
          </w:tcPr>
          <w:p w14:paraId="31EECED4"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119.87</w:t>
            </w:r>
          </w:p>
          <w:p w14:paraId="3181724F"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(0.71)</w:t>
            </w:r>
          </w:p>
        </w:tc>
      </w:tr>
      <w:tr w:rsidR="00AB1697" w:rsidRPr="00AB1697" w14:paraId="46DE4774"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18C9EB8B" w14:textId="77777777" w:rsidR="00AB1697" w:rsidRPr="00AB1697" w:rsidRDefault="00AB1697" w:rsidP="0056611F">
            <w:pPr>
              <w:jc w:val="both"/>
              <w:rPr>
                <w:rFonts w:ascii="Arial" w:hAnsi="Arial" w:cs="Arial"/>
                <w:color w:val="000000"/>
              </w:rPr>
            </w:pPr>
          </w:p>
        </w:tc>
        <w:tc>
          <w:tcPr>
            <w:tcW w:w="3673" w:type="dxa"/>
            <w:tcBorders>
              <w:top w:val="single" w:sz="4" w:space="0" w:color="auto"/>
              <w:left w:val="nil"/>
              <w:bottom w:val="single" w:sz="4" w:space="0" w:color="auto"/>
              <w:right w:val="single" w:sz="4" w:space="0" w:color="000000"/>
            </w:tcBorders>
            <w:noWrap/>
            <w:vAlign w:val="bottom"/>
            <w:hideMark/>
          </w:tcPr>
          <w:p w14:paraId="155DF4FD" w14:textId="77777777" w:rsidR="00AB1697" w:rsidRPr="00AB1697" w:rsidRDefault="00AB1697" w:rsidP="0056611F">
            <w:pPr>
              <w:jc w:val="both"/>
              <w:rPr>
                <w:rFonts w:ascii="Arial" w:hAnsi="Arial" w:cs="Arial"/>
                <w:color w:val="000000"/>
              </w:rPr>
            </w:pPr>
            <w:r w:rsidRPr="00AB1697">
              <w:rPr>
                <w:rFonts w:ascii="Arial" w:hAnsi="Arial" w:cs="Arial"/>
                <w:color w:val="000000"/>
              </w:rPr>
              <w:t>Marketable surplus</w:t>
            </w:r>
          </w:p>
        </w:tc>
        <w:tc>
          <w:tcPr>
            <w:tcW w:w="1219" w:type="dxa"/>
            <w:tcBorders>
              <w:top w:val="nil"/>
              <w:left w:val="nil"/>
              <w:bottom w:val="single" w:sz="4" w:space="0" w:color="auto"/>
              <w:right w:val="single" w:sz="4" w:space="0" w:color="auto"/>
            </w:tcBorders>
            <w:noWrap/>
            <w:vAlign w:val="bottom"/>
            <w:hideMark/>
          </w:tcPr>
          <w:p w14:paraId="508C37F2" w14:textId="77777777" w:rsidR="00AB1697" w:rsidRPr="00AB1697" w:rsidRDefault="00AB1697" w:rsidP="0056611F">
            <w:pPr>
              <w:jc w:val="both"/>
              <w:rPr>
                <w:rFonts w:ascii="Arial" w:hAnsi="Arial" w:cs="Arial"/>
                <w:color w:val="000000"/>
              </w:rPr>
            </w:pPr>
            <w:r w:rsidRPr="00AB1697">
              <w:rPr>
                <w:rFonts w:ascii="Arial" w:hAnsi="Arial" w:cs="Arial"/>
                <w:color w:val="000000"/>
              </w:rPr>
              <w:t>10527.14</w:t>
            </w:r>
          </w:p>
          <w:p w14:paraId="2E4B14EF" w14:textId="77777777" w:rsidR="00AB1697" w:rsidRPr="00AB1697" w:rsidRDefault="00AB1697" w:rsidP="0056611F">
            <w:pPr>
              <w:jc w:val="both"/>
              <w:rPr>
                <w:rFonts w:ascii="Arial" w:hAnsi="Arial" w:cs="Arial"/>
                <w:color w:val="000000"/>
              </w:rPr>
            </w:pPr>
          </w:p>
        </w:tc>
        <w:tc>
          <w:tcPr>
            <w:tcW w:w="1219" w:type="dxa"/>
            <w:tcBorders>
              <w:top w:val="nil"/>
              <w:left w:val="nil"/>
              <w:bottom w:val="single" w:sz="4" w:space="0" w:color="auto"/>
              <w:right w:val="single" w:sz="4" w:space="0" w:color="auto"/>
            </w:tcBorders>
            <w:noWrap/>
            <w:vAlign w:val="bottom"/>
            <w:hideMark/>
          </w:tcPr>
          <w:p w14:paraId="116EDC62" w14:textId="77777777" w:rsidR="00AB1697" w:rsidRPr="00AB1697" w:rsidRDefault="00AB1697" w:rsidP="0056611F">
            <w:pPr>
              <w:jc w:val="both"/>
              <w:rPr>
                <w:rFonts w:ascii="Arial" w:hAnsi="Arial" w:cs="Arial"/>
                <w:color w:val="000000"/>
              </w:rPr>
            </w:pPr>
            <w:r w:rsidRPr="00AB1697">
              <w:rPr>
                <w:rFonts w:ascii="Arial" w:hAnsi="Arial" w:cs="Arial"/>
                <w:color w:val="000000"/>
              </w:rPr>
              <w:t>7060.93</w:t>
            </w:r>
          </w:p>
          <w:p w14:paraId="650960FC" w14:textId="77777777" w:rsidR="00AB1697" w:rsidRPr="00AB1697" w:rsidRDefault="00AB1697" w:rsidP="0056611F">
            <w:pPr>
              <w:jc w:val="both"/>
              <w:rPr>
                <w:rFonts w:ascii="Arial" w:hAnsi="Arial" w:cs="Arial"/>
                <w:color w:val="000000"/>
              </w:rPr>
            </w:pPr>
          </w:p>
        </w:tc>
        <w:tc>
          <w:tcPr>
            <w:tcW w:w="1222" w:type="dxa"/>
            <w:tcBorders>
              <w:top w:val="nil"/>
              <w:left w:val="nil"/>
              <w:bottom w:val="single" w:sz="4" w:space="0" w:color="auto"/>
              <w:right w:val="single" w:sz="4" w:space="0" w:color="auto"/>
            </w:tcBorders>
            <w:noWrap/>
            <w:vAlign w:val="bottom"/>
            <w:hideMark/>
          </w:tcPr>
          <w:p w14:paraId="33DA8508" w14:textId="77777777" w:rsidR="00AB1697" w:rsidRPr="00AB1697" w:rsidRDefault="00AB1697" w:rsidP="0056611F">
            <w:pPr>
              <w:jc w:val="both"/>
              <w:rPr>
                <w:rFonts w:ascii="Arial" w:hAnsi="Arial" w:cs="Arial"/>
                <w:color w:val="000000"/>
              </w:rPr>
            </w:pPr>
            <w:r w:rsidRPr="00AB1697">
              <w:rPr>
                <w:rFonts w:ascii="Arial" w:hAnsi="Arial" w:cs="Arial"/>
                <w:color w:val="000000"/>
              </w:rPr>
              <w:t>7711.04</w:t>
            </w:r>
          </w:p>
          <w:p w14:paraId="612E4372" w14:textId="77777777" w:rsidR="00AB1697" w:rsidRPr="00AB1697" w:rsidRDefault="00AB1697" w:rsidP="0056611F">
            <w:pPr>
              <w:jc w:val="both"/>
              <w:rPr>
                <w:rFonts w:ascii="Arial" w:hAnsi="Arial" w:cs="Arial"/>
                <w:color w:val="000000"/>
              </w:rPr>
            </w:pPr>
          </w:p>
        </w:tc>
      </w:tr>
      <w:tr w:rsidR="00AB1697" w:rsidRPr="00AB1697" w14:paraId="2DADB711" w14:textId="77777777" w:rsidTr="0056611F">
        <w:trPr>
          <w:trHeight w:val="305"/>
        </w:trPr>
        <w:tc>
          <w:tcPr>
            <w:tcW w:w="1112" w:type="dxa"/>
            <w:tcBorders>
              <w:top w:val="nil"/>
              <w:left w:val="single" w:sz="4" w:space="0" w:color="auto"/>
              <w:bottom w:val="single" w:sz="4" w:space="0" w:color="auto"/>
              <w:right w:val="single" w:sz="4" w:space="0" w:color="auto"/>
            </w:tcBorders>
            <w:noWrap/>
            <w:vAlign w:val="bottom"/>
            <w:hideMark/>
          </w:tcPr>
          <w:p w14:paraId="5867FB37" w14:textId="77777777" w:rsidR="00AB1697" w:rsidRPr="00AB1697" w:rsidRDefault="00AB1697" w:rsidP="0056611F">
            <w:pPr>
              <w:jc w:val="both"/>
              <w:rPr>
                <w:rFonts w:ascii="Arial" w:hAnsi="Arial" w:cs="Arial"/>
                <w:color w:val="000000"/>
              </w:rPr>
            </w:pPr>
          </w:p>
        </w:tc>
        <w:tc>
          <w:tcPr>
            <w:tcW w:w="3673" w:type="dxa"/>
            <w:tcBorders>
              <w:top w:val="single" w:sz="4" w:space="0" w:color="auto"/>
              <w:left w:val="nil"/>
              <w:bottom w:val="single" w:sz="4" w:space="0" w:color="auto"/>
              <w:right w:val="single" w:sz="4" w:space="0" w:color="000000"/>
            </w:tcBorders>
            <w:noWrap/>
            <w:vAlign w:val="bottom"/>
            <w:hideMark/>
          </w:tcPr>
          <w:p w14:paraId="281D5129" w14:textId="77777777" w:rsidR="00AB1697" w:rsidRPr="00AB1697" w:rsidRDefault="00AB1697" w:rsidP="0056611F">
            <w:pPr>
              <w:jc w:val="both"/>
              <w:rPr>
                <w:rFonts w:ascii="Arial" w:hAnsi="Arial" w:cs="Arial"/>
                <w:color w:val="000000"/>
              </w:rPr>
            </w:pPr>
            <w:r w:rsidRPr="00AB1697">
              <w:rPr>
                <w:rFonts w:ascii="Arial" w:hAnsi="Arial" w:cs="Arial"/>
                <w:color w:val="000000"/>
              </w:rPr>
              <w:t>Marketed surplus</w:t>
            </w:r>
          </w:p>
        </w:tc>
        <w:tc>
          <w:tcPr>
            <w:tcW w:w="1219" w:type="dxa"/>
            <w:tcBorders>
              <w:top w:val="nil"/>
              <w:left w:val="nil"/>
              <w:bottom w:val="single" w:sz="4" w:space="0" w:color="auto"/>
              <w:right w:val="single" w:sz="4" w:space="0" w:color="auto"/>
            </w:tcBorders>
            <w:noWrap/>
            <w:vAlign w:val="bottom"/>
            <w:hideMark/>
          </w:tcPr>
          <w:p w14:paraId="07BF661E" w14:textId="77777777" w:rsidR="00AB1697" w:rsidRPr="00AB1697" w:rsidRDefault="00AB1697" w:rsidP="0056611F">
            <w:pPr>
              <w:jc w:val="both"/>
              <w:rPr>
                <w:rFonts w:ascii="Arial" w:hAnsi="Arial" w:cs="Arial"/>
                <w:color w:val="000000"/>
              </w:rPr>
            </w:pPr>
            <w:r w:rsidRPr="00AB1697">
              <w:rPr>
                <w:rFonts w:ascii="Arial" w:hAnsi="Arial" w:cs="Arial"/>
                <w:color w:val="000000"/>
              </w:rPr>
              <w:t>10527.14</w:t>
            </w:r>
          </w:p>
        </w:tc>
        <w:tc>
          <w:tcPr>
            <w:tcW w:w="1219" w:type="dxa"/>
            <w:tcBorders>
              <w:top w:val="nil"/>
              <w:left w:val="nil"/>
              <w:bottom w:val="single" w:sz="4" w:space="0" w:color="auto"/>
              <w:right w:val="single" w:sz="4" w:space="0" w:color="auto"/>
            </w:tcBorders>
            <w:noWrap/>
            <w:vAlign w:val="bottom"/>
            <w:hideMark/>
          </w:tcPr>
          <w:p w14:paraId="54BD46AB" w14:textId="77777777" w:rsidR="00AB1697" w:rsidRPr="00AB1697" w:rsidRDefault="00AB1697" w:rsidP="0056611F">
            <w:pPr>
              <w:jc w:val="both"/>
              <w:rPr>
                <w:rFonts w:ascii="Arial" w:hAnsi="Arial" w:cs="Arial"/>
                <w:color w:val="000000"/>
              </w:rPr>
            </w:pPr>
            <w:r w:rsidRPr="00AB1697">
              <w:rPr>
                <w:rFonts w:ascii="Arial" w:hAnsi="Arial" w:cs="Arial"/>
                <w:color w:val="000000"/>
              </w:rPr>
              <w:t>7060.93</w:t>
            </w:r>
          </w:p>
        </w:tc>
        <w:tc>
          <w:tcPr>
            <w:tcW w:w="1222" w:type="dxa"/>
            <w:tcBorders>
              <w:top w:val="nil"/>
              <w:left w:val="nil"/>
              <w:bottom w:val="single" w:sz="4" w:space="0" w:color="auto"/>
              <w:right w:val="single" w:sz="4" w:space="0" w:color="auto"/>
            </w:tcBorders>
            <w:noWrap/>
            <w:vAlign w:val="bottom"/>
            <w:hideMark/>
          </w:tcPr>
          <w:p w14:paraId="7C4CE9AE" w14:textId="77777777" w:rsidR="00AB1697" w:rsidRPr="00AB1697" w:rsidRDefault="00AB1697" w:rsidP="0056611F">
            <w:pPr>
              <w:jc w:val="both"/>
              <w:rPr>
                <w:rFonts w:ascii="Arial" w:hAnsi="Arial" w:cs="Arial"/>
                <w:color w:val="000000"/>
              </w:rPr>
            </w:pPr>
            <w:r w:rsidRPr="00AB1697">
              <w:rPr>
                <w:rFonts w:ascii="Arial" w:hAnsi="Arial" w:cs="Arial"/>
                <w:color w:val="000000"/>
              </w:rPr>
              <w:t>7711.04</w:t>
            </w:r>
          </w:p>
        </w:tc>
      </w:tr>
    </w:tbl>
    <w:p w14:paraId="7C54CE94" w14:textId="77777777" w:rsidR="00AB1697" w:rsidRPr="00AB1697" w:rsidRDefault="00AB1697" w:rsidP="00AB1697">
      <w:pPr>
        <w:jc w:val="both"/>
        <w:rPr>
          <w:rFonts w:ascii="Arial" w:hAnsi="Arial" w:cs="Arial"/>
          <w:b/>
        </w:rPr>
      </w:pPr>
      <w:r w:rsidRPr="00AB1697">
        <w:rPr>
          <w:rFonts w:ascii="Arial" w:hAnsi="Arial" w:cs="Arial"/>
          <w:b/>
        </w:rPr>
        <w:t xml:space="preserve">Note: Figure in parentheses denotes the percentage to the respective total </w:t>
      </w:r>
    </w:p>
    <w:p w14:paraId="5C1CE00B" w14:textId="77777777" w:rsidR="00AB1697" w:rsidRPr="00AB1697" w:rsidRDefault="00AB1697" w:rsidP="00AB1697">
      <w:pPr>
        <w:jc w:val="both"/>
        <w:rPr>
          <w:rFonts w:ascii="Arial" w:hAnsi="Arial" w:cs="Arial"/>
          <w:bCs/>
        </w:rPr>
      </w:pPr>
    </w:p>
    <w:p w14:paraId="5C8607F0" w14:textId="77777777" w:rsidR="00AB1697" w:rsidRDefault="00AB1697" w:rsidP="00AB1697">
      <w:pPr>
        <w:jc w:val="both"/>
        <w:rPr>
          <w:rFonts w:ascii="Arial" w:hAnsi="Arial" w:cs="Arial"/>
          <w:bCs/>
        </w:rPr>
      </w:pPr>
      <w:r w:rsidRPr="00AB1697">
        <w:rPr>
          <w:rFonts w:ascii="Arial" w:hAnsi="Arial" w:cs="Arial"/>
          <w:bCs/>
        </w:rPr>
        <w:t>The study revealed that the marketable and marketed surplus of off-season cabbage were identical across all farm categories, indicating complete disposal of the available produce. The marketable (and marketed) surplus was 10,527.14 kg for small farms, 7,060.93 kg for marginal farms, and 7,711.04 kg at the overall level. This complete conversion of marketable surplus into marketed surplus reflects the highly perishable nature of horticultural crops, which necessitates immediate sale to avoid post-harvest losses. The findings therefore confirm the theoretical expectation in agricultural marketing that, for perishable commodities, producers tend to market the entire surplus available for sale.</w:t>
      </w:r>
    </w:p>
    <w:p w14:paraId="5C4B0FE9" w14:textId="77777777" w:rsidR="00AB1697" w:rsidRPr="00AB1697" w:rsidRDefault="00AB1697" w:rsidP="00AB1697">
      <w:pPr>
        <w:jc w:val="both"/>
        <w:rPr>
          <w:rFonts w:ascii="Arial" w:hAnsi="Arial" w:cs="Arial"/>
          <w:bCs/>
          <w:lang w:val="en-IN"/>
        </w:rPr>
      </w:pPr>
    </w:p>
    <w:p w14:paraId="1A35C1EF" w14:textId="77777777" w:rsidR="00AB1697" w:rsidRDefault="00AB1697" w:rsidP="00AB1697">
      <w:pPr>
        <w:jc w:val="both"/>
        <w:rPr>
          <w:rFonts w:ascii="Arial" w:hAnsi="Arial" w:cs="Arial"/>
          <w:bCs/>
          <w:lang w:val="en-IN"/>
        </w:rPr>
      </w:pPr>
      <w:r w:rsidRPr="00AB1697">
        <w:rPr>
          <w:rFonts w:ascii="Arial" w:hAnsi="Arial" w:cs="Arial"/>
          <w:b/>
          <w:sz w:val="22"/>
          <w:szCs w:val="22"/>
          <w:lang w:val="en-IN"/>
        </w:rPr>
        <w:t>3.2 Marketing Channels of Off-season Cabbage in Senapati</w:t>
      </w:r>
    </w:p>
    <w:p w14:paraId="1CEB6BEA" w14:textId="576D612C" w:rsidR="00AB1697" w:rsidRPr="00AB1697" w:rsidRDefault="00AB1697" w:rsidP="00AB1697">
      <w:pPr>
        <w:jc w:val="both"/>
        <w:rPr>
          <w:rFonts w:ascii="Arial" w:hAnsi="Arial" w:cs="Arial"/>
          <w:bCs/>
          <w:lang w:val="en-IN"/>
        </w:rPr>
      </w:pPr>
      <w:r w:rsidRPr="00AB1697">
        <w:rPr>
          <w:rFonts w:ascii="Arial" w:hAnsi="Arial" w:cs="Arial"/>
          <w:bCs/>
          <w:lang w:val="en-IN"/>
        </w:rPr>
        <w:t xml:space="preserve"> </w:t>
      </w:r>
    </w:p>
    <w:p w14:paraId="6C19AA30" w14:textId="4D496A28" w:rsidR="00AB1697" w:rsidRDefault="00AB1697" w:rsidP="00AB1697">
      <w:pPr>
        <w:jc w:val="both"/>
        <w:rPr>
          <w:rFonts w:ascii="Arial" w:hAnsi="Arial" w:cs="Arial"/>
          <w:bCs/>
          <w:lang w:val="en-IN"/>
        </w:rPr>
      </w:pPr>
      <w:r w:rsidRPr="00AB1697">
        <w:rPr>
          <w:rFonts w:ascii="Arial" w:hAnsi="Arial" w:cs="Arial"/>
          <w:bCs/>
          <w:lang w:val="en-IN"/>
        </w:rPr>
        <w:t>The marketing system of off-season cabbage involves a network of activities, agents, and channels that facilitate the movement of produce from farms to consumers. An analysis of this system is essential for understanding marketing efficiency, cost structures, and the distribution of returns among stakeholders. Farmers performed key marketing functions beginning with harvesting, usually one day prior to sale, during which damaged and pest-infested heads were removed. The produce was temporarily assembled at the household level and informally graded based on size, weight, shape, and colour, as standardized grading practices were absent. Packaging was done using bamboo baskets, bags, and plastic containers, with careful arrangement to reduce transit damage, indicating farmers’ efforts to maintain quality despite infrastructural constraints. Transportation played a crucial role in creating time and place utility, with produce moved from roadheads to wholesale markets using buses, autorickshaws, jeeps, and trolleys depending on distance and volume.</w:t>
      </w:r>
      <w:r w:rsidR="008D5058">
        <w:rPr>
          <w:rFonts w:ascii="Arial" w:hAnsi="Arial" w:cs="Arial"/>
          <w:bCs/>
          <w:lang w:val="en-IN"/>
        </w:rPr>
        <w:t xml:space="preserve"> </w:t>
      </w:r>
      <w:r w:rsidRPr="00AB1697">
        <w:rPr>
          <w:rFonts w:ascii="Arial" w:hAnsi="Arial" w:cs="Arial"/>
          <w:bCs/>
          <w:lang w:val="en-IN"/>
        </w:rPr>
        <w:t xml:space="preserve">The study identified three major marketing channels, </w:t>
      </w:r>
    </w:p>
    <w:p w14:paraId="3F15A989" w14:textId="77777777" w:rsidR="00AB1697" w:rsidRDefault="00AB1697" w:rsidP="00AB1697">
      <w:pPr>
        <w:jc w:val="both"/>
        <w:rPr>
          <w:rFonts w:ascii="Arial" w:hAnsi="Arial" w:cs="Arial"/>
          <w:bCs/>
          <w:lang w:val="en-IN"/>
        </w:rPr>
      </w:pPr>
    </w:p>
    <w:p w14:paraId="07665B32" w14:textId="72AA1D91" w:rsidR="00AE25DA" w:rsidRDefault="008D5058" w:rsidP="00AB1697">
      <w:pPr>
        <w:jc w:val="both"/>
        <w:rPr>
          <w:rFonts w:ascii="Arial" w:hAnsi="Arial" w:cs="Arial"/>
          <w:bCs/>
          <w:lang w:val="en-IN"/>
        </w:rPr>
      </w:pPr>
      <w:r>
        <w:rPr>
          <w:rFonts w:ascii="Arial" w:hAnsi="Arial" w:cs="Arial"/>
          <w:bCs/>
          <w:noProof/>
          <w:lang w:val="en-IN"/>
        </w:rPr>
        <w:lastRenderedPageBreak/>
        <w:drawing>
          <wp:inline distT="0" distB="0" distL="0" distR="0" wp14:anchorId="1B762952" wp14:editId="2FC784C4">
            <wp:extent cx="5324475" cy="3790950"/>
            <wp:effectExtent l="0" t="0" r="9525" b="0"/>
            <wp:docPr id="97649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498" name="Picture 976494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24475" cy="3790950"/>
                    </a:xfrm>
                    <a:prstGeom prst="rect">
                      <a:avLst/>
                    </a:prstGeom>
                  </pic:spPr>
                </pic:pic>
              </a:graphicData>
            </a:graphic>
          </wp:inline>
        </w:drawing>
      </w:r>
    </w:p>
    <w:p w14:paraId="2AA2DCCF" w14:textId="77777777" w:rsidR="008D5058" w:rsidRDefault="008D5058" w:rsidP="00AB1697">
      <w:pPr>
        <w:jc w:val="both"/>
        <w:rPr>
          <w:rFonts w:ascii="Arial" w:hAnsi="Arial" w:cs="Arial"/>
          <w:bCs/>
        </w:rPr>
      </w:pPr>
    </w:p>
    <w:p w14:paraId="52444B47" w14:textId="6A8F7B10" w:rsidR="008D5058" w:rsidRPr="008C1E5C" w:rsidRDefault="007C7FD8" w:rsidP="00AB1697">
      <w:pPr>
        <w:jc w:val="both"/>
        <w:rPr>
          <w:rFonts w:ascii="Arial" w:hAnsi="Arial" w:cs="Arial"/>
          <w:b/>
          <w:bCs/>
        </w:rPr>
      </w:pPr>
      <w:r w:rsidRPr="008C1E5C">
        <w:rPr>
          <w:rFonts w:ascii="Arial" w:hAnsi="Arial" w:cs="Arial"/>
          <w:b/>
          <w:bCs/>
        </w:rPr>
        <w:t xml:space="preserve">Figure 1: Marketing Channels </w:t>
      </w:r>
      <w:r w:rsidR="00F93578">
        <w:rPr>
          <w:rFonts w:ascii="Arial" w:hAnsi="Arial" w:cs="Arial"/>
          <w:b/>
          <w:bCs/>
        </w:rPr>
        <w:t>o</w:t>
      </w:r>
      <w:r w:rsidRPr="008C1E5C">
        <w:rPr>
          <w:rFonts w:ascii="Arial" w:hAnsi="Arial" w:cs="Arial"/>
          <w:b/>
          <w:bCs/>
        </w:rPr>
        <w:t xml:space="preserve">f Cabbage </w:t>
      </w:r>
      <w:bookmarkStart w:id="0" w:name="_GoBack"/>
      <w:bookmarkEnd w:id="0"/>
    </w:p>
    <w:p w14:paraId="67112655" w14:textId="77777777" w:rsidR="008D5058" w:rsidRDefault="008D5058" w:rsidP="00AB1697">
      <w:pPr>
        <w:jc w:val="both"/>
        <w:rPr>
          <w:rFonts w:ascii="Arial" w:hAnsi="Arial" w:cs="Arial"/>
          <w:bCs/>
        </w:rPr>
      </w:pPr>
    </w:p>
    <w:p w14:paraId="0A66D5AD" w14:textId="2108BB96" w:rsidR="00AB1697" w:rsidRPr="008D5058" w:rsidRDefault="00AB1697" w:rsidP="00AB1697">
      <w:pPr>
        <w:jc w:val="both"/>
        <w:rPr>
          <w:rFonts w:ascii="Arial" w:hAnsi="Arial" w:cs="Arial"/>
          <w:bCs/>
          <w:lang w:val="en-IN"/>
        </w:rPr>
      </w:pPr>
      <w:r w:rsidRPr="00AB1697">
        <w:rPr>
          <w:rFonts w:ascii="Arial" w:hAnsi="Arial" w:cs="Arial"/>
          <w:bCs/>
        </w:rPr>
        <w:t xml:space="preserve">A majority of off-season cabbage produce (57.67%) was marketed through Channel-I </w:t>
      </w:r>
      <w:r w:rsidRPr="00AB1697">
        <w:rPr>
          <w:rFonts w:ascii="Arial" w:hAnsi="Arial" w:cs="Arial"/>
          <w:bCs/>
          <w:i/>
          <w:iCs/>
        </w:rPr>
        <w:t>(Producer → Village-level Trader → Wholesaler → Retailer → Consumer)</w:t>
      </w:r>
      <w:r w:rsidRPr="00AB1697">
        <w:rPr>
          <w:rFonts w:ascii="Arial" w:hAnsi="Arial" w:cs="Arial"/>
          <w:bCs/>
        </w:rPr>
        <w:t xml:space="preserve">. This was followed by Channel-II </w:t>
      </w:r>
      <w:r w:rsidRPr="00AB1697">
        <w:rPr>
          <w:rFonts w:ascii="Arial" w:hAnsi="Arial" w:cs="Arial"/>
          <w:bCs/>
          <w:i/>
          <w:iCs/>
        </w:rPr>
        <w:t>(Producer → Wholesaler → Retailer → Consumer)</w:t>
      </w:r>
      <w:r w:rsidRPr="00AB1697">
        <w:rPr>
          <w:rFonts w:ascii="Arial" w:hAnsi="Arial" w:cs="Arial"/>
          <w:bCs/>
        </w:rPr>
        <w:t xml:space="preserve">, which accounted for 27.90% of total disposal, while Channel-III </w:t>
      </w:r>
      <w:r w:rsidRPr="00AB1697">
        <w:rPr>
          <w:rFonts w:ascii="Arial" w:hAnsi="Arial" w:cs="Arial"/>
          <w:bCs/>
          <w:i/>
          <w:iCs/>
        </w:rPr>
        <w:t>(Producer → Consumer)</w:t>
      </w:r>
      <w:r w:rsidRPr="00AB1697">
        <w:rPr>
          <w:rFonts w:ascii="Arial" w:hAnsi="Arial" w:cs="Arial"/>
          <w:bCs/>
        </w:rPr>
        <w:t xml:space="preserve"> constituted the remaining 14.43%. The results indicate that Channel-I was the most prominent marketing channel for off-season cabbage in Senapati district of Manipur, underscoring the predominance of intermediary-driven marketing systems in the region.</w:t>
      </w:r>
    </w:p>
    <w:p w14:paraId="262016AE" w14:textId="77777777" w:rsidR="00AB1697" w:rsidRPr="00AB1697" w:rsidRDefault="00AB1697" w:rsidP="00AB1697">
      <w:pPr>
        <w:jc w:val="both"/>
        <w:rPr>
          <w:rFonts w:ascii="Arial" w:hAnsi="Arial" w:cs="Arial"/>
          <w:b/>
        </w:rPr>
      </w:pPr>
    </w:p>
    <w:p w14:paraId="1DED8CA0" w14:textId="77777777" w:rsidR="00AB1697" w:rsidRPr="00AB1697" w:rsidRDefault="00AB1697" w:rsidP="00AB1697">
      <w:pPr>
        <w:jc w:val="both"/>
        <w:rPr>
          <w:rFonts w:ascii="Arial" w:hAnsi="Arial" w:cs="Arial"/>
          <w:b/>
        </w:rPr>
      </w:pPr>
      <w:r w:rsidRPr="00AB1697">
        <w:rPr>
          <w:rFonts w:ascii="Arial" w:hAnsi="Arial" w:cs="Arial"/>
          <w:b/>
        </w:rPr>
        <w:t>Table 2- Disposal pattern through different marketing channels</w:t>
      </w:r>
    </w:p>
    <w:tbl>
      <w:tblPr>
        <w:tblStyle w:val="TableGrid"/>
        <w:tblW w:w="0" w:type="auto"/>
        <w:tblInd w:w="1861" w:type="dxa"/>
        <w:tblLook w:val="04A0" w:firstRow="1" w:lastRow="0" w:firstColumn="1" w:lastColumn="0" w:noHBand="0" w:noVBand="1"/>
      </w:tblPr>
      <w:tblGrid>
        <w:gridCol w:w="2876"/>
        <w:gridCol w:w="2877"/>
      </w:tblGrid>
      <w:tr w:rsidR="00AB1697" w:rsidRPr="00AB1697" w14:paraId="5FEC694C" w14:textId="77777777" w:rsidTr="0056611F">
        <w:tc>
          <w:tcPr>
            <w:tcW w:w="2876" w:type="dxa"/>
          </w:tcPr>
          <w:p w14:paraId="3D389F2E" w14:textId="77777777" w:rsidR="00AB1697" w:rsidRPr="00AB1697" w:rsidRDefault="00AB1697" w:rsidP="0056611F">
            <w:pPr>
              <w:spacing w:line="276" w:lineRule="auto"/>
              <w:jc w:val="both"/>
              <w:rPr>
                <w:rFonts w:ascii="Arial" w:hAnsi="Arial" w:cs="Arial"/>
                <w:b/>
                <w:sz w:val="20"/>
                <w:szCs w:val="20"/>
              </w:rPr>
            </w:pPr>
            <w:r w:rsidRPr="00AB1697">
              <w:rPr>
                <w:rFonts w:ascii="Arial" w:hAnsi="Arial" w:cs="Arial"/>
                <w:b/>
                <w:sz w:val="20"/>
                <w:szCs w:val="20"/>
              </w:rPr>
              <w:t>Marketing channel</w:t>
            </w:r>
          </w:p>
        </w:tc>
        <w:tc>
          <w:tcPr>
            <w:tcW w:w="2877" w:type="dxa"/>
          </w:tcPr>
          <w:p w14:paraId="403F855F" w14:textId="77777777" w:rsidR="00AB1697" w:rsidRPr="00AB1697" w:rsidRDefault="00AB1697" w:rsidP="0056611F">
            <w:pPr>
              <w:spacing w:line="276" w:lineRule="auto"/>
              <w:jc w:val="both"/>
              <w:rPr>
                <w:rFonts w:ascii="Arial" w:hAnsi="Arial" w:cs="Arial"/>
                <w:b/>
                <w:sz w:val="20"/>
                <w:szCs w:val="20"/>
              </w:rPr>
            </w:pPr>
            <w:r w:rsidRPr="00AB1697">
              <w:rPr>
                <w:rFonts w:ascii="Arial" w:hAnsi="Arial" w:cs="Arial"/>
                <w:b/>
                <w:sz w:val="20"/>
                <w:szCs w:val="20"/>
              </w:rPr>
              <w:t>Quantity (in %)</w:t>
            </w:r>
          </w:p>
        </w:tc>
      </w:tr>
      <w:tr w:rsidR="00AB1697" w:rsidRPr="00AB1697" w14:paraId="2377B5A2" w14:textId="77777777" w:rsidTr="0056611F">
        <w:tc>
          <w:tcPr>
            <w:tcW w:w="2876" w:type="dxa"/>
          </w:tcPr>
          <w:p w14:paraId="0B907602"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Channel-I</w:t>
            </w:r>
          </w:p>
        </w:tc>
        <w:tc>
          <w:tcPr>
            <w:tcW w:w="2877" w:type="dxa"/>
          </w:tcPr>
          <w:p w14:paraId="400BE5B2"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57.67%</w:t>
            </w:r>
          </w:p>
        </w:tc>
      </w:tr>
      <w:tr w:rsidR="00AB1697" w:rsidRPr="00AB1697" w14:paraId="07BFC40E" w14:textId="77777777" w:rsidTr="0056611F">
        <w:tc>
          <w:tcPr>
            <w:tcW w:w="2876" w:type="dxa"/>
          </w:tcPr>
          <w:p w14:paraId="427FC4C5"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Channel-II</w:t>
            </w:r>
          </w:p>
        </w:tc>
        <w:tc>
          <w:tcPr>
            <w:tcW w:w="2877" w:type="dxa"/>
          </w:tcPr>
          <w:p w14:paraId="3AAC86E5"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27.90%</w:t>
            </w:r>
          </w:p>
        </w:tc>
      </w:tr>
      <w:tr w:rsidR="00AB1697" w:rsidRPr="00AB1697" w14:paraId="049AFFFC" w14:textId="77777777" w:rsidTr="0056611F">
        <w:tc>
          <w:tcPr>
            <w:tcW w:w="2876" w:type="dxa"/>
          </w:tcPr>
          <w:p w14:paraId="62D0FDCA"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Channel-III</w:t>
            </w:r>
          </w:p>
        </w:tc>
        <w:tc>
          <w:tcPr>
            <w:tcW w:w="2877" w:type="dxa"/>
          </w:tcPr>
          <w:p w14:paraId="06A50AC6"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14.43%</w:t>
            </w:r>
          </w:p>
        </w:tc>
      </w:tr>
      <w:tr w:rsidR="00AB1697" w:rsidRPr="00AB1697" w14:paraId="505B8EC7" w14:textId="77777777" w:rsidTr="0056611F">
        <w:tc>
          <w:tcPr>
            <w:tcW w:w="2876" w:type="dxa"/>
          </w:tcPr>
          <w:p w14:paraId="495B26E9"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Total</w:t>
            </w:r>
          </w:p>
        </w:tc>
        <w:tc>
          <w:tcPr>
            <w:tcW w:w="2877" w:type="dxa"/>
          </w:tcPr>
          <w:p w14:paraId="48F0939B" w14:textId="77777777" w:rsidR="00AB1697" w:rsidRPr="00AB1697" w:rsidRDefault="00AB1697" w:rsidP="0056611F">
            <w:pPr>
              <w:spacing w:line="276" w:lineRule="auto"/>
              <w:jc w:val="center"/>
              <w:rPr>
                <w:rFonts w:ascii="Arial" w:hAnsi="Arial" w:cs="Arial"/>
                <w:bCs/>
                <w:sz w:val="20"/>
                <w:szCs w:val="20"/>
              </w:rPr>
            </w:pPr>
            <w:r w:rsidRPr="00AB1697">
              <w:rPr>
                <w:rFonts w:ascii="Arial" w:hAnsi="Arial" w:cs="Arial"/>
                <w:bCs/>
                <w:sz w:val="20"/>
                <w:szCs w:val="20"/>
              </w:rPr>
              <w:t>100%</w:t>
            </w:r>
          </w:p>
        </w:tc>
      </w:tr>
    </w:tbl>
    <w:p w14:paraId="2FD15DC1" w14:textId="77777777" w:rsidR="008D5058" w:rsidRDefault="008D5058" w:rsidP="00AB1697">
      <w:pPr>
        <w:jc w:val="both"/>
        <w:rPr>
          <w:rFonts w:ascii="Arial" w:hAnsi="Arial" w:cs="Arial"/>
          <w:b/>
          <w:lang w:val="en-IN"/>
        </w:rPr>
      </w:pPr>
    </w:p>
    <w:p w14:paraId="63815097" w14:textId="24CB8C48" w:rsidR="00AB1697" w:rsidRPr="008D5058" w:rsidRDefault="008D5058" w:rsidP="00AB1697">
      <w:pPr>
        <w:jc w:val="both"/>
        <w:rPr>
          <w:rFonts w:ascii="Arial" w:hAnsi="Arial" w:cs="Arial"/>
          <w:b/>
          <w:sz w:val="22"/>
          <w:szCs w:val="22"/>
          <w:lang w:val="en-IN"/>
        </w:rPr>
      </w:pPr>
      <w:r w:rsidRPr="008D5058">
        <w:rPr>
          <w:rFonts w:ascii="Arial" w:hAnsi="Arial" w:cs="Arial"/>
          <w:b/>
          <w:sz w:val="22"/>
          <w:szCs w:val="22"/>
          <w:lang w:val="en-IN"/>
        </w:rPr>
        <w:t xml:space="preserve">3.3 </w:t>
      </w:r>
      <w:r w:rsidR="00AB1697" w:rsidRPr="008D5058">
        <w:rPr>
          <w:rFonts w:ascii="Arial" w:hAnsi="Arial" w:cs="Arial"/>
          <w:b/>
          <w:sz w:val="22"/>
          <w:szCs w:val="22"/>
          <w:lang w:val="en-IN"/>
        </w:rPr>
        <w:t>Marketing Functionaries and Disposal Pattern</w:t>
      </w:r>
    </w:p>
    <w:p w14:paraId="1ED9CE49" w14:textId="77777777" w:rsidR="008D5058" w:rsidRPr="008D5058" w:rsidRDefault="008D5058" w:rsidP="00AB1697">
      <w:pPr>
        <w:jc w:val="both"/>
        <w:rPr>
          <w:rFonts w:ascii="Arial" w:hAnsi="Arial" w:cs="Arial"/>
          <w:b/>
          <w:sz w:val="22"/>
          <w:szCs w:val="22"/>
          <w:lang w:val="en-IN"/>
        </w:rPr>
      </w:pPr>
    </w:p>
    <w:p w14:paraId="72FDAB10" w14:textId="77777777" w:rsidR="00AB1697" w:rsidRDefault="00AB1697" w:rsidP="00AB1697">
      <w:pPr>
        <w:jc w:val="both"/>
        <w:rPr>
          <w:rFonts w:ascii="Arial" w:hAnsi="Arial" w:cs="Arial"/>
          <w:bCs/>
          <w:lang w:val="en-IN"/>
        </w:rPr>
      </w:pPr>
      <w:r w:rsidRPr="00AB1697">
        <w:rPr>
          <w:rFonts w:ascii="Arial" w:hAnsi="Arial" w:cs="Arial"/>
          <w:bCs/>
          <w:lang w:val="en-IN"/>
        </w:rPr>
        <w:t xml:space="preserve">The marketing of off-season cabbage involved multiple functionaries performing specialized roles. Village-level traders (VLTs) emerged as the most dominant agents, serving as the first point of sale and handling the largest share of produce across all farm categories. VLTs managed 4,864.41 kg from small farms, 4,118.69 kg from marginal farms, and 4,373.95 kg overall. Their prominence reflects farmers’ reliance on immediate liquidity and reduced marketing risk. Wholesalers engaged in Channel-I and Channel-II, handled 2,609.09 kg (small </w:t>
      </w:r>
      <w:r w:rsidRPr="00AB1697">
        <w:rPr>
          <w:rFonts w:ascii="Arial" w:hAnsi="Arial" w:cs="Arial"/>
          <w:bCs/>
          <w:lang w:val="en-IN"/>
        </w:rPr>
        <w:lastRenderedPageBreak/>
        <w:t xml:space="preserve">farms), 1,552.12 kg (marginal farms) and 2,073.05 kg (overall), bearing risks associated with price fluctuations and perishability. Retailers, involved primarily in Channel-III, facilitated direct sales to consumers, handling relatively smaller quantities. </w:t>
      </w:r>
    </w:p>
    <w:p w14:paraId="3E4474A8" w14:textId="77777777" w:rsidR="008D5058" w:rsidRPr="00AB1697" w:rsidRDefault="008D5058" w:rsidP="00AB1697">
      <w:pPr>
        <w:jc w:val="both"/>
        <w:rPr>
          <w:rFonts w:ascii="Arial" w:hAnsi="Arial" w:cs="Arial"/>
          <w:bCs/>
          <w:lang w:val="en-IN"/>
        </w:rPr>
      </w:pPr>
    </w:p>
    <w:tbl>
      <w:tblPr>
        <w:tblW w:w="8340" w:type="dxa"/>
        <w:jc w:val="center"/>
        <w:tblLook w:val="04A0" w:firstRow="1" w:lastRow="0" w:firstColumn="1" w:lastColumn="0" w:noHBand="0" w:noVBand="1"/>
      </w:tblPr>
      <w:tblGrid>
        <w:gridCol w:w="1213"/>
        <w:gridCol w:w="3267"/>
        <w:gridCol w:w="1286"/>
        <w:gridCol w:w="1286"/>
        <w:gridCol w:w="1288"/>
      </w:tblGrid>
      <w:tr w:rsidR="00AB1697" w:rsidRPr="00AB1697" w14:paraId="59EC8D8C" w14:textId="77777777" w:rsidTr="0056611F">
        <w:trPr>
          <w:trHeight w:val="325"/>
          <w:jc w:val="center"/>
        </w:trPr>
        <w:tc>
          <w:tcPr>
            <w:tcW w:w="8340" w:type="dxa"/>
            <w:gridSpan w:val="5"/>
            <w:tcBorders>
              <w:top w:val="single" w:sz="4" w:space="0" w:color="auto"/>
              <w:left w:val="single" w:sz="4" w:space="0" w:color="auto"/>
              <w:bottom w:val="single" w:sz="4" w:space="0" w:color="auto"/>
              <w:right w:val="single" w:sz="4" w:space="0" w:color="auto"/>
            </w:tcBorders>
            <w:noWrap/>
            <w:vAlign w:val="bottom"/>
            <w:hideMark/>
          </w:tcPr>
          <w:p w14:paraId="08986879"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Table 3- Disposal pattern of off-season cabbage through various agencies by different Categories of sample farms</w:t>
            </w:r>
          </w:p>
        </w:tc>
      </w:tr>
      <w:tr w:rsidR="00AB1697" w:rsidRPr="00AB1697" w14:paraId="7020C716" w14:textId="77777777" w:rsidTr="0056611F">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62FF1869"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S No</w:t>
            </w:r>
          </w:p>
        </w:tc>
        <w:tc>
          <w:tcPr>
            <w:tcW w:w="3267" w:type="dxa"/>
            <w:tcBorders>
              <w:top w:val="single" w:sz="4" w:space="0" w:color="auto"/>
              <w:left w:val="nil"/>
              <w:bottom w:val="single" w:sz="4" w:space="0" w:color="auto"/>
              <w:right w:val="single" w:sz="4" w:space="0" w:color="auto"/>
            </w:tcBorders>
            <w:noWrap/>
            <w:vAlign w:val="bottom"/>
            <w:hideMark/>
          </w:tcPr>
          <w:p w14:paraId="6F586B34"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Particulars</w:t>
            </w:r>
          </w:p>
        </w:tc>
        <w:tc>
          <w:tcPr>
            <w:tcW w:w="1286" w:type="dxa"/>
            <w:tcBorders>
              <w:top w:val="nil"/>
              <w:left w:val="nil"/>
              <w:bottom w:val="single" w:sz="4" w:space="0" w:color="auto"/>
              <w:right w:val="single" w:sz="4" w:space="0" w:color="auto"/>
            </w:tcBorders>
            <w:noWrap/>
            <w:vAlign w:val="bottom"/>
            <w:hideMark/>
          </w:tcPr>
          <w:p w14:paraId="2E159BC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 xml:space="preserve">Small  </w:t>
            </w:r>
          </w:p>
          <w:p w14:paraId="0E06251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(in kg)</w:t>
            </w:r>
          </w:p>
        </w:tc>
        <w:tc>
          <w:tcPr>
            <w:tcW w:w="1286" w:type="dxa"/>
            <w:tcBorders>
              <w:top w:val="nil"/>
              <w:left w:val="nil"/>
              <w:bottom w:val="single" w:sz="4" w:space="0" w:color="auto"/>
              <w:right w:val="single" w:sz="4" w:space="0" w:color="auto"/>
            </w:tcBorders>
            <w:noWrap/>
            <w:vAlign w:val="bottom"/>
            <w:hideMark/>
          </w:tcPr>
          <w:p w14:paraId="1CC9D09A"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Marginal</w:t>
            </w:r>
          </w:p>
          <w:p w14:paraId="0554775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(in kg)</w:t>
            </w:r>
          </w:p>
        </w:tc>
        <w:tc>
          <w:tcPr>
            <w:tcW w:w="1288" w:type="dxa"/>
            <w:tcBorders>
              <w:top w:val="nil"/>
              <w:left w:val="nil"/>
              <w:bottom w:val="single" w:sz="4" w:space="0" w:color="auto"/>
              <w:right w:val="single" w:sz="4" w:space="0" w:color="auto"/>
            </w:tcBorders>
            <w:noWrap/>
            <w:vAlign w:val="bottom"/>
            <w:hideMark/>
          </w:tcPr>
          <w:p w14:paraId="147324D1"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Overall</w:t>
            </w:r>
          </w:p>
          <w:p w14:paraId="2058221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(in kg)</w:t>
            </w:r>
          </w:p>
        </w:tc>
      </w:tr>
      <w:tr w:rsidR="00AB1697" w:rsidRPr="00AB1697" w14:paraId="6D3C3E4D" w14:textId="77777777" w:rsidTr="0056611F">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34828510" w14:textId="77777777" w:rsidR="00AB1697" w:rsidRPr="00AB1697" w:rsidRDefault="00AB1697" w:rsidP="0056611F">
            <w:pPr>
              <w:jc w:val="both"/>
              <w:rPr>
                <w:rFonts w:ascii="Arial" w:hAnsi="Arial" w:cs="Arial"/>
                <w:color w:val="000000"/>
              </w:rPr>
            </w:pPr>
            <w:r w:rsidRPr="00AB1697">
              <w:rPr>
                <w:rFonts w:ascii="Arial" w:hAnsi="Arial" w:cs="Arial"/>
                <w:color w:val="000000"/>
              </w:rPr>
              <w:t>1</w:t>
            </w:r>
          </w:p>
        </w:tc>
        <w:tc>
          <w:tcPr>
            <w:tcW w:w="3267" w:type="dxa"/>
            <w:tcBorders>
              <w:top w:val="single" w:sz="4" w:space="0" w:color="auto"/>
              <w:left w:val="nil"/>
              <w:bottom w:val="single" w:sz="4" w:space="0" w:color="auto"/>
              <w:right w:val="single" w:sz="4" w:space="0" w:color="auto"/>
            </w:tcBorders>
            <w:noWrap/>
            <w:vAlign w:val="bottom"/>
            <w:hideMark/>
          </w:tcPr>
          <w:p w14:paraId="0E378A36"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Village level trader (VLT)</w:t>
            </w:r>
          </w:p>
        </w:tc>
        <w:tc>
          <w:tcPr>
            <w:tcW w:w="1286" w:type="dxa"/>
            <w:tcBorders>
              <w:top w:val="nil"/>
              <w:left w:val="nil"/>
              <w:bottom w:val="single" w:sz="4" w:space="0" w:color="auto"/>
              <w:right w:val="single" w:sz="4" w:space="0" w:color="auto"/>
            </w:tcBorders>
            <w:noWrap/>
            <w:vAlign w:val="bottom"/>
            <w:hideMark/>
          </w:tcPr>
          <w:p w14:paraId="03BDF377" w14:textId="77777777" w:rsidR="00AB1697" w:rsidRPr="00AB1697" w:rsidRDefault="00AB1697" w:rsidP="0056611F">
            <w:pPr>
              <w:jc w:val="both"/>
              <w:rPr>
                <w:rFonts w:ascii="Arial" w:hAnsi="Arial" w:cs="Arial"/>
                <w:color w:val="000000"/>
              </w:rPr>
            </w:pPr>
            <w:r w:rsidRPr="00AB1697">
              <w:rPr>
                <w:rFonts w:ascii="Arial" w:hAnsi="Arial" w:cs="Arial"/>
                <w:color w:val="000000"/>
              </w:rPr>
              <w:t>4864.414</w:t>
            </w:r>
          </w:p>
        </w:tc>
        <w:tc>
          <w:tcPr>
            <w:tcW w:w="1286" w:type="dxa"/>
            <w:tcBorders>
              <w:top w:val="nil"/>
              <w:left w:val="nil"/>
              <w:bottom w:val="single" w:sz="4" w:space="0" w:color="auto"/>
              <w:right w:val="single" w:sz="4" w:space="0" w:color="auto"/>
            </w:tcBorders>
            <w:noWrap/>
            <w:vAlign w:val="bottom"/>
            <w:hideMark/>
          </w:tcPr>
          <w:p w14:paraId="2931D866" w14:textId="77777777" w:rsidR="00AB1697" w:rsidRPr="00AB1697" w:rsidRDefault="00AB1697" w:rsidP="0056611F">
            <w:pPr>
              <w:jc w:val="both"/>
              <w:rPr>
                <w:rFonts w:ascii="Arial" w:hAnsi="Arial" w:cs="Arial"/>
                <w:color w:val="000000"/>
              </w:rPr>
            </w:pPr>
            <w:r w:rsidRPr="00AB1697">
              <w:rPr>
                <w:rFonts w:ascii="Arial" w:hAnsi="Arial" w:cs="Arial"/>
                <w:color w:val="000000"/>
              </w:rPr>
              <w:t>4118.685</w:t>
            </w:r>
          </w:p>
        </w:tc>
        <w:tc>
          <w:tcPr>
            <w:tcW w:w="1288" w:type="dxa"/>
            <w:tcBorders>
              <w:top w:val="nil"/>
              <w:left w:val="nil"/>
              <w:bottom w:val="single" w:sz="4" w:space="0" w:color="auto"/>
              <w:right w:val="single" w:sz="4" w:space="0" w:color="auto"/>
            </w:tcBorders>
            <w:noWrap/>
            <w:vAlign w:val="bottom"/>
            <w:hideMark/>
          </w:tcPr>
          <w:p w14:paraId="7847956C" w14:textId="77777777" w:rsidR="00AB1697" w:rsidRPr="00AB1697" w:rsidRDefault="00AB1697" w:rsidP="0056611F">
            <w:pPr>
              <w:jc w:val="both"/>
              <w:rPr>
                <w:rFonts w:ascii="Arial" w:hAnsi="Arial" w:cs="Arial"/>
                <w:color w:val="000000"/>
              </w:rPr>
            </w:pPr>
            <w:r w:rsidRPr="00AB1697">
              <w:rPr>
                <w:rFonts w:ascii="Arial" w:hAnsi="Arial" w:cs="Arial"/>
                <w:color w:val="000000"/>
              </w:rPr>
              <w:t>4373.953</w:t>
            </w:r>
          </w:p>
        </w:tc>
      </w:tr>
      <w:tr w:rsidR="00AB1697" w:rsidRPr="00AB1697" w14:paraId="57AE37F3" w14:textId="77777777" w:rsidTr="0056611F">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3B2F09BB" w14:textId="77777777" w:rsidR="00AB1697" w:rsidRPr="00AB1697" w:rsidRDefault="00AB1697" w:rsidP="0056611F">
            <w:pPr>
              <w:jc w:val="both"/>
              <w:rPr>
                <w:rFonts w:ascii="Arial" w:hAnsi="Arial" w:cs="Arial"/>
                <w:color w:val="000000"/>
              </w:rPr>
            </w:pPr>
            <w:r w:rsidRPr="00AB1697">
              <w:rPr>
                <w:rFonts w:ascii="Arial" w:hAnsi="Arial" w:cs="Arial"/>
                <w:color w:val="000000"/>
              </w:rPr>
              <w:t>2</w:t>
            </w:r>
          </w:p>
        </w:tc>
        <w:tc>
          <w:tcPr>
            <w:tcW w:w="3267" w:type="dxa"/>
            <w:tcBorders>
              <w:top w:val="single" w:sz="4" w:space="0" w:color="auto"/>
              <w:left w:val="nil"/>
              <w:bottom w:val="single" w:sz="4" w:space="0" w:color="auto"/>
              <w:right w:val="single" w:sz="4" w:space="0" w:color="auto"/>
            </w:tcBorders>
            <w:noWrap/>
            <w:vAlign w:val="bottom"/>
            <w:hideMark/>
          </w:tcPr>
          <w:p w14:paraId="16952B3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Wholesaler</w:t>
            </w:r>
          </w:p>
        </w:tc>
        <w:tc>
          <w:tcPr>
            <w:tcW w:w="1286" w:type="dxa"/>
            <w:tcBorders>
              <w:top w:val="nil"/>
              <w:left w:val="nil"/>
              <w:bottom w:val="single" w:sz="4" w:space="0" w:color="auto"/>
              <w:right w:val="single" w:sz="4" w:space="0" w:color="auto"/>
            </w:tcBorders>
            <w:noWrap/>
            <w:vAlign w:val="bottom"/>
            <w:hideMark/>
          </w:tcPr>
          <w:p w14:paraId="73A7C67A" w14:textId="77777777" w:rsidR="00AB1697" w:rsidRPr="00AB1697" w:rsidRDefault="00AB1697" w:rsidP="0056611F">
            <w:pPr>
              <w:jc w:val="both"/>
              <w:rPr>
                <w:rFonts w:ascii="Arial" w:hAnsi="Arial" w:cs="Arial"/>
                <w:color w:val="000000"/>
              </w:rPr>
            </w:pPr>
            <w:r w:rsidRPr="00AB1697">
              <w:rPr>
                <w:rFonts w:ascii="Arial" w:hAnsi="Arial" w:cs="Arial"/>
                <w:color w:val="000000"/>
              </w:rPr>
              <w:t>2609.087</w:t>
            </w:r>
          </w:p>
        </w:tc>
        <w:tc>
          <w:tcPr>
            <w:tcW w:w="1286" w:type="dxa"/>
            <w:tcBorders>
              <w:top w:val="nil"/>
              <w:left w:val="nil"/>
              <w:bottom w:val="single" w:sz="4" w:space="0" w:color="auto"/>
              <w:right w:val="single" w:sz="4" w:space="0" w:color="auto"/>
            </w:tcBorders>
            <w:noWrap/>
            <w:vAlign w:val="bottom"/>
            <w:hideMark/>
          </w:tcPr>
          <w:p w14:paraId="06762CF0" w14:textId="77777777" w:rsidR="00AB1697" w:rsidRPr="00AB1697" w:rsidRDefault="00AB1697" w:rsidP="0056611F">
            <w:pPr>
              <w:jc w:val="both"/>
              <w:rPr>
                <w:rFonts w:ascii="Arial" w:hAnsi="Arial" w:cs="Arial"/>
                <w:color w:val="000000"/>
              </w:rPr>
            </w:pPr>
            <w:r w:rsidRPr="00AB1697">
              <w:rPr>
                <w:rFonts w:ascii="Arial" w:hAnsi="Arial" w:cs="Arial"/>
                <w:color w:val="000000"/>
              </w:rPr>
              <w:t>1552.122</w:t>
            </w:r>
          </w:p>
        </w:tc>
        <w:tc>
          <w:tcPr>
            <w:tcW w:w="1288" w:type="dxa"/>
            <w:tcBorders>
              <w:top w:val="nil"/>
              <w:left w:val="nil"/>
              <w:bottom w:val="single" w:sz="4" w:space="0" w:color="auto"/>
              <w:right w:val="single" w:sz="4" w:space="0" w:color="auto"/>
            </w:tcBorders>
            <w:noWrap/>
            <w:vAlign w:val="bottom"/>
            <w:hideMark/>
          </w:tcPr>
          <w:p w14:paraId="7EA694FA" w14:textId="77777777" w:rsidR="00AB1697" w:rsidRPr="00AB1697" w:rsidRDefault="00AB1697" w:rsidP="0056611F">
            <w:pPr>
              <w:jc w:val="both"/>
              <w:rPr>
                <w:rFonts w:ascii="Arial" w:hAnsi="Arial" w:cs="Arial"/>
                <w:color w:val="000000"/>
              </w:rPr>
            </w:pPr>
            <w:r w:rsidRPr="00AB1697">
              <w:rPr>
                <w:rFonts w:ascii="Arial" w:hAnsi="Arial" w:cs="Arial"/>
                <w:color w:val="000000"/>
              </w:rPr>
              <w:t>2073.051</w:t>
            </w:r>
          </w:p>
        </w:tc>
      </w:tr>
      <w:tr w:rsidR="00AB1697" w:rsidRPr="00AB1697" w14:paraId="18636B50" w14:textId="77777777" w:rsidTr="0056611F">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51A54C4E" w14:textId="77777777" w:rsidR="00AB1697" w:rsidRPr="00AB1697" w:rsidRDefault="00AB1697" w:rsidP="0056611F">
            <w:pPr>
              <w:jc w:val="both"/>
              <w:rPr>
                <w:rFonts w:ascii="Arial" w:hAnsi="Arial" w:cs="Arial"/>
                <w:color w:val="000000"/>
              </w:rPr>
            </w:pPr>
            <w:r w:rsidRPr="00AB1697">
              <w:rPr>
                <w:rFonts w:ascii="Arial" w:hAnsi="Arial" w:cs="Arial"/>
                <w:color w:val="000000"/>
              </w:rPr>
              <w:t>3</w:t>
            </w:r>
          </w:p>
        </w:tc>
        <w:tc>
          <w:tcPr>
            <w:tcW w:w="3267" w:type="dxa"/>
            <w:tcBorders>
              <w:top w:val="single" w:sz="4" w:space="0" w:color="auto"/>
              <w:left w:val="nil"/>
              <w:bottom w:val="single" w:sz="4" w:space="0" w:color="auto"/>
              <w:right w:val="single" w:sz="4" w:space="0" w:color="auto"/>
            </w:tcBorders>
            <w:noWrap/>
            <w:vAlign w:val="bottom"/>
            <w:hideMark/>
          </w:tcPr>
          <w:p w14:paraId="4D6D1CCF"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Consumers</w:t>
            </w:r>
          </w:p>
        </w:tc>
        <w:tc>
          <w:tcPr>
            <w:tcW w:w="1286" w:type="dxa"/>
            <w:tcBorders>
              <w:top w:val="nil"/>
              <w:left w:val="nil"/>
              <w:bottom w:val="single" w:sz="4" w:space="0" w:color="auto"/>
              <w:right w:val="single" w:sz="4" w:space="0" w:color="auto"/>
            </w:tcBorders>
            <w:noWrap/>
            <w:vAlign w:val="bottom"/>
            <w:hideMark/>
          </w:tcPr>
          <w:p w14:paraId="6DF70E2F" w14:textId="77777777" w:rsidR="00AB1697" w:rsidRPr="00AB1697" w:rsidRDefault="00AB1697" w:rsidP="0056611F">
            <w:pPr>
              <w:jc w:val="both"/>
              <w:rPr>
                <w:rFonts w:ascii="Arial" w:hAnsi="Arial" w:cs="Arial"/>
                <w:color w:val="000000"/>
              </w:rPr>
            </w:pPr>
            <w:r w:rsidRPr="00AB1697">
              <w:rPr>
                <w:rFonts w:ascii="Arial" w:hAnsi="Arial" w:cs="Arial"/>
                <w:color w:val="000000"/>
              </w:rPr>
              <w:t>1261.306</w:t>
            </w:r>
          </w:p>
        </w:tc>
        <w:tc>
          <w:tcPr>
            <w:tcW w:w="1286" w:type="dxa"/>
            <w:tcBorders>
              <w:top w:val="nil"/>
              <w:left w:val="nil"/>
              <w:bottom w:val="single" w:sz="4" w:space="0" w:color="auto"/>
              <w:right w:val="single" w:sz="4" w:space="0" w:color="auto"/>
            </w:tcBorders>
            <w:noWrap/>
            <w:vAlign w:val="bottom"/>
            <w:hideMark/>
          </w:tcPr>
          <w:p w14:paraId="39E80AE0" w14:textId="77777777" w:rsidR="00AB1697" w:rsidRPr="00AB1697" w:rsidRDefault="00AB1697" w:rsidP="0056611F">
            <w:pPr>
              <w:jc w:val="both"/>
              <w:rPr>
                <w:rFonts w:ascii="Arial" w:hAnsi="Arial" w:cs="Arial"/>
                <w:color w:val="000000"/>
              </w:rPr>
            </w:pPr>
            <w:r w:rsidRPr="00AB1697">
              <w:rPr>
                <w:rFonts w:ascii="Arial" w:hAnsi="Arial" w:cs="Arial"/>
                <w:color w:val="000000"/>
              </w:rPr>
              <w:t>1413.274</w:t>
            </w:r>
          </w:p>
        </w:tc>
        <w:tc>
          <w:tcPr>
            <w:tcW w:w="1288" w:type="dxa"/>
            <w:tcBorders>
              <w:top w:val="nil"/>
              <w:left w:val="nil"/>
              <w:bottom w:val="single" w:sz="4" w:space="0" w:color="auto"/>
              <w:right w:val="single" w:sz="4" w:space="0" w:color="auto"/>
            </w:tcBorders>
            <w:noWrap/>
            <w:vAlign w:val="bottom"/>
            <w:hideMark/>
          </w:tcPr>
          <w:p w14:paraId="15F5F923" w14:textId="77777777" w:rsidR="00AB1697" w:rsidRPr="00AB1697" w:rsidRDefault="00AB1697" w:rsidP="0056611F">
            <w:pPr>
              <w:jc w:val="both"/>
              <w:rPr>
                <w:rFonts w:ascii="Arial" w:hAnsi="Arial" w:cs="Arial"/>
                <w:color w:val="000000"/>
              </w:rPr>
            </w:pPr>
            <w:r w:rsidRPr="00AB1697">
              <w:rPr>
                <w:rFonts w:ascii="Arial" w:hAnsi="Arial" w:cs="Arial"/>
                <w:color w:val="000000"/>
              </w:rPr>
              <w:t>1276.734</w:t>
            </w:r>
          </w:p>
        </w:tc>
      </w:tr>
    </w:tbl>
    <w:p w14:paraId="650879DC" w14:textId="77777777" w:rsidR="008D5058" w:rsidRDefault="008D5058" w:rsidP="00AB1697">
      <w:pPr>
        <w:jc w:val="both"/>
        <w:rPr>
          <w:rFonts w:ascii="Arial" w:hAnsi="Arial" w:cs="Arial"/>
          <w:b/>
          <w:bCs/>
          <w:lang w:val="en-IN"/>
        </w:rPr>
      </w:pPr>
    </w:p>
    <w:p w14:paraId="3918AD5C" w14:textId="2737F154" w:rsidR="00AB1697" w:rsidRDefault="008D5058" w:rsidP="00AB1697">
      <w:pPr>
        <w:jc w:val="both"/>
        <w:rPr>
          <w:rFonts w:ascii="Arial" w:hAnsi="Arial" w:cs="Arial"/>
          <w:b/>
          <w:bCs/>
          <w:lang w:val="en-IN"/>
        </w:rPr>
      </w:pPr>
      <w:r>
        <w:rPr>
          <w:rFonts w:ascii="Arial" w:hAnsi="Arial" w:cs="Arial"/>
          <w:b/>
          <w:bCs/>
          <w:lang w:val="en-IN"/>
        </w:rPr>
        <w:t xml:space="preserve">3.4 </w:t>
      </w:r>
      <w:r w:rsidR="00AB1697" w:rsidRPr="00AB1697">
        <w:rPr>
          <w:rFonts w:ascii="Arial" w:hAnsi="Arial" w:cs="Arial"/>
          <w:b/>
          <w:bCs/>
          <w:lang w:val="en-IN"/>
        </w:rPr>
        <w:t>Price Spread of Off-season Cabbage through Different Marketing Channels in Senapati Market</w:t>
      </w:r>
    </w:p>
    <w:p w14:paraId="1D9862D9" w14:textId="77777777" w:rsidR="008D5058" w:rsidRPr="00AB1697" w:rsidRDefault="008D5058" w:rsidP="00AB1697">
      <w:pPr>
        <w:jc w:val="both"/>
        <w:rPr>
          <w:rFonts w:ascii="Arial" w:hAnsi="Arial" w:cs="Arial"/>
          <w:b/>
          <w:bCs/>
          <w:lang w:val="en-IN"/>
        </w:rPr>
      </w:pPr>
    </w:p>
    <w:p w14:paraId="02BF7F56" w14:textId="77777777" w:rsidR="00AB1697" w:rsidRPr="00AB1697" w:rsidRDefault="00AB1697" w:rsidP="00AB1697">
      <w:pPr>
        <w:jc w:val="both"/>
        <w:rPr>
          <w:rFonts w:ascii="Arial" w:hAnsi="Arial" w:cs="Arial"/>
          <w:bCs/>
          <w:lang w:val="en-IN"/>
        </w:rPr>
      </w:pPr>
      <w:r w:rsidRPr="00AB1697">
        <w:rPr>
          <w:rFonts w:ascii="Arial" w:hAnsi="Arial" w:cs="Arial"/>
          <w:bCs/>
          <w:lang w:val="en-IN"/>
        </w:rPr>
        <w:t>Marketing efficiency was assessed using price spread, marketing cost, marketing margin and producer’s share in the consumer rupee. Channel-I incurred the highest marketing cost (₹4.50/kg) and largest price spread (₹20/kg) due to the presence of multiple intermediaries. In contrast, Channel-III recorded the lowest marketing cost (₹1.925/kg) and negligible marketing margin, as it operated without intermediaries. The producer’s share in the consumer rupee increased sharply from 60 per cent in Channel-I to 95.71 per cent in Channel-III, indicating superior performance of shorter marketing channels. Marketing efficiency calculated using Acharya’s approach revealed that Channel-III was the most efficient (22.316), followed by Channel-II (3) and Channel-I (1.5). The results clearly demonstrate that channels with fewer intermediaries enhance producer returns by reducing marketing costs and price spreads.</w:t>
      </w:r>
    </w:p>
    <w:tbl>
      <w:tblPr>
        <w:tblpPr w:leftFromText="180" w:rightFromText="180" w:vertAnchor="page" w:horzAnchor="margin" w:tblpY="515"/>
        <w:tblW w:w="8885" w:type="dxa"/>
        <w:tblLook w:val="04A0" w:firstRow="1" w:lastRow="0" w:firstColumn="1" w:lastColumn="0" w:noHBand="0" w:noVBand="1"/>
      </w:tblPr>
      <w:tblGrid>
        <w:gridCol w:w="842"/>
        <w:gridCol w:w="3580"/>
        <w:gridCol w:w="1411"/>
        <w:gridCol w:w="1600"/>
        <w:gridCol w:w="1452"/>
      </w:tblGrid>
      <w:tr w:rsidR="00AB1697" w:rsidRPr="00AB1697" w14:paraId="0B2E8A01" w14:textId="77777777" w:rsidTr="0056611F">
        <w:trPr>
          <w:trHeight w:val="324"/>
        </w:trPr>
        <w:tc>
          <w:tcPr>
            <w:tcW w:w="8885" w:type="dxa"/>
            <w:gridSpan w:val="5"/>
            <w:tcBorders>
              <w:top w:val="single" w:sz="4" w:space="0" w:color="auto"/>
              <w:left w:val="single" w:sz="4" w:space="0" w:color="auto"/>
              <w:bottom w:val="single" w:sz="4" w:space="0" w:color="auto"/>
              <w:right w:val="single" w:sz="4" w:space="0" w:color="auto"/>
            </w:tcBorders>
            <w:noWrap/>
            <w:vAlign w:val="bottom"/>
            <w:hideMark/>
          </w:tcPr>
          <w:p w14:paraId="0784C2B7"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lastRenderedPageBreak/>
              <w:t>Table 4- Price spread of off-season cabbage in Senapati market through different market channels</w:t>
            </w:r>
          </w:p>
        </w:tc>
      </w:tr>
      <w:tr w:rsidR="00AB1697" w:rsidRPr="00AB1697" w14:paraId="58C1A81A"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1370F03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S No</w:t>
            </w:r>
          </w:p>
        </w:tc>
        <w:tc>
          <w:tcPr>
            <w:tcW w:w="3580" w:type="dxa"/>
            <w:tcBorders>
              <w:top w:val="single" w:sz="4" w:space="0" w:color="auto"/>
              <w:left w:val="nil"/>
              <w:bottom w:val="single" w:sz="4" w:space="0" w:color="auto"/>
              <w:right w:val="single" w:sz="4" w:space="0" w:color="auto"/>
            </w:tcBorders>
            <w:noWrap/>
            <w:vAlign w:val="bottom"/>
            <w:hideMark/>
          </w:tcPr>
          <w:p w14:paraId="6EBC50D6"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Particulars</w:t>
            </w:r>
          </w:p>
        </w:tc>
        <w:tc>
          <w:tcPr>
            <w:tcW w:w="1411" w:type="dxa"/>
            <w:tcBorders>
              <w:top w:val="nil"/>
              <w:left w:val="nil"/>
              <w:bottom w:val="single" w:sz="4" w:space="0" w:color="auto"/>
              <w:right w:val="single" w:sz="4" w:space="0" w:color="auto"/>
            </w:tcBorders>
            <w:noWrap/>
            <w:vAlign w:val="bottom"/>
            <w:hideMark/>
          </w:tcPr>
          <w:p w14:paraId="49761967"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 xml:space="preserve">Channel I (in </w:t>
            </w:r>
            <w:r w:rsidRPr="00AB1697">
              <w:rPr>
                <w:rFonts w:ascii="Arial" w:hAnsi="Arial" w:cs="Arial"/>
                <w:b/>
                <w:bCs/>
                <w:lang w:val="en-IN"/>
              </w:rPr>
              <w:t>₹</w:t>
            </w:r>
            <w:r w:rsidRPr="00AB1697">
              <w:rPr>
                <w:rFonts w:ascii="Arial" w:hAnsi="Arial" w:cs="Arial"/>
                <w:b/>
                <w:bCs/>
                <w:color w:val="000000"/>
              </w:rPr>
              <w:t>/kg)</w:t>
            </w:r>
          </w:p>
        </w:tc>
        <w:tc>
          <w:tcPr>
            <w:tcW w:w="1600" w:type="dxa"/>
            <w:tcBorders>
              <w:top w:val="nil"/>
              <w:left w:val="nil"/>
              <w:bottom w:val="single" w:sz="4" w:space="0" w:color="auto"/>
              <w:right w:val="single" w:sz="4" w:space="0" w:color="auto"/>
            </w:tcBorders>
            <w:noWrap/>
            <w:vAlign w:val="bottom"/>
            <w:hideMark/>
          </w:tcPr>
          <w:p w14:paraId="52B96167"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 xml:space="preserve">Channel II (in </w:t>
            </w:r>
            <w:r w:rsidRPr="00AB1697">
              <w:rPr>
                <w:rFonts w:ascii="Arial" w:hAnsi="Arial" w:cs="Arial"/>
                <w:b/>
                <w:bCs/>
                <w:lang w:val="en-IN"/>
              </w:rPr>
              <w:t>₹</w:t>
            </w:r>
            <w:r w:rsidRPr="00AB1697">
              <w:rPr>
                <w:rFonts w:ascii="Arial" w:hAnsi="Arial" w:cs="Arial"/>
                <w:b/>
                <w:bCs/>
                <w:color w:val="000000"/>
              </w:rPr>
              <w:t>/kg)</w:t>
            </w:r>
          </w:p>
        </w:tc>
        <w:tc>
          <w:tcPr>
            <w:tcW w:w="1450" w:type="dxa"/>
            <w:tcBorders>
              <w:top w:val="nil"/>
              <w:left w:val="nil"/>
              <w:bottom w:val="single" w:sz="4" w:space="0" w:color="auto"/>
              <w:right w:val="single" w:sz="4" w:space="0" w:color="auto"/>
            </w:tcBorders>
            <w:noWrap/>
            <w:vAlign w:val="bottom"/>
            <w:hideMark/>
          </w:tcPr>
          <w:p w14:paraId="2CDA963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 xml:space="preserve">Channel III (in </w:t>
            </w:r>
            <w:r w:rsidRPr="00AB1697">
              <w:rPr>
                <w:rFonts w:ascii="Arial" w:hAnsi="Arial" w:cs="Arial"/>
                <w:b/>
                <w:bCs/>
                <w:lang w:val="en-IN"/>
              </w:rPr>
              <w:t>₹</w:t>
            </w:r>
            <w:r w:rsidRPr="00AB1697">
              <w:rPr>
                <w:rFonts w:ascii="Arial" w:hAnsi="Arial" w:cs="Arial"/>
                <w:b/>
                <w:bCs/>
                <w:color w:val="000000"/>
              </w:rPr>
              <w:t xml:space="preserve">/kg) </w:t>
            </w:r>
          </w:p>
        </w:tc>
      </w:tr>
      <w:tr w:rsidR="00AB1697" w:rsidRPr="00AB1697" w14:paraId="1E566F71"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185ACB68" w14:textId="77777777" w:rsidR="00AB1697" w:rsidRPr="00AB1697" w:rsidRDefault="00AB1697" w:rsidP="0056611F">
            <w:pPr>
              <w:jc w:val="both"/>
              <w:rPr>
                <w:rFonts w:ascii="Arial" w:hAnsi="Arial" w:cs="Arial"/>
                <w:color w:val="000000"/>
              </w:rPr>
            </w:pPr>
            <w:r w:rsidRPr="00AB1697">
              <w:rPr>
                <w:rFonts w:ascii="Arial" w:hAnsi="Arial" w:cs="Arial"/>
                <w:color w:val="000000"/>
              </w:rPr>
              <w:t>1</w:t>
            </w:r>
          </w:p>
        </w:tc>
        <w:tc>
          <w:tcPr>
            <w:tcW w:w="3580" w:type="dxa"/>
            <w:tcBorders>
              <w:top w:val="single" w:sz="4" w:space="0" w:color="auto"/>
              <w:left w:val="nil"/>
              <w:bottom w:val="single" w:sz="4" w:space="0" w:color="auto"/>
              <w:right w:val="single" w:sz="4" w:space="0" w:color="auto"/>
            </w:tcBorders>
            <w:noWrap/>
            <w:vAlign w:val="bottom"/>
            <w:hideMark/>
          </w:tcPr>
          <w:p w14:paraId="6E3A2613" w14:textId="77777777" w:rsidR="00AB1697" w:rsidRPr="00AB1697" w:rsidRDefault="00AB1697" w:rsidP="0056611F">
            <w:pPr>
              <w:jc w:val="both"/>
              <w:rPr>
                <w:rFonts w:ascii="Arial" w:hAnsi="Arial" w:cs="Arial"/>
                <w:color w:val="000000"/>
              </w:rPr>
            </w:pPr>
            <w:r w:rsidRPr="00AB1697">
              <w:rPr>
                <w:rFonts w:ascii="Arial" w:hAnsi="Arial" w:cs="Arial"/>
                <w:color w:val="000000"/>
              </w:rPr>
              <w:t>Net price received by farmer</w:t>
            </w:r>
          </w:p>
        </w:tc>
        <w:tc>
          <w:tcPr>
            <w:tcW w:w="1411" w:type="dxa"/>
            <w:tcBorders>
              <w:top w:val="nil"/>
              <w:left w:val="nil"/>
              <w:bottom w:val="single" w:sz="4" w:space="0" w:color="auto"/>
              <w:right w:val="single" w:sz="4" w:space="0" w:color="auto"/>
            </w:tcBorders>
            <w:noWrap/>
            <w:vAlign w:val="bottom"/>
            <w:hideMark/>
          </w:tcPr>
          <w:p w14:paraId="47D3AA2D" w14:textId="77777777" w:rsidR="00AB1697" w:rsidRPr="00AB1697" w:rsidRDefault="00AB1697" w:rsidP="0056611F">
            <w:pPr>
              <w:jc w:val="both"/>
              <w:rPr>
                <w:rFonts w:ascii="Arial" w:hAnsi="Arial" w:cs="Arial"/>
                <w:color w:val="000000"/>
              </w:rPr>
            </w:pPr>
            <w:r w:rsidRPr="00AB1697">
              <w:rPr>
                <w:rFonts w:ascii="Arial" w:hAnsi="Arial" w:cs="Arial"/>
                <w:color w:val="000000"/>
              </w:rPr>
              <w:t>30</w:t>
            </w:r>
          </w:p>
        </w:tc>
        <w:tc>
          <w:tcPr>
            <w:tcW w:w="1600" w:type="dxa"/>
            <w:tcBorders>
              <w:top w:val="nil"/>
              <w:left w:val="nil"/>
              <w:bottom w:val="single" w:sz="4" w:space="0" w:color="auto"/>
              <w:right w:val="single" w:sz="4" w:space="0" w:color="auto"/>
            </w:tcBorders>
            <w:noWrap/>
            <w:vAlign w:val="bottom"/>
            <w:hideMark/>
          </w:tcPr>
          <w:p w14:paraId="1E34632E" w14:textId="77777777" w:rsidR="00AB1697" w:rsidRPr="00AB1697" w:rsidRDefault="00AB1697" w:rsidP="0056611F">
            <w:pPr>
              <w:jc w:val="both"/>
              <w:rPr>
                <w:rFonts w:ascii="Arial" w:hAnsi="Arial" w:cs="Arial"/>
                <w:color w:val="000000"/>
              </w:rPr>
            </w:pPr>
            <w:r w:rsidRPr="00AB1697">
              <w:rPr>
                <w:rFonts w:ascii="Arial" w:hAnsi="Arial" w:cs="Arial"/>
                <w:color w:val="000000"/>
              </w:rPr>
              <w:t>36</w:t>
            </w:r>
          </w:p>
        </w:tc>
        <w:tc>
          <w:tcPr>
            <w:tcW w:w="1450" w:type="dxa"/>
            <w:tcBorders>
              <w:top w:val="nil"/>
              <w:left w:val="nil"/>
              <w:bottom w:val="single" w:sz="4" w:space="0" w:color="auto"/>
              <w:right w:val="single" w:sz="4" w:space="0" w:color="auto"/>
            </w:tcBorders>
            <w:noWrap/>
            <w:vAlign w:val="bottom"/>
            <w:hideMark/>
          </w:tcPr>
          <w:p w14:paraId="5ACDA597" w14:textId="77777777" w:rsidR="00AB1697" w:rsidRPr="00AB1697" w:rsidRDefault="00AB1697" w:rsidP="0056611F">
            <w:pPr>
              <w:jc w:val="both"/>
              <w:rPr>
                <w:rFonts w:ascii="Arial" w:hAnsi="Arial" w:cs="Arial"/>
                <w:color w:val="000000"/>
              </w:rPr>
            </w:pPr>
            <w:r w:rsidRPr="00AB1697">
              <w:rPr>
                <w:rFonts w:ascii="Arial" w:hAnsi="Arial" w:cs="Arial"/>
                <w:color w:val="000000"/>
              </w:rPr>
              <w:t>43</w:t>
            </w:r>
          </w:p>
        </w:tc>
      </w:tr>
      <w:tr w:rsidR="00AB1697" w:rsidRPr="00AB1697" w14:paraId="329804A1"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74FE16DE" w14:textId="77777777" w:rsidR="00AB1697" w:rsidRPr="00AB1697" w:rsidRDefault="00AB1697" w:rsidP="0056611F">
            <w:pPr>
              <w:jc w:val="both"/>
              <w:rPr>
                <w:rFonts w:ascii="Arial" w:hAnsi="Arial" w:cs="Arial"/>
                <w:color w:val="000000"/>
              </w:rPr>
            </w:pPr>
            <w:r w:rsidRPr="00AB1697">
              <w:rPr>
                <w:rFonts w:ascii="Arial" w:hAnsi="Arial" w:cs="Arial"/>
                <w:color w:val="000000"/>
              </w:rPr>
              <w:t>2</w:t>
            </w:r>
          </w:p>
        </w:tc>
        <w:tc>
          <w:tcPr>
            <w:tcW w:w="3580" w:type="dxa"/>
            <w:tcBorders>
              <w:top w:val="single" w:sz="4" w:space="0" w:color="auto"/>
              <w:left w:val="nil"/>
              <w:bottom w:val="single" w:sz="4" w:space="0" w:color="auto"/>
              <w:right w:val="single" w:sz="4" w:space="0" w:color="auto"/>
            </w:tcBorders>
            <w:noWrap/>
            <w:vAlign w:val="bottom"/>
            <w:hideMark/>
          </w:tcPr>
          <w:p w14:paraId="52C0342A"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Cost incurred by producer</w:t>
            </w:r>
          </w:p>
        </w:tc>
        <w:tc>
          <w:tcPr>
            <w:tcW w:w="1411" w:type="dxa"/>
            <w:tcBorders>
              <w:top w:val="nil"/>
              <w:left w:val="nil"/>
              <w:bottom w:val="single" w:sz="4" w:space="0" w:color="auto"/>
              <w:right w:val="single" w:sz="4" w:space="0" w:color="auto"/>
            </w:tcBorders>
            <w:noWrap/>
            <w:vAlign w:val="bottom"/>
            <w:hideMark/>
          </w:tcPr>
          <w:p w14:paraId="329E104B" w14:textId="77777777" w:rsidR="00AB1697" w:rsidRPr="00AB1697" w:rsidRDefault="00AB1697" w:rsidP="0056611F">
            <w:pPr>
              <w:jc w:val="both"/>
              <w:rPr>
                <w:rFonts w:ascii="Arial" w:hAnsi="Arial" w:cs="Arial"/>
                <w:color w:val="000000"/>
              </w:rPr>
            </w:pPr>
          </w:p>
        </w:tc>
        <w:tc>
          <w:tcPr>
            <w:tcW w:w="1600" w:type="dxa"/>
            <w:tcBorders>
              <w:top w:val="nil"/>
              <w:left w:val="nil"/>
              <w:bottom w:val="single" w:sz="4" w:space="0" w:color="auto"/>
              <w:right w:val="single" w:sz="4" w:space="0" w:color="auto"/>
            </w:tcBorders>
            <w:noWrap/>
            <w:vAlign w:val="bottom"/>
            <w:hideMark/>
          </w:tcPr>
          <w:p w14:paraId="74E3C956" w14:textId="77777777" w:rsidR="00AB1697" w:rsidRPr="00AB1697" w:rsidRDefault="00AB1697" w:rsidP="0056611F">
            <w:pPr>
              <w:jc w:val="both"/>
              <w:rPr>
                <w:rFonts w:ascii="Arial" w:hAnsi="Arial" w:cs="Arial"/>
                <w:color w:val="000000"/>
              </w:rPr>
            </w:pPr>
          </w:p>
        </w:tc>
        <w:tc>
          <w:tcPr>
            <w:tcW w:w="1450" w:type="dxa"/>
            <w:tcBorders>
              <w:top w:val="nil"/>
              <w:left w:val="nil"/>
              <w:bottom w:val="single" w:sz="4" w:space="0" w:color="auto"/>
              <w:right w:val="single" w:sz="4" w:space="0" w:color="auto"/>
            </w:tcBorders>
            <w:noWrap/>
            <w:vAlign w:val="bottom"/>
            <w:hideMark/>
          </w:tcPr>
          <w:p w14:paraId="61AFDC01" w14:textId="77777777" w:rsidR="00AB1697" w:rsidRPr="00AB1697" w:rsidRDefault="00AB1697" w:rsidP="0056611F">
            <w:pPr>
              <w:jc w:val="both"/>
              <w:rPr>
                <w:rFonts w:ascii="Arial" w:hAnsi="Arial" w:cs="Arial"/>
                <w:color w:val="000000"/>
              </w:rPr>
            </w:pPr>
          </w:p>
        </w:tc>
      </w:tr>
      <w:tr w:rsidR="00AB1697" w:rsidRPr="00AB1697" w14:paraId="70040BAD"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0CF66E68"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64F63E0E" w14:textId="77777777" w:rsidR="00AB1697" w:rsidRPr="00AB1697" w:rsidRDefault="00AB1697" w:rsidP="00AB1697">
            <w:pPr>
              <w:pStyle w:val="ListParagraph"/>
              <w:numPr>
                <w:ilvl w:val="0"/>
                <w:numId w:val="32"/>
              </w:numPr>
              <w:spacing w:line="276" w:lineRule="auto"/>
              <w:jc w:val="both"/>
              <w:rPr>
                <w:rFonts w:ascii="Arial" w:hAnsi="Arial" w:cs="Arial"/>
                <w:color w:val="000000"/>
              </w:rPr>
            </w:pPr>
            <w:r w:rsidRPr="00AB1697">
              <w:rPr>
                <w:rFonts w:ascii="Arial" w:hAnsi="Arial" w:cs="Arial"/>
                <w:color w:val="000000"/>
              </w:rPr>
              <w:t>Assembling</w:t>
            </w:r>
          </w:p>
        </w:tc>
        <w:tc>
          <w:tcPr>
            <w:tcW w:w="1411" w:type="dxa"/>
            <w:tcBorders>
              <w:top w:val="nil"/>
              <w:left w:val="nil"/>
              <w:bottom w:val="single" w:sz="4" w:space="0" w:color="auto"/>
              <w:right w:val="single" w:sz="4" w:space="0" w:color="auto"/>
            </w:tcBorders>
            <w:noWrap/>
            <w:vAlign w:val="bottom"/>
          </w:tcPr>
          <w:p w14:paraId="55B79AB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7FB75371"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370904A5" w14:textId="77777777" w:rsidR="00AB1697" w:rsidRPr="00AB1697" w:rsidRDefault="00AB1697" w:rsidP="0056611F">
            <w:pPr>
              <w:jc w:val="both"/>
              <w:rPr>
                <w:rFonts w:ascii="Arial" w:hAnsi="Arial" w:cs="Arial"/>
                <w:color w:val="000000"/>
              </w:rPr>
            </w:pPr>
            <w:r w:rsidRPr="00AB1697">
              <w:rPr>
                <w:rFonts w:ascii="Arial" w:hAnsi="Arial" w:cs="Arial"/>
                <w:color w:val="000000"/>
              </w:rPr>
              <w:t>1.50</w:t>
            </w:r>
          </w:p>
        </w:tc>
      </w:tr>
      <w:tr w:rsidR="00AB1697" w:rsidRPr="00AB1697" w14:paraId="5AEB018C"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6640CE9A"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5F42D35E" w14:textId="77777777" w:rsidR="00AB1697" w:rsidRPr="00AB1697" w:rsidRDefault="00AB1697" w:rsidP="00AB1697">
            <w:pPr>
              <w:pStyle w:val="ListParagraph"/>
              <w:numPr>
                <w:ilvl w:val="0"/>
                <w:numId w:val="32"/>
              </w:numPr>
              <w:spacing w:line="276" w:lineRule="auto"/>
              <w:jc w:val="both"/>
              <w:rPr>
                <w:rFonts w:ascii="Arial" w:hAnsi="Arial" w:cs="Arial"/>
                <w:color w:val="000000"/>
              </w:rPr>
            </w:pPr>
            <w:r w:rsidRPr="00AB1697">
              <w:rPr>
                <w:rFonts w:ascii="Arial" w:hAnsi="Arial" w:cs="Arial"/>
                <w:color w:val="000000"/>
              </w:rPr>
              <w:t>Transportation</w:t>
            </w:r>
          </w:p>
        </w:tc>
        <w:tc>
          <w:tcPr>
            <w:tcW w:w="1411" w:type="dxa"/>
            <w:tcBorders>
              <w:top w:val="nil"/>
              <w:left w:val="nil"/>
              <w:bottom w:val="single" w:sz="4" w:space="0" w:color="auto"/>
              <w:right w:val="single" w:sz="4" w:space="0" w:color="auto"/>
            </w:tcBorders>
            <w:noWrap/>
            <w:vAlign w:val="bottom"/>
          </w:tcPr>
          <w:p w14:paraId="21B3ACCB"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04F8B3F4"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541C40B3" w14:textId="77777777" w:rsidR="00AB1697" w:rsidRPr="00AB1697" w:rsidRDefault="00AB1697" w:rsidP="0056611F">
            <w:pPr>
              <w:jc w:val="both"/>
              <w:rPr>
                <w:rFonts w:ascii="Arial" w:hAnsi="Arial" w:cs="Arial"/>
                <w:color w:val="000000"/>
              </w:rPr>
            </w:pPr>
            <w:r w:rsidRPr="00AB1697">
              <w:rPr>
                <w:rFonts w:ascii="Arial" w:hAnsi="Arial" w:cs="Arial"/>
                <w:color w:val="000000"/>
              </w:rPr>
              <w:t>1.425</w:t>
            </w:r>
          </w:p>
        </w:tc>
      </w:tr>
      <w:tr w:rsidR="00AB1697" w:rsidRPr="00AB1697" w14:paraId="16EDB48F"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04A72EA1"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1CB49701"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Total (</w:t>
            </w:r>
            <w:proofErr w:type="spellStart"/>
            <w:r w:rsidRPr="00AB1697">
              <w:rPr>
                <w:rFonts w:ascii="Arial" w:hAnsi="Arial" w:cs="Arial"/>
                <w:color w:val="000000"/>
              </w:rPr>
              <w:t>a+b</w:t>
            </w:r>
            <w:proofErr w:type="spellEnd"/>
            <w:r w:rsidRPr="00AB1697">
              <w:rPr>
                <w:rFonts w:ascii="Arial" w:hAnsi="Arial" w:cs="Arial"/>
                <w:color w:val="000000"/>
              </w:rPr>
              <w:t>)</w:t>
            </w:r>
          </w:p>
        </w:tc>
        <w:tc>
          <w:tcPr>
            <w:tcW w:w="1411" w:type="dxa"/>
            <w:tcBorders>
              <w:top w:val="nil"/>
              <w:left w:val="nil"/>
              <w:bottom w:val="single" w:sz="4" w:space="0" w:color="auto"/>
              <w:right w:val="single" w:sz="4" w:space="0" w:color="auto"/>
            </w:tcBorders>
            <w:noWrap/>
            <w:vAlign w:val="bottom"/>
          </w:tcPr>
          <w:p w14:paraId="5711C3E6"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5F9533C8"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79F068B4"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6A9A181E"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8348C78"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52FDAC1D"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Producer’s sale price</w:t>
            </w:r>
          </w:p>
        </w:tc>
        <w:tc>
          <w:tcPr>
            <w:tcW w:w="1411" w:type="dxa"/>
            <w:tcBorders>
              <w:top w:val="nil"/>
              <w:left w:val="nil"/>
              <w:bottom w:val="single" w:sz="4" w:space="0" w:color="auto"/>
              <w:right w:val="single" w:sz="4" w:space="0" w:color="auto"/>
            </w:tcBorders>
            <w:noWrap/>
            <w:vAlign w:val="bottom"/>
          </w:tcPr>
          <w:p w14:paraId="68C0AA2D" w14:textId="77777777" w:rsidR="00AB1697" w:rsidRPr="00AB1697" w:rsidRDefault="00AB1697" w:rsidP="0056611F">
            <w:pPr>
              <w:jc w:val="both"/>
              <w:rPr>
                <w:rFonts w:ascii="Arial" w:hAnsi="Arial" w:cs="Arial"/>
                <w:color w:val="000000"/>
              </w:rPr>
            </w:pPr>
            <w:r w:rsidRPr="00AB1697">
              <w:rPr>
                <w:rFonts w:ascii="Arial" w:hAnsi="Arial" w:cs="Arial"/>
                <w:color w:val="000000"/>
              </w:rPr>
              <w:t>30</w:t>
            </w:r>
          </w:p>
        </w:tc>
        <w:tc>
          <w:tcPr>
            <w:tcW w:w="1600" w:type="dxa"/>
            <w:tcBorders>
              <w:top w:val="nil"/>
              <w:left w:val="nil"/>
              <w:bottom w:val="single" w:sz="4" w:space="0" w:color="auto"/>
              <w:right w:val="single" w:sz="4" w:space="0" w:color="auto"/>
            </w:tcBorders>
            <w:noWrap/>
            <w:vAlign w:val="bottom"/>
          </w:tcPr>
          <w:p w14:paraId="424D71CA"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30132C5F"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09C7BEEE"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49C2E69"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66AD411E"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Village level trader’s price</w:t>
            </w:r>
          </w:p>
        </w:tc>
        <w:tc>
          <w:tcPr>
            <w:tcW w:w="1411" w:type="dxa"/>
            <w:tcBorders>
              <w:top w:val="nil"/>
              <w:left w:val="nil"/>
              <w:bottom w:val="single" w:sz="4" w:space="0" w:color="auto"/>
              <w:right w:val="single" w:sz="4" w:space="0" w:color="auto"/>
            </w:tcBorders>
            <w:noWrap/>
            <w:vAlign w:val="bottom"/>
          </w:tcPr>
          <w:p w14:paraId="1FA806F9"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0C20479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4D672A1F"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06623F4F"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4EF477DE" w14:textId="77777777" w:rsidR="00AB1697" w:rsidRPr="00AB1697" w:rsidRDefault="00AB1697" w:rsidP="0056611F">
            <w:pPr>
              <w:jc w:val="both"/>
              <w:rPr>
                <w:rFonts w:ascii="Arial" w:hAnsi="Arial" w:cs="Arial"/>
                <w:color w:val="000000"/>
              </w:rPr>
            </w:pPr>
            <w:r w:rsidRPr="00AB1697">
              <w:rPr>
                <w:rFonts w:ascii="Arial" w:hAnsi="Arial" w:cs="Arial"/>
                <w:color w:val="000000"/>
              </w:rPr>
              <w:t>3</w:t>
            </w:r>
          </w:p>
        </w:tc>
        <w:tc>
          <w:tcPr>
            <w:tcW w:w="3580" w:type="dxa"/>
            <w:tcBorders>
              <w:top w:val="single" w:sz="4" w:space="0" w:color="auto"/>
              <w:left w:val="nil"/>
              <w:bottom w:val="single" w:sz="4" w:space="0" w:color="auto"/>
              <w:right w:val="single" w:sz="4" w:space="0" w:color="auto"/>
            </w:tcBorders>
            <w:noWrap/>
            <w:vAlign w:val="bottom"/>
            <w:hideMark/>
          </w:tcPr>
          <w:p w14:paraId="13A75D76"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Cost incurred by village level trader</w:t>
            </w:r>
          </w:p>
        </w:tc>
        <w:tc>
          <w:tcPr>
            <w:tcW w:w="1411" w:type="dxa"/>
            <w:tcBorders>
              <w:top w:val="nil"/>
              <w:left w:val="nil"/>
              <w:bottom w:val="single" w:sz="4" w:space="0" w:color="auto"/>
              <w:right w:val="single" w:sz="4" w:space="0" w:color="auto"/>
            </w:tcBorders>
            <w:noWrap/>
            <w:vAlign w:val="bottom"/>
            <w:hideMark/>
          </w:tcPr>
          <w:p w14:paraId="16B93B3B" w14:textId="77777777" w:rsidR="00AB1697" w:rsidRPr="00AB1697" w:rsidRDefault="00AB1697" w:rsidP="0056611F">
            <w:pPr>
              <w:jc w:val="both"/>
              <w:rPr>
                <w:rFonts w:ascii="Arial" w:hAnsi="Arial" w:cs="Arial"/>
                <w:color w:val="000000"/>
              </w:rPr>
            </w:pPr>
          </w:p>
        </w:tc>
        <w:tc>
          <w:tcPr>
            <w:tcW w:w="1600" w:type="dxa"/>
            <w:tcBorders>
              <w:top w:val="nil"/>
              <w:left w:val="nil"/>
              <w:bottom w:val="single" w:sz="4" w:space="0" w:color="auto"/>
              <w:right w:val="single" w:sz="4" w:space="0" w:color="auto"/>
            </w:tcBorders>
            <w:noWrap/>
            <w:vAlign w:val="bottom"/>
            <w:hideMark/>
          </w:tcPr>
          <w:p w14:paraId="5B220539"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hideMark/>
          </w:tcPr>
          <w:p w14:paraId="432F3DCA"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1F830FDE"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022373C6"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251D1DA4" w14:textId="77777777" w:rsidR="00AB1697" w:rsidRPr="00AB1697" w:rsidRDefault="00AB1697" w:rsidP="00AB1697">
            <w:pPr>
              <w:pStyle w:val="ListParagraph"/>
              <w:numPr>
                <w:ilvl w:val="0"/>
                <w:numId w:val="33"/>
              </w:numPr>
              <w:spacing w:line="276" w:lineRule="auto"/>
              <w:jc w:val="both"/>
              <w:rPr>
                <w:rFonts w:ascii="Arial" w:hAnsi="Arial" w:cs="Arial"/>
                <w:color w:val="000000"/>
              </w:rPr>
            </w:pPr>
            <w:r w:rsidRPr="00AB1697">
              <w:rPr>
                <w:rFonts w:ascii="Arial" w:hAnsi="Arial" w:cs="Arial"/>
                <w:color w:val="000000"/>
              </w:rPr>
              <w:t>Transportation</w:t>
            </w:r>
          </w:p>
        </w:tc>
        <w:tc>
          <w:tcPr>
            <w:tcW w:w="1411" w:type="dxa"/>
            <w:tcBorders>
              <w:top w:val="nil"/>
              <w:left w:val="nil"/>
              <w:bottom w:val="single" w:sz="4" w:space="0" w:color="auto"/>
              <w:right w:val="single" w:sz="4" w:space="0" w:color="auto"/>
            </w:tcBorders>
            <w:noWrap/>
            <w:vAlign w:val="bottom"/>
          </w:tcPr>
          <w:p w14:paraId="6906E496" w14:textId="77777777" w:rsidR="00AB1697" w:rsidRPr="00AB1697" w:rsidRDefault="00AB1697" w:rsidP="0056611F">
            <w:pPr>
              <w:jc w:val="both"/>
              <w:rPr>
                <w:rFonts w:ascii="Arial" w:hAnsi="Arial" w:cs="Arial"/>
                <w:color w:val="000000"/>
              </w:rPr>
            </w:pPr>
            <w:r w:rsidRPr="00AB1697">
              <w:rPr>
                <w:rFonts w:ascii="Arial" w:hAnsi="Arial" w:cs="Arial"/>
                <w:color w:val="000000"/>
              </w:rPr>
              <w:t>2.80</w:t>
            </w:r>
          </w:p>
        </w:tc>
        <w:tc>
          <w:tcPr>
            <w:tcW w:w="1600" w:type="dxa"/>
            <w:tcBorders>
              <w:top w:val="nil"/>
              <w:left w:val="nil"/>
              <w:bottom w:val="single" w:sz="4" w:space="0" w:color="auto"/>
              <w:right w:val="single" w:sz="4" w:space="0" w:color="auto"/>
            </w:tcBorders>
            <w:noWrap/>
            <w:vAlign w:val="bottom"/>
          </w:tcPr>
          <w:p w14:paraId="487C2E53"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5F0A0C34"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6990E955"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02047D7C"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014EBC9E" w14:textId="77777777" w:rsidR="00AB1697" w:rsidRPr="00AB1697" w:rsidRDefault="00AB1697" w:rsidP="00AB1697">
            <w:pPr>
              <w:pStyle w:val="ListParagraph"/>
              <w:numPr>
                <w:ilvl w:val="0"/>
                <w:numId w:val="33"/>
              </w:numPr>
              <w:spacing w:line="276" w:lineRule="auto"/>
              <w:jc w:val="both"/>
              <w:rPr>
                <w:rFonts w:ascii="Arial" w:hAnsi="Arial" w:cs="Arial"/>
                <w:color w:val="000000"/>
              </w:rPr>
            </w:pPr>
            <w:r w:rsidRPr="00AB1697">
              <w:rPr>
                <w:rFonts w:ascii="Arial" w:hAnsi="Arial" w:cs="Arial"/>
                <w:color w:val="000000"/>
              </w:rPr>
              <w:t xml:space="preserve">Loading and unloading </w:t>
            </w:r>
          </w:p>
        </w:tc>
        <w:tc>
          <w:tcPr>
            <w:tcW w:w="1411" w:type="dxa"/>
            <w:tcBorders>
              <w:top w:val="nil"/>
              <w:left w:val="nil"/>
              <w:bottom w:val="single" w:sz="4" w:space="0" w:color="auto"/>
              <w:right w:val="single" w:sz="4" w:space="0" w:color="auto"/>
            </w:tcBorders>
            <w:noWrap/>
            <w:vAlign w:val="bottom"/>
          </w:tcPr>
          <w:p w14:paraId="44A6A037" w14:textId="77777777" w:rsidR="00AB1697" w:rsidRPr="00AB1697" w:rsidRDefault="00AB1697" w:rsidP="0056611F">
            <w:pPr>
              <w:jc w:val="both"/>
              <w:rPr>
                <w:rFonts w:ascii="Arial" w:hAnsi="Arial" w:cs="Arial"/>
                <w:color w:val="000000"/>
              </w:rPr>
            </w:pPr>
            <w:r w:rsidRPr="00AB1697">
              <w:rPr>
                <w:rFonts w:ascii="Arial" w:hAnsi="Arial" w:cs="Arial"/>
                <w:color w:val="000000"/>
              </w:rPr>
              <w:t>0.50</w:t>
            </w:r>
          </w:p>
        </w:tc>
        <w:tc>
          <w:tcPr>
            <w:tcW w:w="1600" w:type="dxa"/>
            <w:tcBorders>
              <w:top w:val="nil"/>
              <w:left w:val="nil"/>
              <w:bottom w:val="single" w:sz="4" w:space="0" w:color="auto"/>
              <w:right w:val="single" w:sz="4" w:space="0" w:color="auto"/>
            </w:tcBorders>
            <w:noWrap/>
            <w:vAlign w:val="bottom"/>
          </w:tcPr>
          <w:p w14:paraId="475D2BE6"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5C6A000D"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38AEF7B7"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77545052"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789A4FF3" w14:textId="77777777" w:rsidR="00AB1697" w:rsidRPr="00AB1697" w:rsidRDefault="00AB1697" w:rsidP="00AB1697">
            <w:pPr>
              <w:pStyle w:val="ListParagraph"/>
              <w:numPr>
                <w:ilvl w:val="0"/>
                <w:numId w:val="33"/>
              </w:numPr>
              <w:spacing w:line="276" w:lineRule="auto"/>
              <w:jc w:val="both"/>
              <w:rPr>
                <w:rFonts w:ascii="Arial" w:hAnsi="Arial" w:cs="Arial"/>
                <w:color w:val="000000"/>
              </w:rPr>
            </w:pPr>
            <w:r w:rsidRPr="00AB1697">
              <w:rPr>
                <w:rFonts w:ascii="Arial" w:hAnsi="Arial" w:cs="Arial"/>
                <w:color w:val="000000"/>
              </w:rPr>
              <w:t xml:space="preserve">Grading </w:t>
            </w:r>
          </w:p>
        </w:tc>
        <w:tc>
          <w:tcPr>
            <w:tcW w:w="1411" w:type="dxa"/>
            <w:tcBorders>
              <w:top w:val="nil"/>
              <w:left w:val="nil"/>
              <w:bottom w:val="single" w:sz="4" w:space="0" w:color="auto"/>
              <w:right w:val="single" w:sz="4" w:space="0" w:color="auto"/>
            </w:tcBorders>
            <w:noWrap/>
            <w:vAlign w:val="bottom"/>
          </w:tcPr>
          <w:p w14:paraId="52FA0859"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5D1F2DE6"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1030BC28"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0F866978"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2B61EF43"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6724B7A0" w14:textId="77777777" w:rsidR="00AB1697" w:rsidRPr="00AB1697" w:rsidRDefault="00AB1697" w:rsidP="00AB1697">
            <w:pPr>
              <w:pStyle w:val="ListParagraph"/>
              <w:numPr>
                <w:ilvl w:val="0"/>
                <w:numId w:val="33"/>
              </w:numPr>
              <w:spacing w:line="276" w:lineRule="auto"/>
              <w:jc w:val="both"/>
              <w:rPr>
                <w:rFonts w:ascii="Arial" w:hAnsi="Arial" w:cs="Arial"/>
                <w:color w:val="000000"/>
              </w:rPr>
            </w:pPr>
            <w:r w:rsidRPr="00AB1697">
              <w:rPr>
                <w:rFonts w:ascii="Arial" w:hAnsi="Arial" w:cs="Arial"/>
                <w:color w:val="000000"/>
              </w:rPr>
              <w:t>Weighing</w:t>
            </w:r>
          </w:p>
        </w:tc>
        <w:tc>
          <w:tcPr>
            <w:tcW w:w="1411" w:type="dxa"/>
            <w:tcBorders>
              <w:top w:val="nil"/>
              <w:left w:val="nil"/>
              <w:bottom w:val="single" w:sz="4" w:space="0" w:color="auto"/>
              <w:right w:val="single" w:sz="4" w:space="0" w:color="auto"/>
            </w:tcBorders>
            <w:noWrap/>
            <w:vAlign w:val="bottom"/>
          </w:tcPr>
          <w:p w14:paraId="06A5709C"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13DDD15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3FB4A0B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15172CBE"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288E408"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48A0CCAA" w14:textId="77777777" w:rsidR="00AB1697" w:rsidRPr="00AB1697" w:rsidRDefault="00AB1697" w:rsidP="00AB1697">
            <w:pPr>
              <w:pStyle w:val="ListParagraph"/>
              <w:numPr>
                <w:ilvl w:val="0"/>
                <w:numId w:val="33"/>
              </w:numPr>
              <w:spacing w:line="276" w:lineRule="auto"/>
              <w:jc w:val="both"/>
              <w:rPr>
                <w:rFonts w:ascii="Arial" w:hAnsi="Arial" w:cs="Arial"/>
                <w:color w:val="000000"/>
              </w:rPr>
            </w:pPr>
            <w:r w:rsidRPr="00AB1697">
              <w:rPr>
                <w:rFonts w:ascii="Arial" w:hAnsi="Arial" w:cs="Arial"/>
                <w:color w:val="000000"/>
              </w:rPr>
              <w:t>Market fees</w:t>
            </w:r>
          </w:p>
        </w:tc>
        <w:tc>
          <w:tcPr>
            <w:tcW w:w="1411" w:type="dxa"/>
            <w:tcBorders>
              <w:top w:val="nil"/>
              <w:left w:val="nil"/>
              <w:bottom w:val="single" w:sz="4" w:space="0" w:color="auto"/>
              <w:right w:val="single" w:sz="4" w:space="0" w:color="auto"/>
            </w:tcBorders>
            <w:noWrap/>
            <w:vAlign w:val="bottom"/>
          </w:tcPr>
          <w:p w14:paraId="5BD873B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19DC2B25"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2E6FE0FE"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4C9B9888"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51C3EE7"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17A60182"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 xml:space="preserve">Total (a </w:t>
            </w:r>
            <w:proofErr w:type="spellStart"/>
            <w:r w:rsidRPr="00AB1697">
              <w:rPr>
                <w:rFonts w:ascii="Arial" w:hAnsi="Arial" w:cs="Arial"/>
                <w:color w:val="000000"/>
              </w:rPr>
              <w:t>to e</w:t>
            </w:r>
            <w:proofErr w:type="spellEnd"/>
            <w:r w:rsidRPr="00AB1697">
              <w:rPr>
                <w:rFonts w:ascii="Arial" w:hAnsi="Arial" w:cs="Arial"/>
                <w:color w:val="000000"/>
              </w:rPr>
              <w:t>)</w:t>
            </w:r>
          </w:p>
        </w:tc>
        <w:tc>
          <w:tcPr>
            <w:tcW w:w="1411" w:type="dxa"/>
            <w:tcBorders>
              <w:top w:val="nil"/>
              <w:left w:val="nil"/>
              <w:bottom w:val="single" w:sz="4" w:space="0" w:color="auto"/>
              <w:right w:val="single" w:sz="4" w:space="0" w:color="auto"/>
            </w:tcBorders>
            <w:noWrap/>
            <w:vAlign w:val="bottom"/>
          </w:tcPr>
          <w:p w14:paraId="569486AE" w14:textId="77777777" w:rsidR="00AB1697" w:rsidRPr="00AB1697" w:rsidRDefault="00AB1697" w:rsidP="0056611F">
            <w:pPr>
              <w:jc w:val="both"/>
              <w:rPr>
                <w:rFonts w:ascii="Arial" w:hAnsi="Arial" w:cs="Arial"/>
                <w:color w:val="000000"/>
              </w:rPr>
            </w:pPr>
            <w:r w:rsidRPr="00AB1697">
              <w:rPr>
                <w:rFonts w:ascii="Arial" w:hAnsi="Arial" w:cs="Arial"/>
                <w:color w:val="000000"/>
              </w:rPr>
              <w:t>3.30</w:t>
            </w:r>
          </w:p>
        </w:tc>
        <w:tc>
          <w:tcPr>
            <w:tcW w:w="1600" w:type="dxa"/>
            <w:tcBorders>
              <w:top w:val="nil"/>
              <w:left w:val="nil"/>
              <w:bottom w:val="single" w:sz="4" w:space="0" w:color="auto"/>
              <w:right w:val="single" w:sz="4" w:space="0" w:color="auto"/>
            </w:tcBorders>
            <w:noWrap/>
            <w:vAlign w:val="bottom"/>
          </w:tcPr>
          <w:p w14:paraId="1AFFB2BB"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5E786A8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20CEE7B7"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08376AEF"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510DF7EA" w14:textId="77777777" w:rsidR="00AB1697" w:rsidRPr="00AB1697" w:rsidRDefault="00AB1697" w:rsidP="0056611F">
            <w:pPr>
              <w:jc w:val="both"/>
              <w:rPr>
                <w:rFonts w:ascii="Arial" w:hAnsi="Arial" w:cs="Arial"/>
                <w:color w:val="000000"/>
              </w:rPr>
            </w:pPr>
            <w:r w:rsidRPr="00AB1697">
              <w:rPr>
                <w:rFonts w:ascii="Arial" w:hAnsi="Arial" w:cs="Arial"/>
                <w:color w:val="000000"/>
              </w:rPr>
              <w:t>Village level trader margin</w:t>
            </w:r>
          </w:p>
        </w:tc>
        <w:tc>
          <w:tcPr>
            <w:tcW w:w="1411" w:type="dxa"/>
            <w:tcBorders>
              <w:top w:val="nil"/>
              <w:left w:val="nil"/>
              <w:bottom w:val="single" w:sz="4" w:space="0" w:color="auto"/>
              <w:right w:val="single" w:sz="4" w:space="0" w:color="auto"/>
            </w:tcBorders>
            <w:noWrap/>
            <w:vAlign w:val="bottom"/>
          </w:tcPr>
          <w:p w14:paraId="1FECA27A" w14:textId="77777777" w:rsidR="00AB1697" w:rsidRPr="00AB1697" w:rsidRDefault="00AB1697" w:rsidP="0056611F">
            <w:pPr>
              <w:jc w:val="both"/>
              <w:rPr>
                <w:rFonts w:ascii="Arial" w:hAnsi="Arial" w:cs="Arial"/>
                <w:color w:val="000000"/>
              </w:rPr>
            </w:pPr>
            <w:r w:rsidRPr="00AB1697">
              <w:rPr>
                <w:rFonts w:ascii="Arial" w:hAnsi="Arial" w:cs="Arial"/>
                <w:color w:val="000000"/>
              </w:rPr>
              <w:t>8.50</w:t>
            </w:r>
          </w:p>
        </w:tc>
        <w:tc>
          <w:tcPr>
            <w:tcW w:w="1600" w:type="dxa"/>
            <w:tcBorders>
              <w:top w:val="nil"/>
              <w:left w:val="nil"/>
              <w:bottom w:val="single" w:sz="4" w:space="0" w:color="auto"/>
              <w:right w:val="single" w:sz="4" w:space="0" w:color="auto"/>
            </w:tcBorders>
            <w:noWrap/>
            <w:vAlign w:val="bottom"/>
          </w:tcPr>
          <w:p w14:paraId="5421ED53"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349A5C2D"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4D943664"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C9C2841"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4DC1181C" w14:textId="77777777" w:rsidR="00AB1697" w:rsidRPr="00AB1697" w:rsidRDefault="00AB1697" w:rsidP="0056611F">
            <w:pPr>
              <w:jc w:val="both"/>
              <w:rPr>
                <w:rFonts w:ascii="Arial" w:hAnsi="Arial" w:cs="Arial"/>
                <w:color w:val="000000"/>
              </w:rPr>
            </w:pPr>
            <w:r w:rsidRPr="00AB1697">
              <w:rPr>
                <w:rFonts w:ascii="Arial" w:hAnsi="Arial" w:cs="Arial"/>
                <w:color w:val="000000"/>
              </w:rPr>
              <w:t>Local trade price</w:t>
            </w:r>
          </w:p>
        </w:tc>
        <w:tc>
          <w:tcPr>
            <w:tcW w:w="1411" w:type="dxa"/>
            <w:tcBorders>
              <w:top w:val="nil"/>
              <w:left w:val="nil"/>
              <w:bottom w:val="single" w:sz="4" w:space="0" w:color="auto"/>
              <w:right w:val="single" w:sz="4" w:space="0" w:color="auto"/>
            </w:tcBorders>
            <w:noWrap/>
            <w:vAlign w:val="bottom"/>
          </w:tcPr>
          <w:p w14:paraId="03C6C37E" w14:textId="77777777" w:rsidR="00AB1697" w:rsidRPr="00AB1697" w:rsidRDefault="00AB1697" w:rsidP="0056611F">
            <w:pPr>
              <w:jc w:val="both"/>
              <w:rPr>
                <w:rFonts w:ascii="Arial" w:hAnsi="Arial" w:cs="Arial"/>
                <w:color w:val="000000"/>
              </w:rPr>
            </w:pPr>
            <w:r w:rsidRPr="00AB1697">
              <w:rPr>
                <w:rFonts w:ascii="Arial" w:hAnsi="Arial" w:cs="Arial"/>
                <w:color w:val="000000"/>
              </w:rPr>
              <w:t>41.8</w:t>
            </w:r>
          </w:p>
        </w:tc>
        <w:tc>
          <w:tcPr>
            <w:tcW w:w="1600" w:type="dxa"/>
            <w:tcBorders>
              <w:top w:val="nil"/>
              <w:left w:val="nil"/>
              <w:bottom w:val="single" w:sz="4" w:space="0" w:color="auto"/>
              <w:right w:val="single" w:sz="4" w:space="0" w:color="auto"/>
            </w:tcBorders>
            <w:noWrap/>
            <w:vAlign w:val="bottom"/>
          </w:tcPr>
          <w:p w14:paraId="7B4659AA"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54EAC4FE"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1F189B12"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49F7664E" w14:textId="77777777" w:rsidR="00AB1697" w:rsidRPr="00AB1697" w:rsidRDefault="00AB1697" w:rsidP="0056611F">
            <w:pPr>
              <w:jc w:val="both"/>
              <w:rPr>
                <w:rFonts w:ascii="Arial" w:hAnsi="Arial" w:cs="Arial"/>
                <w:color w:val="000000"/>
              </w:rPr>
            </w:pPr>
            <w:r w:rsidRPr="00AB1697">
              <w:rPr>
                <w:rFonts w:ascii="Arial" w:hAnsi="Arial" w:cs="Arial"/>
                <w:color w:val="000000"/>
              </w:rPr>
              <w:t>4</w:t>
            </w:r>
          </w:p>
        </w:tc>
        <w:tc>
          <w:tcPr>
            <w:tcW w:w="3580" w:type="dxa"/>
            <w:tcBorders>
              <w:top w:val="single" w:sz="4" w:space="0" w:color="auto"/>
              <w:left w:val="nil"/>
              <w:bottom w:val="single" w:sz="4" w:space="0" w:color="auto"/>
              <w:right w:val="single" w:sz="4" w:space="0" w:color="auto"/>
            </w:tcBorders>
            <w:noWrap/>
            <w:vAlign w:val="bottom"/>
          </w:tcPr>
          <w:p w14:paraId="331C9F38"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Cost incurred by wholesaler</w:t>
            </w:r>
          </w:p>
        </w:tc>
        <w:tc>
          <w:tcPr>
            <w:tcW w:w="1411" w:type="dxa"/>
            <w:tcBorders>
              <w:top w:val="nil"/>
              <w:left w:val="nil"/>
              <w:bottom w:val="single" w:sz="4" w:space="0" w:color="auto"/>
              <w:right w:val="single" w:sz="4" w:space="0" w:color="auto"/>
            </w:tcBorders>
            <w:noWrap/>
            <w:vAlign w:val="bottom"/>
          </w:tcPr>
          <w:p w14:paraId="6C14FBDC" w14:textId="77777777" w:rsidR="00AB1697" w:rsidRPr="00AB1697" w:rsidRDefault="00AB1697" w:rsidP="0056611F">
            <w:pPr>
              <w:jc w:val="both"/>
              <w:rPr>
                <w:rFonts w:ascii="Arial" w:hAnsi="Arial" w:cs="Arial"/>
                <w:color w:val="000000"/>
              </w:rPr>
            </w:pPr>
          </w:p>
        </w:tc>
        <w:tc>
          <w:tcPr>
            <w:tcW w:w="1600" w:type="dxa"/>
            <w:tcBorders>
              <w:top w:val="nil"/>
              <w:left w:val="nil"/>
              <w:bottom w:val="single" w:sz="4" w:space="0" w:color="auto"/>
              <w:right w:val="single" w:sz="4" w:space="0" w:color="auto"/>
            </w:tcBorders>
            <w:noWrap/>
            <w:vAlign w:val="bottom"/>
          </w:tcPr>
          <w:p w14:paraId="7C0F22ED" w14:textId="77777777" w:rsidR="00AB1697" w:rsidRPr="00AB1697" w:rsidRDefault="00AB1697" w:rsidP="0056611F">
            <w:pPr>
              <w:jc w:val="both"/>
              <w:rPr>
                <w:rFonts w:ascii="Arial" w:hAnsi="Arial" w:cs="Arial"/>
                <w:color w:val="000000"/>
              </w:rPr>
            </w:pPr>
          </w:p>
        </w:tc>
        <w:tc>
          <w:tcPr>
            <w:tcW w:w="1450" w:type="dxa"/>
            <w:tcBorders>
              <w:top w:val="nil"/>
              <w:left w:val="nil"/>
              <w:bottom w:val="single" w:sz="4" w:space="0" w:color="auto"/>
              <w:right w:val="single" w:sz="4" w:space="0" w:color="auto"/>
            </w:tcBorders>
            <w:noWrap/>
            <w:vAlign w:val="bottom"/>
          </w:tcPr>
          <w:p w14:paraId="6BBBCF9D"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5F3434BE"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0E01BDB6"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73D79D1F" w14:textId="77777777" w:rsidR="00AB1697" w:rsidRPr="00AB1697" w:rsidRDefault="00AB1697" w:rsidP="0056611F">
            <w:pPr>
              <w:jc w:val="both"/>
              <w:rPr>
                <w:rFonts w:ascii="Arial" w:hAnsi="Arial" w:cs="Arial"/>
                <w:color w:val="000000"/>
              </w:rPr>
            </w:pPr>
            <w:r w:rsidRPr="00AB1697">
              <w:rPr>
                <w:rFonts w:ascii="Arial" w:hAnsi="Arial" w:cs="Arial"/>
                <w:color w:val="000000"/>
              </w:rPr>
              <w:t>a) transportation</w:t>
            </w:r>
          </w:p>
        </w:tc>
        <w:tc>
          <w:tcPr>
            <w:tcW w:w="1411" w:type="dxa"/>
            <w:tcBorders>
              <w:top w:val="nil"/>
              <w:left w:val="nil"/>
              <w:bottom w:val="single" w:sz="4" w:space="0" w:color="auto"/>
              <w:right w:val="single" w:sz="4" w:space="0" w:color="auto"/>
            </w:tcBorders>
            <w:noWrap/>
            <w:vAlign w:val="bottom"/>
          </w:tcPr>
          <w:p w14:paraId="31B39C55" w14:textId="77777777" w:rsidR="00AB1697" w:rsidRPr="00AB1697" w:rsidRDefault="00AB1697" w:rsidP="0056611F">
            <w:pPr>
              <w:jc w:val="both"/>
              <w:rPr>
                <w:rFonts w:ascii="Arial" w:hAnsi="Arial" w:cs="Arial"/>
                <w:color w:val="000000"/>
              </w:rPr>
            </w:pPr>
            <w:r w:rsidRPr="00AB1697">
              <w:rPr>
                <w:rFonts w:ascii="Arial" w:hAnsi="Arial" w:cs="Arial"/>
                <w:color w:val="000000"/>
              </w:rPr>
              <w:t>0.45</w:t>
            </w:r>
          </w:p>
        </w:tc>
        <w:tc>
          <w:tcPr>
            <w:tcW w:w="1600" w:type="dxa"/>
            <w:tcBorders>
              <w:top w:val="nil"/>
              <w:left w:val="nil"/>
              <w:bottom w:val="single" w:sz="4" w:space="0" w:color="auto"/>
              <w:right w:val="single" w:sz="4" w:space="0" w:color="auto"/>
            </w:tcBorders>
            <w:noWrap/>
            <w:vAlign w:val="bottom"/>
          </w:tcPr>
          <w:p w14:paraId="52813C46" w14:textId="77777777" w:rsidR="00AB1697" w:rsidRPr="00AB1697" w:rsidRDefault="00AB1697" w:rsidP="0056611F">
            <w:pPr>
              <w:jc w:val="both"/>
              <w:rPr>
                <w:rFonts w:ascii="Arial" w:hAnsi="Arial" w:cs="Arial"/>
                <w:color w:val="000000"/>
              </w:rPr>
            </w:pPr>
            <w:r w:rsidRPr="00AB1697">
              <w:rPr>
                <w:rFonts w:ascii="Arial" w:hAnsi="Arial" w:cs="Arial"/>
                <w:color w:val="000000"/>
              </w:rPr>
              <w:t>1.75</w:t>
            </w:r>
          </w:p>
        </w:tc>
        <w:tc>
          <w:tcPr>
            <w:tcW w:w="1450" w:type="dxa"/>
            <w:tcBorders>
              <w:top w:val="nil"/>
              <w:left w:val="nil"/>
              <w:bottom w:val="single" w:sz="4" w:space="0" w:color="auto"/>
              <w:right w:val="single" w:sz="4" w:space="0" w:color="auto"/>
            </w:tcBorders>
            <w:noWrap/>
            <w:vAlign w:val="bottom"/>
          </w:tcPr>
          <w:p w14:paraId="42F229A3"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2FB017BC"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70D857C1"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36AB752F" w14:textId="77777777" w:rsidR="00AB1697" w:rsidRPr="00AB1697" w:rsidRDefault="00AB1697" w:rsidP="0056611F">
            <w:pPr>
              <w:ind w:left="720"/>
              <w:jc w:val="both"/>
              <w:rPr>
                <w:rFonts w:ascii="Arial" w:hAnsi="Arial" w:cs="Arial"/>
                <w:color w:val="000000"/>
              </w:rPr>
            </w:pPr>
            <w:r w:rsidRPr="00AB1697">
              <w:rPr>
                <w:rFonts w:ascii="Arial" w:hAnsi="Arial" w:cs="Arial"/>
                <w:color w:val="000000"/>
              </w:rPr>
              <w:t>b) loading and unloading</w:t>
            </w:r>
          </w:p>
        </w:tc>
        <w:tc>
          <w:tcPr>
            <w:tcW w:w="1411" w:type="dxa"/>
            <w:tcBorders>
              <w:top w:val="nil"/>
              <w:left w:val="nil"/>
              <w:bottom w:val="single" w:sz="4" w:space="0" w:color="auto"/>
              <w:right w:val="single" w:sz="4" w:space="0" w:color="auto"/>
            </w:tcBorders>
            <w:noWrap/>
            <w:vAlign w:val="bottom"/>
          </w:tcPr>
          <w:p w14:paraId="6ABB5F78" w14:textId="77777777" w:rsidR="00AB1697" w:rsidRPr="00AB1697" w:rsidRDefault="00AB1697" w:rsidP="0056611F">
            <w:pPr>
              <w:jc w:val="both"/>
              <w:rPr>
                <w:rFonts w:ascii="Arial" w:hAnsi="Arial" w:cs="Arial"/>
                <w:color w:val="000000"/>
              </w:rPr>
            </w:pPr>
            <w:r w:rsidRPr="00AB1697">
              <w:rPr>
                <w:rFonts w:ascii="Arial" w:hAnsi="Arial" w:cs="Arial"/>
                <w:color w:val="000000"/>
              </w:rPr>
              <w:t>0.25</w:t>
            </w:r>
          </w:p>
        </w:tc>
        <w:tc>
          <w:tcPr>
            <w:tcW w:w="1600" w:type="dxa"/>
            <w:tcBorders>
              <w:top w:val="nil"/>
              <w:left w:val="nil"/>
              <w:bottom w:val="single" w:sz="4" w:space="0" w:color="auto"/>
              <w:right w:val="single" w:sz="4" w:space="0" w:color="auto"/>
            </w:tcBorders>
            <w:noWrap/>
            <w:vAlign w:val="bottom"/>
          </w:tcPr>
          <w:p w14:paraId="314A5ECE" w14:textId="77777777" w:rsidR="00AB1697" w:rsidRPr="00AB1697" w:rsidRDefault="00AB1697" w:rsidP="0056611F">
            <w:pPr>
              <w:jc w:val="both"/>
              <w:rPr>
                <w:rFonts w:ascii="Arial" w:hAnsi="Arial" w:cs="Arial"/>
                <w:color w:val="000000"/>
              </w:rPr>
            </w:pPr>
            <w:r w:rsidRPr="00AB1697">
              <w:rPr>
                <w:rFonts w:ascii="Arial" w:hAnsi="Arial" w:cs="Arial"/>
                <w:color w:val="000000"/>
              </w:rPr>
              <w:t>1.25</w:t>
            </w:r>
          </w:p>
        </w:tc>
        <w:tc>
          <w:tcPr>
            <w:tcW w:w="1450" w:type="dxa"/>
            <w:tcBorders>
              <w:top w:val="nil"/>
              <w:left w:val="nil"/>
              <w:bottom w:val="single" w:sz="4" w:space="0" w:color="auto"/>
              <w:right w:val="single" w:sz="4" w:space="0" w:color="auto"/>
            </w:tcBorders>
            <w:noWrap/>
            <w:vAlign w:val="bottom"/>
          </w:tcPr>
          <w:p w14:paraId="0D23C102"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6EDF16CA"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118B4F02"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2862ACAF" w14:textId="77777777" w:rsidR="00AB1697" w:rsidRPr="00AB1697" w:rsidRDefault="00AB1697" w:rsidP="0056611F">
            <w:pPr>
              <w:jc w:val="both"/>
              <w:rPr>
                <w:rFonts w:ascii="Arial" w:hAnsi="Arial" w:cs="Arial"/>
                <w:color w:val="000000"/>
              </w:rPr>
            </w:pPr>
            <w:r w:rsidRPr="00AB1697">
              <w:rPr>
                <w:rFonts w:ascii="Arial" w:hAnsi="Arial" w:cs="Arial"/>
                <w:color w:val="000000"/>
              </w:rPr>
              <w:t>c) grading</w:t>
            </w:r>
          </w:p>
        </w:tc>
        <w:tc>
          <w:tcPr>
            <w:tcW w:w="1411" w:type="dxa"/>
            <w:tcBorders>
              <w:top w:val="nil"/>
              <w:left w:val="nil"/>
              <w:bottom w:val="single" w:sz="4" w:space="0" w:color="auto"/>
              <w:right w:val="single" w:sz="4" w:space="0" w:color="auto"/>
            </w:tcBorders>
            <w:noWrap/>
            <w:vAlign w:val="bottom"/>
          </w:tcPr>
          <w:p w14:paraId="6C878ED0"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277EA837"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41081A20"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7DB2691F"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7F7A2310"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0BA01B5F" w14:textId="77777777" w:rsidR="00AB1697" w:rsidRPr="00AB1697" w:rsidRDefault="00AB1697" w:rsidP="0056611F">
            <w:pPr>
              <w:ind w:left="360"/>
              <w:jc w:val="both"/>
              <w:rPr>
                <w:rFonts w:ascii="Arial" w:hAnsi="Arial" w:cs="Arial"/>
                <w:color w:val="000000"/>
              </w:rPr>
            </w:pPr>
            <w:r w:rsidRPr="00AB1697">
              <w:rPr>
                <w:rFonts w:ascii="Arial" w:hAnsi="Arial" w:cs="Arial"/>
                <w:color w:val="000000"/>
              </w:rPr>
              <w:t>d)Commission</w:t>
            </w:r>
          </w:p>
        </w:tc>
        <w:tc>
          <w:tcPr>
            <w:tcW w:w="1411" w:type="dxa"/>
            <w:tcBorders>
              <w:top w:val="nil"/>
              <w:left w:val="nil"/>
              <w:bottom w:val="single" w:sz="4" w:space="0" w:color="auto"/>
              <w:right w:val="single" w:sz="4" w:space="0" w:color="auto"/>
            </w:tcBorders>
            <w:noWrap/>
            <w:vAlign w:val="bottom"/>
          </w:tcPr>
          <w:p w14:paraId="1846B70C"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6BE90F4A"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66FC721B"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010292B7"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4077B902"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4C01472F"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Total (a to d)</w:t>
            </w:r>
          </w:p>
        </w:tc>
        <w:tc>
          <w:tcPr>
            <w:tcW w:w="1411" w:type="dxa"/>
            <w:tcBorders>
              <w:top w:val="nil"/>
              <w:left w:val="nil"/>
              <w:bottom w:val="single" w:sz="4" w:space="0" w:color="auto"/>
              <w:right w:val="single" w:sz="4" w:space="0" w:color="auto"/>
            </w:tcBorders>
            <w:noWrap/>
            <w:vAlign w:val="bottom"/>
          </w:tcPr>
          <w:p w14:paraId="6814BE86" w14:textId="77777777" w:rsidR="00AB1697" w:rsidRPr="00AB1697" w:rsidRDefault="00AB1697" w:rsidP="0056611F">
            <w:pPr>
              <w:jc w:val="both"/>
              <w:rPr>
                <w:rFonts w:ascii="Arial" w:hAnsi="Arial" w:cs="Arial"/>
                <w:color w:val="000000"/>
              </w:rPr>
            </w:pPr>
            <w:r w:rsidRPr="00AB1697">
              <w:rPr>
                <w:rFonts w:ascii="Arial" w:hAnsi="Arial" w:cs="Arial"/>
                <w:color w:val="000000"/>
              </w:rPr>
              <w:t>0.7</w:t>
            </w:r>
          </w:p>
        </w:tc>
        <w:tc>
          <w:tcPr>
            <w:tcW w:w="1600" w:type="dxa"/>
            <w:tcBorders>
              <w:top w:val="nil"/>
              <w:left w:val="nil"/>
              <w:bottom w:val="single" w:sz="4" w:space="0" w:color="auto"/>
              <w:right w:val="single" w:sz="4" w:space="0" w:color="auto"/>
            </w:tcBorders>
            <w:noWrap/>
            <w:vAlign w:val="bottom"/>
          </w:tcPr>
          <w:p w14:paraId="7EDDFC75" w14:textId="77777777" w:rsidR="00AB1697" w:rsidRPr="00AB1697" w:rsidRDefault="00AB1697" w:rsidP="0056611F">
            <w:pPr>
              <w:jc w:val="both"/>
              <w:rPr>
                <w:rFonts w:ascii="Arial" w:hAnsi="Arial" w:cs="Arial"/>
                <w:color w:val="000000"/>
              </w:rPr>
            </w:pPr>
            <w:r w:rsidRPr="00AB1697">
              <w:rPr>
                <w:rFonts w:ascii="Arial" w:hAnsi="Arial" w:cs="Arial"/>
                <w:color w:val="000000"/>
              </w:rPr>
              <w:t>3.00</w:t>
            </w:r>
          </w:p>
        </w:tc>
        <w:tc>
          <w:tcPr>
            <w:tcW w:w="1450" w:type="dxa"/>
            <w:tcBorders>
              <w:top w:val="nil"/>
              <w:left w:val="nil"/>
              <w:bottom w:val="single" w:sz="4" w:space="0" w:color="auto"/>
              <w:right w:val="single" w:sz="4" w:space="0" w:color="auto"/>
            </w:tcBorders>
            <w:noWrap/>
            <w:vAlign w:val="bottom"/>
          </w:tcPr>
          <w:p w14:paraId="252B1648"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2A41D9AA"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5AC31FB1"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0AA39F66"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Wholesaler’s margin</w:t>
            </w:r>
          </w:p>
        </w:tc>
        <w:tc>
          <w:tcPr>
            <w:tcW w:w="1411" w:type="dxa"/>
            <w:tcBorders>
              <w:top w:val="nil"/>
              <w:left w:val="nil"/>
              <w:bottom w:val="single" w:sz="4" w:space="0" w:color="auto"/>
              <w:right w:val="single" w:sz="4" w:space="0" w:color="auto"/>
            </w:tcBorders>
            <w:noWrap/>
            <w:vAlign w:val="bottom"/>
          </w:tcPr>
          <w:p w14:paraId="4226BFAE" w14:textId="77777777" w:rsidR="00AB1697" w:rsidRPr="00AB1697" w:rsidRDefault="00AB1697" w:rsidP="0056611F">
            <w:pPr>
              <w:jc w:val="both"/>
              <w:rPr>
                <w:rFonts w:ascii="Arial" w:hAnsi="Arial" w:cs="Arial"/>
                <w:color w:val="000000"/>
              </w:rPr>
            </w:pPr>
            <w:r w:rsidRPr="00AB1697">
              <w:rPr>
                <w:rFonts w:ascii="Arial" w:hAnsi="Arial" w:cs="Arial"/>
                <w:color w:val="000000"/>
              </w:rPr>
              <w:t>4.0</w:t>
            </w:r>
          </w:p>
        </w:tc>
        <w:tc>
          <w:tcPr>
            <w:tcW w:w="1600" w:type="dxa"/>
            <w:tcBorders>
              <w:top w:val="nil"/>
              <w:left w:val="nil"/>
              <w:bottom w:val="single" w:sz="4" w:space="0" w:color="auto"/>
              <w:right w:val="single" w:sz="4" w:space="0" w:color="auto"/>
            </w:tcBorders>
            <w:noWrap/>
            <w:vAlign w:val="bottom"/>
          </w:tcPr>
          <w:p w14:paraId="639455D1" w14:textId="77777777" w:rsidR="00AB1697" w:rsidRPr="00AB1697" w:rsidRDefault="00AB1697" w:rsidP="0056611F">
            <w:pPr>
              <w:jc w:val="both"/>
              <w:rPr>
                <w:rFonts w:ascii="Arial" w:hAnsi="Arial" w:cs="Arial"/>
                <w:color w:val="000000"/>
              </w:rPr>
            </w:pPr>
            <w:r w:rsidRPr="00AB1697">
              <w:rPr>
                <w:rFonts w:ascii="Arial" w:hAnsi="Arial" w:cs="Arial"/>
                <w:color w:val="000000"/>
              </w:rPr>
              <w:t>4.50</w:t>
            </w:r>
          </w:p>
        </w:tc>
        <w:tc>
          <w:tcPr>
            <w:tcW w:w="1450" w:type="dxa"/>
            <w:tcBorders>
              <w:top w:val="nil"/>
              <w:left w:val="nil"/>
              <w:bottom w:val="single" w:sz="4" w:space="0" w:color="auto"/>
              <w:right w:val="single" w:sz="4" w:space="0" w:color="auto"/>
            </w:tcBorders>
            <w:noWrap/>
            <w:vAlign w:val="bottom"/>
          </w:tcPr>
          <w:p w14:paraId="4CAD2A70"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6D57F2C6"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B481378"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571FABB9" w14:textId="77777777" w:rsidR="00AB1697" w:rsidRPr="00AB1697" w:rsidRDefault="00AB1697" w:rsidP="0056611F">
            <w:pPr>
              <w:pStyle w:val="ListParagraph"/>
              <w:jc w:val="both"/>
              <w:rPr>
                <w:rFonts w:ascii="Arial" w:hAnsi="Arial" w:cs="Arial"/>
                <w:color w:val="000000"/>
              </w:rPr>
            </w:pPr>
            <w:r w:rsidRPr="00AB1697">
              <w:rPr>
                <w:rFonts w:ascii="Arial" w:hAnsi="Arial" w:cs="Arial"/>
                <w:color w:val="000000"/>
              </w:rPr>
              <w:t>Wholesaler price</w:t>
            </w:r>
          </w:p>
        </w:tc>
        <w:tc>
          <w:tcPr>
            <w:tcW w:w="1411" w:type="dxa"/>
            <w:tcBorders>
              <w:top w:val="nil"/>
              <w:left w:val="nil"/>
              <w:bottom w:val="single" w:sz="4" w:space="0" w:color="auto"/>
              <w:right w:val="single" w:sz="4" w:space="0" w:color="auto"/>
            </w:tcBorders>
            <w:noWrap/>
            <w:vAlign w:val="bottom"/>
          </w:tcPr>
          <w:p w14:paraId="750BBCD5" w14:textId="77777777" w:rsidR="00AB1697" w:rsidRPr="00AB1697" w:rsidRDefault="00AB1697" w:rsidP="0056611F">
            <w:pPr>
              <w:jc w:val="both"/>
              <w:rPr>
                <w:rFonts w:ascii="Arial" w:hAnsi="Arial" w:cs="Arial"/>
                <w:color w:val="000000"/>
              </w:rPr>
            </w:pPr>
            <w:r w:rsidRPr="00AB1697">
              <w:rPr>
                <w:rFonts w:ascii="Arial" w:hAnsi="Arial" w:cs="Arial"/>
                <w:color w:val="000000"/>
              </w:rPr>
              <w:t>46.5</w:t>
            </w:r>
          </w:p>
        </w:tc>
        <w:tc>
          <w:tcPr>
            <w:tcW w:w="1600" w:type="dxa"/>
            <w:tcBorders>
              <w:top w:val="nil"/>
              <w:left w:val="nil"/>
              <w:bottom w:val="single" w:sz="4" w:space="0" w:color="auto"/>
              <w:right w:val="single" w:sz="4" w:space="0" w:color="auto"/>
            </w:tcBorders>
            <w:noWrap/>
            <w:vAlign w:val="bottom"/>
          </w:tcPr>
          <w:p w14:paraId="5E583568" w14:textId="77777777" w:rsidR="00AB1697" w:rsidRPr="00AB1697" w:rsidRDefault="00AB1697" w:rsidP="0056611F">
            <w:pPr>
              <w:jc w:val="both"/>
              <w:rPr>
                <w:rFonts w:ascii="Arial" w:hAnsi="Arial" w:cs="Arial"/>
                <w:color w:val="000000"/>
              </w:rPr>
            </w:pPr>
            <w:r w:rsidRPr="00AB1697">
              <w:rPr>
                <w:rFonts w:ascii="Arial" w:hAnsi="Arial" w:cs="Arial"/>
                <w:color w:val="000000"/>
              </w:rPr>
              <w:t>44.50</w:t>
            </w:r>
          </w:p>
        </w:tc>
        <w:tc>
          <w:tcPr>
            <w:tcW w:w="1450" w:type="dxa"/>
            <w:tcBorders>
              <w:top w:val="nil"/>
              <w:left w:val="nil"/>
              <w:bottom w:val="single" w:sz="4" w:space="0" w:color="auto"/>
              <w:right w:val="single" w:sz="4" w:space="0" w:color="auto"/>
            </w:tcBorders>
            <w:noWrap/>
            <w:vAlign w:val="bottom"/>
          </w:tcPr>
          <w:p w14:paraId="7905C4B3"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7B3F2005"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6209778F" w14:textId="77777777" w:rsidR="00AB1697" w:rsidRPr="00AB1697" w:rsidRDefault="00AB1697" w:rsidP="0056611F">
            <w:pPr>
              <w:jc w:val="both"/>
              <w:rPr>
                <w:rFonts w:ascii="Arial" w:hAnsi="Arial" w:cs="Arial"/>
                <w:color w:val="000000"/>
              </w:rPr>
            </w:pPr>
            <w:r w:rsidRPr="00AB1697">
              <w:rPr>
                <w:rFonts w:ascii="Arial" w:hAnsi="Arial" w:cs="Arial"/>
                <w:color w:val="000000"/>
              </w:rPr>
              <w:t>5</w:t>
            </w:r>
          </w:p>
        </w:tc>
        <w:tc>
          <w:tcPr>
            <w:tcW w:w="3580" w:type="dxa"/>
            <w:tcBorders>
              <w:top w:val="single" w:sz="4" w:space="0" w:color="auto"/>
              <w:left w:val="nil"/>
              <w:bottom w:val="single" w:sz="4" w:space="0" w:color="auto"/>
              <w:right w:val="single" w:sz="4" w:space="0" w:color="auto"/>
            </w:tcBorders>
            <w:noWrap/>
            <w:vAlign w:val="bottom"/>
          </w:tcPr>
          <w:p w14:paraId="203C9CDE" w14:textId="77777777" w:rsidR="00AB1697" w:rsidRPr="00AB1697" w:rsidRDefault="00AB1697" w:rsidP="0056611F">
            <w:pPr>
              <w:pStyle w:val="ListParagraph"/>
              <w:jc w:val="both"/>
              <w:rPr>
                <w:rFonts w:ascii="Arial" w:hAnsi="Arial" w:cs="Arial"/>
                <w:b/>
                <w:bCs/>
                <w:color w:val="000000"/>
              </w:rPr>
            </w:pPr>
            <w:r w:rsidRPr="00AB1697">
              <w:rPr>
                <w:rFonts w:ascii="Arial" w:hAnsi="Arial" w:cs="Arial"/>
                <w:b/>
                <w:bCs/>
                <w:color w:val="000000"/>
              </w:rPr>
              <w:t>Cost incurred by retailer</w:t>
            </w:r>
          </w:p>
        </w:tc>
        <w:tc>
          <w:tcPr>
            <w:tcW w:w="1411" w:type="dxa"/>
            <w:tcBorders>
              <w:top w:val="nil"/>
              <w:left w:val="nil"/>
              <w:bottom w:val="single" w:sz="4" w:space="0" w:color="auto"/>
              <w:right w:val="single" w:sz="4" w:space="0" w:color="auto"/>
            </w:tcBorders>
            <w:noWrap/>
            <w:vAlign w:val="bottom"/>
          </w:tcPr>
          <w:p w14:paraId="505AA40C" w14:textId="77777777" w:rsidR="00AB1697" w:rsidRPr="00AB1697" w:rsidRDefault="00AB1697" w:rsidP="0056611F">
            <w:pPr>
              <w:jc w:val="both"/>
              <w:rPr>
                <w:rFonts w:ascii="Arial" w:hAnsi="Arial" w:cs="Arial"/>
                <w:color w:val="000000"/>
              </w:rPr>
            </w:pPr>
          </w:p>
        </w:tc>
        <w:tc>
          <w:tcPr>
            <w:tcW w:w="1600" w:type="dxa"/>
            <w:tcBorders>
              <w:top w:val="nil"/>
              <w:left w:val="nil"/>
              <w:bottom w:val="single" w:sz="4" w:space="0" w:color="auto"/>
              <w:right w:val="single" w:sz="4" w:space="0" w:color="auto"/>
            </w:tcBorders>
            <w:noWrap/>
            <w:vAlign w:val="bottom"/>
          </w:tcPr>
          <w:p w14:paraId="4054516D" w14:textId="77777777" w:rsidR="00AB1697" w:rsidRPr="00AB1697" w:rsidRDefault="00AB1697" w:rsidP="0056611F">
            <w:pPr>
              <w:jc w:val="both"/>
              <w:rPr>
                <w:rFonts w:ascii="Arial" w:hAnsi="Arial" w:cs="Arial"/>
                <w:color w:val="000000"/>
              </w:rPr>
            </w:pPr>
          </w:p>
        </w:tc>
        <w:tc>
          <w:tcPr>
            <w:tcW w:w="1450" w:type="dxa"/>
            <w:tcBorders>
              <w:top w:val="nil"/>
              <w:left w:val="nil"/>
              <w:bottom w:val="single" w:sz="4" w:space="0" w:color="auto"/>
              <w:right w:val="single" w:sz="4" w:space="0" w:color="auto"/>
            </w:tcBorders>
            <w:noWrap/>
            <w:vAlign w:val="bottom"/>
          </w:tcPr>
          <w:p w14:paraId="7DC4A01B"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2C5EC61A"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FBC5587"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372A03AB" w14:textId="77777777" w:rsidR="00AB1697" w:rsidRPr="00AB1697" w:rsidRDefault="00AB1697" w:rsidP="00AB1697">
            <w:pPr>
              <w:pStyle w:val="ListParagraph"/>
              <w:numPr>
                <w:ilvl w:val="0"/>
                <w:numId w:val="34"/>
              </w:numPr>
              <w:spacing w:line="276" w:lineRule="auto"/>
              <w:jc w:val="both"/>
              <w:rPr>
                <w:rFonts w:ascii="Arial" w:hAnsi="Arial" w:cs="Arial"/>
                <w:color w:val="000000"/>
              </w:rPr>
            </w:pPr>
            <w:r w:rsidRPr="00AB1697">
              <w:rPr>
                <w:rFonts w:ascii="Arial" w:hAnsi="Arial" w:cs="Arial"/>
                <w:color w:val="000000"/>
              </w:rPr>
              <w:t>transportation</w:t>
            </w:r>
          </w:p>
        </w:tc>
        <w:tc>
          <w:tcPr>
            <w:tcW w:w="1411" w:type="dxa"/>
            <w:tcBorders>
              <w:top w:val="nil"/>
              <w:left w:val="nil"/>
              <w:bottom w:val="single" w:sz="4" w:space="0" w:color="auto"/>
              <w:right w:val="single" w:sz="4" w:space="0" w:color="auto"/>
            </w:tcBorders>
            <w:noWrap/>
            <w:vAlign w:val="bottom"/>
          </w:tcPr>
          <w:p w14:paraId="61DB98FA" w14:textId="77777777" w:rsidR="00AB1697" w:rsidRPr="00AB1697" w:rsidRDefault="00AB1697" w:rsidP="0056611F">
            <w:pPr>
              <w:jc w:val="both"/>
              <w:rPr>
                <w:rFonts w:ascii="Arial" w:hAnsi="Arial" w:cs="Arial"/>
                <w:color w:val="000000"/>
              </w:rPr>
            </w:pPr>
            <w:r w:rsidRPr="00AB1697">
              <w:rPr>
                <w:rFonts w:ascii="Arial" w:hAnsi="Arial" w:cs="Arial"/>
                <w:color w:val="000000"/>
              </w:rPr>
              <w:t>0.25</w:t>
            </w:r>
          </w:p>
        </w:tc>
        <w:tc>
          <w:tcPr>
            <w:tcW w:w="1600" w:type="dxa"/>
            <w:tcBorders>
              <w:top w:val="nil"/>
              <w:left w:val="nil"/>
              <w:bottom w:val="single" w:sz="4" w:space="0" w:color="auto"/>
              <w:right w:val="single" w:sz="4" w:space="0" w:color="auto"/>
            </w:tcBorders>
            <w:noWrap/>
            <w:vAlign w:val="bottom"/>
          </w:tcPr>
          <w:p w14:paraId="40889134" w14:textId="77777777" w:rsidR="00AB1697" w:rsidRPr="00AB1697" w:rsidRDefault="00AB1697" w:rsidP="0056611F">
            <w:pPr>
              <w:jc w:val="both"/>
              <w:rPr>
                <w:rFonts w:ascii="Arial" w:hAnsi="Arial" w:cs="Arial"/>
                <w:color w:val="000000"/>
              </w:rPr>
            </w:pPr>
            <w:r w:rsidRPr="00AB1697">
              <w:rPr>
                <w:rFonts w:ascii="Arial" w:hAnsi="Arial" w:cs="Arial"/>
                <w:color w:val="000000"/>
              </w:rPr>
              <w:t>0.25</w:t>
            </w:r>
          </w:p>
        </w:tc>
        <w:tc>
          <w:tcPr>
            <w:tcW w:w="1450" w:type="dxa"/>
            <w:tcBorders>
              <w:top w:val="nil"/>
              <w:left w:val="nil"/>
              <w:bottom w:val="single" w:sz="4" w:space="0" w:color="auto"/>
              <w:right w:val="single" w:sz="4" w:space="0" w:color="auto"/>
            </w:tcBorders>
            <w:noWrap/>
            <w:vAlign w:val="bottom"/>
          </w:tcPr>
          <w:p w14:paraId="52373E53"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0A56A3AA"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4AE2A604"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7407C7BC" w14:textId="77777777" w:rsidR="00AB1697" w:rsidRPr="00AB1697" w:rsidRDefault="00AB1697" w:rsidP="00AB1697">
            <w:pPr>
              <w:pStyle w:val="ListParagraph"/>
              <w:numPr>
                <w:ilvl w:val="0"/>
                <w:numId w:val="34"/>
              </w:numPr>
              <w:spacing w:line="276" w:lineRule="auto"/>
              <w:jc w:val="both"/>
              <w:rPr>
                <w:rFonts w:ascii="Arial" w:hAnsi="Arial" w:cs="Arial"/>
                <w:color w:val="000000"/>
              </w:rPr>
            </w:pPr>
            <w:r w:rsidRPr="00AB1697">
              <w:rPr>
                <w:rFonts w:ascii="Arial" w:hAnsi="Arial" w:cs="Arial"/>
                <w:color w:val="000000"/>
              </w:rPr>
              <w:t>loading and unloading</w:t>
            </w:r>
          </w:p>
        </w:tc>
        <w:tc>
          <w:tcPr>
            <w:tcW w:w="1411" w:type="dxa"/>
            <w:tcBorders>
              <w:top w:val="nil"/>
              <w:left w:val="nil"/>
              <w:bottom w:val="single" w:sz="4" w:space="0" w:color="auto"/>
              <w:right w:val="single" w:sz="4" w:space="0" w:color="auto"/>
            </w:tcBorders>
            <w:noWrap/>
            <w:vAlign w:val="bottom"/>
          </w:tcPr>
          <w:p w14:paraId="698660CB" w14:textId="77777777" w:rsidR="00AB1697" w:rsidRPr="00AB1697" w:rsidRDefault="00AB1697" w:rsidP="0056611F">
            <w:pPr>
              <w:jc w:val="both"/>
              <w:rPr>
                <w:rFonts w:ascii="Arial" w:hAnsi="Arial" w:cs="Arial"/>
                <w:color w:val="000000"/>
              </w:rPr>
            </w:pPr>
            <w:r w:rsidRPr="00AB1697">
              <w:rPr>
                <w:rFonts w:ascii="Arial" w:hAnsi="Arial" w:cs="Arial"/>
                <w:color w:val="000000"/>
              </w:rPr>
              <w:t>0.25</w:t>
            </w:r>
          </w:p>
        </w:tc>
        <w:tc>
          <w:tcPr>
            <w:tcW w:w="1600" w:type="dxa"/>
            <w:tcBorders>
              <w:top w:val="nil"/>
              <w:left w:val="nil"/>
              <w:bottom w:val="single" w:sz="4" w:space="0" w:color="auto"/>
              <w:right w:val="single" w:sz="4" w:space="0" w:color="auto"/>
            </w:tcBorders>
            <w:noWrap/>
            <w:vAlign w:val="bottom"/>
          </w:tcPr>
          <w:p w14:paraId="633C425B" w14:textId="77777777" w:rsidR="00AB1697" w:rsidRPr="00AB1697" w:rsidRDefault="00AB1697" w:rsidP="0056611F">
            <w:pPr>
              <w:jc w:val="both"/>
              <w:rPr>
                <w:rFonts w:ascii="Arial" w:hAnsi="Arial" w:cs="Arial"/>
                <w:color w:val="000000"/>
              </w:rPr>
            </w:pPr>
            <w:r w:rsidRPr="00AB1697">
              <w:rPr>
                <w:rFonts w:ascii="Arial" w:hAnsi="Arial" w:cs="Arial"/>
                <w:color w:val="000000"/>
              </w:rPr>
              <w:t>0.40</w:t>
            </w:r>
          </w:p>
        </w:tc>
        <w:tc>
          <w:tcPr>
            <w:tcW w:w="1450" w:type="dxa"/>
            <w:tcBorders>
              <w:top w:val="nil"/>
              <w:left w:val="nil"/>
              <w:bottom w:val="single" w:sz="4" w:space="0" w:color="auto"/>
              <w:right w:val="single" w:sz="4" w:space="0" w:color="auto"/>
            </w:tcBorders>
            <w:noWrap/>
            <w:vAlign w:val="bottom"/>
          </w:tcPr>
          <w:p w14:paraId="19CA8B81"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5D13AA20"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8D17565"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569165DA" w14:textId="77777777" w:rsidR="00AB1697" w:rsidRPr="00AB1697" w:rsidRDefault="00AB1697" w:rsidP="00AB1697">
            <w:pPr>
              <w:pStyle w:val="ListParagraph"/>
              <w:numPr>
                <w:ilvl w:val="0"/>
                <w:numId w:val="34"/>
              </w:numPr>
              <w:spacing w:line="276" w:lineRule="auto"/>
              <w:jc w:val="both"/>
              <w:rPr>
                <w:rFonts w:ascii="Arial" w:hAnsi="Arial" w:cs="Arial"/>
                <w:color w:val="000000"/>
              </w:rPr>
            </w:pPr>
            <w:r w:rsidRPr="00AB1697">
              <w:rPr>
                <w:rFonts w:ascii="Arial" w:hAnsi="Arial" w:cs="Arial"/>
                <w:color w:val="000000"/>
              </w:rPr>
              <w:t>grading</w:t>
            </w:r>
          </w:p>
        </w:tc>
        <w:tc>
          <w:tcPr>
            <w:tcW w:w="1411" w:type="dxa"/>
            <w:tcBorders>
              <w:top w:val="nil"/>
              <w:left w:val="nil"/>
              <w:bottom w:val="single" w:sz="4" w:space="0" w:color="auto"/>
              <w:right w:val="single" w:sz="4" w:space="0" w:color="auto"/>
            </w:tcBorders>
            <w:noWrap/>
            <w:vAlign w:val="bottom"/>
          </w:tcPr>
          <w:p w14:paraId="22FD44F2"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694ACF34"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75FBEF2E"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20476D0C"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5672758D"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00147998" w14:textId="77777777" w:rsidR="00AB1697" w:rsidRPr="00AB1697" w:rsidRDefault="00AB1697" w:rsidP="00AB1697">
            <w:pPr>
              <w:pStyle w:val="ListParagraph"/>
              <w:numPr>
                <w:ilvl w:val="0"/>
                <w:numId w:val="34"/>
              </w:numPr>
              <w:spacing w:line="276" w:lineRule="auto"/>
              <w:jc w:val="both"/>
              <w:rPr>
                <w:rFonts w:ascii="Arial" w:hAnsi="Arial" w:cs="Arial"/>
                <w:color w:val="000000"/>
              </w:rPr>
            </w:pPr>
            <w:r w:rsidRPr="00AB1697">
              <w:rPr>
                <w:rFonts w:ascii="Arial" w:hAnsi="Arial" w:cs="Arial"/>
                <w:color w:val="000000"/>
              </w:rPr>
              <w:t>commission</w:t>
            </w:r>
          </w:p>
        </w:tc>
        <w:tc>
          <w:tcPr>
            <w:tcW w:w="1411" w:type="dxa"/>
            <w:tcBorders>
              <w:top w:val="nil"/>
              <w:left w:val="nil"/>
              <w:bottom w:val="single" w:sz="4" w:space="0" w:color="auto"/>
              <w:right w:val="single" w:sz="4" w:space="0" w:color="auto"/>
            </w:tcBorders>
            <w:noWrap/>
            <w:vAlign w:val="bottom"/>
          </w:tcPr>
          <w:p w14:paraId="2C8967C1"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600" w:type="dxa"/>
            <w:tcBorders>
              <w:top w:val="nil"/>
              <w:left w:val="nil"/>
              <w:bottom w:val="single" w:sz="4" w:space="0" w:color="auto"/>
              <w:right w:val="single" w:sz="4" w:space="0" w:color="auto"/>
            </w:tcBorders>
            <w:noWrap/>
            <w:vAlign w:val="bottom"/>
          </w:tcPr>
          <w:p w14:paraId="2E5E1F0C"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c>
          <w:tcPr>
            <w:tcW w:w="1450" w:type="dxa"/>
            <w:tcBorders>
              <w:top w:val="nil"/>
              <w:left w:val="nil"/>
              <w:bottom w:val="single" w:sz="4" w:space="0" w:color="auto"/>
              <w:right w:val="single" w:sz="4" w:space="0" w:color="auto"/>
            </w:tcBorders>
            <w:noWrap/>
            <w:vAlign w:val="bottom"/>
          </w:tcPr>
          <w:p w14:paraId="6BD9DEDB"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482440D2"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6F2F3801"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0184659E" w14:textId="77777777" w:rsidR="00AB1697" w:rsidRPr="00AB1697" w:rsidRDefault="00AB1697" w:rsidP="0056611F">
            <w:pPr>
              <w:pStyle w:val="ListParagraph"/>
              <w:ind w:left="1080"/>
              <w:jc w:val="both"/>
              <w:rPr>
                <w:rFonts w:ascii="Arial" w:hAnsi="Arial" w:cs="Arial"/>
                <w:color w:val="000000"/>
              </w:rPr>
            </w:pPr>
            <w:r w:rsidRPr="00AB1697">
              <w:rPr>
                <w:rFonts w:ascii="Arial" w:hAnsi="Arial" w:cs="Arial"/>
                <w:color w:val="000000"/>
              </w:rPr>
              <w:t xml:space="preserve"> Total (a to d) </w:t>
            </w:r>
          </w:p>
        </w:tc>
        <w:tc>
          <w:tcPr>
            <w:tcW w:w="1411" w:type="dxa"/>
            <w:tcBorders>
              <w:top w:val="nil"/>
              <w:left w:val="nil"/>
              <w:bottom w:val="single" w:sz="4" w:space="0" w:color="auto"/>
              <w:right w:val="single" w:sz="4" w:space="0" w:color="auto"/>
            </w:tcBorders>
            <w:noWrap/>
            <w:vAlign w:val="bottom"/>
          </w:tcPr>
          <w:p w14:paraId="4F3B1D90" w14:textId="77777777" w:rsidR="00AB1697" w:rsidRPr="00AB1697" w:rsidRDefault="00AB1697" w:rsidP="0056611F">
            <w:pPr>
              <w:jc w:val="both"/>
              <w:rPr>
                <w:rFonts w:ascii="Arial" w:hAnsi="Arial" w:cs="Arial"/>
                <w:color w:val="000000"/>
              </w:rPr>
            </w:pPr>
            <w:r w:rsidRPr="00AB1697">
              <w:rPr>
                <w:rFonts w:ascii="Arial" w:hAnsi="Arial" w:cs="Arial"/>
                <w:color w:val="000000"/>
              </w:rPr>
              <w:t>0.5</w:t>
            </w:r>
          </w:p>
        </w:tc>
        <w:tc>
          <w:tcPr>
            <w:tcW w:w="1600" w:type="dxa"/>
            <w:tcBorders>
              <w:top w:val="nil"/>
              <w:left w:val="nil"/>
              <w:bottom w:val="single" w:sz="4" w:space="0" w:color="auto"/>
              <w:right w:val="single" w:sz="4" w:space="0" w:color="auto"/>
            </w:tcBorders>
            <w:noWrap/>
            <w:vAlign w:val="bottom"/>
          </w:tcPr>
          <w:p w14:paraId="29E9FBE0" w14:textId="77777777" w:rsidR="00AB1697" w:rsidRPr="00AB1697" w:rsidRDefault="00AB1697" w:rsidP="0056611F">
            <w:pPr>
              <w:jc w:val="both"/>
              <w:rPr>
                <w:rFonts w:ascii="Arial" w:hAnsi="Arial" w:cs="Arial"/>
                <w:color w:val="000000"/>
              </w:rPr>
            </w:pPr>
            <w:r w:rsidRPr="00AB1697">
              <w:rPr>
                <w:rFonts w:ascii="Arial" w:hAnsi="Arial" w:cs="Arial"/>
                <w:color w:val="000000"/>
              </w:rPr>
              <w:t>0.75</w:t>
            </w:r>
          </w:p>
        </w:tc>
        <w:tc>
          <w:tcPr>
            <w:tcW w:w="1450" w:type="dxa"/>
            <w:tcBorders>
              <w:top w:val="nil"/>
              <w:left w:val="nil"/>
              <w:bottom w:val="single" w:sz="4" w:space="0" w:color="auto"/>
              <w:right w:val="single" w:sz="4" w:space="0" w:color="auto"/>
            </w:tcBorders>
            <w:noWrap/>
            <w:vAlign w:val="bottom"/>
          </w:tcPr>
          <w:p w14:paraId="10708829"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33820273"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tcPr>
          <w:p w14:paraId="31D78D69" w14:textId="77777777" w:rsidR="00AB1697" w:rsidRPr="00AB1697" w:rsidRDefault="00AB1697" w:rsidP="0056611F">
            <w:pPr>
              <w:jc w:val="both"/>
              <w:rPr>
                <w:rFonts w:ascii="Arial" w:hAnsi="Arial" w:cs="Arial"/>
                <w:color w:val="000000"/>
              </w:rPr>
            </w:pPr>
          </w:p>
        </w:tc>
        <w:tc>
          <w:tcPr>
            <w:tcW w:w="3580" w:type="dxa"/>
            <w:tcBorders>
              <w:top w:val="single" w:sz="4" w:space="0" w:color="auto"/>
              <w:left w:val="nil"/>
              <w:bottom w:val="single" w:sz="4" w:space="0" w:color="auto"/>
              <w:right w:val="single" w:sz="4" w:space="0" w:color="auto"/>
            </w:tcBorders>
            <w:noWrap/>
            <w:vAlign w:val="bottom"/>
          </w:tcPr>
          <w:p w14:paraId="3558B5CF" w14:textId="77777777" w:rsidR="00AB1697" w:rsidRPr="00AB1697" w:rsidRDefault="00AB1697" w:rsidP="0056611F">
            <w:pPr>
              <w:pStyle w:val="ListParagraph"/>
              <w:ind w:left="1080"/>
              <w:jc w:val="both"/>
              <w:rPr>
                <w:rFonts w:ascii="Arial" w:hAnsi="Arial" w:cs="Arial"/>
                <w:color w:val="000000"/>
              </w:rPr>
            </w:pPr>
            <w:r w:rsidRPr="00AB1697">
              <w:rPr>
                <w:rFonts w:ascii="Arial" w:hAnsi="Arial" w:cs="Arial"/>
                <w:color w:val="000000"/>
              </w:rPr>
              <w:t>Retailer’s margin</w:t>
            </w:r>
          </w:p>
        </w:tc>
        <w:tc>
          <w:tcPr>
            <w:tcW w:w="1411" w:type="dxa"/>
            <w:tcBorders>
              <w:top w:val="nil"/>
              <w:left w:val="nil"/>
              <w:bottom w:val="single" w:sz="4" w:space="0" w:color="auto"/>
              <w:right w:val="single" w:sz="4" w:space="0" w:color="auto"/>
            </w:tcBorders>
            <w:noWrap/>
            <w:vAlign w:val="bottom"/>
          </w:tcPr>
          <w:p w14:paraId="274396AD" w14:textId="77777777" w:rsidR="00AB1697" w:rsidRPr="00AB1697" w:rsidRDefault="00AB1697" w:rsidP="0056611F">
            <w:pPr>
              <w:jc w:val="both"/>
              <w:rPr>
                <w:rFonts w:ascii="Arial" w:hAnsi="Arial" w:cs="Arial"/>
                <w:color w:val="000000"/>
              </w:rPr>
            </w:pPr>
            <w:r w:rsidRPr="00AB1697">
              <w:rPr>
                <w:rFonts w:ascii="Arial" w:hAnsi="Arial" w:cs="Arial"/>
                <w:color w:val="000000"/>
              </w:rPr>
              <w:t>3.0</w:t>
            </w:r>
          </w:p>
        </w:tc>
        <w:tc>
          <w:tcPr>
            <w:tcW w:w="1600" w:type="dxa"/>
            <w:tcBorders>
              <w:top w:val="nil"/>
              <w:left w:val="nil"/>
              <w:bottom w:val="single" w:sz="4" w:space="0" w:color="auto"/>
              <w:right w:val="single" w:sz="4" w:space="0" w:color="auto"/>
            </w:tcBorders>
            <w:noWrap/>
            <w:vAlign w:val="bottom"/>
          </w:tcPr>
          <w:p w14:paraId="66F82178" w14:textId="77777777" w:rsidR="00AB1697" w:rsidRPr="00AB1697" w:rsidRDefault="00AB1697" w:rsidP="0056611F">
            <w:pPr>
              <w:jc w:val="both"/>
              <w:rPr>
                <w:rFonts w:ascii="Arial" w:hAnsi="Arial" w:cs="Arial"/>
                <w:color w:val="000000"/>
              </w:rPr>
            </w:pPr>
            <w:r w:rsidRPr="00AB1697">
              <w:rPr>
                <w:rFonts w:ascii="Arial" w:hAnsi="Arial" w:cs="Arial"/>
                <w:color w:val="000000"/>
              </w:rPr>
              <w:t>3.25</w:t>
            </w:r>
          </w:p>
        </w:tc>
        <w:tc>
          <w:tcPr>
            <w:tcW w:w="1450" w:type="dxa"/>
            <w:tcBorders>
              <w:top w:val="nil"/>
              <w:left w:val="nil"/>
              <w:bottom w:val="single" w:sz="4" w:space="0" w:color="auto"/>
              <w:right w:val="single" w:sz="4" w:space="0" w:color="auto"/>
            </w:tcBorders>
            <w:noWrap/>
            <w:vAlign w:val="bottom"/>
          </w:tcPr>
          <w:p w14:paraId="5828E264" w14:textId="77777777" w:rsidR="00AB1697" w:rsidRPr="00AB1697" w:rsidRDefault="00AB1697" w:rsidP="0056611F">
            <w:pPr>
              <w:jc w:val="both"/>
              <w:rPr>
                <w:rFonts w:ascii="Arial" w:hAnsi="Arial" w:cs="Arial"/>
                <w:color w:val="000000"/>
              </w:rPr>
            </w:pPr>
            <w:r w:rsidRPr="00AB1697">
              <w:rPr>
                <w:rFonts w:ascii="Arial" w:hAnsi="Arial" w:cs="Arial"/>
                <w:color w:val="000000"/>
              </w:rPr>
              <w:t>-</w:t>
            </w:r>
          </w:p>
        </w:tc>
      </w:tr>
      <w:tr w:rsidR="00AB1697" w:rsidRPr="00AB1697" w14:paraId="20C77201"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1DA4D3BD" w14:textId="77777777" w:rsidR="00AB1697" w:rsidRPr="00AB1697" w:rsidRDefault="00AB1697" w:rsidP="0056611F">
            <w:pPr>
              <w:jc w:val="both"/>
              <w:rPr>
                <w:rFonts w:ascii="Arial" w:hAnsi="Arial" w:cs="Arial"/>
                <w:color w:val="000000"/>
              </w:rPr>
            </w:pPr>
            <w:r w:rsidRPr="00AB1697">
              <w:rPr>
                <w:rFonts w:ascii="Arial" w:hAnsi="Arial" w:cs="Arial"/>
                <w:color w:val="000000"/>
              </w:rPr>
              <w:t>6</w:t>
            </w:r>
          </w:p>
        </w:tc>
        <w:tc>
          <w:tcPr>
            <w:tcW w:w="3580" w:type="dxa"/>
            <w:tcBorders>
              <w:top w:val="single" w:sz="4" w:space="0" w:color="auto"/>
              <w:left w:val="nil"/>
              <w:bottom w:val="single" w:sz="4" w:space="0" w:color="auto"/>
              <w:right w:val="single" w:sz="4" w:space="0" w:color="auto"/>
            </w:tcBorders>
            <w:noWrap/>
            <w:vAlign w:val="bottom"/>
            <w:hideMark/>
          </w:tcPr>
          <w:p w14:paraId="575BCAF5" w14:textId="77777777" w:rsidR="00AB1697" w:rsidRPr="00AB1697" w:rsidRDefault="00AB1697" w:rsidP="0056611F">
            <w:pPr>
              <w:jc w:val="both"/>
              <w:rPr>
                <w:rFonts w:ascii="Arial" w:hAnsi="Arial" w:cs="Arial"/>
                <w:color w:val="000000"/>
              </w:rPr>
            </w:pPr>
            <w:r w:rsidRPr="00AB1697">
              <w:rPr>
                <w:rFonts w:ascii="Arial" w:hAnsi="Arial" w:cs="Arial"/>
                <w:color w:val="000000"/>
              </w:rPr>
              <w:t>Price paid by the consumer</w:t>
            </w:r>
          </w:p>
        </w:tc>
        <w:tc>
          <w:tcPr>
            <w:tcW w:w="1411" w:type="dxa"/>
            <w:tcBorders>
              <w:top w:val="nil"/>
              <w:left w:val="nil"/>
              <w:bottom w:val="single" w:sz="4" w:space="0" w:color="auto"/>
              <w:right w:val="single" w:sz="4" w:space="0" w:color="auto"/>
            </w:tcBorders>
            <w:noWrap/>
            <w:vAlign w:val="bottom"/>
            <w:hideMark/>
          </w:tcPr>
          <w:p w14:paraId="7785F5E9" w14:textId="77777777" w:rsidR="00AB1697" w:rsidRPr="00AB1697" w:rsidRDefault="00AB1697" w:rsidP="0056611F">
            <w:pPr>
              <w:jc w:val="both"/>
              <w:rPr>
                <w:rFonts w:ascii="Arial" w:hAnsi="Arial" w:cs="Arial"/>
                <w:color w:val="000000"/>
              </w:rPr>
            </w:pPr>
            <w:r w:rsidRPr="00AB1697">
              <w:rPr>
                <w:rFonts w:ascii="Arial" w:hAnsi="Arial" w:cs="Arial"/>
                <w:color w:val="000000"/>
              </w:rPr>
              <w:t>50</w:t>
            </w:r>
          </w:p>
        </w:tc>
        <w:tc>
          <w:tcPr>
            <w:tcW w:w="1600" w:type="dxa"/>
            <w:tcBorders>
              <w:top w:val="nil"/>
              <w:left w:val="nil"/>
              <w:bottom w:val="single" w:sz="4" w:space="0" w:color="auto"/>
              <w:right w:val="single" w:sz="4" w:space="0" w:color="auto"/>
            </w:tcBorders>
            <w:noWrap/>
            <w:vAlign w:val="bottom"/>
            <w:hideMark/>
          </w:tcPr>
          <w:p w14:paraId="6937F4D6" w14:textId="77777777" w:rsidR="00AB1697" w:rsidRPr="00AB1697" w:rsidRDefault="00AB1697" w:rsidP="0056611F">
            <w:pPr>
              <w:jc w:val="both"/>
              <w:rPr>
                <w:rFonts w:ascii="Arial" w:hAnsi="Arial" w:cs="Arial"/>
                <w:color w:val="000000"/>
              </w:rPr>
            </w:pPr>
            <w:r w:rsidRPr="00AB1697">
              <w:rPr>
                <w:rFonts w:ascii="Arial" w:hAnsi="Arial" w:cs="Arial"/>
                <w:color w:val="000000"/>
              </w:rPr>
              <w:t>48</w:t>
            </w:r>
          </w:p>
        </w:tc>
        <w:tc>
          <w:tcPr>
            <w:tcW w:w="1450" w:type="dxa"/>
            <w:tcBorders>
              <w:top w:val="nil"/>
              <w:left w:val="nil"/>
              <w:bottom w:val="single" w:sz="4" w:space="0" w:color="auto"/>
              <w:right w:val="single" w:sz="4" w:space="0" w:color="auto"/>
            </w:tcBorders>
            <w:noWrap/>
            <w:vAlign w:val="bottom"/>
            <w:hideMark/>
          </w:tcPr>
          <w:p w14:paraId="22B8A610" w14:textId="77777777" w:rsidR="00AB1697" w:rsidRPr="00AB1697" w:rsidRDefault="00AB1697" w:rsidP="0056611F">
            <w:pPr>
              <w:jc w:val="both"/>
              <w:rPr>
                <w:rFonts w:ascii="Arial" w:hAnsi="Arial" w:cs="Arial"/>
                <w:color w:val="000000"/>
              </w:rPr>
            </w:pPr>
            <w:r w:rsidRPr="00AB1697">
              <w:rPr>
                <w:rFonts w:ascii="Arial" w:hAnsi="Arial" w:cs="Arial"/>
                <w:color w:val="000000"/>
              </w:rPr>
              <w:t>45</w:t>
            </w:r>
          </w:p>
        </w:tc>
      </w:tr>
      <w:tr w:rsidR="00AB1697" w:rsidRPr="00AB1697" w14:paraId="4541948F"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1E6D6110" w14:textId="77777777" w:rsidR="00AB1697" w:rsidRPr="00AB1697" w:rsidRDefault="00AB1697" w:rsidP="0056611F">
            <w:pPr>
              <w:jc w:val="both"/>
              <w:rPr>
                <w:rFonts w:ascii="Arial" w:hAnsi="Arial" w:cs="Arial"/>
                <w:color w:val="000000"/>
              </w:rPr>
            </w:pPr>
            <w:r w:rsidRPr="00AB1697">
              <w:rPr>
                <w:rFonts w:ascii="Arial" w:hAnsi="Arial" w:cs="Arial"/>
                <w:color w:val="000000"/>
              </w:rPr>
              <w:t>7</w:t>
            </w:r>
          </w:p>
        </w:tc>
        <w:tc>
          <w:tcPr>
            <w:tcW w:w="3580" w:type="dxa"/>
            <w:tcBorders>
              <w:top w:val="single" w:sz="4" w:space="0" w:color="auto"/>
              <w:left w:val="nil"/>
              <w:bottom w:val="single" w:sz="4" w:space="0" w:color="auto"/>
              <w:right w:val="single" w:sz="4" w:space="0" w:color="auto"/>
            </w:tcBorders>
            <w:noWrap/>
            <w:vAlign w:val="bottom"/>
            <w:hideMark/>
          </w:tcPr>
          <w:p w14:paraId="65316E57"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Price spread</w:t>
            </w:r>
          </w:p>
        </w:tc>
        <w:tc>
          <w:tcPr>
            <w:tcW w:w="1411" w:type="dxa"/>
            <w:tcBorders>
              <w:top w:val="nil"/>
              <w:left w:val="nil"/>
              <w:bottom w:val="single" w:sz="4" w:space="0" w:color="auto"/>
              <w:right w:val="single" w:sz="4" w:space="0" w:color="auto"/>
            </w:tcBorders>
            <w:noWrap/>
            <w:vAlign w:val="bottom"/>
            <w:hideMark/>
          </w:tcPr>
          <w:p w14:paraId="3462DD0B" w14:textId="77777777" w:rsidR="00AB1697" w:rsidRPr="00AB1697" w:rsidRDefault="00AB1697" w:rsidP="0056611F">
            <w:pPr>
              <w:jc w:val="both"/>
              <w:rPr>
                <w:rFonts w:ascii="Arial" w:hAnsi="Arial" w:cs="Arial"/>
                <w:color w:val="000000"/>
              </w:rPr>
            </w:pPr>
            <w:r w:rsidRPr="00AB1697">
              <w:rPr>
                <w:rFonts w:ascii="Arial" w:hAnsi="Arial" w:cs="Arial"/>
                <w:color w:val="000000"/>
              </w:rPr>
              <w:t>20</w:t>
            </w:r>
          </w:p>
        </w:tc>
        <w:tc>
          <w:tcPr>
            <w:tcW w:w="1600" w:type="dxa"/>
            <w:tcBorders>
              <w:top w:val="nil"/>
              <w:left w:val="nil"/>
              <w:bottom w:val="single" w:sz="4" w:space="0" w:color="auto"/>
              <w:right w:val="single" w:sz="4" w:space="0" w:color="auto"/>
            </w:tcBorders>
            <w:noWrap/>
            <w:vAlign w:val="bottom"/>
            <w:hideMark/>
          </w:tcPr>
          <w:p w14:paraId="4FC6B5E1" w14:textId="77777777" w:rsidR="00AB1697" w:rsidRPr="00AB1697" w:rsidRDefault="00AB1697" w:rsidP="0056611F">
            <w:pPr>
              <w:jc w:val="both"/>
              <w:rPr>
                <w:rFonts w:ascii="Arial" w:hAnsi="Arial" w:cs="Arial"/>
                <w:color w:val="000000"/>
              </w:rPr>
            </w:pPr>
            <w:r w:rsidRPr="00AB1697">
              <w:rPr>
                <w:rFonts w:ascii="Arial" w:hAnsi="Arial" w:cs="Arial"/>
                <w:color w:val="000000"/>
              </w:rPr>
              <w:t>12</w:t>
            </w:r>
          </w:p>
        </w:tc>
        <w:tc>
          <w:tcPr>
            <w:tcW w:w="1450" w:type="dxa"/>
            <w:tcBorders>
              <w:top w:val="nil"/>
              <w:left w:val="nil"/>
              <w:bottom w:val="single" w:sz="4" w:space="0" w:color="auto"/>
              <w:right w:val="single" w:sz="4" w:space="0" w:color="auto"/>
            </w:tcBorders>
            <w:noWrap/>
            <w:vAlign w:val="bottom"/>
            <w:hideMark/>
          </w:tcPr>
          <w:p w14:paraId="153C4C23" w14:textId="77777777" w:rsidR="00AB1697" w:rsidRPr="00AB1697" w:rsidRDefault="00AB1697" w:rsidP="0056611F">
            <w:pPr>
              <w:jc w:val="both"/>
              <w:rPr>
                <w:rFonts w:ascii="Arial" w:hAnsi="Arial" w:cs="Arial"/>
                <w:color w:val="000000"/>
              </w:rPr>
            </w:pPr>
            <w:r w:rsidRPr="00AB1697">
              <w:rPr>
                <w:rFonts w:ascii="Arial" w:hAnsi="Arial" w:cs="Arial"/>
                <w:color w:val="000000"/>
              </w:rPr>
              <w:t>1.93</w:t>
            </w:r>
          </w:p>
        </w:tc>
      </w:tr>
      <w:tr w:rsidR="00AB1697" w:rsidRPr="00AB1697" w14:paraId="02B8E84F"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7FED147A" w14:textId="77777777" w:rsidR="00AB1697" w:rsidRPr="00AB1697" w:rsidRDefault="00AB1697" w:rsidP="0056611F">
            <w:pPr>
              <w:jc w:val="both"/>
              <w:rPr>
                <w:rFonts w:ascii="Arial" w:hAnsi="Arial" w:cs="Arial"/>
                <w:color w:val="000000"/>
              </w:rPr>
            </w:pPr>
            <w:r w:rsidRPr="00AB1697">
              <w:rPr>
                <w:rFonts w:ascii="Arial" w:hAnsi="Arial" w:cs="Arial"/>
                <w:color w:val="000000"/>
              </w:rPr>
              <w:t>8</w:t>
            </w:r>
          </w:p>
        </w:tc>
        <w:tc>
          <w:tcPr>
            <w:tcW w:w="3580" w:type="dxa"/>
            <w:tcBorders>
              <w:top w:val="single" w:sz="4" w:space="0" w:color="auto"/>
              <w:left w:val="nil"/>
              <w:bottom w:val="single" w:sz="4" w:space="0" w:color="auto"/>
              <w:right w:val="single" w:sz="4" w:space="0" w:color="auto"/>
            </w:tcBorders>
            <w:noWrap/>
            <w:vAlign w:val="bottom"/>
            <w:hideMark/>
          </w:tcPr>
          <w:p w14:paraId="4537870E"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Marketing Efficiency</w:t>
            </w:r>
          </w:p>
        </w:tc>
        <w:tc>
          <w:tcPr>
            <w:tcW w:w="1411" w:type="dxa"/>
            <w:tcBorders>
              <w:top w:val="nil"/>
              <w:left w:val="nil"/>
              <w:bottom w:val="single" w:sz="4" w:space="0" w:color="auto"/>
              <w:right w:val="single" w:sz="4" w:space="0" w:color="auto"/>
            </w:tcBorders>
            <w:noWrap/>
            <w:vAlign w:val="bottom"/>
            <w:hideMark/>
          </w:tcPr>
          <w:p w14:paraId="7E44EBF0" w14:textId="77777777" w:rsidR="00AB1697" w:rsidRPr="00AB1697" w:rsidRDefault="00AB1697" w:rsidP="0056611F">
            <w:pPr>
              <w:jc w:val="both"/>
              <w:rPr>
                <w:rFonts w:ascii="Arial" w:hAnsi="Arial" w:cs="Arial"/>
                <w:color w:val="000000"/>
              </w:rPr>
            </w:pPr>
            <w:r w:rsidRPr="00AB1697">
              <w:rPr>
                <w:rFonts w:ascii="Arial" w:hAnsi="Arial" w:cs="Arial"/>
                <w:color w:val="000000"/>
              </w:rPr>
              <w:t>1.5</w:t>
            </w:r>
          </w:p>
        </w:tc>
        <w:tc>
          <w:tcPr>
            <w:tcW w:w="1600" w:type="dxa"/>
            <w:tcBorders>
              <w:top w:val="nil"/>
              <w:left w:val="nil"/>
              <w:bottom w:val="single" w:sz="4" w:space="0" w:color="auto"/>
              <w:right w:val="single" w:sz="4" w:space="0" w:color="auto"/>
            </w:tcBorders>
            <w:noWrap/>
            <w:vAlign w:val="bottom"/>
            <w:hideMark/>
          </w:tcPr>
          <w:p w14:paraId="351C5DCF" w14:textId="77777777" w:rsidR="00AB1697" w:rsidRPr="00AB1697" w:rsidRDefault="00AB1697" w:rsidP="0056611F">
            <w:pPr>
              <w:jc w:val="both"/>
              <w:rPr>
                <w:rFonts w:ascii="Arial" w:hAnsi="Arial" w:cs="Arial"/>
                <w:color w:val="000000"/>
              </w:rPr>
            </w:pPr>
            <w:r w:rsidRPr="00AB1697">
              <w:rPr>
                <w:rFonts w:ascii="Arial" w:hAnsi="Arial" w:cs="Arial"/>
                <w:color w:val="000000"/>
              </w:rPr>
              <w:t>3</w:t>
            </w:r>
          </w:p>
        </w:tc>
        <w:tc>
          <w:tcPr>
            <w:tcW w:w="1450" w:type="dxa"/>
            <w:tcBorders>
              <w:top w:val="nil"/>
              <w:left w:val="nil"/>
              <w:bottom w:val="single" w:sz="4" w:space="0" w:color="auto"/>
              <w:right w:val="single" w:sz="4" w:space="0" w:color="auto"/>
            </w:tcBorders>
            <w:noWrap/>
            <w:vAlign w:val="bottom"/>
            <w:hideMark/>
          </w:tcPr>
          <w:p w14:paraId="1C479F59" w14:textId="77777777" w:rsidR="00AB1697" w:rsidRPr="00AB1697" w:rsidRDefault="00AB1697" w:rsidP="0056611F">
            <w:pPr>
              <w:jc w:val="both"/>
              <w:rPr>
                <w:rFonts w:ascii="Arial" w:hAnsi="Arial" w:cs="Arial"/>
                <w:b/>
                <w:bCs/>
                <w:color w:val="000000"/>
              </w:rPr>
            </w:pPr>
            <w:r w:rsidRPr="00AB1697">
              <w:rPr>
                <w:rFonts w:ascii="Arial" w:hAnsi="Arial" w:cs="Arial"/>
                <w:b/>
                <w:bCs/>
                <w:color w:val="000000"/>
              </w:rPr>
              <w:t>22.316</w:t>
            </w:r>
          </w:p>
        </w:tc>
      </w:tr>
      <w:tr w:rsidR="00AB1697" w:rsidRPr="00AB1697" w14:paraId="5F51F929" w14:textId="77777777" w:rsidTr="0056611F">
        <w:trPr>
          <w:trHeight w:val="324"/>
        </w:trPr>
        <w:tc>
          <w:tcPr>
            <w:tcW w:w="842" w:type="dxa"/>
            <w:tcBorders>
              <w:top w:val="nil"/>
              <w:left w:val="single" w:sz="4" w:space="0" w:color="auto"/>
              <w:bottom w:val="single" w:sz="4" w:space="0" w:color="auto"/>
              <w:right w:val="single" w:sz="4" w:space="0" w:color="auto"/>
            </w:tcBorders>
            <w:noWrap/>
            <w:vAlign w:val="bottom"/>
            <w:hideMark/>
          </w:tcPr>
          <w:p w14:paraId="0AB4E369" w14:textId="77777777" w:rsidR="00AB1697" w:rsidRPr="00AB1697" w:rsidRDefault="00AB1697" w:rsidP="0056611F">
            <w:pPr>
              <w:jc w:val="both"/>
              <w:rPr>
                <w:rFonts w:ascii="Arial" w:hAnsi="Arial" w:cs="Arial"/>
                <w:color w:val="000000"/>
              </w:rPr>
            </w:pPr>
            <w:r w:rsidRPr="00AB1697">
              <w:rPr>
                <w:rFonts w:ascii="Arial" w:hAnsi="Arial" w:cs="Arial"/>
                <w:color w:val="000000"/>
              </w:rPr>
              <w:lastRenderedPageBreak/>
              <w:t>9</w:t>
            </w:r>
          </w:p>
        </w:tc>
        <w:tc>
          <w:tcPr>
            <w:tcW w:w="3580" w:type="dxa"/>
            <w:tcBorders>
              <w:top w:val="single" w:sz="4" w:space="0" w:color="auto"/>
              <w:left w:val="nil"/>
              <w:bottom w:val="single" w:sz="4" w:space="0" w:color="auto"/>
              <w:right w:val="single" w:sz="4" w:space="0" w:color="auto"/>
            </w:tcBorders>
            <w:noWrap/>
            <w:vAlign w:val="bottom"/>
            <w:hideMark/>
          </w:tcPr>
          <w:p w14:paraId="5884FC47" w14:textId="77777777" w:rsidR="00AB1697" w:rsidRPr="00AB1697" w:rsidRDefault="00AB1697" w:rsidP="0056611F">
            <w:pPr>
              <w:jc w:val="both"/>
              <w:rPr>
                <w:rFonts w:ascii="Arial" w:hAnsi="Arial" w:cs="Arial"/>
                <w:color w:val="000000"/>
              </w:rPr>
            </w:pPr>
            <w:r w:rsidRPr="00AB1697">
              <w:rPr>
                <w:rFonts w:ascii="Arial" w:hAnsi="Arial" w:cs="Arial"/>
                <w:color w:val="000000"/>
              </w:rPr>
              <w:t xml:space="preserve">Producer’s share in Consumer’s rupee </w:t>
            </w:r>
          </w:p>
        </w:tc>
        <w:tc>
          <w:tcPr>
            <w:tcW w:w="1411" w:type="dxa"/>
            <w:tcBorders>
              <w:top w:val="nil"/>
              <w:left w:val="nil"/>
              <w:bottom w:val="single" w:sz="4" w:space="0" w:color="auto"/>
              <w:right w:val="single" w:sz="4" w:space="0" w:color="auto"/>
            </w:tcBorders>
            <w:noWrap/>
            <w:vAlign w:val="bottom"/>
            <w:hideMark/>
          </w:tcPr>
          <w:p w14:paraId="00CF050E" w14:textId="77777777" w:rsidR="00AB1697" w:rsidRPr="00AB1697" w:rsidRDefault="00AB1697" w:rsidP="0056611F">
            <w:pPr>
              <w:jc w:val="both"/>
              <w:rPr>
                <w:rFonts w:ascii="Arial" w:hAnsi="Arial" w:cs="Arial"/>
                <w:color w:val="000000"/>
              </w:rPr>
            </w:pPr>
            <w:r w:rsidRPr="00AB1697">
              <w:rPr>
                <w:rFonts w:ascii="Arial" w:hAnsi="Arial" w:cs="Arial"/>
                <w:color w:val="000000"/>
              </w:rPr>
              <w:t>60%</w:t>
            </w:r>
          </w:p>
        </w:tc>
        <w:tc>
          <w:tcPr>
            <w:tcW w:w="1600" w:type="dxa"/>
            <w:tcBorders>
              <w:top w:val="nil"/>
              <w:left w:val="nil"/>
              <w:bottom w:val="single" w:sz="4" w:space="0" w:color="auto"/>
              <w:right w:val="single" w:sz="4" w:space="0" w:color="auto"/>
            </w:tcBorders>
            <w:noWrap/>
            <w:vAlign w:val="bottom"/>
            <w:hideMark/>
          </w:tcPr>
          <w:p w14:paraId="2101A967" w14:textId="77777777" w:rsidR="00AB1697" w:rsidRPr="00AB1697" w:rsidRDefault="00AB1697" w:rsidP="0056611F">
            <w:pPr>
              <w:jc w:val="both"/>
              <w:rPr>
                <w:rFonts w:ascii="Arial" w:hAnsi="Arial" w:cs="Arial"/>
                <w:color w:val="000000"/>
              </w:rPr>
            </w:pPr>
            <w:r w:rsidRPr="00AB1697">
              <w:rPr>
                <w:rFonts w:ascii="Arial" w:hAnsi="Arial" w:cs="Arial"/>
                <w:color w:val="000000"/>
              </w:rPr>
              <w:t>75%</w:t>
            </w:r>
          </w:p>
        </w:tc>
        <w:tc>
          <w:tcPr>
            <w:tcW w:w="1450" w:type="dxa"/>
            <w:tcBorders>
              <w:top w:val="nil"/>
              <w:left w:val="nil"/>
              <w:bottom w:val="single" w:sz="4" w:space="0" w:color="auto"/>
              <w:right w:val="single" w:sz="4" w:space="0" w:color="auto"/>
            </w:tcBorders>
            <w:noWrap/>
            <w:vAlign w:val="bottom"/>
            <w:hideMark/>
          </w:tcPr>
          <w:p w14:paraId="57CC9A8D" w14:textId="77777777" w:rsidR="00AB1697" w:rsidRPr="00AB1697" w:rsidRDefault="00AB1697" w:rsidP="0056611F">
            <w:pPr>
              <w:jc w:val="both"/>
              <w:rPr>
                <w:rFonts w:ascii="Arial" w:hAnsi="Arial" w:cs="Arial"/>
                <w:color w:val="000000"/>
              </w:rPr>
            </w:pPr>
            <w:r w:rsidRPr="00AB1697">
              <w:rPr>
                <w:rFonts w:ascii="Arial" w:hAnsi="Arial" w:cs="Arial"/>
                <w:color w:val="000000"/>
              </w:rPr>
              <w:t>95.711%</w:t>
            </w:r>
          </w:p>
        </w:tc>
      </w:tr>
    </w:tbl>
    <w:p w14:paraId="66D08BA2" w14:textId="77777777" w:rsidR="00AB1697" w:rsidRPr="00AB1697" w:rsidRDefault="00AB1697" w:rsidP="00AB1697">
      <w:pPr>
        <w:jc w:val="both"/>
        <w:rPr>
          <w:rFonts w:ascii="Arial" w:hAnsi="Arial" w:cs="Arial"/>
          <w:b/>
        </w:rPr>
      </w:pPr>
    </w:p>
    <w:p w14:paraId="0FFC892E" w14:textId="77777777" w:rsidR="00564AE5" w:rsidRDefault="00AB1697" w:rsidP="00AB1697">
      <w:pPr>
        <w:jc w:val="both"/>
        <w:rPr>
          <w:rFonts w:ascii="Arial" w:hAnsi="Arial" w:cs="Arial"/>
          <w:bCs/>
          <w:lang w:val="en-IN"/>
        </w:rPr>
      </w:pPr>
      <w:r w:rsidRPr="00AB1697">
        <w:rPr>
          <w:rFonts w:ascii="Arial" w:hAnsi="Arial" w:cs="Arial"/>
          <w:bCs/>
          <w:lang w:val="en-IN"/>
        </w:rPr>
        <w:t xml:space="preserve">The price spread analysis of off-season cabbage in the Senapati market reveals significant variations across the three identified marketing channels, reflecting differences in cost components, intermediary involvement, and overall marketing efficiency. It is important to note that the markets in Senapati district are largely unregulated in nature; consequently, no standardized grading practices, regulated market fees, or commission charges were observed across any of the channels, which influenced the structure of marketing costs and margins. In Channel-I </w:t>
      </w:r>
      <w:r w:rsidRPr="00AB1697">
        <w:rPr>
          <w:rFonts w:ascii="Arial" w:hAnsi="Arial" w:cs="Arial"/>
          <w:bCs/>
          <w:i/>
          <w:iCs/>
          <w:lang w:val="en-IN"/>
        </w:rPr>
        <w:t>(Producer → Village-level Trader → Wholesaler → Retailer → Consumer)</w:t>
      </w:r>
      <w:r w:rsidRPr="00AB1697">
        <w:rPr>
          <w:rFonts w:ascii="Arial" w:hAnsi="Arial" w:cs="Arial"/>
          <w:bCs/>
          <w:lang w:val="en-IN"/>
        </w:rPr>
        <w:t xml:space="preserve">, the net price received by farmers was ₹30 per kg, the lowest among the three channels. Farmers in this channel did not incur explicit assembling or transportation costs, as the produce was sold at the village level. Village-level traders incurred a total marketing cost of ₹3.30 per kg, primarily on transportation (₹2.80) and loading and unloading (₹0.50), while no grading, commission, or market fee charges were incurred due to the unregulated nature of the market. The village-level traders realized a margin of ₹8.50 per kg, resulting in a local trade price of ₹41.80 per kg. Wholesalers further incurred costs amounting to ₹0.70 per kg, mainly for transportation and handling, and earned a margin of ₹4.00 per kg, increasing the price to ₹46.50 per kg. </w:t>
      </w:r>
    </w:p>
    <w:p w14:paraId="0D5A4131" w14:textId="77777777" w:rsidR="00564AE5" w:rsidRDefault="00564AE5" w:rsidP="00AB1697">
      <w:pPr>
        <w:jc w:val="both"/>
        <w:rPr>
          <w:rFonts w:ascii="Arial" w:hAnsi="Arial" w:cs="Arial"/>
          <w:bCs/>
          <w:lang w:val="en-IN"/>
        </w:rPr>
      </w:pPr>
    </w:p>
    <w:p w14:paraId="36190DDA" w14:textId="642A1883" w:rsidR="00564AE5" w:rsidRDefault="00AB1697" w:rsidP="00AB1697">
      <w:pPr>
        <w:jc w:val="both"/>
        <w:rPr>
          <w:rFonts w:ascii="Arial" w:hAnsi="Arial" w:cs="Arial"/>
          <w:bCs/>
          <w:lang w:val="en-IN"/>
        </w:rPr>
      </w:pPr>
      <w:r w:rsidRPr="00AB1697">
        <w:rPr>
          <w:rFonts w:ascii="Arial" w:hAnsi="Arial" w:cs="Arial"/>
          <w:bCs/>
          <w:lang w:val="en-IN"/>
        </w:rPr>
        <w:t xml:space="preserve">Retailers incurred an additional cost of ₹0.50 per kg and earned a margin of ₹3.00 per kg, leading to a consumer price of ₹50 per kg. As a result, the price spread in Channel-I was ₹20 per kg, with a producer’s share of 60 per cent in the consumer’s rupee and a marketing efficiency index of 1.50, indicating relatively low efficiency due to the involvement of multiple intermediaries. In Channel-II </w:t>
      </w:r>
      <w:r w:rsidRPr="00AB1697">
        <w:rPr>
          <w:rFonts w:ascii="Arial" w:hAnsi="Arial" w:cs="Arial"/>
          <w:bCs/>
          <w:i/>
          <w:iCs/>
          <w:lang w:val="en-IN"/>
        </w:rPr>
        <w:t>(Producer → Wholesaler → Retailer → Consumer)</w:t>
      </w:r>
      <w:r w:rsidRPr="00AB1697">
        <w:rPr>
          <w:rFonts w:ascii="Arial" w:hAnsi="Arial" w:cs="Arial"/>
          <w:bCs/>
          <w:lang w:val="en-IN"/>
        </w:rPr>
        <w:t>, the elimination of village-level traders resulted in an improvement in farmers’ returns, with the net price received increasing to ₹36 per kg. Wholesalers incurred marketing costs of ₹3.00 per kg, largely due to transportation and loading and unloading expenses, while no grading or commission charges were observed owing to the absence of regulated market operations. The wholesaler’s margin was ₹4.50 per kg, resulting in a wholesaler price of ₹44.50 per kg.</w:t>
      </w:r>
    </w:p>
    <w:p w14:paraId="6D1BC8C1" w14:textId="77777777" w:rsidR="00564AE5" w:rsidRDefault="00564AE5" w:rsidP="00AB1697">
      <w:pPr>
        <w:jc w:val="both"/>
        <w:rPr>
          <w:rFonts w:ascii="Arial" w:hAnsi="Arial" w:cs="Arial"/>
          <w:bCs/>
          <w:lang w:val="en-IN"/>
        </w:rPr>
      </w:pPr>
    </w:p>
    <w:p w14:paraId="15F68EA5" w14:textId="77777777" w:rsidR="00564AE5" w:rsidRDefault="00AB1697" w:rsidP="00AB1697">
      <w:pPr>
        <w:jc w:val="both"/>
        <w:rPr>
          <w:rFonts w:ascii="Arial" w:hAnsi="Arial" w:cs="Arial"/>
          <w:bCs/>
          <w:lang w:val="en-IN"/>
        </w:rPr>
      </w:pPr>
      <w:r w:rsidRPr="00AB1697">
        <w:rPr>
          <w:rFonts w:ascii="Arial" w:hAnsi="Arial" w:cs="Arial"/>
          <w:bCs/>
          <w:lang w:val="en-IN"/>
        </w:rPr>
        <w:t xml:space="preserve">Retailers incurred marketing costs of ₹0.75 per kg and earned a margin of ₹3.25 per kg, leading to a consumer price of ₹48 per kg. The price spread declined to ₹12 per kg, while the producer’s share in the consumer’s rupee increased to 75 per cent. Correspondingly, the marketing efficiency index improved to 3.00, indicating greater efficiency relative to Channel-I. In Channel-III </w:t>
      </w:r>
      <w:r w:rsidRPr="00AB1697">
        <w:rPr>
          <w:rFonts w:ascii="Arial" w:hAnsi="Arial" w:cs="Arial"/>
          <w:bCs/>
          <w:i/>
          <w:iCs/>
          <w:lang w:val="en-IN"/>
        </w:rPr>
        <w:t>(Producer → Consumer)</w:t>
      </w:r>
      <w:r w:rsidRPr="00AB1697">
        <w:rPr>
          <w:rFonts w:ascii="Arial" w:hAnsi="Arial" w:cs="Arial"/>
          <w:bCs/>
          <w:lang w:val="en-IN"/>
        </w:rPr>
        <w:t>, farmers sold cabbage directly to consumers, receiving a net price of ₹43 per kg, the highest among all channels. Producers incurred minimal marketing costs of ₹2.93 per kg, comprising assembling (₹1.50) and transportation (₹1.425). As this channel involved direct transactions in unregulated markets, no grading, commission, or intermediary-related charges were incurred. The consumer price stood at ₹45 per kg, resulting in a very narrow price spread of ₹1.93 per kg. Consequently, the producer’s share in the consumer’s rupee was exceptionally high at 95.71 per cent, and the marketing efficiency index peaked at 22.316, indicating a highly efficient marketing system due to the complete absence of intermediaries.</w:t>
      </w:r>
    </w:p>
    <w:p w14:paraId="3D51D16A" w14:textId="77777777" w:rsidR="00564AE5" w:rsidRDefault="00564AE5" w:rsidP="00AB1697">
      <w:pPr>
        <w:jc w:val="both"/>
        <w:rPr>
          <w:rFonts w:ascii="Arial" w:hAnsi="Arial" w:cs="Arial"/>
          <w:bCs/>
          <w:lang w:val="en-IN"/>
        </w:rPr>
      </w:pPr>
    </w:p>
    <w:p w14:paraId="6989BBB6" w14:textId="2ECB037E" w:rsidR="00AB1697" w:rsidRDefault="00AB1697" w:rsidP="00AB1697">
      <w:pPr>
        <w:jc w:val="both"/>
        <w:rPr>
          <w:rFonts w:ascii="Arial" w:hAnsi="Arial" w:cs="Arial"/>
          <w:bCs/>
          <w:lang w:val="en-IN"/>
        </w:rPr>
      </w:pPr>
      <w:r w:rsidRPr="00AB1697">
        <w:rPr>
          <w:rFonts w:ascii="Arial" w:hAnsi="Arial" w:cs="Arial"/>
          <w:bCs/>
          <w:lang w:val="en-IN"/>
        </w:rPr>
        <w:t xml:space="preserve"> Overall, the findings clearly indicate that price spread declines and marketing efficiency improves with a reduction in the number of intermediaries, particularly in the context of unregulated markets such as those in Senapati district, where the absence of grading, commission, and regulated market fees significantly shapes marketing costs and margins. While direct marketing (Channel-III) offers the highest returns to producers, its limited adoption suggests constraints related to scale of operation, market access, and transaction capacity at the farm level.</w:t>
      </w:r>
    </w:p>
    <w:p w14:paraId="216C5A4C" w14:textId="77777777" w:rsidR="003C0E6D" w:rsidRDefault="003C0E6D" w:rsidP="00AB1697">
      <w:pPr>
        <w:jc w:val="both"/>
        <w:rPr>
          <w:rFonts w:ascii="Arial" w:hAnsi="Arial" w:cs="Arial"/>
          <w:bCs/>
          <w:lang w:val="en-IN"/>
        </w:rPr>
      </w:pPr>
    </w:p>
    <w:p w14:paraId="16D8CDA9" w14:textId="1CE7BD4E" w:rsidR="003C0E6D" w:rsidRPr="00F7293C" w:rsidRDefault="003C0E6D" w:rsidP="003C0E6D">
      <w:pPr>
        <w:jc w:val="both"/>
        <w:rPr>
          <w:rFonts w:ascii="Arial" w:hAnsi="Arial" w:cs="Arial"/>
          <w:b/>
          <w:bCs/>
          <w:sz w:val="22"/>
          <w:szCs w:val="22"/>
          <w:lang w:val="en-IN"/>
        </w:rPr>
      </w:pPr>
      <w:r w:rsidRPr="00F7293C">
        <w:rPr>
          <w:rFonts w:ascii="Arial" w:hAnsi="Arial" w:cs="Arial"/>
          <w:b/>
          <w:bCs/>
          <w:sz w:val="22"/>
          <w:szCs w:val="22"/>
          <w:lang w:val="en-IN"/>
        </w:rPr>
        <w:lastRenderedPageBreak/>
        <w:t>3.5 Bernoulli-Binomial Framework for Off-Season Cabbage Marketing in Senapati</w:t>
      </w:r>
    </w:p>
    <w:p w14:paraId="60E24EF1" w14:textId="77777777" w:rsidR="003C0E6D" w:rsidRPr="00F7293C" w:rsidRDefault="003C0E6D" w:rsidP="003C0E6D">
      <w:pPr>
        <w:jc w:val="both"/>
        <w:rPr>
          <w:rFonts w:ascii="Arial" w:hAnsi="Arial" w:cs="Arial"/>
          <w:b/>
          <w:bCs/>
          <w:szCs w:val="24"/>
          <w:lang w:val="en-IN"/>
        </w:rPr>
      </w:pPr>
    </w:p>
    <w:p w14:paraId="16569381" w14:textId="77777777" w:rsidR="003C0E6D" w:rsidRDefault="003C0E6D" w:rsidP="003C0E6D">
      <w:pPr>
        <w:jc w:val="both"/>
        <w:rPr>
          <w:rFonts w:ascii="Arial" w:hAnsi="Arial" w:cs="Arial"/>
          <w:bCs/>
          <w:szCs w:val="24"/>
          <w:lang w:val="en-IN"/>
        </w:rPr>
      </w:pPr>
      <w:r w:rsidRPr="00F7293C">
        <w:rPr>
          <w:rFonts w:ascii="Arial" w:hAnsi="Arial" w:cs="Arial"/>
          <w:bCs/>
          <w:szCs w:val="24"/>
          <w:lang w:val="en-IN"/>
        </w:rPr>
        <w:t>To interpret marketing and utilization patterns of off-season cabbage in Senapati, a Bernoulli-Binomial framework was applied. Each cabbage lot was treated as a binary trial—success if it was sold, assigned to a channel, or remained unspoiled, and failure otherwise. Aggregating these trials across farms produced a binomial distribution, which enabled quantification of expected marketed quantities, channel preferences, and spoilage, along with their variability. This probabilistic approach explained why nearly all marketable produce was sold, why certain channels dominated, and why spoilage remained minimal, reflecting the perishable nature and the efficiency of the local marketing system for the crop.</w:t>
      </w:r>
    </w:p>
    <w:p w14:paraId="32F8710B" w14:textId="77777777" w:rsidR="00F7293C" w:rsidRPr="00F7293C" w:rsidRDefault="00F7293C" w:rsidP="003C0E6D">
      <w:pPr>
        <w:jc w:val="both"/>
        <w:rPr>
          <w:rFonts w:ascii="Arial" w:hAnsi="Arial" w:cs="Arial"/>
          <w:bCs/>
          <w:szCs w:val="24"/>
          <w:lang w:val="en-IN"/>
        </w:rPr>
      </w:pPr>
    </w:p>
    <w:p w14:paraId="54EE493E" w14:textId="136A2642" w:rsidR="00F7293C" w:rsidRDefault="00F7293C" w:rsidP="00F7293C">
      <w:pPr>
        <w:jc w:val="both"/>
        <w:rPr>
          <w:rFonts w:ascii="Arial" w:hAnsi="Arial" w:cs="Arial"/>
          <w:b/>
          <w:bCs/>
          <w:szCs w:val="24"/>
          <w:lang w:val="en-IN"/>
        </w:rPr>
      </w:pPr>
      <w:r w:rsidRPr="00F7293C">
        <w:rPr>
          <w:rFonts w:ascii="Arial" w:hAnsi="Arial" w:cs="Arial"/>
          <w:b/>
          <w:bCs/>
          <w:szCs w:val="24"/>
          <w:lang w:val="en-IN"/>
        </w:rPr>
        <w:t>1.</w:t>
      </w:r>
      <w:r>
        <w:rPr>
          <w:rFonts w:ascii="Arial" w:hAnsi="Arial" w:cs="Arial"/>
          <w:b/>
          <w:bCs/>
          <w:szCs w:val="24"/>
          <w:lang w:val="en-IN"/>
        </w:rPr>
        <w:t xml:space="preserve"> </w:t>
      </w:r>
      <w:r w:rsidR="003C0E6D" w:rsidRPr="00F7293C">
        <w:rPr>
          <w:rFonts w:ascii="Arial" w:hAnsi="Arial" w:cs="Arial"/>
          <w:b/>
          <w:bCs/>
          <w:szCs w:val="24"/>
          <w:lang w:val="en-IN"/>
        </w:rPr>
        <w:t>Defining Bernoulli Trials for Cabbage Marketing</w:t>
      </w:r>
    </w:p>
    <w:p w14:paraId="3AC32851" w14:textId="77777777" w:rsidR="00F7293C" w:rsidRPr="00F7293C" w:rsidRDefault="00F7293C" w:rsidP="00F7293C">
      <w:pPr>
        <w:jc w:val="both"/>
        <w:rPr>
          <w:rFonts w:ascii="Arial" w:hAnsi="Arial" w:cs="Arial"/>
          <w:b/>
          <w:bCs/>
          <w:szCs w:val="24"/>
          <w:lang w:val="en-IN"/>
        </w:rPr>
      </w:pPr>
    </w:p>
    <w:p w14:paraId="5A97F551" w14:textId="77777777" w:rsidR="003C0E6D" w:rsidRDefault="003C0E6D" w:rsidP="003C0E6D">
      <w:pPr>
        <w:jc w:val="both"/>
        <w:rPr>
          <w:rFonts w:ascii="Arial" w:hAnsi="Arial" w:cs="Arial"/>
          <w:bCs/>
          <w:szCs w:val="24"/>
          <w:lang w:val="en-IN"/>
        </w:rPr>
      </w:pPr>
      <w:r w:rsidRPr="00F7293C">
        <w:rPr>
          <w:rFonts w:ascii="Arial" w:hAnsi="Arial" w:cs="Arial"/>
          <w:bCs/>
          <w:szCs w:val="24"/>
          <w:lang w:val="en-IN"/>
        </w:rPr>
        <w:t xml:space="preserve">To </w:t>
      </w:r>
      <w:proofErr w:type="spellStart"/>
      <w:r w:rsidRPr="00F7293C">
        <w:rPr>
          <w:rFonts w:ascii="Arial" w:hAnsi="Arial" w:cs="Arial"/>
          <w:bCs/>
          <w:szCs w:val="24"/>
          <w:lang w:val="en-IN"/>
        </w:rPr>
        <w:t>analyze</w:t>
      </w:r>
      <w:proofErr w:type="spellEnd"/>
      <w:r w:rsidRPr="00F7293C">
        <w:rPr>
          <w:rFonts w:ascii="Arial" w:hAnsi="Arial" w:cs="Arial"/>
          <w:bCs/>
          <w:szCs w:val="24"/>
          <w:lang w:val="en-IN"/>
        </w:rPr>
        <w:t xml:space="preserve"> the marketing and utilization patterns of off-season cabbage, each unit of produce was conceptualized as undergoing Bernoulli trials, representing binary outcomes of success or failure. Three dimensions were considered. First, sale versus retention/spoilage, where a lot was treated as a success if sold in the market and a failure if retained, used at home, given as gifts, or spoiled. Second, spoilage, where a lot was considered a success if it remained unspoiled and a failure if it was spoiled during storage or handling. Third, channel selection, where a lot was classified as a success if it passed through a particular marketing channel (I, II, or III) and a failure if it did not. Aggregating these binary outcomes across farms produced binomial distributions, which enabled the calculation of expected marketed quantities, channel preferences, and spoilage, providing a probabilistic understanding of farmer behaviour in unregulated, perishable commodity markets.</w:t>
      </w:r>
    </w:p>
    <w:p w14:paraId="28029126" w14:textId="77777777" w:rsidR="00F7293C" w:rsidRPr="00F7293C" w:rsidRDefault="00F7293C" w:rsidP="003C0E6D">
      <w:pPr>
        <w:jc w:val="both"/>
        <w:rPr>
          <w:rFonts w:ascii="Arial" w:hAnsi="Arial" w:cs="Arial"/>
          <w:bCs/>
          <w:szCs w:val="24"/>
          <w:lang w:val="en-IN"/>
        </w:rPr>
      </w:pPr>
    </w:p>
    <w:p w14:paraId="12AB0815" w14:textId="77777777" w:rsidR="003C0E6D" w:rsidRDefault="003C0E6D" w:rsidP="003C0E6D">
      <w:pPr>
        <w:jc w:val="both"/>
        <w:rPr>
          <w:rFonts w:ascii="Arial" w:hAnsi="Arial" w:cs="Arial"/>
          <w:b/>
          <w:bCs/>
          <w:szCs w:val="24"/>
          <w:lang w:val="en-IN"/>
        </w:rPr>
      </w:pPr>
      <w:r w:rsidRPr="00F7293C">
        <w:rPr>
          <w:rFonts w:ascii="Arial" w:hAnsi="Arial" w:cs="Arial"/>
          <w:b/>
          <w:bCs/>
          <w:szCs w:val="24"/>
          <w:lang w:val="en-IN"/>
        </w:rPr>
        <w:t>2. Calculating Probabilities of Success and Failure</w:t>
      </w:r>
    </w:p>
    <w:p w14:paraId="2B9591A8" w14:textId="77777777" w:rsidR="00F7293C" w:rsidRPr="00F7293C" w:rsidRDefault="00F7293C" w:rsidP="003C0E6D">
      <w:pPr>
        <w:jc w:val="both"/>
        <w:rPr>
          <w:rFonts w:ascii="Arial" w:hAnsi="Arial" w:cs="Arial"/>
          <w:b/>
          <w:bCs/>
          <w:szCs w:val="24"/>
          <w:lang w:val="en-IN"/>
        </w:rPr>
      </w:pPr>
    </w:p>
    <w:p w14:paraId="4661D76F"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To quantify the outcomes of marketing and utilization, probabilities of success and failure were calculated for sale, spoilage, and retention using farm-level data. The probability of sale for each farm category was determined as:</w:t>
      </w:r>
    </w:p>
    <w:p w14:paraId="329293F1" w14:textId="77777777" w:rsidR="003C0E6D" w:rsidRPr="00F7293C" w:rsidRDefault="00A674FE" w:rsidP="003C0E6D">
      <w:pPr>
        <w:jc w:val="both"/>
        <w:rPr>
          <w:rFonts w:ascii="Arial" w:hAnsi="Arial" w:cs="Arial"/>
          <w:bCs/>
          <w:szCs w:val="24"/>
          <w:lang w:val="en-IN"/>
        </w:rPr>
      </w:pPr>
      <m:oMathPara>
        <m:oMath>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sale</m:t>
              </m:r>
            </m:sub>
          </m:sSub>
          <m:r>
            <w:rPr>
              <w:rFonts w:ascii="Cambria Math" w:hAnsi="Cambria Math" w:cs="Arial"/>
              <w:szCs w:val="24"/>
              <w:lang w:val="en-IN"/>
            </w:rPr>
            <m:t>=</m:t>
          </m:r>
          <m:f>
            <m:fPr>
              <m:ctrlPr>
                <w:rPr>
                  <w:rFonts w:ascii="Cambria Math" w:hAnsi="Cambria Math" w:cs="Arial"/>
                  <w:bCs/>
                  <w:szCs w:val="24"/>
                  <w:lang w:val="en-IN"/>
                </w:rPr>
              </m:ctrlPr>
            </m:fPr>
            <m:num>
              <m:r>
                <m:rPr>
                  <m:nor/>
                </m:rPr>
                <w:rPr>
                  <w:rFonts w:ascii="Arial" w:hAnsi="Arial" w:cs="Arial"/>
                  <w:bCs/>
                  <w:szCs w:val="24"/>
                  <w:lang w:val="en-IN"/>
                </w:rPr>
                <m:t>Marketed Surplus</m:t>
              </m:r>
            </m:num>
            <m:den>
              <m:r>
                <m:rPr>
                  <m:nor/>
                </m:rPr>
                <w:rPr>
                  <w:rFonts w:ascii="Arial" w:hAnsi="Arial" w:cs="Arial"/>
                  <w:bCs/>
                  <w:szCs w:val="24"/>
                  <w:lang w:val="en-IN"/>
                </w:rPr>
                <m:t>Marketable Surplus</m:t>
              </m:r>
            </m:den>
          </m:f>
          <m:r>
            <m:rPr>
              <m:sty m:val="p"/>
            </m:rPr>
            <w:rPr>
              <w:rFonts w:ascii="Cambria Math" w:hAnsi="Cambria Math" w:cs="Arial"/>
              <w:szCs w:val="24"/>
              <w:lang w:val="en-IN"/>
            </w:rPr>
            <w:br/>
          </m:r>
        </m:oMath>
      </m:oMathPara>
    </w:p>
    <w:p w14:paraId="3C425D7E"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 xml:space="preserve">For small, marginal, and overall farms, </w:t>
      </w:r>
      <m:oMath>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sale</m:t>
            </m:r>
          </m:sub>
        </m:sSub>
        <m:r>
          <w:rPr>
            <w:rFonts w:ascii="Cambria Math" w:hAnsi="Cambria Math" w:cs="Arial"/>
            <w:szCs w:val="24"/>
            <w:lang w:val="en-IN"/>
          </w:rPr>
          <m:t>=1</m:t>
        </m:r>
      </m:oMath>
      <w:r w:rsidRPr="00F7293C">
        <w:rPr>
          <w:rFonts w:ascii="Arial" w:hAnsi="Arial" w:cs="Arial"/>
          <w:bCs/>
          <w:szCs w:val="24"/>
          <w:lang w:val="en-IN"/>
        </w:rPr>
        <w:t>(Small: 10,527.14/10,527.14; Marginal: 7,060.93/7,060.93; Overall: 7,711.04/7,711.04), indicating that all marketable cabbage was sold. This underscored the highly perishable nature of off-season cabbage and the tendency of producers to market nearly all available produce.</w:t>
      </w:r>
    </w:p>
    <w:p w14:paraId="5909758D"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 xml:space="preserve">The </w:t>
      </w:r>
      <w:r w:rsidRPr="00F7293C">
        <w:rPr>
          <w:rFonts w:ascii="Arial" w:hAnsi="Arial" w:cs="Arial"/>
          <w:b/>
          <w:bCs/>
          <w:szCs w:val="24"/>
          <w:lang w:val="en-IN"/>
        </w:rPr>
        <w:t>probability of spoilage</w:t>
      </w:r>
      <w:r w:rsidRPr="00F7293C">
        <w:rPr>
          <w:rFonts w:ascii="Arial" w:hAnsi="Arial" w:cs="Arial"/>
          <w:bCs/>
          <w:szCs w:val="24"/>
          <w:lang w:val="en-IN"/>
        </w:rPr>
        <w:t xml:space="preserve"> was calculated as:</w:t>
      </w:r>
    </w:p>
    <w:p w14:paraId="5AEF86B3" w14:textId="77777777" w:rsidR="003C0E6D" w:rsidRPr="00F7293C" w:rsidRDefault="00A674FE" w:rsidP="003C0E6D">
      <w:pPr>
        <w:jc w:val="both"/>
        <w:rPr>
          <w:rFonts w:ascii="Arial" w:hAnsi="Arial" w:cs="Arial"/>
          <w:bCs/>
          <w:szCs w:val="24"/>
          <w:lang w:val="en-IN"/>
        </w:rPr>
      </w:pPr>
      <m:oMathPara>
        <m:oMath>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spoilage</m:t>
              </m:r>
            </m:sub>
          </m:sSub>
          <m:r>
            <w:rPr>
              <w:rFonts w:ascii="Cambria Math" w:hAnsi="Cambria Math" w:cs="Arial"/>
              <w:szCs w:val="24"/>
              <w:lang w:val="en-IN"/>
            </w:rPr>
            <m:t>=</m:t>
          </m:r>
          <m:f>
            <m:fPr>
              <m:ctrlPr>
                <w:rPr>
                  <w:rFonts w:ascii="Cambria Math" w:hAnsi="Cambria Math" w:cs="Arial"/>
                  <w:bCs/>
                  <w:szCs w:val="24"/>
                  <w:lang w:val="en-IN"/>
                </w:rPr>
              </m:ctrlPr>
            </m:fPr>
            <m:num>
              <m:r>
                <m:rPr>
                  <m:nor/>
                </m:rPr>
                <w:rPr>
                  <w:rFonts w:ascii="Arial" w:hAnsi="Arial" w:cs="Arial"/>
                  <w:bCs/>
                  <w:szCs w:val="24"/>
                  <w:lang w:val="en-IN"/>
                </w:rPr>
                <m:t>Spoiled Quantity</m:t>
              </m:r>
            </m:num>
            <m:den>
              <m:r>
                <m:rPr>
                  <m:nor/>
                </m:rPr>
                <w:rPr>
                  <w:rFonts w:ascii="Arial" w:hAnsi="Arial" w:cs="Arial"/>
                  <w:bCs/>
                  <w:szCs w:val="24"/>
                  <w:lang w:val="en-IN"/>
                </w:rPr>
                <m:t>Total Production</m:t>
              </m:r>
            </m:den>
          </m:f>
          <m:r>
            <w:rPr>
              <w:rFonts w:ascii="Cambria Math" w:hAnsi="Cambria Math" w:cs="Arial"/>
              <w:szCs w:val="24"/>
              <w:lang w:val="en-IN"/>
            </w:rPr>
            <m:t>,</m:t>
          </m:r>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not spoiled</m:t>
              </m:r>
            </m:sub>
          </m:sSub>
          <m:r>
            <w:rPr>
              <w:rFonts w:ascii="Cambria Math" w:hAnsi="Cambria Math" w:cs="Arial"/>
              <w:szCs w:val="24"/>
              <w:lang w:val="en-IN"/>
            </w:rPr>
            <m:t>=1-</m:t>
          </m:r>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spoilage</m:t>
              </m:r>
            </m:sub>
          </m:sSub>
          <m:r>
            <m:rPr>
              <m:sty m:val="p"/>
            </m:rPr>
            <w:rPr>
              <w:rFonts w:ascii="Cambria Math" w:hAnsi="Cambria Math" w:cs="Arial"/>
              <w:szCs w:val="24"/>
              <w:lang w:val="en-IN"/>
            </w:rPr>
            <w:br/>
          </m:r>
        </m:oMath>
      </m:oMathPara>
    </w:p>
    <w:p w14:paraId="320F711F"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Spoilage was minimal across farm types (Small: 0.00761, Marginal: 0.00550, Overall: 0.00710), corresponding to high probabilities of remaining unspoiled (Small: 0.99239, Marginal: 0.99450, Overall: 0.99290). These results confirmed that the vast majority of cabbage reached the market, consistent with the rapid disposal patterns typical of perishable crops.</w:t>
      </w:r>
    </w:p>
    <w:p w14:paraId="157381EA" w14:textId="77777777" w:rsidR="003C0E6D" w:rsidRPr="00F7293C" w:rsidRDefault="003C0E6D" w:rsidP="003C0E6D">
      <w:pPr>
        <w:jc w:val="both"/>
        <w:rPr>
          <w:rFonts w:ascii="Arial" w:hAnsi="Arial" w:cs="Arial"/>
          <w:bCs/>
          <w:szCs w:val="24"/>
          <w:lang w:val="en-IN"/>
        </w:rPr>
      </w:pPr>
      <w:r w:rsidRPr="00F7293C">
        <w:rPr>
          <w:rFonts w:ascii="Arial" w:hAnsi="Arial" w:cs="Arial"/>
          <w:b/>
          <w:szCs w:val="24"/>
          <w:lang w:val="en-IN"/>
        </w:rPr>
        <w:t>Retention probabilities</w:t>
      </w:r>
      <w:r w:rsidRPr="00F7293C">
        <w:rPr>
          <w:rFonts w:ascii="Arial" w:hAnsi="Arial" w:cs="Arial"/>
          <w:bCs/>
          <w:szCs w:val="24"/>
          <w:lang w:val="en-IN"/>
        </w:rPr>
        <w:t>, including home consumption, gifts, and spoilage, were calculated as:</w:t>
      </w:r>
    </w:p>
    <w:p w14:paraId="0B4BA4B6" w14:textId="77777777" w:rsidR="003C0E6D" w:rsidRPr="00F7293C" w:rsidRDefault="00A674FE" w:rsidP="003C0E6D">
      <w:pPr>
        <w:jc w:val="both"/>
        <w:rPr>
          <w:rFonts w:ascii="Arial" w:hAnsi="Arial" w:cs="Arial"/>
          <w:bCs/>
          <w:szCs w:val="24"/>
          <w:lang w:val="en-IN"/>
        </w:rPr>
      </w:pPr>
      <m:oMathPara>
        <m:oMath>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retained</m:t>
              </m:r>
            </m:sub>
          </m:sSub>
          <m:r>
            <w:rPr>
              <w:rFonts w:ascii="Cambria Math" w:hAnsi="Cambria Math" w:cs="Arial"/>
              <w:szCs w:val="24"/>
              <w:lang w:val="en-IN"/>
            </w:rPr>
            <m:t>=</m:t>
          </m:r>
          <m:f>
            <m:fPr>
              <m:ctrlPr>
                <w:rPr>
                  <w:rFonts w:ascii="Cambria Math" w:hAnsi="Cambria Math" w:cs="Arial"/>
                  <w:bCs/>
                  <w:szCs w:val="24"/>
                  <w:lang w:val="en-IN"/>
                </w:rPr>
              </m:ctrlPr>
            </m:fPr>
            <m:num>
              <m:r>
                <m:rPr>
                  <m:nor/>
                </m:rPr>
                <w:rPr>
                  <w:rFonts w:ascii="Arial" w:hAnsi="Arial" w:cs="Arial"/>
                  <w:bCs/>
                  <w:szCs w:val="24"/>
                  <w:lang w:val="en-IN"/>
                </w:rPr>
                <m:t>Total Retention</m:t>
              </m:r>
            </m:num>
            <m:den>
              <m:r>
                <m:rPr>
                  <m:nor/>
                </m:rPr>
                <w:rPr>
                  <w:rFonts w:ascii="Arial" w:hAnsi="Arial" w:cs="Arial"/>
                  <w:bCs/>
                  <w:szCs w:val="24"/>
                  <w:lang w:val="en-IN"/>
                </w:rPr>
                <m:t>Total Production</m:t>
              </m:r>
            </m:den>
          </m:f>
          <m:r>
            <w:rPr>
              <w:rFonts w:ascii="Cambria Math" w:hAnsi="Cambria Math" w:cs="Arial"/>
              <w:szCs w:val="24"/>
              <w:lang w:val="en-IN"/>
            </w:rPr>
            <m:t>,</m:t>
          </m:r>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marketed</m:t>
              </m:r>
            </m:sub>
          </m:sSub>
          <m:r>
            <w:rPr>
              <w:rFonts w:ascii="Cambria Math" w:hAnsi="Cambria Math" w:cs="Arial"/>
              <w:szCs w:val="24"/>
              <w:lang w:val="en-IN"/>
            </w:rPr>
            <m:t>=1-</m:t>
          </m:r>
          <m:sSub>
            <m:sSubPr>
              <m:ctrlPr>
                <w:rPr>
                  <w:rFonts w:ascii="Cambria Math" w:hAnsi="Cambria Math" w:cs="Arial"/>
                  <w:bCs/>
                  <w:szCs w:val="24"/>
                  <w:lang w:val="en-IN"/>
                </w:rPr>
              </m:ctrlPr>
            </m:sSubPr>
            <m:e>
              <m:r>
                <w:rPr>
                  <w:rFonts w:ascii="Cambria Math" w:hAnsi="Cambria Math" w:cs="Arial"/>
                  <w:szCs w:val="24"/>
                  <w:lang w:val="en-IN"/>
                </w:rPr>
                <m:t>p</m:t>
              </m:r>
            </m:e>
            <m:sub>
              <m:r>
                <m:rPr>
                  <m:nor/>
                </m:rPr>
                <w:rPr>
                  <w:rFonts w:ascii="Arial" w:hAnsi="Arial" w:cs="Arial"/>
                  <w:bCs/>
                  <w:szCs w:val="24"/>
                  <w:lang w:val="en-IN"/>
                </w:rPr>
                <m:t>retained</m:t>
              </m:r>
            </m:sub>
          </m:sSub>
          <m:r>
            <m:rPr>
              <m:sty m:val="p"/>
            </m:rPr>
            <w:rPr>
              <w:rFonts w:ascii="Cambria Math" w:hAnsi="Cambria Math" w:cs="Arial"/>
              <w:szCs w:val="24"/>
              <w:lang w:val="en-IN"/>
            </w:rPr>
            <w:br/>
          </m:r>
        </m:oMath>
      </m:oMathPara>
    </w:p>
    <w:p w14:paraId="6FFA7E28"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lastRenderedPageBreak/>
        <w:t>The probability of a cabbage lot being marketed exceeded 98% across all farm categories (Small: 0.9843, Marginal: 0.9875, Overall: 0.9847), reinforcing the conceptualization of each unit as a Bernoulli trial, with success representing marketing and failure representing retention or spoilage. These probabilities provided the foundation for expected value and variance calculations, enabling a probabilistic quantification of the efficiency, predictability, and reliability of cabbage marketing in the study area.</w:t>
      </w:r>
    </w:p>
    <w:p w14:paraId="77C6AC87" w14:textId="77777777" w:rsidR="003C0E6D" w:rsidRPr="00F7293C" w:rsidRDefault="003C0E6D" w:rsidP="003C0E6D">
      <w:pPr>
        <w:jc w:val="both"/>
        <w:rPr>
          <w:rFonts w:ascii="Arial" w:hAnsi="Arial" w:cs="Arial"/>
          <w:b/>
          <w:bCs/>
          <w:szCs w:val="24"/>
          <w:lang w:val="en-IN"/>
        </w:rPr>
      </w:pPr>
      <w:r w:rsidRPr="00F7293C">
        <w:rPr>
          <w:rFonts w:ascii="Arial" w:hAnsi="Arial" w:cs="Arial"/>
          <w:b/>
          <w:bCs/>
          <w:szCs w:val="24"/>
          <w:lang w:val="en-IN"/>
        </w:rPr>
        <w:t>3. Expected values and variance (Binomial interpretation)</w:t>
      </w:r>
    </w:p>
    <w:p w14:paraId="1BD5BBBE"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 xml:space="preserve">The key formula used to calculate expected values and variance </w:t>
      </w:r>
      <w:proofErr w:type="gramStart"/>
      <w:r w:rsidRPr="00F7293C">
        <w:rPr>
          <w:rFonts w:ascii="Arial" w:hAnsi="Arial" w:cs="Arial"/>
          <w:bCs/>
          <w:szCs w:val="24"/>
          <w:lang w:val="en-IN"/>
        </w:rPr>
        <w:t>is :</w:t>
      </w:r>
      <w:proofErr w:type="gramEnd"/>
    </w:p>
    <w:p w14:paraId="719035DF" w14:textId="77777777" w:rsidR="003C0E6D" w:rsidRPr="00F7293C" w:rsidRDefault="003C0E6D" w:rsidP="003C0E6D">
      <w:pPr>
        <w:jc w:val="both"/>
        <w:rPr>
          <w:rFonts w:ascii="Arial" w:hAnsi="Arial" w:cs="Arial"/>
          <w:bCs/>
          <w:szCs w:val="24"/>
          <w:lang w:val="en-IN"/>
        </w:rPr>
      </w:pPr>
      <m:oMathPara>
        <m:oMath>
          <m:r>
            <w:rPr>
              <w:rFonts w:ascii="Cambria Math" w:hAnsi="Cambria Math" w:cs="Arial"/>
              <w:szCs w:val="24"/>
              <w:lang w:val="en-IN"/>
            </w:rPr>
            <m:t>E[X]=n⋅p,Var[X]=n⋅p⋅(1-p)</m:t>
          </m:r>
        </m:oMath>
      </m:oMathPara>
    </w:p>
    <w:p w14:paraId="446FA1A6" w14:textId="77777777"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Where:</w:t>
      </w:r>
    </w:p>
    <w:p w14:paraId="09993E0A" w14:textId="77777777" w:rsidR="003C0E6D" w:rsidRPr="00F7293C" w:rsidRDefault="003C0E6D" w:rsidP="003C0E6D">
      <w:pPr>
        <w:jc w:val="both"/>
        <w:rPr>
          <w:rFonts w:ascii="Arial" w:hAnsi="Arial" w:cs="Arial"/>
          <w:bCs/>
          <w:szCs w:val="24"/>
          <w:lang w:val="en-IN"/>
        </w:rPr>
      </w:pPr>
      <m:oMath>
        <m:r>
          <w:rPr>
            <w:rFonts w:ascii="Cambria Math" w:hAnsi="Cambria Math" w:cs="Arial"/>
            <w:szCs w:val="24"/>
            <w:lang w:val="en-IN"/>
          </w:rPr>
          <m:t>n=</m:t>
        </m:r>
      </m:oMath>
      <w:r w:rsidRPr="00F7293C">
        <w:rPr>
          <w:rFonts w:ascii="Arial" w:hAnsi="Arial" w:cs="Arial"/>
          <w:bCs/>
          <w:szCs w:val="24"/>
          <w:lang w:val="en-IN"/>
        </w:rPr>
        <w:t>total production</w:t>
      </w:r>
    </w:p>
    <w:p w14:paraId="56EDCC37" w14:textId="77777777" w:rsidR="003C0E6D" w:rsidRPr="00F7293C" w:rsidRDefault="003C0E6D" w:rsidP="003C0E6D">
      <w:pPr>
        <w:jc w:val="both"/>
        <w:rPr>
          <w:rFonts w:ascii="Arial" w:hAnsi="Arial" w:cs="Arial"/>
          <w:bCs/>
          <w:szCs w:val="24"/>
          <w:lang w:val="en-IN"/>
        </w:rPr>
      </w:pPr>
      <m:oMath>
        <m:r>
          <w:rPr>
            <w:rFonts w:ascii="Cambria Math" w:hAnsi="Cambria Math" w:cs="Arial"/>
            <w:szCs w:val="24"/>
            <w:lang w:val="en-IN"/>
          </w:rPr>
          <m:t>p=</m:t>
        </m:r>
      </m:oMath>
      <w:r w:rsidRPr="00F7293C">
        <w:rPr>
          <w:rFonts w:ascii="Arial" w:hAnsi="Arial" w:cs="Arial"/>
          <w:bCs/>
          <w:szCs w:val="24"/>
          <w:lang w:val="en-IN"/>
        </w:rPr>
        <w:t>probability of success</w:t>
      </w:r>
    </w:p>
    <w:p w14:paraId="2B0C4357" w14:textId="77777777" w:rsidR="003C0E6D" w:rsidRPr="00F7293C" w:rsidRDefault="003C0E6D" w:rsidP="003C0E6D">
      <w:pPr>
        <w:jc w:val="both"/>
        <w:rPr>
          <w:rFonts w:ascii="Arial" w:hAnsi="Arial" w:cs="Arial"/>
          <w:bCs/>
          <w:szCs w:val="24"/>
          <w:lang w:val="en-IN"/>
        </w:rPr>
      </w:pPr>
    </w:p>
    <w:p w14:paraId="1DB74DFC" w14:textId="77777777" w:rsidR="003C0E6D" w:rsidRPr="00F7293C" w:rsidRDefault="003C0E6D" w:rsidP="003C0E6D">
      <w:pPr>
        <w:jc w:val="both"/>
        <w:rPr>
          <w:rFonts w:ascii="Arial" w:hAnsi="Arial" w:cs="Arial"/>
          <w:bCs/>
          <w:szCs w:val="24"/>
          <w:lang w:val="en-IN"/>
        </w:rPr>
      </w:pPr>
    </w:p>
    <w:p w14:paraId="15614CE6" w14:textId="4133917C" w:rsidR="003C0E6D" w:rsidRPr="00F7293C" w:rsidRDefault="003C0E6D" w:rsidP="003C0E6D">
      <w:pPr>
        <w:jc w:val="both"/>
        <w:rPr>
          <w:rFonts w:ascii="Arial" w:hAnsi="Arial" w:cs="Arial"/>
          <w:b/>
          <w:szCs w:val="24"/>
          <w:lang w:val="en-IN"/>
        </w:rPr>
      </w:pPr>
      <w:r w:rsidRPr="00F7293C">
        <w:rPr>
          <w:rFonts w:ascii="Arial" w:hAnsi="Arial" w:cs="Arial"/>
          <w:b/>
          <w:szCs w:val="24"/>
          <w:lang w:val="en-IN"/>
        </w:rPr>
        <w:t>Table 5-</w:t>
      </w:r>
      <w:r w:rsidR="00F7293C" w:rsidRPr="00F7293C">
        <w:rPr>
          <w:rFonts w:ascii="Arial" w:hAnsi="Arial" w:cs="Arial"/>
          <w:b/>
        </w:rPr>
        <w:t xml:space="preserve"> </w:t>
      </w:r>
      <w:r w:rsidR="00F7293C" w:rsidRPr="00F7293C">
        <w:rPr>
          <w:rFonts w:ascii="Arial" w:hAnsi="Arial" w:cs="Arial"/>
          <w:b/>
          <w:szCs w:val="24"/>
        </w:rPr>
        <w:t xml:space="preserve">Stochastic Estimates of Marketed Surplus and Spoilage </w:t>
      </w:r>
      <w:proofErr w:type="spellStart"/>
      <w:r w:rsidR="00F7293C" w:rsidRPr="00F7293C">
        <w:rPr>
          <w:rFonts w:ascii="Arial" w:hAnsi="Arial" w:cs="Arial"/>
          <w:b/>
          <w:szCs w:val="24"/>
        </w:rPr>
        <w:t>Behaviour</w:t>
      </w:r>
      <w:proofErr w:type="spellEnd"/>
      <w:r w:rsidR="00F7293C" w:rsidRPr="00F7293C">
        <w:rPr>
          <w:rFonts w:ascii="Arial" w:hAnsi="Arial" w:cs="Arial"/>
          <w:b/>
          <w:szCs w:val="24"/>
        </w:rPr>
        <w:t xml:space="preserve"> across Farm Categories</w:t>
      </w:r>
    </w:p>
    <w:p w14:paraId="4F18E3CF" w14:textId="77777777" w:rsidR="003C0E6D" w:rsidRPr="00F7293C" w:rsidRDefault="003C0E6D" w:rsidP="003C0E6D">
      <w:pPr>
        <w:jc w:val="both"/>
        <w:rPr>
          <w:rFonts w:ascii="Arial" w:hAnsi="Arial" w:cs="Arial"/>
          <w:bCs/>
          <w:szCs w:val="24"/>
          <w:lang w:val="en-IN"/>
        </w:rPr>
      </w:pPr>
    </w:p>
    <w:tbl>
      <w:tblPr>
        <w:tblStyle w:val="TableGrid"/>
        <w:tblW w:w="0" w:type="auto"/>
        <w:jc w:val="center"/>
        <w:tblLook w:val="04A0" w:firstRow="1" w:lastRow="0" w:firstColumn="1" w:lastColumn="0" w:noHBand="0" w:noVBand="1"/>
      </w:tblPr>
      <w:tblGrid>
        <w:gridCol w:w="1639"/>
        <w:gridCol w:w="1639"/>
        <w:gridCol w:w="1640"/>
        <w:gridCol w:w="1640"/>
        <w:gridCol w:w="1640"/>
      </w:tblGrid>
      <w:tr w:rsidR="003C0E6D" w:rsidRPr="00F7293C" w14:paraId="535C054B" w14:textId="77777777" w:rsidTr="00F7293C">
        <w:trPr>
          <w:jc w:val="center"/>
        </w:trPr>
        <w:tc>
          <w:tcPr>
            <w:tcW w:w="1639" w:type="dxa"/>
          </w:tcPr>
          <w:p w14:paraId="2213C150"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Farm Category</w:t>
            </w:r>
          </w:p>
        </w:tc>
        <w:tc>
          <w:tcPr>
            <w:tcW w:w="1639" w:type="dxa"/>
          </w:tcPr>
          <w:p w14:paraId="6AEBDC99"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Variable Type</w:t>
            </w:r>
          </w:p>
        </w:tc>
        <w:tc>
          <w:tcPr>
            <w:tcW w:w="1640" w:type="dxa"/>
          </w:tcPr>
          <w:p w14:paraId="757ABECF"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Expected Value (kg)</w:t>
            </w:r>
          </w:p>
        </w:tc>
        <w:tc>
          <w:tcPr>
            <w:tcW w:w="1640" w:type="dxa"/>
          </w:tcPr>
          <w:p w14:paraId="00F6F454"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Variance (kg²)</w:t>
            </w:r>
          </w:p>
        </w:tc>
        <w:tc>
          <w:tcPr>
            <w:tcW w:w="1640" w:type="dxa"/>
          </w:tcPr>
          <w:p w14:paraId="1D07E800"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Interpretation</w:t>
            </w:r>
          </w:p>
        </w:tc>
      </w:tr>
      <w:tr w:rsidR="003C0E6D" w:rsidRPr="00F7293C" w14:paraId="52C39537" w14:textId="77777777" w:rsidTr="00F7293C">
        <w:trPr>
          <w:jc w:val="center"/>
        </w:trPr>
        <w:tc>
          <w:tcPr>
            <w:tcW w:w="1639" w:type="dxa"/>
          </w:tcPr>
          <w:p w14:paraId="0C43E38E"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Small Farms</w:t>
            </w:r>
          </w:p>
        </w:tc>
        <w:tc>
          <w:tcPr>
            <w:tcW w:w="1639" w:type="dxa"/>
          </w:tcPr>
          <w:p w14:paraId="237D7D87"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Marketed quantity</w:t>
            </w:r>
          </w:p>
        </w:tc>
        <w:tc>
          <w:tcPr>
            <w:tcW w:w="1640" w:type="dxa"/>
          </w:tcPr>
          <w:p w14:paraId="20456DB3"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10527.14</w:t>
            </w:r>
          </w:p>
        </w:tc>
        <w:tc>
          <w:tcPr>
            <w:tcW w:w="1640" w:type="dxa"/>
          </w:tcPr>
          <w:p w14:paraId="228E34B6"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165.3</w:t>
            </w:r>
          </w:p>
        </w:tc>
        <w:tc>
          <w:tcPr>
            <w:tcW w:w="1640" w:type="dxa"/>
          </w:tcPr>
          <w:p w14:paraId="4488E4F0"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High marketed surplus with very low dispersion, indicating near-certain sale of output</w:t>
            </w:r>
          </w:p>
        </w:tc>
      </w:tr>
      <w:tr w:rsidR="003C0E6D" w:rsidRPr="00F7293C" w14:paraId="158C7557" w14:textId="77777777" w:rsidTr="00F7293C">
        <w:trPr>
          <w:jc w:val="center"/>
        </w:trPr>
        <w:tc>
          <w:tcPr>
            <w:tcW w:w="1639" w:type="dxa"/>
          </w:tcPr>
          <w:p w14:paraId="34404A81"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Marginal Farms</w:t>
            </w:r>
          </w:p>
        </w:tc>
        <w:tc>
          <w:tcPr>
            <w:tcW w:w="1639" w:type="dxa"/>
          </w:tcPr>
          <w:p w14:paraId="21770371"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Marketed quantity</w:t>
            </w:r>
          </w:p>
        </w:tc>
        <w:tc>
          <w:tcPr>
            <w:tcW w:w="1640" w:type="dxa"/>
          </w:tcPr>
          <w:p w14:paraId="6DCBD1F3"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7060.93</w:t>
            </w:r>
          </w:p>
        </w:tc>
        <w:tc>
          <w:tcPr>
            <w:tcW w:w="1640" w:type="dxa"/>
          </w:tcPr>
          <w:p w14:paraId="3F42578E"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88.2</w:t>
            </w:r>
          </w:p>
        </w:tc>
        <w:tc>
          <w:tcPr>
            <w:tcW w:w="1640" w:type="dxa"/>
          </w:tcPr>
          <w:p w14:paraId="6F25BB39"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Almost complete marketed output with minimal variability</w:t>
            </w:r>
          </w:p>
        </w:tc>
      </w:tr>
      <w:tr w:rsidR="003C0E6D" w:rsidRPr="00F7293C" w14:paraId="287FFC64" w14:textId="77777777" w:rsidTr="00F7293C">
        <w:trPr>
          <w:jc w:val="center"/>
        </w:trPr>
        <w:tc>
          <w:tcPr>
            <w:tcW w:w="1639" w:type="dxa"/>
          </w:tcPr>
          <w:p w14:paraId="487E595B"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Overall</w:t>
            </w:r>
          </w:p>
        </w:tc>
        <w:tc>
          <w:tcPr>
            <w:tcW w:w="1639" w:type="dxa"/>
          </w:tcPr>
          <w:p w14:paraId="3236CE3A"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Marketed quantity</w:t>
            </w:r>
          </w:p>
        </w:tc>
        <w:tc>
          <w:tcPr>
            <w:tcW w:w="1640" w:type="dxa"/>
          </w:tcPr>
          <w:p w14:paraId="7B925C8F"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7711.04</w:t>
            </w:r>
          </w:p>
        </w:tc>
        <w:tc>
          <w:tcPr>
            <w:tcW w:w="1640" w:type="dxa"/>
          </w:tcPr>
          <w:p w14:paraId="38F5E3D1"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117.9</w:t>
            </w:r>
          </w:p>
        </w:tc>
        <w:tc>
          <w:tcPr>
            <w:tcW w:w="1640" w:type="dxa"/>
          </w:tcPr>
          <w:p w14:paraId="4C31AB28"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Strong market participation with negligible uncertainty</w:t>
            </w:r>
          </w:p>
        </w:tc>
      </w:tr>
      <w:tr w:rsidR="003C0E6D" w:rsidRPr="00F7293C" w14:paraId="0818AAF3" w14:textId="77777777" w:rsidTr="00F7293C">
        <w:trPr>
          <w:jc w:val="center"/>
        </w:trPr>
        <w:tc>
          <w:tcPr>
            <w:tcW w:w="1639" w:type="dxa"/>
          </w:tcPr>
          <w:p w14:paraId="51026085"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Small Farms</w:t>
            </w:r>
          </w:p>
        </w:tc>
        <w:tc>
          <w:tcPr>
            <w:tcW w:w="1639" w:type="dxa"/>
          </w:tcPr>
          <w:p w14:paraId="633DA023"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Spoilage quantity</w:t>
            </w:r>
          </w:p>
        </w:tc>
        <w:tc>
          <w:tcPr>
            <w:tcW w:w="1640" w:type="dxa"/>
          </w:tcPr>
          <w:p w14:paraId="4E35460A"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81.38</w:t>
            </w:r>
          </w:p>
        </w:tc>
        <w:tc>
          <w:tcPr>
            <w:tcW w:w="1640" w:type="dxa"/>
          </w:tcPr>
          <w:p w14:paraId="6CCCD9FA"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80.7</w:t>
            </w:r>
          </w:p>
        </w:tc>
        <w:tc>
          <w:tcPr>
            <w:tcW w:w="1640" w:type="dxa"/>
          </w:tcPr>
          <w:p w14:paraId="09D33EB0"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Very low spoilage, indicating efficient post-harvest handling</w:t>
            </w:r>
          </w:p>
        </w:tc>
      </w:tr>
      <w:tr w:rsidR="003C0E6D" w:rsidRPr="00F7293C" w14:paraId="1FE9C7BE" w14:textId="77777777" w:rsidTr="00F7293C">
        <w:trPr>
          <w:jc w:val="center"/>
        </w:trPr>
        <w:tc>
          <w:tcPr>
            <w:tcW w:w="1639" w:type="dxa"/>
          </w:tcPr>
          <w:p w14:paraId="3562EAEB"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Marginal Farms</w:t>
            </w:r>
          </w:p>
        </w:tc>
        <w:tc>
          <w:tcPr>
            <w:tcW w:w="1639" w:type="dxa"/>
          </w:tcPr>
          <w:p w14:paraId="2EDB0D84"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Spoilage quantity</w:t>
            </w:r>
          </w:p>
        </w:tc>
        <w:tc>
          <w:tcPr>
            <w:tcW w:w="1640" w:type="dxa"/>
          </w:tcPr>
          <w:p w14:paraId="24A25A1F"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39.35</w:t>
            </w:r>
          </w:p>
        </w:tc>
        <w:tc>
          <w:tcPr>
            <w:tcW w:w="1640" w:type="dxa"/>
          </w:tcPr>
          <w:p w14:paraId="03681096"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39.1</w:t>
            </w:r>
          </w:p>
        </w:tc>
        <w:tc>
          <w:tcPr>
            <w:tcW w:w="1640" w:type="dxa"/>
          </w:tcPr>
          <w:p w14:paraId="4A50FC3F"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Minimal losses with low variability</w:t>
            </w:r>
          </w:p>
        </w:tc>
      </w:tr>
      <w:tr w:rsidR="003C0E6D" w:rsidRPr="00F7293C" w14:paraId="668C0184" w14:textId="77777777" w:rsidTr="00F7293C">
        <w:trPr>
          <w:jc w:val="center"/>
        </w:trPr>
        <w:tc>
          <w:tcPr>
            <w:tcW w:w="1639" w:type="dxa"/>
          </w:tcPr>
          <w:p w14:paraId="66A0891B" w14:textId="77777777" w:rsidR="003C0E6D" w:rsidRPr="00F7293C" w:rsidRDefault="003C0E6D" w:rsidP="00F7293C">
            <w:pPr>
              <w:jc w:val="center"/>
              <w:rPr>
                <w:rFonts w:ascii="Arial" w:hAnsi="Arial" w:cs="Arial"/>
                <w:b/>
                <w:szCs w:val="24"/>
                <w:lang w:val="en-IN"/>
              </w:rPr>
            </w:pPr>
            <w:r w:rsidRPr="00F7293C">
              <w:rPr>
                <w:rFonts w:ascii="Arial" w:hAnsi="Arial" w:cs="Arial"/>
                <w:b/>
                <w:szCs w:val="24"/>
                <w:lang w:val="en-IN"/>
              </w:rPr>
              <w:t>Overall</w:t>
            </w:r>
          </w:p>
        </w:tc>
        <w:tc>
          <w:tcPr>
            <w:tcW w:w="1639" w:type="dxa"/>
          </w:tcPr>
          <w:p w14:paraId="37B8BCC8"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Spoilage quantity</w:t>
            </w:r>
          </w:p>
        </w:tc>
        <w:tc>
          <w:tcPr>
            <w:tcW w:w="1640" w:type="dxa"/>
          </w:tcPr>
          <w:p w14:paraId="452F14AE"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55.64</w:t>
            </w:r>
          </w:p>
        </w:tc>
        <w:tc>
          <w:tcPr>
            <w:tcW w:w="1640" w:type="dxa"/>
          </w:tcPr>
          <w:p w14:paraId="3A3930C0"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55.1</w:t>
            </w:r>
          </w:p>
        </w:tc>
        <w:tc>
          <w:tcPr>
            <w:tcW w:w="1640" w:type="dxa"/>
          </w:tcPr>
          <w:p w14:paraId="3F1011EA" w14:textId="77777777" w:rsidR="003C0E6D" w:rsidRPr="00F7293C" w:rsidRDefault="003C0E6D" w:rsidP="00F7293C">
            <w:pPr>
              <w:jc w:val="center"/>
              <w:rPr>
                <w:rFonts w:ascii="Arial" w:hAnsi="Arial" w:cs="Arial"/>
                <w:bCs/>
                <w:szCs w:val="24"/>
                <w:lang w:val="en-IN"/>
              </w:rPr>
            </w:pPr>
            <w:r w:rsidRPr="00F7293C">
              <w:rPr>
                <w:rFonts w:ascii="Arial" w:hAnsi="Arial" w:cs="Arial"/>
                <w:bCs/>
                <w:szCs w:val="24"/>
                <w:lang w:val="en-IN"/>
              </w:rPr>
              <w:t xml:space="preserve">Negligible wastage confirming efficient </w:t>
            </w:r>
            <w:r w:rsidRPr="00F7293C">
              <w:rPr>
                <w:rFonts w:ascii="Arial" w:hAnsi="Arial" w:cs="Arial"/>
                <w:bCs/>
                <w:szCs w:val="24"/>
                <w:lang w:val="en-IN"/>
              </w:rPr>
              <w:lastRenderedPageBreak/>
              <w:t xml:space="preserve">supply chain </w:t>
            </w:r>
            <w:proofErr w:type="spellStart"/>
            <w:r w:rsidRPr="00F7293C">
              <w:rPr>
                <w:rFonts w:ascii="Arial" w:hAnsi="Arial" w:cs="Arial"/>
                <w:bCs/>
                <w:szCs w:val="24"/>
                <w:lang w:val="en-IN"/>
              </w:rPr>
              <w:t>behavior</w:t>
            </w:r>
            <w:proofErr w:type="spellEnd"/>
          </w:p>
        </w:tc>
      </w:tr>
    </w:tbl>
    <w:p w14:paraId="06C6495D" w14:textId="77777777" w:rsidR="003C0E6D" w:rsidRPr="00F7293C" w:rsidRDefault="003C0E6D" w:rsidP="003C0E6D">
      <w:pPr>
        <w:jc w:val="both"/>
        <w:rPr>
          <w:rFonts w:ascii="Arial" w:hAnsi="Arial" w:cs="Arial"/>
          <w:bCs/>
          <w:szCs w:val="24"/>
          <w:lang w:val="en-IN"/>
        </w:rPr>
      </w:pPr>
    </w:p>
    <w:p w14:paraId="186C8831" w14:textId="77777777" w:rsidR="003C0E6D" w:rsidRPr="00F7293C" w:rsidRDefault="003C0E6D" w:rsidP="003C0E6D">
      <w:pPr>
        <w:jc w:val="both"/>
        <w:rPr>
          <w:rFonts w:ascii="Arial" w:hAnsi="Arial" w:cs="Arial"/>
          <w:b/>
          <w:szCs w:val="24"/>
        </w:rPr>
      </w:pPr>
    </w:p>
    <w:p w14:paraId="16B1894F" w14:textId="77777777" w:rsidR="003C0E6D" w:rsidRPr="00F7293C" w:rsidRDefault="003C0E6D" w:rsidP="003C0E6D">
      <w:pPr>
        <w:jc w:val="both"/>
        <w:rPr>
          <w:rFonts w:ascii="Arial" w:hAnsi="Arial" w:cs="Arial"/>
          <w:b/>
          <w:szCs w:val="24"/>
        </w:rPr>
      </w:pPr>
    </w:p>
    <w:p w14:paraId="33ED5672" w14:textId="77777777" w:rsidR="003C0E6D" w:rsidRPr="00F7293C" w:rsidRDefault="003C0E6D" w:rsidP="003C0E6D">
      <w:pPr>
        <w:jc w:val="both"/>
        <w:rPr>
          <w:rFonts w:ascii="Arial" w:hAnsi="Arial" w:cs="Arial"/>
          <w:b/>
          <w:szCs w:val="24"/>
        </w:rPr>
      </w:pPr>
    </w:p>
    <w:p w14:paraId="331A167A" w14:textId="77777777" w:rsidR="003C0E6D" w:rsidRPr="00F7293C" w:rsidRDefault="003C0E6D" w:rsidP="003C0E6D">
      <w:pPr>
        <w:jc w:val="both"/>
        <w:rPr>
          <w:rFonts w:ascii="Arial" w:hAnsi="Arial" w:cs="Arial"/>
          <w:b/>
          <w:szCs w:val="24"/>
        </w:rPr>
      </w:pPr>
    </w:p>
    <w:p w14:paraId="5DAC5325" w14:textId="7B4E843C" w:rsidR="003C0E6D" w:rsidRPr="00F7293C" w:rsidRDefault="003C0E6D" w:rsidP="003C0E6D">
      <w:pPr>
        <w:jc w:val="both"/>
        <w:rPr>
          <w:rFonts w:ascii="Arial" w:hAnsi="Arial" w:cs="Arial"/>
          <w:b/>
          <w:szCs w:val="24"/>
        </w:rPr>
      </w:pPr>
      <w:r w:rsidRPr="00F7293C">
        <w:rPr>
          <w:rFonts w:ascii="Arial" w:hAnsi="Arial" w:cs="Arial"/>
          <w:b/>
          <w:szCs w:val="24"/>
        </w:rPr>
        <w:t xml:space="preserve">Table </w:t>
      </w:r>
      <w:r w:rsidR="00F7293C">
        <w:rPr>
          <w:rFonts w:ascii="Arial" w:hAnsi="Arial" w:cs="Arial"/>
          <w:b/>
          <w:szCs w:val="24"/>
        </w:rPr>
        <w:t>6</w:t>
      </w:r>
      <w:r w:rsidRPr="00F7293C">
        <w:rPr>
          <w:rFonts w:ascii="Arial" w:hAnsi="Arial" w:cs="Arial"/>
          <w:b/>
          <w:szCs w:val="24"/>
        </w:rPr>
        <w:t xml:space="preserve"> - Marketing, Utilization, and Bernoulli-Binomial Analysis of Off-Season Cabbage in Senapati</w:t>
      </w:r>
    </w:p>
    <w:tbl>
      <w:tblPr>
        <w:tblStyle w:val="TableGrid"/>
        <w:tblW w:w="8659" w:type="dxa"/>
        <w:jc w:val="center"/>
        <w:tblLook w:val="04A0" w:firstRow="1" w:lastRow="0" w:firstColumn="1" w:lastColumn="0" w:noHBand="0" w:noVBand="1"/>
      </w:tblPr>
      <w:tblGrid>
        <w:gridCol w:w="1083"/>
        <w:gridCol w:w="1272"/>
        <w:gridCol w:w="1261"/>
        <w:gridCol w:w="1095"/>
        <w:gridCol w:w="1061"/>
        <w:gridCol w:w="1250"/>
        <w:gridCol w:w="1051"/>
        <w:gridCol w:w="806"/>
      </w:tblGrid>
      <w:tr w:rsidR="00F7293C" w:rsidRPr="00F7293C" w14:paraId="60AC926B" w14:textId="77777777" w:rsidTr="00F7293C">
        <w:trPr>
          <w:trHeight w:val="1005"/>
          <w:jc w:val="center"/>
        </w:trPr>
        <w:tc>
          <w:tcPr>
            <w:tcW w:w="1057" w:type="dxa"/>
          </w:tcPr>
          <w:p w14:paraId="4B0E7D49"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Category</w:t>
            </w:r>
          </w:p>
        </w:tc>
        <w:tc>
          <w:tcPr>
            <w:tcW w:w="1238" w:type="dxa"/>
          </w:tcPr>
          <w:p w14:paraId="05E9456C"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Total Production (kg)</w:t>
            </w:r>
          </w:p>
        </w:tc>
        <w:tc>
          <w:tcPr>
            <w:tcW w:w="1227" w:type="dxa"/>
          </w:tcPr>
          <w:p w14:paraId="6118E2ED"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Marketable Surplus (kg)</w:t>
            </w:r>
          </w:p>
        </w:tc>
        <w:tc>
          <w:tcPr>
            <w:tcW w:w="1068" w:type="dxa"/>
          </w:tcPr>
          <w:p w14:paraId="12C67BC3"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Marketed Surplus (kg)</w:t>
            </w:r>
          </w:p>
        </w:tc>
        <w:tc>
          <w:tcPr>
            <w:tcW w:w="1036" w:type="dxa"/>
          </w:tcPr>
          <w:p w14:paraId="63869D43"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Retained (kg)</w:t>
            </w:r>
          </w:p>
        </w:tc>
        <w:tc>
          <w:tcPr>
            <w:tcW w:w="1216" w:type="dxa"/>
          </w:tcPr>
          <w:p w14:paraId="3E4C00BC"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Probability (p)</w:t>
            </w:r>
          </w:p>
        </w:tc>
        <w:tc>
          <w:tcPr>
            <w:tcW w:w="1026" w:type="dxa"/>
          </w:tcPr>
          <w:p w14:paraId="04C50DA2"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E[X] (kg)</w:t>
            </w:r>
          </w:p>
        </w:tc>
        <w:tc>
          <w:tcPr>
            <w:tcW w:w="791" w:type="dxa"/>
          </w:tcPr>
          <w:p w14:paraId="16A8B175"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Var[X]</w:t>
            </w:r>
          </w:p>
        </w:tc>
      </w:tr>
      <w:tr w:rsidR="00F7293C" w:rsidRPr="00F7293C" w14:paraId="0CB668F4" w14:textId="77777777" w:rsidTr="00F7293C">
        <w:trPr>
          <w:trHeight w:val="510"/>
          <w:jc w:val="center"/>
        </w:trPr>
        <w:tc>
          <w:tcPr>
            <w:tcW w:w="1057" w:type="dxa"/>
          </w:tcPr>
          <w:p w14:paraId="577A068F"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Small</w:t>
            </w:r>
          </w:p>
        </w:tc>
        <w:tc>
          <w:tcPr>
            <w:tcW w:w="1238" w:type="dxa"/>
          </w:tcPr>
          <w:p w14:paraId="7F5A872B"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10695.39</w:t>
            </w:r>
          </w:p>
        </w:tc>
        <w:tc>
          <w:tcPr>
            <w:tcW w:w="1227" w:type="dxa"/>
          </w:tcPr>
          <w:p w14:paraId="4F007A0D"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10527.14</w:t>
            </w:r>
          </w:p>
        </w:tc>
        <w:tc>
          <w:tcPr>
            <w:tcW w:w="1068" w:type="dxa"/>
          </w:tcPr>
          <w:p w14:paraId="60572142"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10527.14</w:t>
            </w:r>
          </w:p>
        </w:tc>
        <w:tc>
          <w:tcPr>
            <w:tcW w:w="1036" w:type="dxa"/>
          </w:tcPr>
          <w:p w14:paraId="09A3C755"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168.25</w:t>
            </w:r>
          </w:p>
        </w:tc>
        <w:tc>
          <w:tcPr>
            <w:tcW w:w="1216" w:type="dxa"/>
          </w:tcPr>
          <w:p w14:paraId="6B22BFFF"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0.9843</w:t>
            </w:r>
          </w:p>
        </w:tc>
        <w:tc>
          <w:tcPr>
            <w:tcW w:w="1026" w:type="dxa"/>
          </w:tcPr>
          <w:p w14:paraId="2F2C9BB7"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10527.14</w:t>
            </w:r>
          </w:p>
        </w:tc>
        <w:tc>
          <w:tcPr>
            <w:tcW w:w="791" w:type="dxa"/>
          </w:tcPr>
          <w:p w14:paraId="5D5E7B8B"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165.3</w:t>
            </w:r>
          </w:p>
        </w:tc>
      </w:tr>
      <w:tr w:rsidR="00F7293C" w:rsidRPr="00F7293C" w14:paraId="09DBC55C" w14:textId="77777777" w:rsidTr="00F7293C">
        <w:trPr>
          <w:trHeight w:val="495"/>
          <w:jc w:val="center"/>
        </w:trPr>
        <w:tc>
          <w:tcPr>
            <w:tcW w:w="1057" w:type="dxa"/>
          </w:tcPr>
          <w:p w14:paraId="4CE509DE"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Marginal</w:t>
            </w:r>
          </w:p>
        </w:tc>
        <w:tc>
          <w:tcPr>
            <w:tcW w:w="1238" w:type="dxa"/>
          </w:tcPr>
          <w:p w14:paraId="09B87074"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7150.55</w:t>
            </w:r>
          </w:p>
        </w:tc>
        <w:tc>
          <w:tcPr>
            <w:tcW w:w="1227" w:type="dxa"/>
          </w:tcPr>
          <w:p w14:paraId="03BECDB6"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7060.93</w:t>
            </w:r>
          </w:p>
        </w:tc>
        <w:tc>
          <w:tcPr>
            <w:tcW w:w="1068" w:type="dxa"/>
          </w:tcPr>
          <w:p w14:paraId="49E6821A"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7060.93</w:t>
            </w:r>
          </w:p>
        </w:tc>
        <w:tc>
          <w:tcPr>
            <w:tcW w:w="1036" w:type="dxa"/>
          </w:tcPr>
          <w:p w14:paraId="2B1A081F"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89.62</w:t>
            </w:r>
          </w:p>
        </w:tc>
        <w:tc>
          <w:tcPr>
            <w:tcW w:w="1216" w:type="dxa"/>
          </w:tcPr>
          <w:p w14:paraId="20B65D96"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0.9875</w:t>
            </w:r>
          </w:p>
        </w:tc>
        <w:tc>
          <w:tcPr>
            <w:tcW w:w="1026" w:type="dxa"/>
          </w:tcPr>
          <w:p w14:paraId="0F31128B"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7060.93</w:t>
            </w:r>
          </w:p>
        </w:tc>
        <w:tc>
          <w:tcPr>
            <w:tcW w:w="791" w:type="dxa"/>
          </w:tcPr>
          <w:p w14:paraId="68A12A2C"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88.2</w:t>
            </w:r>
          </w:p>
        </w:tc>
      </w:tr>
      <w:tr w:rsidR="00F7293C" w:rsidRPr="00F7293C" w14:paraId="4B6451F3" w14:textId="77777777" w:rsidTr="00F7293C">
        <w:trPr>
          <w:trHeight w:val="495"/>
          <w:jc w:val="center"/>
        </w:trPr>
        <w:tc>
          <w:tcPr>
            <w:tcW w:w="1057" w:type="dxa"/>
          </w:tcPr>
          <w:p w14:paraId="4F2F1910" w14:textId="77777777" w:rsidR="00F7293C" w:rsidRPr="00F7293C" w:rsidRDefault="00F7293C" w:rsidP="00F7293C">
            <w:pPr>
              <w:jc w:val="center"/>
              <w:rPr>
                <w:rFonts w:ascii="Arial" w:hAnsi="Arial" w:cs="Arial"/>
                <w:b/>
                <w:sz w:val="20"/>
                <w:szCs w:val="20"/>
              </w:rPr>
            </w:pPr>
            <w:r w:rsidRPr="00F7293C">
              <w:rPr>
                <w:rFonts w:ascii="Arial" w:hAnsi="Arial" w:cs="Arial"/>
                <w:b/>
                <w:sz w:val="20"/>
                <w:szCs w:val="20"/>
              </w:rPr>
              <w:t>Overall</w:t>
            </w:r>
          </w:p>
        </w:tc>
        <w:tc>
          <w:tcPr>
            <w:tcW w:w="1238" w:type="dxa"/>
          </w:tcPr>
          <w:p w14:paraId="5CE14EF5"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7830.91</w:t>
            </w:r>
          </w:p>
        </w:tc>
        <w:tc>
          <w:tcPr>
            <w:tcW w:w="1227" w:type="dxa"/>
          </w:tcPr>
          <w:p w14:paraId="4A9EE62B"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7711.04</w:t>
            </w:r>
          </w:p>
        </w:tc>
        <w:tc>
          <w:tcPr>
            <w:tcW w:w="1068" w:type="dxa"/>
          </w:tcPr>
          <w:p w14:paraId="4CF0DF4E"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7711.04</w:t>
            </w:r>
          </w:p>
        </w:tc>
        <w:tc>
          <w:tcPr>
            <w:tcW w:w="1036" w:type="dxa"/>
          </w:tcPr>
          <w:p w14:paraId="4FB38B73"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119.87</w:t>
            </w:r>
          </w:p>
        </w:tc>
        <w:tc>
          <w:tcPr>
            <w:tcW w:w="1216" w:type="dxa"/>
          </w:tcPr>
          <w:p w14:paraId="35F9ABFF"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0.9847</w:t>
            </w:r>
          </w:p>
        </w:tc>
        <w:tc>
          <w:tcPr>
            <w:tcW w:w="1026" w:type="dxa"/>
          </w:tcPr>
          <w:p w14:paraId="46481AB8"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7711.04</w:t>
            </w:r>
          </w:p>
        </w:tc>
        <w:tc>
          <w:tcPr>
            <w:tcW w:w="791" w:type="dxa"/>
          </w:tcPr>
          <w:p w14:paraId="5735F0D0" w14:textId="77777777" w:rsidR="00F7293C" w:rsidRPr="00F7293C" w:rsidRDefault="00F7293C" w:rsidP="00F7293C">
            <w:pPr>
              <w:jc w:val="center"/>
              <w:rPr>
                <w:rFonts w:ascii="Arial" w:hAnsi="Arial" w:cs="Arial"/>
                <w:bCs/>
                <w:sz w:val="20"/>
                <w:szCs w:val="20"/>
              </w:rPr>
            </w:pPr>
            <w:r w:rsidRPr="00F7293C">
              <w:rPr>
                <w:rFonts w:ascii="Arial" w:hAnsi="Arial" w:cs="Arial"/>
                <w:bCs/>
                <w:sz w:val="20"/>
                <w:szCs w:val="20"/>
              </w:rPr>
              <w:t>117.9</w:t>
            </w:r>
          </w:p>
        </w:tc>
      </w:tr>
    </w:tbl>
    <w:p w14:paraId="54D64E7B" w14:textId="77777777" w:rsidR="00F7293C" w:rsidRDefault="00F7293C" w:rsidP="003C0E6D">
      <w:pPr>
        <w:jc w:val="both"/>
        <w:rPr>
          <w:rFonts w:ascii="Arial" w:hAnsi="Arial" w:cs="Arial"/>
          <w:b/>
          <w:szCs w:val="24"/>
        </w:rPr>
      </w:pPr>
    </w:p>
    <w:p w14:paraId="22C78CAB" w14:textId="77777777" w:rsidR="00F7293C" w:rsidRDefault="00F7293C" w:rsidP="003C0E6D">
      <w:pPr>
        <w:jc w:val="both"/>
        <w:rPr>
          <w:rFonts w:ascii="Arial" w:hAnsi="Arial" w:cs="Arial"/>
          <w:b/>
          <w:szCs w:val="24"/>
        </w:rPr>
      </w:pPr>
    </w:p>
    <w:p w14:paraId="4144C5E5" w14:textId="77777777" w:rsidR="00F7293C" w:rsidRDefault="00F7293C" w:rsidP="003C0E6D">
      <w:pPr>
        <w:jc w:val="both"/>
        <w:rPr>
          <w:rFonts w:ascii="Arial" w:hAnsi="Arial" w:cs="Arial"/>
          <w:b/>
          <w:szCs w:val="24"/>
        </w:rPr>
      </w:pPr>
    </w:p>
    <w:p w14:paraId="03202423" w14:textId="77777777" w:rsidR="00564AE5" w:rsidRDefault="003C0E6D" w:rsidP="003C0E6D">
      <w:pPr>
        <w:jc w:val="both"/>
        <w:rPr>
          <w:rFonts w:ascii="Arial" w:hAnsi="Arial" w:cs="Arial"/>
          <w:bCs/>
          <w:szCs w:val="24"/>
          <w:lang w:val="en-IN"/>
        </w:rPr>
      </w:pPr>
      <w:r w:rsidRPr="00F7293C">
        <w:rPr>
          <w:rFonts w:ascii="Arial" w:hAnsi="Arial" w:cs="Arial"/>
          <w:bCs/>
          <w:szCs w:val="24"/>
          <w:lang w:val="en-IN"/>
        </w:rPr>
        <w:t xml:space="preserve">The marketing and utilization of off-season cabbage in Senapati district demonstrated a highly efficient and predictable pattern when interpreted through a Bernoulli-Binomial framework, treating each cabbage head as an independent trial with binary outcomes (success = marketed, failure = retained/spoiled). Total production in small, marginal, and overall farms was 10,695.39 kg, 7,150.55 kg, and 7,830.91 kg, respectively, with minimal quantities retained for home use, gifts, or spoilage (168.25 kg, 89.62 kg, and 119.87 kg). </w:t>
      </w:r>
    </w:p>
    <w:p w14:paraId="254F97BC" w14:textId="77777777" w:rsidR="00564AE5" w:rsidRDefault="00564AE5" w:rsidP="003C0E6D">
      <w:pPr>
        <w:jc w:val="both"/>
        <w:rPr>
          <w:rFonts w:ascii="Arial" w:hAnsi="Arial" w:cs="Arial"/>
          <w:bCs/>
          <w:szCs w:val="24"/>
          <w:lang w:val="en-IN"/>
        </w:rPr>
      </w:pPr>
    </w:p>
    <w:p w14:paraId="59AA366F" w14:textId="0317060B" w:rsidR="003C0E6D" w:rsidRPr="00F7293C" w:rsidRDefault="003C0E6D" w:rsidP="003C0E6D">
      <w:pPr>
        <w:jc w:val="both"/>
        <w:rPr>
          <w:rFonts w:ascii="Arial" w:hAnsi="Arial" w:cs="Arial"/>
          <w:bCs/>
          <w:szCs w:val="24"/>
          <w:lang w:val="en-IN"/>
        </w:rPr>
      </w:pPr>
      <w:r w:rsidRPr="00F7293C">
        <w:rPr>
          <w:rFonts w:ascii="Arial" w:hAnsi="Arial" w:cs="Arial"/>
          <w:bCs/>
          <w:szCs w:val="24"/>
          <w:lang w:val="en-IN"/>
        </w:rPr>
        <w:t>Consequently, the marketed surplus closely matched the marketable surplus (10,527.14 kg, 7,060.93 kg, and 7,711.04 kg), indicating near-complete market disposal. From a Bernoulli perspective, the probability of sale was 0.9843 (small), 0.9875 (marginal), and 0.9847 (overall), confirming that almost all produce reached the market. Spoilage probabilities were negligible (0.0055–0.0076), corresponding to over 99% probability of remaining unspoiled, while retention probabilities were similarly low. The expected marketed quantities (</w:t>
      </w:r>
      <m:oMath>
        <m:r>
          <w:rPr>
            <w:rFonts w:ascii="Cambria Math" w:hAnsi="Cambria Math" w:cs="Arial"/>
            <w:szCs w:val="24"/>
            <w:lang w:val="en-IN"/>
          </w:rPr>
          <m:t>E[X]=n⋅p</m:t>
        </m:r>
      </m:oMath>
      <w:r w:rsidRPr="00F7293C">
        <w:rPr>
          <w:rFonts w:ascii="Arial" w:hAnsi="Arial" w:cs="Arial"/>
          <w:bCs/>
          <w:szCs w:val="24"/>
          <w:lang w:val="en-IN"/>
        </w:rPr>
        <w:t>) precisely matched observed marketed surplus, and the variances (</w:t>
      </w:r>
      <m:oMath>
        <m:r>
          <w:rPr>
            <w:rFonts w:ascii="Cambria Math" w:hAnsi="Cambria Math" w:cs="Arial"/>
            <w:szCs w:val="24"/>
            <w:lang w:val="en-IN"/>
          </w:rPr>
          <m:t>Var[X]=n⋅p⋅(1-p)</m:t>
        </m:r>
      </m:oMath>
      <w:r w:rsidRPr="00F7293C">
        <w:rPr>
          <w:rFonts w:ascii="Arial" w:hAnsi="Arial" w:cs="Arial"/>
          <w:bCs/>
          <w:szCs w:val="24"/>
          <w:lang w:val="en-IN"/>
        </w:rPr>
        <w:t>) were minimal (165.3, 88.2, and 117.9 kg² for small, marginal, and overall farms), reflecting the high reliability and predictability of marketing outcomes.</w:t>
      </w:r>
    </w:p>
    <w:p w14:paraId="71F71331" w14:textId="77777777" w:rsidR="003C0E6D" w:rsidRPr="00F7293C" w:rsidRDefault="003C0E6D" w:rsidP="003C0E6D">
      <w:pPr>
        <w:jc w:val="both"/>
        <w:rPr>
          <w:rFonts w:ascii="Arial" w:hAnsi="Arial" w:cs="Arial"/>
          <w:b/>
          <w:szCs w:val="24"/>
        </w:rPr>
      </w:pPr>
    </w:p>
    <w:p w14:paraId="72594B6E" w14:textId="77777777" w:rsidR="003C0E6D" w:rsidRPr="00F7293C" w:rsidRDefault="003C0E6D" w:rsidP="003C0E6D">
      <w:pPr>
        <w:jc w:val="both"/>
        <w:rPr>
          <w:rFonts w:ascii="Arial" w:hAnsi="Arial" w:cs="Arial"/>
          <w:b/>
          <w:szCs w:val="24"/>
        </w:rPr>
      </w:pPr>
    </w:p>
    <w:p w14:paraId="66AFBD8F" w14:textId="4ADCBF36" w:rsidR="003C0E6D" w:rsidRDefault="003C0E6D" w:rsidP="003C0E6D">
      <w:pPr>
        <w:jc w:val="both"/>
        <w:rPr>
          <w:rFonts w:ascii="Arial" w:hAnsi="Arial" w:cs="Arial"/>
          <w:b/>
          <w:szCs w:val="24"/>
        </w:rPr>
      </w:pPr>
      <w:r w:rsidRPr="00F7293C">
        <w:rPr>
          <w:rFonts w:ascii="Arial" w:hAnsi="Arial" w:cs="Arial"/>
          <w:b/>
          <w:szCs w:val="24"/>
        </w:rPr>
        <w:t xml:space="preserve">Table </w:t>
      </w:r>
      <w:r w:rsidR="00F7293C">
        <w:rPr>
          <w:rFonts w:ascii="Arial" w:hAnsi="Arial" w:cs="Arial"/>
          <w:b/>
          <w:szCs w:val="24"/>
        </w:rPr>
        <w:t>7</w:t>
      </w:r>
      <w:r w:rsidRPr="00F7293C">
        <w:rPr>
          <w:rFonts w:ascii="Arial" w:hAnsi="Arial" w:cs="Arial"/>
          <w:b/>
          <w:szCs w:val="24"/>
        </w:rPr>
        <w:t xml:space="preserve"> - Bernoulli-Binomial Analysis of Off-Season Cabbage Marketing Channels in Senapati</w:t>
      </w:r>
    </w:p>
    <w:tbl>
      <w:tblPr>
        <w:tblStyle w:val="TableGrid"/>
        <w:tblW w:w="0" w:type="auto"/>
        <w:tblLook w:val="04A0" w:firstRow="1" w:lastRow="0" w:firstColumn="1" w:lastColumn="0" w:noHBand="0" w:noVBand="1"/>
      </w:tblPr>
      <w:tblGrid>
        <w:gridCol w:w="1366"/>
        <w:gridCol w:w="1366"/>
        <w:gridCol w:w="1366"/>
        <w:gridCol w:w="1366"/>
        <w:gridCol w:w="1367"/>
        <w:gridCol w:w="1367"/>
      </w:tblGrid>
      <w:tr w:rsidR="00F7293C" w:rsidRPr="00F7293C" w14:paraId="31C2A651" w14:textId="77777777">
        <w:tc>
          <w:tcPr>
            <w:tcW w:w="1366" w:type="dxa"/>
          </w:tcPr>
          <w:p w14:paraId="577D0FDC" w14:textId="77777777" w:rsidR="00F7293C" w:rsidRPr="00F7293C" w:rsidRDefault="00F7293C" w:rsidP="00B56701">
            <w:pPr>
              <w:jc w:val="both"/>
              <w:rPr>
                <w:rFonts w:ascii="Arial" w:hAnsi="Arial" w:cs="Arial"/>
                <w:b/>
                <w:szCs w:val="24"/>
                <w:lang w:val="en-IN"/>
              </w:rPr>
            </w:pPr>
          </w:p>
        </w:tc>
        <w:tc>
          <w:tcPr>
            <w:tcW w:w="1366" w:type="dxa"/>
          </w:tcPr>
          <w:p w14:paraId="73D654A5" w14:textId="77777777" w:rsidR="00F7293C" w:rsidRPr="00F7293C" w:rsidRDefault="00F7293C" w:rsidP="00B56701">
            <w:pPr>
              <w:jc w:val="both"/>
              <w:rPr>
                <w:rFonts w:ascii="Arial" w:hAnsi="Arial" w:cs="Arial"/>
                <w:b/>
                <w:szCs w:val="24"/>
                <w:lang w:val="en-IN"/>
              </w:rPr>
            </w:pPr>
          </w:p>
        </w:tc>
        <w:tc>
          <w:tcPr>
            <w:tcW w:w="1366" w:type="dxa"/>
          </w:tcPr>
          <w:p w14:paraId="007A2319" w14:textId="77777777" w:rsidR="00F7293C" w:rsidRPr="00F7293C" w:rsidRDefault="00F7293C" w:rsidP="00B56701">
            <w:pPr>
              <w:jc w:val="both"/>
              <w:rPr>
                <w:rFonts w:ascii="Arial" w:hAnsi="Arial" w:cs="Arial"/>
                <w:b/>
                <w:szCs w:val="24"/>
                <w:lang w:val="en-IN"/>
              </w:rPr>
            </w:pPr>
          </w:p>
        </w:tc>
        <w:tc>
          <w:tcPr>
            <w:tcW w:w="1366" w:type="dxa"/>
          </w:tcPr>
          <w:p w14:paraId="68A131F3" w14:textId="77777777" w:rsidR="00F7293C" w:rsidRPr="00F7293C" w:rsidRDefault="00F7293C" w:rsidP="00B56701">
            <w:pPr>
              <w:jc w:val="both"/>
              <w:rPr>
                <w:rFonts w:ascii="Arial" w:hAnsi="Arial" w:cs="Arial"/>
                <w:b/>
                <w:szCs w:val="24"/>
                <w:lang w:val="en-IN"/>
              </w:rPr>
            </w:pPr>
          </w:p>
        </w:tc>
        <w:tc>
          <w:tcPr>
            <w:tcW w:w="1367" w:type="dxa"/>
          </w:tcPr>
          <w:p w14:paraId="0B061624" w14:textId="77777777" w:rsidR="00F7293C" w:rsidRPr="00F7293C" w:rsidRDefault="00F7293C" w:rsidP="00B56701">
            <w:pPr>
              <w:jc w:val="both"/>
              <w:rPr>
                <w:rFonts w:ascii="Arial" w:hAnsi="Arial" w:cs="Arial"/>
                <w:b/>
                <w:szCs w:val="24"/>
                <w:lang w:val="en-IN"/>
              </w:rPr>
            </w:pPr>
          </w:p>
        </w:tc>
        <w:tc>
          <w:tcPr>
            <w:tcW w:w="1367" w:type="dxa"/>
          </w:tcPr>
          <w:p w14:paraId="038C2060" w14:textId="77777777" w:rsidR="00F7293C" w:rsidRPr="00F7293C" w:rsidRDefault="00F7293C" w:rsidP="00B56701">
            <w:pPr>
              <w:jc w:val="both"/>
              <w:rPr>
                <w:rFonts w:ascii="Arial" w:hAnsi="Arial" w:cs="Arial"/>
                <w:b/>
                <w:szCs w:val="24"/>
                <w:lang w:val="en-IN"/>
              </w:rPr>
            </w:pPr>
          </w:p>
        </w:tc>
      </w:tr>
      <w:tr w:rsidR="00F7293C" w:rsidRPr="00F7293C" w14:paraId="5D145B3E" w14:textId="77777777">
        <w:tc>
          <w:tcPr>
            <w:tcW w:w="1366" w:type="dxa"/>
          </w:tcPr>
          <w:p w14:paraId="1373480C" w14:textId="77777777" w:rsidR="00F7293C" w:rsidRPr="00F7293C" w:rsidRDefault="00F7293C" w:rsidP="00F7293C">
            <w:pPr>
              <w:jc w:val="center"/>
              <w:rPr>
                <w:rFonts w:ascii="Arial" w:hAnsi="Arial" w:cs="Arial"/>
                <w:b/>
                <w:sz w:val="20"/>
                <w:szCs w:val="20"/>
                <w:lang w:val="en-IN"/>
              </w:rPr>
            </w:pPr>
            <w:r w:rsidRPr="00F7293C">
              <w:rPr>
                <w:rFonts w:ascii="Arial" w:hAnsi="Arial" w:cs="Arial"/>
                <w:b/>
                <w:sz w:val="20"/>
                <w:szCs w:val="20"/>
                <w:lang w:val="en-IN"/>
              </w:rPr>
              <w:t>Channel</w:t>
            </w:r>
          </w:p>
        </w:tc>
        <w:tc>
          <w:tcPr>
            <w:tcW w:w="1366" w:type="dxa"/>
          </w:tcPr>
          <w:p w14:paraId="489FA6F0" w14:textId="77777777" w:rsidR="00F7293C" w:rsidRPr="00F7293C" w:rsidRDefault="00F7293C" w:rsidP="00F7293C">
            <w:pPr>
              <w:jc w:val="center"/>
              <w:rPr>
                <w:rFonts w:ascii="Arial" w:hAnsi="Arial" w:cs="Arial"/>
                <w:b/>
                <w:sz w:val="20"/>
                <w:szCs w:val="20"/>
                <w:lang w:val="en-IN"/>
              </w:rPr>
            </w:pPr>
            <w:r w:rsidRPr="00F7293C">
              <w:rPr>
                <w:rFonts w:ascii="Arial" w:hAnsi="Arial" w:cs="Arial"/>
                <w:b/>
                <w:sz w:val="20"/>
                <w:szCs w:val="20"/>
                <w:lang w:val="en-IN"/>
              </w:rPr>
              <w:t>Fraction of Total Sale (%)</w:t>
            </w:r>
          </w:p>
        </w:tc>
        <w:tc>
          <w:tcPr>
            <w:tcW w:w="1366" w:type="dxa"/>
          </w:tcPr>
          <w:p w14:paraId="2FD40FF8" w14:textId="77777777" w:rsidR="00F7293C" w:rsidRPr="00F7293C" w:rsidRDefault="00F7293C" w:rsidP="00F7293C">
            <w:pPr>
              <w:jc w:val="center"/>
              <w:rPr>
                <w:rFonts w:ascii="Arial" w:hAnsi="Arial" w:cs="Arial"/>
                <w:b/>
                <w:sz w:val="20"/>
                <w:szCs w:val="20"/>
                <w:lang w:val="en-IN"/>
              </w:rPr>
            </w:pPr>
            <w:r w:rsidRPr="00F7293C">
              <w:rPr>
                <w:rFonts w:ascii="Arial" w:hAnsi="Arial" w:cs="Arial"/>
                <w:b/>
                <w:sz w:val="20"/>
                <w:szCs w:val="20"/>
                <w:lang w:val="en-IN"/>
              </w:rPr>
              <w:t>Probability (p)</w:t>
            </w:r>
          </w:p>
        </w:tc>
        <w:tc>
          <w:tcPr>
            <w:tcW w:w="1366" w:type="dxa"/>
          </w:tcPr>
          <w:p w14:paraId="75755B35" w14:textId="77777777" w:rsidR="00F7293C" w:rsidRPr="00F7293C" w:rsidRDefault="00F7293C" w:rsidP="00F7293C">
            <w:pPr>
              <w:jc w:val="center"/>
              <w:rPr>
                <w:rFonts w:ascii="Arial" w:hAnsi="Arial" w:cs="Arial"/>
                <w:b/>
                <w:sz w:val="20"/>
                <w:szCs w:val="20"/>
                <w:lang w:val="en-IN"/>
              </w:rPr>
            </w:pPr>
            <w:r w:rsidRPr="00F7293C">
              <w:rPr>
                <w:rFonts w:ascii="Arial" w:hAnsi="Arial" w:cs="Arial"/>
                <w:b/>
                <w:sz w:val="20"/>
                <w:szCs w:val="20"/>
                <w:lang w:val="en-IN"/>
              </w:rPr>
              <w:t>E[X] (kg)</w:t>
            </w:r>
          </w:p>
        </w:tc>
        <w:tc>
          <w:tcPr>
            <w:tcW w:w="1367" w:type="dxa"/>
          </w:tcPr>
          <w:p w14:paraId="3238F059" w14:textId="77777777" w:rsidR="00F7293C" w:rsidRPr="00F7293C" w:rsidRDefault="00F7293C" w:rsidP="00F7293C">
            <w:pPr>
              <w:jc w:val="center"/>
              <w:rPr>
                <w:rFonts w:ascii="Arial" w:hAnsi="Arial" w:cs="Arial"/>
                <w:b/>
                <w:sz w:val="20"/>
                <w:szCs w:val="20"/>
                <w:lang w:val="en-IN"/>
              </w:rPr>
            </w:pPr>
            <w:r w:rsidRPr="00F7293C">
              <w:rPr>
                <w:rFonts w:ascii="Arial" w:hAnsi="Arial" w:cs="Arial"/>
                <w:b/>
                <w:sz w:val="20"/>
                <w:szCs w:val="20"/>
                <w:lang w:val="en-IN"/>
              </w:rPr>
              <w:t>Variance (kg²)</w:t>
            </w:r>
          </w:p>
        </w:tc>
        <w:tc>
          <w:tcPr>
            <w:tcW w:w="1367" w:type="dxa"/>
          </w:tcPr>
          <w:p w14:paraId="4D6955FB" w14:textId="77777777" w:rsidR="00F7293C" w:rsidRPr="00F7293C" w:rsidRDefault="00F7293C" w:rsidP="00F7293C">
            <w:pPr>
              <w:jc w:val="center"/>
              <w:rPr>
                <w:rFonts w:ascii="Arial" w:hAnsi="Arial" w:cs="Arial"/>
                <w:b/>
                <w:sz w:val="20"/>
                <w:szCs w:val="20"/>
                <w:lang w:val="en-IN"/>
              </w:rPr>
            </w:pPr>
            <w:r w:rsidRPr="00F7293C">
              <w:rPr>
                <w:rFonts w:ascii="Arial" w:hAnsi="Arial" w:cs="Arial"/>
                <w:b/>
                <w:sz w:val="20"/>
                <w:szCs w:val="20"/>
                <w:lang w:val="en-IN"/>
              </w:rPr>
              <w:t>Observed Quantity (kg)</w:t>
            </w:r>
          </w:p>
        </w:tc>
      </w:tr>
      <w:tr w:rsidR="00F7293C" w:rsidRPr="00F7293C" w14:paraId="34F6FF52" w14:textId="77777777">
        <w:tc>
          <w:tcPr>
            <w:tcW w:w="1366" w:type="dxa"/>
          </w:tcPr>
          <w:p w14:paraId="70FD4A4A"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I</w:t>
            </w:r>
          </w:p>
        </w:tc>
        <w:tc>
          <w:tcPr>
            <w:tcW w:w="1366" w:type="dxa"/>
          </w:tcPr>
          <w:p w14:paraId="4017E0E2"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57.67</w:t>
            </w:r>
          </w:p>
        </w:tc>
        <w:tc>
          <w:tcPr>
            <w:tcW w:w="1366" w:type="dxa"/>
          </w:tcPr>
          <w:p w14:paraId="6F1B1C6F"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0.5767</w:t>
            </w:r>
          </w:p>
        </w:tc>
        <w:tc>
          <w:tcPr>
            <w:tcW w:w="1366" w:type="dxa"/>
          </w:tcPr>
          <w:p w14:paraId="7E1EC276"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4446.5</w:t>
            </w:r>
          </w:p>
        </w:tc>
        <w:tc>
          <w:tcPr>
            <w:tcW w:w="1367" w:type="dxa"/>
          </w:tcPr>
          <w:p w14:paraId="7D1717AF"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1882.8</w:t>
            </w:r>
          </w:p>
        </w:tc>
        <w:tc>
          <w:tcPr>
            <w:tcW w:w="1367" w:type="dxa"/>
          </w:tcPr>
          <w:p w14:paraId="79F48749"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4373.95</w:t>
            </w:r>
          </w:p>
        </w:tc>
      </w:tr>
      <w:tr w:rsidR="00F7293C" w:rsidRPr="00F7293C" w14:paraId="69EA455E" w14:textId="77777777">
        <w:tc>
          <w:tcPr>
            <w:tcW w:w="1366" w:type="dxa"/>
          </w:tcPr>
          <w:p w14:paraId="02ADB3C0"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II</w:t>
            </w:r>
          </w:p>
        </w:tc>
        <w:tc>
          <w:tcPr>
            <w:tcW w:w="1366" w:type="dxa"/>
          </w:tcPr>
          <w:p w14:paraId="5CD580C0"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27.90</w:t>
            </w:r>
          </w:p>
        </w:tc>
        <w:tc>
          <w:tcPr>
            <w:tcW w:w="1366" w:type="dxa"/>
          </w:tcPr>
          <w:p w14:paraId="05B921D8"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0.2790</w:t>
            </w:r>
          </w:p>
        </w:tc>
        <w:tc>
          <w:tcPr>
            <w:tcW w:w="1366" w:type="dxa"/>
          </w:tcPr>
          <w:p w14:paraId="2A5408A7"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2152.8</w:t>
            </w:r>
          </w:p>
        </w:tc>
        <w:tc>
          <w:tcPr>
            <w:tcW w:w="1367" w:type="dxa"/>
          </w:tcPr>
          <w:p w14:paraId="74DCB672"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1550.3</w:t>
            </w:r>
          </w:p>
        </w:tc>
        <w:tc>
          <w:tcPr>
            <w:tcW w:w="1367" w:type="dxa"/>
          </w:tcPr>
          <w:p w14:paraId="52503411"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2073.05</w:t>
            </w:r>
          </w:p>
        </w:tc>
      </w:tr>
      <w:tr w:rsidR="00F7293C" w:rsidRPr="00F7293C" w14:paraId="4F339A80" w14:textId="77777777">
        <w:tc>
          <w:tcPr>
            <w:tcW w:w="1366" w:type="dxa"/>
          </w:tcPr>
          <w:p w14:paraId="5B741524"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III</w:t>
            </w:r>
          </w:p>
        </w:tc>
        <w:tc>
          <w:tcPr>
            <w:tcW w:w="1366" w:type="dxa"/>
          </w:tcPr>
          <w:p w14:paraId="0F5BF8CC"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14.43</w:t>
            </w:r>
          </w:p>
        </w:tc>
        <w:tc>
          <w:tcPr>
            <w:tcW w:w="1366" w:type="dxa"/>
          </w:tcPr>
          <w:p w14:paraId="5664611B"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0.1443</w:t>
            </w:r>
          </w:p>
        </w:tc>
        <w:tc>
          <w:tcPr>
            <w:tcW w:w="1366" w:type="dxa"/>
          </w:tcPr>
          <w:p w14:paraId="63EE2F15"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1112.4</w:t>
            </w:r>
          </w:p>
        </w:tc>
        <w:tc>
          <w:tcPr>
            <w:tcW w:w="1367" w:type="dxa"/>
          </w:tcPr>
          <w:p w14:paraId="43913682"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950.4</w:t>
            </w:r>
          </w:p>
        </w:tc>
        <w:tc>
          <w:tcPr>
            <w:tcW w:w="1367" w:type="dxa"/>
          </w:tcPr>
          <w:p w14:paraId="34E4F910" w14:textId="77777777" w:rsidR="00F7293C" w:rsidRPr="00F7293C" w:rsidRDefault="00F7293C" w:rsidP="00F7293C">
            <w:pPr>
              <w:jc w:val="center"/>
              <w:rPr>
                <w:rFonts w:ascii="Arial" w:hAnsi="Arial" w:cs="Arial"/>
                <w:bCs/>
                <w:sz w:val="20"/>
                <w:szCs w:val="20"/>
                <w:lang w:val="en-IN"/>
              </w:rPr>
            </w:pPr>
            <w:r w:rsidRPr="00F7293C">
              <w:rPr>
                <w:rFonts w:ascii="Arial" w:hAnsi="Arial" w:cs="Arial"/>
                <w:bCs/>
                <w:sz w:val="20"/>
                <w:szCs w:val="20"/>
                <w:lang w:val="en-IN"/>
              </w:rPr>
              <w:t>1276.73</w:t>
            </w:r>
          </w:p>
        </w:tc>
      </w:tr>
    </w:tbl>
    <w:p w14:paraId="2C7C2B4E" w14:textId="77777777" w:rsidR="00F7293C" w:rsidRPr="00F7293C" w:rsidRDefault="00F7293C" w:rsidP="00F7293C">
      <w:pPr>
        <w:jc w:val="both"/>
        <w:rPr>
          <w:rFonts w:ascii="Arial" w:hAnsi="Arial" w:cs="Arial"/>
          <w:b/>
          <w:szCs w:val="24"/>
          <w:lang w:val="en-IN"/>
        </w:rPr>
      </w:pPr>
    </w:p>
    <w:p w14:paraId="5821A46B" w14:textId="77777777" w:rsidR="00F7293C" w:rsidRDefault="00F7293C" w:rsidP="003C0E6D">
      <w:pPr>
        <w:jc w:val="both"/>
        <w:rPr>
          <w:rFonts w:ascii="Arial" w:hAnsi="Arial" w:cs="Arial"/>
          <w:bCs/>
          <w:szCs w:val="24"/>
          <w:lang w:val="en-IN"/>
        </w:rPr>
      </w:pPr>
    </w:p>
    <w:p w14:paraId="043E3602" w14:textId="7FDA33F8" w:rsidR="00F7293C" w:rsidRDefault="003C0E6D" w:rsidP="003C0E6D">
      <w:pPr>
        <w:jc w:val="both"/>
        <w:rPr>
          <w:rFonts w:ascii="Arial" w:hAnsi="Arial" w:cs="Arial"/>
          <w:bCs/>
          <w:szCs w:val="24"/>
          <w:lang w:val="en-IN"/>
        </w:rPr>
      </w:pPr>
      <w:r w:rsidRPr="00F7293C">
        <w:rPr>
          <w:rFonts w:ascii="Arial" w:hAnsi="Arial" w:cs="Arial"/>
          <w:bCs/>
          <w:szCs w:val="24"/>
          <w:lang w:val="en-IN"/>
        </w:rPr>
        <w:lastRenderedPageBreak/>
        <w:t xml:space="preserve">The allocation of off-season cabbage across marketing channels in Senapati district was </w:t>
      </w:r>
      <w:proofErr w:type="spellStart"/>
      <w:r w:rsidRPr="00F7293C">
        <w:rPr>
          <w:rFonts w:ascii="Arial" w:hAnsi="Arial" w:cs="Arial"/>
          <w:bCs/>
          <w:szCs w:val="24"/>
          <w:lang w:val="en-IN"/>
        </w:rPr>
        <w:t>analyzed</w:t>
      </w:r>
      <w:proofErr w:type="spellEnd"/>
      <w:r w:rsidRPr="00F7293C">
        <w:rPr>
          <w:rFonts w:ascii="Arial" w:hAnsi="Arial" w:cs="Arial"/>
          <w:bCs/>
          <w:szCs w:val="24"/>
          <w:lang w:val="en-IN"/>
        </w:rPr>
        <w:t xml:space="preserve"> using a Bernoulli-Binomial framework, treating each cabbage head as an independent trial. Success was defined as a unit being routed through a specific channel, and failure as not being routed through it. Channel I, passing from producer → village-level trader → wholesaler → retailer → consumer, dominated with 57.67% of total sales (p = 0.5767). The expected marketed quantity under the binomial model was 4,446.5 kg with a variance of 1,882.8 kg², closely matching the observed 4,373.95 kg, confirming the predictable dominance of intermediary-led marketing. Channel II, bypassing village-level traders, accounted for 27.90% of sales (p = 0.2790), with an expected quantity of 2,152.8 kg and variance 1,550.3 kg², approximating the observed 2,073.05 kg, reflecting a smaller yet consistent intermediary-light route. Channel III, representing direct producer-to-consumer sales, constituted 14.43% of sales (p = 0.1443). The expected quantity was 1,112.4 kg with variance 950.4 kg², compared to an observed 1,276.73 kg, indicating occasional deviations due to local demand or opportunistic sales, yet remaining within the predictable binomial range.</w:t>
      </w:r>
    </w:p>
    <w:p w14:paraId="086F9629" w14:textId="77777777" w:rsidR="00624239" w:rsidRDefault="00624239" w:rsidP="003C0E6D">
      <w:pPr>
        <w:jc w:val="both"/>
        <w:rPr>
          <w:rFonts w:ascii="Arial" w:hAnsi="Arial" w:cs="Arial"/>
          <w:bCs/>
          <w:szCs w:val="24"/>
          <w:lang w:val="en-IN"/>
        </w:rPr>
      </w:pPr>
    </w:p>
    <w:p w14:paraId="2E6E4DD2" w14:textId="77777777" w:rsidR="0035771E" w:rsidRPr="0035771E" w:rsidRDefault="0035771E" w:rsidP="0035771E">
      <w:pPr>
        <w:jc w:val="both"/>
        <w:rPr>
          <w:rFonts w:ascii="Arial" w:hAnsi="Arial" w:cs="Arial"/>
          <w:bCs/>
          <w:szCs w:val="24"/>
          <w:lang w:val="en-IN"/>
        </w:rPr>
      </w:pPr>
      <w:r w:rsidRPr="0035771E">
        <w:rPr>
          <w:rFonts w:ascii="Arial" w:hAnsi="Arial" w:cs="Arial"/>
          <w:bCs/>
          <w:szCs w:val="24"/>
          <w:lang w:val="en-IN"/>
        </w:rPr>
        <w:t>The dominance of intermediary-led marketing channels and the limited participation of farmers in direct marketing observed in the present study are consistent with findings reported by Ayalew and Girma (2025), who identified weak market linkages, price fluctuations, and low bargaining power of producers as key constraints in cabbage marketing systems. Their study further highlights that despite the profitability of cabbage production, marketing inefficiencies and dependence on intermediaries continue to shape farmers’ market participation decisions.</w:t>
      </w:r>
    </w:p>
    <w:p w14:paraId="44EC4B58" w14:textId="77777777" w:rsidR="0035771E" w:rsidRDefault="0035771E" w:rsidP="003C0E6D">
      <w:pPr>
        <w:jc w:val="both"/>
        <w:rPr>
          <w:rFonts w:ascii="Arial" w:hAnsi="Arial" w:cs="Arial"/>
          <w:bCs/>
          <w:szCs w:val="24"/>
        </w:rPr>
      </w:pPr>
    </w:p>
    <w:p w14:paraId="2A2A377E" w14:textId="112EA13D" w:rsidR="00624239" w:rsidRDefault="00624239" w:rsidP="003C0E6D">
      <w:pPr>
        <w:jc w:val="both"/>
        <w:rPr>
          <w:rFonts w:ascii="Arial" w:hAnsi="Arial" w:cs="Arial"/>
          <w:bCs/>
          <w:szCs w:val="24"/>
        </w:rPr>
      </w:pPr>
      <w:r w:rsidRPr="00624239">
        <w:rPr>
          <w:rFonts w:ascii="Arial" w:hAnsi="Arial" w:cs="Arial"/>
          <w:bCs/>
          <w:szCs w:val="24"/>
        </w:rPr>
        <w:t>The results indicate that Channel I dominates the marketing system, accounting for the highest share of marketed surplus. This predominance of multi-intermediary channels reflects the continued reliance on traditional supply chains, where produce passes through several agents before reaching consumers. Similar findings have been reported in vegetable value chain studies in India, which highlight that the majority of produce flows through intermediary-led channels due to established networks and limited direct market access</w:t>
      </w:r>
      <w:r w:rsidRPr="00624239">
        <w:t xml:space="preserve"> </w:t>
      </w:r>
      <w:r>
        <w:t>(</w:t>
      </w:r>
      <w:r w:rsidRPr="00624239">
        <w:rPr>
          <w:rFonts w:ascii="Arial" w:hAnsi="Arial" w:cs="Arial"/>
          <w:bCs/>
          <w:szCs w:val="24"/>
        </w:rPr>
        <w:t>Shruti</w:t>
      </w:r>
      <w:r>
        <w:rPr>
          <w:rFonts w:ascii="Arial" w:hAnsi="Arial" w:cs="Arial"/>
          <w:bCs/>
          <w:szCs w:val="24"/>
        </w:rPr>
        <w:t xml:space="preserve"> et al., 2019). </w:t>
      </w:r>
    </w:p>
    <w:p w14:paraId="2D075AFA" w14:textId="77777777" w:rsidR="00624239" w:rsidRPr="00F7293C" w:rsidRDefault="00624239" w:rsidP="003C0E6D">
      <w:pPr>
        <w:jc w:val="both"/>
        <w:rPr>
          <w:rFonts w:ascii="Arial" w:hAnsi="Arial" w:cs="Arial"/>
          <w:bCs/>
          <w:szCs w:val="24"/>
          <w:lang w:val="en-IN"/>
        </w:rPr>
      </w:pPr>
    </w:p>
    <w:p w14:paraId="3A722167" w14:textId="77777777" w:rsidR="00312BA1" w:rsidRPr="00312BA1" w:rsidRDefault="00312BA1" w:rsidP="00312BA1">
      <w:pPr>
        <w:jc w:val="both"/>
        <w:rPr>
          <w:rFonts w:ascii="Arial" w:hAnsi="Arial" w:cs="Arial"/>
          <w:lang w:val="en-IN"/>
        </w:rPr>
      </w:pPr>
      <w:r w:rsidRPr="00312BA1">
        <w:rPr>
          <w:rFonts w:ascii="Arial" w:hAnsi="Arial" w:cs="Arial"/>
          <w:bCs/>
          <w:lang w:val="en-IN"/>
        </w:rPr>
        <w:t xml:space="preserve">The observed </w:t>
      </w:r>
      <w:r w:rsidRPr="00312BA1">
        <w:rPr>
          <w:rFonts w:ascii="Arial" w:hAnsi="Arial" w:cs="Arial"/>
          <w:lang w:val="en-IN"/>
        </w:rPr>
        <w:t xml:space="preserve">low variance in marketed surplus across farm categories suggests that marketed output behaves as a structured stochastic outcome rather than a highly volatile random process, where variability is systematically constrained by underlying production risk mechanisms. In agricultural production systems, such variance patterns are commonly explained through stochastic production frameworks where output risk is explicitly </w:t>
      </w:r>
      <w:proofErr w:type="spellStart"/>
      <w:r w:rsidRPr="00312BA1">
        <w:rPr>
          <w:rFonts w:ascii="Arial" w:hAnsi="Arial" w:cs="Arial"/>
          <w:lang w:val="en-IN"/>
        </w:rPr>
        <w:t>modeled</w:t>
      </w:r>
      <w:proofErr w:type="spellEnd"/>
      <w:r w:rsidRPr="00312BA1">
        <w:rPr>
          <w:rFonts w:ascii="Arial" w:hAnsi="Arial" w:cs="Arial"/>
          <w:lang w:val="en-IN"/>
        </w:rPr>
        <w:t xml:space="preserve"> as a function of input use and production conditions, rather than being purely random noise.</w:t>
      </w:r>
    </w:p>
    <w:p w14:paraId="47783F37" w14:textId="666C7519" w:rsidR="00312BA1" w:rsidRPr="005052C5" w:rsidRDefault="00312BA1" w:rsidP="00312BA1">
      <w:pPr>
        <w:jc w:val="both"/>
        <w:rPr>
          <w:rFonts w:ascii="Arial" w:hAnsi="Arial" w:cs="Arial"/>
          <w:lang w:val="en-IN"/>
        </w:rPr>
      </w:pPr>
      <w:r w:rsidRPr="00312BA1">
        <w:rPr>
          <w:rFonts w:ascii="Arial" w:hAnsi="Arial" w:cs="Arial"/>
          <w:lang w:val="en-IN"/>
        </w:rPr>
        <w:t>This aligns with the theoretical proposition that production variability is jointly determined by mean-output effects and risk effects embedded in the production technology, which provides a formal explanation for the observed stability in your result</w:t>
      </w:r>
      <w:r w:rsidRPr="005052C5">
        <w:rPr>
          <w:rFonts w:ascii="Arial" w:hAnsi="Arial" w:cs="Arial"/>
          <w:lang w:val="en-IN"/>
        </w:rPr>
        <w:t>s (Just et al., 1978).</w:t>
      </w:r>
    </w:p>
    <w:p w14:paraId="4F016D88" w14:textId="77777777" w:rsidR="00312BA1" w:rsidRPr="005052C5" w:rsidRDefault="00312BA1" w:rsidP="00AB1697">
      <w:pPr>
        <w:jc w:val="both"/>
        <w:rPr>
          <w:rFonts w:ascii="Arial" w:hAnsi="Arial" w:cs="Arial"/>
          <w:i/>
          <w:iCs/>
        </w:rPr>
      </w:pPr>
    </w:p>
    <w:p w14:paraId="2578E758" w14:textId="20BAD231" w:rsidR="00312BA1" w:rsidRPr="00312BA1" w:rsidRDefault="00312BA1" w:rsidP="00312BA1">
      <w:pPr>
        <w:jc w:val="both"/>
        <w:rPr>
          <w:rFonts w:ascii="Arial" w:hAnsi="Arial" w:cs="Arial"/>
          <w:lang w:val="en-IN"/>
        </w:rPr>
      </w:pPr>
      <w:r w:rsidRPr="005052C5">
        <w:rPr>
          <w:rFonts w:ascii="Arial" w:hAnsi="Arial" w:cs="Arial"/>
          <w:lang w:val="en-IN"/>
        </w:rPr>
        <w:t xml:space="preserve">The </w:t>
      </w:r>
      <w:r w:rsidRPr="00312BA1">
        <w:rPr>
          <w:rFonts w:ascii="Arial" w:hAnsi="Arial" w:cs="Arial"/>
          <w:lang w:val="en-IN"/>
        </w:rPr>
        <w:t>high marketed surplus with extremely low variability across farm sizes—can be theoretically interpreted as evidence of strong post-production disposal certainty in perishable agricultural systems, where marketed output becomes a near-deterministic outcome of production due to limited storage and immediate sale pressure. Recent empirical studies on vegetable supply chains show that in perishable crop systems, marketing decisions are highly constrained by shelf-life and logistical limitations, leading to consistently high marketed surplus ratios with minimal dispersion across farm categories.</w:t>
      </w:r>
    </w:p>
    <w:p w14:paraId="2A4FE4B3" w14:textId="76B94C52" w:rsidR="00312BA1" w:rsidRPr="005052C5" w:rsidRDefault="00312BA1" w:rsidP="00312BA1">
      <w:pPr>
        <w:jc w:val="both"/>
        <w:rPr>
          <w:rFonts w:ascii="Arial" w:hAnsi="Arial" w:cs="Arial"/>
          <w:lang w:val="en-IN"/>
        </w:rPr>
      </w:pPr>
      <w:r w:rsidRPr="00312BA1">
        <w:rPr>
          <w:rFonts w:ascii="Arial" w:hAnsi="Arial" w:cs="Arial"/>
          <w:lang w:val="en-IN"/>
        </w:rPr>
        <w:t>This aligns with evidence that vegetable markets operate under time-sensitive disposal conditions, where sales are structurally determined rather than strategically optimized, reinforcing the stability observed in your variance estimate</w:t>
      </w:r>
      <w:r w:rsidR="005A2148" w:rsidRPr="005052C5">
        <w:rPr>
          <w:rFonts w:ascii="Arial" w:hAnsi="Arial" w:cs="Arial"/>
          <w:lang w:val="en-IN"/>
        </w:rPr>
        <w:t>s (Xia et ak.,2024).</w:t>
      </w:r>
    </w:p>
    <w:p w14:paraId="3FBBEA6D" w14:textId="77777777" w:rsidR="005A2148" w:rsidRPr="00312BA1" w:rsidRDefault="005A2148" w:rsidP="00312BA1">
      <w:pPr>
        <w:jc w:val="both"/>
        <w:rPr>
          <w:rFonts w:ascii="Arial" w:hAnsi="Arial" w:cs="Arial"/>
          <w:bCs/>
          <w:lang w:val="en-IN"/>
        </w:rPr>
      </w:pPr>
    </w:p>
    <w:p w14:paraId="6648C701" w14:textId="613DE453" w:rsidR="00DA02CF" w:rsidRDefault="00DA02CF" w:rsidP="00DA02CF">
      <w:pPr>
        <w:jc w:val="both"/>
        <w:rPr>
          <w:rFonts w:ascii="Arial" w:hAnsi="Arial" w:cs="Arial"/>
          <w:bCs/>
          <w:lang w:val="en-IN"/>
        </w:rPr>
      </w:pPr>
      <w:r w:rsidRPr="00DA02CF">
        <w:rPr>
          <w:rFonts w:ascii="Arial" w:hAnsi="Arial" w:cs="Arial"/>
          <w:bCs/>
          <w:lang w:val="en-IN"/>
        </w:rPr>
        <w:t xml:space="preserve">The near-zero dispersion in marketed surplus across farm sizes reflects structural constraints rather than </w:t>
      </w:r>
      <w:proofErr w:type="spellStart"/>
      <w:r w:rsidRPr="00DA02CF">
        <w:rPr>
          <w:rFonts w:ascii="Arial" w:hAnsi="Arial" w:cs="Arial"/>
          <w:bCs/>
          <w:lang w:val="en-IN"/>
        </w:rPr>
        <w:t>behavioral</w:t>
      </w:r>
      <w:proofErr w:type="spellEnd"/>
      <w:r w:rsidRPr="00DA02CF">
        <w:rPr>
          <w:rFonts w:ascii="Arial" w:hAnsi="Arial" w:cs="Arial"/>
          <w:bCs/>
          <w:lang w:val="en-IN"/>
        </w:rPr>
        <w:t xml:space="preserve"> randomness. Smallholder agricultural systems, particularly in perishable commodities, operate under strong institutional and physical constraints such as </w:t>
      </w:r>
      <w:r w:rsidRPr="00DA02CF">
        <w:rPr>
          <w:rFonts w:ascii="Arial" w:hAnsi="Arial" w:cs="Arial"/>
          <w:bCs/>
          <w:lang w:val="en-IN"/>
        </w:rPr>
        <w:lastRenderedPageBreak/>
        <w:t>lack of storage, urgent liquidity needs, and weak marketing infrastructure. These constraints reduce inter-farm variation in marketing decisions, leading to highly uniform marketed surplus outcomes</w:t>
      </w:r>
      <w:r w:rsidR="005A2148">
        <w:rPr>
          <w:rFonts w:ascii="Arial" w:hAnsi="Arial" w:cs="Arial"/>
          <w:bCs/>
          <w:lang w:val="en-IN"/>
        </w:rPr>
        <w:t xml:space="preserve"> (</w:t>
      </w:r>
      <w:r w:rsidR="005A2148" w:rsidRPr="00DA02CF">
        <w:rPr>
          <w:rFonts w:ascii="Arial" w:hAnsi="Arial" w:cs="Arial"/>
          <w:bCs/>
          <w:lang w:val="en-IN"/>
        </w:rPr>
        <w:t>Barrett</w:t>
      </w:r>
      <w:r w:rsidR="005A2148">
        <w:rPr>
          <w:rFonts w:ascii="Arial" w:hAnsi="Arial" w:cs="Arial"/>
          <w:bCs/>
          <w:lang w:val="en-IN"/>
        </w:rPr>
        <w:t>,2008).</w:t>
      </w:r>
    </w:p>
    <w:p w14:paraId="60295123" w14:textId="77777777" w:rsidR="005A2148" w:rsidRDefault="005A2148" w:rsidP="00DA02CF">
      <w:pPr>
        <w:jc w:val="both"/>
        <w:rPr>
          <w:rFonts w:ascii="Arial" w:hAnsi="Arial" w:cs="Arial"/>
          <w:bCs/>
          <w:lang w:val="en-IN"/>
        </w:rPr>
      </w:pPr>
    </w:p>
    <w:p w14:paraId="172F73E6" w14:textId="77777777" w:rsidR="005A2148" w:rsidRDefault="00DA02CF" w:rsidP="00DA02CF">
      <w:pPr>
        <w:jc w:val="both"/>
        <w:rPr>
          <w:rFonts w:ascii="Arial" w:hAnsi="Arial" w:cs="Arial"/>
          <w:bCs/>
          <w:lang w:val="en-IN"/>
        </w:rPr>
      </w:pPr>
      <w:r w:rsidRPr="00DA02CF">
        <w:rPr>
          <w:rFonts w:ascii="Arial" w:hAnsi="Arial" w:cs="Arial"/>
          <w:bCs/>
          <w:lang w:val="en-IN"/>
        </w:rPr>
        <w:t>The near-complete stability of marketed surplus across farm categories indicates that marketing behaviour is strongly production-constrained rather than demand-driven. In perishable crop systems, marketed output is largely determined by immediate post-harvest disposal requirements rather than farmer discretion. This reduces variability in marketed surplus and makes it closely aligned with production levels</w:t>
      </w:r>
      <w:r w:rsidR="005A2148">
        <w:rPr>
          <w:rFonts w:ascii="Arial" w:hAnsi="Arial" w:cs="Arial"/>
          <w:bCs/>
          <w:lang w:val="en-IN"/>
        </w:rPr>
        <w:t xml:space="preserve"> (Key et al.,2000).</w:t>
      </w:r>
    </w:p>
    <w:p w14:paraId="1056127F" w14:textId="34B3CE07" w:rsidR="00564AE5" w:rsidRPr="00564AE5" w:rsidRDefault="00DA02CF" w:rsidP="00564AE5">
      <w:pPr>
        <w:jc w:val="both"/>
        <w:rPr>
          <w:rFonts w:ascii="Arial" w:hAnsi="Arial" w:cs="Arial"/>
          <w:bCs/>
          <w:lang w:val="en-IN"/>
        </w:rPr>
      </w:pPr>
      <w:r w:rsidRPr="00DA02CF">
        <w:rPr>
          <w:rFonts w:ascii="Arial" w:hAnsi="Arial" w:cs="Arial"/>
          <w:bCs/>
          <w:lang w:val="en-IN"/>
        </w:rPr>
        <w:br/>
      </w:r>
      <w:r w:rsidR="00564AE5" w:rsidRPr="00564AE5">
        <w:rPr>
          <w:rFonts w:ascii="Arial" w:hAnsi="Arial" w:cs="Arial"/>
          <w:bCs/>
          <w:lang w:val="en-IN"/>
        </w:rPr>
        <w:t>The study reveals that marketing efficiency is highest in channels with fewer intermediaries, indicating that reduced layers in the marketing chain improve price realization for producers and lower transaction costs; similar patterns of higher efficiency in shorter supply chains have been empirically documented in agricultural markets</w:t>
      </w:r>
      <w:r w:rsidR="005A2148">
        <w:rPr>
          <w:rFonts w:ascii="Arial" w:hAnsi="Arial" w:cs="Arial"/>
          <w:bCs/>
          <w:lang w:val="en-IN"/>
        </w:rPr>
        <w:t xml:space="preserve"> (</w:t>
      </w:r>
      <w:proofErr w:type="spellStart"/>
      <w:r w:rsidR="005A2148">
        <w:rPr>
          <w:rFonts w:ascii="Arial" w:hAnsi="Arial" w:cs="Arial"/>
          <w:bCs/>
          <w:lang w:val="en-IN"/>
        </w:rPr>
        <w:t>Birthal</w:t>
      </w:r>
      <w:proofErr w:type="spellEnd"/>
      <w:r w:rsidR="005A2148">
        <w:rPr>
          <w:rFonts w:ascii="Arial" w:hAnsi="Arial" w:cs="Arial"/>
          <w:bCs/>
          <w:lang w:val="en-IN"/>
        </w:rPr>
        <w:t xml:space="preserve"> et al.,2015).</w:t>
      </w:r>
    </w:p>
    <w:p w14:paraId="0F498219" w14:textId="77777777" w:rsidR="00065D32" w:rsidRDefault="00564AE5" w:rsidP="00564AE5">
      <w:pPr>
        <w:jc w:val="both"/>
        <w:rPr>
          <w:rFonts w:ascii="Arial" w:hAnsi="Arial" w:cs="Arial"/>
          <w:bCs/>
        </w:rPr>
      </w:pPr>
      <w:r w:rsidRPr="00564AE5">
        <w:rPr>
          <w:rFonts w:ascii="Arial" w:hAnsi="Arial" w:cs="Arial"/>
          <w:bCs/>
          <w:lang w:val="en-IN"/>
        </w:rPr>
        <w:br/>
      </w:r>
      <w:r w:rsidR="00065D32" w:rsidRPr="00065D32">
        <w:rPr>
          <w:rFonts w:ascii="Arial" w:hAnsi="Arial" w:cs="Arial"/>
          <w:bCs/>
        </w:rPr>
        <w:t>The relatively low share of Channel III (direct marketing) highlights the underdevelopment of producer-to-consumer linkages in the study area. This aligns with findings from studies on Indian vegetable retail systems, which report that direct marketing remains minimal and that the sector is highly fragmented and dominated by traditional intermediaries</w:t>
      </w:r>
      <w:r w:rsidR="00065D32">
        <w:t xml:space="preserve"> (</w:t>
      </w:r>
      <w:proofErr w:type="spellStart"/>
      <w:proofErr w:type="gramStart"/>
      <w:r w:rsidR="00065D32" w:rsidRPr="00065D32">
        <w:rPr>
          <w:rFonts w:ascii="Arial" w:hAnsi="Arial" w:cs="Arial"/>
          <w:bCs/>
        </w:rPr>
        <w:t>Paulrajan</w:t>
      </w:r>
      <w:proofErr w:type="spellEnd"/>
      <w:r w:rsidR="00065D32">
        <w:rPr>
          <w:rFonts w:ascii="Arial" w:hAnsi="Arial" w:cs="Arial"/>
          <w:bCs/>
        </w:rPr>
        <w:t xml:space="preserve">  </w:t>
      </w:r>
      <w:r w:rsidR="00065D32" w:rsidRPr="00065D32">
        <w:rPr>
          <w:rFonts w:ascii="Arial" w:hAnsi="Arial" w:cs="Arial"/>
          <w:bCs/>
        </w:rPr>
        <w:t>&amp;</w:t>
      </w:r>
      <w:proofErr w:type="gramEnd"/>
      <w:r w:rsidR="00065D32" w:rsidRPr="00065D32">
        <w:rPr>
          <w:rFonts w:ascii="Arial" w:hAnsi="Arial" w:cs="Arial"/>
          <w:bCs/>
        </w:rPr>
        <w:t xml:space="preserve"> Jacob</w:t>
      </w:r>
      <w:r w:rsidR="00065D32">
        <w:rPr>
          <w:rFonts w:ascii="Arial" w:hAnsi="Arial" w:cs="Arial"/>
          <w:bCs/>
        </w:rPr>
        <w:t xml:space="preserve"> </w:t>
      </w:r>
      <w:r w:rsidR="00065D32" w:rsidRPr="00065D32">
        <w:rPr>
          <w:rFonts w:ascii="Arial" w:hAnsi="Arial" w:cs="Arial"/>
          <w:bCs/>
        </w:rPr>
        <w:t>2010</w:t>
      </w:r>
      <w:r w:rsidR="00065D32">
        <w:rPr>
          <w:rFonts w:ascii="Arial" w:hAnsi="Arial" w:cs="Arial"/>
          <w:bCs/>
        </w:rPr>
        <w:t>).</w:t>
      </w:r>
    </w:p>
    <w:p w14:paraId="28751CF7" w14:textId="77777777" w:rsidR="00065D32" w:rsidRDefault="00065D32" w:rsidP="00564AE5">
      <w:pPr>
        <w:jc w:val="both"/>
        <w:rPr>
          <w:rFonts w:ascii="Arial" w:hAnsi="Arial" w:cs="Arial"/>
          <w:bCs/>
        </w:rPr>
      </w:pPr>
    </w:p>
    <w:p w14:paraId="42CB24E2" w14:textId="1B23B0DB" w:rsidR="00564AE5" w:rsidRDefault="00065D32" w:rsidP="00564AE5">
      <w:pPr>
        <w:jc w:val="both"/>
        <w:rPr>
          <w:rFonts w:ascii="Arial" w:hAnsi="Arial" w:cs="Arial"/>
          <w:bCs/>
          <w:lang w:val="en-IN"/>
        </w:rPr>
      </w:pPr>
      <w:r w:rsidRPr="00065D32">
        <w:rPr>
          <w:rFonts w:ascii="Arial" w:hAnsi="Arial" w:cs="Arial"/>
          <w:bCs/>
        </w:rPr>
        <w:t xml:space="preserve">Further, the close correspondence between observed and expected values across all channels suggests that the distribution of marketed surplus follows a stable and structured pattern rather than random allocation. Such stability reflects the influence of entrenched supply chain arrangements, where farmers consistently choose familiar and reliable channels. Similar patterns of channel dependence and structured marketing behavior have been observed in studies examining vegetable marketing efficiency and supply chains in India </w:t>
      </w:r>
      <w:r>
        <w:rPr>
          <w:rFonts w:ascii="Arial" w:hAnsi="Arial" w:cs="Arial"/>
          <w:bCs/>
        </w:rPr>
        <w:t>(</w:t>
      </w:r>
      <w:r w:rsidRPr="00065D32">
        <w:rPr>
          <w:rFonts w:ascii="Arial" w:hAnsi="Arial" w:cs="Arial"/>
          <w:bCs/>
        </w:rPr>
        <w:t>Chand et al</w:t>
      </w:r>
      <w:r>
        <w:rPr>
          <w:rFonts w:ascii="Arial" w:hAnsi="Arial" w:cs="Arial"/>
          <w:bCs/>
        </w:rPr>
        <w:t xml:space="preserve">., </w:t>
      </w:r>
      <w:r w:rsidRPr="00065D32">
        <w:rPr>
          <w:rFonts w:ascii="Arial" w:hAnsi="Arial" w:cs="Arial"/>
          <w:bCs/>
        </w:rPr>
        <w:t xml:space="preserve">2020). </w:t>
      </w:r>
    </w:p>
    <w:p w14:paraId="7977B820" w14:textId="77777777" w:rsidR="00564AE5" w:rsidRDefault="00564AE5" w:rsidP="00564AE5">
      <w:pPr>
        <w:jc w:val="both"/>
        <w:rPr>
          <w:rFonts w:ascii="Arial" w:hAnsi="Arial" w:cs="Arial"/>
          <w:bCs/>
          <w:lang w:val="en-IN"/>
        </w:rPr>
      </w:pPr>
    </w:p>
    <w:p w14:paraId="1AF697DF" w14:textId="6BC4A00C" w:rsidR="00564AE5" w:rsidRDefault="00216F12" w:rsidP="00564AE5">
      <w:pPr>
        <w:jc w:val="both"/>
        <w:rPr>
          <w:rFonts w:ascii="Arial" w:hAnsi="Arial" w:cs="Arial"/>
          <w:bCs/>
          <w:lang w:val="en-IN"/>
        </w:rPr>
      </w:pPr>
      <w:r w:rsidRPr="00216F12">
        <w:rPr>
          <w:rFonts w:ascii="Arial" w:hAnsi="Arial" w:cs="Arial"/>
          <w:bCs/>
          <w:lang w:val="en-IN"/>
        </w:rPr>
        <w:t>The study shows that marketing efficiency is higher in channels with fewer intermediaries, indicating that shorter marketing chains reduce costs and improve the share of producers in the consumer’s rupee, a pattern consistently observed in agricultural marketing systems</w:t>
      </w:r>
      <w:r w:rsidR="005A2148">
        <w:rPr>
          <w:rFonts w:ascii="Arial" w:hAnsi="Arial" w:cs="Arial"/>
          <w:bCs/>
          <w:lang w:val="en-IN"/>
        </w:rPr>
        <w:t xml:space="preserve"> (Acharya &amp; Agarwal, 2011).</w:t>
      </w:r>
    </w:p>
    <w:p w14:paraId="042E189C" w14:textId="77777777" w:rsidR="00216F12" w:rsidRDefault="00216F12" w:rsidP="00564AE5">
      <w:pPr>
        <w:jc w:val="both"/>
        <w:rPr>
          <w:rFonts w:ascii="Arial" w:hAnsi="Arial" w:cs="Arial"/>
          <w:bCs/>
          <w:lang w:val="en-IN"/>
        </w:rPr>
      </w:pPr>
    </w:p>
    <w:p w14:paraId="2B42E6F0" w14:textId="12933F54" w:rsidR="00790ADA" w:rsidRPr="005A2148" w:rsidRDefault="00216F12" w:rsidP="005A2148">
      <w:pPr>
        <w:jc w:val="both"/>
        <w:rPr>
          <w:rFonts w:ascii="Arial" w:hAnsi="Arial" w:cs="Arial"/>
          <w:bCs/>
          <w:lang w:val="en-IN"/>
        </w:rPr>
      </w:pPr>
      <w:r w:rsidRPr="00216F12">
        <w:rPr>
          <w:rFonts w:ascii="Arial" w:hAnsi="Arial" w:cs="Arial"/>
          <w:bCs/>
          <w:lang w:val="en-IN"/>
        </w:rPr>
        <w:t>The widening price spread identified in the study reflects the accumulation of marketing margins across intermediaries, suggesting inefficiencies in the marketing system that reduce the net returns accruing to producers</w:t>
      </w:r>
      <w:r w:rsidR="005A2148">
        <w:rPr>
          <w:rFonts w:ascii="Arial" w:hAnsi="Arial" w:cs="Arial"/>
          <w:b/>
          <w:bCs/>
          <w:lang w:val="en-IN"/>
        </w:rPr>
        <w:t xml:space="preserve"> </w:t>
      </w:r>
      <w:r w:rsidR="005A2148" w:rsidRPr="005A2148">
        <w:rPr>
          <w:rFonts w:ascii="Arial" w:hAnsi="Arial" w:cs="Arial"/>
          <w:lang w:val="en-IN"/>
        </w:rPr>
        <w:t>(Tomek</w:t>
      </w:r>
      <w:r w:rsidR="005A2148">
        <w:rPr>
          <w:rFonts w:ascii="Arial" w:hAnsi="Arial" w:cs="Arial"/>
          <w:lang w:val="en-IN"/>
        </w:rPr>
        <w:t xml:space="preserve"> </w:t>
      </w:r>
      <w:r w:rsidR="005A2148" w:rsidRPr="005A2148">
        <w:rPr>
          <w:rFonts w:ascii="Arial" w:hAnsi="Arial" w:cs="Arial"/>
          <w:lang w:val="en-IN"/>
        </w:rPr>
        <w:t>&amp;</w:t>
      </w:r>
      <w:r w:rsidR="005A2148">
        <w:rPr>
          <w:rFonts w:ascii="Arial" w:hAnsi="Arial" w:cs="Arial"/>
          <w:lang w:val="en-IN"/>
        </w:rPr>
        <w:t xml:space="preserve"> </w:t>
      </w:r>
      <w:r w:rsidR="005A2148" w:rsidRPr="005A2148">
        <w:rPr>
          <w:rFonts w:ascii="Arial" w:hAnsi="Arial" w:cs="Arial"/>
          <w:lang w:val="en-IN"/>
        </w:rPr>
        <w:t>Robinson, 2003).</w:t>
      </w:r>
      <w:r w:rsidRPr="00216F12">
        <w:rPr>
          <w:rFonts w:ascii="Arial" w:hAnsi="Arial" w:cs="Arial"/>
          <w:bCs/>
          <w:lang w:val="en-IN"/>
        </w:rPr>
        <w:br/>
      </w:r>
    </w:p>
    <w:p w14:paraId="40A249BF" w14:textId="77777777" w:rsidR="00B01FCD" w:rsidRDefault="00000F8F" w:rsidP="003F5B1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F405F2" w14:textId="77777777" w:rsidR="00790ADA" w:rsidRPr="005052C5" w:rsidRDefault="00790ADA" w:rsidP="003F5B1C">
      <w:pPr>
        <w:pStyle w:val="ConcHead"/>
        <w:spacing w:after="0"/>
        <w:jc w:val="both"/>
        <w:rPr>
          <w:rFonts w:ascii="Arial" w:hAnsi="Arial" w:cs="Arial"/>
        </w:rPr>
      </w:pPr>
    </w:p>
    <w:p w14:paraId="3899C722" w14:textId="77777777" w:rsidR="00DA02CF" w:rsidRPr="005052C5" w:rsidRDefault="00DA02CF" w:rsidP="00DA02CF">
      <w:pPr>
        <w:jc w:val="both"/>
        <w:rPr>
          <w:rFonts w:ascii="Arial" w:hAnsi="Arial" w:cs="Arial"/>
          <w:lang w:val="en-IN"/>
        </w:rPr>
      </w:pPr>
      <w:r w:rsidRPr="00DA02CF">
        <w:rPr>
          <w:rFonts w:ascii="Arial" w:hAnsi="Arial" w:cs="Arial"/>
          <w:lang w:val="en-IN"/>
        </w:rPr>
        <w:t>The study of off-season cabbage marketing in Senapati district reveals a highly commercialized and structurally constrained vegetable economy, where marketed surplus closely matches marketable surplus across all farm categories (small: 10,527.14 kg; marginal: 7,060.93 kg; overall: 7,711.04 kg). The very low level of retention (1.25–1.57%) and minimal spoilage (0.51–0.76%) indicate that nearly the entire production is directed toward the market, primarily due to perishability and lack of storage infrastructure.</w:t>
      </w:r>
    </w:p>
    <w:p w14:paraId="0E14AE85" w14:textId="77777777" w:rsidR="00DA02CF" w:rsidRPr="00DA02CF" w:rsidRDefault="00DA02CF" w:rsidP="00DA02CF">
      <w:pPr>
        <w:jc w:val="both"/>
        <w:rPr>
          <w:rFonts w:ascii="Arial" w:hAnsi="Arial" w:cs="Arial"/>
          <w:lang w:val="en-IN"/>
        </w:rPr>
      </w:pPr>
    </w:p>
    <w:p w14:paraId="7E794727" w14:textId="77777777" w:rsidR="00DA02CF" w:rsidRPr="005052C5" w:rsidRDefault="00DA02CF" w:rsidP="00DA02CF">
      <w:pPr>
        <w:jc w:val="both"/>
        <w:rPr>
          <w:rFonts w:ascii="Arial" w:hAnsi="Arial" w:cs="Arial"/>
          <w:lang w:val="en-IN"/>
        </w:rPr>
      </w:pPr>
      <w:r w:rsidRPr="00DA02CF">
        <w:rPr>
          <w:rFonts w:ascii="Arial" w:hAnsi="Arial" w:cs="Arial"/>
          <w:lang w:val="en-IN"/>
        </w:rPr>
        <w:t xml:space="preserve">The application of the Bernoulli–Binomial framework provides a key analytical insight into this behaviour. Treating each unit of output as a binary trial (marketed vs not marketed), the estimated probabilities of sale remained extremely high across all farm categories (p ≈ 0.98), with very low variance values. This confirms that marketed surplus behaves as a near-deterministic outcome rather than a highly stochastic process, as farmers face strong institutional and physical constraints that force immediate disposal of produce. Similarly, </w:t>
      </w:r>
      <w:r w:rsidRPr="00DA02CF">
        <w:rPr>
          <w:rFonts w:ascii="Arial" w:hAnsi="Arial" w:cs="Arial"/>
          <w:lang w:val="en-IN"/>
        </w:rPr>
        <w:lastRenderedPageBreak/>
        <w:t>channel allocation probabilities show structured rather than random behaviour, with Channel-I dominating at 57.67%, followed by Channel-II (27.90%) and Channel-III (14.43%), reflecting consistent routing patterns across farms.</w:t>
      </w:r>
    </w:p>
    <w:p w14:paraId="72DAB5B3" w14:textId="77777777" w:rsidR="00DA02CF" w:rsidRPr="00DA02CF" w:rsidRDefault="00DA02CF" w:rsidP="00DA02CF">
      <w:pPr>
        <w:jc w:val="both"/>
        <w:rPr>
          <w:rFonts w:ascii="Arial" w:hAnsi="Arial" w:cs="Arial"/>
          <w:lang w:val="en-IN"/>
        </w:rPr>
      </w:pPr>
    </w:p>
    <w:p w14:paraId="0DABA147" w14:textId="77777777" w:rsidR="00DA02CF" w:rsidRPr="005052C5" w:rsidRDefault="00DA02CF" w:rsidP="00DA02CF">
      <w:pPr>
        <w:jc w:val="both"/>
        <w:rPr>
          <w:rFonts w:ascii="Arial" w:hAnsi="Arial" w:cs="Arial"/>
          <w:lang w:val="en-IN"/>
        </w:rPr>
      </w:pPr>
      <w:r w:rsidRPr="00DA02CF">
        <w:rPr>
          <w:rFonts w:ascii="Arial" w:hAnsi="Arial" w:cs="Arial"/>
          <w:lang w:val="en-IN"/>
        </w:rPr>
        <w:t>The marketing structure is predominantly intermediary-driven, where village-level traders play a central role in aggregation and market access. However, price spread analysis reveals a clear efficiency gradient across channels. Channel-I records the highest price spread (₹20/kg) and lowest producer share (60%), while Channel-III achieves the lowest price spread (₹1.93/kg), highest producer share (95.71%), and highest marketing efficiency (22.316). This clearly demonstrates that reducing intermediaries improves price transmission and farmer welfare.</w:t>
      </w:r>
    </w:p>
    <w:p w14:paraId="10AE9EFA" w14:textId="77777777" w:rsidR="00DA02CF" w:rsidRPr="00DA02CF" w:rsidRDefault="00DA02CF" w:rsidP="00DA02CF">
      <w:pPr>
        <w:jc w:val="both"/>
        <w:rPr>
          <w:rFonts w:ascii="Arial" w:hAnsi="Arial" w:cs="Arial"/>
          <w:lang w:val="en-IN"/>
        </w:rPr>
      </w:pPr>
    </w:p>
    <w:p w14:paraId="0C56C8E2" w14:textId="77777777" w:rsidR="00DA02CF" w:rsidRPr="00DA02CF" w:rsidRDefault="00DA02CF" w:rsidP="00DA02CF">
      <w:pPr>
        <w:jc w:val="both"/>
        <w:rPr>
          <w:rFonts w:ascii="Arial" w:hAnsi="Arial" w:cs="Arial"/>
          <w:lang w:val="en-IN"/>
        </w:rPr>
      </w:pPr>
      <w:r w:rsidRPr="00DA02CF">
        <w:rPr>
          <w:rFonts w:ascii="Arial" w:hAnsi="Arial" w:cs="Arial"/>
          <w:lang w:val="en-IN"/>
        </w:rPr>
        <w:t>Overall, the findings highlight that off-season cabbage marketing in Senapati is governed by a combination of structural constraints and probabilistic regularity. While marketing outcomes appear stochastic at the micro level, the Bernoulli–Binomial interpretation shows that they are statistically stable and predictable due to strong perishability-driven constraints. Strengthening direct marketing systems and reducing dependence on intermediaries would therefore be essential to improve efficiency and enhance producer returns in perishable vegetable value chains.</w:t>
      </w:r>
    </w:p>
    <w:p w14:paraId="1DCDE908" w14:textId="77777777" w:rsidR="00DA02CF" w:rsidRPr="005052C5" w:rsidRDefault="00DA02CF" w:rsidP="003F5B1C">
      <w:pPr>
        <w:jc w:val="both"/>
        <w:rPr>
          <w:rFonts w:ascii="Arial" w:hAnsi="Arial" w:cs="Arial"/>
          <w:lang w:val="en-IN"/>
        </w:rPr>
      </w:pPr>
    </w:p>
    <w:p w14:paraId="24776895" w14:textId="6A5CB2E2" w:rsidR="006661A6" w:rsidRPr="005052C5" w:rsidRDefault="006661A6" w:rsidP="003F5B1C">
      <w:pPr>
        <w:jc w:val="both"/>
        <w:rPr>
          <w:rFonts w:ascii="Arial" w:hAnsi="Arial" w:cs="Arial"/>
          <w:sz w:val="22"/>
          <w:szCs w:val="22"/>
          <w:lang w:val="en-IN"/>
        </w:rPr>
      </w:pPr>
    </w:p>
    <w:p w14:paraId="6E55BB3B" w14:textId="774DCA6C" w:rsidR="006661A6" w:rsidRPr="005052C5" w:rsidRDefault="006661A6" w:rsidP="003F5B1C">
      <w:pPr>
        <w:jc w:val="both"/>
        <w:rPr>
          <w:rFonts w:ascii="Arial" w:hAnsi="Arial" w:cs="Arial"/>
          <w:b/>
          <w:bCs/>
          <w:sz w:val="22"/>
          <w:szCs w:val="22"/>
        </w:rPr>
      </w:pPr>
      <w:r w:rsidRPr="005052C5">
        <w:rPr>
          <w:rFonts w:ascii="Arial" w:hAnsi="Arial" w:cs="Arial"/>
          <w:b/>
          <w:bCs/>
          <w:sz w:val="22"/>
          <w:szCs w:val="22"/>
        </w:rPr>
        <w:t>5. RECOMMENDATION</w:t>
      </w:r>
    </w:p>
    <w:p w14:paraId="7D3D7C2C" w14:textId="77777777" w:rsidR="006661A6" w:rsidRPr="005052C5" w:rsidRDefault="006661A6" w:rsidP="003F5B1C">
      <w:pPr>
        <w:jc w:val="both"/>
        <w:rPr>
          <w:rFonts w:ascii="Arial" w:hAnsi="Arial" w:cs="Arial"/>
          <w:b/>
          <w:bCs/>
        </w:rPr>
      </w:pPr>
    </w:p>
    <w:p w14:paraId="661AB612" w14:textId="77777777" w:rsidR="00DA02CF" w:rsidRPr="005052C5" w:rsidRDefault="00DA02CF" w:rsidP="00DA02CF">
      <w:pPr>
        <w:jc w:val="both"/>
        <w:rPr>
          <w:rFonts w:ascii="Arial" w:hAnsi="Arial" w:cs="Arial"/>
          <w:lang w:val="en-IN"/>
        </w:rPr>
      </w:pPr>
      <w:r w:rsidRPr="00DA02CF">
        <w:rPr>
          <w:rFonts w:ascii="Arial" w:hAnsi="Arial" w:cs="Arial"/>
          <w:lang w:val="en-IN"/>
        </w:rPr>
        <w:t>The findings of the study indicate clear areas where targeted policy interventions can significantly improve the efficiency and equity of the off-season cabbage marketing system in Senapati district. The very high marketed surplus coupled with minimal retention and spoilage reflects a strongly commercialization-driven system; however, this does not automatically translate into optimal farmer welfare due to structural inefficiencies in marketing channels. In this context, strengthening direct marketing systems such as Channel-III is essential, as it offers the highest producer share (95.71%) and lowest price spread (₹1.93/kg), yet remains underutilized due to scale and access constraints. Development of farmer-to-consumer platforms, rural periodic markets, and digital marketing linkages can help expand such efficient channels.</w:t>
      </w:r>
    </w:p>
    <w:p w14:paraId="1B2363D3" w14:textId="77777777" w:rsidR="005A2148" w:rsidRPr="00DA02CF" w:rsidRDefault="005A2148" w:rsidP="00DA02CF">
      <w:pPr>
        <w:jc w:val="both"/>
        <w:rPr>
          <w:rFonts w:ascii="Arial" w:hAnsi="Arial" w:cs="Arial"/>
          <w:lang w:val="en-IN"/>
        </w:rPr>
      </w:pPr>
    </w:p>
    <w:p w14:paraId="29C7C577" w14:textId="77777777" w:rsidR="00DA02CF" w:rsidRPr="005052C5" w:rsidRDefault="00DA02CF" w:rsidP="00DA02CF">
      <w:pPr>
        <w:jc w:val="both"/>
        <w:rPr>
          <w:rFonts w:ascii="Arial" w:hAnsi="Arial" w:cs="Arial"/>
          <w:lang w:val="en-IN"/>
        </w:rPr>
      </w:pPr>
      <w:r w:rsidRPr="00DA02CF">
        <w:rPr>
          <w:rFonts w:ascii="Arial" w:hAnsi="Arial" w:cs="Arial"/>
          <w:lang w:val="en-IN"/>
        </w:rPr>
        <w:t>The dominance of Channel-I (57.67%) highlights the continued dependence on village-level traders, which, although functionally important for aggregation and quick disposal, leads to higher price spread (₹20/kg) and lower producer share (60%). Therefore, the formation and strengthening of Farmer Producer Organizations (FPOs) can play a critical role in reducing dependence on intermediaries and improving collective bargaining power. In addition, improvements in rural infrastructure such as cold storage facilities, pack houses, and low-cost transportation systems are necessary to reduce marketing constraints associated with perishable commodities.</w:t>
      </w:r>
    </w:p>
    <w:p w14:paraId="5DE33E5E" w14:textId="77777777" w:rsidR="005A2148" w:rsidRPr="00DA02CF" w:rsidRDefault="005A2148" w:rsidP="00DA02CF">
      <w:pPr>
        <w:jc w:val="both"/>
        <w:rPr>
          <w:rFonts w:ascii="Arial" w:hAnsi="Arial" w:cs="Arial"/>
          <w:lang w:val="en-IN"/>
        </w:rPr>
      </w:pPr>
    </w:p>
    <w:p w14:paraId="6FEF3E32" w14:textId="77777777" w:rsidR="00DA02CF" w:rsidRPr="00DA02CF" w:rsidRDefault="00DA02CF" w:rsidP="00DA02CF">
      <w:pPr>
        <w:jc w:val="both"/>
        <w:rPr>
          <w:rFonts w:ascii="Arial" w:hAnsi="Arial" w:cs="Arial"/>
          <w:lang w:val="en-IN"/>
        </w:rPr>
      </w:pPr>
      <w:r w:rsidRPr="00DA02CF">
        <w:rPr>
          <w:rFonts w:ascii="Arial" w:hAnsi="Arial" w:cs="Arial"/>
          <w:lang w:val="en-IN"/>
        </w:rPr>
        <w:t>Furthermore, the study underscores the importance of improving market transparency and reducing transaction costs through better price dissemination systems, standardized grading practices, and strengthened market information networks. Capacity-building initiatives focusing on post-harvest handling, grading, and market awareness should also be prioritized to enhance farmers’ ability to engage more effectively in alternative marketing channels. Overall, policy efforts should focus on reducing structural bottlenecks in the value chain, promoting institutional support systems, and enabling a gradual shift towards more efficient and farmer-friendly marketing structures.</w:t>
      </w:r>
    </w:p>
    <w:p w14:paraId="26CAAE7C" w14:textId="77777777" w:rsidR="00DA02CF" w:rsidRPr="005052C5" w:rsidRDefault="00DA02CF" w:rsidP="003F5B1C">
      <w:pPr>
        <w:jc w:val="both"/>
        <w:rPr>
          <w:rFonts w:ascii="Arial" w:hAnsi="Arial" w:cs="Arial"/>
        </w:rPr>
      </w:pPr>
    </w:p>
    <w:p w14:paraId="23628C66" w14:textId="23CDD69F" w:rsidR="00DA02CF" w:rsidRPr="005052C5" w:rsidRDefault="00DA02CF" w:rsidP="003F5B1C">
      <w:pPr>
        <w:jc w:val="both"/>
        <w:rPr>
          <w:rFonts w:ascii="Arial" w:hAnsi="Arial" w:cs="Arial"/>
          <w:b/>
          <w:bCs/>
          <w:sz w:val="22"/>
          <w:szCs w:val="22"/>
        </w:rPr>
      </w:pPr>
      <w:r w:rsidRPr="005052C5">
        <w:rPr>
          <w:rFonts w:ascii="Arial" w:hAnsi="Arial" w:cs="Arial"/>
          <w:b/>
          <w:bCs/>
          <w:sz w:val="22"/>
          <w:szCs w:val="22"/>
        </w:rPr>
        <w:t xml:space="preserve">6. LIMITATIONS </w:t>
      </w:r>
    </w:p>
    <w:p w14:paraId="46E57CCA" w14:textId="77777777" w:rsidR="00DA02CF" w:rsidRPr="005052C5" w:rsidRDefault="00DA02CF" w:rsidP="003F5B1C">
      <w:pPr>
        <w:jc w:val="both"/>
        <w:rPr>
          <w:rFonts w:ascii="Arial" w:hAnsi="Arial" w:cs="Arial"/>
        </w:rPr>
      </w:pPr>
    </w:p>
    <w:p w14:paraId="364A9405" w14:textId="77777777" w:rsidR="00DA02CF" w:rsidRPr="005052C5" w:rsidRDefault="00DA02CF" w:rsidP="00DA02CF">
      <w:pPr>
        <w:jc w:val="both"/>
        <w:rPr>
          <w:rFonts w:ascii="Arial" w:hAnsi="Arial" w:cs="Arial"/>
          <w:lang w:val="en-IN"/>
        </w:rPr>
      </w:pPr>
      <w:r w:rsidRPr="00DA02CF">
        <w:rPr>
          <w:rFonts w:ascii="Arial" w:hAnsi="Arial" w:cs="Arial"/>
          <w:lang w:val="en-IN"/>
        </w:rPr>
        <w:t>Despite providing useful insights into the marketing structure of off-season cabbage, the study has certain limitations that should be considered while interpreting the results. First, the analysis is based on primary cross-sectional data, which captures marketing behaviour for a specific season only. Since vegetable prices, arrivals, and marketing channels fluctuate across seasons and years, the findings may not fully represent long-term marketing patterns.</w:t>
      </w:r>
    </w:p>
    <w:p w14:paraId="15A93AD6" w14:textId="77777777" w:rsidR="005A2148" w:rsidRPr="00DA02CF" w:rsidRDefault="005A2148" w:rsidP="00DA02CF">
      <w:pPr>
        <w:jc w:val="both"/>
        <w:rPr>
          <w:rFonts w:ascii="Arial" w:hAnsi="Arial" w:cs="Arial"/>
          <w:lang w:val="en-IN"/>
        </w:rPr>
      </w:pPr>
    </w:p>
    <w:p w14:paraId="661D61ED" w14:textId="77777777" w:rsidR="00DA02CF" w:rsidRPr="005052C5" w:rsidRDefault="00DA02CF" w:rsidP="00DA02CF">
      <w:pPr>
        <w:jc w:val="both"/>
        <w:rPr>
          <w:rFonts w:ascii="Arial" w:hAnsi="Arial" w:cs="Arial"/>
          <w:lang w:val="en-IN"/>
        </w:rPr>
      </w:pPr>
      <w:r w:rsidRPr="00DA02CF">
        <w:rPr>
          <w:rFonts w:ascii="Arial" w:hAnsi="Arial" w:cs="Arial"/>
          <w:lang w:val="en-IN"/>
        </w:rPr>
        <w:t>Second, the study is confined to selected blocks of Senapati district, and therefore the results may not be directly generalisable to other regions with different levels of infrastructure, market access, or institutional development. Variations in road connectivity, market distance, and trader networks can significantly alter marketing efficiency in other contexts.</w:t>
      </w:r>
    </w:p>
    <w:p w14:paraId="578C4DE9" w14:textId="77777777" w:rsidR="005A2148" w:rsidRPr="00DA02CF" w:rsidRDefault="005A2148" w:rsidP="00DA02CF">
      <w:pPr>
        <w:jc w:val="both"/>
        <w:rPr>
          <w:rFonts w:ascii="Arial" w:hAnsi="Arial" w:cs="Arial"/>
          <w:lang w:val="en-IN"/>
        </w:rPr>
      </w:pPr>
    </w:p>
    <w:p w14:paraId="1042A056" w14:textId="77777777" w:rsidR="00DA02CF" w:rsidRPr="005052C5" w:rsidRDefault="00DA02CF" w:rsidP="00DA02CF">
      <w:pPr>
        <w:jc w:val="both"/>
        <w:rPr>
          <w:rFonts w:ascii="Arial" w:hAnsi="Arial" w:cs="Arial"/>
          <w:lang w:val="en-IN"/>
        </w:rPr>
      </w:pPr>
      <w:r w:rsidRPr="00DA02CF">
        <w:rPr>
          <w:rFonts w:ascii="Arial" w:hAnsi="Arial" w:cs="Arial"/>
          <w:lang w:val="en-IN"/>
        </w:rPr>
        <w:t>Third, the estimation of marketed surplus, retention, and spoilage is based on farmers’ recall and reporting, which may involve minor measurement or recall errors, particularly in differentiating between home consumption, gifts, and losses.</w:t>
      </w:r>
    </w:p>
    <w:p w14:paraId="59EEB48F" w14:textId="77777777" w:rsidR="005A2148" w:rsidRPr="00DA02CF" w:rsidRDefault="005A2148" w:rsidP="00DA02CF">
      <w:pPr>
        <w:jc w:val="both"/>
        <w:rPr>
          <w:rFonts w:ascii="Arial" w:hAnsi="Arial" w:cs="Arial"/>
          <w:lang w:val="en-IN"/>
        </w:rPr>
      </w:pPr>
    </w:p>
    <w:p w14:paraId="670DB18C" w14:textId="77777777" w:rsidR="00DA02CF" w:rsidRPr="005052C5" w:rsidRDefault="00DA02CF" w:rsidP="00DA02CF">
      <w:pPr>
        <w:jc w:val="both"/>
        <w:rPr>
          <w:rFonts w:ascii="Arial" w:hAnsi="Arial" w:cs="Arial"/>
          <w:lang w:val="en-IN"/>
        </w:rPr>
      </w:pPr>
      <w:r w:rsidRPr="00DA02CF">
        <w:rPr>
          <w:rFonts w:ascii="Arial" w:hAnsi="Arial" w:cs="Arial"/>
          <w:lang w:val="en-IN"/>
        </w:rPr>
        <w:t>Finally, while the Bernoulli–Binomial framework provides a simplified probabilistic interpretation of marketing behaviour, it abstracts from complex real-world decision-making factors such as price expectations, risk preferences, and liquidity constraints. Therefore, it should be interpreted as an analytical approximation rather than an exact behavioural representation.</w:t>
      </w:r>
    </w:p>
    <w:p w14:paraId="4F86ED58" w14:textId="2ABE4843" w:rsidR="00DA02CF" w:rsidRPr="00DA02CF" w:rsidRDefault="00DA02CF" w:rsidP="00DA02CF">
      <w:pPr>
        <w:jc w:val="both"/>
        <w:rPr>
          <w:rFonts w:ascii="Arial" w:hAnsi="Arial" w:cs="Arial"/>
          <w:lang w:val="en-IN"/>
        </w:rPr>
      </w:pPr>
    </w:p>
    <w:p w14:paraId="7BC3537D" w14:textId="77777777" w:rsidR="00DA02CF" w:rsidRPr="005052C5" w:rsidRDefault="00DA02CF" w:rsidP="003F5B1C">
      <w:pPr>
        <w:jc w:val="both"/>
        <w:rPr>
          <w:rFonts w:ascii="Arial" w:hAnsi="Arial" w:cs="Arial"/>
        </w:rPr>
      </w:pPr>
    </w:p>
    <w:p w14:paraId="71B29526" w14:textId="77777777" w:rsidR="00790ADA" w:rsidRPr="005052C5" w:rsidRDefault="00790ADA" w:rsidP="003F5B1C">
      <w:pPr>
        <w:pStyle w:val="Body"/>
        <w:spacing w:after="0"/>
        <w:rPr>
          <w:rFonts w:ascii="Arial" w:hAnsi="Arial" w:cs="Arial"/>
        </w:rPr>
      </w:pPr>
    </w:p>
    <w:p w14:paraId="6B10C79E" w14:textId="77777777" w:rsidR="00B01FCD" w:rsidRPr="005052C5" w:rsidRDefault="00B01FCD" w:rsidP="003F5B1C">
      <w:pPr>
        <w:pStyle w:val="AcknHead"/>
        <w:spacing w:after="0"/>
        <w:jc w:val="both"/>
        <w:rPr>
          <w:rFonts w:ascii="Arial" w:hAnsi="Arial" w:cs="Arial"/>
        </w:rPr>
      </w:pPr>
      <w:r w:rsidRPr="005052C5">
        <w:rPr>
          <w:rFonts w:ascii="Arial" w:hAnsi="Arial" w:cs="Arial"/>
        </w:rPr>
        <w:t>Acknowledg</w:t>
      </w:r>
      <w:r w:rsidR="003E2904" w:rsidRPr="005052C5">
        <w:rPr>
          <w:rFonts w:ascii="Arial" w:hAnsi="Arial" w:cs="Arial"/>
        </w:rPr>
        <w:t>E</w:t>
      </w:r>
      <w:r w:rsidRPr="005052C5">
        <w:rPr>
          <w:rFonts w:ascii="Arial" w:hAnsi="Arial" w:cs="Arial"/>
        </w:rPr>
        <w:t>ments</w:t>
      </w:r>
    </w:p>
    <w:p w14:paraId="7DC6D921" w14:textId="77777777" w:rsidR="00790ADA" w:rsidRPr="00FB3A86" w:rsidRDefault="00790ADA" w:rsidP="003F5B1C">
      <w:pPr>
        <w:pStyle w:val="AcknHead"/>
        <w:spacing w:after="0"/>
        <w:jc w:val="both"/>
        <w:rPr>
          <w:rFonts w:ascii="Arial" w:hAnsi="Arial" w:cs="Arial"/>
        </w:rPr>
      </w:pPr>
    </w:p>
    <w:p w14:paraId="0A0295F5" w14:textId="78CD6233" w:rsidR="006661A6" w:rsidRDefault="006661A6" w:rsidP="003F5B1C">
      <w:pPr>
        <w:pStyle w:val="Body"/>
        <w:spacing w:after="0"/>
        <w:rPr>
          <w:rFonts w:ascii="Arial" w:hAnsi="Arial" w:cs="Arial"/>
        </w:rPr>
      </w:pPr>
      <w:r w:rsidRPr="006661A6">
        <w:rPr>
          <w:rFonts w:ascii="Arial" w:hAnsi="Arial" w:cs="Arial"/>
        </w:rPr>
        <w:t>Author would like to thank her advisory committee for their enormous support and encouragement throughout her research work. She will also like to extend her gratitude to the C</w:t>
      </w:r>
      <w:r>
        <w:rPr>
          <w:rFonts w:ascii="Arial" w:hAnsi="Arial" w:cs="Arial"/>
        </w:rPr>
        <w:t>oA,</w:t>
      </w:r>
      <w:r w:rsidRPr="006661A6">
        <w:rPr>
          <w:rFonts w:ascii="Arial" w:hAnsi="Arial" w:cs="Arial"/>
        </w:rPr>
        <w:t xml:space="preserve"> CAU,</w:t>
      </w:r>
      <w:r>
        <w:rPr>
          <w:rFonts w:ascii="Arial" w:hAnsi="Arial" w:cs="Arial"/>
        </w:rPr>
        <w:t xml:space="preserve"> Imphal</w:t>
      </w:r>
      <w:r w:rsidRPr="006661A6">
        <w:rPr>
          <w:rFonts w:ascii="Arial" w:hAnsi="Arial" w:cs="Arial"/>
        </w:rPr>
        <w:t xml:space="preserve"> for providing the opportunity to carry out the research work as a part of Masters’ Degree </w:t>
      </w:r>
      <w:proofErr w:type="spellStart"/>
      <w:r w:rsidRPr="006661A6">
        <w:rPr>
          <w:rFonts w:ascii="Arial" w:hAnsi="Arial" w:cs="Arial"/>
        </w:rPr>
        <w:t>programme</w:t>
      </w:r>
      <w:proofErr w:type="spellEnd"/>
      <w:r w:rsidRPr="006661A6">
        <w:rPr>
          <w:rFonts w:ascii="Arial" w:hAnsi="Arial" w:cs="Arial"/>
        </w:rPr>
        <w:t xml:space="preserve">. </w:t>
      </w:r>
    </w:p>
    <w:p w14:paraId="0DFA95A9" w14:textId="77777777" w:rsidR="00315186" w:rsidRPr="00315186" w:rsidRDefault="00315186" w:rsidP="003F5B1C">
      <w:pPr>
        <w:jc w:val="both"/>
      </w:pPr>
    </w:p>
    <w:p w14:paraId="41F49671" w14:textId="77777777" w:rsidR="00315186" w:rsidRPr="00315186" w:rsidRDefault="00315186" w:rsidP="003F5B1C">
      <w:pPr>
        <w:jc w:val="both"/>
      </w:pPr>
    </w:p>
    <w:p w14:paraId="5F3C48B0" w14:textId="77777777" w:rsidR="00860000" w:rsidRPr="00786D36" w:rsidRDefault="00860000" w:rsidP="003F5B1C">
      <w:pPr>
        <w:pStyle w:val="ReferHead"/>
        <w:spacing w:after="0"/>
        <w:jc w:val="both"/>
        <w:rPr>
          <w:rFonts w:ascii="Arial" w:hAnsi="Arial" w:cs="Arial"/>
          <w:bCs/>
        </w:rPr>
      </w:pPr>
      <w:r w:rsidRPr="00786D36">
        <w:rPr>
          <w:rFonts w:ascii="Arial" w:hAnsi="Arial" w:cs="Arial"/>
          <w:bCs/>
        </w:rPr>
        <w:t>Competing interests</w:t>
      </w:r>
    </w:p>
    <w:p w14:paraId="26BD6766" w14:textId="77777777" w:rsidR="00860000" w:rsidRPr="00786D36" w:rsidRDefault="00860000" w:rsidP="003F5B1C">
      <w:pPr>
        <w:pStyle w:val="ReferHead"/>
        <w:spacing w:after="0"/>
        <w:jc w:val="both"/>
        <w:rPr>
          <w:rFonts w:ascii="Arial" w:hAnsi="Arial" w:cs="Arial"/>
        </w:rPr>
      </w:pPr>
    </w:p>
    <w:p w14:paraId="4302FDE4" w14:textId="77777777" w:rsidR="006661A6" w:rsidRDefault="006661A6" w:rsidP="003F5B1C">
      <w:pPr>
        <w:pStyle w:val="ReferHead"/>
        <w:spacing w:after="0"/>
        <w:jc w:val="both"/>
        <w:rPr>
          <w:rFonts w:ascii="Arial" w:hAnsi="Arial" w:cs="Arial"/>
          <w:b w:val="0"/>
          <w:caps w:val="0"/>
          <w:sz w:val="20"/>
        </w:rPr>
      </w:pPr>
      <w:r w:rsidRPr="006661A6">
        <w:rPr>
          <w:rFonts w:ascii="Arial" w:hAnsi="Arial" w:cs="Arial"/>
          <w:b w:val="0"/>
          <w:caps w:val="0"/>
          <w:sz w:val="20"/>
        </w:rPr>
        <w:t xml:space="preserve">Authors have declared that no competing interests exist. </w:t>
      </w:r>
    </w:p>
    <w:p w14:paraId="672B22D8" w14:textId="77777777" w:rsidR="006661A6" w:rsidRDefault="006661A6" w:rsidP="003F5B1C">
      <w:pPr>
        <w:pStyle w:val="ReferHead"/>
        <w:spacing w:after="0"/>
        <w:jc w:val="both"/>
        <w:rPr>
          <w:rFonts w:ascii="Arial" w:hAnsi="Arial" w:cs="Arial"/>
          <w:b w:val="0"/>
          <w:caps w:val="0"/>
          <w:sz w:val="20"/>
        </w:rPr>
      </w:pPr>
    </w:p>
    <w:p w14:paraId="4E66B85E" w14:textId="77777777" w:rsidR="00750514" w:rsidRPr="00750514" w:rsidRDefault="00750514" w:rsidP="00750514">
      <w:pPr>
        <w:pStyle w:val="ReferHead"/>
        <w:jc w:val="both"/>
        <w:rPr>
          <w:rFonts w:ascii="Arial" w:hAnsi="Arial" w:cs="Arial"/>
          <w:b w:val="0"/>
          <w:caps w:val="0"/>
          <w:sz w:val="20"/>
        </w:rPr>
      </w:pPr>
      <w:r w:rsidRPr="00750514">
        <w:rPr>
          <w:rFonts w:ascii="Arial" w:hAnsi="Arial" w:cs="Arial"/>
          <w:b w:val="0"/>
          <w:caps w:val="0"/>
          <w:sz w:val="20"/>
        </w:rPr>
        <w:t xml:space="preserve">Disclaimer (Artificial Intelligence) </w:t>
      </w:r>
    </w:p>
    <w:p w14:paraId="01594A05" w14:textId="7A0EC915" w:rsidR="00CD6856" w:rsidRDefault="00750514" w:rsidP="00750514">
      <w:pPr>
        <w:pStyle w:val="ReferHead"/>
        <w:spacing w:after="0"/>
        <w:jc w:val="both"/>
        <w:rPr>
          <w:rFonts w:ascii="Arial" w:hAnsi="Arial" w:cs="Arial"/>
          <w:b w:val="0"/>
          <w:caps w:val="0"/>
          <w:sz w:val="20"/>
        </w:rPr>
      </w:pPr>
      <w:r w:rsidRPr="00750514">
        <w:rPr>
          <w:rFonts w:ascii="Arial" w:hAnsi="Arial" w:cs="Arial"/>
          <w:b w:val="0"/>
          <w:caps w:val="0"/>
          <w:sz w:val="20"/>
        </w:rPr>
        <w:t>Author(s) hereby declare that NO generative AI technologies such as Large Language Models (</w:t>
      </w:r>
      <w:proofErr w:type="spellStart"/>
      <w:r w:rsidRPr="00750514">
        <w:rPr>
          <w:rFonts w:ascii="Arial" w:hAnsi="Arial" w:cs="Arial"/>
          <w:b w:val="0"/>
          <w:caps w:val="0"/>
          <w:sz w:val="20"/>
        </w:rPr>
        <w:t>ChatGPT</w:t>
      </w:r>
      <w:proofErr w:type="spellEnd"/>
      <w:r w:rsidRPr="00750514">
        <w:rPr>
          <w:rFonts w:ascii="Arial" w:hAnsi="Arial" w:cs="Arial"/>
          <w:b w:val="0"/>
          <w:caps w:val="0"/>
          <w:sz w:val="20"/>
        </w:rPr>
        <w:t>, COPILOT, etc.) and text-to-image generators have been used during the writing or editing of this manuscript</w:t>
      </w:r>
      <w:r>
        <w:rPr>
          <w:rFonts w:ascii="Arial" w:hAnsi="Arial" w:cs="Arial"/>
          <w:b w:val="0"/>
          <w:caps w:val="0"/>
          <w:sz w:val="20"/>
        </w:rPr>
        <w:t>.</w:t>
      </w:r>
    </w:p>
    <w:p w14:paraId="24451AA6" w14:textId="77777777" w:rsidR="00CB193A" w:rsidRDefault="00CB193A" w:rsidP="00750514">
      <w:pPr>
        <w:pStyle w:val="ReferHead"/>
        <w:spacing w:after="0"/>
        <w:jc w:val="both"/>
        <w:rPr>
          <w:rFonts w:ascii="Arial" w:hAnsi="Arial" w:cs="Arial"/>
          <w:b w:val="0"/>
          <w:caps w:val="0"/>
          <w:sz w:val="20"/>
        </w:rPr>
      </w:pPr>
    </w:p>
    <w:p w14:paraId="5A74865F" w14:textId="38351718" w:rsidR="00456238" w:rsidRDefault="00B01FCD" w:rsidP="003F5B1C">
      <w:pPr>
        <w:pStyle w:val="ReferHead"/>
        <w:spacing w:after="0"/>
        <w:jc w:val="both"/>
        <w:rPr>
          <w:rFonts w:ascii="Arial" w:hAnsi="Arial" w:cs="Arial"/>
        </w:rPr>
      </w:pPr>
      <w:r w:rsidRPr="00FB3A86">
        <w:rPr>
          <w:rFonts w:ascii="Arial" w:hAnsi="Arial" w:cs="Arial"/>
        </w:rPr>
        <w:t>References</w:t>
      </w:r>
    </w:p>
    <w:p w14:paraId="74D310C8" w14:textId="77777777" w:rsidR="00456238" w:rsidRDefault="00456238" w:rsidP="003F5B1C">
      <w:pPr>
        <w:pStyle w:val="Body"/>
        <w:spacing w:after="0"/>
        <w:rPr>
          <w:rFonts w:ascii="Arial" w:hAnsi="Arial" w:cs="Arial"/>
        </w:rPr>
      </w:pPr>
    </w:p>
    <w:p w14:paraId="13F323D8" w14:textId="77777777" w:rsidR="00DB1B2C" w:rsidRDefault="00DB1B2C" w:rsidP="003F5B1C">
      <w:pPr>
        <w:pStyle w:val="Body"/>
        <w:spacing w:after="0"/>
        <w:rPr>
          <w:rFonts w:ascii="Arial" w:hAnsi="Arial" w:cs="Arial"/>
        </w:rPr>
      </w:pPr>
    </w:p>
    <w:p w14:paraId="5DDB7CE8" w14:textId="77777777" w:rsidR="00DB1B2C" w:rsidRDefault="00DB1B2C" w:rsidP="003F5B1C">
      <w:pPr>
        <w:pStyle w:val="Body"/>
        <w:spacing w:after="0"/>
        <w:rPr>
          <w:rFonts w:ascii="Arial" w:hAnsi="Arial" w:cs="Arial"/>
        </w:rPr>
      </w:pPr>
    </w:p>
    <w:p w14:paraId="264306B3" w14:textId="7E73DB9D" w:rsidR="00DB1B2C" w:rsidRPr="005052C5" w:rsidRDefault="00DB1B2C" w:rsidP="006A15FF">
      <w:pPr>
        <w:pStyle w:val="ListParagraph"/>
        <w:numPr>
          <w:ilvl w:val="0"/>
          <w:numId w:val="36"/>
        </w:numPr>
        <w:jc w:val="both"/>
        <w:rPr>
          <w:rFonts w:ascii="Arial" w:hAnsi="Arial" w:cs="Arial"/>
          <w:szCs w:val="24"/>
          <w:lang w:val="en-IN"/>
        </w:rPr>
      </w:pPr>
      <w:r w:rsidRPr="005052C5">
        <w:rPr>
          <w:rFonts w:ascii="Arial" w:hAnsi="Arial" w:cs="Arial"/>
          <w:szCs w:val="24"/>
          <w:lang w:val="en-IN"/>
        </w:rPr>
        <w:t xml:space="preserve">Acharya S.S. and Agarwal N L. </w:t>
      </w:r>
      <w:r w:rsidR="005052C5" w:rsidRPr="005052C5">
        <w:rPr>
          <w:rFonts w:ascii="Arial" w:hAnsi="Arial" w:cs="Arial"/>
          <w:szCs w:val="24"/>
          <w:lang w:val="en-IN"/>
        </w:rPr>
        <w:t>(</w:t>
      </w:r>
      <w:r w:rsidRPr="005052C5">
        <w:rPr>
          <w:rFonts w:ascii="Arial" w:hAnsi="Arial" w:cs="Arial"/>
          <w:szCs w:val="24"/>
          <w:lang w:val="en-IN"/>
        </w:rPr>
        <w:t>2007</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Indian agricultural marketing</w:t>
      </w:r>
      <w:r w:rsidRPr="005052C5">
        <w:rPr>
          <w:rFonts w:ascii="Arial" w:hAnsi="Arial" w:cs="Arial"/>
          <w:szCs w:val="24"/>
          <w:lang w:val="en-IN"/>
        </w:rPr>
        <w:t xml:space="preserve">. 4th </w:t>
      </w:r>
      <w:proofErr w:type="spellStart"/>
      <w:r w:rsidRPr="005052C5">
        <w:rPr>
          <w:rFonts w:ascii="Arial" w:hAnsi="Arial" w:cs="Arial"/>
          <w:szCs w:val="24"/>
          <w:lang w:val="en-IN"/>
        </w:rPr>
        <w:t>edn</w:t>
      </w:r>
      <w:proofErr w:type="spellEnd"/>
      <w:r w:rsidRPr="005052C5">
        <w:rPr>
          <w:rFonts w:ascii="Arial" w:hAnsi="Arial" w:cs="Arial"/>
          <w:szCs w:val="24"/>
          <w:lang w:val="en-IN"/>
        </w:rPr>
        <w:t xml:space="preserve">. New Delhi: Oxford &amp; IBH Publishing Co. </w:t>
      </w:r>
      <w:proofErr w:type="spellStart"/>
      <w:r w:rsidRPr="005052C5">
        <w:rPr>
          <w:rFonts w:ascii="Arial" w:hAnsi="Arial" w:cs="Arial"/>
          <w:szCs w:val="24"/>
          <w:lang w:val="en-IN"/>
        </w:rPr>
        <w:t>Pvt.</w:t>
      </w:r>
      <w:proofErr w:type="spellEnd"/>
      <w:r w:rsidRPr="005052C5">
        <w:rPr>
          <w:rFonts w:ascii="Arial" w:hAnsi="Arial" w:cs="Arial"/>
          <w:szCs w:val="24"/>
          <w:lang w:val="en-IN"/>
        </w:rPr>
        <w:t xml:space="preserve"> Ltd.: 396–400.</w:t>
      </w:r>
    </w:p>
    <w:p w14:paraId="5C192939" w14:textId="197E1A52" w:rsidR="00DB1B2C" w:rsidRPr="005052C5" w:rsidRDefault="00DB1B2C" w:rsidP="006A15FF">
      <w:pPr>
        <w:pStyle w:val="ListParagraph"/>
        <w:numPr>
          <w:ilvl w:val="0"/>
          <w:numId w:val="36"/>
        </w:numPr>
        <w:jc w:val="both"/>
        <w:rPr>
          <w:rFonts w:ascii="Arial" w:hAnsi="Arial" w:cs="Arial"/>
          <w:szCs w:val="24"/>
          <w:lang w:val="en-IN"/>
        </w:rPr>
      </w:pPr>
      <w:r w:rsidRPr="005052C5">
        <w:rPr>
          <w:rFonts w:ascii="Arial" w:hAnsi="Arial" w:cs="Arial"/>
          <w:szCs w:val="24"/>
          <w:lang w:val="en-IN"/>
        </w:rPr>
        <w:t xml:space="preserve">Chadha K L and Pareek O P. </w:t>
      </w:r>
      <w:r w:rsidR="005052C5" w:rsidRPr="005052C5">
        <w:rPr>
          <w:rFonts w:ascii="Arial" w:hAnsi="Arial" w:cs="Arial"/>
          <w:szCs w:val="24"/>
          <w:lang w:val="en-IN"/>
        </w:rPr>
        <w:t>(</w:t>
      </w:r>
      <w:r w:rsidRPr="005052C5">
        <w:rPr>
          <w:rFonts w:ascii="Arial" w:hAnsi="Arial" w:cs="Arial"/>
          <w:szCs w:val="24"/>
          <w:lang w:val="en-IN"/>
        </w:rPr>
        <w:t>1993</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Advances in horticulture, Volume 3: Fruit crops</w:t>
      </w:r>
      <w:r w:rsidRPr="005052C5">
        <w:rPr>
          <w:rFonts w:ascii="Arial" w:hAnsi="Arial" w:cs="Arial"/>
          <w:szCs w:val="24"/>
          <w:lang w:val="en-IN"/>
        </w:rPr>
        <w:t xml:space="preserve">. New Delhi: Malhotra Publishing </w:t>
      </w:r>
      <w:proofErr w:type="gramStart"/>
      <w:r w:rsidRPr="005052C5">
        <w:rPr>
          <w:rFonts w:ascii="Arial" w:hAnsi="Arial" w:cs="Arial"/>
          <w:szCs w:val="24"/>
          <w:lang w:val="en-IN"/>
        </w:rPr>
        <w:t>House..</w:t>
      </w:r>
      <w:proofErr w:type="gramEnd"/>
    </w:p>
    <w:p w14:paraId="4C4F6605" w14:textId="6D46E77F" w:rsidR="00DB1B2C" w:rsidRPr="005052C5" w:rsidRDefault="00DB1B2C" w:rsidP="005A2148">
      <w:pPr>
        <w:pStyle w:val="ListParagraph"/>
        <w:numPr>
          <w:ilvl w:val="0"/>
          <w:numId w:val="36"/>
        </w:numPr>
        <w:jc w:val="both"/>
        <w:rPr>
          <w:rFonts w:ascii="Arial" w:hAnsi="Arial" w:cs="Arial"/>
          <w:szCs w:val="24"/>
          <w:lang w:val="en-IN"/>
        </w:rPr>
      </w:pPr>
      <w:r w:rsidRPr="005052C5">
        <w:rPr>
          <w:rFonts w:ascii="Arial" w:hAnsi="Arial" w:cs="Arial"/>
          <w:szCs w:val="24"/>
          <w:lang w:val="en-IN"/>
        </w:rPr>
        <w:t xml:space="preserve">Deshmukh J M, </w:t>
      </w:r>
      <w:proofErr w:type="spellStart"/>
      <w:r w:rsidRPr="005052C5">
        <w:rPr>
          <w:rFonts w:ascii="Arial" w:hAnsi="Arial" w:cs="Arial"/>
          <w:szCs w:val="24"/>
          <w:lang w:val="en-IN"/>
        </w:rPr>
        <w:t>Dhulgand</w:t>
      </w:r>
      <w:proofErr w:type="spellEnd"/>
      <w:r w:rsidRPr="005052C5">
        <w:rPr>
          <w:rFonts w:ascii="Arial" w:hAnsi="Arial" w:cs="Arial"/>
          <w:szCs w:val="24"/>
          <w:lang w:val="en-IN"/>
        </w:rPr>
        <w:t xml:space="preserve"> V G and Kanade V S. 2019. Off-season vegetable production, </w:t>
      </w:r>
      <w:hyperlink r:id="rId11" w:history="1">
        <w:r w:rsidR="005052C5" w:rsidRPr="005052C5">
          <w:rPr>
            <w:rStyle w:val="Hyperlink"/>
            <w:rFonts w:ascii="Arial" w:hAnsi="Arial" w:cs="Arial"/>
            <w:i/>
            <w:iCs/>
            <w:szCs w:val="24"/>
            <w:lang w:val="en-IN"/>
          </w:rPr>
          <w:t>https://krishijagran.com/featured/off-season-vegetable-production</w:t>
        </w:r>
      </w:hyperlink>
      <w:r w:rsidR="005052C5" w:rsidRPr="005052C5">
        <w:rPr>
          <w:rFonts w:ascii="Arial" w:hAnsi="Arial" w:cs="Arial"/>
          <w:i/>
          <w:iCs/>
          <w:szCs w:val="24"/>
          <w:lang w:val="en-IN"/>
        </w:rPr>
        <w:t xml:space="preserve"> </w:t>
      </w:r>
      <w:r w:rsidRPr="005052C5">
        <w:rPr>
          <w:rFonts w:ascii="Arial" w:hAnsi="Arial" w:cs="Arial"/>
          <w:i/>
          <w:iCs/>
          <w:szCs w:val="24"/>
          <w:lang w:val="en-IN"/>
        </w:rPr>
        <w:t xml:space="preserve"> </w:t>
      </w:r>
      <w:r w:rsidRPr="005052C5">
        <w:rPr>
          <w:rFonts w:ascii="Arial" w:hAnsi="Arial" w:cs="Arial"/>
          <w:szCs w:val="24"/>
          <w:lang w:val="en-IN"/>
        </w:rPr>
        <w:t>(Accessed: 8 January 2022).</w:t>
      </w:r>
    </w:p>
    <w:p w14:paraId="1D09A064" w14:textId="03FB5B84" w:rsidR="00DB1B2C" w:rsidRPr="005052C5" w:rsidRDefault="00DB1B2C" w:rsidP="005A2148">
      <w:pPr>
        <w:pStyle w:val="ListParagraph"/>
        <w:numPr>
          <w:ilvl w:val="0"/>
          <w:numId w:val="36"/>
        </w:numPr>
        <w:jc w:val="both"/>
        <w:rPr>
          <w:rFonts w:ascii="Arial" w:hAnsi="Arial" w:cs="Arial"/>
          <w:szCs w:val="24"/>
          <w:lang w:val="en-IN"/>
        </w:rPr>
      </w:pPr>
      <w:r w:rsidRPr="005052C5">
        <w:rPr>
          <w:rFonts w:ascii="Arial" w:hAnsi="Arial" w:cs="Arial"/>
          <w:szCs w:val="24"/>
          <w:lang w:val="en-IN"/>
        </w:rPr>
        <w:lastRenderedPageBreak/>
        <w:t>Government of India (</w:t>
      </w:r>
      <w:proofErr w:type="spellStart"/>
      <w:r w:rsidRPr="005052C5">
        <w:rPr>
          <w:rFonts w:ascii="Arial" w:hAnsi="Arial" w:cs="Arial"/>
          <w:szCs w:val="24"/>
          <w:lang w:val="en-IN"/>
        </w:rPr>
        <w:t>GoI</w:t>
      </w:r>
      <w:proofErr w:type="spellEnd"/>
      <w:r w:rsidRPr="005052C5">
        <w:rPr>
          <w:rFonts w:ascii="Arial" w:hAnsi="Arial" w:cs="Arial"/>
          <w:szCs w:val="24"/>
          <w:lang w:val="en-IN"/>
        </w:rPr>
        <w:t xml:space="preserve">). </w:t>
      </w:r>
      <w:r w:rsidR="005052C5" w:rsidRPr="005052C5">
        <w:rPr>
          <w:rFonts w:ascii="Arial" w:hAnsi="Arial" w:cs="Arial"/>
          <w:szCs w:val="24"/>
          <w:lang w:val="en-IN"/>
        </w:rPr>
        <w:t>(</w:t>
      </w:r>
      <w:r w:rsidRPr="005052C5">
        <w:rPr>
          <w:rFonts w:ascii="Arial" w:hAnsi="Arial" w:cs="Arial"/>
          <w:szCs w:val="24"/>
          <w:lang w:val="en-IN"/>
        </w:rPr>
        <w:t>2018a</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Horticultural statistics at a glance: State-wise estimates of value of output from agriculture and allied activities</w:t>
      </w:r>
      <w:r w:rsidRPr="005052C5">
        <w:rPr>
          <w:rFonts w:ascii="Arial" w:hAnsi="Arial" w:cs="Arial"/>
          <w:szCs w:val="24"/>
          <w:lang w:val="en-IN"/>
        </w:rPr>
        <w:t>. New Delhi: Central Statistics Office, Ministry of Statistics and Programme Implementation. (Accessed: 2 March 2022).</w:t>
      </w:r>
    </w:p>
    <w:p w14:paraId="155AD640" w14:textId="284DCAF6" w:rsidR="00DB1B2C" w:rsidRPr="005052C5" w:rsidRDefault="00DB1B2C" w:rsidP="005A2148">
      <w:pPr>
        <w:pStyle w:val="ListParagraph"/>
        <w:numPr>
          <w:ilvl w:val="0"/>
          <w:numId w:val="36"/>
        </w:numPr>
        <w:jc w:val="both"/>
        <w:rPr>
          <w:rFonts w:ascii="Arial" w:hAnsi="Arial" w:cs="Arial"/>
          <w:szCs w:val="24"/>
          <w:lang w:val="en-IN"/>
        </w:rPr>
      </w:pPr>
      <w:r w:rsidRPr="005052C5">
        <w:rPr>
          <w:rFonts w:ascii="Arial" w:hAnsi="Arial" w:cs="Arial"/>
          <w:szCs w:val="24"/>
          <w:lang w:val="en-IN"/>
        </w:rPr>
        <w:t>Government of India (</w:t>
      </w:r>
      <w:proofErr w:type="spellStart"/>
      <w:r w:rsidRPr="005052C5">
        <w:rPr>
          <w:rFonts w:ascii="Arial" w:hAnsi="Arial" w:cs="Arial"/>
          <w:szCs w:val="24"/>
          <w:lang w:val="en-IN"/>
        </w:rPr>
        <w:t>GoI</w:t>
      </w:r>
      <w:proofErr w:type="spellEnd"/>
      <w:r w:rsidRPr="005052C5">
        <w:rPr>
          <w:rFonts w:ascii="Arial" w:hAnsi="Arial" w:cs="Arial"/>
          <w:szCs w:val="24"/>
          <w:lang w:val="en-IN"/>
        </w:rPr>
        <w:t xml:space="preserve">). </w:t>
      </w:r>
      <w:r w:rsidR="005052C5" w:rsidRPr="005052C5">
        <w:rPr>
          <w:rFonts w:ascii="Arial" w:hAnsi="Arial" w:cs="Arial"/>
          <w:szCs w:val="24"/>
          <w:lang w:val="en-IN"/>
        </w:rPr>
        <w:t>(</w:t>
      </w:r>
      <w:r w:rsidRPr="005052C5">
        <w:rPr>
          <w:rFonts w:ascii="Arial" w:hAnsi="Arial" w:cs="Arial"/>
          <w:szCs w:val="24"/>
          <w:lang w:val="en-IN"/>
        </w:rPr>
        <w:t>2018b</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Horticultural statistics at a glance</w:t>
      </w:r>
      <w:r w:rsidRPr="005052C5">
        <w:rPr>
          <w:rFonts w:ascii="Arial" w:hAnsi="Arial" w:cs="Arial"/>
          <w:szCs w:val="24"/>
          <w:lang w:val="en-IN"/>
        </w:rPr>
        <w:t>. New Delhi: Department of Agriculture, Cooperation and Farmers Welfare. (Accessed: 20 March 2022).</w:t>
      </w:r>
    </w:p>
    <w:p w14:paraId="58DA1862" w14:textId="21D52DDB" w:rsidR="00DB1B2C" w:rsidRPr="005052C5" w:rsidRDefault="00DB1B2C" w:rsidP="005A2148">
      <w:pPr>
        <w:pStyle w:val="ListParagraph"/>
        <w:numPr>
          <w:ilvl w:val="0"/>
          <w:numId w:val="36"/>
        </w:numPr>
        <w:jc w:val="both"/>
        <w:rPr>
          <w:rFonts w:ascii="Arial" w:hAnsi="Arial" w:cs="Arial"/>
          <w:szCs w:val="24"/>
          <w:lang w:val="en-IN"/>
        </w:rPr>
      </w:pPr>
      <w:r w:rsidRPr="005052C5">
        <w:rPr>
          <w:rFonts w:ascii="Arial" w:hAnsi="Arial" w:cs="Arial"/>
          <w:szCs w:val="24"/>
          <w:lang w:val="en-IN"/>
        </w:rPr>
        <w:t>Government of Manipur (</w:t>
      </w:r>
      <w:proofErr w:type="spellStart"/>
      <w:r w:rsidRPr="005052C5">
        <w:rPr>
          <w:rFonts w:ascii="Arial" w:hAnsi="Arial" w:cs="Arial"/>
          <w:szCs w:val="24"/>
          <w:lang w:val="en-IN"/>
        </w:rPr>
        <w:t>GoM</w:t>
      </w:r>
      <w:proofErr w:type="spellEnd"/>
      <w:r w:rsidRPr="005052C5">
        <w:rPr>
          <w:rFonts w:ascii="Arial" w:hAnsi="Arial" w:cs="Arial"/>
          <w:szCs w:val="24"/>
          <w:lang w:val="en-IN"/>
        </w:rPr>
        <w:t xml:space="preserve">). </w:t>
      </w:r>
      <w:r w:rsidR="005052C5" w:rsidRPr="005052C5">
        <w:rPr>
          <w:rFonts w:ascii="Arial" w:hAnsi="Arial" w:cs="Arial"/>
          <w:szCs w:val="24"/>
          <w:lang w:val="en-IN"/>
        </w:rPr>
        <w:t>(</w:t>
      </w:r>
      <w:r w:rsidRPr="005052C5">
        <w:rPr>
          <w:rFonts w:ascii="Arial" w:hAnsi="Arial" w:cs="Arial"/>
          <w:szCs w:val="24"/>
          <w:lang w:val="en-IN"/>
        </w:rPr>
        <w:t>2011</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Directorate of Horticulture and Soil Conservation: Area and production of cabbage in Manipur, 2010–11</w:t>
      </w:r>
      <w:r w:rsidRPr="005052C5">
        <w:rPr>
          <w:rFonts w:ascii="Arial" w:hAnsi="Arial" w:cs="Arial"/>
          <w:szCs w:val="24"/>
          <w:lang w:val="en-IN"/>
        </w:rPr>
        <w:t>. Imphal: Government of Manipur. (Accessed: 30 January 2022).</w:t>
      </w:r>
    </w:p>
    <w:p w14:paraId="41E65E37" w14:textId="466F7D15" w:rsidR="00DB1B2C" w:rsidRPr="005052C5" w:rsidRDefault="00DB1B2C" w:rsidP="005A2148">
      <w:pPr>
        <w:pStyle w:val="ListParagraph"/>
        <w:numPr>
          <w:ilvl w:val="0"/>
          <w:numId w:val="36"/>
        </w:numPr>
        <w:jc w:val="both"/>
        <w:rPr>
          <w:rFonts w:ascii="Arial" w:hAnsi="Arial" w:cs="Arial"/>
          <w:szCs w:val="24"/>
          <w:lang w:val="en-IN"/>
        </w:rPr>
      </w:pPr>
      <w:r w:rsidRPr="005052C5">
        <w:rPr>
          <w:rFonts w:ascii="Arial" w:hAnsi="Arial" w:cs="Arial"/>
          <w:szCs w:val="24"/>
          <w:lang w:val="en-IN"/>
        </w:rPr>
        <w:t>Government of Manipur (</w:t>
      </w:r>
      <w:proofErr w:type="spellStart"/>
      <w:r w:rsidRPr="005052C5">
        <w:rPr>
          <w:rFonts w:ascii="Arial" w:hAnsi="Arial" w:cs="Arial"/>
          <w:szCs w:val="24"/>
          <w:lang w:val="en-IN"/>
        </w:rPr>
        <w:t>GoM</w:t>
      </w:r>
      <w:proofErr w:type="spellEnd"/>
      <w:r w:rsidRPr="005052C5">
        <w:rPr>
          <w:rFonts w:ascii="Arial" w:hAnsi="Arial" w:cs="Arial"/>
          <w:szCs w:val="24"/>
          <w:lang w:val="en-IN"/>
        </w:rPr>
        <w:t xml:space="preserve">). </w:t>
      </w:r>
      <w:r w:rsidR="005052C5" w:rsidRPr="005052C5">
        <w:rPr>
          <w:rFonts w:ascii="Arial" w:hAnsi="Arial" w:cs="Arial"/>
          <w:szCs w:val="24"/>
          <w:lang w:val="en-IN"/>
        </w:rPr>
        <w:t>(</w:t>
      </w:r>
      <w:r w:rsidRPr="005052C5">
        <w:rPr>
          <w:rFonts w:ascii="Arial" w:hAnsi="Arial" w:cs="Arial"/>
          <w:szCs w:val="24"/>
          <w:lang w:val="en-IN"/>
        </w:rPr>
        <w:t>2021a</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Directorate of Horticulture and Soil Conservation, 2020–21</w:t>
      </w:r>
      <w:r w:rsidRPr="005052C5">
        <w:rPr>
          <w:rFonts w:ascii="Arial" w:hAnsi="Arial" w:cs="Arial"/>
          <w:szCs w:val="24"/>
          <w:lang w:val="en-IN"/>
        </w:rPr>
        <w:t xml:space="preserve">. </w:t>
      </w:r>
      <w:proofErr w:type="spellStart"/>
      <w:r w:rsidRPr="005052C5">
        <w:rPr>
          <w:rFonts w:ascii="Arial" w:hAnsi="Arial" w:cs="Arial"/>
          <w:szCs w:val="24"/>
          <w:lang w:val="en-IN"/>
        </w:rPr>
        <w:t>Lamphelpat</w:t>
      </w:r>
      <w:proofErr w:type="spellEnd"/>
      <w:r w:rsidRPr="005052C5">
        <w:rPr>
          <w:rFonts w:ascii="Arial" w:hAnsi="Arial" w:cs="Arial"/>
          <w:szCs w:val="24"/>
          <w:lang w:val="en-IN"/>
        </w:rPr>
        <w:t>: Government of Manipur. (Accessed: 15 January 2022).</w:t>
      </w:r>
    </w:p>
    <w:p w14:paraId="3DB92C10" w14:textId="2F193B16" w:rsidR="00DB1B2C" w:rsidRPr="005052C5" w:rsidRDefault="00DB1B2C" w:rsidP="005A2148">
      <w:pPr>
        <w:pStyle w:val="ListParagraph"/>
        <w:numPr>
          <w:ilvl w:val="0"/>
          <w:numId w:val="36"/>
        </w:numPr>
        <w:jc w:val="both"/>
        <w:rPr>
          <w:rFonts w:ascii="Arial" w:hAnsi="Arial" w:cs="Arial"/>
          <w:szCs w:val="24"/>
          <w:lang w:val="en-IN"/>
        </w:rPr>
      </w:pPr>
      <w:r w:rsidRPr="005052C5">
        <w:rPr>
          <w:rFonts w:ascii="Arial" w:hAnsi="Arial" w:cs="Arial"/>
          <w:szCs w:val="24"/>
          <w:lang w:val="en-IN"/>
        </w:rPr>
        <w:t>Government of Manipur (</w:t>
      </w:r>
      <w:proofErr w:type="spellStart"/>
      <w:r w:rsidRPr="005052C5">
        <w:rPr>
          <w:rFonts w:ascii="Arial" w:hAnsi="Arial" w:cs="Arial"/>
          <w:szCs w:val="24"/>
          <w:lang w:val="en-IN"/>
        </w:rPr>
        <w:t>GoM</w:t>
      </w:r>
      <w:proofErr w:type="spellEnd"/>
      <w:r w:rsidRPr="005052C5">
        <w:rPr>
          <w:rFonts w:ascii="Arial" w:hAnsi="Arial" w:cs="Arial"/>
          <w:szCs w:val="24"/>
          <w:lang w:val="en-IN"/>
        </w:rPr>
        <w:t xml:space="preserve">). </w:t>
      </w:r>
      <w:r w:rsidR="005052C5" w:rsidRPr="005052C5">
        <w:rPr>
          <w:rFonts w:ascii="Arial" w:hAnsi="Arial" w:cs="Arial"/>
          <w:szCs w:val="24"/>
          <w:lang w:val="en-IN"/>
        </w:rPr>
        <w:t>(</w:t>
      </w:r>
      <w:r w:rsidRPr="005052C5">
        <w:rPr>
          <w:rFonts w:ascii="Arial" w:hAnsi="Arial" w:cs="Arial"/>
          <w:szCs w:val="24"/>
          <w:lang w:val="en-IN"/>
        </w:rPr>
        <w:t>2021b</w:t>
      </w:r>
      <w:r w:rsidR="005052C5" w:rsidRPr="005052C5">
        <w:rPr>
          <w:rFonts w:ascii="Arial" w:hAnsi="Arial" w:cs="Arial"/>
          <w:szCs w:val="24"/>
          <w:lang w:val="en-IN"/>
        </w:rPr>
        <w:t>)</w:t>
      </w:r>
      <w:r w:rsidRPr="005052C5">
        <w:rPr>
          <w:rFonts w:ascii="Arial" w:hAnsi="Arial" w:cs="Arial"/>
          <w:szCs w:val="24"/>
          <w:lang w:val="en-IN"/>
        </w:rPr>
        <w:t xml:space="preserve">. </w:t>
      </w:r>
      <w:r w:rsidRPr="005052C5">
        <w:rPr>
          <w:rFonts w:ascii="Arial" w:hAnsi="Arial" w:cs="Arial"/>
          <w:i/>
          <w:iCs/>
          <w:szCs w:val="24"/>
          <w:lang w:val="en-IN"/>
        </w:rPr>
        <w:t>Economic survey of Manipur, 2020–21</w:t>
      </w:r>
      <w:r w:rsidRPr="005052C5">
        <w:rPr>
          <w:rFonts w:ascii="Arial" w:hAnsi="Arial" w:cs="Arial"/>
          <w:szCs w:val="24"/>
          <w:lang w:val="en-IN"/>
        </w:rPr>
        <w:t xml:space="preserve">. </w:t>
      </w:r>
      <w:proofErr w:type="spellStart"/>
      <w:r w:rsidRPr="005052C5">
        <w:rPr>
          <w:rFonts w:ascii="Arial" w:hAnsi="Arial" w:cs="Arial"/>
          <w:szCs w:val="24"/>
          <w:lang w:val="en-IN"/>
        </w:rPr>
        <w:t>Lamphelpat</w:t>
      </w:r>
      <w:proofErr w:type="spellEnd"/>
      <w:r w:rsidRPr="005052C5">
        <w:rPr>
          <w:rFonts w:ascii="Arial" w:hAnsi="Arial" w:cs="Arial"/>
          <w:szCs w:val="24"/>
          <w:lang w:val="en-IN"/>
        </w:rPr>
        <w:t>: Directorate of Economics and Statistics, Government of Manipur. (Accessed: 2 January 2022).</w:t>
      </w:r>
    </w:p>
    <w:p w14:paraId="790B6CE8" w14:textId="44CFF423" w:rsidR="005A2148" w:rsidRPr="005052C5" w:rsidRDefault="005A2148" w:rsidP="005052C5">
      <w:pPr>
        <w:pStyle w:val="ListParagraph"/>
        <w:numPr>
          <w:ilvl w:val="0"/>
          <w:numId w:val="36"/>
        </w:numPr>
        <w:jc w:val="both"/>
        <w:rPr>
          <w:rFonts w:ascii="Arial" w:hAnsi="Arial" w:cs="Arial"/>
          <w:bCs/>
          <w:i/>
          <w:iCs/>
        </w:rPr>
      </w:pPr>
      <w:r w:rsidRPr="005052C5">
        <w:rPr>
          <w:rFonts w:ascii="Arial" w:hAnsi="Arial" w:cs="Arial"/>
          <w:bCs/>
        </w:rPr>
        <w:t>Just, R. E., &amp; Pope, R. D. (1978).</w:t>
      </w:r>
      <w:r w:rsidRPr="005052C5">
        <w:rPr>
          <w:rFonts w:ascii="Arial" w:hAnsi="Arial" w:cs="Arial"/>
          <w:bCs/>
        </w:rPr>
        <w:br/>
      </w:r>
      <w:r w:rsidRPr="005052C5">
        <w:rPr>
          <w:rFonts w:ascii="Arial" w:hAnsi="Arial" w:cs="Arial"/>
        </w:rPr>
        <w:t>Stochastic specification of production functions and economic implications</w:t>
      </w:r>
      <w:r w:rsidRPr="005052C5">
        <w:rPr>
          <w:rFonts w:ascii="Arial" w:hAnsi="Arial" w:cs="Arial"/>
          <w:b/>
          <w:bCs/>
        </w:rPr>
        <w:t>.</w:t>
      </w:r>
      <w:r w:rsidRPr="005052C5">
        <w:rPr>
          <w:rFonts w:ascii="Arial" w:hAnsi="Arial" w:cs="Arial"/>
          <w:bCs/>
        </w:rPr>
        <w:br/>
      </w:r>
      <w:r w:rsidRPr="005052C5">
        <w:rPr>
          <w:rFonts w:ascii="Arial" w:hAnsi="Arial" w:cs="Arial"/>
          <w:bCs/>
          <w:i/>
          <w:iCs/>
        </w:rPr>
        <w:t>Journal of Econometrics, 7(1), 67–86.</w:t>
      </w:r>
      <w:r w:rsidRPr="005052C5">
        <w:rPr>
          <w:rFonts w:ascii="Arial" w:hAnsi="Arial" w:cs="Arial"/>
        </w:rPr>
        <w:t xml:space="preserve"> </w:t>
      </w:r>
      <w:hyperlink r:id="rId12" w:history="1">
        <w:r w:rsidRPr="005052C5">
          <w:rPr>
            <w:rStyle w:val="Hyperlink"/>
            <w:rFonts w:ascii="Arial" w:hAnsi="Arial" w:cs="Arial"/>
            <w:bCs/>
            <w:i/>
            <w:iCs/>
          </w:rPr>
          <w:t>https://doi.org/10.1016/0304-4076(78)90006-4</w:t>
        </w:r>
      </w:hyperlink>
    </w:p>
    <w:p w14:paraId="5FAC6A77" w14:textId="49AD59A1" w:rsidR="005A2148" w:rsidRPr="005052C5" w:rsidRDefault="005A2148" w:rsidP="005052C5">
      <w:pPr>
        <w:pStyle w:val="ListParagraph"/>
        <w:numPr>
          <w:ilvl w:val="0"/>
          <w:numId w:val="36"/>
        </w:numPr>
        <w:jc w:val="both"/>
        <w:rPr>
          <w:rFonts w:ascii="Arial" w:hAnsi="Arial" w:cs="Arial"/>
          <w:bCs/>
          <w:lang w:val="en-IN"/>
        </w:rPr>
      </w:pPr>
      <w:r w:rsidRPr="005052C5">
        <w:rPr>
          <w:rFonts w:ascii="Arial" w:hAnsi="Arial" w:cs="Arial"/>
          <w:bCs/>
          <w:lang w:val="en-IN"/>
        </w:rPr>
        <w:t>Xia, L., Zhang, J., &amp; Wen, B. (2024).</w:t>
      </w:r>
      <w:r w:rsidRPr="005052C5">
        <w:rPr>
          <w:rFonts w:ascii="Arial" w:hAnsi="Arial" w:cs="Arial"/>
          <w:bCs/>
          <w:lang w:val="en-IN"/>
        </w:rPr>
        <w:br/>
      </w:r>
      <w:r w:rsidRPr="005052C5">
        <w:rPr>
          <w:rFonts w:ascii="Arial" w:hAnsi="Arial" w:cs="Arial"/>
          <w:bCs/>
          <w:i/>
          <w:iCs/>
          <w:lang w:val="en-IN"/>
        </w:rPr>
        <w:t>Optimization decision model of vegetable stock and pricing based on TCN-Attention and genetic algorithm</w:t>
      </w:r>
      <w:r w:rsidRPr="005052C5">
        <w:rPr>
          <w:rFonts w:ascii="Arial" w:hAnsi="Arial" w:cs="Arial"/>
          <w:bCs/>
          <w:lang w:val="en-IN"/>
        </w:rPr>
        <w:t xml:space="preserve">. </w:t>
      </w:r>
      <w:proofErr w:type="spellStart"/>
      <w:r w:rsidRPr="005052C5">
        <w:rPr>
          <w:rFonts w:ascii="Arial" w:hAnsi="Arial" w:cs="Arial"/>
          <w:bCs/>
          <w:lang w:val="en-IN"/>
        </w:rPr>
        <w:t>arXiv</w:t>
      </w:r>
      <w:proofErr w:type="spellEnd"/>
      <w:r w:rsidRPr="005052C5">
        <w:rPr>
          <w:rFonts w:ascii="Arial" w:hAnsi="Arial" w:cs="Arial"/>
          <w:bCs/>
          <w:lang w:val="en-IN"/>
        </w:rPr>
        <w:t xml:space="preserve"> preprint.</w:t>
      </w:r>
      <w:r w:rsidRPr="005052C5">
        <w:rPr>
          <w:rFonts w:ascii="Arial" w:hAnsi="Arial" w:cs="Arial"/>
          <w:bCs/>
          <w:lang w:val="en-IN"/>
        </w:rPr>
        <w:br/>
        <w:t xml:space="preserve">DOI: </w:t>
      </w:r>
      <w:hyperlink r:id="rId13" w:history="1">
        <w:r w:rsidRPr="005052C5">
          <w:rPr>
            <w:rStyle w:val="Hyperlink"/>
            <w:rFonts w:ascii="Arial" w:hAnsi="Arial" w:cs="Arial"/>
            <w:bCs/>
            <w:lang w:val="en-IN"/>
          </w:rPr>
          <w:t>https://doi.org/10.48550/arXiv.2403.01367</w:t>
        </w:r>
      </w:hyperlink>
    </w:p>
    <w:p w14:paraId="323BFC74" w14:textId="40A842F5" w:rsidR="005A2148" w:rsidRPr="005052C5" w:rsidRDefault="005A2148" w:rsidP="005052C5">
      <w:pPr>
        <w:pStyle w:val="ListParagraph"/>
        <w:numPr>
          <w:ilvl w:val="0"/>
          <w:numId w:val="36"/>
        </w:numPr>
        <w:jc w:val="both"/>
        <w:rPr>
          <w:rFonts w:ascii="Arial" w:hAnsi="Arial" w:cs="Arial"/>
          <w:bCs/>
          <w:lang w:val="en-IN"/>
        </w:rPr>
      </w:pPr>
      <w:r w:rsidRPr="005052C5">
        <w:rPr>
          <w:rFonts w:ascii="Arial" w:hAnsi="Arial" w:cs="Arial"/>
          <w:bCs/>
          <w:lang w:val="en-IN"/>
        </w:rPr>
        <w:t>Barrett, C. B. (2008).</w:t>
      </w:r>
      <w:r w:rsidRPr="005052C5">
        <w:rPr>
          <w:rFonts w:ascii="Arial" w:hAnsi="Arial" w:cs="Arial"/>
          <w:bCs/>
          <w:lang w:val="en-IN"/>
        </w:rPr>
        <w:br/>
        <w:t>Smallholder market participation: Concepts and evidence.</w:t>
      </w:r>
      <w:r w:rsidRPr="005052C5">
        <w:rPr>
          <w:rFonts w:ascii="Arial" w:hAnsi="Arial" w:cs="Arial"/>
          <w:bCs/>
          <w:lang w:val="en-IN"/>
        </w:rPr>
        <w:br/>
      </w:r>
      <w:r w:rsidRPr="005052C5">
        <w:rPr>
          <w:rFonts w:ascii="Arial" w:hAnsi="Arial" w:cs="Arial"/>
          <w:bCs/>
          <w:i/>
          <w:iCs/>
          <w:lang w:val="en-IN"/>
        </w:rPr>
        <w:t>Food Policy, 33</w:t>
      </w:r>
      <w:r w:rsidRPr="005052C5">
        <w:rPr>
          <w:rFonts w:ascii="Arial" w:hAnsi="Arial" w:cs="Arial"/>
          <w:bCs/>
          <w:lang w:val="en-IN"/>
        </w:rPr>
        <w:t>(4), 299–317.</w:t>
      </w:r>
      <w:r w:rsidRPr="005052C5">
        <w:rPr>
          <w:rFonts w:ascii="Arial" w:hAnsi="Arial" w:cs="Arial"/>
          <w:bCs/>
          <w:lang w:val="en-IN"/>
        </w:rPr>
        <w:br/>
      </w:r>
      <w:hyperlink r:id="rId14" w:history="1">
        <w:r w:rsidRPr="005052C5">
          <w:rPr>
            <w:rStyle w:val="Hyperlink"/>
            <w:rFonts w:ascii="Arial" w:hAnsi="Arial" w:cs="Arial"/>
            <w:bCs/>
            <w:lang w:val="en-IN"/>
          </w:rPr>
          <w:t>https://doi.org/10.1016/j.foodpol.2007.10.005</w:t>
        </w:r>
      </w:hyperlink>
    </w:p>
    <w:p w14:paraId="59C0F22B" w14:textId="4B2F7737" w:rsidR="005A2148" w:rsidRPr="005052C5" w:rsidRDefault="005A2148" w:rsidP="005052C5">
      <w:pPr>
        <w:pStyle w:val="ListParagraph"/>
        <w:numPr>
          <w:ilvl w:val="0"/>
          <w:numId w:val="36"/>
        </w:numPr>
        <w:jc w:val="both"/>
        <w:rPr>
          <w:rFonts w:ascii="Arial" w:hAnsi="Arial" w:cs="Arial"/>
          <w:bCs/>
          <w:lang w:val="en-IN"/>
        </w:rPr>
      </w:pPr>
      <w:r w:rsidRPr="005052C5">
        <w:rPr>
          <w:rFonts w:ascii="Arial" w:hAnsi="Arial" w:cs="Arial"/>
          <w:bCs/>
          <w:lang w:val="en-IN"/>
        </w:rPr>
        <w:t xml:space="preserve">Key, N., </w:t>
      </w:r>
      <w:proofErr w:type="spellStart"/>
      <w:r w:rsidRPr="005052C5">
        <w:rPr>
          <w:rFonts w:ascii="Arial" w:hAnsi="Arial" w:cs="Arial"/>
          <w:bCs/>
          <w:lang w:val="en-IN"/>
        </w:rPr>
        <w:t>Sadoulet</w:t>
      </w:r>
      <w:proofErr w:type="spellEnd"/>
      <w:r w:rsidRPr="005052C5">
        <w:rPr>
          <w:rFonts w:ascii="Arial" w:hAnsi="Arial" w:cs="Arial"/>
          <w:bCs/>
          <w:lang w:val="en-IN"/>
        </w:rPr>
        <w:t xml:space="preserve">, E., &amp; de </w:t>
      </w:r>
      <w:proofErr w:type="spellStart"/>
      <w:r w:rsidRPr="005052C5">
        <w:rPr>
          <w:rFonts w:ascii="Arial" w:hAnsi="Arial" w:cs="Arial"/>
          <w:bCs/>
          <w:lang w:val="en-IN"/>
        </w:rPr>
        <w:t>Janvry</w:t>
      </w:r>
      <w:proofErr w:type="spellEnd"/>
      <w:r w:rsidRPr="005052C5">
        <w:rPr>
          <w:rFonts w:ascii="Arial" w:hAnsi="Arial" w:cs="Arial"/>
          <w:bCs/>
          <w:lang w:val="en-IN"/>
        </w:rPr>
        <w:t xml:space="preserve">, A. (2000). Transactions costs and agricultural household supply response. </w:t>
      </w:r>
      <w:r w:rsidRPr="005052C5">
        <w:rPr>
          <w:rFonts w:ascii="Arial" w:hAnsi="Arial" w:cs="Arial"/>
          <w:bCs/>
          <w:i/>
          <w:iCs/>
          <w:lang w:val="en-IN"/>
        </w:rPr>
        <w:t>American Journal of Agricultural Economics, 82</w:t>
      </w:r>
      <w:r w:rsidRPr="005052C5">
        <w:rPr>
          <w:rFonts w:ascii="Arial" w:hAnsi="Arial" w:cs="Arial"/>
          <w:bCs/>
          <w:lang w:val="en-IN"/>
        </w:rPr>
        <w:t>(2), 245–259.</w:t>
      </w:r>
      <w:hyperlink r:id="rId15" w:history="1">
        <w:r w:rsidR="005052C5" w:rsidRPr="005052C5">
          <w:rPr>
            <w:rStyle w:val="Hyperlink"/>
            <w:rFonts w:ascii="Arial" w:hAnsi="Arial" w:cs="Arial"/>
            <w:bCs/>
            <w:lang w:val="en-IN"/>
          </w:rPr>
          <w:t>https://doi.org/10.1111/0002-9092.00022</w:t>
        </w:r>
      </w:hyperlink>
    </w:p>
    <w:p w14:paraId="26E35138" w14:textId="0D963FEC" w:rsidR="005A2148" w:rsidRPr="005052C5" w:rsidRDefault="005A2148" w:rsidP="005052C5">
      <w:pPr>
        <w:pStyle w:val="ListParagraph"/>
        <w:numPr>
          <w:ilvl w:val="0"/>
          <w:numId w:val="36"/>
        </w:numPr>
        <w:jc w:val="both"/>
        <w:rPr>
          <w:rFonts w:ascii="Arial" w:hAnsi="Arial" w:cs="Arial"/>
          <w:bCs/>
          <w:lang w:val="en-IN"/>
        </w:rPr>
      </w:pPr>
      <w:proofErr w:type="spellStart"/>
      <w:r w:rsidRPr="005052C5">
        <w:rPr>
          <w:rFonts w:ascii="Arial" w:hAnsi="Arial" w:cs="Arial"/>
          <w:bCs/>
          <w:lang w:val="en-IN"/>
        </w:rPr>
        <w:t>Birthal</w:t>
      </w:r>
      <w:proofErr w:type="spellEnd"/>
      <w:r w:rsidRPr="005052C5">
        <w:rPr>
          <w:rFonts w:ascii="Arial" w:hAnsi="Arial" w:cs="Arial"/>
          <w:bCs/>
          <w:lang w:val="en-IN"/>
        </w:rPr>
        <w:t xml:space="preserve">, P. S., Roy, D., &amp; Negi, D. S. (2015). Assessing the impact of crop diversification on farm poverty in India. </w:t>
      </w:r>
      <w:r w:rsidRPr="005052C5">
        <w:rPr>
          <w:rFonts w:ascii="Arial" w:hAnsi="Arial" w:cs="Arial"/>
          <w:bCs/>
          <w:i/>
          <w:iCs/>
          <w:lang w:val="en-IN"/>
        </w:rPr>
        <w:t>World Development, 72</w:t>
      </w:r>
      <w:r w:rsidRPr="005052C5">
        <w:rPr>
          <w:rFonts w:ascii="Arial" w:hAnsi="Arial" w:cs="Arial"/>
          <w:bCs/>
          <w:lang w:val="en-IN"/>
        </w:rPr>
        <w:t>, 70–92.</w:t>
      </w:r>
      <w:r w:rsidRPr="005052C5">
        <w:rPr>
          <w:rFonts w:ascii="Arial" w:hAnsi="Arial" w:cs="Arial"/>
          <w:bCs/>
          <w:lang w:val="en-IN"/>
        </w:rPr>
        <w:br/>
      </w:r>
      <w:hyperlink r:id="rId16" w:history="1">
        <w:r w:rsidRPr="005052C5">
          <w:rPr>
            <w:rStyle w:val="Hyperlink"/>
            <w:rFonts w:ascii="Arial" w:hAnsi="Arial" w:cs="Arial"/>
            <w:bCs/>
            <w:lang w:val="en-IN"/>
          </w:rPr>
          <w:t>https://doi.org/10.1016/j.worlddev.2015.02.015</w:t>
        </w:r>
      </w:hyperlink>
    </w:p>
    <w:p w14:paraId="345996C7" w14:textId="3864155C" w:rsidR="005A2148" w:rsidRPr="005052C5" w:rsidRDefault="005A2148" w:rsidP="005052C5">
      <w:pPr>
        <w:pStyle w:val="ListParagraph"/>
        <w:numPr>
          <w:ilvl w:val="0"/>
          <w:numId w:val="36"/>
        </w:numPr>
        <w:jc w:val="both"/>
        <w:rPr>
          <w:rFonts w:ascii="Arial" w:hAnsi="Arial" w:cs="Arial"/>
          <w:bCs/>
          <w:lang w:val="en-IN"/>
        </w:rPr>
      </w:pPr>
      <w:r w:rsidRPr="005052C5">
        <w:rPr>
          <w:rFonts w:ascii="Arial" w:hAnsi="Arial" w:cs="Arial"/>
          <w:bCs/>
          <w:lang w:val="en-IN"/>
        </w:rPr>
        <w:t xml:space="preserve">18Acharya, S. S., &amp; Agarwal, N. L. (2011). </w:t>
      </w:r>
      <w:r w:rsidRPr="005052C5">
        <w:rPr>
          <w:rFonts w:ascii="Arial" w:hAnsi="Arial" w:cs="Arial"/>
          <w:bCs/>
          <w:i/>
          <w:iCs/>
          <w:lang w:val="en-IN"/>
        </w:rPr>
        <w:t>Agricultural marketing in India</w:t>
      </w:r>
      <w:r w:rsidRPr="005052C5">
        <w:rPr>
          <w:rFonts w:ascii="Arial" w:hAnsi="Arial" w:cs="Arial"/>
          <w:bCs/>
          <w:lang w:val="en-IN"/>
        </w:rPr>
        <w:t xml:space="preserve"> (5th ed.). Oxford &amp; IBH</w:t>
      </w:r>
    </w:p>
    <w:p w14:paraId="0D9E8270" w14:textId="3293FD95" w:rsidR="005A2148" w:rsidRPr="005052C5" w:rsidRDefault="005A2148" w:rsidP="005052C5">
      <w:pPr>
        <w:pStyle w:val="ListParagraph"/>
        <w:numPr>
          <w:ilvl w:val="0"/>
          <w:numId w:val="36"/>
        </w:numPr>
        <w:jc w:val="both"/>
        <w:rPr>
          <w:rFonts w:ascii="Arial" w:hAnsi="Arial" w:cs="Arial"/>
          <w:bCs/>
          <w:lang w:val="en-IN"/>
        </w:rPr>
      </w:pPr>
      <w:r w:rsidRPr="005052C5">
        <w:rPr>
          <w:rFonts w:ascii="Arial" w:hAnsi="Arial" w:cs="Arial"/>
          <w:bCs/>
          <w:lang w:val="en-IN"/>
        </w:rPr>
        <w:t xml:space="preserve">Tomek, W. G., &amp; Robinson, K. L. (2003). </w:t>
      </w:r>
      <w:r w:rsidRPr="005052C5">
        <w:rPr>
          <w:rFonts w:ascii="Arial" w:hAnsi="Arial" w:cs="Arial"/>
          <w:bCs/>
          <w:i/>
          <w:iCs/>
          <w:lang w:val="en-IN"/>
        </w:rPr>
        <w:t>Agricultural product prices</w:t>
      </w:r>
      <w:r w:rsidRPr="005052C5">
        <w:rPr>
          <w:rFonts w:ascii="Arial" w:hAnsi="Arial" w:cs="Arial"/>
          <w:bCs/>
          <w:lang w:val="en-IN"/>
        </w:rPr>
        <w:t xml:space="preserve"> (4th ed.). Cornell University Press.</w:t>
      </w:r>
    </w:p>
    <w:p w14:paraId="66A8BE8D" w14:textId="77777777" w:rsidR="006A15FF" w:rsidRPr="005052C5" w:rsidRDefault="006A15FF" w:rsidP="005052C5">
      <w:pPr>
        <w:pStyle w:val="ListParagraph"/>
        <w:numPr>
          <w:ilvl w:val="0"/>
          <w:numId w:val="36"/>
        </w:numPr>
        <w:spacing w:before="120" w:after="120"/>
        <w:jc w:val="both"/>
        <w:rPr>
          <w:rFonts w:ascii="Arial" w:hAnsi="Arial" w:cs="Arial"/>
          <w:iCs/>
          <w:shd w:val="clear" w:color="auto" w:fill="FFFFFF"/>
        </w:rPr>
      </w:pPr>
      <w:r w:rsidRPr="005052C5">
        <w:rPr>
          <w:rFonts w:ascii="Arial" w:hAnsi="Arial" w:cs="Arial"/>
          <w:shd w:val="clear" w:color="auto" w:fill="FFFFFF"/>
        </w:rPr>
        <w:t xml:space="preserve">Kaul, G.L. (1997). Horticulture in India: Production, marketing and processing. </w:t>
      </w:r>
      <w:r w:rsidRPr="005052C5">
        <w:rPr>
          <w:rFonts w:ascii="Arial" w:hAnsi="Arial" w:cs="Arial"/>
          <w:i/>
          <w:shd w:val="clear" w:color="auto" w:fill="FFFFFF"/>
        </w:rPr>
        <w:t xml:space="preserve">Indian J. Agric. Eco., </w:t>
      </w:r>
      <w:r w:rsidRPr="005052C5">
        <w:rPr>
          <w:rFonts w:ascii="Arial" w:hAnsi="Arial" w:cs="Arial"/>
          <w:iCs/>
          <w:shd w:val="clear" w:color="auto" w:fill="FFFFFF"/>
        </w:rPr>
        <w:t>52:3</w:t>
      </w:r>
    </w:p>
    <w:p w14:paraId="0771C591" w14:textId="23C04ADB" w:rsidR="005052C5" w:rsidRPr="005052C5" w:rsidRDefault="005052C5" w:rsidP="005052C5">
      <w:pPr>
        <w:pStyle w:val="ListParagraph"/>
        <w:numPr>
          <w:ilvl w:val="0"/>
          <w:numId w:val="36"/>
        </w:numPr>
        <w:spacing w:before="120" w:after="120"/>
        <w:jc w:val="both"/>
        <w:rPr>
          <w:rFonts w:ascii="Arial" w:hAnsi="Arial" w:cs="Arial"/>
          <w:iCs/>
          <w:shd w:val="clear" w:color="auto" w:fill="FFFFFF"/>
        </w:rPr>
      </w:pPr>
      <w:r w:rsidRPr="005052C5">
        <w:rPr>
          <w:rFonts w:ascii="Arial" w:hAnsi="Arial" w:cs="Arial"/>
          <w:iCs/>
          <w:shd w:val="clear" w:color="auto" w:fill="FFFFFF"/>
        </w:rPr>
        <w:t xml:space="preserve">Vellaisamy, P., &amp; </w:t>
      </w:r>
      <w:proofErr w:type="spellStart"/>
      <w:r w:rsidRPr="005052C5">
        <w:rPr>
          <w:rFonts w:ascii="Arial" w:hAnsi="Arial" w:cs="Arial"/>
          <w:iCs/>
          <w:shd w:val="clear" w:color="auto" w:fill="FFFFFF"/>
        </w:rPr>
        <w:t>Punnen</w:t>
      </w:r>
      <w:proofErr w:type="spellEnd"/>
      <w:r w:rsidRPr="005052C5">
        <w:rPr>
          <w:rFonts w:ascii="Arial" w:hAnsi="Arial" w:cs="Arial"/>
          <w:iCs/>
          <w:shd w:val="clear" w:color="auto" w:fill="FFFFFF"/>
        </w:rPr>
        <w:t xml:space="preserve">, A. P. (2001). On the nature of the binomial distribution. </w:t>
      </w:r>
      <w:r w:rsidRPr="005052C5">
        <w:rPr>
          <w:rFonts w:ascii="Arial" w:hAnsi="Arial" w:cs="Arial"/>
          <w:i/>
          <w:iCs/>
          <w:shd w:val="clear" w:color="auto" w:fill="FFFFFF"/>
        </w:rPr>
        <w:t>Journal of Applied Probability, 38</w:t>
      </w:r>
      <w:r w:rsidRPr="005052C5">
        <w:rPr>
          <w:rFonts w:ascii="Arial" w:hAnsi="Arial" w:cs="Arial"/>
          <w:iCs/>
          <w:shd w:val="clear" w:color="auto" w:fill="FFFFFF"/>
        </w:rPr>
        <w:t>(1), 36–44.</w:t>
      </w:r>
      <w:r w:rsidRPr="005052C5">
        <w:rPr>
          <w:rFonts w:ascii="Arial" w:hAnsi="Arial" w:cs="Arial"/>
          <w:iCs/>
          <w:shd w:val="clear" w:color="auto" w:fill="FFFFFF"/>
        </w:rPr>
        <w:br/>
      </w:r>
      <w:hyperlink r:id="rId17" w:history="1">
        <w:r w:rsidRPr="005052C5">
          <w:rPr>
            <w:rStyle w:val="Hyperlink"/>
            <w:rFonts w:ascii="Arial" w:hAnsi="Arial" w:cs="Arial"/>
            <w:iCs/>
            <w:shd w:val="clear" w:color="auto" w:fill="FFFFFF"/>
          </w:rPr>
          <w:t>https://doi.org/10.1239/jap/996986641</w:t>
        </w:r>
      </w:hyperlink>
    </w:p>
    <w:p w14:paraId="307F8695" w14:textId="550CF3C2" w:rsidR="005052C5" w:rsidRDefault="005052C5" w:rsidP="005052C5">
      <w:pPr>
        <w:pStyle w:val="ListParagraph"/>
        <w:numPr>
          <w:ilvl w:val="0"/>
          <w:numId w:val="36"/>
        </w:numPr>
        <w:spacing w:before="120" w:after="120"/>
        <w:jc w:val="both"/>
        <w:rPr>
          <w:rFonts w:ascii="Arial" w:hAnsi="Arial" w:cs="Arial"/>
          <w:iCs/>
          <w:shd w:val="clear" w:color="auto" w:fill="FFFFFF"/>
        </w:rPr>
      </w:pPr>
      <w:r w:rsidRPr="005052C5">
        <w:rPr>
          <w:rFonts w:ascii="Arial" w:hAnsi="Arial" w:cs="Arial"/>
          <w:iCs/>
          <w:shd w:val="clear" w:color="auto" w:fill="FFFFFF"/>
        </w:rPr>
        <w:t xml:space="preserve">Shepherd, G. S. (1965). </w:t>
      </w:r>
      <w:r w:rsidRPr="005052C5">
        <w:rPr>
          <w:rFonts w:ascii="Arial" w:hAnsi="Arial" w:cs="Arial"/>
          <w:i/>
          <w:iCs/>
          <w:shd w:val="clear" w:color="auto" w:fill="FFFFFF"/>
        </w:rPr>
        <w:t>Marketing farm products: Economic analysis</w:t>
      </w:r>
      <w:r w:rsidRPr="005052C5">
        <w:rPr>
          <w:rFonts w:ascii="Arial" w:hAnsi="Arial" w:cs="Arial"/>
          <w:iCs/>
          <w:shd w:val="clear" w:color="auto" w:fill="FFFFFF"/>
        </w:rPr>
        <w:t>. Iowa State University Press.</w:t>
      </w:r>
    </w:p>
    <w:p w14:paraId="54033683" w14:textId="79F0BC05" w:rsidR="00624239" w:rsidRDefault="00624239" w:rsidP="005052C5">
      <w:pPr>
        <w:pStyle w:val="ListParagraph"/>
        <w:numPr>
          <w:ilvl w:val="0"/>
          <w:numId w:val="36"/>
        </w:numPr>
        <w:spacing w:before="120" w:after="120"/>
        <w:jc w:val="both"/>
        <w:rPr>
          <w:rFonts w:ascii="Arial" w:hAnsi="Arial" w:cs="Arial"/>
          <w:iCs/>
          <w:shd w:val="clear" w:color="auto" w:fill="FFFFFF"/>
        </w:rPr>
      </w:pPr>
      <w:r w:rsidRPr="00624239">
        <w:rPr>
          <w:rFonts w:ascii="Arial" w:hAnsi="Arial" w:cs="Arial"/>
          <w:iCs/>
          <w:shd w:val="clear" w:color="auto" w:fill="FFFFFF"/>
        </w:rPr>
        <w:t xml:space="preserve">Shruti, S., Sharma, J. P., &amp; Gills, R. (2019). </w:t>
      </w:r>
      <w:r w:rsidRPr="00624239">
        <w:rPr>
          <w:rFonts w:ascii="Arial" w:hAnsi="Arial" w:cs="Arial"/>
          <w:i/>
          <w:iCs/>
          <w:shd w:val="clear" w:color="auto" w:fill="FFFFFF"/>
        </w:rPr>
        <w:t>Potential and prospects of value chain development for fruits and vegetables in India</w:t>
      </w:r>
      <w:r w:rsidRPr="00624239">
        <w:rPr>
          <w:rFonts w:ascii="Arial" w:hAnsi="Arial" w:cs="Arial"/>
          <w:iCs/>
          <w:shd w:val="clear" w:color="auto" w:fill="FFFFFF"/>
        </w:rPr>
        <w:t>. Indian Journal of Agricultural Sciences.</w:t>
      </w:r>
      <w:r w:rsidRPr="00624239">
        <w:rPr>
          <w:rFonts w:ascii="Arial" w:hAnsi="Arial" w:cs="Arial"/>
          <w:iCs/>
          <w:shd w:val="clear" w:color="auto" w:fill="FFFFFF"/>
        </w:rPr>
        <w:br/>
      </w:r>
      <w:hyperlink r:id="rId18" w:history="1">
        <w:r w:rsidRPr="0081102A">
          <w:rPr>
            <w:rStyle w:val="Hyperlink"/>
            <w:rFonts w:ascii="Arial" w:hAnsi="Arial" w:cs="Arial"/>
            <w:iCs/>
            <w:shd w:val="clear" w:color="auto" w:fill="FFFFFF"/>
          </w:rPr>
          <w:t>https://doi.org/10.56093/ijas.v89i1.86090</w:t>
        </w:r>
      </w:hyperlink>
    </w:p>
    <w:p w14:paraId="0C1E61D8" w14:textId="26F2DD49" w:rsidR="00624239" w:rsidRDefault="00065D32" w:rsidP="005052C5">
      <w:pPr>
        <w:pStyle w:val="ListParagraph"/>
        <w:numPr>
          <w:ilvl w:val="0"/>
          <w:numId w:val="36"/>
        </w:numPr>
        <w:spacing w:before="120" w:after="120"/>
        <w:jc w:val="both"/>
        <w:rPr>
          <w:rFonts w:ascii="Arial" w:hAnsi="Arial" w:cs="Arial"/>
          <w:iCs/>
          <w:shd w:val="clear" w:color="auto" w:fill="FFFFFF"/>
        </w:rPr>
      </w:pPr>
      <w:r w:rsidRPr="00065D32">
        <w:rPr>
          <w:rFonts w:ascii="Arial" w:hAnsi="Arial" w:cs="Arial"/>
          <w:iCs/>
          <w:shd w:val="clear" w:color="auto" w:fill="FFFFFF"/>
        </w:rPr>
        <w:t xml:space="preserve">Paulrajan, R., &amp; Jacob, F. (2010). </w:t>
      </w:r>
      <w:r w:rsidRPr="00065D32">
        <w:rPr>
          <w:rFonts w:ascii="Arial" w:hAnsi="Arial" w:cs="Arial"/>
          <w:i/>
          <w:iCs/>
          <w:shd w:val="clear" w:color="auto" w:fill="FFFFFF"/>
        </w:rPr>
        <w:t>Retail logistics practices of Indian fresh vegetables market</w:t>
      </w:r>
      <w:r w:rsidRPr="00065D32">
        <w:rPr>
          <w:rFonts w:ascii="Arial" w:hAnsi="Arial" w:cs="Arial"/>
          <w:iCs/>
          <w:shd w:val="clear" w:color="auto" w:fill="FFFFFF"/>
        </w:rPr>
        <w:t>.</w:t>
      </w:r>
      <w:r>
        <w:rPr>
          <w:rFonts w:ascii="Arial" w:hAnsi="Arial" w:cs="Arial"/>
          <w:iCs/>
          <w:shd w:val="clear" w:color="auto" w:fill="FFFFFF"/>
        </w:rPr>
        <w:t xml:space="preserve"> </w:t>
      </w:r>
      <w:hyperlink r:id="rId19" w:history="1">
        <w:r w:rsidRPr="0081102A">
          <w:rPr>
            <w:rStyle w:val="Hyperlink"/>
            <w:rFonts w:ascii="Arial" w:hAnsi="Arial" w:cs="Arial"/>
            <w:iCs/>
            <w:shd w:val="clear" w:color="auto" w:fill="FFFFFF"/>
          </w:rPr>
          <w:t>https://doi.org/10.1177/097324701000600209</w:t>
        </w:r>
      </w:hyperlink>
    </w:p>
    <w:p w14:paraId="28704A60" w14:textId="376A30E8" w:rsidR="00065D32" w:rsidRDefault="00065D32" w:rsidP="005052C5">
      <w:pPr>
        <w:pStyle w:val="ListParagraph"/>
        <w:numPr>
          <w:ilvl w:val="0"/>
          <w:numId w:val="36"/>
        </w:numPr>
        <w:spacing w:before="120" w:after="120"/>
        <w:jc w:val="both"/>
        <w:rPr>
          <w:rFonts w:ascii="Arial" w:hAnsi="Arial" w:cs="Arial"/>
          <w:iCs/>
          <w:shd w:val="clear" w:color="auto" w:fill="FFFFFF"/>
        </w:rPr>
      </w:pPr>
      <w:r w:rsidRPr="00065D32">
        <w:rPr>
          <w:rFonts w:ascii="Arial" w:hAnsi="Arial" w:cs="Arial"/>
          <w:iCs/>
          <w:shd w:val="clear" w:color="auto" w:fill="FFFFFF"/>
        </w:rPr>
        <w:t xml:space="preserve">Chand, K., et al. (2020). </w:t>
      </w:r>
      <w:r w:rsidRPr="00065D32">
        <w:rPr>
          <w:rFonts w:ascii="Arial" w:hAnsi="Arial" w:cs="Arial"/>
          <w:i/>
          <w:iCs/>
          <w:shd w:val="clear" w:color="auto" w:fill="FFFFFF"/>
        </w:rPr>
        <w:t>Marketing efficiency of vegetables in developing economies</w:t>
      </w:r>
      <w:r w:rsidRPr="00065D32">
        <w:rPr>
          <w:rFonts w:ascii="Arial" w:hAnsi="Arial" w:cs="Arial"/>
          <w:iCs/>
          <w:shd w:val="clear" w:color="auto" w:fill="FFFFFF"/>
        </w:rPr>
        <w:t>.</w:t>
      </w:r>
      <w:r w:rsidRPr="00065D32">
        <w:rPr>
          <w:rFonts w:ascii="Arial" w:hAnsi="Arial" w:cs="Arial"/>
          <w:iCs/>
          <w:shd w:val="clear" w:color="auto" w:fill="FFFFFF"/>
        </w:rPr>
        <w:br/>
      </w:r>
      <w:hyperlink r:id="rId20" w:history="1">
        <w:r w:rsidRPr="0081102A">
          <w:rPr>
            <w:rStyle w:val="Hyperlink"/>
            <w:rFonts w:ascii="Arial" w:hAnsi="Arial" w:cs="Arial"/>
            <w:iCs/>
            <w:shd w:val="clear" w:color="auto" w:fill="FFFFFF"/>
          </w:rPr>
          <w:t>https://doi.org/10.56093/ijas.v90i8.105908</w:t>
        </w:r>
      </w:hyperlink>
    </w:p>
    <w:p w14:paraId="4863EE65" w14:textId="6B0FC8A7" w:rsidR="0033033F" w:rsidRDefault="0033033F" w:rsidP="005052C5">
      <w:pPr>
        <w:pStyle w:val="ListParagraph"/>
        <w:numPr>
          <w:ilvl w:val="0"/>
          <w:numId w:val="36"/>
        </w:numPr>
        <w:spacing w:before="120" w:after="120"/>
        <w:jc w:val="both"/>
        <w:rPr>
          <w:rFonts w:ascii="Arial" w:hAnsi="Arial" w:cs="Arial"/>
          <w:iCs/>
          <w:shd w:val="clear" w:color="auto" w:fill="FFFFFF"/>
        </w:rPr>
      </w:pPr>
      <w:r w:rsidRPr="0033033F">
        <w:rPr>
          <w:rFonts w:ascii="Arial" w:hAnsi="Arial" w:cs="Arial"/>
          <w:iCs/>
          <w:shd w:val="clear" w:color="auto" w:fill="FFFFFF"/>
        </w:rPr>
        <w:lastRenderedPageBreak/>
        <w:t xml:space="preserve">Ayalew, A., &amp; Girma, Y. (2025). Market supply and profitability of head cabbage production in northwest Ethiopia. </w:t>
      </w:r>
      <w:r w:rsidRPr="0033033F">
        <w:rPr>
          <w:rFonts w:ascii="Arial" w:hAnsi="Arial" w:cs="Arial"/>
          <w:i/>
          <w:iCs/>
          <w:shd w:val="clear" w:color="auto" w:fill="FFFFFF"/>
        </w:rPr>
        <w:t>Discover Sustainability, 6</w:t>
      </w:r>
      <w:r w:rsidRPr="0033033F">
        <w:rPr>
          <w:rFonts w:ascii="Arial" w:hAnsi="Arial" w:cs="Arial"/>
          <w:iCs/>
          <w:shd w:val="clear" w:color="auto" w:fill="FFFFFF"/>
        </w:rPr>
        <w:t>, 1217.</w:t>
      </w:r>
      <w:r w:rsidRPr="0033033F">
        <w:rPr>
          <w:rFonts w:ascii="Arial" w:hAnsi="Arial" w:cs="Arial"/>
          <w:iCs/>
          <w:shd w:val="clear" w:color="auto" w:fill="FFFFFF"/>
        </w:rPr>
        <w:br/>
      </w:r>
      <w:hyperlink r:id="rId21" w:history="1">
        <w:r w:rsidRPr="0081102A">
          <w:rPr>
            <w:rStyle w:val="Hyperlink"/>
            <w:rFonts w:ascii="Arial" w:hAnsi="Arial" w:cs="Arial"/>
            <w:iCs/>
            <w:shd w:val="clear" w:color="auto" w:fill="FFFFFF"/>
          </w:rPr>
          <w:t>https://doi.org/10.1007/s43621-025-02141-5</w:t>
        </w:r>
      </w:hyperlink>
    </w:p>
    <w:p w14:paraId="228264AF" w14:textId="77777777" w:rsidR="0033033F" w:rsidRDefault="0033033F" w:rsidP="00286AAB">
      <w:pPr>
        <w:pStyle w:val="ListParagraph"/>
        <w:spacing w:before="120" w:after="120"/>
        <w:jc w:val="both"/>
        <w:rPr>
          <w:rFonts w:ascii="Arial" w:hAnsi="Arial" w:cs="Arial"/>
          <w:iCs/>
          <w:shd w:val="clear" w:color="auto" w:fill="FFFFFF"/>
        </w:rPr>
      </w:pPr>
    </w:p>
    <w:p w14:paraId="04F32BD2" w14:textId="77777777" w:rsidR="00065D32" w:rsidRPr="00166054" w:rsidRDefault="00065D32" w:rsidP="00166054">
      <w:pPr>
        <w:spacing w:before="120" w:after="120"/>
        <w:ind w:left="360"/>
        <w:jc w:val="both"/>
        <w:rPr>
          <w:rFonts w:ascii="Arial" w:hAnsi="Arial" w:cs="Arial"/>
          <w:iCs/>
          <w:shd w:val="clear" w:color="auto" w:fill="FFFFFF"/>
        </w:rPr>
      </w:pPr>
    </w:p>
    <w:p w14:paraId="34410713" w14:textId="77777777" w:rsidR="006A15FF" w:rsidRPr="006A15FF" w:rsidRDefault="006A15FF" w:rsidP="005052C5">
      <w:pPr>
        <w:pStyle w:val="ListParagraph"/>
        <w:jc w:val="both"/>
        <w:rPr>
          <w:rFonts w:ascii="Arial" w:hAnsi="Arial" w:cs="Arial"/>
          <w:bCs/>
          <w:lang w:val="en-IN"/>
        </w:rPr>
      </w:pPr>
    </w:p>
    <w:p w14:paraId="14FEB8A4" w14:textId="77777777" w:rsidR="005A2148" w:rsidRDefault="005A2148" w:rsidP="005A2148">
      <w:pPr>
        <w:jc w:val="both"/>
        <w:rPr>
          <w:rFonts w:ascii="Arial" w:hAnsi="Arial" w:cs="Arial"/>
          <w:bCs/>
          <w:lang w:val="en-IN"/>
        </w:rPr>
      </w:pPr>
    </w:p>
    <w:p w14:paraId="4634A28D" w14:textId="77777777" w:rsidR="005A2148" w:rsidRDefault="005A2148" w:rsidP="005A2148">
      <w:pPr>
        <w:jc w:val="both"/>
        <w:rPr>
          <w:rFonts w:ascii="Arial" w:hAnsi="Arial" w:cs="Arial"/>
          <w:bCs/>
          <w:lang w:val="en-IN"/>
        </w:rPr>
      </w:pPr>
    </w:p>
    <w:p w14:paraId="621C4460" w14:textId="77777777" w:rsidR="005A2148" w:rsidRPr="00DA02CF" w:rsidRDefault="005A2148" w:rsidP="005A2148">
      <w:pPr>
        <w:jc w:val="both"/>
        <w:rPr>
          <w:rFonts w:ascii="Arial" w:hAnsi="Arial" w:cs="Arial"/>
          <w:bCs/>
          <w:lang w:val="en-IN"/>
        </w:rPr>
      </w:pPr>
    </w:p>
    <w:p w14:paraId="45F54FFD" w14:textId="77777777" w:rsidR="005A2148" w:rsidRDefault="005A2148" w:rsidP="005A2148">
      <w:pPr>
        <w:jc w:val="both"/>
        <w:rPr>
          <w:rFonts w:ascii="Arial" w:hAnsi="Arial" w:cs="Arial"/>
          <w:bCs/>
          <w:lang w:val="en-IN"/>
        </w:rPr>
      </w:pPr>
    </w:p>
    <w:p w14:paraId="67F995DA" w14:textId="77777777" w:rsidR="005A2148" w:rsidRDefault="005A2148" w:rsidP="005A2148">
      <w:pPr>
        <w:jc w:val="both"/>
        <w:rPr>
          <w:rFonts w:ascii="Arial" w:hAnsi="Arial" w:cs="Arial"/>
          <w:bCs/>
          <w:lang w:val="en-IN"/>
        </w:rPr>
      </w:pPr>
    </w:p>
    <w:p w14:paraId="747D423A" w14:textId="77777777" w:rsidR="005A2148" w:rsidRDefault="005A2148" w:rsidP="005A2148">
      <w:pPr>
        <w:jc w:val="both"/>
        <w:rPr>
          <w:rFonts w:ascii="Arial" w:hAnsi="Arial" w:cs="Arial"/>
          <w:bCs/>
          <w:lang w:val="en-IN"/>
        </w:rPr>
      </w:pPr>
    </w:p>
    <w:p w14:paraId="5556BE4B" w14:textId="77777777" w:rsidR="005A2148" w:rsidRDefault="005A2148" w:rsidP="005A2148">
      <w:pPr>
        <w:jc w:val="both"/>
        <w:rPr>
          <w:rFonts w:ascii="Arial" w:hAnsi="Arial" w:cs="Arial"/>
          <w:bCs/>
          <w:i/>
          <w:iCs/>
        </w:rPr>
      </w:pPr>
    </w:p>
    <w:p w14:paraId="5879EC2D" w14:textId="77777777" w:rsidR="005A2148" w:rsidRDefault="005A2148" w:rsidP="003F5B1C">
      <w:pPr>
        <w:jc w:val="both"/>
        <w:rPr>
          <w:lang w:val="en-IN"/>
        </w:rPr>
      </w:pPr>
    </w:p>
    <w:p w14:paraId="1CEEA3AD" w14:textId="77777777" w:rsidR="005A2148" w:rsidRDefault="005A2148" w:rsidP="003F5B1C">
      <w:pPr>
        <w:jc w:val="both"/>
        <w:rPr>
          <w:lang w:val="en-IN"/>
        </w:rPr>
      </w:pPr>
    </w:p>
    <w:p w14:paraId="6C268AEC" w14:textId="4DCBAFDD" w:rsidR="003F5B1C" w:rsidRPr="00DB1B2C" w:rsidRDefault="003F5B1C" w:rsidP="00DB1B2C">
      <w:pPr>
        <w:pStyle w:val="ListParagraph"/>
        <w:ind w:left="420"/>
        <w:jc w:val="both"/>
        <w:rPr>
          <w:rFonts w:ascii="Arial" w:hAnsi="Arial" w:cs="Arial"/>
          <w:u w:val="single"/>
          <w:shd w:val="clear" w:color="auto" w:fill="FFFFFF"/>
        </w:rPr>
      </w:pPr>
    </w:p>
    <w:p w14:paraId="546CA383" w14:textId="23117358" w:rsidR="00456238" w:rsidRDefault="00456238" w:rsidP="003F5B1C">
      <w:pPr>
        <w:pStyle w:val="Body"/>
        <w:spacing w:after="0"/>
        <w:rPr>
          <w:rFonts w:ascii="Arial" w:hAnsi="Arial" w:cs="Arial"/>
        </w:rPr>
      </w:pPr>
    </w:p>
    <w:p w14:paraId="08F6814B" w14:textId="3D0E0019" w:rsidR="004D4277" w:rsidRPr="00FB3A86" w:rsidRDefault="004D4277" w:rsidP="003F5B1C">
      <w:pPr>
        <w:pStyle w:val="Appendix"/>
        <w:spacing w:after="0"/>
        <w:jc w:val="both"/>
        <w:rPr>
          <w:rFonts w:ascii="Arial" w:hAnsi="Arial" w:cs="Arial"/>
          <w:b w:val="0"/>
        </w:rPr>
        <w:sectPr w:rsidR="004D4277" w:rsidRPr="00FB3A86" w:rsidSect="005C2345">
          <w:footerReference w:type="default" r:id="rId22"/>
          <w:type w:val="continuous"/>
          <w:pgSz w:w="12240" w:h="15840"/>
          <w:pgMar w:top="1440" w:right="2016" w:bottom="2016" w:left="2016" w:header="720" w:footer="1123" w:gutter="0"/>
          <w:cols w:space="720"/>
          <w:docGrid w:linePitch="272"/>
        </w:sectPr>
      </w:pPr>
    </w:p>
    <w:p w14:paraId="73CAC49D" w14:textId="77777777" w:rsidR="00B01FCD" w:rsidRPr="00FB3A86" w:rsidRDefault="00B01FCD" w:rsidP="003F5B1C">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0852D" w14:textId="77777777" w:rsidR="00A674FE" w:rsidRDefault="00A674FE" w:rsidP="00C37E61">
      <w:r>
        <w:separator/>
      </w:r>
    </w:p>
  </w:endnote>
  <w:endnote w:type="continuationSeparator" w:id="0">
    <w:p w14:paraId="63264FF1" w14:textId="77777777" w:rsidR="00A674FE" w:rsidRDefault="00A674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46F6" w14:textId="77777777" w:rsidR="009E048A" w:rsidRDefault="009E048A">
    <w:pPr>
      <w:pStyle w:val="Footer"/>
      <w:rPr>
        <w:rFonts w:ascii="Arial" w:hAnsi="Arial" w:cs="Arial"/>
        <w:sz w:val="16"/>
      </w:rPr>
    </w:pPr>
  </w:p>
  <w:p w14:paraId="17E546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DBD9DC" w14:textId="77777777" w:rsidR="009E048A" w:rsidRDefault="009E048A">
    <w:pPr>
      <w:pStyle w:val="Footer"/>
      <w:rPr>
        <w:rFonts w:ascii="Arial" w:hAnsi="Arial" w:cs="Arial"/>
        <w:sz w:val="16"/>
      </w:rPr>
    </w:pPr>
  </w:p>
  <w:p w14:paraId="7A419D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BE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A9D1C" w14:textId="77777777" w:rsidR="00A674FE" w:rsidRDefault="00A674FE" w:rsidP="00C37E61">
      <w:r>
        <w:separator/>
      </w:r>
    </w:p>
  </w:footnote>
  <w:footnote w:type="continuationSeparator" w:id="0">
    <w:p w14:paraId="517AB1CE" w14:textId="77777777" w:rsidR="00A674FE" w:rsidRDefault="00A674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799A" w14:textId="77777777" w:rsidR="00296529" w:rsidRPr="00296529" w:rsidRDefault="00296529" w:rsidP="00296529">
    <w:pPr>
      <w:ind w:left="2160"/>
      <w:jc w:val="center"/>
      <w:rPr>
        <w:rFonts w:ascii="Times New Roman" w:eastAsia="Calibri" w:hAnsi="Times New Roman"/>
        <w:i/>
        <w:sz w:val="18"/>
        <w:szCs w:val="22"/>
      </w:rPr>
    </w:pPr>
  </w:p>
  <w:p w14:paraId="7CE103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3D13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14BE9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E1B2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8CE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690E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7C7804"/>
    <w:multiLevelType w:val="hybridMultilevel"/>
    <w:tmpl w:val="B894B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9B02A8"/>
    <w:multiLevelType w:val="hybridMultilevel"/>
    <w:tmpl w:val="2664526E"/>
    <w:lvl w:ilvl="0" w:tplc="BA1A2E7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646B1"/>
    <w:multiLevelType w:val="hybridMultilevel"/>
    <w:tmpl w:val="169826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30557"/>
    <w:multiLevelType w:val="hybridMultilevel"/>
    <w:tmpl w:val="5D889C7C"/>
    <w:lvl w:ilvl="0" w:tplc="8B048D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141FB8"/>
    <w:multiLevelType w:val="hybridMultilevel"/>
    <w:tmpl w:val="A9AEF1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D75B54"/>
    <w:multiLevelType w:val="hybridMultilevel"/>
    <w:tmpl w:val="3A4AA2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1"/>
  </w:num>
  <w:num w:numId="10">
    <w:abstractNumId w:val="2"/>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7"/>
  </w:num>
  <w:num w:numId="19">
    <w:abstractNumId w:val="34"/>
  </w:num>
  <w:num w:numId="20">
    <w:abstractNumId w:val="13"/>
  </w:num>
  <w:num w:numId="21">
    <w:abstractNumId w:val="11"/>
  </w:num>
  <w:num w:numId="22">
    <w:abstractNumId w:val="16"/>
  </w:num>
  <w:num w:numId="23">
    <w:abstractNumId w:val="23"/>
  </w:num>
  <w:num w:numId="24">
    <w:abstractNumId w:val="32"/>
  </w:num>
  <w:num w:numId="25">
    <w:abstractNumId w:val="5"/>
  </w:num>
  <w:num w:numId="26">
    <w:abstractNumId w:val="19"/>
  </w:num>
  <w:num w:numId="27">
    <w:abstractNumId w:val="24"/>
  </w:num>
  <w:num w:numId="28">
    <w:abstractNumId w:val="33"/>
  </w:num>
  <w:num w:numId="29">
    <w:abstractNumId w:val="30"/>
  </w:num>
  <w:num w:numId="30">
    <w:abstractNumId w:val="12"/>
  </w:num>
  <w:num w:numId="31">
    <w:abstractNumId w:val="10"/>
  </w:num>
  <w:num w:numId="32">
    <w:abstractNumId w:val="15"/>
  </w:num>
  <w:num w:numId="33">
    <w:abstractNumId w:val="25"/>
  </w:num>
  <w:num w:numId="34">
    <w:abstractNumId w:val="20"/>
  </w:num>
  <w:num w:numId="35">
    <w:abstractNumId w:val="2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8C0"/>
    <w:rsid w:val="00065D32"/>
    <w:rsid w:val="00072426"/>
    <w:rsid w:val="00083057"/>
    <w:rsid w:val="0009411F"/>
    <w:rsid w:val="000A47FA"/>
    <w:rsid w:val="000A65D3"/>
    <w:rsid w:val="000B1E33"/>
    <w:rsid w:val="000D689F"/>
    <w:rsid w:val="000E7B7B"/>
    <w:rsid w:val="000E7D62"/>
    <w:rsid w:val="00103357"/>
    <w:rsid w:val="00111F3E"/>
    <w:rsid w:val="00123C9F"/>
    <w:rsid w:val="00126190"/>
    <w:rsid w:val="00130F17"/>
    <w:rsid w:val="001320BF"/>
    <w:rsid w:val="00163BC4"/>
    <w:rsid w:val="00166054"/>
    <w:rsid w:val="00182FE3"/>
    <w:rsid w:val="00191062"/>
    <w:rsid w:val="00192B72"/>
    <w:rsid w:val="001972D0"/>
    <w:rsid w:val="001A29D8"/>
    <w:rsid w:val="001A5CAA"/>
    <w:rsid w:val="001B0427"/>
    <w:rsid w:val="001D3A51"/>
    <w:rsid w:val="001E10D2"/>
    <w:rsid w:val="001E25B4"/>
    <w:rsid w:val="001E44FE"/>
    <w:rsid w:val="00200595"/>
    <w:rsid w:val="00204835"/>
    <w:rsid w:val="00216F12"/>
    <w:rsid w:val="00225BCC"/>
    <w:rsid w:val="00231920"/>
    <w:rsid w:val="0023195C"/>
    <w:rsid w:val="0024282C"/>
    <w:rsid w:val="002460DC"/>
    <w:rsid w:val="00250985"/>
    <w:rsid w:val="002556F6"/>
    <w:rsid w:val="00283105"/>
    <w:rsid w:val="00284C4C"/>
    <w:rsid w:val="00286AAB"/>
    <w:rsid w:val="00287E68"/>
    <w:rsid w:val="00296529"/>
    <w:rsid w:val="002B27FB"/>
    <w:rsid w:val="002B685A"/>
    <w:rsid w:val="002C57D2"/>
    <w:rsid w:val="002E0D56"/>
    <w:rsid w:val="00312BA1"/>
    <w:rsid w:val="00315186"/>
    <w:rsid w:val="003266DE"/>
    <w:rsid w:val="0033033F"/>
    <w:rsid w:val="0033343E"/>
    <w:rsid w:val="003512C2"/>
    <w:rsid w:val="0035771E"/>
    <w:rsid w:val="00371FB6"/>
    <w:rsid w:val="003763C1"/>
    <w:rsid w:val="00376BBE"/>
    <w:rsid w:val="0039224F"/>
    <w:rsid w:val="003A43A4"/>
    <w:rsid w:val="003A7E18"/>
    <w:rsid w:val="003C0E6D"/>
    <w:rsid w:val="003C4C86"/>
    <w:rsid w:val="003C6258"/>
    <w:rsid w:val="003E2904"/>
    <w:rsid w:val="003F5B1C"/>
    <w:rsid w:val="00401927"/>
    <w:rsid w:val="0041027F"/>
    <w:rsid w:val="00412475"/>
    <w:rsid w:val="00423789"/>
    <w:rsid w:val="00440F43"/>
    <w:rsid w:val="00441B6F"/>
    <w:rsid w:val="00446221"/>
    <w:rsid w:val="00450E62"/>
    <w:rsid w:val="004539DB"/>
    <w:rsid w:val="00456238"/>
    <w:rsid w:val="00471A80"/>
    <w:rsid w:val="00471FE5"/>
    <w:rsid w:val="004D305E"/>
    <w:rsid w:val="004D4277"/>
    <w:rsid w:val="00502516"/>
    <w:rsid w:val="005052C5"/>
    <w:rsid w:val="00505F06"/>
    <w:rsid w:val="00506828"/>
    <w:rsid w:val="0053056E"/>
    <w:rsid w:val="00554FDA"/>
    <w:rsid w:val="00564AE5"/>
    <w:rsid w:val="005A2148"/>
    <w:rsid w:val="005C2345"/>
    <w:rsid w:val="005C784C"/>
    <w:rsid w:val="005D17F6"/>
    <w:rsid w:val="005E5539"/>
    <w:rsid w:val="00602BF5"/>
    <w:rsid w:val="00617FDD"/>
    <w:rsid w:val="00624239"/>
    <w:rsid w:val="00633614"/>
    <w:rsid w:val="00633F68"/>
    <w:rsid w:val="00636EB2"/>
    <w:rsid w:val="006375B8"/>
    <w:rsid w:val="0066510A"/>
    <w:rsid w:val="006661A6"/>
    <w:rsid w:val="00667A73"/>
    <w:rsid w:val="00673F9F"/>
    <w:rsid w:val="00686953"/>
    <w:rsid w:val="00687DEA"/>
    <w:rsid w:val="00687E67"/>
    <w:rsid w:val="006967F7"/>
    <w:rsid w:val="006A15FF"/>
    <w:rsid w:val="006A250C"/>
    <w:rsid w:val="006B21D3"/>
    <w:rsid w:val="006B57D0"/>
    <w:rsid w:val="006D30FF"/>
    <w:rsid w:val="006D6940"/>
    <w:rsid w:val="006F11EC"/>
    <w:rsid w:val="0070082C"/>
    <w:rsid w:val="007369E6"/>
    <w:rsid w:val="00746E59"/>
    <w:rsid w:val="00750514"/>
    <w:rsid w:val="00754C9A"/>
    <w:rsid w:val="0075599A"/>
    <w:rsid w:val="00761D52"/>
    <w:rsid w:val="0077749E"/>
    <w:rsid w:val="00790ADA"/>
    <w:rsid w:val="007C7FD8"/>
    <w:rsid w:val="007D2288"/>
    <w:rsid w:val="007E088F"/>
    <w:rsid w:val="007F7B32"/>
    <w:rsid w:val="00804BC2"/>
    <w:rsid w:val="0081431A"/>
    <w:rsid w:val="0083216F"/>
    <w:rsid w:val="00860000"/>
    <w:rsid w:val="00863BD3"/>
    <w:rsid w:val="008641ED"/>
    <w:rsid w:val="00866D66"/>
    <w:rsid w:val="008671C6"/>
    <w:rsid w:val="00875803"/>
    <w:rsid w:val="008A4637"/>
    <w:rsid w:val="008A47A1"/>
    <w:rsid w:val="008B459E"/>
    <w:rsid w:val="008C1E5C"/>
    <w:rsid w:val="008D5058"/>
    <w:rsid w:val="008E13AE"/>
    <w:rsid w:val="008E1506"/>
    <w:rsid w:val="008E710C"/>
    <w:rsid w:val="008F69D6"/>
    <w:rsid w:val="00902823"/>
    <w:rsid w:val="00915CA6"/>
    <w:rsid w:val="00920306"/>
    <w:rsid w:val="00927834"/>
    <w:rsid w:val="009500A6"/>
    <w:rsid w:val="00957C18"/>
    <w:rsid w:val="009659BA"/>
    <w:rsid w:val="00972E1A"/>
    <w:rsid w:val="00983040"/>
    <w:rsid w:val="009B3FB9"/>
    <w:rsid w:val="009C2465"/>
    <w:rsid w:val="009D35A0"/>
    <w:rsid w:val="009D7EB7"/>
    <w:rsid w:val="009E048A"/>
    <w:rsid w:val="009E08E9"/>
    <w:rsid w:val="009E3DB9"/>
    <w:rsid w:val="009E6E35"/>
    <w:rsid w:val="009F0EDA"/>
    <w:rsid w:val="009F68A6"/>
    <w:rsid w:val="00A03B96"/>
    <w:rsid w:val="00A05B19"/>
    <w:rsid w:val="00A1134E"/>
    <w:rsid w:val="00A213ED"/>
    <w:rsid w:val="00A24E7E"/>
    <w:rsid w:val="00A258C3"/>
    <w:rsid w:val="00A347C0"/>
    <w:rsid w:val="00A42A8B"/>
    <w:rsid w:val="00A51431"/>
    <w:rsid w:val="00A539AD"/>
    <w:rsid w:val="00A674FE"/>
    <w:rsid w:val="00A94063"/>
    <w:rsid w:val="00AA6219"/>
    <w:rsid w:val="00AA74E0"/>
    <w:rsid w:val="00AB1697"/>
    <w:rsid w:val="00AB703F"/>
    <w:rsid w:val="00AC6BB8"/>
    <w:rsid w:val="00AD766E"/>
    <w:rsid w:val="00AE008F"/>
    <w:rsid w:val="00AE25DA"/>
    <w:rsid w:val="00AE3DB7"/>
    <w:rsid w:val="00B01FCD"/>
    <w:rsid w:val="00B1776C"/>
    <w:rsid w:val="00B37D7E"/>
    <w:rsid w:val="00B52583"/>
    <w:rsid w:val="00B52896"/>
    <w:rsid w:val="00B95236"/>
    <w:rsid w:val="00B96BD9"/>
    <w:rsid w:val="00BA1B01"/>
    <w:rsid w:val="00BA2562"/>
    <w:rsid w:val="00BA2641"/>
    <w:rsid w:val="00BB37AA"/>
    <w:rsid w:val="00BC53A0"/>
    <w:rsid w:val="00BE62AD"/>
    <w:rsid w:val="00BF121F"/>
    <w:rsid w:val="00BF1F80"/>
    <w:rsid w:val="00C166EF"/>
    <w:rsid w:val="00C17EB0"/>
    <w:rsid w:val="00C27F5F"/>
    <w:rsid w:val="00C30A0F"/>
    <w:rsid w:val="00C37E61"/>
    <w:rsid w:val="00C70015"/>
    <w:rsid w:val="00C70F1B"/>
    <w:rsid w:val="00C71A47"/>
    <w:rsid w:val="00C7464C"/>
    <w:rsid w:val="00C85588"/>
    <w:rsid w:val="00CB193A"/>
    <w:rsid w:val="00CB29C1"/>
    <w:rsid w:val="00CD37AF"/>
    <w:rsid w:val="00CD6755"/>
    <w:rsid w:val="00CD6856"/>
    <w:rsid w:val="00CE0089"/>
    <w:rsid w:val="00CE793C"/>
    <w:rsid w:val="00CF193C"/>
    <w:rsid w:val="00D173F1"/>
    <w:rsid w:val="00D329CE"/>
    <w:rsid w:val="00D74CB0"/>
    <w:rsid w:val="00D8295D"/>
    <w:rsid w:val="00DA02CF"/>
    <w:rsid w:val="00DB1B2C"/>
    <w:rsid w:val="00DC2A65"/>
    <w:rsid w:val="00DC3CB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42D"/>
    <w:rsid w:val="00EE52CB"/>
    <w:rsid w:val="00EF581D"/>
    <w:rsid w:val="00EF7FD8"/>
    <w:rsid w:val="00F06F59"/>
    <w:rsid w:val="00F17988"/>
    <w:rsid w:val="00F469F0"/>
    <w:rsid w:val="00F53273"/>
    <w:rsid w:val="00F7293C"/>
    <w:rsid w:val="00F755E4"/>
    <w:rsid w:val="00F77D02"/>
    <w:rsid w:val="00F93578"/>
    <w:rsid w:val="00FB3A86"/>
    <w:rsid w:val="00FB485F"/>
    <w:rsid w:val="00FD36C8"/>
    <w:rsid w:val="00FE74A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BA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A47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A46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6238"/>
    <w:pPr>
      <w:ind w:left="720"/>
      <w:contextualSpacing/>
    </w:pPr>
  </w:style>
  <w:style w:type="character" w:customStyle="1" w:styleId="Heading2Char">
    <w:name w:val="Heading 2 Char"/>
    <w:basedOn w:val="DefaultParagraphFont"/>
    <w:link w:val="Heading2"/>
    <w:semiHidden/>
    <w:rsid w:val="008A47A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A46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8550/arXiv.2403.01367" TargetMode="External"/><Relationship Id="rId18" Type="http://schemas.openxmlformats.org/officeDocument/2006/relationships/hyperlink" Target="https://doi.org/10.56093/ijas.v89i1.86090" TargetMode="External"/><Relationship Id="rId3" Type="http://schemas.openxmlformats.org/officeDocument/2006/relationships/styles" Target="styles.xml"/><Relationship Id="rId21" Type="http://schemas.openxmlformats.org/officeDocument/2006/relationships/hyperlink" Target="https://doi.org/10.1007/s43621-025-02141-5" TargetMode="External"/><Relationship Id="rId7" Type="http://schemas.openxmlformats.org/officeDocument/2006/relationships/endnotes" Target="endnotes.xml"/><Relationship Id="rId12" Type="http://schemas.openxmlformats.org/officeDocument/2006/relationships/hyperlink" Target="https://doi.org/10.1016/0304-4076(78)90006-4" TargetMode="External"/><Relationship Id="rId17" Type="http://schemas.openxmlformats.org/officeDocument/2006/relationships/hyperlink" Target="https://doi.org/10.1239/jap/996986641" TargetMode="External"/><Relationship Id="rId2" Type="http://schemas.openxmlformats.org/officeDocument/2006/relationships/numbering" Target="numbering.xml"/><Relationship Id="rId16" Type="http://schemas.openxmlformats.org/officeDocument/2006/relationships/hyperlink" Target="https://doi.org/10.1016/j.worlddev.2015.02.015" TargetMode="External"/><Relationship Id="rId20" Type="http://schemas.openxmlformats.org/officeDocument/2006/relationships/hyperlink" Target="https://doi.org/10.56093/ijas.v90i8.1059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shijagran.com/featured/off-season-vegetable-produc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0002-9092.00022"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177/09732470100060020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foodpol.2007.10.005"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AE4F-BBC8-42EB-A3C5-14E61667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636</TotalTime>
  <Pages>19</Pages>
  <Words>7319</Words>
  <Characters>41722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48944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19</cp:revision>
  <cp:lastPrinted>1999-07-06T11:00:00Z</cp:lastPrinted>
  <dcterms:created xsi:type="dcterms:W3CDTF">2026-04-19T19:30:00Z</dcterms:created>
  <dcterms:modified xsi:type="dcterms:W3CDTF">2026-04-23T08:51:00Z</dcterms:modified>
</cp:coreProperties>
</file>