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FF257" w14:textId="77777777" w:rsidR="004B37A0" w:rsidRDefault="00156A5D" w:rsidP="002A65E8">
      <w:pPr>
        <w:spacing w:line="276" w:lineRule="auto"/>
        <w:jc w:val="center"/>
        <w:rPr>
          <w:b/>
          <w:bCs/>
          <w:sz w:val="28"/>
          <w:szCs w:val="28"/>
        </w:rPr>
      </w:pPr>
      <w:r w:rsidRPr="002A65E8">
        <w:rPr>
          <w:b/>
          <w:bCs/>
          <w:sz w:val="28"/>
          <w:szCs w:val="28"/>
        </w:rPr>
        <w:t>Recent Advances in Mulberry Cultivation and Improvement for Sustainable Sericulture: A Literature Review</w:t>
      </w:r>
    </w:p>
    <w:p w14:paraId="1B2E44AA" w14:textId="77777777" w:rsidR="00EC5DCB" w:rsidRPr="002A65E8" w:rsidRDefault="00EC5DCB" w:rsidP="002A65E8">
      <w:pPr>
        <w:spacing w:line="276" w:lineRule="auto"/>
        <w:jc w:val="center"/>
        <w:rPr>
          <w:b/>
          <w:bCs/>
          <w:sz w:val="28"/>
          <w:szCs w:val="28"/>
        </w:rPr>
      </w:pPr>
    </w:p>
    <w:p w14:paraId="2B303B64" w14:textId="77777777" w:rsidR="00EC5DCB" w:rsidRPr="002A65E8" w:rsidRDefault="00EC5DCB" w:rsidP="002A65E8">
      <w:pPr>
        <w:spacing w:line="276" w:lineRule="auto"/>
        <w:jc w:val="center"/>
        <w:rPr>
          <w:rFonts w:asciiTheme="majorBidi" w:hAnsiTheme="majorBidi" w:cstheme="majorBidi"/>
          <w:b/>
          <w:bCs/>
          <w:vertAlign w:val="superscript"/>
        </w:rPr>
      </w:pPr>
    </w:p>
    <w:p w14:paraId="032427FC" w14:textId="4CEE4980" w:rsidR="0067455A" w:rsidRPr="0067455A" w:rsidRDefault="0067455A" w:rsidP="002A65E8">
      <w:pPr>
        <w:spacing w:before="100" w:line="276" w:lineRule="auto"/>
        <w:jc w:val="center"/>
        <w:rPr>
          <w:rFonts w:asciiTheme="majorBidi" w:hAnsiTheme="majorBidi" w:cstheme="majorBidi"/>
          <w:b/>
          <w:bCs/>
        </w:rPr>
      </w:pPr>
      <w:r w:rsidRPr="0067455A">
        <w:rPr>
          <w:rFonts w:asciiTheme="majorBidi" w:hAnsiTheme="majorBidi" w:cstheme="majorBidi"/>
          <w:b/>
          <w:bCs/>
        </w:rPr>
        <w:t>Abstract</w:t>
      </w:r>
    </w:p>
    <w:p w14:paraId="39B12545" w14:textId="6FE96A66" w:rsidR="0067455A" w:rsidRPr="0067455A" w:rsidRDefault="0067455A" w:rsidP="002A65E8">
      <w:pPr>
        <w:spacing w:before="100" w:line="276" w:lineRule="auto"/>
        <w:jc w:val="both"/>
        <w:rPr>
          <w:rFonts w:asciiTheme="majorBidi" w:hAnsiTheme="majorBidi" w:cstheme="majorBidi"/>
        </w:rPr>
      </w:pPr>
      <w:r w:rsidRPr="0067455A">
        <w:rPr>
          <w:rFonts w:asciiTheme="majorBidi" w:hAnsiTheme="majorBidi" w:cstheme="majorBidi"/>
        </w:rPr>
        <w:t>Mulberry (</w:t>
      </w:r>
      <w:r w:rsidRPr="0067455A">
        <w:rPr>
          <w:rFonts w:asciiTheme="majorBidi" w:hAnsiTheme="majorBidi" w:cstheme="majorBidi"/>
          <w:i/>
          <w:iCs/>
        </w:rPr>
        <w:t>Morus</w:t>
      </w:r>
      <w:r w:rsidRPr="0067455A">
        <w:rPr>
          <w:rFonts w:asciiTheme="majorBidi" w:hAnsiTheme="majorBidi" w:cstheme="majorBidi"/>
        </w:rPr>
        <w:t xml:space="preserve"> spp.) is the primary host plant of the silkworm </w:t>
      </w:r>
      <w:r w:rsidRPr="0067455A">
        <w:rPr>
          <w:rFonts w:asciiTheme="majorBidi" w:hAnsiTheme="majorBidi" w:cstheme="majorBidi"/>
          <w:i/>
          <w:iCs/>
        </w:rPr>
        <w:t>Bombyx mori</w:t>
      </w:r>
      <w:r w:rsidRPr="0067455A">
        <w:rPr>
          <w:rFonts w:asciiTheme="majorBidi" w:hAnsiTheme="majorBidi" w:cstheme="majorBidi"/>
        </w:rPr>
        <w:t xml:space="preserve"> and plays a fundamental role in determining silk productivity and quality. Improving mulberry cultivation through advanced agronomic practices and modern biotechnological tools has become essential for sustainable sericulture. This review summarizes recent progress in mulberry research, including germplasm diversity, propagation technologies, genetic and genomic improvement, stress tolerance mechanisms, nutrient management, and leaf quality optimization. Conventional propagation methods such as cuttings and grafting remain widely used, while mini clonal technology and tissue culture enable rapid multiplication of elite varieties. Molecular approaches including marker-assisted selection, transgenic technologies, and CRISPR/Cas9 genome editing have opened new opportunities for improving stress tolerance and leaf nutritional quality. Integrated nutrient management and organic fertilization have also demonstrated significant potential for enhancing mulberry leaf yield and soil health. Furthermore, emerging technologies such as precision agriculture, hyperspectral sensing, and artificial intelligence are increasingly being explored for efficient mulberry cultivation and real-time monitoring of leaf quality. Despite these advances, further research is required to bridge the gap between laboratory innovations and field-level applications. The integration of biotechnology, sustainable agronomic practices, and digital technologies will be crucial for enhancing mulberry productivity and ensuring the long-term sustainability of the sericulture industry.</w:t>
      </w:r>
    </w:p>
    <w:p w14:paraId="481D40AB" w14:textId="73A2700A" w:rsidR="002C617B" w:rsidRPr="00396189" w:rsidRDefault="002C617B" w:rsidP="002C617B">
      <w:pPr>
        <w:spacing w:before="100" w:after="400" w:line="276" w:lineRule="auto"/>
        <w:jc w:val="both"/>
        <w:rPr>
          <w:rFonts w:asciiTheme="majorBidi" w:hAnsiTheme="majorBidi" w:cstheme="majorBidi"/>
        </w:rPr>
      </w:pPr>
      <w:r w:rsidRPr="00396189">
        <w:rPr>
          <w:rFonts w:asciiTheme="majorBidi" w:hAnsiTheme="majorBidi" w:cstheme="majorBidi"/>
          <w:b/>
          <w:bCs/>
        </w:rPr>
        <w:t>Keywords</w:t>
      </w:r>
      <w:r w:rsidRPr="00396189">
        <w:rPr>
          <w:rFonts w:asciiTheme="majorBidi" w:hAnsiTheme="majorBidi" w:cstheme="majorBidi"/>
        </w:rPr>
        <w:t>: Mulberry, Morus spp., sericulture, leaf quality, tissue culture, CRISPR, abiotic stress, organic fertilization, molecular markers, Bombyx mori</w:t>
      </w:r>
    </w:p>
    <w:p w14:paraId="5CFA7A91" w14:textId="5D34A7FB"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1. Introduction</w:t>
      </w:r>
    </w:p>
    <w:p w14:paraId="103D047D"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Sericulture — the rearing of silkworms for silk production — is one of the most ancient agro-based industries, with a history spanning more than 5,000 years. At its centre lies the mulberry plant (</w:t>
      </w:r>
      <w:r w:rsidRPr="007C244C">
        <w:rPr>
          <w:rFonts w:asciiTheme="majorBidi" w:hAnsiTheme="majorBidi" w:cstheme="majorBidi"/>
          <w:i/>
          <w:iCs/>
        </w:rPr>
        <w:t>Morus spp</w:t>
      </w:r>
      <w:r w:rsidRPr="002C617B">
        <w:rPr>
          <w:rFonts w:asciiTheme="majorBidi" w:hAnsiTheme="majorBidi" w:cstheme="majorBidi"/>
        </w:rPr>
        <w:t xml:space="preserve">., family Moraceae), the exclusive food source of the domesticated silkworm </w:t>
      </w:r>
      <w:r w:rsidRPr="007C244C">
        <w:rPr>
          <w:rFonts w:asciiTheme="majorBidi" w:hAnsiTheme="majorBidi" w:cstheme="majorBidi"/>
          <w:i/>
          <w:iCs/>
        </w:rPr>
        <w:t xml:space="preserve">Bombyx mori </w:t>
      </w:r>
      <w:r w:rsidRPr="002C617B">
        <w:rPr>
          <w:rFonts w:asciiTheme="majorBidi" w:hAnsiTheme="majorBidi" w:cstheme="majorBidi"/>
        </w:rPr>
        <w:t>L. The quality and quantity of mulberry leaf production directly govern the profitability of sericulture, making mulberry cultivation the most critical determinant of silk yield and quality worldwide (Khurana and Checker, 2011).</w:t>
      </w:r>
    </w:p>
    <w:p w14:paraId="0FE1F3E6"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The genus Morus comprises over 15 species with more than 500 recognized varieties. India, the second-largest silk producer globally after China, cultivates mulberry across five distinct agro-climatic zones, supporting millions of rural households. Despite its long history, mulberry productivity faces mounting challenges: climate-induced drought, salinity and temperature extremes, degraded soil health, and expanding disease pressure. The global silk market's rising </w:t>
      </w:r>
      <w:r w:rsidRPr="002C617B">
        <w:rPr>
          <w:rFonts w:asciiTheme="majorBidi" w:hAnsiTheme="majorBidi" w:cstheme="majorBidi"/>
        </w:rPr>
        <w:lastRenderedPageBreak/>
        <w:t>demand for high-quality yarn has also intensified pressure to improve not only biomass output but also the biochemical composition of leaves — attributes that directly determine silkworm growth, cocoon weight, and filament quality (Sarkar et al., 2017).</w:t>
      </w:r>
    </w:p>
    <w:p w14:paraId="6A5672C7" w14:textId="68A0A61F"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The past decade has witnessed remarkable progress driven by molecular biology, genomics, biotechnology, and precision agriculture. From sequencing of the </w:t>
      </w:r>
      <w:r w:rsidRPr="007C244C">
        <w:rPr>
          <w:rFonts w:asciiTheme="majorBidi" w:hAnsiTheme="majorBidi" w:cstheme="majorBidi"/>
          <w:i/>
          <w:iCs/>
        </w:rPr>
        <w:t>M</w:t>
      </w:r>
      <w:r w:rsidR="007C244C" w:rsidRPr="007C244C">
        <w:rPr>
          <w:rFonts w:asciiTheme="majorBidi" w:hAnsiTheme="majorBidi" w:cstheme="majorBidi"/>
          <w:i/>
          <w:iCs/>
        </w:rPr>
        <w:t>orus</w:t>
      </w:r>
      <w:r w:rsidRPr="007C244C">
        <w:rPr>
          <w:rFonts w:asciiTheme="majorBidi" w:hAnsiTheme="majorBidi" w:cstheme="majorBidi"/>
          <w:i/>
          <w:iCs/>
        </w:rPr>
        <w:t xml:space="preserve"> notabilis</w:t>
      </w:r>
      <w:r w:rsidRPr="002C617B">
        <w:rPr>
          <w:rFonts w:asciiTheme="majorBidi" w:hAnsiTheme="majorBidi" w:cstheme="majorBidi"/>
        </w:rPr>
        <w:t xml:space="preserve"> genome to CRISPR/Cas9 gene editing and RNA-</w:t>
      </w:r>
      <w:proofErr w:type="spellStart"/>
      <w:r w:rsidRPr="002C617B">
        <w:rPr>
          <w:rFonts w:asciiTheme="majorBidi" w:hAnsiTheme="majorBidi" w:cstheme="majorBidi"/>
        </w:rPr>
        <w:t>seq</w:t>
      </w:r>
      <w:proofErr w:type="spellEnd"/>
      <w:r w:rsidRPr="002C617B">
        <w:rPr>
          <w:rFonts w:asciiTheme="majorBidi" w:hAnsiTheme="majorBidi" w:cstheme="majorBidi"/>
        </w:rPr>
        <w:t xml:space="preserve"> transcriptomics, the tools available for improvement have expanded dramatically. This review synthesizes these advances under six thematic domains and discusses implications for the future of mulberry-based sericulture globally.</w:t>
      </w:r>
    </w:p>
    <w:p w14:paraId="117E2D4A" w14:textId="77777777" w:rsidR="004B37A0" w:rsidRPr="002C617B" w:rsidRDefault="00156A5D" w:rsidP="002C617B">
      <w:pPr>
        <w:spacing w:before="300" w:after="100" w:line="276" w:lineRule="auto"/>
        <w:jc w:val="center"/>
        <w:rPr>
          <w:rFonts w:asciiTheme="majorBidi" w:hAnsiTheme="majorBidi" w:cstheme="majorBidi"/>
        </w:rPr>
      </w:pPr>
      <w:r w:rsidRPr="002C617B">
        <w:rPr>
          <w:rFonts w:asciiTheme="majorBidi" w:hAnsiTheme="majorBidi" w:cstheme="majorBidi"/>
          <w:b/>
          <w:bCs/>
        </w:rPr>
        <w:t>Table 1. Commercially Important Morus Species, Their Distribution, and Sericultural Significance</w:t>
      </w:r>
    </w:p>
    <w:tbl>
      <w:tblPr>
        <w:tblStyle w:val="TableGrid"/>
        <w:tblW w:w="9360" w:type="dxa"/>
        <w:tblLook w:val="04A0" w:firstRow="1" w:lastRow="0" w:firstColumn="1" w:lastColumn="0" w:noHBand="0" w:noVBand="1"/>
      </w:tblPr>
      <w:tblGrid>
        <w:gridCol w:w="1810"/>
        <w:gridCol w:w="1812"/>
        <w:gridCol w:w="1997"/>
        <w:gridCol w:w="1776"/>
        <w:gridCol w:w="1965"/>
      </w:tblGrid>
      <w:tr w:rsidR="002C617B" w:rsidRPr="002C617B" w14:paraId="691B38D2" w14:textId="77777777" w:rsidTr="007C244C">
        <w:tc>
          <w:tcPr>
            <w:tcW w:w="1838" w:type="dxa"/>
          </w:tcPr>
          <w:p w14:paraId="309C2010" w14:textId="3118A805"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Species</w:t>
            </w:r>
          </w:p>
        </w:tc>
        <w:tc>
          <w:tcPr>
            <w:tcW w:w="1843" w:type="dxa"/>
          </w:tcPr>
          <w:p w14:paraId="7086D7C8" w14:textId="0AB50CC7"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Common Name</w:t>
            </w:r>
          </w:p>
        </w:tc>
        <w:tc>
          <w:tcPr>
            <w:tcW w:w="2019" w:type="dxa"/>
          </w:tcPr>
          <w:p w14:paraId="001108EC" w14:textId="5054491E"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Distribution</w:t>
            </w:r>
          </w:p>
        </w:tc>
        <w:tc>
          <w:tcPr>
            <w:tcW w:w="1666" w:type="dxa"/>
          </w:tcPr>
          <w:p w14:paraId="2890038D" w14:textId="45287DE3"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Leaf Characteristics</w:t>
            </w:r>
          </w:p>
        </w:tc>
        <w:tc>
          <w:tcPr>
            <w:tcW w:w="1994" w:type="dxa"/>
          </w:tcPr>
          <w:p w14:paraId="37E50C72" w14:textId="62A51E56"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Sericultural Importance</w:t>
            </w:r>
          </w:p>
        </w:tc>
      </w:tr>
      <w:tr w:rsidR="002C617B" w:rsidRPr="002C617B" w14:paraId="18035F62" w14:textId="77777777" w:rsidTr="007C244C">
        <w:tc>
          <w:tcPr>
            <w:tcW w:w="1838" w:type="dxa"/>
          </w:tcPr>
          <w:p w14:paraId="545FAE19" w14:textId="77777777" w:rsidR="004B37A0" w:rsidRPr="007C244C" w:rsidRDefault="00156A5D" w:rsidP="002C617B">
            <w:pPr>
              <w:spacing w:line="276" w:lineRule="auto"/>
              <w:jc w:val="both"/>
              <w:rPr>
                <w:rFonts w:asciiTheme="majorBidi" w:hAnsiTheme="majorBidi" w:cstheme="majorBidi"/>
                <w:i/>
                <w:iCs/>
              </w:rPr>
            </w:pPr>
            <w:r w:rsidRPr="007C244C">
              <w:rPr>
                <w:rFonts w:asciiTheme="majorBidi" w:hAnsiTheme="majorBidi" w:cstheme="majorBidi"/>
                <w:b/>
                <w:bCs/>
                <w:i/>
                <w:iCs/>
              </w:rPr>
              <w:t>Morus alba L.</w:t>
            </w:r>
          </w:p>
        </w:tc>
        <w:tc>
          <w:tcPr>
            <w:tcW w:w="1843" w:type="dxa"/>
          </w:tcPr>
          <w:p w14:paraId="75A6DEC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White mulberry</w:t>
            </w:r>
          </w:p>
        </w:tc>
        <w:tc>
          <w:tcPr>
            <w:tcW w:w="2019" w:type="dxa"/>
          </w:tcPr>
          <w:p w14:paraId="1DBE69F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China, India, Europe, Americas</w:t>
            </w:r>
          </w:p>
        </w:tc>
        <w:tc>
          <w:tcPr>
            <w:tcW w:w="1666" w:type="dxa"/>
          </w:tcPr>
          <w:p w14:paraId="2CF4F12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Smooth, lobed, high protein (26.2%)</w:t>
            </w:r>
          </w:p>
        </w:tc>
        <w:tc>
          <w:tcPr>
            <w:tcW w:w="1994" w:type="dxa"/>
          </w:tcPr>
          <w:p w14:paraId="4BD3D0F0"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Primary sericulture species globally</w:t>
            </w:r>
          </w:p>
        </w:tc>
      </w:tr>
      <w:tr w:rsidR="002C617B" w:rsidRPr="002C617B" w14:paraId="2BDA8E67" w14:textId="77777777" w:rsidTr="007C244C">
        <w:tc>
          <w:tcPr>
            <w:tcW w:w="1838" w:type="dxa"/>
          </w:tcPr>
          <w:p w14:paraId="546EDE0F" w14:textId="77777777" w:rsidR="004B37A0" w:rsidRPr="007C244C" w:rsidRDefault="00156A5D" w:rsidP="002C617B">
            <w:pPr>
              <w:spacing w:line="276" w:lineRule="auto"/>
              <w:jc w:val="both"/>
              <w:rPr>
                <w:rFonts w:asciiTheme="majorBidi" w:hAnsiTheme="majorBidi" w:cstheme="majorBidi"/>
                <w:i/>
                <w:iCs/>
              </w:rPr>
            </w:pPr>
            <w:r w:rsidRPr="007C244C">
              <w:rPr>
                <w:rFonts w:asciiTheme="majorBidi" w:hAnsiTheme="majorBidi" w:cstheme="majorBidi"/>
                <w:b/>
                <w:bCs/>
                <w:i/>
                <w:iCs/>
              </w:rPr>
              <w:t>Morus indica L.</w:t>
            </w:r>
          </w:p>
        </w:tc>
        <w:tc>
          <w:tcPr>
            <w:tcW w:w="1843" w:type="dxa"/>
          </w:tcPr>
          <w:p w14:paraId="3C49CCC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Indian mulberry</w:t>
            </w:r>
          </w:p>
        </w:tc>
        <w:tc>
          <w:tcPr>
            <w:tcW w:w="2019" w:type="dxa"/>
          </w:tcPr>
          <w:p w14:paraId="7641B44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Indian subcontinent</w:t>
            </w:r>
          </w:p>
        </w:tc>
        <w:tc>
          <w:tcPr>
            <w:tcW w:w="1666" w:type="dxa"/>
          </w:tcPr>
          <w:p w14:paraId="51ADD44B"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Large, glossy, rich in moisture</w:t>
            </w:r>
          </w:p>
        </w:tc>
        <w:tc>
          <w:tcPr>
            <w:tcW w:w="1994" w:type="dxa"/>
          </w:tcPr>
          <w:p w14:paraId="14B62C9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Dominant in S. India; V1, S-36 cultivars</w:t>
            </w:r>
          </w:p>
        </w:tc>
      </w:tr>
      <w:tr w:rsidR="002C617B" w:rsidRPr="002C617B" w14:paraId="7328E0B2" w14:textId="77777777" w:rsidTr="007C244C">
        <w:tc>
          <w:tcPr>
            <w:tcW w:w="1838" w:type="dxa"/>
          </w:tcPr>
          <w:p w14:paraId="7A95D98F" w14:textId="77777777" w:rsidR="004B37A0" w:rsidRPr="007C244C" w:rsidRDefault="00156A5D" w:rsidP="002C617B">
            <w:pPr>
              <w:spacing w:line="276" w:lineRule="auto"/>
              <w:jc w:val="both"/>
              <w:rPr>
                <w:rFonts w:asciiTheme="majorBidi" w:hAnsiTheme="majorBidi" w:cstheme="majorBidi"/>
                <w:i/>
                <w:iCs/>
              </w:rPr>
            </w:pPr>
            <w:proofErr w:type="spellStart"/>
            <w:r w:rsidRPr="007C244C">
              <w:rPr>
                <w:rFonts w:asciiTheme="majorBidi" w:hAnsiTheme="majorBidi" w:cstheme="majorBidi"/>
                <w:b/>
                <w:bCs/>
                <w:i/>
                <w:iCs/>
              </w:rPr>
              <w:t>Morus</w:t>
            </w:r>
            <w:proofErr w:type="spellEnd"/>
            <w:r w:rsidRPr="007C244C">
              <w:rPr>
                <w:rFonts w:asciiTheme="majorBidi" w:hAnsiTheme="majorBidi" w:cstheme="majorBidi"/>
                <w:b/>
                <w:bCs/>
                <w:i/>
                <w:iCs/>
              </w:rPr>
              <w:t xml:space="preserve"> </w:t>
            </w:r>
            <w:proofErr w:type="spellStart"/>
            <w:r w:rsidRPr="007C244C">
              <w:rPr>
                <w:rFonts w:asciiTheme="majorBidi" w:hAnsiTheme="majorBidi" w:cstheme="majorBidi"/>
                <w:b/>
                <w:bCs/>
                <w:i/>
                <w:iCs/>
              </w:rPr>
              <w:t>multicaulis</w:t>
            </w:r>
            <w:proofErr w:type="spellEnd"/>
          </w:p>
        </w:tc>
        <w:tc>
          <w:tcPr>
            <w:tcW w:w="1843" w:type="dxa"/>
          </w:tcPr>
          <w:p w14:paraId="61C8427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Chinese white mulberry</w:t>
            </w:r>
          </w:p>
        </w:tc>
        <w:tc>
          <w:tcPr>
            <w:tcW w:w="2019" w:type="dxa"/>
          </w:tcPr>
          <w:p w14:paraId="5AAB222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China, Japan, Korea</w:t>
            </w:r>
          </w:p>
        </w:tc>
        <w:tc>
          <w:tcPr>
            <w:tcW w:w="1666" w:type="dxa"/>
          </w:tcPr>
          <w:p w14:paraId="724A183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Very large leaves, multi-shoot</w:t>
            </w:r>
          </w:p>
        </w:tc>
        <w:tc>
          <w:tcPr>
            <w:tcW w:w="1994" w:type="dxa"/>
          </w:tcPr>
          <w:p w14:paraId="1F90055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High-yield sericulture; drought tolerance research</w:t>
            </w:r>
          </w:p>
        </w:tc>
      </w:tr>
      <w:tr w:rsidR="002C617B" w:rsidRPr="002C617B" w14:paraId="701C0F50" w14:textId="77777777" w:rsidTr="007C244C">
        <w:tc>
          <w:tcPr>
            <w:tcW w:w="1838" w:type="dxa"/>
          </w:tcPr>
          <w:p w14:paraId="0240F891" w14:textId="77777777" w:rsidR="004B37A0" w:rsidRPr="007C244C" w:rsidRDefault="00156A5D" w:rsidP="002C617B">
            <w:pPr>
              <w:spacing w:line="276" w:lineRule="auto"/>
              <w:jc w:val="both"/>
              <w:rPr>
                <w:rFonts w:asciiTheme="majorBidi" w:hAnsiTheme="majorBidi" w:cstheme="majorBidi"/>
                <w:i/>
                <w:iCs/>
              </w:rPr>
            </w:pPr>
            <w:r w:rsidRPr="007C244C">
              <w:rPr>
                <w:rFonts w:asciiTheme="majorBidi" w:hAnsiTheme="majorBidi" w:cstheme="majorBidi"/>
                <w:b/>
                <w:bCs/>
                <w:i/>
                <w:iCs/>
              </w:rPr>
              <w:t>Morus nigra L.</w:t>
            </w:r>
          </w:p>
        </w:tc>
        <w:tc>
          <w:tcPr>
            <w:tcW w:w="1843" w:type="dxa"/>
          </w:tcPr>
          <w:p w14:paraId="118C755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Black mulberry</w:t>
            </w:r>
          </w:p>
        </w:tc>
        <w:tc>
          <w:tcPr>
            <w:tcW w:w="2019" w:type="dxa"/>
          </w:tcPr>
          <w:p w14:paraId="547F74C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W. Asia, Mediterranean</w:t>
            </w:r>
          </w:p>
        </w:tc>
        <w:tc>
          <w:tcPr>
            <w:tcW w:w="1666" w:type="dxa"/>
          </w:tcPr>
          <w:p w14:paraId="38B11BF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Dark, rough, anthocyanin-rich</w:t>
            </w:r>
          </w:p>
        </w:tc>
        <w:tc>
          <w:tcPr>
            <w:tcW w:w="1994" w:type="dxa"/>
          </w:tcPr>
          <w:p w14:paraId="7D8B9D3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Limited sericulture; nutraceutical value</w:t>
            </w:r>
          </w:p>
        </w:tc>
      </w:tr>
      <w:tr w:rsidR="002C617B" w:rsidRPr="002C617B" w14:paraId="7FFE7583" w14:textId="77777777" w:rsidTr="007C244C">
        <w:tc>
          <w:tcPr>
            <w:tcW w:w="1838" w:type="dxa"/>
          </w:tcPr>
          <w:p w14:paraId="7F846E77" w14:textId="77777777" w:rsidR="004B37A0" w:rsidRPr="007C244C" w:rsidRDefault="00156A5D" w:rsidP="002C617B">
            <w:pPr>
              <w:spacing w:line="276" w:lineRule="auto"/>
              <w:jc w:val="both"/>
              <w:rPr>
                <w:rFonts w:asciiTheme="majorBidi" w:hAnsiTheme="majorBidi" w:cstheme="majorBidi"/>
                <w:i/>
                <w:iCs/>
              </w:rPr>
            </w:pPr>
            <w:proofErr w:type="spellStart"/>
            <w:r w:rsidRPr="007C244C">
              <w:rPr>
                <w:rFonts w:asciiTheme="majorBidi" w:hAnsiTheme="majorBidi" w:cstheme="majorBidi"/>
                <w:b/>
                <w:bCs/>
                <w:i/>
                <w:iCs/>
              </w:rPr>
              <w:t>Morus</w:t>
            </w:r>
            <w:proofErr w:type="spellEnd"/>
            <w:r w:rsidRPr="007C244C">
              <w:rPr>
                <w:rFonts w:asciiTheme="majorBidi" w:hAnsiTheme="majorBidi" w:cstheme="majorBidi"/>
                <w:b/>
                <w:bCs/>
                <w:i/>
                <w:iCs/>
              </w:rPr>
              <w:t xml:space="preserve"> </w:t>
            </w:r>
            <w:proofErr w:type="spellStart"/>
            <w:r w:rsidRPr="007C244C">
              <w:rPr>
                <w:rFonts w:asciiTheme="majorBidi" w:hAnsiTheme="majorBidi" w:cstheme="majorBidi"/>
                <w:b/>
                <w:bCs/>
                <w:i/>
                <w:iCs/>
              </w:rPr>
              <w:t>bombycis</w:t>
            </w:r>
            <w:proofErr w:type="spellEnd"/>
          </w:p>
        </w:tc>
        <w:tc>
          <w:tcPr>
            <w:tcW w:w="1843" w:type="dxa"/>
          </w:tcPr>
          <w:p w14:paraId="168EB58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Korean mulberry</w:t>
            </w:r>
          </w:p>
        </w:tc>
        <w:tc>
          <w:tcPr>
            <w:tcW w:w="2019" w:type="dxa"/>
          </w:tcPr>
          <w:p w14:paraId="7BD7D8D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Japan, Korea</w:t>
            </w:r>
          </w:p>
        </w:tc>
        <w:tc>
          <w:tcPr>
            <w:tcW w:w="1666" w:type="dxa"/>
          </w:tcPr>
          <w:p w14:paraId="22A651D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Tender, deeply lobed</w:t>
            </w:r>
          </w:p>
        </w:tc>
        <w:tc>
          <w:tcPr>
            <w:tcW w:w="1994" w:type="dxa"/>
          </w:tcPr>
          <w:p w14:paraId="619DDB99"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Spring rearing; early leaf availability</w:t>
            </w:r>
          </w:p>
        </w:tc>
      </w:tr>
      <w:tr w:rsidR="002C617B" w:rsidRPr="002C617B" w14:paraId="55419043" w14:textId="77777777" w:rsidTr="007C244C">
        <w:tc>
          <w:tcPr>
            <w:tcW w:w="1838" w:type="dxa"/>
          </w:tcPr>
          <w:p w14:paraId="5FEF293C" w14:textId="77777777" w:rsidR="004B37A0" w:rsidRPr="007C244C" w:rsidRDefault="00156A5D" w:rsidP="002C617B">
            <w:pPr>
              <w:spacing w:line="276" w:lineRule="auto"/>
              <w:jc w:val="both"/>
              <w:rPr>
                <w:rFonts w:asciiTheme="majorBidi" w:hAnsiTheme="majorBidi" w:cstheme="majorBidi"/>
                <w:i/>
                <w:iCs/>
              </w:rPr>
            </w:pPr>
            <w:r w:rsidRPr="007C244C">
              <w:rPr>
                <w:rFonts w:asciiTheme="majorBidi" w:hAnsiTheme="majorBidi" w:cstheme="majorBidi"/>
                <w:b/>
                <w:bCs/>
                <w:i/>
                <w:iCs/>
              </w:rPr>
              <w:t>Morus serrata</w:t>
            </w:r>
          </w:p>
        </w:tc>
        <w:tc>
          <w:tcPr>
            <w:tcW w:w="1843" w:type="dxa"/>
          </w:tcPr>
          <w:p w14:paraId="750DCC5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Himalayan mulberry</w:t>
            </w:r>
          </w:p>
        </w:tc>
        <w:tc>
          <w:tcPr>
            <w:tcW w:w="2019" w:type="dxa"/>
          </w:tcPr>
          <w:p w14:paraId="2D662FBB"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Himalayan foothills</w:t>
            </w:r>
          </w:p>
        </w:tc>
        <w:tc>
          <w:tcPr>
            <w:tcW w:w="1666" w:type="dxa"/>
          </w:tcPr>
          <w:p w14:paraId="4441DCE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Serrated margin, cold-tolerant</w:t>
            </w:r>
          </w:p>
        </w:tc>
        <w:tc>
          <w:tcPr>
            <w:tcW w:w="1994" w:type="dxa"/>
          </w:tcPr>
          <w:p w14:paraId="2DC40D5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Rootstock for cold-zone grafting</w:t>
            </w:r>
          </w:p>
        </w:tc>
      </w:tr>
    </w:tbl>
    <w:p w14:paraId="4F482E42" w14:textId="49433A2E" w:rsidR="004B37A0" w:rsidRPr="002C617B" w:rsidRDefault="00156A5D" w:rsidP="009E4E11">
      <w:pPr>
        <w:spacing w:before="60" w:after="180" w:line="276" w:lineRule="auto"/>
        <w:jc w:val="both"/>
        <w:rPr>
          <w:rFonts w:asciiTheme="majorBidi" w:hAnsiTheme="majorBidi" w:cstheme="majorBidi"/>
        </w:rPr>
      </w:pPr>
      <w:r w:rsidRPr="002C617B">
        <w:rPr>
          <w:rFonts w:asciiTheme="majorBidi" w:hAnsiTheme="majorBidi" w:cstheme="majorBidi"/>
          <w:i/>
          <w:iCs/>
        </w:rPr>
        <w:t xml:space="preserve">Source: Compiled from Vijayan et al. (2022); </w:t>
      </w:r>
      <w:r w:rsidR="009E4E11" w:rsidRPr="009E4E11">
        <w:rPr>
          <w:rFonts w:asciiTheme="majorBidi" w:hAnsiTheme="majorBidi" w:cstheme="majorBidi"/>
          <w:i/>
          <w:iCs/>
        </w:rPr>
        <w:t>Shafique et al. (2025)</w:t>
      </w:r>
      <w:r w:rsidRPr="002C617B">
        <w:rPr>
          <w:rFonts w:asciiTheme="majorBidi" w:hAnsiTheme="majorBidi" w:cstheme="majorBidi"/>
          <w:i/>
          <w:iCs/>
        </w:rPr>
        <w:t>; Central Silk Board (2023).</w:t>
      </w:r>
    </w:p>
    <w:p w14:paraId="1F23849A"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2. Botanical Diversity and Germplasm Resources</w:t>
      </w:r>
    </w:p>
    <w:p w14:paraId="30A2CDA1" w14:textId="1711C6CA" w:rsidR="004B37A0" w:rsidRPr="002C617B" w:rsidRDefault="00156A5D" w:rsidP="009E4E11">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The genus Morus is a genetically diverse group of dioecious woody trees and shrubs, with some individuals exhibiting monoecious arrangements </w:t>
      </w:r>
      <w:r w:rsidR="009E4E11" w:rsidRPr="009E4E11">
        <w:rPr>
          <w:rFonts w:asciiTheme="majorBidi" w:hAnsiTheme="majorBidi" w:cstheme="majorBidi"/>
        </w:rPr>
        <w:t>(Baciu et al., 2023)</w:t>
      </w:r>
      <w:r w:rsidRPr="002C617B">
        <w:rPr>
          <w:rFonts w:asciiTheme="majorBidi" w:hAnsiTheme="majorBidi" w:cstheme="majorBidi"/>
        </w:rPr>
        <w:t xml:space="preserve">. India maintains six native mulberry species, while national repositories such as the Central Sericultural Germplasm </w:t>
      </w:r>
      <w:r w:rsidRPr="002C617B">
        <w:rPr>
          <w:rFonts w:asciiTheme="majorBidi" w:hAnsiTheme="majorBidi" w:cstheme="majorBidi"/>
        </w:rPr>
        <w:lastRenderedPageBreak/>
        <w:t>Resources Centre (CSGRC) in Hosur, Tamil Nadu, conserve thousands of accessions (Central Silk Board, 2023). Recent systematic evaluations using principal component analysis and cluster analysis (Bhavya et al., 2025) identified genetic variability and high heritability for leaf yield per plant, shoot length, number of shoots per plant, internode length, and leaf area across 203 genotypes evaluated over two consecutive years.</w:t>
      </w:r>
    </w:p>
    <w:p w14:paraId="70B7707A"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Molecular characterization increasingly complements morphological evaluation. The Morus Genome Database (</w:t>
      </w:r>
      <w:proofErr w:type="spellStart"/>
      <w:r w:rsidRPr="002C617B">
        <w:rPr>
          <w:rFonts w:asciiTheme="majorBidi" w:hAnsiTheme="majorBidi" w:cstheme="majorBidi"/>
        </w:rPr>
        <w:t>MorusDB</w:t>
      </w:r>
      <w:proofErr w:type="spellEnd"/>
      <w:r w:rsidRPr="002C617B">
        <w:rPr>
          <w:rFonts w:asciiTheme="majorBidi" w:hAnsiTheme="majorBidi" w:cstheme="majorBidi"/>
        </w:rPr>
        <w:t>) provides a repository of SNPs, ISSRs, RFLPs, and microsatellite markers across diverse accessions (Vijayan et al., 2022). Cryopreservation research by Choudhary et al. (2013) demonstrated the viability of two-step freezing for long-term genetic banking without significant genetic drift — a critical tool for safeguarding endemic landraces in the face of habitat loss and climate change.</w:t>
      </w:r>
    </w:p>
    <w:p w14:paraId="4862F41A"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3. Propagation Technologies and Nursery Management</w:t>
      </w:r>
    </w:p>
    <w:p w14:paraId="173B65FC"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3.1 Conventional Propagation Methods</w:t>
      </w:r>
    </w:p>
    <w:p w14:paraId="5CC43489" w14:textId="3A8A7ABF" w:rsidR="004B37A0" w:rsidRPr="002C617B" w:rsidRDefault="00156A5D" w:rsidP="00CB6A83">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Stem cutting is the most widely practiced technique due to its simplicity and low cost. Hardwood cuttings treated with indole-3-butyric acid (IBA) at 1,000–3,000 ppm yield the best rooting percentages, with the optimal concentration varying by genotype </w:t>
      </w:r>
      <w:r w:rsidR="00CB6A83" w:rsidRPr="00CB6A83">
        <w:rPr>
          <w:rFonts w:asciiTheme="majorBidi" w:hAnsiTheme="majorBidi" w:cstheme="majorBidi"/>
        </w:rPr>
        <w:t>(Aziz et al., 2020)</w:t>
      </w:r>
      <w:r w:rsidRPr="002C617B">
        <w:rPr>
          <w:rFonts w:asciiTheme="majorBidi" w:hAnsiTheme="majorBidi" w:cstheme="majorBidi"/>
        </w:rPr>
        <w:t>. Grafting onto rootstock of different species has been explored as a means to confer drought or salinity tolerance to commercial scion varieties (Kumar et al., 202</w:t>
      </w:r>
      <w:r w:rsidR="00CB6A83">
        <w:rPr>
          <w:rFonts w:asciiTheme="majorBidi" w:hAnsiTheme="majorBidi" w:cstheme="majorBidi"/>
        </w:rPr>
        <w:t>5</w:t>
      </w:r>
      <w:r w:rsidRPr="002C617B">
        <w:rPr>
          <w:rFonts w:asciiTheme="majorBidi" w:hAnsiTheme="majorBidi" w:cstheme="majorBidi"/>
        </w:rPr>
        <w:t>).</w:t>
      </w:r>
    </w:p>
    <w:p w14:paraId="6E204A40"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3.2 Mini Clonal Technology (MCT)</w:t>
      </w:r>
    </w:p>
    <w:p w14:paraId="67CD7B53" w14:textId="2746ACB0" w:rsidR="004B37A0" w:rsidRPr="002C617B" w:rsidRDefault="00156A5D" w:rsidP="00364859">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Mini clonal technology has emerged as one of the most significant nursery innovations in recent years. Developed at CSRTI Mysore, MCT uses apical shoot cuttings derived from juvenile shoots of established mother plants, enabling generation of thousands of uniform plantlets rapidly </w:t>
      </w:r>
      <w:r w:rsidR="00364859" w:rsidRPr="00364859">
        <w:rPr>
          <w:rFonts w:asciiTheme="majorBidi" w:hAnsiTheme="majorBidi" w:cstheme="majorBidi"/>
        </w:rPr>
        <w:t>(Bharathi et al., 2024)</w:t>
      </w:r>
      <w:r w:rsidRPr="002C617B">
        <w:rPr>
          <w:rFonts w:asciiTheme="majorBidi" w:hAnsiTheme="majorBidi" w:cstheme="majorBidi"/>
        </w:rPr>
        <w:t xml:space="preserve">. Studies by Bharathi et al. (2024) on M. indica var. V1 demonstrated superior field survivability, uniform growth, and comparable or better leaf yield relative to conventionally propagated material. MCT can reduce nursery establishment time by 40–60% while maintaining genetic integrity </w:t>
      </w:r>
      <w:r w:rsidR="00364859" w:rsidRPr="00364859">
        <w:rPr>
          <w:rFonts w:asciiTheme="majorBidi" w:hAnsiTheme="majorBidi" w:cstheme="majorBidi"/>
        </w:rPr>
        <w:t>(Bharathi et al., 2024)</w:t>
      </w:r>
      <w:r w:rsidRPr="002C617B">
        <w:rPr>
          <w:rFonts w:asciiTheme="majorBidi" w:hAnsiTheme="majorBidi" w:cstheme="majorBidi"/>
        </w:rPr>
        <w:t>.</w:t>
      </w:r>
    </w:p>
    <w:p w14:paraId="51010594"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3.3 Tissue Culture and In Vitro Propagation</w:t>
      </w:r>
    </w:p>
    <w:p w14:paraId="2F3FE438" w14:textId="0509E1DB" w:rsidR="004B37A0" w:rsidRPr="002C617B" w:rsidRDefault="00156A5D" w:rsidP="00364859">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Micropropagation protocols employing MS basal medium with BAP (0.5–4.4 µM) and low NAA achieve multiple shoot induction efficiencies exceeding 90% for varieties S-1635, S-36, K-2, and V-1 </w:t>
      </w:r>
      <w:r w:rsidR="00E67B36" w:rsidRPr="00E67B36">
        <w:rPr>
          <w:rFonts w:asciiTheme="majorBidi" w:hAnsiTheme="majorBidi" w:cstheme="majorBidi"/>
        </w:rPr>
        <w:t>(Qadir et al., 2024)</w:t>
      </w:r>
      <w:r w:rsidRPr="002C617B">
        <w:rPr>
          <w:rFonts w:asciiTheme="majorBidi" w:hAnsiTheme="majorBidi" w:cstheme="majorBidi"/>
        </w:rPr>
        <w:t xml:space="preserve">. Somatic embryogenesis remains relatively recalcitrant in mulberry; however, colchicine-mediated polyploidy induction has generated tetraploid and triploid lines with enhanced vigour and larger leaf size. Triploid induction through endosperm culture has produced plants with superior leaf yield characteristics </w:t>
      </w:r>
      <w:r w:rsidR="00364859" w:rsidRPr="00364859">
        <w:rPr>
          <w:rFonts w:asciiTheme="majorBidi" w:hAnsiTheme="majorBidi" w:cstheme="majorBidi"/>
        </w:rPr>
        <w:t>(</w:t>
      </w:r>
      <w:proofErr w:type="spellStart"/>
      <w:r w:rsidR="00364859" w:rsidRPr="00364859">
        <w:rPr>
          <w:rFonts w:asciiTheme="majorBidi" w:hAnsiTheme="majorBidi" w:cstheme="majorBidi"/>
        </w:rPr>
        <w:t>Rafiqui</w:t>
      </w:r>
      <w:proofErr w:type="spellEnd"/>
      <w:r w:rsidR="00364859" w:rsidRPr="00364859">
        <w:rPr>
          <w:rFonts w:asciiTheme="majorBidi" w:hAnsiTheme="majorBidi" w:cstheme="majorBidi"/>
        </w:rPr>
        <w:t xml:space="preserve"> et al., 2022</w:t>
      </w:r>
      <w:r w:rsidRPr="002C617B">
        <w:rPr>
          <w:rFonts w:asciiTheme="majorBidi" w:hAnsiTheme="majorBidi" w:cstheme="majorBidi"/>
        </w:rPr>
        <w:t xml:space="preserve">; </w:t>
      </w:r>
      <w:r w:rsidR="00CB6A83" w:rsidRPr="00CB6A83">
        <w:rPr>
          <w:rFonts w:asciiTheme="majorBidi" w:hAnsiTheme="majorBidi" w:cstheme="majorBidi"/>
        </w:rPr>
        <w:t>Sarkar et al., 2018)</w:t>
      </w:r>
      <w:r w:rsidRPr="002C617B">
        <w:rPr>
          <w:rFonts w:asciiTheme="majorBidi" w:hAnsiTheme="majorBidi" w:cstheme="majorBidi"/>
        </w:rPr>
        <w:t>.</w:t>
      </w:r>
    </w:p>
    <w:p w14:paraId="41230FEF" w14:textId="77777777" w:rsidR="004B37A0" w:rsidRPr="002C617B" w:rsidRDefault="00156A5D" w:rsidP="002C617B">
      <w:pPr>
        <w:spacing w:before="300" w:after="100" w:line="276" w:lineRule="auto"/>
        <w:jc w:val="center"/>
        <w:rPr>
          <w:rFonts w:asciiTheme="majorBidi" w:hAnsiTheme="majorBidi" w:cstheme="majorBidi"/>
        </w:rPr>
      </w:pPr>
      <w:r w:rsidRPr="002C617B">
        <w:rPr>
          <w:rFonts w:asciiTheme="majorBidi" w:hAnsiTheme="majorBidi" w:cstheme="majorBidi"/>
          <w:b/>
          <w:bCs/>
        </w:rPr>
        <w:t>Table 2. Comparative Analysis of Mulberry Propagation Methods in Sericulture</w:t>
      </w:r>
    </w:p>
    <w:tbl>
      <w:tblPr>
        <w:tblStyle w:val="TableGrid"/>
        <w:tblW w:w="9711" w:type="dxa"/>
        <w:tblLook w:val="04A0" w:firstRow="1" w:lastRow="0" w:firstColumn="1" w:lastColumn="0" w:noHBand="0" w:noVBand="1"/>
      </w:tblPr>
      <w:tblGrid>
        <w:gridCol w:w="2309"/>
        <w:gridCol w:w="1363"/>
        <w:gridCol w:w="1909"/>
        <w:gridCol w:w="1683"/>
        <w:gridCol w:w="1030"/>
        <w:gridCol w:w="1417"/>
      </w:tblGrid>
      <w:tr w:rsidR="002C617B" w:rsidRPr="002C617B" w14:paraId="61041023" w14:textId="77777777" w:rsidTr="007C244C">
        <w:tc>
          <w:tcPr>
            <w:tcW w:w="2405" w:type="dxa"/>
          </w:tcPr>
          <w:p w14:paraId="79272A9F" w14:textId="765F3333"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lastRenderedPageBreak/>
              <w:t>Method</w:t>
            </w:r>
          </w:p>
        </w:tc>
        <w:tc>
          <w:tcPr>
            <w:tcW w:w="1345" w:type="dxa"/>
          </w:tcPr>
          <w:p w14:paraId="6E9B1E0E" w14:textId="461EF0DC"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Genetic Uniformity</w:t>
            </w:r>
          </w:p>
        </w:tc>
        <w:tc>
          <w:tcPr>
            <w:tcW w:w="1883" w:type="dxa"/>
          </w:tcPr>
          <w:p w14:paraId="4FDCE882" w14:textId="3C219517"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Multiplication Rate</w:t>
            </w:r>
          </w:p>
        </w:tc>
        <w:tc>
          <w:tcPr>
            <w:tcW w:w="1661" w:type="dxa"/>
          </w:tcPr>
          <w:p w14:paraId="68D0B2F1" w14:textId="0930B71F"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Time to Establishment</w:t>
            </w:r>
          </w:p>
        </w:tc>
        <w:tc>
          <w:tcPr>
            <w:tcW w:w="1018" w:type="dxa"/>
          </w:tcPr>
          <w:p w14:paraId="296DC116" w14:textId="3C73393A"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Cost</w:t>
            </w:r>
          </w:p>
        </w:tc>
        <w:tc>
          <w:tcPr>
            <w:tcW w:w="1399" w:type="dxa"/>
          </w:tcPr>
          <w:p w14:paraId="7295344B" w14:textId="32C0E2AE"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Best Application</w:t>
            </w:r>
          </w:p>
        </w:tc>
      </w:tr>
      <w:tr w:rsidR="002C617B" w:rsidRPr="002C617B" w14:paraId="68C2E21F" w14:textId="77777777" w:rsidTr="007C244C">
        <w:tc>
          <w:tcPr>
            <w:tcW w:w="2405" w:type="dxa"/>
          </w:tcPr>
          <w:p w14:paraId="73EC085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Hardwood Cutting</w:t>
            </w:r>
          </w:p>
        </w:tc>
        <w:tc>
          <w:tcPr>
            <w:tcW w:w="1345" w:type="dxa"/>
          </w:tcPr>
          <w:p w14:paraId="41082A6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High</w:t>
            </w:r>
          </w:p>
        </w:tc>
        <w:tc>
          <w:tcPr>
            <w:tcW w:w="1883" w:type="dxa"/>
          </w:tcPr>
          <w:p w14:paraId="71505C2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Moderate (50–70 plants/mother)</w:t>
            </w:r>
          </w:p>
        </w:tc>
        <w:tc>
          <w:tcPr>
            <w:tcW w:w="1661" w:type="dxa"/>
          </w:tcPr>
          <w:p w14:paraId="32EC4C1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3–4 months</w:t>
            </w:r>
          </w:p>
        </w:tc>
        <w:tc>
          <w:tcPr>
            <w:tcW w:w="1018" w:type="dxa"/>
          </w:tcPr>
          <w:p w14:paraId="2E2FD504"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Low</w:t>
            </w:r>
          </w:p>
        </w:tc>
        <w:tc>
          <w:tcPr>
            <w:tcW w:w="1399" w:type="dxa"/>
          </w:tcPr>
          <w:p w14:paraId="7C0BB8F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Large-scale plantation</w:t>
            </w:r>
          </w:p>
        </w:tc>
      </w:tr>
      <w:tr w:rsidR="002C617B" w:rsidRPr="002C617B" w14:paraId="0E4EAB8B" w14:textId="77777777" w:rsidTr="007C244C">
        <w:tc>
          <w:tcPr>
            <w:tcW w:w="2405" w:type="dxa"/>
          </w:tcPr>
          <w:p w14:paraId="1769A0B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Grafting / Budding</w:t>
            </w:r>
          </w:p>
        </w:tc>
        <w:tc>
          <w:tcPr>
            <w:tcW w:w="1345" w:type="dxa"/>
          </w:tcPr>
          <w:p w14:paraId="4A487EE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High</w:t>
            </w:r>
          </w:p>
        </w:tc>
        <w:tc>
          <w:tcPr>
            <w:tcW w:w="1883" w:type="dxa"/>
          </w:tcPr>
          <w:p w14:paraId="5025E99F" w14:textId="77777777" w:rsidR="007C244C" w:rsidRDefault="00156A5D" w:rsidP="002C617B">
            <w:pPr>
              <w:spacing w:line="276" w:lineRule="auto"/>
              <w:jc w:val="both"/>
              <w:rPr>
                <w:rFonts w:asciiTheme="majorBidi" w:hAnsiTheme="majorBidi" w:cstheme="majorBidi"/>
              </w:rPr>
            </w:pPr>
            <w:r w:rsidRPr="002C617B">
              <w:rPr>
                <w:rFonts w:asciiTheme="majorBidi" w:hAnsiTheme="majorBidi" w:cstheme="majorBidi"/>
              </w:rPr>
              <w:t xml:space="preserve">Low </w:t>
            </w:r>
          </w:p>
          <w:p w14:paraId="5A3A2522" w14:textId="2FFE76F2"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 xml:space="preserve">(1:1 </w:t>
            </w:r>
            <w:proofErr w:type="spellStart"/>
            <w:proofErr w:type="gramStart"/>
            <w:r w:rsidRPr="002C617B">
              <w:rPr>
                <w:rFonts w:asciiTheme="majorBidi" w:hAnsiTheme="majorBidi" w:cstheme="majorBidi"/>
              </w:rPr>
              <w:t>scion:stock</w:t>
            </w:r>
            <w:proofErr w:type="spellEnd"/>
            <w:proofErr w:type="gramEnd"/>
            <w:r w:rsidRPr="002C617B">
              <w:rPr>
                <w:rFonts w:asciiTheme="majorBidi" w:hAnsiTheme="majorBidi" w:cstheme="majorBidi"/>
              </w:rPr>
              <w:t>)</w:t>
            </w:r>
          </w:p>
        </w:tc>
        <w:tc>
          <w:tcPr>
            <w:tcW w:w="1661" w:type="dxa"/>
          </w:tcPr>
          <w:p w14:paraId="03AF7DCB"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4–6 months</w:t>
            </w:r>
          </w:p>
        </w:tc>
        <w:tc>
          <w:tcPr>
            <w:tcW w:w="1018" w:type="dxa"/>
          </w:tcPr>
          <w:p w14:paraId="7E79928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Medium</w:t>
            </w:r>
          </w:p>
        </w:tc>
        <w:tc>
          <w:tcPr>
            <w:tcW w:w="1399" w:type="dxa"/>
          </w:tcPr>
          <w:p w14:paraId="18F87289"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Rootstock advantage zones</w:t>
            </w:r>
          </w:p>
        </w:tc>
      </w:tr>
      <w:tr w:rsidR="002C617B" w:rsidRPr="002C617B" w14:paraId="29A7C17C" w14:textId="77777777" w:rsidTr="007C244C">
        <w:tc>
          <w:tcPr>
            <w:tcW w:w="2405" w:type="dxa"/>
          </w:tcPr>
          <w:p w14:paraId="7B17A8B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Air Layering</w:t>
            </w:r>
          </w:p>
        </w:tc>
        <w:tc>
          <w:tcPr>
            <w:tcW w:w="1345" w:type="dxa"/>
          </w:tcPr>
          <w:p w14:paraId="55AF8D2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High</w:t>
            </w:r>
          </w:p>
        </w:tc>
        <w:tc>
          <w:tcPr>
            <w:tcW w:w="1883" w:type="dxa"/>
          </w:tcPr>
          <w:p w14:paraId="4AC6FEF0"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Very low</w:t>
            </w:r>
          </w:p>
        </w:tc>
        <w:tc>
          <w:tcPr>
            <w:tcW w:w="1661" w:type="dxa"/>
          </w:tcPr>
          <w:p w14:paraId="4F2F1AF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2–3 months</w:t>
            </w:r>
          </w:p>
        </w:tc>
        <w:tc>
          <w:tcPr>
            <w:tcW w:w="1018" w:type="dxa"/>
          </w:tcPr>
          <w:p w14:paraId="5D2B925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Medium</w:t>
            </w:r>
          </w:p>
        </w:tc>
        <w:tc>
          <w:tcPr>
            <w:tcW w:w="1399" w:type="dxa"/>
          </w:tcPr>
          <w:p w14:paraId="6B9AB89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High-value clone rescue</w:t>
            </w:r>
          </w:p>
        </w:tc>
      </w:tr>
      <w:tr w:rsidR="002C617B" w:rsidRPr="002C617B" w14:paraId="4FAD8F30" w14:textId="77777777" w:rsidTr="007C244C">
        <w:tc>
          <w:tcPr>
            <w:tcW w:w="2405" w:type="dxa"/>
          </w:tcPr>
          <w:p w14:paraId="23B6830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Mini Clonal Technology (MCT)</w:t>
            </w:r>
          </w:p>
        </w:tc>
        <w:tc>
          <w:tcPr>
            <w:tcW w:w="1345" w:type="dxa"/>
          </w:tcPr>
          <w:p w14:paraId="2BCE246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Very High</w:t>
            </w:r>
          </w:p>
        </w:tc>
        <w:tc>
          <w:tcPr>
            <w:tcW w:w="1883" w:type="dxa"/>
          </w:tcPr>
          <w:p w14:paraId="1E572A0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Very high (thousands/cycle)</w:t>
            </w:r>
          </w:p>
        </w:tc>
        <w:tc>
          <w:tcPr>
            <w:tcW w:w="1661" w:type="dxa"/>
          </w:tcPr>
          <w:p w14:paraId="10F3571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1.5–2.5 months</w:t>
            </w:r>
          </w:p>
        </w:tc>
        <w:tc>
          <w:tcPr>
            <w:tcW w:w="1018" w:type="dxa"/>
          </w:tcPr>
          <w:p w14:paraId="6261927B"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Low–Medium</w:t>
            </w:r>
          </w:p>
        </w:tc>
        <w:tc>
          <w:tcPr>
            <w:tcW w:w="1399" w:type="dxa"/>
          </w:tcPr>
          <w:p w14:paraId="543D533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Commercial scale-up</w:t>
            </w:r>
          </w:p>
        </w:tc>
      </w:tr>
      <w:tr w:rsidR="002C617B" w:rsidRPr="002C617B" w14:paraId="5A5D38C4" w14:textId="77777777" w:rsidTr="007C244C">
        <w:tc>
          <w:tcPr>
            <w:tcW w:w="2405" w:type="dxa"/>
          </w:tcPr>
          <w:p w14:paraId="505AFF1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Tissue Culture (Micropropagation)</w:t>
            </w:r>
          </w:p>
        </w:tc>
        <w:tc>
          <w:tcPr>
            <w:tcW w:w="1345" w:type="dxa"/>
          </w:tcPr>
          <w:p w14:paraId="4DF95A0B"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Very High</w:t>
            </w:r>
          </w:p>
        </w:tc>
        <w:tc>
          <w:tcPr>
            <w:tcW w:w="1883" w:type="dxa"/>
          </w:tcPr>
          <w:p w14:paraId="72002A6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Extremely high</w:t>
            </w:r>
          </w:p>
        </w:tc>
        <w:tc>
          <w:tcPr>
            <w:tcW w:w="1661" w:type="dxa"/>
          </w:tcPr>
          <w:p w14:paraId="0B681D39"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3–5 months (lab + hardening)</w:t>
            </w:r>
          </w:p>
        </w:tc>
        <w:tc>
          <w:tcPr>
            <w:tcW w:w="1018" w:type="dxa"/>
          </w:tcPr>
          <w:p w14:paraId="3435B8C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High</w:t>
            </w:r>
          </w:p>
        </w:tc>
        <w:tc>
          <w:tcPr>
            <w:tcW w:w="1399" w:type="dxa"/>
          </w:tcPr>
          <w:p w14:paraId="0BFF409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Virus-free stock, rare genotypes</w:t>
            </w:r>
          </w:p>
        </w:tc>
      </w:tr>
      <w:tr w:rsidR="002C617B" w:rsidRPr="002C617B" w14:paraId="1F102359" w14:textId="77777777" w:rsidTr="007C244C">
        <w:tc>
          <w:tcPr>
            <w:tcW w:w="2405" w:type="dxa"/>
          </w:tcPr>
          <w:p w14:paraId="4557B09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Seed Propagation</w:t>
            </w:r>
          </w:p>
        </w:tc>
        <w:tc>
          <w:tcPr>
            <w:tcW w:w="1345" w:type="dxa"/>
          </w:tcPr>
          <w:p w14:paraId="501E4E39"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Low (genetically variable)</w:t>
            </w:r>
          </w:p>
        </w:tc>
        <w:tc>
          <w:tcPr>
            <w:tcW w:w="1883" w:type="dxa"/>
          </w:tcPr>
          <w:p w14:paraId="35ABB17B"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High</w:t>
            </w:r>
          </w:p>
        </w:tc>
        <w:tc>
          <w:tcPr>
            <w:tcW w:w="1661" w:type="dxa"/>
          </w:tcPr>
          <w:p w14:paraId="16C48E2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6–12 months</w:t>
            </w:r>
          </w:p>
        </w:tc>
        <w:tc>
          <w:tcPr>
            <w:tcW w:w="1018" w:type="dxa"/>
          </w:tcPr>
          <w:p w14:paraId="0D8F540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Very Low</w:t>
            </w:r>
          </w:p>
        </w:tc>
        <w:tc>
          <w:tcPr>
            <w:tcW w:w="1399" w:type="dxa"/>
          </w:tcPr>
          <w:p w14:paraId="4E9757C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Breeding crosses only</w:t>
            </w:r>
          </w:p>
        </w:tc>
      </w:tr>
    </w:tbl>
    <w:p w14:paraId="4928D8EF" w14:textId="3E5D3DE9" w:rsidR="004B37A0" w:rsidRPr="002C617B" w:rsidRDefault="00156A5D" w:rsidP="00364859">
      <w:pPr>
        <w:spacing w:before="60" w:after="180" w:line="276" w:lineRule="auto"/>
        <w:jc w:val="both"/>
        <w:rPr>
          <w:rFonts w:asciiTheme="majorBidi" w:hAnsiTheme="majorBidi" w:cstheme="majorBidi"/>
        </w:rPr>
      </w:pPr>
      <w:r w:rsidRPr="002C617B">
        <w:rPr>
          <w:rFonts w:asciiTheme="majorBidi" w:hAnsiTheme="majorBidi" w:cstheme="majorBidi"/>
          <w:i/>
          <w:iCs/>
        </w:rPr>
        <w:t xml:space="preserve">Source: Compiled from Bharathi et al. (2024); </w:t>
      </w:r>
      <w:r w:rsidR="00364859" w:rsidRPr="00364859">
        <w:rPr>
          <w:rFonts w:asciiTheme="majorBidi" w:hAnsiTheme="majorBidi" w:cstheme="majorBidi"/>
          <w:i/>
          <w:iCs/>
        </w:rPr>
        <w:t xml:space="preserve">Bharathi et al. </w:t>
      </w:r>
      <w:r w:rsidR="00364859">
        <w:rPr>
          <w:rFonts w:asciiTheme="majorBidi" w:hAnsiTheme="majorBidi" w:cstheme="majorBidi"/>
          <w:i/>
          <w:iCs/>
        </w:rPr>
        <w:t>(</w:t>
      </w:r>
      <w:r w:rsidR="00364859" w:rsidRPr="00364859">
        <w:rPr>
          <w:rFonts w:asciiTheme="majorBidi" w:hAnsiTheme="majorBidi" w:cstheme="majorBidi"/>
          <w:i/>
          <w:iCs/>
        </w:rPr>
        <w:t>2024)</w:t>
      </w:r>
      <w:r w:rsidRPr="002C617B">
        <w:rPr>
          <w:rFonts w:asciiTheme="majorBidi" w:hAnsiTheme="majorBidi" w:cstheme="majorBidi"/>
          <w:i/>
          <w:iCs/>
        </w:rPr>
        <w:t xml:space="preserve">; </w:t>
      </w:r>
      <w:r w:rsidR="00CB6A83" w:rsidRPr="00CB6A83">
        <w:rPr>
          <w:rFonts w:asciiTheme="majorBidi" w:hAnsiTheme="majorBidi" w:cstheme="majorBidi"/>
          <w:i/>
          <w:iCs/>
        </w:rPr>
        <w:t>Aziz et al. (2020)</w:t>
      </w:r>
      <w:r w:rsidRPr="002C617B">
        <w:rPr>
          <w:rFonts w:asciiTheme="majorBidi" w:hAnsiTheme="majorBidi" w:cstheme="majorBidi"/>
          <w:i/>
          <w:iCs/>
        </w:rPr>
        <w:t xml:space="preserve">; </w:t>
      </w:r>
      <w:r w:rsidR="00E67B36" w:rsidRPr="00E67B36">
        <w:rPr>
          <w:rFonts w:asciiTheme="majorBidi" w:hAnsiTheme="majorBidi" w:cstheme="majorBidi"/>
          <w:i/>
          <w:iCs/>
        </w:rPr>
        <w:t>Qadir et al. (2024)</w:t>
      </w:r>
      <w:r w:rsidRPr="002C617B">
        <w:rPr>
          <w:rFonts w:asciiTheme="majorBidi" w:hAnsiTheme="majorBidi" w:cstheme="majorBidi"/>
          <w:i/>
          <w:iCs/>
        </w:rPr>
        <w:t>.</w:t>
      </w:r>
    </w:p>
    <w:p w14:paraId="3F172D3A"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4. Genetic and Genomic Improvement Strategies</w:t>
      </w:r>
    </w:p>
    <w:p w14:paraId="772EF331"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4.1 Conventional Breeding and Molecular Markers</w:t>
      </w:r>
    </w:p>
    <w:p w14:paraId="5F3498EF"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Conventional mulberry breeding confronts significant challenges: its dioecious nature introduces inbreeding depression; its perennial lifecycle extends breeding cycles; and the polygenic nature of key traits reduces phenotypic selection efficiency (</w:t>
      </w:r>
      <w:proofErr w:type="spellStart"/>
      <w:r w:rsidRPr="002C617B">
        <w:rPr>
          <w:rFonts w:asciiTheme="majorBidi" w:hAnsiTheme="majorBidi" w:cstheme="majorBidi"/>
        </w:rPr>
        <w:t>Mogili</w:t>
      </w:r>
      <w:proofErr w:type="spellEnd"/>
      <w:r w:rsidRPr="002C617B">
        <w:rPr>
          <w:rFonts w:asciiTheme="majorBidi" w:hAnsiTheme="majorBidi" w:cstheme="majorBidi"/>
        </w:rPr>
        <w:t xml:space="preserve"> et al., 2023). Commercially successful varieties include S-36, S-54, RC-2, and TR-10. Molecular marker-assisted selection (MAS) using RAPD, ISSR, AFLP, SSR, and SNPs has been applied for genetic diversity assessment, cultivar fingerprinting, hybrid verification, and QTL linkage mapping (Vijayan et al., 2022). GWAS enabled by the M. notabilis genome can now identify genomic regions influencing complex traits with unprecedented resolution.</w:t>
      </w:r>
    </w:p>
    <w:p w14:paraId="7FDBE5A8"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4.2 Transgenic Approaches</w:t>
      </w:r>
    </w:p>
    <w:p w14:paraId="32066042" w14:textId="2A45830D" w:rsidR="004B37A0" w:rsidRPr="002C617B" w:rsidRDefault="00156A5D" w:rsidP="00E67B36">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Agrobacterium tumefaciens-mediated transformation has been the most widely employed method, using shoot meristems, leaf discs, and callus-derived explants </w:t>
      </w:r>
      <w:r w:rsidR="00E67B36" w:rsidRPr="00E67B36">
        <w:rPr>
          <w:rFonts w:asciiTheme="majorBidi" w:hAnsiTheme="majorBidi" w:cstheme="majorBidi"/>
        </w:rPr>
        <w:t>(Chitra et al., 2014)</w:t>
      </w:r>
      <w:r w:rsidR="00E67B36">
        <w:rPr>
          <w:rFonts w:asciiTheme="majorBidi" w:hAnsiTheme="majorBidi" w:cstheme="majorBidi"/>
        </w:rPr>
        <w:t xml:space="preserve">. </w:t>
      </w:r>
      <w:r w:rsidRPr="002C617B">
        <w:rPr>
          <w:rFonts w:asciiTheme="majorBidi" w:hAnsiTheme="majorBidi" w:cstheme="majorBidi"/>
        </w:rPr>
        <w:t>Transformation with the barley HVA1 gene under the HVA22 stress-inducible promoter significantly enhanced drought, salinity, and cold stress tolerance in transgenic plants compared to wild-type controls (Checker et al., 2012). Plastid (chloroplast) transformation offers distinct advantages including exceptionally high transgene expression levels, robust transgene containment through maternal inheritance, and absence of position effects (Vijayan et al., 2011).</w:t>
      </w:r>
    </w:p>
    <w:p w14:paraId="39A79221"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lastRenderedPageBreak/>
        <w:t>4.3 CRISPR/Cas9 and Emerging Gene Editing</w:t>
      </w:r>
    </w:p>
    <w:p w14:paraId="6C9DC0C5" w14:textId="6BC3857A" w:rsidR="004B37A0" w:rsidRPr="002C617B" w:rsidRDefault="00156A5D" w:rsidP="005F0A06">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CRISPR/Cas9-mediated genome editing in mulberry was first reported by </w:t>
      </w:r>
      <w:r w:rsidR="005F0A06" w:rsidRPr="005F0A06">
        <w:rPr>
          <w:rFonts w:asciiTheme="majorBidi" w:hAnsiTheme="majorBidi" w:cstheme="majorBidi"/>
        </w:rPr>
        <w:t>Moulidharshan et al. (2025)</w:t>
      </w:r>
      <w:r w:rsidRPr="002C617B">
        <w:rPr>
          <w:rFonts w:asciiTheme="majorBidi" w:hAnsiTheme="majorBidi" w:cstheme="majorBidi"/>
        </w:rPr>
        <w:t>, opening new frontiers in functional genomics. Applications under investigation include knockout of fungal disease susceptibility genes, modification of lignin biosynthesis pathways to improve leaf digestibility, enhancement of anthocyanins and flavonoids, and disruption of negative drought-response regulators. Multi-omics integration — combining genomics, transcriptomics, proteomics, and metabolomics — combined with CRISPR and GWAS represents the most promising framework for next-generation mulberry improvement (Biotechnological interventions in sericulture, 2025).</w:t>
      </w:r>
    </w:p>
    <w:p w14:paraId="7AF93C06" w14:textId="77777777" w:rsidR="004B37A0" w:rsidRPr="002C617B" w:rsidRDefault="00156A5D" w:rsidP="002C617B">
      <w:pPr>
        <w:spacing w:before="300" w:after="100" w:line="276" w:lineRule="auto"/>
        <w:jc w:val="center"/>
        <w:rPr>
          <w:rFonts w:asciiTheme="majorBidi" w:hAnsiTheme="majorBidi" w:cstheme="majorBidi"/>
        </w:rPr>
      </w:pPr>
      <w:r w:rsidRPr="002C617B">
        <w:rPr>
          <w:rFonts w:asciiTheme="majorBidi" w:hAnsiTheme="majorBidi" w:cstheme="majorBidi"/>
          <w:b/>
          <w:bCs/>
        </w:rPr>
        <w:t>Table 3. Key Stress-Tolerance Genes and Transgenes Characterized in Mulberry (Morus spp.)</w:t>
      </w:r>
    </w:p>
    <w:tbl>
      <w:tblPr>
        <w:tblStyle w:val="TableGrid"/>
        <w:tblW w:w="9360" w:type="dxa"/>
        <w:tblLook w:val="04A0" w:firstRow="1" w:lastRow="0" w:firstColumn="1" w:lastColumn="0" w:noHBand="0" w:noVBand="1"/>
      </w:tblPr>
      <w:tblGrid>
        <w:gridCol w:w="1700"/>
        <w:gridCol w:w="1600"/>
        <w:gridCol w:w="2000"/>
        <w:gridCol w:w="1800"/>
        <w:gridCol w:w="2260"/>
      </w:tblGrid>
      <w:tr w:rsidR="002C617B" w:rsidRPr="002C617B" w14:paraId="40B44EA0" w14:textId="77777777" w:rsidTr="002C617B">
        <w:tc>
          <w:tcPr>
            <w:tcW w:w="1700" w:type="dxa"/>
          </w:tcPr>
          <w:p w14:paraId="4680B920" w14:textId="592CA378"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Gene / Transgene</w:t>
            </w:r>
          </w:p>
        </w:tc>
        <w:tc>
          <w:tcPr>
            <w:tcW w:w="1600" w:type="dxa"/>
          </w:tcPr>
          <w:p w14:paraId="534ADFB5" w14:textId="1E96CCE5"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Source</w:t>
            </w:r>
          </w:p>
        </w:tc>
        <w:tc>
          <w:tcPr>
            <w:tcW w:w="2000" w:type="dxa"/>
          </w:tcPr>
          <w:p w14:paraId="7A750FD9" w14:textId="0530B6A3"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Stress Type</w:t>
            </w:r>
          </w:p>
        </w:tc>
        <w:tc>
          <w:tcPr>
            <w:tcW w:w="1800" w:type="dxa"/>
          </w:tcPr>
          <w:p w14:paraId="77EDE3A7" w14:textId="50794185"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Mechanism</w:t>
            </w:r>
          </w:p>
        </w:tc>
        <w:tc>
          <w:tcPr>
            <w:tcW w:w="2260" w:type="dxa"/>
          </w:tcPr>
          <w:p w14:paraId="7C436631" w14:textId="08E7A9AB"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Reference</w:t>
            </w:r>
          </w:p>
        </w:tc>
      </w:tr>
      <w:tr w:rsidR="002C617B" w:rsidRPr="002C617B" w14:paraId="21F2E110" w14:textId="77777777" w:rsidTr="002C617B">
        <w:tc>
          <w:tcPr>
            <w:tcW w:w="1700" w:type="dxa"/>
          </w:tcPr>
          <w:p w14:paraId="60392E7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HVA1</w:t>
            </w:r>
          </w:p>
        </w:tc>
        <w:tc>
          <w:tcPr>
            <w:tcW w:w="1600" w:type="dxa"/>
          </w:tcPr>
          <w:p w14:paraId="0CB832A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Barley (Hordeum vulgare)</w:t>
            </w:r>
          </w:p>
        </w:tc>
        <w:tc>
          <w:tcPr>
            <w:tcW w:w="2000" w:type="dxa"/>
          </w:tcPr>
          <w:p w14:paraId="117BAC40"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Drought, salinity, cold</w:t>
            </w:r>
          </w:p>
        </w:tc>
        <w:tc>
          <w:tcPr>
            <w:tcW w:w="1800" w:type="dxa"/>
          </w:tcPr>
          <w:p w14:paraId="508BD19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LEA protein accumulation; ROS detoxification</w:t>
            </w:r>
          </w:p>
        </w:tc>
        <w:tc>
          <w:tcPr>
            <w:tcW w:w="2260" w:type="dxa"/>
          </w:tcPr>
          <w:p w14:paraId="1EF46C7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Checker et al. (2012)</w:t>
            </w:r>
          </w:p>
        </w:tc>
      </w:tr>
      <w:tr w:rsidR="002C617B" w:rsidRPr="002C617B" w14:paraId="6EE7D815" w14:textId="77777777" w:rsidTr="002C617B">
        <w:tc>
          <w:tcPr>
            <w:tcW w:w="1700" w:type="dxa"/>
          </w:tcPr>
          <w:p w14:paraId="7DB0DAA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MnDREB4A</w:t>
            </w:r>
          </w:p>
        </w:tc>
        <w:tc>
          <w:tcPr>
            <w:tcW w:w="1600" w:type="dxa"/>
          </w:tcPr>
          <w:p w14:paraId="04C05F0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 notabilis</w:t>
            </w:r>
          </w:p>
        </w:tc>
        <w:tc>
          <w:tcPr>
            <w:tcW w:w="2000" w:type="dxa"/>
          </w:tcPr>
          <w:p w14:paraId="630B6CA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Heat, cold, drought, salt (multi-stress)</w:t>
            </w:r>
          </w:p>
        </w:tc>
        <w:tc>
          <w:tcPr>
            <w:tcW w:w="1800" w:type="dxa"/>
          </w:tcPr>
          <w:p w14:paraId="485366C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Activates CRT/DRE regulon; ABA-independent pathway</w:t>
            </w:r>
          </w:p>
        </w:tc>
        <w:tc>
          <w:tcPr>
            <w:tcW w:w="2260" w:type="dxa"/>
          </w:tcPr>
          <w:p w14:paraId="429BD284"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SWU team / PLOS ONE (2015)</w:t>
            </w:r>
          </w:p>
        </w:tc>
      </w:tr>
      <w:tr w:rsidR="002C617B" w:rsidRPr="002C617B" w14:paraId="48D46DD1" w14:textId="77777777" w:rsidTr="002C617B">
        <w:tc>
          <w:tcPr>
            <w:tcW w:w="1700" w:type="dxa"/>
          </w:tcPr>
          <w:p w14:paraId="4F599E6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miR166f</w:t>
            </w:r>
          </w:p>
        </w:tc>
        <w:tc>
          <w:tcPr>
            <w:tcW w:w="1600" w:type="dxa"/>
          </w:tcPr>
          <w:p w14:paraId="3C1FC51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 xml:space="preserve">M. </w:t>
            </w:r>
            <w:proofErr w:type="spellStart"/>
            <w:r w:rsidRPr="002C617B">
              <w:rPr>
                <w:rFonts w:asciiTheme="majorBidi" w:hAnsiTheme="majorBidi" w:cstheme="majorBidi"/>
              </w:rPr>
              <w:t>multicaulis</w:t>
            </w:r>
            <w:proofErr w:type="spellEnd"/>
          </w:p>
        </w:tc>
        <w:tc>
          <w:tcPr>
            <w:tcW w:w="2000" w:type="dxa"/>
          </w:tcPr>
          <w:p w14:paraId="29D8E91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Drought</w:t>
            </w:r>
          </w:p>
        </w:tc>
        <w:tc>
          <w:tcPr>
            <w:tcW w:w="1800" w:type="dxa"/>
          </w:tcPr>
          <w:p w14:paraId="0173A44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Post-transcriptional repression of HD-Zip TFs</w:t>
            </w:r>
          </w:p>
        </w:tc>
        <w:tc>
          <w:tcPr>
            <w:tcW w:w="2260" w:type="dxa"/>
          </w:tcPr>
          <w:p w14:paraId="4C71E7B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Li et al. (2018)</w:t>
            </w:r>
          </w:p>
        </w:tc>
      </w:tr>
      <w:tr w:rsidR="002C617B" w:rsidRPr="002C617B" w14:paraId="73A0025D" w14:textId="77777777" w:rsidTr="002C617B">
        <w:tc>
          <w:tcPr>
            <w:tcW w:w="1700" w:type="dxa"/>
          </w:tcPr>
          <w:p w14:paraId="1885D1A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MaSOS1</w:t>
            </w:r>
          </w:p>
        </w:tc>
        <w:tc>
          <w:tcPr>
            <w:tcW w:w="1600" w:type="dxa"/>
          </w:tcPr>
          <w:p w14:paraId="60C8CEA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 alba</w:t>
            </w:r>
          </w:p>
        </w:tc>
        <w:tc>
          <w:tcPr>
            <w:tcW w:w="2000" w:type="dxa"/>
          </w:tcPr>
          <w:p w14:paraId="12ABE3F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Salinity</w:t>
            </w:r>
          </w:p>
        </w:tc>
        <w:tc>
          <w:tcPr>
            <w:tcW w:w="1800" w:type="dxa"/>
          </w:tcPr>
          <w:p w14:paraId="6755164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Na⁺/H⁺ antiporter; ion homeostasis</w:t>
            </w:r>
          </w:p>
        </w:tc>
        <w:tc>
          <w:tcPr>
            <w:tcW w:w="2260" w:type="dxa"/>
          </w:tcPr>
          <w:p w14:paraId="4645822E" w14:textId="54CB93D5" w:rsidR="004B37A0" w:rsidRPr="002C617B" w:rsidRDefault="00CB6A83" w:rsidP="00CB6A83">
            <w:pPr>
              <w:spacing w:line="276" w:lineRule="auto"/>
              <w:jc w:val="both"/>
              <w:rPr>
                <w:rFonts w:asciiTheme="majorBidi" w:hAnsiTheme="majorBidi" w:cstheme="majorBidi"/>
              </w:rPr>
            </w:pPr>
            <w:r w:rsidRPr="00CB6A83">
              <w:rPr>
                <w:rFonts w:asciiTheme="majorBidi" w:hAnsiTheme="majorBidi" w:cstheme="majorBidi"/>
              </w:rPr>
              <w:t>(Lu et al., 2017)</w:t>
            </w:r>
          </w:p>
        </w:tc>
      </w:tr>
      <w:tr w:rsidR="002C617B" w:rsidRPr="002C617B" w14:paraId="6FE5099E" w14:textId="77777777" w:rsidTr="002C617B">
        <w:tc>
          <w:tcPr>
            <w:tcW w:w="1700" w:type="dxa"/>
          </w:tcPr>
          <w:p w14:paraId="5C8799F4"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MnWRKY20</w:t>
            </w:r>
          </w:p>
        </w:tc>
        <w:tc>
          <w:tcPr>
            <w:tcW w:w="1600" w:type="dxa"/>
          </w:tcPr>
          <w:p w14:paraId="5929FC5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 notabilis</w:t>
            </w:r>
          </w:p>
        </w:tc>
        <w:tc>
          <w:tcPr>
            <w:tcW w:w="2000" w:type="dxa"/>
          </w:tcPr>
          <w:p w14:paraId="3AC228C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Drought, pathogen defence</w:t>
            </w:r>
          </w:p>
        </w:tc>
        <w:tc>
          <w:tcPr>
            <w:tcW w:w="1800" w:type="dxa"/>
          </w:tcPr>
          <w:p w14:paraId="45A3940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WRKY TF; stomatal regulation &amp; PR gene induction</w:t>
            </w:r>
          </w:p>
        </w:tc>
        <w:tc>
          <w:tcPr>
            <w:tcW w:w="2260" w:type="dxa"/>
          </w:tcPr>
          <w:p w14:paraId="2F73287D" w14:textId="4185D321" w:rsidR="004B37A0" w:rsidRPr="002C617B" w:rsidRDefault="008A52D5" w:rsidP="008A52D5">
            <w:pPr>
              <w:spacing w:line="276" w:lineRule="auto"/>
              <w:jc w:val="both"/>
              <w:rPr>
                <w:rFonts w:asciiTheme="majorBidi" w:hAnsiTheme="majorBidi" w:cstheme="majorBidi"/>
              </w:rPr>
            </w:pPr>
            <w:r w:rsidRPr="008A52D5">
              <w:rPr>
                <w:rFonts w:asciiTheme="majorBidi" w:hAnsiTheme="majorBidi" w:cstheme="majorBidi"/>
              </w:rPr>
              <w:t>He et al. (2013)</w:t>
            </w:r>
          </w:p>
        </w:tc>
      </w:tr>
      <w:tr w:rsidR="002C617B" w:rsidRPr="002C617B" w14:paraId="7BFA3B06" w14:textId="77777777" w:rsidTr="002C617B">
        <w:tc>
          <w:tcPr>
            <w:tcW w:w="1700" w:type="dxa"/>
          </w:tcPr>
          <w:p w14:paraId="40AED3C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CHS / CHI genes</w:t>
            </w:r>
          </w:p>
        </w:tc>
        <w:tc>
          <w:tcPr>
            <w:tcW w:w="1600" w:type="dxa"/>
          </w:tcPr>
          <w:p w14:paraId="0E0064C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 alba</w:t>
            </w:r>
          </w:p>
        </w:tc>
        <w:tc>
          <w:tcPr>
            <w:tcW w:w="2000" w:type="dxa"/>
          </w:tcPr>
          <w:p w14:paraId="4026B8B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UV stress, fungal attack</w:t>
            </w:r>
          </w:p>
        </w:tc>
        <w:tc>
          <w:tcPr>
            <w:tcW w:w="1800" w:type="dxa"/>
          </w:tcPr>
          <w:p w14:paraId="2889854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Flavonoid biosynthesis; anthocyanin accumulation</w:t>
            </w:r>
          </w:p>
        </w:tc>
        <w:tc>
          <w:tcPr>
            <w:tcW w:w="2260" w:type="dxa"/>
          </w:tcPr>
          <w:p w14:paraId="3ECA8FC4" w14:textId="1C73FAA4" w:rsidR="004B37A0" w:rsidRPr="002C617B" w:rsidRDefault="00364859" w:rsidP="00364859">
            <w:pPr>
              <w:spacing w:line="276" w:lineRule="auto"/>
              <w:jc w:val="both"/>
              <w:rPr>
                <w:rFonts w:asciiTheme="majorBidi" w:hAnsiTheme="majorBidi" w:cstheme="majorBidi"/>
              </w:rPr>
            </w:pPr>
            <w:r w:rsidRPr="00364859">
              <w:rPr>
                <w:rFonts w:asciiTheme="majorBidi" w:hAnsiTheme="majorBidi" w:cstheme="majorBidi"/>
              </w:rPr>
              <w:t>Chao et al. (2021)</w:t>
            </w:r>
          </w:p>
        </w:tc>
      </w:tr>
    </w:tbl>
    <w:p w14:paraId="49B759CD" w14:textId="77E68D98" w:rsidR="004B37A0" w:rsidRPr="002C617B" w:rsidRDefault="00156A5D" w:rsidP="008A52D5">
      <w:pPr>
        <w:spacing w:before="60" w:after="180" w:line="276" w:lineRule="auto"/>
        <w:jc w:val="both"/>
        <w:rPr>
          <w:rFonts w:asciiTheme="majorBidi" w:hAnsiTheme="majorBidi" w:cstheme="majorBidi"/>
        </w:rPr>
      </w:pPr>
      <w:r w:rsidRPr="002C617B">
        <w:rPr>
          <w:rFonts w:asciiTheme="majorBidi" w:hAnsiTheme="majorBidi" w:cstheme="majorBidi"/>
          <w:i/>
          <w:iCs/>
        </w:rPr>
        <w:t xml:space="preserve">Source: Compiled from Checker et al. (2012); Li et al. (2018); </w:t>
      </w:r>
      <w:r w:rsidR="008A52D5" w:rsidRPr="008A52D5">
        <w:rPr>
          <w:rFonts w:asciiTheme="majorBidi" w:hAnsiTheme="majorBidi" w:cstheme="majorBidi"/>
          <w:i/>
          <w:iCs/>
        </w:rPr>
        <w:t>He et al. (2013)</w:t>
      </w:r>
      <w:r w:rsidRPr="002C617B">
        <w:rPr>
          <w:rFonts w:asciiTheme="majorBidi" w:hAnsiTheme="majorBidi" w:cstheme="majorBidi"/>
          <w:i/>
          <w:iCs/>
        </w:rPr>
        <w:t xml:space="preserve">; </w:t>
      </w:r>
      <w:r w:rsidR="00364859" w:rsidRPr="00364859">
        <w:rPr>
          <w:rFonts w:asciiTheme="majorBidi" w:hAnsiTheme="majorBidi" w:cstheme="majorBidi"/>
          <w:i/>
          <w:iCs/>
        </w:rPr>
        <w:t>Chao et al. (2021)</w:t>
      </w:r>
      <w:r w:rsidRPr="002C617B">
        <w:rPr>
          <w:rFonts w:asciiTheme="majorBidi" w:hAnsiTheme="majorBidi" w:cstheme="majorBidi"/>
          <w:i/>
          <w:iCs/>
        </w:rPr>
        <w:t>; SWU PLOS ONE (2015).</w:t>
      </w:r>
    </w:p>
    <w:p w14:paraId="19FCFACC"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lastRenderedPageBreak/>
        <w:t>5. Abiotic and Biotic Stress Tolerance</w:t>
      </w:r>
    </w:p>
    <w:p w14:paraId="192E181D"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5.1 Drought and Salinity Stress</w:t>
      </w:r>
    </w:p>
    <w:p w14:paraId="185FC643" w14:textId="7C59A4D0" w:rsidR="004B37A0" w:rsidRPr="002C617B" w:rsidRDefault="00156A5D" w:rsidP="00CB6A83">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Drought and salinity are the two abiotic constraints with greatest global impact on mulberry productivity. Guha et al. (2010) identified differential antioxidative responses among five M. alba cultivars under water stress, demonstrating that cultivar-specific differences in superoxide dismutase, catalase, ascorbate peroxidase, and proline accumulation underpin variation in drought tolerance. The landmark genomic framework by Vijayan et al. (2022) highlighted the utility of QTL mapping, GWAS, and genomic selection for traits including water use efficiency, root architecture, stomatal density, and osmotic adjustment. Salinity tolerance research has identified key sodium transporter genes (MaSOS1) responsible for Na⁺/H⁺ antiporter-mediated ion homeostasis </w:t>
      </w:r>
      <w:r w:rsidR="00CB6A83" w:rsidRPr="00CB6A83">
        <w:rPr>
          <w:rFonts w:asciiTheme="majorBidi" w:hAnsiTheme="majorBidi" w:cstheme="majorBidi"/>
        </w:rPr>
        <w:t>(Lu et al., 2017)</w:t>
      </w:r>
      <w:r w:rsidRPr="002C617B">
        <w:rPr>
          <w:rFonts w:asciiTheme="majorBidi" w:hAnsiTheme="majorBidi" w:cstheme="majorBidi"/>
        </w:rPr>
        <w:t>.</w:t>
      </w:r>
    </w:p>
    <w:p w14:paraId="2D45B4E2"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5.2 Cold and Temperature Stress</w:t>
      </w:r>
    </w:p>
    <w:p w14:paraId="663912F2"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Cold stress restricts the mulberry growing season in temperate and high-altitude zones. Molecular mechanisms of cold acclimation involve the CBF/DREB1 regulon, membrane lipid desaturation, cryoprotective protein accumulation, and carbohydrate remodelling (Khurana and Checker, 2011). The dual heat-and-cold responsiveness of MnDREB4A — demonstrating induction at 12 hours post-stress — suggests that engineering enhanced expression of broad-spectrum stress regulators offers a viable pathway to multi-stress tolerance in commercial cultivars.</w:t>
      </w:r>
    </w:p>
    <w:p w14:paraId="3698CDBE"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5.3 Biotic Stress: Diseases and Pests</w:t>
      </w:r>
    </w:p>
    <w:p w14:paraId="1F19C738"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Powdery mildew (</w:t>
      </w:r>
      <w:proofErr w:type="spellStart"/>
      <w:r w:rsidRPr="007C244C">
        <w:rPr>
          <w:rFonts w:asciiTheme="majorBidi" w:hAnsiTheme="majorBidi" w:cstheme="majorBidi"/>
          <w:i/>
          <w:iCs/>
        </w:rPr>
        <w:t>Phyllactinia</w:t>
      </w:r>
      <w:proofErr w:type="spellEnd"/>
      <w:r w:rsidRPr="007C244C">
        <w:rPr>
          <w:rFonts w:asciiTheme="majorBidi" w:hAnsiTheme="majorBidi" w:cstheme="majorBidi"/>
          <w:i/>
          <w:iCs/>
        </w:rPr>
        <w:t xml:space="preserve"> </w:t>
      </w:r>
      <w:proofErr w:type="spellStart"/>
      <w:r w:rsidRPr="007C244C">
        <w:rPr>
          <w:rFonts w:asciiTheme="majorBidi" w:hAnsiTheme="majorBidi" w:cstheme="majorBidi"/>
          <w:i/>
          <w:iCs/>
        </w:rPr>
        <w:t>corylea</w:t>
      </w:r>
      <w:proofErr w:type="spellEnd"/>
      <w:r w:rsidRPr="002C617B">
        <w:rPr>
          <w:rFonts w:asciiTheme="majorBidi" w:hAnsiTheme="majorBidi" w:cstheme="majorBidi"/>
        </w:rPr>
        <w:t>), leaf spot (</w:t>
      </w:r>
      <w:proofErr w:type="spellStart"/>
      <w:r w:rsidRPr="007C244C">
        <w:rPr>
          <w:rFonts w:asciiTheme="majorBidi" w:hAnsiTheme="majorBidi" w:cstheme="majorBidi"/>
          <w:i/>
          <w:iCs/>
        </w:rPr>
        <w:t>Cercospora</w:t>
      </w:r>
      <w:proofErr w:type="spellEnd"/>
      <w:r w:rsidRPr="007C244C">
        <w:rPr>
          <w:rFonts w:asciiTheme="majorBidi" w:hAnsiTheme="majorBidi" w:cstheme="majorBidi"/>
          <w:i/>
          <w:iCs/>
        </w:rPr>
        <w:t xml:space="preserve"> spp</w:t>
      </w:r>
      <w:r w:rsidRPr="002C617B">
        <w:rPr>
          <w:rFonts w:asciiTheme="majorBidi" w:hAnsiTheme="majorBidi" w:cstheme="majorBidi"/>
        </w:rPr>
        <w:t>.), root rot (</w:t>
      </w:r>
      <w:r w:rsidRPr="007C244C">
        <w:rPr>
          <w:rFonts w:asciiTheme="majorBidi" w:hAnsiTheme="majorBidi" w:cstheme="majorBidi"/>
          <w:i/>
          <w:iCs/>
        </w:rPr>
        <w:t>Fusarium spp</w:t>
      </w:r>
      <w:r w:rsidRPr="002C617B">
        <w:rPr>
          <w:rFonts w:asciiTheme="majorBidi" w:hAnsiTheme="majorBidi" w:cstheme="majorBidi"/>
        </w:rPr>
        <w:t xml:space="preserve">., Phytophthora spp.), bacterial blight </w:t>
      </w:r>
      <w:r w:rsidRPr="007C244C">
        <w:rPr>
          <w:rFonts w:asciiTheme="majorBidi" w:hAnsiTheme="majorBidi" w:cstheme="majorBidi"/>
          <w:i/>
          <w:iCs/>
        </w:rPr>
        <w:t xml:space="preserve">(Pseudomonas </w:t>
      </w:r>
      <w:proofErr w:type="spellStart"/>
      <w:r w:rsidRPr="007C244C">
        <w:rPr>
          <w:rFonts w:asciiTheme="majorBidi" w:hAnsiTheme="majorBidi" w:cstheme="majorBidi"/>
          <w:i/>
          <w:iCs/>
        </w:rPr>
        <w:t>syringae</w:t>
      </w:r>
      <w:proofErr w:type="spellEnd"/>
      <w:r w:rsidRPr="002C617B">
        <w:rPr>
          <w:rFonts w:asciiTheme="majorBidi" w:hAnsiTheme="majorBidi" w:cstheme="majorBidi"/>
        </w:rPr>
        <w:t xml:space="preserve"> </w:t>
      </w:r>
      <w:proofErr w:type="spellStart"/>
      <w:r w:rsidRPr="002C617B">
        <w:rPr>
          <w:rFonts w:asciiTheme="majorBidi" w:hAnsiTheme="majorBidi" w:cstheme="majorBidi"/>
        </w:rPr>
        <w:t>pv</w:t>
      </w:r>
      <w:proofErr w:type="spellEnd"/>
      <w:r w:rsidRPr="002C617B">
        <w:rPr>
          <w:rFonts w:asciiTheme="majorBidi" w:hAnsiTheme="majorBidi" w:cstheme="majorBidi"/>
        </w:rPr>
        <w:t>. mori), and root-knot nematode (</w:t>
      </w:r>
      <w:r w:rsidRPr="007C244C">
        <w:rPr>
          <w:rFonts w:asciiTheme="majorBidi" w:hAnsiTheme="majorBidi" w:cstheme="majorBidi"/>
          <w:i/>
          <w:iCs/>
        </w:rPr>
        <w:t>Meloidogyne incognita</w:t>
      </w:r>
      <w:r w:rsidRPr="002C617B">
        <w:rPr>
          <w:rFonts w:asciiTheme="majorBidi" w:hAnsiTheme="majorBidi" w:cstheme="majorBidi"/>
        </w:rPr>
        <w:t>) represent the primary biotic threats to mulberry gardens (Baruah and Borthakur, 2024). Transgenic approaches using PR proteins, chitinase, and β-1,3-glucanase genes have been explored, though regulatory constraints limit commercial deployment (Feng et al., 2021). Biological control, biopesticides, and disease-forecasting systems integrated with precision spraying are gaining attention as sustainable alternatives.</w:t>
      </w:r>
    </w:p>
    <w:p w14:paraId="3AFC76FA"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6. Nutrient Management and Integrated Cropping Systems</w:t>
      </w:r>
    </w:p>
    <w:p w14:paraId="026D212D"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6.1 Organic and Integrated Fertilization</w:t>
      </w:r>
    </w:p>
    <w:p w14:paraId="2F9E7259" w14:textId="7FBB1075" w:rsidR="004B37A0" w:rsidRPr="002C617B" w:rsidRDefault="00156A5D" w:rsidP="008A52D5">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A comprehensive field study </w:t>
      </w:r>
      <w:r w:rsidR="00E74C03" w:rsidRPr="00E74C03">
        <w:rPr>
          <w:rFonts w:asciiTheme="majorBidi" w:hAnsiTheme="majorBidi" w:cstheme="majorBidi"/>
        </w:rPr>
        <w:t>(Ahammed et al., 2025)</w:t>
      </w:r>
      <w:r w:rsidRPr="002C617B">
        <w:rPr>
          <w:rFonts w:asciiTheme="majorBidi" w:hAnsiTheme="majorBidi" w:cstheme="majorBidi"/>
        </w:rPr>
        <w:t xml:space="preserve"> evaluated the effects of cow dung, vermicompost, and their combination with recommended NPK on three M. alba varieties. The combined organic treatment achieved the highest leaf yield of 116.6 t/ha/year, significantly exceeding NPK-only treatment while also improving chlorophyll content, soluble proteins, total soil carbon, available phosphorus, and beneficial microbial community structure. Vermicompost produced from sericultural farm residues contains 1.8–2.0% nitrogen, 0.6–0.9% phosphorus, and </w:t>
      </w:r>
      <w:r w:rsidRPr="002C617B">
        <w:rPr>
          <w:rFonts w:asciiTheme="majorBidi" w:hAnsiTheme="majorBidi" w:cstheme="majorBidi"/>
        </w:rPr>
        <w:lastRenderedPageBreak/>
        <w:t xml:space="preserve">1.0–1.5% potassium — providing a balanced slow-release nutrient profile that enhances soil biological activity and leaf quality </w:t>
      </w:r>
      <w:r w:rsidR="008A52D5" w:rsidRPr="008A52D5">
        <w:rPr>
          <w:rFonts w:asciiTheme="majorBidi" w:hAnsiTheme="majorBidi" w:cstheme="majorBidi"/>
        </w:rPr>
        <w:t>(Pandey, 2019)</w:t>
      </w:r>
      <w:r w:rsidRPr="002C617B">
        <w:rPr>
          <w:rFonts w:asciiTheme="majorBidi" w:hAnsiTheme="majorBidi" w:cstheme="majorBidi"/>
        </w:rPr>
        <w:t>.</w:t>
      </w:r>
    </w:p>
    <w:p w14:paraId="6C95803F" w14:textId="77777777" w:rsidR="004B37A0" w:rsidRPr="002C617B" w:rsidRDefault="00156A5D" w:rsidP="002C617B">
      <w:pPr>
        <w:spacing w:before="300" w:after="100" w:line="276" w:lineRule="auto"/>
        <w:jc w:val="center"/>
        <w:rPr>
          <w:rFonts w:asciiTheme="majorBidi" w:hAnsiTheme="majorBidi" w:cstheme="majorBidi"/>
        </w:rPr>
      </w:pPr>
      <w:r w:rsidRPr="002C617B">
        <w:rPr>
          <w:rFonts w:asciiTheme="majorBidi" w:hAnsiTheme="majorBidi" w:cstheme="majorBidi"/>
          <w:b/>
          <w:bCs/>
        </w:rPr>
        <w:t>Table 4. Effect of Fertilizer Management Strategies on Mulberry Leaf Yield and Quality Parameters</w:t>
      </w:r>
    </w:p>
    <w:tbl>
      <w:tblPr>
        <w:tblStyle w:val="TableGrid"/>
        <w:tblW w:w="9360" w:type="dxa"/>
        <w:tblLook w:val="04A0" w:firstRow="1" w:lastRow="0" w:firstColumn="1" w:lastColumn="0" w:noHBand="0" w:noVBand="1"/>
      </w:tblPr>
      <w:tblGrid>
        <w:gridCol w:w="2400"/>
        <w:gridCol w:w="1700"/>
        <w:gridCol w:w="1600"/>
        <w:gridCol w:w="1700"/>
        <w:gridCol w:w="1960"/>
      </w:tblGrid>
      <w:tr w:rsidR="002C617B" w:rsidRPr="002C617B" w14:paraId="7BC634BE" w14:textId="77777777" w:rsidTr="002C617B">
        <w:tc>
          <w:tcPr>
            <w:tcW w:w="2400" w:type="dxa"/>
          </w:tcPr>
          <w:p w14:paraId="3E65DF68" w14:textId="7502CCC4"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Treatment</w:t>
            </w:r>
          </w:p>
        </w:tc>
        <w:tc>
          <w:tcPr>
            <w:tcW w:w="1700" w:type="dxa"/>
          </w:tcPr>
          <w:p w14:paraId="65386F9F" w14:textId="666C21E8"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Leaf Yield (t/ha/yr)</w:t>
            </w:r>
          </w:p>
        </w:tc>
        <w:tc>
          <w:tcPr>
            <w:tcW w:w="1600" w:type="dxa"/>
          </w:tcPr>
          <w:p w14:paraId="411F149B" w14:textId="6EA9BCAD"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Protein Content (%)</w:t>
            </w:r>
          </w:p>
        </w:tc>
        <w:tc>
          <w:tcPr>
            <w:tcW w:w="1700" w:type="dxa"/>
          </w:tcPr>
          <w:p w14:paraId="60666316" w14:textId="34D66BE4"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Chlorophyll (mg/g)</w:t>
            </w:r>
          </w:p>
        </w:tc>
        <w:tc>
          <w:tcPr>
            <w:tcW w:w="1960" w:type="dxa"/>
          </w:tcPr>
          <w:p w14:paraId="52F42898" w14:textId="106EBF5D"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Soil Organic Carbon (%)</w:t>
            </w:r>
          </w:p>
        </w:tc>
      </w:tr>
      <w:tr w:rsidR="002C617B" w:rsidRPr="002C617B" w14:paraId="0BCDBBA4" w14:textId="77777777" w:rsidTr="002C617B">
        <w:tc>
          <w:tcPr>
            <w:tcW w:w="2400" w:type="dxa"/>
          </w:tcPr>
          <w:p w14:paraId="7DE261F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Recommended NPK only (100:60:60 kg/ha)</w:t>
            </w:r>
          </w:p>
        </w:tc>
        <w:tc>
          <w:tcPr>
            <w:tcW w:w="1700" w:type="dxa"/>
          </w:tcPr>
          <w:p w14:paraId="70D463B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87.3</w:t>
            </w:r>
          </w:p>
        </w:tc>
        <w:tc>
          <w:tcPr>
            <w:tcW w:w="1600" w:type="dxa"/>
          </w:tcPr>
          <w:p w14:paraId="1F03605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23.4</w:t>
            </w:r>
          </w:p>
        </w:tc>
        <w:tc>
          <w:tcPr>
            <w:tcW w:w="1700" w:type="dxa"/>
          </w:tcPr>
          <w:p w14:paraId="5F93CE3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1.82</w:t>
            </w:r>
          </w:p>
        </w:tc>
        <w:tc>
          <w:tcPr>
            <w:tcW w:w="1960" w:type="dxa"/>
          </w:tcPr>
          <w:p w14:paraId="445BAB7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0.61</w:t>
            </w:r>
          </w:p>
        </w:tc>
      </w:tr>
      <w:tr w:rsidR="002C617B" w:rsidRPr="002C617B" w14:paraId="2F107236" w14:textId="77777777" w:rsidTr="002C617B">
        <w:tc>
          <w:tcPr>
            <w:tcW w:w="2400" w:type="dxa"/>
          </w:tcPr>
          <w:p w14:paraId="6EA43A0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Cow dung (20 t/ha) alone</w:t>
            </w:r>
          </w:p>
        </w:tc>
        <w:tc>
          <w:tcPr>
            <w:tcW w:w="1700" w:type="dxa"/>
          </w:tcPr>
          <w:p w14:paraId="2D52E1E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91.5</w:t>
            </w:r>
          </w:p>
        </w:tc>
        <w:tc>
          <w:tcPr>
            <w:tcW w:w="1600" w:type="dxa"/>
          </w:tcPr>
          <w:p w14:paraId="5FB1402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24.8</w:t>
            </w:r>
          </w:p>
        </w:tc>
        <w:tc>
          <w:tcPr>
            <w:tcW w:w="1700" w:type="dxa"/>
          </w:tcPr>
          <w:p w14:paraId="2DF6B47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1.94</w:t>
            </w:r>
          </w:p>
        </w:tc>
        <w:tc>
          <w:tcPr>
            <w:tcW w:w="1960" w:type="dxa"/>
          </w:tcPr>
          <w:p w14:paraId="6C77129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0.78</w:t>
            </w:r>
          </w:p>
        </w:tc>
      </w:tr>
      <w:tr w:rsidR="002C617B" w:rsidRPr="002C617B" w14:paraId="714FAFA9" w14:textId="77777777" w:rsidTr="002C617B">
        <w:tc>
          <w:tcPr>
            <w:tcW w:w="2400" w:type="dxa"/>
          </w:tcPr>
          <w:p w14:paraId="24FA4F2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Vermicompost (10 t/ha) alone</w:t>
            </w:r>
          </w:p>
        </w:tc>
        <w:tc>
          <w:tcPr>
            <w:tcW w:w="1700" w:type="dxa"/>
          </w:tcPr>
          <w:p w14:paraId="31BBFE6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95.2</w:t>
            </w:r>
          </w:p>
        </w:tc>
        <w:tc>
          <w:tcPr>
            <w:tcW w:w="1600" w:type="dxa"/>
          </w:tcPr>
          <w:p w14:paraId="141AE6A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25.7</w:t>
            </w:r>
          </w:p>
        </w:tc>
        <w:tc>
          <w:tcPr>
            <w:tcW w:w="1700" w:type="dxa"/>
          </w:tcPr>
          <w:p w14:paraId="67100BA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2.08</w:t>
            </w:r>
          </w:p>
        </w:tc>
        <w:tc>
          <w:tcPr>
            <w:tcW w:w="1960" w:type="dxa"/>
          </w:tcPr>
          <w:p w14:paraId="6D9B13B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0.84</w:t>
            </w:r>
          </w:p>
        </w:tc>
      </w:tr>
      <w:tr w:rsidR="002C617B" w:rsidRPr="002C617B" w14:paraId="1592AF6A" w14:textId="77777777" w:rsidTr="002C617B">
        <w:tc>
          <w:tcPr>
            <w:tcW w:w="2400" w:type="dxa"/>
          </w:tcPr>
          <w:p w14:paraId="1912ED7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NPK + Cow dung (50% substitution)</w:t>
            </w:r>
          </w:p>
        </w:tc>
        <w:tc>
          <w:tcPr>
            <w:tcW w:w="1700" w:type="dxa"/>
          </w:tcPr>
          <w:p w14:paraId="062DC16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108.4</w:t>
            </w:r>
          </w:p>
        </w:tc>
        <w:tc>
          <w:tcPr>
            <w:tcW w:w="1600" w:type="dxa"/>
          </w:tcPr>
          <w:p w14:paraId="24627DD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26.5</w:t>
            </w:r>
          </w:p>
        </w:tc>
        <w:tc>
          <w:tcPr>
            <w:tcW w:w="1700" w:type="dxa"/>
          </w:tcPr>
          <w:p w14:paraId="7181812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2.21</w:t>
            </w:r>
          </w:p>
        </w:tc>
        <w:tc>
          <w:tcPr>
            <w:tcW w:w="1960" w:type="dxa"/>
          </w:tcPr>
          <w:p w14:paraId="1043D6C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0.91</w:t>
            </w:r>
          </w:p>
        </w:tc>
      </w:tr>
      <w:tr w:rsidR="002C617B" w:rsidRPr="002C617B" w14:paraId="2B1F84A9" w14:textId="77777777" w:rsidTr="002C617B">
        <w:tc>
          <w:tcPr>
            <w:tcW w:w="2400" w:type="dxa"/>
          </w:tcPr>
          <w:p w14:paraId="37602E4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NPK + Vermicompost (50% substitution)</w:t>
            </w:r>
          </w:p>
        </w:tc>
        <w:tc>
          <w:tcPr>
            <w:tcW w:w="1700" w:type="dxa"/>
          </w:tcPr>
          <w:p w14:paraId="7FDD340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111.8</w:t>
            </w:r>
          </w:p>
        </w:tc>
        <w:tc>
          <w:tcPr>
            <w:tcW w:w="1600" w:type="dxa"/>
          </w:tcPr>
          <w:p w14:paraId="642224F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27.1</w:t>
            </w:r>
          </w:p>
        </w:tc>
        <w:tc>
          <w:tcPr>
            <w:tcW w:w="1700" w:type="dxa"/>
          </w:tcPr>
          <w:p w14:paraId="0CF126E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2.35</w:t>
            </w:r>
          </w:p>
        </w:tc>
        <w:tc>
          <w:tcPr>
            <w:tcW w:w="1960" w:type="dxa"/>
          </w:tcPr>
          <w:p w14:paraId="1A6EE3A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0.97</w:t>
            </w:r>
          </w:p>
        </w:tc>
      </w:tr>
      <w:tr w:rsidR="002C617B" w:rsidRPr="002C617B" w14:paraId="4CD35180" w14:textId="77777777" w:rsidTr="002C617B">
        <w:tc>
          <w:tcPr>
            <w:tcW w:w="2400" w:type="dxa"/>
          </w:tcPr>
          <w:p w14:paraId="733113D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Cow dung + Vermicompost combined (T8 — best organic)</w:t>
            </w:r>
          </w:p>
        </w:tc>
        <w:tc>
          <w:tcPr>
            <w:tcW w:w="1700" w:type="dxa"/>
          </w:tcPr>
          <w:p w14:paraId="3CD2439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 xml:space="preserve">116.6 </w:t>
            </w:r>
            <w:r w:rsidRPr="002C617B">
              <w:rPr>
                <w:rFonts w:ascii="Segoe UI Symbol" w:hAnsi="Segoe UI Symbol" w:cs="Segoe UI Symbol"/>
                <w:b/>
                <w:bCs/>
              </w:rPr>
              <w:t>★</w:t>
            </w:r>
          </w:p>
        </w:tc>
        <w:tc>
          <w:tcPr>
            <w:tcW w:w="1600" w:type="dxa"/>
          </w:tcPr>
          <w:p w14:paraId="6978E6A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 xml:space="preserve">28.3 </w:t>
            </w:r>
            <w:r w:rsidRPr="002C617B">
              <w:rPr>
                <w:rFonts w:ascii="Segoe UI Symbol" w:hAnsi="Segoe UI Symbol" w:cs="Segoe UI Symbol"/>
                <w:b/>
                <w:bCs/>
              </w:rPr>
              <w:t>★</w:t>
            </w:r>
          </w:p>
        </w:tc>
        <w:tc>
          <w:tcPr>
            <w:tcW w:w="1700" w:type="dxa"/>
          </w:tcPr>
          <w:p w14:paraId="5E348D59"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 xml:space="preserve">2.54 </w:t>
            </w:r>
            <w:r w:rsidRPr="002C617B">
              <w:rPr>
                <w:rFonts w:ascii="Segoe UI Symbol" w:hAnsi="Segoe UI Symbol" w:cs="Segoe UI Symbol"/>
                <w:b/>
                <w:bCs/>
              </w:rPr>
              <w:t>★</w:t>
            </w:r>
          </w:p>
        </w:tc>
        <w:tc>
          <w:tcPr>
            <w:tcW w:w="1960" w:type="dxa"/>
          </w:tcPr>
          <w:p w14:paraId="211F6786"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 xml:space="preserve">1.06 </w:t>
            </w:r>
            <w:r w:rsidRPr="002C617B">
              <w:rPr>
                <w:rFonts w:ascii="Segoe UI Symbol" w:hAnsi="Segoe UI Symbol" w:cs="Segoe UI Symbol"/>
                <w:b/>
                <w:bCs/>
              </w:rPr>
              <w:t>★</w:t>
            </w:r>
          </w:p>
        </w:tc>
      </w:tr>
    </w:tbl>
    <w:p w14:paraId="61EA82D3" w14:textId="6A44A4C7" w:rsidR="004B37A0" w:rsidRPr="002C617B" w:rsidRDefault="00156A5D" w:rsidP="008A52D5">
      <w:pPr>
        <w:spacing w:before="60" w:after="180" w:line="276" w:lineRule="auto"/>
        <w:jc w:val="both"/>
        <w:rPr>
          <w:rFonts w:asciiTheme="majorBidi" w:hAnsiTheme="majorBidi" w:cstheme="majorBidi"/>
        </w:rPr>
      </w:pPr>
      <w:r w:rsidRPr="002C617B">
        <w:rPr>
          <w:rFonts w:asciiTheme="majorBidi" w:hAnsiTheme="majorBidi" w:cstheme="majorBidi"/>
          <w:i/>
          <w:iCs/>
        </w:rPr>
        <w:t xml:space="preserve">Note: </w:t>
      </w:r>
      <w:r w:rsidRPr="002C617B">
        <w:rPr>
          <w:rFonts w:ascii="Segoe UI Symbol" w:hAnsi="Segoe UI Symbol" w:cs="Segoe UI Symbol"/>
          <w:i/>
          <w:iCs/>
        </w:rPr>
        <w:t>★</w:t>
      </w:r>
      <w:r w:rsidRPr="002C617B">
        <w:rPr>
          <w:rFonts w:asciiTheme="majorBidi" w:hAnsiTheme="majorBidi" w:cstheme="majorBidi"/>
          <w:i/>
          <w:iCs/>
        </w:rPr>
        <w:t xml:space="preserve"> = Best-performing treatment. Values are indicative means compiled from </w:t>
      </w:r>
      <w:r w:rsidR="00E74C03" w:rsidRPr="00E74C03">
        <w:rPr>
          <w:rFonts w:asciiTheme="majorBidi" w:hAnsiTheme="majorBidi" w:cstheme="majorBidi"/>
          <w:i/>
          <w:iCs/>
        </w:rPr>
        <w:t>Ahammed et al. (2025)</w:t>
      </w:r>
      <w:r w:rsidRPr="002C617B">
        <w:rPr>
          <w:rFonts w:asciiTheme="majorBidi" w:hAnsiTheme="majorBidi" w:cstheme="majorBidi"/>
          <w:i/>
          <w:iCs/>
        </w:rPr>
        <w:t xml:space="preserve"> and </w:t>
      </w:r>
      <w:r w:rsidR="008A52D5" w:rsidRPr="008A52D5">
        <w:rPr>
          <w:rFonts w:asciiTheme="majorBidi" w:hAnsiTheme="majorBidi" w:cstheme="majorBidi"/>
          <w:i/>
          <w:iCs/>
        </w:rPr>
        <w:t xml:space="preserve">Pandey, </w:t>
      </w:r>
      <w:r w:rsidR="008A52D5">
        <w:rPr>
          <w:rFonts w:asciiTheme="majorBidi" w:hAnsiTheme="majorBidi" w:cstheme="majorBidi"/>
          <w:i/>
          <w:iCs/>
        </w:rPr>
        <w:t>(</w:t>
      </w:r>
      <w:r w:rsidR="008A52D5" w:rsidRPr="008A52D5">
        <w:rPr>
          <w:rFonts w:asciiTheme="majorBidi" w:hAnsiTheme="majorBidi" w:cstheme="majorBidi"/>
          <w:i/>
          <w:iCs/>
        </w:rPr>
        <w:t>2019)</w:t>
      </w:r>
      <w:r w:rsidRPr="002C617B">
        <w:rPr>
          <w:rFonts w:asciiTheme="majorBidi" w:hAnsiTheme="majorBidi" w:cstheme="majorBidi"/>
          <w:i/>
          <w:iCs/>
        </w:rPr>
        <w:t>. Actual values may vary by soil type and cultivar.</w:t>
      </w:r>
    </w:p>
    <w:p w14:paraId="7CA9C4FF"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6.2 Mulberry-Based Integrated Cropping Systems</w:t>
      </w:r>
    </w:p>
    <w:p w14:paraId="17F75D81"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An integrated cropping system study (</w:t>
      </w:r>
      <w:proofErr w:type="spellStart"/>
      <w:r w:rsidRPr="002C617B">
        <w:rPr>
          <w:rFonts w:asciiTheme="majorBidi" w:hAnsiTheme="majorBidi" w:cstheme="majorBidi"/>
        </w:rPr>
        <w:t>Chanotra</w:t>
      </w:r>
      <w:proofErr w:type="spellEnd"/>
      <w:r w:rsidRPr="002C617B">
        <w:rPr>
          <w:rFonts w:asciiTheme="majorBidi" w:hAnsiTheme="majorBidi" w:cstheme="majorBidi"/>
        </w:rPr>
        <w:t xml:space="preserve"> et al., 2024) demonstrated significant simultaneous production of seasonal vegetables and mulberry leaf from intercropped blocks. Mulberry's annual dormancy period causes minimal solar light interception for intercropped species, making it an ideal companion for short-duration vegetable crops. Such systems stabilize farmer income, improve soil health through organic matter cycling, and enhance on-farm biodiversity relative to monocultural mulberry gardens.</w:t>
      </w:r>
    </w:p>
    <w:p w14:paraId="07CAE2E0"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7. Leaf Quality Optimization for Silkworm Performance</w:t>
      </w:r>
    </w:p>
    <w:p w14:paraId="0D6E6A05"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7.1 Biochemical Composition and Nutritional Value</w:t>
      </w:r>
    </w:p>
    <w:p w14:paraId="5FE5EF99" w14:textId="1D46D46F" w:rsidR="004B37A0" w:rsidRPr="002C617B" w:rsidRDefault="00156A5D" w:rsidP="009E4E11">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Leaf quality encompasses moisture content, protein concentration, carbohydrate composition, lipid profile, mineral content, and phytochemical balance. A comparative analysis </w:t>
      </w:r>
      <w:r w:rsidR="009E4E11" w:rsidRPr="009E4E11">
        <w:rPr>
          <w:rFonts w:asciiTheme="majorBidi" w:hAnsiTheme="majorBidi" w:cstheme="majorBidi"/>
        </w:rPr>
        <w:lastRenderedPageBreak/>
        <w:t>(Shafique et al., 2025)</w:t>
      </w:r>
      <w:r w:rsidRPr="002C617B">
        <w:rPr>
          <w:rFonts w:asciiTheme="majorBidi" w:hAnsiTheme="majorBidi" w:cstheme="majorBidi"/>
        </w:rPr>
        <w:t xml:space="preserve"> found M. alba exhibited the highest protein content (26.16%), fat content (4.53%), and total ash (17.38%), with silkworms fed M. alba demonstrating superior growth. Research on mulberry leaf digestibility (MDPI Agriculture, 2024) reported average digestibility of approximately 54.46% across tested varieties, with older leaves showing significantly reduced moisture and nutritional value — reaffirming the importance of optimal leaf maturity at harvest.</w:t>
      </w:r>
    </w:p>
    <w:p w14:paraId="132599C0" w14:textId="77777777" w:rsidR="004B37A0" w:rsidRPr="002C617B" w:rsidRDefault="00156A5D" w:rsidP="002C617B">
      <w:pPr>
        <w:pStyle w:val="Heading2"/>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7.2 Leaf Fortification and Supplementation Strategies</w:t>
      </w:r>
    </w:p>
    <w:p w14:paraId="24881412"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Muzamil et al. (2023) demonstrated that 1% Alanine-coated mulberry leaves significantly improved cocoon weight, shell ratio, and fibroin content compared to controls. Harshitha et al. (2024) found that high-quality leaf powder fortification of poor-quality leaves was most effective, improving larval weight, cocoon weight, and pupal weight. Plant extracts from </w:t>
      </w:r>
      <w:r w:rsidRPr="007C244C">
        <w:rPr>
          <w:rFonts w:asciiTheme="majorBidi" w:hAnsiTheme="majorBidi" w:cstheme="majorBidi"/>
          <w:i/>
          <w:iCs/>
        </w:rPr>
        <w:t xml:space="preserve">Ginkgo biloba, Boswellia </w:t>
      </w:r>
      <w:proofErr w:type="spellStart"/>
      <w:r w:rsidRPr="007C244C">
        <w:rPr>
          <w:rFonts w:asciiTheme="majorBidi" w:hAnsiTheme="majorBidi" w:cstheme="majorBidi"/>
          <w:i/>
          <w:iCs/>
        </w:rPr>
        <w:t>carterii</w:t>
      </w:r>
      <w:proofErr w:type="spellEnd"/>
      <w:r w:rsidRPr="007C244C">
        <w:rPr>
          <w:rFonts w:asciiTheme="majorBidi" w:hAnsiTheme="majorBidi" w:cstheme="majorBidi"/>
          <w:i/>
          <w:iCs/>
        </w:rPr>
        <w:t>, Salvia officinalis</w:t>
      </w:r>
      <w:r w:rsidRPr="002C617B">
        <w:rPr>
          <w:rFonts w:asciiTheme="majorBidi" w:hAnsiTheme="majorBidi" w:cstheme="majorBidi"/>
        </w:rPr>
        <w:t xml:space="preserve">, and </w:t>
      </w:r>
      <w:r w:rsidRPr="007C244C">
        <w:rPr>
          <w:rFonts w:asciiTheme="majorBidi" w:hAnsiTheme="majorBidi" w:cstheme="majorBidi"/>
          <w:i/>
          <w:iCs/>
        </w:rPr>
        <w:t xml:space="preserve">Cymbopogon </w:t>
      </w:r>
      <w:proofErr w:type="spellStart"/>
      <w:r w:rsidRPr="007C244C">
        <w:rPr>
          <w:rFonts w:asciiTheme="majorBidi" w:hAnsiTheme="majorBidi" w:cstheme="majorBidi"/>
          <w:i/>
          <w:iCs/>
        </w:rPr>
        <w:t>citratus</w:t>
      </w:r>
      <w:proofErr w:type="spellEnd"/>
      <w:r w:rsidRPr="002C617B">
        <w:rPr>
          <w:rFonts w:asciiTheme="majorBidi" w:hAnsiTheme="majorBidi" w:cstheme="majorBidi"/>
        </w:rPr>
        <w:t xml:space="preserve"> at various concentrations improved silkworm traits, attributed to bioactive terpenoids and phenolic compounds acting as growth promoters and immunostimulants (Bulletin NRC Egypt, 2025). Garden cress (Lepidium sativum) seed powder blended into mulberry feeding also improved cocoon parameters and reproductive output (PMC, 2024).</w:t>
      </w:r>
    </w:p>
    <w:p w14:paraId="1376CEA8" w14:textId="77777777" w:rsidR="004B37A0" w:rsidRPr="002C617B" w:rsidRDefault="00156A5D" w:rsidP="002C617B">
      <w:pPr>
        <w:spacing w:before="300" w:after="100" w:line="276" w:lineRule="auto"/>
        <w:jc w:val="center"/>
        <w:rPr>
          <w:rFonts w:asciiTheme="majorBidi" w:hAnsiTheme="majorBidi" w:cstheme="majorBidi"/>
        </w:rPr>
      </w:pPr>
      <w:r w:rsidRPr="002C617B">
        <w:rPr>
          <w:rFonts w:asciiTheme="majorBidi" w:hAnsiTheme="majorBidi" w:cstheme="majorBidi"/>
          <w:b/>
          <w:bCs/>
        </w:rPr>
        <w:t>Table 5. Effect of Mulberry Leaf Quality and Supplementation Strategies on Bombyx mori Performance</w:t>
      </w:r>
    </w:p>
    <w:tbl>
      <w:tblPr>
        <w:tblStyle w:val="TableGrid"/>
        <w:tblW w:w="9360" w:type="dxa"/>
        <w:tblLook w:val="04A0" w:firstRow="1" w:lastRow="0" w:firstColumn="1" w:lastColumn="0" w:noHBand="0" w:noVBand="1"/>
      </w:tblPr>
      <w:tblGrid>
        <w:gridCol w:w="2200"/>
        <w:gridCol w:w="2000"/>
        <w:gridCol w:w="1560"/>
        <w:gridCol w:w="1600"/>
        <w:gridCol w:w="2000"/>
      </w:tblGrid>
      <w:tr w:rsidR="002C617B" w:rsidRPr="002C617B" w14:paraId="1B43EE2B" w14:textId="77777777" w:rsidTr="002C617B">
        <w:tc>
          <w:tcPr>
            <w:tcW w:w="2200" w:type="dxa"/>
          </w:tcPr>
          <w:p w14:paraId="4FE2CDE2" w14:textId="1DA5EF9F"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Treatment / Mulberry Type</w:t>
            </w:r>
          </w:p>
        </w:tc>
        <w:tc>
          <w:tcPr>
            <w:tcW w:w="2000" w:type="dxa"/>
          </w:tcPr>
          <w:p w14:paraId="4B01428C" w14:textId="7F28F06C"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Silkworm Parameter Improved</w:t>
            </w:r>
          </w:p>
        </w:tc>
        <w:tc>
          <w:tcPr>
            <w:tcW w:w="1560" w:type="dxa"/>
          </w:tcPr>
          <w:p w14:paraId="0A62E0D6" w14:textId="67687291"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Cocoon Weight (g)</w:t>
            </w:r>
          </w:p>
        </w:tc>
        <w:tc>
          <w:tcPr>
            <w:tcW w:w="1600" w:type="dxa"/>
          </w:tcPr>
          <w:p w14:paraId="0E581B68" w14:textId="795CFFDD"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Shell Ratio (%)</w:t>
            </w:r>
          </w:p>
        </w:tc>
        <w:tc>
          <w:tcPr>
            <w:tcW w:w="2000" w:type="dxa"/>
          </w:tcPr>
          <w:p w14:paraId="652017F5" w14:textId="06C6C84C" w:rsidR="002C617B" w:rsidRPr="002C617B" w:rsidRDefault="002C617B" w:rsidP="002C617B">
            <w:pPr>
              <w:spacing w:line="276" w:lineRule="auto"/>
              <w:jc w:val="center"/>
              <w:rPr>
                <w:rFonts w:asciiTheme="majorBidi" w:hAnsiTheme="majorBidi" w:cstheme="majorBidi"/>
                <w:b/>
                <w:bCs/>
              </w:rPr>
            </w:pPr>
            <w:r w:rsidRPr="002C617B">
              <w:rPr>
                <w:rFonts w:asciiTheme="majorBidi" w:hAnsiTheme="majorBidi" w:cstheme="majorBidi"/>
                <w:b/>
                <w:bCs/>
              </w:rPr>
              <w:t>Reference</w:t>
            </w:r>
          </w:p>
        </w:tc>
      </w:tr>
      <w:tr w:rsidR="002C617B" w:rsidRPr="002C617B" w14:paraId="02163F06" w14:textId="77777777" w:rsidTr="002C617B">
        <w:tc>
          <w:tcPr>
            <w:tcW w:w="2200" w:type="dxa"/>
          </w:tcPr>
          <w:p w14:paraId="1814AB2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M. alba (control fresh leaf)</w:t>
            </w:r>
          </w:p>
        </w:tc>
        <w:tc>
          <w:tcPr>
            <w:tcW w:w="2000" w:type="dxa"/>
          </w:tcPr>
          <w:p w14:paraId="6BF6041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Baseline — all parameters normal</w:t>
            </w:r>
          </w:p>
        </w:tc>
        <w:tc>
          <w:tcPr>
            <w:tcW w:w="1560" w:type="dxa"/>
          </w:tcPr>
          <w:p w14:paraId="58074D1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1.52</w:t>
            </w:r>
          </w:p>
        </w:tc>
        <w:tc>
          <w:tcPr>
            <w:tcW w:w="1600" w:type="dxa"/>
          </w:tcPr>
          <w:p w14:paraId="2B25D68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18.6</w:t>
            </w:r>
          </w:p>
        </w:tc>
        <w:tc>
          <w:tcPr>
            <w:tcW w:w="2000" w:type="dxa"/>
          </w:tcPr>
          <w:p w14:paraId="65A4E5F1" w14:textId="078857BD" w:rsidR="004B37A0" w:rsidRPr="002C617B" w:rsidRDefault="009E4E11" w:rsidP="009E4E11">
            <w:pPr>
              <w:spacing w:line="276" w:lineRule="auto"/>
              <w:jc w:val="both"/>
              <w:rPr>
                <w:rFonts w:asciiTheme="majorBidi" w:hAnsiTheme="majorBidi" w:cstheme="majorBidi"/>
              </w:rPr>
            </w:pPr>
            <w:r w:rsidRPr="009E4E11">
              <w:rPr>
                <w:rFonts w:asciiTheme="majorBidi" w:hAnsiTheme="majorBidi" w:cstheme="majorBidi"/>
              </w:rPr>
              <w:t>Shafique et al. (2025)</w:t>
            </w:r>
          </w:p>
        </w:tc>
      </w:tr>
      <w:tr w:rsidR="002C617B" w:rsidRPr="002C617B" w14:paraId="37338F34" w14:textId="77777777" w:rsidTr="002C617B">
        <w:tc>
          <w:tcPr>
            <w:tcW w:w="2200" w:type="dxa"/>
          </w:tcPr>
          <w:p w14:paraId="2A7C6EF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1% Alanine-coated mulberry leaf</w:t>
            </w:r>
          </w:p>
        </w:tc>
        <w:tc>
          <w:tcPr>
            <w:tcW w:w="2000" w:type="dxa"/>
          </w:tcPr>
          <w:p w14:paraId="02B90260"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Larval weight, silk gland ratio, fibroin content</w:t>
            </w:r>
          </w:p>
        </w:tc>
        <w:tc>
          <w:tcPr>
            <w:tcW w:w="1560" w:type="dxa"/>
          </w:tcPr>
          <w:p w14:paraId="0E9CD9C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1.78 (+17%)</w:t>
            </w:r>
          </w:p>
        </w:tc>
        <w:tc>
          <w:tcPr>
            <w:tcW w:w="1600" w:type="dxa"/>
          </w:tcPr>
          <w:p w14:paraId="325C0E1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22.4</w:t>
            </w:r>
          </w:p>
        </w:tc>
        <w:tc>
          <w:tcPr>
            <w:tcW w:w="2000" w:type="dxa"/>
          </w:tcPr>
          <w:p w14:paraId="1094CAC5"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Muzamil et al. (2023)</w:t>
            </w:r>
          </w:p>
        </w:tc>
      </w:tr>
      <w:tr w:rsidR="002C617B" w:rsidRPr="002C617B" w14:paraId="57BE924D" w14:textId="77777777" w:rsidTr="002C617B">
        <w:tc>
          <w:tcPr>
            <w:tcW w:w="2200" w:type="dxa"/>
          </w:tcPr>
          <w:p w14:paraId="50099B1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High-quality leaf powder fortification</w:t>
            </w:r>
          </w:p>
        </w:tc>
        <w:tc>
          <w:tcPr>
            <w:tcW w:w="2000" w:type="dxa"/>
          </w:tcPr>
          <w:p w14:paraId="1B900CC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Pupal weight, cocoon weight, shell weight</w:t>
            </w:r>
          </w:p>
        </w:tc>
        <w:tc>
          <w:tcPr>
            <w:tcW w:w="1560" w:type="dxa"/>
          </w:tcPr>
          <w:p w14:paraId="00475AC8"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1.69 (+11%)</w:t>
            </w:r>
          </w:p>
        </w:tc>
        <w:tc>
          <w:tcPr>
            <w:tcW w:w="1600" w:type="dxa"/>
          </w:tcPr>
          <w:p w14:paraId="4C726360"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20.8</w:t>
            </w:r>
          </w:p>
        </w:tc>
        <w:tc>
          <w:tcPr>
            <w:tcW w:w="2000" w:type="dxa"/>
          </w:tcPr>
          <w:p w14:paraId="5B5B46F9"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Harshitha et al. (2024)</w:t>
            </w:r>
          </w:p>
        </w:tc>
      </w:tr>
      <w:tr w:rsidR="002C617B" w:rsidRPr="002C617B" w14:paraId="522DB250" w14:textId="77777777" w:rsidTr="002C617B">
        <w:tc>
          <w:tcPr>
            <w:tcW w:w="2200" w:type="dxa"/>
          </w:tcPr>
          <w:p w14:paraId="44FF77A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Garden cress (Lepidium sativum) seed powder blend</w:t>
            </w:r>
          </w:p>
        </w:tc>
        <w:tc>
          <w:tcPr>
            <w:tcW w:w="2000" w:type="dxa"/>
          </w:tcPr>
          <w:p w14:paraId="179D254C"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Larval growth, reproductive output, immunity</w:t>
            </w:r>
          </w:p>
        </w:tc>
        <w:tc>
          <w:tcPr>
            <w:tcW w:w="1560" w:type="dxa"/>
          </w:tcPr>
          <w:p w14:paraId="02AC84DE"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1.74 (+14%)</w:t>
            </w:r>
          </w:p>
        </w:tc>
        <w:tc>
          <w:tcPr>
            <w:tcW w:w="1600" w:type="dxa"/>
          </w:tcPr>
          <w:p w14:paraId="2F71EB3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21.5</w:t>
            </w:r>
          </w:p>
        </w:tc>
        <w:tc>
          <w:tcPr>
            <w:tcW w:w="2000" w:type="dxa"/>
          </w:tcPr>
          <w:p w14:paraId="4059DADA"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PMC (2024)</w:t>
            </w:r>
          </w:p>
        </w:tc>
      </w:tr>
      <w:tr w:rsidR="002C617B" w:rsidRPr="002C617B" w14:paraId="5092EE65" w14:textId="77777777" w:rsidTr="002C617B">
        <w:tc>
          <w:tcPr>
            <w:tcW w:w="2200" w:type="dxa"/>
          </w:tcPr>
          <w:p w14:paraId="3E1E8E17"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Ginkgo biloba leaf extract spray (0.5%)</w:t>
            </w:r>
          </w:p>
        </w:tc>
        <w:tc>
          <w:tcPr>
            <w:tcW w:w="2000" w:type="dxa"/>
          </w:tcPr>
          <w:p w14:paraId="353DD8D4"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Growth rate, feed efficiency, cocoon characters</w:t>
            </w:r>
          </w:p>
        </w:tc>
        <w:tc>
          <w:tcPr>
            <w:tcW w:w="1560" w:type="dxa"/>
          </w:tcPr>
          <w:p w14:paraId="20B41A01"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1.71 (+12%)</w:t>
            </w:r>
          </w:p>
        </w:tc>
        <w:tc>
          <w:tcPr>
            <w:tcW w:w="1600" w:type="dxa"/>
          </w:tcPr>
          <w:p w14:paraId="38565BC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21.1</w:t>
            </w:r>
          </w:p>
        </w:tc>
        <w:tc>
          <w:tcPr>
            <w:tcW w:w="2000" w:type="dxa"/>
          </w:tcPr>
          <w:p w14:paraId="640C8D3B"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Bulletin NRC Egypt (2025)</w:t>
            </w:r>
          </w:p>
        </w:tc>
      </w:tr>
      <w:tr w:rsidR="002C617B" w:rsidRPr="002C617B" w14:paraId="585811A7" w14:textId="77777777" w:rsidTr="002C617B">
        <w:tc>
          <w:tcPr>
            <w:tcW w:w="2200" w:type="dxa"/>
          </w:tcPr>
          <w:p w14:paraId="2FD069FD"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Organic-fertilized M. alba leaf (vermicompost)</w:t>
            </w:r>
          </w:p>
        </w:tc>
        <w:tc>
          <w:tcPr>
            <w:tcW w:w="2000" w:type="dxa"/>
          </w:tcPr>
          <w:p w14:paraId="697EEBD2"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rPr>
              <w:t>Overall biological efficiency, silk yield</w:t>
            </w:r>
          </w:p>
        </w:tc>
        <w:tc>
          <w:tcPr>
            <w:tcW w:w="1560" w:type="dxa"/>
          </w:tcPr>
          <w:p w14:paraId="4529BA1F"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 xml:space="preserve">1.83 (+20%) </w:t>
            </w:r>
            <w:r w:rsidRPr="002C617B">
              <w:rPr>
                <w:rFonts w:ascii="Segoe UI Symbol" w:hAnsi="Segoe UI Symbol" w:cs="Segoe UI Symbol"/>
                <w:b/>
                <w:bCs/>
              </w:rPr>
              <w:t>★</w:t>
            </w:r>
          </w:p>
        </w:tc>
        <w:tc>
          <w:tcPr>
            <w:tcW w:w="1600" w:type="dxa"/>
          </w:tcPr>
          <w:p w14:paraId="6CD60123" w14:textId="77777777"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 xml:space="preserve">23.2 </w:t>
            </w:r>
            <w:r w:rsidRPr="002C617B">
              <w:rPr>
                <w:rFonts w:ascii="Segoe UI Symbol" w:hAnsi="Segoe UI Symbol" w:cs="Segoe UI Symbol"/>
                <w:b/>
                <w:bCs/>
              </w:rPr>
              <w:t>★</w:t>
            </w:r>
          </w:p>
        </w:tc>
        <w:tc>
          <w:tcPr>
            <w:tcW w:w="2000" w:type="dxa"/>
          </w:tcPr>
          <w:p w14:paraId="68F69FA9" w14:textId="34A75FBA" w:rsidR="004B37A0" w:rsidRPr="002C617B" w:rsidRDefault="00E74C03" w:rsidP="00E74C03">
            <w:pPr>
              <w:spacing w:line="276" w:lineRule="auto"/>
              <w:jc w:val="both"/>
              <w:rPr>
                <w:rFonts w:asciiTheme="majorBidi" w:hAnsiTheme="majorBidi" w:cstheme="majorBidi"/>
              </w:rPr>
            </w:pPr>
            <w:r w:rsidRPr="00E74C03">
              <w:rPr>
                <w:rFonts w:asciiTheme="majorBidi" w:hAnsiTheme="majorBidi" w:cstheme="majorBidi"/>
              </w:rPr>
              <w:t>Ahammed et al. (2025)</w:t>
            </w:r>
          </w:p>
        </w:tc>
      </w:tr>
    </w:tbl>
    <w:p w14:paraId="45AA05CA" w14:textId="77777777" w:rsidR="004B37A0" w:rsidRPr="002C617B" w:rsidRDefault="00156A5D" w:rsidP="002C617B">
      <w:pPr>
        <w:spacing w:before="60" w:after="180" w:line="276" w:lineRule="auto"/>
        <w:jc w:val="both"/>
        <w:rPr>
          <w:rFonts w:asciiTheme="majorBidi" w:hAnsiTheme="majorBidi" w:cstheme="majorBidi"/>
        </w:rPr>
      </w:pPr>
      <w:r w:rsidRPr="002C617B">
        <w:rPr>
          <w:rFonts w:asciiTheme="majorBidi" w:hAnsiTheme="majorBidi" w:cstheme="majorBidi"/>
          <w:i/>
          <w:iCs/>
        </w:rPr>
        <w:lastRenderedPageBreak/>
        <w:t xml:space="preserve">Note: </w:t>
      </w:r>
      <w:r w:rsidRPr="002C617B">
        <w:rPr>
          <w:rFonts w:ascii="Segoe UI Symbol" w:hAnsi="Segoe UI Symbol" w:cs="Segoe UI Symbol"/>
          <w:i/>
          <w:iCs/>
        </w:rPr>
        <w:t>★</w:t>
      </w:r>
      <w:r w:rsidRPr="002C617B">
        <w:rPr>
          <w:rFonts w:asciiTheme="majorBidi" w:hAnsiTheme="majorBidi" w:cstheme="majorBidi"/>
          <w:i/>
          <w:iCs/>
        </w:rPr>
        <w:t xml:space="preserve"> = Best-performing treatment. Values are compiled means. Shell ratio and cocoon weight vary with silkworm race and rearing season.</w:t>
      </w:r>
    </w:p>
    <w:p w14:paraId="26ACF339"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8. Controlled Environment Cultivation and Emerging Technologies</w:t>
      </w:r>
    </w:p>
    <w:p w14:paraId="53FB8734" w14:textId="6345DF72" w:rsidR="004B37A0" w:rsidRDefault="00156A5D" w:rsidP="009E4E11">
      <w:pPr>
        <w:spacing w:before="120" w:after="120" w:line="276" w:lineRule="auto"/>
        <w:ind w:firstLine="720"/>
        <w:jc w:val="both"/>
        <w:rPr>
          <w:rFonts w:asciiTheme="majorBidi" w:hAnsiTheme="majorBidi" w:cstheme="majorBidi"/>
        </w:rPr>
      </w:pPr>
      <w:r w:rsidRPr="002C617B">
        <w:rPr>
          <w:rFonts w:asciiTheme="majorBidi" w:hAnsiTheme="majorBidi" w:cstheme="majorBidi"/>
        </w:rPr>
        <w:t xml:space="preserve">A comprehensive review </w:t>
      </w:r>
      <w:r w:rsidR="009E4E11" w:rsidRPr="009E4E11">
        <w:rPr>
          <w:rFonts w:asciiTheme="majorBidi" w:hAnsiTheme="majorBidi" w:cstheme="majorBidi"/>
        </w:rPr>
        <w:t>(Baciu et al., 2023)</w:t>
      </w:r>
      <w:r w:rsidRPr="002C617B">
        <w:rPr>
          <w:rFonts w:asciiTheme="majorBidi" w:hAnsiTheme="majorBidi" w:cstheme="majorBidi"/>
        </w:rPr>
        <w:t xml:space="preserve"> examined the prospects of mulberry in controlled environments, noting advantages including year-round leaf production, reduced pesticide inputs, improved water use efficiency, and expansion into non-traditional regions. Organic crop management is particularly critical in controlled systems given the direct food-chain linkage between leaf phytochemistry and silkworm health. The application of artificial intelligence and remote sensing to mulberry cultivation — including hyperspectral estimation of leaf nitrogen and chlorophyll, and drone-based disease detection — represents a rapidly developing precision sericulture frontier (Central Silk Board, 2023). Machine learning models trained on hyperspectral data have shown promise for non-destructive real-time assessment of leaf quality, with considerable potential for integration into advisory systems for smallholder farmers.</w:t>
      </w:r>
    </w:p>
    <w:p w14:paraId="281B49B9" w14:textId="139772C3" w:rsidR="008B64DC" w:rsidRPr="008B64DC" w:rsidRDefault="008B64DC" w:rsidP="008B64DC">
      <w:pPr>
        <w:spacing w:before="120" w:after="120" w:line="276" w:lineRule="auto"/>
        <w:ind w:firstLine="720"/>
        <w:jc w:val="center"/>
        <w:rPr>
          <w:rFonts w:asciiTheme="majorBidi" w:hAnsiTheme="majorBidi" w:cstheme="majorBidi"/>
          <w:b/>
          <w:bCs/>
        </w:rPr>
      </w:pPr>
      <w:r w:rsidRPr="008B64DC">
        <w:rPr>
          <w:rFonts w:asciiTheme="majorBidi" w:hAnsiTheme="majorBidi" w:cstheme="majorBidi"/>
          <w:b/>
          <w:bCs/>
        </w:rPr>
        <w:t xml:space="preserve">Figure </w:t>
      </w:r>
      <w:r>
        <w:rPr>
          <w:rFonts w:asciiTheme="majorBidi" w:hAnsiTheme="majorBidi" w:cstheme="majorBidi"/>
          <w:b/>
          <w:bCs/>
        </w:rPr>
        <w:t>1:</w:t>
      </w:r>
      <w:r w:rsidRPr="008B64DC">
        <w:rPr>
          <w:rFonts w:asciiTheme="majorBidi" w:hAnsiTheme="majorBidi" w:cstheme="majorBidi"/>
          <w:b/>
          <w:bCs/>
        </w:rPr>
        <w:t xml:space="preserve"> Precision mulberry cultivation system integrating remote sensing, hyperspectral imaging, and AI-based advisory tools.</w:t>
      </w:r>
    </w:p>
    <w:p w14:paraId="5D36ED18" w14:textId="2F5A9E7C" w:rsidR="008B64DC" w:rsidRPr="002C617B" w:rsidRDefault="008B64DC" w:rsidP="008B64DC">
      <w:pPr>
        <w:spacing w:before="120" w:after="120" w:line="276" w:lineRule="auto"/>
        <w:ind w:firstLine="720"/>
        <w:jc w:val="center"/>
        <w:rPr>
          <w:rFonts w:asciiTheme="majorBidi" w:hAnsiTheme="majorBidi" w:cstheme="majorBidi"/>
        </w:rPr>
      </w:pPr>
      <w:r>
        <w:rPr>
          <w:rFonts w:asciiTheme="majorBidi" w:hAnsiTheme="majorBidi" w:cstheme="majorBidi"/>
          <w:noProof/>
        </w:rPr>
        <w:drawing>
          <wp:inline distT="0" distB="0" distL="0" distR="0" wp14:anchorId="492BFC74" wp14:editId="2AC1CA91">
            <wp:extent cx="1623060" cy="2462193"/>
            <wp:effectExtent l="0" t="0" r="0" b="0"/>
            <wp:docPr id="1516663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74615" t="38443" r="1541" b="7298"/>
                    <a:stretch>
                      <a:fillRect/>
                    </a:stretch>
                  </pic:blipFill>
                  <pic:spPr bwMode="auto">
                    <a:xfrm>
                      <a:off x="0" y="0"/>
                      <a:ext cx="1637069" cy="2483445"/>
                    </a:xfrm>
                    <a:prstGeom prst="rect">
                      <a:avLst/>
                    </a:prstGeom>
                    <a:noFill/>
                    <a:ln>
                      <a:noFill/>
                    </a:ln>
                    <a:extLst>
                      <a:ext uri="{53640926-AAD7-44D8-BBD7-CCE9431645EC}">
                        <a14:shadowObscured xmlns:a14="http://schemas.microsoft.com/office/drawing/2010/main"/>
                      </a:ext>
                    </a:extLst>
                  </pic:spPr>
                </pic:pic>
              </a:graphicData>
            </a:graphic>
          </wp:inline>
        </w:drawing>
      </w:r>
    </w:p>
    <w:p w14:paraId="737ECA40"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9. Research Gaps and Future Directions</w:t>
      </w:r>
    </w:p>
    <w:p w14:paraId="6221FCD3" w14:textId="29F39ADF"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Critical research gaps include: (</w:t>
      </w:r>
      <w:proofErr w:type="spellStart"/>
      <w:r w:rsidRPr="002C617B">
        <w:rPr>
          <w:rFonts w:asciiTheme="majorBidi" w:hAnsiTheme="majorBidi" w:cstheme="majorBidi"/>
        </w:rPr>
        <w:t>i</w:t>
      </w:r>
      <w:proofErr w:type="spellEnd"/>
      <w:r w:rsidRPr="002C617B">
        <w:rPr>
          <w:rFonts w:asciiTheme="majorBidi" w:hAnsiTheme="majorBidi" w:cstheme="majorBidi"/>
        </w:rPr>
        <w:t>) a persistent translational gap between laboratory biotechnological advances and on-farm adoption, requiring policy reform and technology transfer investment; (ii) under</w:t>
      </w:r>
      <w:r w:rsidR="007C244C">
        <w:rPr>
          <w:rFonts w:asciiTheme="majorBidi" w:hAnsiTheme="majorBidi" w:cstheme="majorBidi"/>
        </w:rPr>
        <w:t xml:space="preserve"> </w:t>
      </w:r>
      <w:r w:rsidRPr="002C617B">
        <w:rPr>
          <w:rFonts w:asciiTheme="majorBidi" w:hAnsiTheme="majorBidi" w:cstheme="majorBidi"/>
        </w:rPr>
        <w:t>exploration of less-studied species — M. serrata, M. laevigata, and wild landraces — as sources of traits for climate-adaptive breeding; (iii) limited mechanistic understanding of mulberry rhizosphere microbiomes, warranting metagenomic and meta</w:t>
      </w:r>
      <w:r w:rsidR="007C244C">
        <w:rPr>
          <w:rFonts w:asciiTheme="majorBidi" w:hAnsiTheme="majorBidi" w:cstheme="majorBidi"/>
        </w:rPr>
        <w:t xml:space="preserve"> </w:t>
      </w:r>
      <w:r w:rsidRPr="002C617B">
        <w:rPr>
          <w:rFonts w:asciiTheme="majorBidi" w:hAnsiTheme="majorBidi" w:cstheme="majorBidi"/>
        </w:rPr>
        <w:t xml:space="preserve">transcriptomic analyses to guide biofertilizer design; (iv) a critical shortage of climate-change impact modelling studies for sericultural zones in India, Southeast Asia, and Brazil; and (v) the need for chromosome-level reference genomes, comprehensive transcript atlases across tissues, and </w:t>
      </w:r>
      <w:r w:rsidRPr="002C617B">
        <w:rPr>
          <w:rFonts w:asciiTheme="majorBidi" w:hAnsiTheme="majorBidi" w:cstheme="majorBidi"/>
        </w:rPr>
        <w:lastRenderedPageBreak/>
        <w:t>proteome databases linked to silk quality phenotypes to enable effective multi-omics-driven breeding.</w:t>
      </w:r>
    </w:p>
    <w:p w14:paraId="4CED02FE" w14:textId="77777777" w:rsidR="004B37A0" w:rsidRPr="002C617B"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Future research should prioritize the development of climate-tolerant mulberry ideotypes through integration of genomic selection, CRISPR-enabled trait engineering, and precision agronomy. Public–private partnerships between national sericulture research institutes, agricultural universities, and precision agriculture technology companies offer the most promising institutional framework for achieving these goals within the policy timelines required to sustain global silk production under projected climate scenarios.</w:t>
      </w:r>
    </w:p>
    <w:p w14:paraId="3B98AA08" w14:textId="77777777" w:rsidR="004B37A0" w:rsidRPr="002C617B" w:rsidRDefault="00156A5D" w:rsidP="002C617B">
      <w:pPr>
        <w:pStyle w:val="Heading1"/>
        <w:spacing w:line="276" w:lineRule="auto"/>
        <w:jc w:val="both"/>
        <w:rPr>
          <w:rFonts w:asciiTheme="majorBidi" w:hAnsiTheme="majorBidi" w:cstheme="majorBidi"/>
          <w:color w:val="auto"/>
          <w:sz w:val="24"/>
          <w:szCs w:val="24"/>
        </w:rPr>
      </w:pPr>
      <w:r w:rsidRPr="002C617B">
        <w:rPr>
          <w:rFonts w:asciiTheme="majorBidi" w:hAnsiTheme="majorBidi" w:cstheme="majorBidi"/>
          <w:color w:val="auto"/>
          <w:sz w:val="24"/>
          <w:szCs w:val="24"/>
        </w:rPr>
        <w:t>10. Conclusion</w:t>
      </w:r>
    </w:p>
    <w:p w14:paraId="6ABFD3FD" w14:textId="730B16BA" w:rsidR="004B37A0" w:rsidRDefault="00156A5D" w:rsidP="002C617B">
      <w:pPr>
        <w:spacing w:before="120" w:after="120" w:line="276" w:lineRule="auto"/>
        <w:ind w:firstLine="720"/>
        <w:jc w:val="both"/>
        <w:rPr>
          <w:rFonts w:asciiTheme="majorBidi" w:hAnsiTheme="majorBidi" w:cstheme="majorBidi"/>
        </w:rPr>
      </w:pPr>
      <w:r w:rsidRPr="002C617B">
        <w:rPr>
          <w:rFonts w:asciiTheme="majorBidi" w:hAnsiTheme="majorBidi" w:cstheme="majorBidi"/>
        </w:rPr>
        <w:t>Mulberry cultivation and improvement is a scientifically dynamic field at the intersection of plant biology, agricultural biotechnology, agronomy, and sericulture science. The literature reviewed documents substantial progress: from molecular characterization of stress-responsive genes and development of transformation protocols, to practical optimization of organic nutrient management and deployment of mini clonal technology. The transition from classical yield-focused research to a holistic understanding of mulberry as a multifunctional plant — simultaneously a sericulture crop, nutraceutical resource, agroforestry component, and advanced biotechnological subject — represents a paradigmatic shift. Realizing the full potential of these advances requires sustained commitment from research institutions, extension agencies, and policy bodies to translate scientific innovations into accessible technologies for the smallholder farmers who constitute the backbone of global silk production.</w:t>
      </w:r>
    </w:p>
    <w:p w14:paraId="0EEA6B7F" w14:textId="77777777" w:rsidR="000846CD" w:rsidRPr="00CA3906" w:rsidRDefault="000846CD" w:rsidP="000846CD">
      <w:pPr>
        <w:rPr>
          <w:b/>
          <w:highlight w:val="yellow"/>
        </w:rPr>
      </w:pPr>
      <w:r w:rsidRPr="00CA3906">
        <w:rPr>
          <w:b/>
          <w:highlight w:val="yellow"/>
        </w:rPr>
        <w:t>Disclaimer (Artificial intelligence)</w:t>
      </w:r>
    </w:p>
    <w:p w14:paraId="522A9BA9" w14:textId="77777777" w:rsidR="000846CD" w:rsidRPr="00740879" w:rsidRDefault="000846CD" w:rsidP="000846CD">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B73D622" w14:textId="77777777" w:rsidR="000846CD" w:rsidRPr="002C617B" w:rsidRDefault="000846CD" w:rsidP="002C617B">
      <w:pPr>
        <w:spacing w:before="120" w:after="120" w:line="276" w:lineRule="auto"/>
        <w:ind w:firstLine="720"/>
        <w:jc w:val="both"/>
        <w:rPr>
          <w:rFonts w:asciiTheme="majorBidi" w:hAnsiTheme="majorBidi" w:cstheme="majorBidi"/>
        </w:rPr>
      </w:pPr>
    </w:p>
    <w:p w14:paraId="64D2D82F" w14:textId="5038C071" w:rsidR="004B37A0" w:rsidRPr="002C617B" w:rsidRDefault="00156A5D" w:rsidP="002C617B">
      <w:pPr>
        <w:spacing w:line="276" w:lineRule="auto"/>
        <w:jc w:val="both"/>
        <w:rPr>
          <w:rFonts w:asciiTheme="majorBidi" w:hAnsiTheme="majorBidi" w:cstheme="majorBidi"/>
        </w:rPr>
      </w:pPr>
      <w:r w:rsidRPr="002C617B">
        <w:rPr>
          <w:rFonts w:asciiTheme="majorBidi" w:hAnsiTheme="majorBidi" w:cstheme="majorBidi"/>
          <w:b/>
          <w:bCs/>
        </w:rPr>
        <w:t>References</w:t>
      </w:r>
    </w:p>
    <w:p w14:paraId="3E8F65AD"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Ahammed, I., Chatterjee, P., Das, B., Saha, D., Nesa, J., &amp; Sadat, A. (2025). Integrating organic fertilizer strategies for optimizing mulberry crop production and soil health resilience: A pathway to sustainable agriculture. </w:t>
      </w:r>
      <w:r w:rsidRPr="00A47DC2">
        <w:rPr>
          <w:rFonts w:asciiTheme="majorBidi" w:hAnsiTheme="majorBidi" w:cstheme="majorBidi"/>
          <w:i/>
          <w:iCs/>
        </w:rPr>
        <w:t>Journal of the Saudi Society of Agricultural Sciences, 24</w:t>
      </w:r>
      <w:r w:rsidRPr="00A47DC2">
        <w:rPr>
          <w:rFonts w:asciiTheme="majorBidi" w:hAnsiTheme="majorBidi" w:cstheme="majorBidi"/>
        </w:rPr>
        <w:t>(8), 73. https://doi.org/10.1007/s44447-025-00116-6</w:t>
      </w:r>
    </w:p>
    <w:p w14:paraId="1E3C74C4"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Arora, V., Ghosh, M.K., Gangopadhyay, G. (2014). SSR markers for assessing the hybrid nature of two high-yielding mulberry varieties. International Journal of Genetics Engineering and Biotechnology, 52, 191–196.</w:t>
      </w:r>
    </w:p>
    <w:p w14:paraId="105851A8"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Aziz, R. R., Mohammed, A. A., Ahmad, F. K., &amp; Ali, A. J. (2020). Effect of IBA concentration and water soaking on rooting hardwood cuttings of black mulberry (</w:t>
      </w:r>
      <w:r w:rsidRPr="00A47DC2">
        <w:rPr>
          <w:rFonts w:asciiTheme="majorBidi" w:hAnsiTheme="majorBidi" w:cstheme="majorBidi"/>
          <w:i/>
          <w:iCs/>
        </w:rPr>
        <w:t>Morus nigra</w:t>
      </w:r>
      <w:r w:rsidRPr="00A47DC2">
        <w:rPr>
          <w:rFonts w:asciiTheme="majorBidi" w:hAnsiTheme="majorBidi" w:cstheme="majorBidi"/>
        </w:rPr>
        <w:t xml:space="preserve"> L.). </w:t>
      </w:r>
      <w:r w:rsidRPr="00A47DC2">
        <w:rPr>
          <w:rFonts w:asciiTheme="majorBidi" w:hAnsiTheme="majorBidi" w:cstheme="majorBidi"/>
          <w:i/>
          <w:iCs/>
        </w:rPr>
        <w:t>Sulaimani Journal for Pure and Applied Sciences, 22</w:t>
      </w:r>
      <w:r w:rsidRPr="00A47DC2">
        <w:rPr>
          <w:rFonts w:asciiTheme="majorBidi" w:hAnsiTheme="majorBidi" w:cstheme="majorBidi"/>
        </w:rPr>
        <w:t xml:space="preserve">(1), 153–158. </w:t>
      </w:r>
    </w:p>
    <w:p w14:paraId="27415454"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lastRenderedPageBreak/>
        <w:t xml:space="preserve">Baciu, E.-D., Baci, G.-M., Moise, A. R., &amp; </w:t>
      </w:r>
      <w:proofErr w:type="spellStart"/>
      <w:r w:rsidRPr="00A47DC2">
        <w:rPr>
          <w:rFonts w:asciiTheme="majorBidi" w:hAnsiTheme="majorBidi" w:cstheme="majorBidi"/>
        </w:rPr>
        <w:t>Dezmirean</w:t>
      </w:r>
      <w:proofErr w:type="spellEnd"/>
      <w:r w:rsidRPr="00A47DC2">
        <w:rPr>
          <w:rFonts w:asciiTheme="majorBidi" w:hAnsiTheme="majorBidi" w:cstheme="majorBidi"/>
        </w:rPr>
        <w:t>, D. S. (2023). A Status Review on the Importance of Mulberry (</w:t>
      </w:r>
      <w:r w:rsidRPr="00A47DC2">
        <w:rPr>
          <w:rFonts w:asciiTheme="majorBidi" w:hAnsiTheme="majorBidi" w:cstheme="majorBidi"/>
          <w:i/>
          <w:iCs/>
        </w:rPr>
        <w:t>Morus</w:t>
      </w:r>
      <w:r w:rsidRPr="00A47DC2">
        <w:rPr>
          <w:rFonts w:asciiTheme="majorBidi" w:hAnsiTheme="majorBidi" w:cstheme="majorBidi"/>
        </w:rPr>
        <w:t> spp.) and Prospects towards Its Cultivation in a Controlled Environment. </w:t>
      </w:r>
      <w:proofErr w:type="spellStart"/>
      <w:r w:rsidRPr="00A47DC2">
        <w:rPr>
          <w:rFonts w:asciiTheme="majorBidi" w:hAnsiTheme="majorBidi" w:cstheme="majorBidi"/>
          <w:i/>
          <w:iCs/>
        </w:rPr>
        <w:t>Horticulturae</w:t>
      </w:r>
      <w:proofErr w:type="spellEnd"/>
      <w:r w:rsidRPr="00A47DC2">
        <w:rPr>
          <w:rFonts w:asciiTheme="majorBidi" w:hAnsiTheme="majorBidi" w:cstheme="majorBidi"/>
        </w:rPr>
        <w:t>, </w:t>
      </w:r>
      <w:r w:rsidRPr="00A47DC2">
        <w:rPr>
          <w:rFonts w:asciiTheme="majorBidi" w:hAnsiTheme="majorBidi" w:cstheme="majorBidi"/>
          <w:i/>
          <w:iCs/>
        </w:rPr>
        <w:t>9</w:t>
      </w:r>
      <w:r w:rsidRPr="00A47DC2">
        <w:rPr>
          <w:rFonts w:asciiTheme="majorBidi" w:hAnsiTheme="majorBidi" w:cstheme="majorBidi"/>
        </w:rPr>
        <w:t>(4), 444. https://doi.org/10.3390/horticulturae9040444</w:t>
      </w:r>
    </w:p>
    <w:p w14:paraId="104CDA22"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Baruah, Jyoti Prasad, and Ishani Borthakur. 2021. “Infectious Disease (Fungal, Bacterial, Viral, and </w:t>
      </w:r>
      <w:proofErr w:type="spellStart"/>
      <w:r w:rsidRPr="00A47DC2">
        <w:rPr>
          <w:rFonts w:asciiTheme="majorBidi" w:hAnsiTheme="majorBidi" w:cstheme="majorBidi"/>
        </w:rPr>
        <w:t>Nematodal</w:t>
      </w:r>
      <w:proofErr w:type="spellEnd"/>
      <w:r w:rsidRPr="00A47DC2">
        <w:rPr>
          <w:rFonts w:asciiTheme="majorBidi" w:hAnsiTheme="majorBidi" w:cstheme="majorBidi"/>
        </w:rPr>
        <w:t>) of Mulberry Plant and Its Control Measure: A Review”. </w:t>
      </w:r>
      <w:r w:rsidRPr="00A47DC2">
        <w:rPr>
          <w:rFonts w:asciiTheme="majorBidi" w:hAnsiTheme="majorBidi" w:cstheme="majorBidi"/>
          <w:i/>
          <w:iCs/>
        </w:rPr>
        <w:t>International Journal of Plant &amp; Soil Science</w:t>
      </w:r>
      <w:r w:rsidRPr="00A47DC2">
        <w:rPr>
          <w:rFonts w:asciiTheme="majorBidi" w:hAnsiTheme="majorBidi" w:cstheme="majorBidi"/>
        </w:rPr>
        <w:t xml:space="preserve"> 33 (18):110-16. </w:t>
      </w:r>
      <w:hyperlink r:id="rId8" w:history="1">
        <w:r w:rsidRPr="00A47DC2">
          <w:rPr>
            <w:rStyle w:val="Hyperlink"/>
            <w:rFonts w:asciiTheme="majorBidi" w:hAnsiTheme="majorBidi" w:cstheme="majorBidi"/>
          </w:rPr>
          <w:t>https://doi.org/10.9734/ijpss/2021/v33i1830581</w:t>
        </w:r>
      </w:hyperlink>
      <w:r w:rsidRPr="00A47DC2">
        <w:rPr>
          <w:rFonts w:asciiTheme="majorBidi" w:hAnsiTheme="majorBidi" w:cstheme="majorBidi"/>
        </w:rPr>
        <w:t>.</w:t>
      </w:r>
    </w:p>
    <w:p w14:paraId="6F5905FE"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Bharathi, B. K. M., Susikaran, S., Parthiban, K. T., Vasanth, V., Niranjan, M. A., &amp; Selvaraj, N. K. (2024). </w:t>
      </w:r>
      <w:r w:rsidRPr="00A47DC2">
        <w:rPr>
          <w:rFonts w:asciiTheme="majorBidi" w:hAnsiTheme="majorBidi" w:cstheme="majorBidi"/>
          <w:b/>
          <w:bCs/>
        </w:rPr>
        <w:t>Mass production of mulberry saplings generation using mini clonal technology: An innovative approach.</w:t>
      </w:r>
    </w:p>
    <w:p w14:paraId="4547D197"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Bharathi, K. M., Susikaran, S., Parthiban, K. T., Vasanth, V., &amp; Vijay, S. (2024). Influence of different transplanting days on yield attributes of mini clones under field conditions for </w:t>
      </w:r>
      <w:r w:rsidRPr="00A47DC2">
        <w:rPr>
          <w:rFonts w:asciiTheme="majorBidi" w:hAnsiTheme="majorBidi" w:cstheme="majorBidi"/>
          <w:i/>
          <w:iCs/>
        </w:rPr>
        <w:t>Morus indica</w:t>
      </w:r>
      <w:r w:rsidRPr="00A47DC2">
        <w:rPr>
          <w:rFonts w:asciiTheme="majorBidi" w:hAnsiTheme="majorBidi" w:cstheme="majorBidi"/>
        </w:rPr>
        <w:t xml:space="preserve"> (V1). </w:t>
      </w:r>
      <w:r w:rsidRPr="00A47DC2">
        <w:rPr>
          <w:rFonts w:asciiTheme="majorBidi" w:hAnsiTheme="majorBidi" w:cstheme="majorBidi"/>
          <w:i/>
          <w:iCs/>
        </w:rPr>
        <w:t>Madras Agricultural Journal, 111</w:t>
      </w:r>
      <w:r w:rsidRPr="00A47DC2">
        <w:rPr>
          <w:rFonts w:asciiTheme="majorBidi" w:hAnsiTheme="majorBidi" w:cstheme="majorBidi"/>
        </w:rPr>
        <w:t xml:space="preserve">(1–3), 1–7. </w:t>
      </w:r>
      <w:hyperlink r:id="rId9" w:history="1">
        <w:r w:rsidRPr="00A47DC2">
          <w:rPr>
            <w:rStyle w:val="Hyperlink"/>
            <w:rFonts w:asciiTheme="majorBidi" w:hAnsiTheme="majorBidi" w:cstheme="majorBidi"/>
          </w:rPr>
          <w:t>https://doi.org/10.29321/MAJ.10.001099</w:t>
        </w:r>
      </w:hyperlink>
    </w:p>
    <w:p w14:paraId="6F40727B"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Bharathi, K.M.B., Susikaran, S., Parthiban, K.T., Vasanth, V. (2024). Evaluation of different transplanting days on field survivability and growth attributes of mulberry mini clones. International Journal of Advanced Biochemical Research, 8(8), 1057–1064.</w:t>
      </w:r>
    </w:p>
    <w:p w14:paraId="1674D6B7"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Bhavya, M.R., </w:t>
      </w:r>
      <w:proofErr w:type="spellStart"/>
      <w:r w:rsidRPr="00A47DC2">
        <w:rPr>
          <w:rFonts w:asciiTheme="majorBidi" w:hAnsiTheme="majorBidi" w:cstheme="majorBidi"/>
        </w:rPr>
        <w:t>Jagadamba</w:t>
      </w:r>
      <w:proofErr w:type="spellEnd"/>
      <w:r w:rsidRPr="00A47DC2">
        <w:rPr>
          <w:rFonts w:asciiTheme="majorBidi" w:hAnsiTheme="majorBidi" w:cstheme="majorBidi"/>
        </w:rPr>
        <w:t xml:space="preserve">, M.Y., </w:t>
      </w:r>
      <w:proofErr w:type="spellStart"/>
      <w:r w:rsidRPr="00A47DC2">
        <w:rPr>
          <w:rFonts w:asciiTheme="majorBidi" w:hAnsiTheme="majorBidi" w:cstheme="majorBidi"/>
        </w:rPr>
        <w:t>Arunakumar</w:t>
      </w:r>
      <w:proofErr w:type="spellEnd"/>
      <w:r w:rsidRPr="00A47DC2">
        <w:rPr>
          <w:rFonts w:asciiTheme="majorBidi" w:hAnsiTheme="majorBidi" w:cstheme="majorBidi"/>
        </w:rPr>
        <w:t>, G.S. et al. (2025). Genetic variability, association and diversity analysis of yield and yield-associated traits in mulberry (Morus spp.) genotypes. Trees. https://doi.org/10.1007/s00468-025-02672-4</w:t>
      </w:r>
    </w:p>
    <w:p w14:paraId="1B5DF20A"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Central Silk Board. (2023). Annual Report 2022–23. Ministry of Textiles, Government of India, Bengaluru. Retrieved from http://csb.gov.in</w:t>
      </w:r>
    </w:p>
    <w:p w14:paraId="7E1B2F03"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Chao, N., Wang, R., Hou, C., Yu, T., Miao, K., Cao, F., Fang, R., &amp; Liu, L. (2021). Functional characterization of two chalcone isomerase (CHI) revealing their responsibility for anthocyanins accumulation in mulberry. </w:t>
      </w:r>
      <w:r w:rsidRPr="00A47DC2">
        <w:rPr>
          <w:rFonts w:asciiTheme="majorBidi" w:hAnsiTheme="majorBidi" w:cstheme="majorBidi"/>
          <w:i/>
          <w:iCs/>
        </w:rPr>
        <w:t>Plant Physiology and Biochemistry, 161</w:t>
      </w:r>
      <w:r w:rsidRPr="00A47DC2">
        <w:rPr>
          <w:rFonts w:asciiTheme="majorBidi" w:hAnsiTheme="majorBidi" w:cstheme="majorBidi"/>
        </w:rPr>
        <w:t xml:space="preserve">, 336–345. </w:t>
      </w:r>
    </w:p>
    <w:p w14:paraId="73E78DEF"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Checker, V.G., </w:t>
      </w:r>
      <w:proofErr w:type="spellStart"/>
      <w:r w:rsidRPr="00A47DC2">
        <w:rPr>
          <w:rFonts w:asciiTheme="majorBidi" w:hAnsiTheme="majorBidi" w:cstheme="majorBidi"/>
        </w:rPr>
        <w:t>Chhibbar</w:t>
      </w:r>
      <w:proofErr w:type="spellEnd"/>
      <w:r w:rsidRPr="00A47DC2">
        <w:rPr>
          <w:rFonts w:asciiTheme="majorBidi" w:hAnsiTheme="majorBidi" w:cstheme="majorBidi"/>
        </w:rPr>
        <w:t>, A.K., Khurana, P. (2012). Stress-inducible expression of barley Hva1 gene in transgenic mulberry displays enhanced tolerance against drought, salinity and cold stress. Transgenic Research, 21, 939–957.</w:t>
      </w:r>
    </w:p>
    <w:p w14:paraId="153CEFCE"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Chitra, D., </w:t>
      </w:r>
      <w:proofErr w:type="spellStart"/>
      <w:r w:rsidRPr="00A47DC2">
        <w:rPr>
          <w:rFonts w:asciiTheme="majorBidi" w:hAnsiTheme="majorBidi" w:cstheme="majorBidi"/>
        </w:rPr>
        <w:t>Chinthapalli</w:t>
      </w:r>
      <w:proofErr w:type="spellEnd"/>
      <w:r w:rsidRPr="00A47DC2">
        <w:rPr>
          <w:rFonts w:asciiTheme="majorBidi" w:hAnsiTheme="majorBidi" w:cstheme="majorBidi"/>
        </w:rPr>
        <w:t>, B., &amp; Padmaja, G. (2014). Efficient regeneration system for genetic transformation of mulberry (</w:t>
      </w:r>
      <w:r w:rsidRPr="00A47DC2">
        <w:rPr>
          <w:rFonts w:asciiTheme="majorBidi" w:hAnsiTheme="majorBidi" w:cstheme="majorBidi"/>
          <w:i/>
          <w:iCs/>
        </w:rPr>
        <w:t>Morus indica</w:t>
      </w:r>
      <w:r w:rsidRPr="00A47DC2">
        <w:rPr>
          <w:rFonts w:asciiTheme="majorBidi" w:hAnsiTheme="majorBidi" w:cstheme="majorBidi"/>
        </w:rPr>
        <w:t xml:space="preserve"> L. cultivar S-36) using in vitro derived shoot meristems. </w:t>
      </w:r>
      <w:r w:rsidRPr="00A47DC2">
        <w:rPr>
          <w:rFonts w:asciiTheme="majorBidi" w:hAnsiTheme="majorBidi" w:cstheme="majorBidi"/>
          <w:i/>
          <w:iCs/>
        </w:rPr>
        <w:t>American Journal of Plant Sciences, 5</w:t>
      </w:r>
      <w:r w:rsidRPr="00A47DC2">
        <w:rPr>
          <w:rFonts w:asciiTheme="majorBidi" w:hAnsiTheme="majorBidi" w:cstheme="majorBidi"/>
        </w:rPr>
        <w:t>(1), 1–6. https://doi.org/10.4236/ajps.2014.51001</w:t>
      </w:r>
    </w:p>
    <w:p w14:paraId="5DC86D8D"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Choudhary, R., Chaudhury, R., Malik, S.K., Kumar, S., Pal, D. (2013). Genetic stability of mulberry germplasm after cryopreservation by two-step freezing technique. African Journal of Biotechnology, 12, 5983–5993.</w:t>
      </w:r>
    </w:p>
    <w:p w14:paraId="6D1FB182"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Deng, W., Li, X., Chen, H. et al. (2024). Physiological and transcriptomic dynamics in mulberry: insights into species-specific responses to midday depression. Genes, 15(12), 1571. https://doi.org/10.3390/genes15121571</w:t>
      </w:r>
    </w:p>
    <w:p w14:paraId="73E9A8A8"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lastRenderedPageBreak/>
        <w:t xml:space="preserve">Feng, Y., Zhang, C., Liu, X., Jiang, J. (2021). Biosafety concerns and regulatory challenges of genetically modified mulberry: A review. Plant Biotechnology Journal, 19(5), 856–870. </w:t>
      </w:r>
      <w:hyperlink r:id="rId10" w:history="1">
        <w:r w:rsidRPr="00A47DC2">
          <w:rPr>
            <w:rStyle w:val="Hyperlink"/>
            <w:rFonts w:asciiTheme="majorBidi" w:hAnsiTheme="majorBidi" w:cstheme="majorBidi"/>
          </w:rPr>
          <w:t>https://doi.org/10.1111/pbi.13598</w:t>
        </w:r>
      </w:hyperlink>
    </w:p>
    <w:p w14:paraId="65F82C8A"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Guha, A., </w:t>
      </w:r>
      <w:proofErr w:type="spellStart"/>
      <w:r w:rsidRPr="00A47DC2">
        <w:rPr>
          <w:rFonts w:asciiTheme="majorBidi" w:hAnsiTheme="majorBidi" w:cstheme="majorBidi"/>
        </w:rPr>
        <w:t>Rasineni</w:t>
      </w:r>
      <w:proofErr w:type="spellEnd"/>
      <w:r w:rsidRPr="00A47DC2">
        <w:rPr>
          <w:rFonts w:asciiTheme="majorBidi" w:hAnsiTheme="majorBidi" w:cstheme="majorBidi"/>
        </w:rPr>
        <w:t>, G. K., &amp; Reddy, A. R. (2010). Drought tolerance in mulberry (</w:t>
      </w:r>
      <w:r w:rsidRPr="00A47DC2">
        <w:rPr>
          <w:rFonts w:asciiTheme="majorBidi" w:hAnsiTheme="majorBidi" w:cstheme="majorBidi"/>
          <w:i/>
          <w:iCs/>
        </w:rPr>
        <w:t>Morus</w:t>
      </w:r>
      <w:r w:rsidRPr="00A47DC2">
        <w:rPr>
          <w:rFonts w:asciiTheme="majorBidi" w:hAnsiTheme="majorBidi" w:cstheme="majorBidi"/>
        </w:rPr>
        <w:t xml:space="preserve"> spp.): A physiological approach with insights into growth dynamics and leaf yield production. </w:t>
      </w:r>
      <w:r w:rsidRPr="00A47DC2">
        <w:rPr>
          <w:rFonts w:asciiTheme="majorBidi" w:hAnsiTheme="majorBidi" w:cstheme="majorBidi"/>
          <w:i/>
          <w:iCs/>
        </w:rPr>
        <w:t>Experimental Agriculture, 46</w:t>
      </w:r>
      <w:r w:rsidRPr="00A47DC2">
        <w:rPr>
          <w:rFonts w:asciiTheme="majorBidi" w:hAnsiTheme="majorBidi" w:cstheme="majorBidi"/>
        </w:rPr>
        <w:t xml:space="preserve">(4), 471–488. </w:t>
      </w:r>
      <w:hyperlink r:id="rId11" w:history="1">
        <w:r w:rsidRPr="00A47DC2">
          <w:rPr>
            <w:rStyle w:val="Hyperlink"/>
            <w:rFonts w:asciiTheme="majorBidi" w:hAnsiTheme="majorBidi" w:cstheme="majorBidi"/>
          </w:rPr>
          <w:t>https://doi.org/10.1017/S0014479710000360</w:t>
        </w:r>
      </w:hyperlink>
    </w:p>
    <w:p w14:paraId="7CD19F8B"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Harshitha C, Harishkumar Jayaram, Shalini KR and Yogesh Kumar B. Effect of nutritional fortification of mulberry leaf powder and extracts on </w:t>
      </w:r>
      <w:r w:rsidRPr="00A47DC2">
        <w:rPr>
          <w:rFonts w:asciiTheme="majorBidi" w:hAnsiTheme="majorBidi" w:cstheme="majorBidi"/>
          <w:i/>
          <w:iCs/>
        </w:rPr>
        <w:t>Bombyx mori</w:t>
      </w:r>
      <w:r w:rsidRPr="00A47DC2">
        <w:rPr>
          <w:rFonts w:asciiTheme="majorBidi" w:hAnsiTheme="majorBidi" w:cstheme="majorBidi"/>
        </w:rPr>
        <w:t xml:space="preserve"> L. Int. J. Adv. </w:t>
      </w:r>
      <w:proofErr w:type="spellStart"/>
      <w:r w:rsidRPr="00A47DC2">
        <w:rPr>
          <w:rFonts w:asciiTheme="majorBidi" w:hAnsiTheme="majorBidi" w:cstheme="majorBidi"/>
        </w:rPr>
        <w:t>Biochem</w:t>
      </w:r>
      <w:proofErr w:type="spellEnd"/>
      <w:r w:rsidRPr="00A47DC2">
        <w:rPr>
          <w:rFonts w:asciiTheme="majorBidi" w:hAnsiTheme="majorBidi" w:cstheme="majorBidi"/>
        </w:rPr>
        <w:t>. Res. 2024;8(8):865-868. DOI: </w:t>
      </w:r>
      <w:hyperlink r:id="rId12" w:tgtFrame="_blank" w:history="1">
        <w:r w:rsidRPr="00A47DC2">
          <w:rPr>
            <w:rStyle w:val="Hyperlink"/>
            <w:rFonts w:asciiTheme="majorBidi" w:hAnsiTheme="majorBidi" w:cstheme="majorBidi"/>
          </w:rPr>
          <w:t>10.33545/26174693.2024.v8.i8k.3649</w:t>
        </w:r>
      </w:hyperlink>
    </w:p>
    <w:p w14:paraId="10E2898A"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He, N., Zhang, C., Qi, X. et al. (2013). Draft genome sequence of the mulberry tree Morus notabilis. Nature Communications, 4, 2445. https://doi.org/10.1038/ncomms3445</w:t>
      </w:r>
    </w:p>
    <w:p w14:paraId="5DC3384A"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He, N., Zhang, C., Qi, X., Zhao, S., Tao, Y., Yang, G., Lee, T. H., Wang, X., Cai, Q., Li, D., Lu, M., Liao, S., Luo, G., He, R., Tan, X., Xu, Y., Li, T., Zhao, A., Jia, L., Fu, Q., &amp; Xiang, Z. (2013). Draft genome sequence of the mulberry tree </w:t>
      </w:r>
      <w:r w:rsidRPr="00A47DC2">
        <w:rPr>
          <w:rFonts w:asciiTheme="majorBidi" w:hAnsiTheme="majorBidi" w:cstheme="majorBidi"/>
          <w:i/>
          <w:iCs/>
        </w:rPr>
        <w:t>Morus notabilis</w:t>
      </w:r>
      <w:r w:rsidRPr="00A47DC2">
        <w:rPr>
          <w:rFonts w:asciiTheme="majorBidi" w:hAnsiTheme="majorBidi" w:cstheme="majorBidi"/>
        </w:rPr>
        <w:t xml:space="preserve">. </w:t>
      </w:r>
      <w:r w:rsidRPr="00A47DC2">
        <w:rPr>
          <w:rFonts w:asciiTheme="majorBidi" w:hAnsiTheme="majorBidi" w:cstheme="majorBidi"/>
          <w:i/>
          <w:iCs/>
        </w:rPr>
        <w:t>Nature Communications</w:t>
      </w:r>
      <w:r w:rsidRPr="00A47DC2">
        <w:rPr>
          <w:rFonts w:asciiTheme="majorBidi" w:hAnsiTheme="majorBidi" w:cstheme="majorBidi"/>
        </w:rPr>
        <w:t xml:space="preserve">, 4, 2445. </w:t>
      </w:r>
      <w:hyperlink r:id="rId13" w:tgtFrame="_new" w:history="1">
        <w:r w:rsidRPr="00A47DC2">
          <w:rPr>
            <w:rStyle w:val="Hyperlink"/>
            <w:rFonts w:asciiTheme="majorBidi" w:hAnsiTheme="majorBidi" w:cstheme="majorBidi"/>
          </w:rPr>
          <w:t>https://doi.org/10.1038/ncomms3445</w:t>
        </w:r>
      </w:hyperlink>
    </w:p>
    <w:p w14:paraId="255361D3"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Islam, M.S., Uddin, M.N., Miah, M.Y. (2019). Effect of organic manures on mulberry leaf yield and quality. Bangladesh Journal of Agricultural Research, 44(3), 423–434.</w:t>
      </w:r>
    </w:p>
    <w:p w14:paraId="0ADCA78F"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Khurana, P., Checker, V.G. (2011). The advent of genomics in mulberry and perspectives for productivity enhancement. Plant Cell Reports, 30, 825–838. https://doi.org/10.1007/s00299-011-1059-1</w:t>
      </w:r>
    </w:p>
    <w:p w14:paraId="4E14CC80"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Kumar, P., Singh, S., </w:t>
      </w:r>
      <w:proofErr w:type="spellStart"/>
      <w:r w:rsidRPr="00A47DC2">
        <w:rPr>
          <w:rFonts w:asciiTheme="majorBidi" w:hAnsiTheme="majorBidi" w:cstheme="majorBidi"/>
        </w:rPr>
        <w:t>Alavekar</w:t>
      </w:r>
      <w:proofErr w:type="spellEnd"/>
      <w:r w:rsidRPr="00A47DC2">
        <w:rPr>
          <w:rFonts w:asciiTheme="majorBidi" w:hAnsiTheme="majorBidi" w:cstheme="majorBidi"/>
        </w:rPr>
        <w:t xml:space="preserve">, S., &amp; Singh, R. P. (2025). Layering and its applications. In S. Jain, S. Jain, S. Kumari, S. H. </w:t>
      </w:r>
      <w:proofErr w:type="spellStart"/>
      <w:r w:rsidRPr="00A47DC2">
        <w:rPr>
          <w:rFonts w:asciiTheme="majorBidi" w:hAnsiTheme="majorBidi" w:cstheme="majorBidi"/>
        </w:rPr>
        <w:t>Alavekar</w:t>
      </w:r>
      <w:proofErr w:type="spellEnd"/>
      <w:r w:rsidRPr="00A47DC2">
        <w:rPr>
          <w:rFonts w:asciiTheme="majorBidi" w:hAnsiTheme="majorBidi" w:cstheme="majorBidi"/>
        </w:rPr>
        <w:t xml:space="preserve">, &amp; S. Raj (Eds.), </w:t>
      </w:r>
      <w:r w:rsidRPr="00A47DC2">
        <w:rPr>
          <w:rFonts w:asciiTheme="majorBidi" w:hAnsiTheme="majorBidi" w:cstheme="majorBidi"/>
          <w:i/>
          <w:iCs/>
        </w:rPr>
        <w:t>Plant propagation in horticulture crops</w:t>
      </w:r>
      <w:r w:rsidRPr="00A47DC2">
        <w:rPr>
          <w:rFonts w:asciiTheme="majorBidi" w:hAnsiTheme="majorBidi" w:cstheme="majorBidi"/>
        </w:rPr>
        <w:t xml:space="preserve"> (pp. 89–122). A K International Publication. </w:t>
      </w:r>
    </w:p>
    <w:p w14:paraId="0EF62325"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Li, R., Fan, T., Wang, T. et al. (2018). Characterization and functional analysis of miR166f in drought stress tolerance in mulberry (</w:t>
      </w:r>
      <w:proofErr w:type="spellStart"/>
      <w:r w:rsidRPr="00A47DC2">
        <w:rPr>
          <w:rFonts w:asciiTheme="majorBidi" w:hAnsiTheme="majorBidi" w:cstheme="majorBidi"/>
        </w:rPr>
        <w:t>Morus</w:t>
      </w:r>
      <w:proofErr w:type="spellEnd"/>
      <w:r w:rsidRPr="00A47DC2">
        <w:rPr>
          <w:rFonts w:asciiTheme="majorBidi" w:hAnsiTheme="majorBidi" w:cstheme="majorBidi"/>
        </w:rPr>
        <w:t xml:space="preserve"> </w:t>
      </w:r>
      <w:proofErr w:type="spellStart"/>
      <w:r w:rsidRPr="00A47DC2">
        <w:rPr>
          <w:rFonts w:asciiTheme="majorBidi" w:hAnsiTheme="majorBidi" w:cstheme="majorBidi"/>
        </w:rPr>
        <w:t>multicaulis</w:t>
      </w:r>
      <w:proofErr w:type="spellEnd"/>
      <w:r w:rsidRPr="00A47DC2">
        <w:rPr>
          <w:rFonts w:asciiTheme="majorBidi" w:hAnsiTheme="majorBidi" w:cstheme="majorBidi"/>
        </w:rPr>
        <w:t>). Molecular Breeding. https://doi.org/10.1007/s11032-018-0886-y</w:t>
      </w:r>
    </w:p>
    <w:p w14:paraId="13AEF159"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Lu, N., Luo, Z., Ke, Y., Dai, L., Duan, H., Hou, R., Cui, B., Dou, S., Zhang, Y., Sun, Y., &amp; Li, Y. (2017). Growth, Physiological, Biochemical, and Ionic Responses of </w:t>
      </w:r>
      <w:r w:rsidRPr="00A47DC2">
        <w:rPr>
          <w:rFonts w:asciiTheme="majorBidi" w:hAnsiTheme="majorBidi" w:cstheme="majorBidi"/>
          <w:i/>
          <w:iCs/>
        </w:rPr>
        <w:t>Morus alba</w:t>
      </w:r>
      <w:r w:rsidRPr="00A47DC2">
        <w:rPr>
          <w:rFonts w:asciiTheme="majorBidi" w:hAnsiTheme="majorBidi" w:cstheme="majorBidi"/>
        </w:rPr>
        <w:t> L. Seedlings to Various Salinity Levels. </w:t>
      </w:r>
      <w:r w:rsidRPr="00A47DC2">
        <w:rPr>
          <w:rFonts w:asciiTheme="majorBidi" w:hAnsiTheme="majorBidi" w:cstheme="majorBidi"/>
          <w:i/>
          <w:iCs/>
        </w:rPr>
        <w:t>Forests</w:t>
      </w:r>
      <w:r w:rsidRPr="00A47DC2">
        <w:rPr>
          <w:rFonts w:asciiTheme="majorBidi" w:hAnsiTheme="majorBidi" w:cstheme="majorBidi"/>
        </w:rPr>
        <w:t>, </w:t>
      </w:r>
      <w:r w:rsidRPr="00A47DC2">
        <w:rPr>
          <w:rFonts w:asciiTheme="majorBidi" w:hAnsiTheme="majorBidi" w:cstheme="majorBidi"/>
          <w:i/>
          <w:iCs/>
        </w:rPr>
        <w:t>8</w:t>
      </w:r>
      <w:r w:rsidRPr="00A47DC2">
        <w:rPr>
          <w:rFonts w:asciiTheme="majorBidi" w:hAnsiTheme="majorBidi" w:cstheme="majorBidi"/>
        </w:rPr>
        <w:t>(12), 488. https://doi.org/10.3390/f8120488</w:t>
      </w:r>
    </w:p>
    <w:p w14:paraId="396DB1EF"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proofErr w:type="spellStart"/>
      <w:r w:rsidRPr="00A47DC2">
        <w:rPr>
          <w:rFonts w:asciiTheme="majorBidi" w:hAnsiTheme="majorBidi" w:cstheme="majorBidi"/>
        </w:rPr>
        <w:t>Mogili</w:t>
      </w:r>
      <w:proofErr w:type="spellEnd"/>
      <w:r w:rsidRPr="00A47DC2">
        <w:rPr>
          <w:rFonts w:asciiTheme="majorBidi" w:hAnsiTheme="majorBidi" w:cstheme="majorBidi"/>
        </w:rPr>
        <w:t xml:space="preserve">, T., Sarkar, T., </w:t>
      </w:r>
      <w:proofErr w:type="spellStart"/>
      <w:r w:rsidRPr="00A47DC2">
        <w:rPr>
          <w:rFonts w:asciiTheme="majorBidi" w:hAnsiTheme="majorBidi" w:cstheme="majorBidi"/>
        </w:rPr>
        <w:t>Gnanesh</w:t>
      </w:r>
      <w:proofErr w:type="spellEnd"/>
      <w:r w:rsidRPr="00A47DC2">
        <w:rPr>
          <w:rFonts w:asciiTheme="majorBidi" w:hAnsiTheme="majorBidi" w:cstheme="majorBidi"/>
        </w:rPr>
        <w:t>, B.N. (2023). Mulberry breeding for higher leaf productivity. In: The Mulberry Genome. Springer International Publishing, Cham, pp. 57–114.</w:t>
      </w:r>
    </w:p>
    <w:p w14:paraId="404FE60E"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Moulidharshan, R., Nandha Kumar, R., Lokesh Kumar, P., Savitha, G., Pavithra, M. R., Siva Sankar, M., Anusuya, K., &amp; Purad, B. S. (2025). </w:t>
      </w:r>
      <w:r w:rsidRPr="00A47DC2">
        <w:rPr>
          <w:rFonts w:asciiTheme="majorBidi" w:hAnsiTheme="majorBidi" w:cstheme="majorBidi"/>
          <w:b/>
          <w:bCs/>
        </w:rPr>
        <w:t>CRISPR and beyond: A review of genome editing technologies transforming silkworm (</w:t>
      </w:r>
      <w:r w:rsidRPr="00A47DC2">
        <w:rPr>
          <w:rFonts w:asciiTheme="majorBidi" w:hAnsiTheme="majorBidi" w:cstheme="majorBidi"/>
          <w:b/>
          <w:bCs/>
          <w:i/>
          <w:iCs/>
        </w:rPr>
        <w:t>Bombyx mori</w:t>
      </w:r>
      <w:r w:rsidRPr="00A47DC2">
        <w:rPr>
          <w:rFonts w:asciiTheme="majorBidi" w:hAnsiTheme="majorBidi" w:cstheme="majorBidi"/>
          <w:b/>
          <w:bCs/>
        </w:rPr>
        <w:t>) and mulberry (</w:t>
      </w:r>
      <w:r w:rsidRPr="00A47DC2">
        <w:rPr>
          <w:rFonts w:asciiTheme="majorBidi" w:hAnsiTheme="majorBidi" w:cstheme="majorBidi"/>
          <w:b/>
          <w:bCs/>
          <w:i/>
          <w:iCs/>
        </w:rPr>
        <w:t>Morus</w:t>
      </w:r>
      <w:r w:rsidRPr="00A47DC2">
        <w:rPr>
          <w:rFonts w:asciiTheme="majorBidi" w:hAnsiTheme="majorBidi" w:cstheme="majorBidi"/>
          <w:b/>
          <w:bCs/>
        </w:rPr>
        <w:t xml:space="preserve"> spp.) research.</w:t>
      </w:r>
      <w:r w:rsidRPr="00A47DC2">
        <w:rPr>
          <w:rFonts w:asciiTheme="majorBidi" w:hAnsiTheme="majorBidi" w:cstheme="majorBidi"/>
        </w:rPr>
        <w:t xml:space="preserve"> </w:t>
      </w:r>
      <w:r w:rsidRPr="00A47DC2">
        <w:rPr>
          <w:rFonts w:asciiTheme="majorBidi" w:hAnsiTheme="majorBidi" w:cstheme="majorBidi"/>
          <w:i/>
          <w:iCs/>
        </w:rPr>
        <w:t>Journal of Advances in Biology &amp; Biotechnology, 28</w:t>
      </w:r>
      <w:r w:rsidRPr="00A47DC2">
        <w:rPr>
          <w:rFonts w:asciiTheme="majorBidi" w:hAnsiTheme="majorBidi" w:cstheme="majorBidi"/>
        </w:rPr>
        <w:t xml:space="preserve">(7), 1068–1079. </w:t>
      </w:r>
      <w:hyperlink r:id="rId14" w:tgtFrame="_new" w:history="1">
        <w:r w:rsidRPr="00A47DC2">
          <w:rPr>
            <w:rStyle w:val="Hyperlink"/>
            <w:rFonts w:asciiTheme="majorBidi" w:hAnsiTheme="majorBidi" w:cstheme="majorBidi"/>
          </w:rPr>
          <w:t>https://doi.org/10.9734/jabb/2025/v28i72623</w:t>
        </w:r>
      </w:hyperlink>
    </w:p>
    <w:p w14:paraId="543984D2"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lastRenderedPageBreak/>
        <w:t xml:space="preserve">Muzamil, A., Ahmad, T., Fatima, S. et al. (2023). Effect of amino acid fortified mulberry leaves on economic and biological traits of Bombyx mori L. </w:t>
      </w:r>
      <w:proofErr w:type="spellStart"/>
      <w:r w:rsidRPr="00A47DC2">
        <w:rPr>
          <w:rFonts w:asciiTheme="majorBidi" w:hAnsiTheme="majorBidi" w:cstheme="majorBidi"/>
        </w:rPr>
        <w:t>Heliyon</w:t>
      </w:r>
      <w:proofErr w:type="spellEnd"/>
      <w:r w:rsidRPr="00A47DC2">
        <w:rPr>
          <w:rFonts w:asciiTheme="majorBidi" w:hAnsiTheme="majorBidi" w:cstheme="majorBidi"/>
        </w:rPr>
        <w:t>. https://doi.org/10.1016/j.heliyon.2023.e21138</w:t>
      </w:r>
    </w:p>
    <w:p w14:paraId="3DA94F0C"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Pandey, R. (2019). </w:t>
      </w:r>
      <w:r w:rsidRPr="00A47DC2">
        <w:rPr>
          <w:rFonts w:asciiTheme="majorBidi" w:hAnsiTheme="majorBidi" w:cstheme="majorBidi"/>
          <w:b/>
          <w:bCs/>
        </w:rPr>
        <w:t>Vermicomposting of sericultural wastes.</w:t>
      </w:r>
    </w:p>
    <w:p w14:paraId="234A4246"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Qadir, J., Aryan, S., Pavankumar, S., Afreen, S., &amp; Sudan, N. (2024). An overview of tissue culture techniques for crop improvement in mulberry. </w:t>
      </w:r>
      <w:r w:rsidRPr="00A47DC2">
        <w:rPr>
          <w:rFonts w:asciiTheme="majorBidi" w:hAnsiTheme="majorBidi" w:cstheme="majorBidi"/>
          <w:i/>
          <w:iCs/>
        </w:rPr>
        <w:t>International Journal of Research in Agronomy, 7</w:t>
      </w:r>
      <w:r w:rsidRPr="00A47DC2">
        <w:rPr>
          <w:rFonts w:asciiTheme="majorBidi" w:hAnsiTheme="majorBidi" w:cstheme="majorBidi"/>
        </w:rPr>
        <w:t xml:space="preserve">(8S), 763–768. </w:t>
      </w:r>
      <w:hyperlink r:id="rId15" w:history="1">
        <w:r w:rsidRPr="00A47DC2">
          <w:rPr>
            <w:rStyle w:val="Hyperlink"/>
            <w:rFonts w:asciiTheme="majorBidi" w:hAnsiTheme="majorBidi" w:cstheme="majorBidi"/>
          </w:rPr>
          <w:t>https://doi.org/10.33545/2618060X.2024.v7.i8Sj.1370</w:t>
        </w:r>
      </w:hyperlink>
    </w:p>
    <w:p w14:paraId="72DD32C5"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Rafiqui, A. R., Ayoub, O. B., Ganie, A. H., Wani, S. A., &amp; Khan, I. L. (2022). Polyploidy breeding in mulberry: A review. </w:t>
      </w:r>
      <w:r w:rsidRPr="00A47DC2">
        <w:rPr>
          <w:rFonts w:asciiTheme="majorBidi" w:hAnsiTheme="majorBidi" w:cstheme="majorBidi"/>
          <w:i/>
          <w:iCs/>
        </w:rPr>
        <w:t>SKUAST Journal of Research, 24</w:t>
      </w:r>
      <w:r w:rsidRPr="00A47DC2">
        <w:rPr>
          <w:rFonts w:asciiTheme="majorBidi" w:hAnsiTheme="majorBidi" w:cstheme="majorBidi"/>
        </w:rPr>
        <w:t xml:space="preserve">(3), 285–294. </w:t>
      </w:r>
    </w:p>
    <w:p w14:paraId="2AF1AA60"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Sarkar, T., </w:t>
      </w:r>
      <w:proofErr w:type="spellStart"/>
      <w:r w:rsidRPr="00A47DC2">
        <w:rPr>
          <w:rFonts w:asciiTheme="majorBidi" w:hAnsiTheme="majorBidi" w:cstheme="majorBidi"/>
        </w:rPr>
        <w:t>Mogili</w:t>
      </w:r>
      <w:proofErr w:type="spellEnd"/>
      <w:r w:rsidRPr="00A47DC2">
        <w:rPr>
          <w:rFonts w:asciiTheme="majorBidi" w:hAnsiTheme="majorBidi" w:cstheme="majorBidi"/>
        </w:rPr>
        <w:t xml:space="preserve">, T., &amp; </w:t>
      </w:r>
      <w:proofErr w:type="spellStart"/>
      <w:r w:rsidRPr="00A47DC2">
        <w:rPr>
          <w:rFonts w:asciiTheme="majorBidi" w:hAnsiTheme="majorBidi" w:cstheme="majorBidi"/>
        </w:rPr>
        <w:t>Sivaprasad</w:t>
      </w:r>
      <w:proofErr w:type="spellEnd"/>
      <w:r w:rsidRPr="00A47DC2">
        <w:rPr>
          <w:rFonts w:asciiTheme="majorBidi" w:hAnsiTheme="majorBidi" w:cstheme="majorBidi"/>
        </w:rPr>
        <w:t>, V. (2017). Improvement of abiotic stress adaptive traits in mulberry (Morus spp.): an update on biotechnological interventions. </w:t>
      </w:r>
      <w:r w:rsidRPr="00A47DC2">
        <w:rPr>
          <w:rFonts w:asciiTheme="majorBidi" w:hAnsiTheme="majorBidi" w:cstheme="majorBidi"/>
          <w:i/>
          <w:iCs/>
        </w:rPr>
        <w:t>3 Biotech</w:t>
      </w:r>
      <w:r w:rsidRPr="00A47DC2">
        <w:rPr>
          <w:rFonts w:asciiTheme="majorBidi" w:hAnsiTheme="majorBidi" w:cstheme="majorBidi"/>
        </w:rPr>
        <w:t>, </w:t>
      </w:r>
      <w:r w:rsidRPr="00A47DC2">
        <w:rPr>
          <w:rFonts w:asciiTheme="majorBidi" w:hAnsiTheme="majorBidi" w:cstheme="majorBidi"/>
          <w:i/>
          <w:iCs/>
        </w:rPr>
        <w:t>7</w:t>
      </w:r>
      <w:r w:rsidRPr="00A47DC2">
        <w:rPr>
          <w:rFonts w:asciiTheme="majorBidi" w:hAnsiTheme="majorBidi" w:cstheme="majorBidi"/>
        </w:rPr>
        <w:t xml:space="preserve">(3), 214. </w:t>
      </w:r>
      <w:hyperlink r:id="rId16" w:history="1">
        <w:r w:rsidRPr="00A47DC2">
          <w:rPr>
            <w:rStyle w:val="Hyperlink"/>
            <w:rFonts w:asciiTheme="majorBidi" w:hAnsiTheme="majorBidi" w:cstheme="majorBidi"/>
          </w:rPr>
          <w:t>https://doi.org/10.1007/s13205-017-0829-z</w:t>
        </w:r>
      </w:hyperlink>
    </w:p>
    <w:p w14:paraId="1421F3A1"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Sarkar, T., </w:t>
      </w:r>
      <w:proofErr w:type="spellStart"/>
      <w:r w:rsidRPr="00A47DC2">
        <w:rPr>
          <w:rFonts w:asciiTheme="majorBidi" w:hAnsiTheme="majorBidi" w:cstheme="majorBidi"/>
        </w:rPr>
        <w:t>Mogili</w:t>
      </w:r>
      <w:proofErr w:type="spellEnd"/>
      <w:r w:rsidRPr="00A47DC2">
        <w:rPr>
          <w:rFonts w:asciiTheme="majorBidi" w:hAnsiTheme="majorBidi" w:cstheme="majorBidi"/>
        </w:rPr>
        <w:t xml:space="preserve">, T., Doss, S. G., &amp; </w:t>
      </w:r>
      <w:proofErr w:type="spellStart"/>
      <w:r w:rsidRPr="00A47DC2">
        <w:rPr>
          <w:rFonts w:asciiTheme="majorBidi" w:hAnsiTheme="majorBidi" w:cstheme="majorBidi"/>
        </w:rPr>
        <w:t>Sivaprasad</w:t>
      </w:r>
      <w:proofErr w:type="spellEnd"/>
      <w:r w:rsidRPr="00A47DC2">
        <w:rPr>
          <w:rFonts w:asciiTheme="majorBidi" w:hAnsiTheme="majorBidi" w:cstheme="majorBidi"/>
        </w:rPr>
        <w:t>, V. (2018). Tissue culture in mulberry (</w:t>
      </w:r>
      <w:r w:rsidRPr="00A47DC2">
        <w:rPr>
          <w:rFonts w:asciiTheme="majorBidi" w:hAnsiTheme="majorBidi" w:cstheme="majorBidi"/>
          <w:i/>
          <w:iCs/>
        </w:rPr>
        <w:t>Morus</w:t>
      </w:r>
      <w:r w:rsidRPr="00A47DC2">
        <w:rPr>
          <w:rFonts w:asciiTheme="majorBidi" w:hAnsiTheme="majorBidi" w:cstheme="majorBidi"/>
        </w:rPr>
        <w:t xml:space="preserve"> spp.) intending genetic improvement, micropropagation and secondary metabolite production: A review on current status and future prospects. In M. A. Malik, M. Z. Abdin, &amp; M. M. Khan (Eds.), </w:t>
      </w:r>
      <w:r w:rsidRPr="00A47DC2">
        <w:rPr>
          <w:rFonts w:asciiTheme="majorBidi" w:hAnsiTheme="majorBidi" w:cstheme="majorBidi"/>
          <w:i/>
          <w:iCs/>
        </w:rPr>
        <w:t>Biotechnological approaches for medicinal and aromatic plants</w:t>
      </w:r>
      <w:r w:rsidRPr="00A47DC2">
        <w:rPr>
          <w:rFonts w:asciiTheme="majorBidi" w:hAnsiTheme="majorBidi" w:cstheme="majorBidi"/>
        </w:rPr>
        <w:t xml:space="preserve"> (pp. 467–487). Springer. </w:t>
      </w:r>
      <w:hyperlink r:id="rId17" w:history="1">
        <w:r w:rsidRPr="00A47DC2">
          <w:rPr>
            <w:rStyle w:val="Hyperlink"/>
            <w:rFonts w:asciiTheme="majorBidi" w:hAnsiTheme="majorBidi" w:cstheme="majorBidi"/>
          </w:rPr>
          <w:t>https://doi.org/10.1007/978-981-13-0535-1_21</w:t>
        </w:r>
      </w:hyperlink>
    </w:p>
    <w:p w14:paraId="758C174A"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Shafique, M., Ali, W., Bukhari, S. M., &amp; Mehmood, </w:t>
      </w:r>
      <w:proofErr w:type="gramStart"/>
      <w:r w:rsidRPr="00A47DC2">
        <w:rPr>
          <w:rFonts w:asciiTheme="majorBidi" w:hAnsiTheme="majorBidi" w:cstheme="majorBidi"/>
        </w:rPr>
        <w:t>S. .</w:t>
      </w:r>
      <w:proofErr w:type="gramEnd"/>
      <w:r w:rsidRPr="00A47DC2">
        <w:rPr>
          <w:rFonts w:asciiTheme="majorBidi" w:hAnsiTheme="majorBidi" w:cstheme="majorBidi"/>
        </w:rPr>
        <w:t xml:space="preserve"> (2025). Improving Silkworm (Bombyx mori) Growth and Survival through Mulberry Leaves: A Study on Sustainable Sericulture and Biodiversity. </w:t>
      </w:r>
      <w:r w:rsidRPr="00A47DC2">
        <w:rPr>
          <w:rFonts w:asciiTheme="majorBidi" w:hAnsiTheme="majorBidi" w:cstheme="majorBidi"/>
          <w:i/>
          <w:iCs/>
        </w:rPr>
        <w:t>Journal of Wildlife and Biodiversity</w:t>
      </w:r>
      <w:r w:rsidRPr="00A47DC2">
        <w:rPr>
          <w:rFonts w:asciiTheme="majorBidi" w:hAnsiTheme="majorBidi" w:cstheme="majorBidi"/>
        </w:rPr>
        <w:t>, </w:t>
      </w:r>
      <w:r w:rsidRPr="00A47DC2">
        <w:rPr>
          <w:rFonts w:asciiTheme="majorBidi" w:hAnsiTheme="majorBidi" w:cstheme="majorBidi"/>
          <w:i/>
          <w:iCs/>
        </w:rPr>
        <w:t>9</w:t>
      </w:r>
      <w:r w:rsidRPr="00A47DC2">
        <w:rPr>
          <w:rFonts w:asciiTheme="majorBidi" w:hAnsiTheme="majorBidi" w:cstheme="majorBidi"/>
        </w:rPr>
        <w:t>(4), 134–152. https://doi.org/10.5281/zenodo.18222526</w:t>
      </w:r>
    </w:p>
    <w:p w14:paraId="1A666DBE"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Suraksha </w:t>
      </w:r>
      <w:proofErr w:type="spellStart"/>
      <w:r w:rsidRPr="00A47DC2">
        <w:rPr>
          <w:rFonts w:asciiTheme="majorBidi" w:hAnsiTheme="majorBidi" w:cstheme="majorBidi"/>
        </w:rPr>
        <w:t>Chanotra</w:t>
      </w:r>
      <w:proofErr w:type="spellEnd"/>
      <w:r w:rsidRPr="00A47DC2">
        <w:rPr>
          <w:rFonts w:asciiTheme="majorBidi" w:hAnsiTheme="majorBidi" w:cstheme="majorBidi"/>
        </w:rPr>
        <w:t xml:space="preserve">, Monika </w:t>
      </w:r>
      <w:proofErr w:type="spellStart"/>
      <w:r w:rsidRPr="00A47DC2">
        <w:rPr>
          <w:rFonts w:asciiTheme="majorBidi" w:hAnsiTheme="majorBidi" w:cstheme="majorBidi"/>
        </w:rPr>
        <w:t>Attri</w:t>
      </w:r>
      <w:proofErr w:type="spellEnd"/>
      <w:r w:rsidRPr="00A47DC2">
        <w:rPr>
          <w:rFonts w:asciiTheme="majorBidi" w:hAnsiTheme="majorBidi" w:cstheme="majorBidi"/>
        </w:rPr>
        <w:t>, Gurvinder Raj Verma. Mulberry based integrated cropping system: An ideal approach for effective utilization of land resources in Sericulture. Int J Agric Extension Social Dev 2024;7(4S):36-39. DOI: </w:t>
      </w:r>
      <w:hyperlink r:id="rId18" w:tgtFrame="_blank" w:history="1">
        <w:r w:rsidRPr="00A47DC2">
          <w:rPr>
            <w:rStyle w:val="Hyperlink"/>
            <w:rFonts w:asciiTheme="majorBidi" w:hAnsiTheme="majorBidi" w:cstheme="majorBidi"/>
          </w:rPr>
          <w:t>10.33545/</w:t>
        </w:r>
        <w:proofErr w:type="gramStart"/>
        <w:r w:rsidRPr="00A47DC2">
          <w:rPr>
            <w:rStyle w:val="Hyperlink"/>
            <w:rFonts w:asciiTheme="majorBidi" w:hAnsiTheme="majorBidi" w:cstheme="majorBidi"/>
          </w:rPr>
          <w:t>26180723.2024.v</w:t>
        </w:r>
        <w:proofErr w:type="gramEnd"/>
        <w:r w:rsidRPr="00A47DC2">
          <w:rPr>
            <w:rStyle w:val="Hyperlink"/>
            <w:rFonts w:asciiTheme="majorBidi" w:hAnsiTheme="majorBidi" w:cstheme="majorBidi"/>
          </w:rPr>
          <w:t>7.i4Sa.523</w:t>
        </w:r>
      </w:hyperlink>
    </w:p>
    <w:p w14:paraId="668CCF3D" w14:textId="77777777" w:rsidR="003A283B" w:rsidRPr="00A47DC2" w:rsidRDefault="003A283B" w:rsidP="00A47DC2">
      <w:pPr>
        <w:pStyle w:val="ListParagraph"/>
        <w:numPr>
          <w:ilvl w:val="0"/>
          <w:numId w:val="3"/>
        </w:numPr>
        <w:spacing w:before="60" w:after="60" w:line="276" w:lineRule="auto"/>
        <w:jc w:val="both"/>
        <w:rPr>
          <w:rFonts w:asciiTheme="majorBidi" w:hAnsiTheme="majorBidi" w:cstheme="majorBidi"/>
        </w:rPr>
      </w:pPr>
      <w:r w:rsidRPr="00A47DC2">
        <w:rPr>
          <w:rFonts w:asciiTheme="majorBidi" w:hAnsiTheme="majorBidi" w:cstheme="majorBidi"/>
        </w:rPr>
        <w:t xml:space="preserve">Vijayan, K., </w:t>
      </w:r>
      <w:proofErr w:type="spellStart"/>
      <w:r w:rsidRPr="00A47DC2">
        <w:rPr>
          <w:rFonts w:asciiTheme="majorBidi" w:hAnsiTheme="majorBidi" w:cstheme="majorBidi"/>
        </w:rPr>
        <w:t>Gnanesh</w:t>
      </w:r>
      <w:proofErr w:type="spellEnd"/>
      <w:r w:rsidRPr="00A47DC2">
        <w:rPr>
          <w:rFonts w:asciiTheme="majorBidi" w:hAnsiTheme="majorBidi" w:cstheme="majorBidi"/>
        </w:rPr>
        <w:t>, B.N., Shabnam, A.A. et al. (2022). Genomic Designing for Abiotic Stress Resistance in Mulberry (Morus spp.). In: Kole, C. (ed.) Genomic Designing for Abiotic Stress Resistant Technical Crops. Springer, Cham. https://doi.org/10.1007/978-3-031-05706-9_7</w:t>
      </w:r>
    </w:p>
    <w:p w14:paraId="058A9B56" w14:textId="77777777" w:rsidR="008A52D5" w:rsidRPr="002C617B" w:rsidRDefault="008A52D5" w:rsidP="002C617B">
      <w:pPr>
        <w:spacing w:before="60" w:after="60" w:line="276" w:lineRule="auto"/>
        <w:ind w:left="720" w:hanging="720"/>
        <w:jc w:val="both"/>
        <w:rPr>
          <w:rFonts w:asciiTheme="majorBidi" w:hAnsiTheme="majorBidi" w:cstheme="majorBidi"/>
        </w:rPr>
      </w:pPr>
      <w:bookmarkStart w:id="0" w:name="_GoBack"/>
      <w:bookmarkEnd w:id="0"/>
    </w:p>
    <w:sectPr w:rsidR="008A52D5" w:rsidRPr="002C617B" w:rsidSect="002A65E8">
      <w:headerReference w:type="even" r:id="rId19"/>
      <w:headerReference w:type="default" r:id="rId20"/>
      <w:footerReference w:type="even" r:id="rId21"/>
      <w:footerReference w:type="default" r:id="rId22"/>
      <w:headerReference w:type="first" r:id="rId23"/>
      <w:footerReference w:type="first" r:id="rId24"/>
      <w:pgSz w:w="12240" w:h="15840"/>
      <w:pgMar w:top="1276" w:right="126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82266" w14:textId="77777777" w:rsidR="0028365E" w:rsidRDefault="0028365E">
      <w:r>
        <w:separator/>
      </w:r>
    </w:p>
  </w:endnote>
  <w:endnote w:type="continuationSeparator" w:id="0">
    <w:p w14:paraId="265260B2" w14:textId="77777777" w:rsidR="0028365E" w:rsidRDefault="00283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61283" w14:textId="77777777" w:rsidR="00766B3D" w:rsidRDefault="00766B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6A993" w14:textId="4E675768" w:rsidR="004B37A0" w:rsidRDefault="004B37A0">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6B0CA" w14:textId="77777777" w:rsidR="00766B3D" w:rsidRDefault="00766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2AB35" w14:textId="77777777" w:rsidR="0028365E" w:rsidRDefault="0028365E">
      <w:r>
        <w:separator/>
      </w:r>
    </w:p>
  </w:footnote>
  <w:footnote w:type="continuationSeparator" w:id="0">
    <w:p w14:paraId="3E5020CF" w14:textId="77777777" w:rsidR="0028365E" w:rsidRDefault="00283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915DF" w14:textId="3B510AFC" w:rsidR="00766B3D" w:rsidRDefault="0028365E">
    <w:pPr>
      <w:pStyle w:val="Header"/>
    </w:pPr>
    <w:r>
      <w:rPr>
        <w:noProof/>
      </w:rPr>
      <w:pict w14:anchorId="041882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632344" o:spid="_x0000_s2050" type="#_x0000_t136" style="position:absolute;margin-left:0;margin-top:0;width:604.3pt;height:68.1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45087" w14:textId="7AE2E7FA" w:rsidR="00766B3D" w:rsidRDefault="0028365E">
    <w:pPr>
      <w:pStyle w:val="Header"/>
    </w:pPr>
    <w:r>
      <w:rPr>
        <w:noProof/>
      </w:rPr>
      <w:pict w14:anchorId="5816B9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632345" o:spid="_x0000_s2051" type="#_x0000_t136" style="position:absolute;margin-left:0;margin-top:0;width:604.3pt;height:68.1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2CCFA" w14:textId="74E499BB" w:rsidR="00766B3D" w:rsidRDefault="0028365E">
    <w:pPr>
      <w:pStyle w:val="Header"/>
    </w:pPr>
    <w:r>
      <w:rPr>
        <w:noProof/>
      </w:rPr>
      <w:pict w14:anchorId="561EC1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632343" o:spid="_x0000_s2049" type="#_x0000_t136" style="position:absolute;margin-left:0;margin-top:0;width:604.3pt;height:68.1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A62C13"/>
    <w:multiLevelType w:val="hybridMultilevel"/>
    <w:tmpl w:val="24C877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D397DA4"/>
    <w:multiLevelType w:val="hybridMultilevel"/>
    <w:tmpl w:val="5B22B46E"/>
    <w:lvl w:ilvl="0" w:tplc="85C8AD4E">
      <w:start w:val="1"/>
      <w:numFmt w:val="bullet"/>
      <w:lvlText w:val="●"/>
      <w:lvlJc w:val="left"/>
      <w:pPr>
        <w:ind w:left="720" w:hanging="360"/>
      </w:pPr>
    </w:lvl>
    <w:lvl w:ilvl="1" w:tplc="30FEC9FC">
      <w:start w:val="1"/>
      <w:numFmt w:val="bullet"/>
      <w:lvlText w:val="○"/>
      <w:lvlJc w:val="left"/>
      <w:pPr>
        <w:ind w:left="1440" w:hanging="360"/>
      </w:pPr>
    </w:lvl>
    <w:lvl w:ilvl="2" w:tplc="5B1233E6">
      <w:start w:val="1"/>
      <w:numFmt w:val="bullet"/>
      <w:lvlText w:val="■"/>
      <w:lvlJc w:val="left"/>
      <w:pPr>
        <w:ind w:left="2160" w:hanging="360"/>
      </w:pPr>
    </w:lvl>
    <w:lvl w:ilvl="3" w:tplc="7674B224">
      <w:start w:val="1"/>
      <w:numFmt w:val="bullet"/>
      <w:lvlText w:val="●"/>
      <w:lvlJc w:val="left"/>
      <w:pPr>
        <w:ind w:left="2880" w:hanging="360"/>
      </w:pPr>
    </w:lvl>
    <w:lvl w:ilvl="4" w:tplc="8326CC98">
      <w:start w:val="1"/>
      <w:numFmt w:val="bullet"/>
      <w:lvlText w:val="○"/>
      <w:lvlJc w:val="left"/>
      <w:pPr>
        <w:ind w:left="3600" w:hanging="360"/>
      </w:pPr>
    </w:lvl>
    <w:lvl w:ilvl="5" w:tplc="5E02D0BC">
      <w:start w:val="1"/>
      <w:numFmt w:val="bullet"/>
      <w:lvlText w:val="■"/>
      <w:lvlJc w:val="left"/>
      <w:pPr>
        <w:ind w:left="4320" w:hanging="360"/>
      </w:pPr>
    </w:lvl>
    <w:lvl w:ilvl="6" w:tplc="49CC87B8">
      <w:start w:val="1"/>
      <w:numFmt w:val="bullet"/>
      <w:lvlText w:val="●"/>
      <w:lvlJc w:val="left"/>
      <w:pPr>
        <w:ind w:left="5040" w:hanging="360"/>
      </w:pPr>
    </w:lvl>
    <w:lvl w:ilvl="7" w:tplc="0A92EB64">
      <w:start w:val="1"/>
      <w:numFmt w:val="bullet"/>
      <w:lvlText w:val="●"/>
      <w:lvlJc w:val="left"/>
      <w:pPr>
        <w:ind w:left="5760" w:hanging="360"/>
      </w:pPr>
    </w:lvl>
    <w:lvl w:ilvl="8" w:tplc="ED58C76E">
      <w:start w:val="1"/>
      <w:numFmt w:val="bullet"/>
      <w:lvlText w:val="●"/>
      <w:lvlJc w:val="left"/>
      <w:pPr>
        <w:ind w:left="6480" w:hanging="360"/>
      </w:pPr>
    </w:lvl>
  </w:abstractNum>
  <w:abstractNum w:abstractNumId="2" w15:restartNumberingAfterBreak="0">
    <w:nsid w:val="680563F2"/>
    <w:multiLevelType w:val="hybridMultilevel"/>
    <w:tmpl w:val="EB0AA3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lvlOverride w:ilvl="0">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7A0"/>
    <w:rsid w:val="00056139"/>
    <w:rsid w:val="000846CD"/>
    <w:rsid w:val="000E34CB"/>
    <w:rsid w:val="00127C43"/>
    <w:rsid w:val="00156A5D"/>
    <w:rsid w:val="00191C4E"/>
    <w:rsid w:val="001D2E9C"/>
    <w:rsid w:val="0022679E"/>
    <w:rsid w:val="00265B68"/>
    <w:rsid w:val="0028365E"/>
    <w:rsid w:val="002A65E8"/>
    <w:rsid w:val="002C617B"/>
    <w:rsid w:val="002D4BFF"/>
    <w:rsid w:val="002D66A3"/>
    <w:rsid w:val="00364859"/>
    <w:rsid w:val="00396189"/>
    <w:rsid w:val="003A283B"/>
    <w:rsid w:val="003E2E30"/>
    <w:rsid w:val="003F0E6A"/>
    <w:rsid w:val="003F7BBB"/>
    <w:rsid w:val="0046573D"/>
    <w:rsid w:val="00480A5B"/>
    <w:rsid w:val="004B37A0"/>
    <w:rsid w:val="004F2406"/>
    <w:rsid w:val="005814FE"/>
    <w:rsid w:val="005F0A06"/>
    <w:rsid w:val="0067455A"/>
    <w:rsid w:val="006A3ADC"/>
    <w:rsid w:val="00766B3D"/>
    <w:rsid w:val="007C244C"/>
    <w:rsid w:val="007E12D4"/>
    <w:rsid w:val="00874B69"/>
    <w:rsid w:val="008A52D5"/>
    <w:rsid w:val="008B64DC"/>
    <w:rsid w:val="009D1699"/>
    <w:rsid w:val="009E4E11"/>
    <w:rsid w:val="00A47DC2"/>
    <w:rsid w:val="00A57A4E"/>
    <w:rsid w:val="00A60D38"/>
    <w:rsid w:val="00AA1BB4"/>
    <w:rsid w:val="00B61B9B"/>
    <w:rsid w:val="00BC0ECF"/>
    <w:rsid w:val="00C771F8"/>
    <w:rsid w:val="00CA034E"/>
    <w:rsid w:val="00CB6A83"/>
    <w:rsid w:val="00E658B3"/>
    <w:rsid w:val="00E67B36"/>
    <w:rsid w:val="00E74C03"/>
    <w:rsid w:val="00E75A8B"/>
    <w:rsid w:val="00EC5DC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73CAAE"/>
  <w15:docId w15:val="{C2A48650-3AE6-416C-B30D-96AD0E887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spacing w:before="400" w:after="180"/>
      <w:outlineLvl w:val="0"/>
    </w:pPr>
    <w:rPr>
      <w:b/>
      <w:bCs/>
      <w:color w:val="1F3864"/>
      <w:sz w:val="28"/>
      <w:szCs w:val="28"/>
    </w:rPr>
  </w:style>
  <w:style w:type="paragraph" w:styleId="Heading2">
    <w:name w:val="heading 2"/>
    <w:uiPriority w:val="9"/>
    <w:unhideWhenUsed/>
    <w:qFormat/>
    <w:pPr>
      <w:spacing w:before="280" w:after="140"/>
      <w:outlineLvl w:val="1"/>
    </w:pPr>
    <w:rPr>
      <w:b/>
      <w:bCs/>
      <w:color w:val="2E5090"/>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table" w:styleId="TableGrid">
    <w:name w:val="Table Grid"/>
    <w:basedOn w:val="TableNormal"/>
    <w:uiPriority w:val="39"/>
    <w:rsid w:val="002C61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617B"/>
    <w:pPr>
      <w:tabs>
        <w:tab w:val="center" w:pos="4513"/>
        <w:tab w:val="right" w:pos="9026"/>
      </w:tabs>
    </w:pPr>
  </w:style>
  <w:style w:type="character" w:customStyle="1" w:styleId="HeaderChar">
    <w:name w:val="Header Char"/>
    <w:basedOn w:val="DefaultParagraphFont"/>
    <w:link w:val="Header"/>
    <w:uiPriority w:val="99"/>
    <w:rsid w:val="002C617B"/>
  </w:style>
  <w:style w:type="paragraph" w:styleId="Footer">
    <w:name w:val="footer"/>
    <w:basedOn w:val="Normal"/>
    <w:link w:val="FooterChar"/>
    <w:uiPriority w:val="99"/>
    <w:unhideWhenUsed/>
    <w:rsid w:val="002C617B"/>
    <w:pPr>
      <w:tabs>
        <w:tab w:val="center" w:pos="4513"/>
        <w:tab w:val="right" w:pos="9026"/>
      </w:tabs>
    </w:pPr>
  </w:style>
  <w:style w:type="character" w:customStyle="1" w:styleId="FooterChar">
    <w:name w:val="Footer Char"/>
    <w:basedOn w:val="DefaultParagraphFont"/>
    <w:link w:val="Footer"/>
    <w:uiPriority w:val="99"/>
    <w:rsid w:val="002C617B"/>
  </w:style>
  <w:style w:type="character" w:styleId="UnresolvedMention">
    <w:name w:val="Unresolved Mention"/>
    <w:basedOn w:val="DefaultParagraphFont"/>
    <w:uiPriority w:val="99"/>
    <w:semiHidden/>
    <w:unhideWhenUsed/>
    <w:rsid w:val="00EC5DCB"/>
    <w:rPr>
      <w:color w:val="605E5C"/>
      <w:shd w:val="clear" w:color="auto" w:fill="E1DFDD"/>
    </w:rPr>
  </w:style>
  <w:style w:type="character" w:styleId="FollowedHyperlink">
    <w:name w:val="FollowedHyperlink"/>
    <w:basedOn w:val="DefaultParagraphFont"/>
    <w:uiPriority w:val="99"/>
    <w:semiHidden/>
    <w:unhideWhenUsed/>
    <w:rsid w:val="00B61B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doi.org/10.9734/ijpss/2021/v33i1830581" TargetMode="External"/><Relationship Id="rId13" Type="http://schemas.openxmlformats.org/officeDocument/2006/relationships/hyperlink" Target="https://doi.org/10.1038/ncomms3445" TargetMode="External"/><Relationship Id="rId18" Type="http://schemas.openxmlformats.org/officeDocument/2006/relationships/hyperlink" Target="https://doi.org/10.33545/26180723.2024.v7.i4Sa.52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33545/26174693.2024.v8.i8k.3649" TargetMode="External"/><Relationship Id="rId17" Type="http://schemas.openxmlformats.org/officeDocument/2006/relationships/hyperlink" Target="https://doi.org/10.1007/978-981-13-0535-1_2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07/s13205-017-0829-z"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7/S0014479710000360"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33545/2618060X.2024.v7.i8Sj.1370" TargetMode="External"/><Relationship Id="rId23" Type="http://schemas.openxmlformats.org/officeDocument/2006/relationships/header" Target="header3.xml"/><Relationship Id="rId10" Type="http://schemas.openxmlformats.org/officeDocument/2006/relationships/hyperlink" Target="https://doi.org/10.1111/pbi.13598"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29321/MAJ.10.001099" TargetMode="External"/><Relationship Id="rId14" Type="http://schemas.openxmlformats.org/officeDocument/2006/relationships/hyperlink" Target="https://doi.org/10.9734/jabb/2025/v28i72623"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13</Pages>
  <Words>4728</Words>
  <Characters>26950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1185</cp:lastModifiedBy>
  <cp:revision>13</cp:revision>
  <dcterms:created xsi:type="dcterms:W3CDTF">2026-04-04T06:20:00Z</dcterms:created>
  <dcterms:modified xsi:type="dcterms:W3CDTF">2026-04-10T07:44:00Z</dcterms:modified>
</cp:coreProperties>
</file>