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AD30D" w14:textId="480E74DF" w:rsidR="000721C6" w:rsidRPr="000721C6" w:rsidRDefault="00B340E6" w:rsidP="00FA69E4">
      <w:pPr>
        <w:spacing w:after="0" w:line="360" w:lineRule="auto"/>
        <w:jc w:val="center"/>
        <w:rPr>
          <w:rFonts w:ascii="Times New Roman" w:hAnsi="Times New Roman"/>
          <w:b/>
          <w:bCs/>
          <w:color w:val="000000"/>
          <w:sz w:val="32"/>
          <w:szCs w:val="28"/>
          <w:lang w:val="en-US"/>
        </w:rPr>
      </w:pPr>
      <w:r w:rsidRPr="00B340E6">
        <w:rPr>
          <w:rFonts w:ascii="Times New Roman" w:hAnsi="Times New Roman"/>
          <w:b/>
          <w:bCs/>
          <w:sz w:val="28"/>
          <w:szCs w:val="28"/>
        </w:rPr>
        <w:t xml:space="preserve">Nutrient and Land-Use Management Effects on Water Resource Nutrient Pollution </w:t>
      </w:r>
      <w:r w:rsidR="000721C6" w:rsidRPr="000721C6">
        <w:rPr>
          <w:rFonts w:ascii="Times New Roman" w:hAnsi="Times New Roman"/>
          <w:b/>
          <w:bCs/>
          <w:sz w:val="28"/>
          <w:szCs w:val="28"/>
        </w:rPr>
        <w:t>in a Hilly Watershed</w:t>
      </w:r>
    </w:p>
    <w:p w14:paraId="646AC952" w14:textId="35F8F17E" w:rsidR="00405515" w:rsidRDefault="00405515" w:rsidP="00405515">
      <w:pPr>
        <w:spacing w:after="0" w:line="360" w:lineRule="auto"/>
        <w:rPr>
          <w:rFonts w:ascii="Times New Roman" w:hAnsi="Times New Roman"/>
          <w:bCs/>
          <w:color w:val="000000"/>
          <w:sz w:val="24"/>
          <w:lang w:val="en-US"/>
        </w:rPr>
      </w:pPr>
    </w:p>
    <w:p w14:paraId="3522DE69" w14:textId="38718D48" w:rsidR="00405515" w:rsidRDefault="00405515" w:rsidP="00E5080A">
      <w:pPr>
        <w:spacing w:after="0" w:line="360" w:lineRule="auto"/>
        <w:jc w:val="both"/>
        <w:rPr>
          <w:rFonts w:ascii="Times New Roman" w:hAnsi="Times New Roman"/>
          <w:bCs/>
          <w:color w:val="000000"/>
          <w:sz w:val="24"/>
        </w:rPr>
      </w:pPr>
      <w:r>
        <w:rPr>
          <w:rFonts w:ascii="Times New Roman" w:hAnsi="Times New Roman"/>
          <w:bCs/>
          <w:color w:val="000000"/>
          <w:sz w:val="24"/>
          <w:lang w:val="en-US"/>
        </w:rPr>
        <w:t>Abstract: T</w:t>
      </w:r>
      <w:r w:rsidRPr="00405515">
        <w:rPr>
          <w:rFonts w:ascii="Times New Roman" w:hAnsi="Times New Roman"/>
          <w:bCs/>
          <w:color w:val="000000"/>
          <w:sz w:val="24"/>
          <w:lang w:val="en-US"/>
        </w:rPr>
        <w:t xml:space="preserve">he conservation and sustainable management of natural resources have become a vital part of development </w:t>
      </w:r>
      <w:proofErr w:type="spellStart"/>
      <w:r w:rsidRPr="00405515">
        <w:rPr>
          <w:rFonts w:ascii="Times New Roman" w:hAnsi="Times New Roman"/>
          <w:bCs/>
          <w:color w:val="000000"/>
          <w:sz w:val="24"/>
          <w:lang w:val="en-US"/>
        </w:rPr>
        <w:t>programmes</w:t>
      </w:r>
      <w:proofErr w:type="spellEnd"/>
      <w:r w:rsidRPr="00405515">
        <w:rPr>
          <w:rFonts w:ascii="Times New Roman" w:hAnsi="Times New Roman"/>
          <w:bCs/>
          <w:color w:val="000000"/>
          <w:sz w:val="24"/>
          <w:lang w:val="en-US"/>
        </w:rPr>
        <w:t xml:space="preserve"> globally</w:t>
      </w:r>
      <w:r>
        <w:rPr>
          <w:rFonts w:ascii="Times New Roman" w:hAnsi="Times New Roman"/>
          <w:bCs/>
          <w:color w:val="000000"/>
          <w:sz w:val="24"/>
          <w:lang w:val="en-US"/>
        </w:rPr>
        <w:t xml:space="preserve">. </w:t>
      </w:r>
      <w:r w:rsidRPr="00405515">
        <w:rPr>
          <w:rFonts w:ascii="Times New Roman" w:hAnsi="Times New Roman"/>
          <w:bCs/>
          <w:color w:val="000000"/>
          <w:sz w:val="24"/>
          <w:lang w:val="en-US"/>
        </w:rPr>
        <w:t>Nutrient and sediment losses from watersheds are strongly influenced by morphometry, land use, and hydrological characteristics</w:t>
      </w:r>
      <w:r>
        <w:rPr>
          <w:rFonts w:ascii="Times New Roman" w:hAnsi="Times New Roman"/>
          <w:bCs/>
          <w:color w:val="000000"/>
          <w:sz w:val="24"/>
          <w:lang w:val="en-US"/>
        </w:rPr>
        <w:t xml:space="preserve">. </w:t>
      </w:r>
      <w:r w:rsidRPr="00405515">
        <w:rPr>
          <w:rFonts w:ascii="Times New Roman" w:hAnsi="Times New Roman"/>
          <w:bCs/>
          <w:color w:val="000000"/>
          <w:sz w:val="24"/>
          <w:lang w:val="en-US"/>
        </w:rPr>
        <w:t xml:space="preserve">This study evaluates spatial patterns of water quality and nutrient transport across different reaches of the </w:t>
      </w:r>
      <w:proofErr w:type="spellStart"/>
      <w:r w:rsidRPr="00405515">
        <w:rPr>
          <w:rFonts w:ascii="Times New Roman" w:hAnsi="Times New Roman"/>
          <w:bCs/>
          <w:color w:val="000000"/>
          <w:sz w:val="24"/>
          <w:lang w:val="en-US"/>
        </w:rPr>
        <w:t>Sillahalla</w:t>
      </w:r>
      <w:proofErr w:type="spellEnd"/>
      <w:r w:rsidRPr="00405515">
        <w:rPr>
          <w:rFonts w:ascii="Times New Roman" w:hAnsi="Times New Roman"/>
          <w:bCs/>
          <w:color w:val="000000"/>
          <w:sz w:val="24"/>
          <w:lang w:val="en-US"/>
        </w:rPr>
        <w:t xml:space="preserve"> watershed. </w:t>
      </w:r>
      <w:r w:rsidRPr="00405515">
        <w:rPr>
          <w:rFonts w:ascii="Times New Roman" w:hAnsi="Times New Roman"/>
          <w:bCs/>
          <w:color w:val="000000"/>
          <w:sz w:val="24"/>
        </w:rPr>
        <w:t xml:space="preserve">The watershed was stratified into three elevation-based reaches </w:t>
      </w:r>
      <w:r w:rsidR="00E07E4D">
        <w:rPr>
          <w:rFonts w:ascii="Times New Roman" w:hAnsi="Times New Roman"/>
          <w:bCs/>
          <w:color w:val="000000"/>
          <w:sz w:val="24"/>
        </w:rPr>
        <w:t xml:space="preserve">viz., </w:t>
      </w:r>
      <w:r w:rsidR="006F4B07">
        <w:rPr>
          <w:rFonts w:ascii="Times New Roman" w:hAnsi="Times New Roman"/>
          <w:bCs/>
          <w:color w:val="000000"/>
          <w:sz w:val="24"/>
        </w:rPr>
        <w:t>lower</w:t>
      </w:r>
      <w:r w:rsidRPr="00405515">
        <w:rPr>
          <w:rFonts w:ascii="Times New Roman" w:hAnsi="Times New Roman"/>
          <w:bCs/>
          <w:color w:val="000000"/>
          <w:sz w:val="24"/>
        </w:rPr>
        <w:t xml:space="preserve"> </w:t>
      </w:r>
      <w:r w:rsidR="00E07E4D">
        <w:rPr>
          <w:rFonts w:ascii="Times New Roman" w:hAnsi="Times New Roman"/>
          <w:bCs/>
          <w:color w:val="000000"/>
          <w:sz w:val="24"/>
        </w:rPr>
        <w:t>(</w:t>
      </w:r>
      <w:r w:rsidRPr="00405515">
        <w:rPr>
          <w:rFonts w:ascii="Times New Roman" w:hAnsi="Times New Roman"/>
          <w:bCs/>
          <w:color w:val="000000"/>
          <w:sz w:val="24"/>
        </w:rPr>
        <w:t>&lt;2200 m</w:t>
      </w:r>
      <w:r w:rsidR="00E07E4D">
        <w:rPr>
          <w:rFonts w:ascii="Times New Roman" w:hAnsi="Times New Roman"/>
          <w:bCs/>
          <w:color w:val="000000"/>
          <w:sz w:val="24"/>
        </w:rPr>
        <w:t>)</w:t>
      </w:r>
      <w:r w:rsidRPr="00405515">
        <w:rPr>
          <w:rFonts w:ascii="Times New Roman" w:hAnsi="Times New Roman"/>
          <w:bCs/>
          <w:color w:val="000000"/>
          <w:sz w:val="24"/>
        </w:rPr>
        <w:t>, middle</w:t>
      </w:r>
      <w:r w:rsidR="00E07E4D">
        <w:rPr>
          <w:rFonts w:ascii="Times New Roman" w:hAnsi="Times New Roman"/>
          <w:bCs/>
          <w:color w:val="000000"/>
          <w:sz w:val="24"/>
        </w:rPr>
        <w:t xml:space="preserve"> (</w:t>
      </w:r>
      <w:r w:rsidRPr="00405515">
        <w:rPr>
          <w:rFonts w:ascii="Times New Roman" w:hAnsi="Times New Roman"/>
          <w:bCs/>
          <w:color w:val="000000"/>
          <w:sz w:val="24"/>
        </w:rPr>
        <w:t>2200–2400 m</w:t>
      </w:r>
      <w:r w:rsidR="00E07E4D">
        <w:rPr>
          <w:rFonts w:ascii="Times New Roman" w:hAnsi="Times New Roman"/>
          <w:bCs/>
          <w:color w:val="000000"/>
          <w:sz w:val="24"/>
        </w:rPr>
        <w:t>)</w:t>
      </w:r>
      <w:r w:rsidRPr="00405515">
        <w:rPr>
          <w:rFonts w:ascii="Times New Roman" w:hAnsi="Times New Roman"/>
          <w:bCs/>
          <w:color w:val="000000"/>
          <w:sz w:val="24"/>
        </w:rPr>
        <w:t xml:space="preserve"> and </w:t>
      </w:r>
      <w:r w:rsidR="006F4B07">
        <w:rPr>
          <w:rFonts w:ascii="Times New Roman" w:hAnsi="Times New Roman"/>
          <w:bCs/>
          <w:color w:val="000000"/>
          <w:sz w:val="24"/>
        </w:rPr>
        <w:t>upper</w:t>
      </w:r>
      <w:r w:rsidRPr="00405515">
        <w:rPr>
          <w:rFonts w:ascii="Times New Roman" w:hAnsi="Times New Roman"/>
          <w:bCs/>
          <w:color w:val="000000"/>
          <w:sz w:val="24"/>
        </w:rPr>
        <w:t xml:space="preserve"> </w:t>
      </w:r>
      <w:r w:rsidR="00E07E4D">
        <w:rPr>
          <w:rFonts w:ascii="Times New Roman" w:hAnsi="Times New Roman"/>
          <w:bCs/>
          <w:color w:val="000000"/>
          <w:sz w:val="24"/>
        </w:rPr>
        <w:t>(</w:t>
      </w:r>
      <w:r w:rsidRPr="00405515">
        <w:rPr>
          <w:rFonts w:ascii="Times New Roman" w:hAnsi="Times New Roman"/>
          <w:bCs/>
          <w:color w:val="000000"/>
          <w:sz w:val="24"/>
        </w:rPr>
        <w:t xml:space="preserve">2400–2630 m), and integrated grab samples were collected thrice during the monsoon period (June–August 2016). A total of 14 physicochemical parameters, including major ions and nutrient indicators, were </w:t>
      </w:r>
      <w:r>
        <w:rPr>
          <w:rFonts w:ascii="Times New Roman" w:hAnsi="Times New Roman"/>
          <w:bCs/>
          <w:color w:val="000000"/>
          <w:sz w:val="24"/>
        </w:rPr>
        <w:t>analysed</w:t>
      </w:r>
      <w:r w:rsidRPr="00405515">
        <w:rPr>
          <w:rFonts w:ascii="Times New Roman" w:hAnsi="Times New Roman"/>
          <w:bCs/>
          <w:color w:val="000000"/>
          <w:sz w:val="24"/>
        </w:rPr>
        <w:t xml:space="preserve"> using standard laboratory procedures.</w:t>
      </w:r>
      <w:r>
        <w:rPr>
          <w:rFonts w:ascii="Times New Roman" w:hAnsi="Times New Roman"/>
          <w:bCs/>
          <w:color w:val="000000"/>
          <w:sz w:val="24"/>
        </w:rPr>
        <w:t xml:space="preserve"> </w:t>
      </w:r>
      <w:r w:rsidRPr="00405515">
        <w:rPr>
          <w:rFonts w:ascii="Times New Roman" w:hAnsi="Times New Roman"/>
          <w:bCs/>
          <w:color w:val="000000"/>
          <w:sz w:val="24"/>
        </w:rPr>
        <w:t>Analysis of 14 physicochemical parameters revealed that most water quality indicators, including pH, electrical conductivity, total dissolved solids, and major ions, were within permissible limits for irrigation use. However, nitrate concentrations showed a progressive increase from upper (23.5 mg L⁻¹) to lower reaches (55.5 mg L⁻¹), with the lower reach exceeding the recommended limit, indicating potential risks for water quality. Elevated Biological Oxygen Demand (BOD) in the lower reach further suggested contamination from organic and anthropogenic sources.</w:t>
      </w:r>
      <w:r>
        <w:rPr>
          <w:rFonts w:ascii="Times New Roman" w:hAnsi="Times New Roman"/>
          <w:bCs/>
          <w:color w:val="000000"/>
          <w:sz w:val="24"/>
        </w:rPr>
        <w:t xml:space="preserve"> </w:t>
      </w:r>
      <w:r w:rsidR="00A379DC">
        <w:rPr>
          <w:rFonts w:ascii="Times New Roman" w:hAnsi="Times New Roman"/>
          <w:bCs/>
          <w:color w:val="000000"/>
          <w:sz w:val="24"/>
        </w:rPr>
        <w:t xml:space="preserve">The (Nutrient Pollution Index) </w:t>
      </w:r>
      <w:r w:rsidR="00A379DC" w:rsidRPr="00A379DC">
        <w:rPr>
          <w:rFonts w:ascii="Times New Roman" w:hAnsi="Times New Roman"/>
          <w:bCs/>
          <w:color w:val="000000"/>
          <w:sz w:val="24"/>
        </w:rPr>
        <w:t>NPI</w:t>
      </w:r>
      <w:r w:rsidR="00A379DC">
        <w:rPr>
          <w:rFonts w:ascii="Times New Roman" w:hAnsi="Times New Roman"/>
          <w:bCs/>
          <w:color w:val="000000"/>
          <w:sz w:val="24"/>
          <w:vertAlign w:val="subscript"/>
        </w:rPr>
        <w:t xml:space="preserve"> </w:t>
      </w:r>
      <w:r w:rsidR="00A379DC">
        <w:rPr>
          <w:rFonts w:ascii="Times New Roman" w:hAnsi="Times New Roman"/>
          <w:bCs/>
          <w:color w:val="000000"/>
          <w:sz w:val="24"/>
        </w:rPr>
        <w:t>for Nitrogen</w:t>
      </w:r>
      <w:r w:rsidR="00A379DC" w:rsidRPr="00A379DC">
        <w:rPr>
          <w:rFonts w:ascii="Times New Roman" w:hAnsi="Times New Roman"/>
          <w:bCs/>
          <w:color w:val="000000"/>
          <w:sz w:val="24"/>
        </w:rPr>
        <w:t xml:space="preserve"> in the lower reach is 1.23 and exceeds the NPI limit of 1 indicating the potential water pollution</w:t>
      </w:r>
      <w:r w:rsidR="00A379DC">
        <w:rPr>
          <w:rFonts w:ascii="Times New Roman" w:hAnsi="Times New Roman"/>
          <w:bCs/>
          <w:color w:val="000000"/>
          <w:sz w:val="24"/>
        </w:rPr>
        <w:t>, and the NPI for P indicates no pollution. However, t</w:t>
      </w:r>
      <w:r w:rsidR="00A379DC" w:rsidRPr="00A379DC">
        <w:rPr>
          <w:rFonts w:ascii="Times New Roman" w:hAnsi="Times New Roman"/>
          <w:bCs/>
          <w:color w:val="000000"/>
          <w:sz w:val="24"/>
        </w:rPr>
        <w:t>he combined NPI also indicat</w:t>
      </w:r>
      <w:r w:rsidR="00A379DC">
        <w:rPr>
          <w:rFonts w:ascii="Times New Roman" w:hAnsi="Times New Roman"/>
          <w:bCs/>
          <w:color w:val="000000"/>
          <w:sz w:val="24"/>
        </w:rPr>
        <w:t>es</w:t>
      </w:r>
      <w:r w:rsidR="00A379DC" w:rsidRPr="00A379DC">
        <w:rPr>
          <w:rFonts w:ascii="Times New Roman" w:hAnsi="Times New Roman"/>
          <w:bCs/>
          <w:color w:val="000000"/>
          <w:sz w:val="24"/>
        </w:rPr>
        <w:t xml:space="preserve"> the </w:t>
      </w:r>
      <w:r w:rsidR="00A379DC">
        <w:rPr>
          <w:rFonts w:ascii="Times New Roman" w:hAnsi="Times New Roman"/>
          <w:bCs/>
          <w:color w:val="000000"/>
          <w:sz w:val="24"/>
        </w:rPr>
        <w:t>nutrient pollution</w:t>
      </w:r>
      <w:r w:rsidR="00A379DC" w:rsidRPr="00A379DC">
        <w:rPr>
          <w:rFonts w:ascii="Times New Roman" w:hAnsi="Times New Roman"/>
          <w:bCs/>
          <w:color w:val="000000"/>
          <w:sz w:val="24"/>
        </w:rPr>
        <w:t xml:space="preserve"> in Lower reaches</w:t>
      </w:r>
      <w:r w:rsidR="00A96917">
        <w:rPr>
          <w:rFonts w:ascii="Times New Roman" w:hAnsi="Times New Roman"/>
          <w:bCs/>
          <w:color w:val="000000"/>
          <w:sz w:val="24"/>
        </w:rPr>
        <w:t>. Further, Agricultural Non-Point Source (</w:t>
      </w:r>
      <w:r w:rsidR="00A96917" w:rsidRPr="00405515">
        <w:rPr>
          <w:rFonts w:ascii="Times New Roman" w:hAnsi="Times New Roman"/>
          <w:bCs/>
          <w:color w:val="000000"/>
          <w:sz w:val="24"/>
        </w:rPr>
        <w:t>AGNPS</w:t>
      </w:r>
      <w:r w:rsidR="00A96917">
        <w:rPr>
          <w:rFonts w:ascii="Times New Roman" w:hAnsi="Times New Roman"/>
          <w:bCs/>
          <w:color w:val="000000"/>
          <w:sz w:val="24"/>
        </w:rPr>
        <w:t>)</w:t>
      </w:r>
      <w:r w:rsidR="00A96917" w:rsidRPr="00405515">
        <w:rPr>
          <w:rFonts w:ascii="Times New Roman" w:hAnsi="Times New Roman"/>
          <w:bCs/>
          <w:color w:val="000000"/>
          <w:sz w:val="24"/>
        </w:rPr>
        <w:t xml:space="preserve"> model was employed to simulate nutrient losses under different management scenarios, including existing farmer practices, 25% and 50% reductions in fertilizer application, and a land-use change scenario involving partial conversion to tea plantations.</w:t>
      </w:r>
      <w:r w:rsidR="00A96917">
        <w:rPr>
          <w:rFonts w:ascii="Times New Roman" w:hAnsi="Times New Roman"/>
          <w:bCs/>
          <w:color w:val="000000"/>
          <w:sz w:val="24"/>
        </w:rPr>
        <w:t xml:space="preserve"> Based on this result</w:t>
      </w:r>
      <w:r w:rsidR="005C7F14">
        <w:rPr>
          <w:rFonts w:ascii="Times New Roman" w:hAnsi="Times New Roman"/>
          <w:bCs/>
          <w:color w:val="000000"/>
          <w:sz w:val="24"/>
        </w:rPr>
        <w:t xml:space="preserve">, ready reckoner for fertilizer recommendation was developed for potato and carrot with the STCR equations. This can be readily utilized by the </w:t>
      </w:r>
      <w:proofErr w:type="spellStart"/>
      <w:r w:rsidR="005C7F14">
        <w:rPr>
          <w:rFonts w:ascii="Times New Roman" w:hAnsi="Times New Roman"/>
          <w:bCs/>
          <w:color w:val="000000"/>
          <w:sz w:val="24"/>
        </w:rPr>
        <w:t>Sillahalla</w:t>
      </w:r>
      <w:proofErr w:type="spellEnd"/>
      <w:r w:rsidR="005C7F14">
        <w:rPr>
          <w:rFonts w:ascii="Times New Roman" w:hAnsi="Times New Roman"/>
          <w:bCs/>
          <w:color w:val="000000"/>
          <w:sz w:val="24"/>
        </w:rPr>
        <w:t xml:space="preserve"> watershed farmers. </w:t>
      </w:r>
      <w:r w:rsidRPr="00405515">
        <w:rPr>
          <w:rFonts w:ascii="Times New Roman" w:hAnsi="Times New Roman"/>
          <w:bCs/>
          <w:color w:val="000000"/>
          <w:sz w:val="24"/>
        </w:rPr>
        <w:t xml:space="preserve">The study underscores the need for integrated approaches involving farmers, researchers, and policymakers to </w:t>
      </w:r>
      <w:r w:rsidR="00AB2077">
        <w:rPr>
          <w:rFonts w:ascii="Times New Roman" w:hAnsi="Times New Roman"/>
          <w:bCs/>
          <w:color w:val="000000"/>
          <w:sz w:val="24"/>
        </w:rPr>
        <w:t>prioritise</w:t>
      </w:r>
      <w:r w:rsidRPr="00405515">
        <w:rPr>
          <w:rFonts w:ascii="Times New Roman" w:hAnsi="Times New Roman"/>
          <w:bCs/>
          <w:color w:val="000000"/>
          <w:sz w:val="24"/>
        </w:rPr>
        <w:t xml:space="preserve"> soil erosion control and sustainable land management practices. Adoption of site-specific, cost-effective, and climate-resilient soil and water conservation measures, supported by appropriate incentives, can significantly enhance on-field implementation. Overall, the research advocates for a participatory and sustainable watershed </w:t>
      </w:r>
      <w:r w:rsidRPr="00405515">
        <w:rPr>
          <w:rFonts w:ascii="Times New Roman" w:hAnsi="Times New Roman"/>
          <w:bCs/>
          <w:color w:val="000000"/>
          <w:sz w:val="24"/>
        </w:rPr>
        <w:lastRenderedPageBreak/>
        <w:t xml:space="preserve">management framework to </w:t>
      </w:r>
      <w:r w:rsidR="00AB2077">
        <w:rPr>
          <w:rFonts w:ascii="Times New Roman" w:hAnsi="Times New Roman"/>
          <w:bCs/>
          <w:color w:val="000000"/>
          <w:sz w:val="24"/>
        </w:rPr>
        <w:t>minimise</w:t>
      </w:r>
      <w:r w:rsidRPr="00405515">
        <w:rPr>
          <w:rFonts w:ascii="Times New Roman" w:hAnsi="Times New Roman"/>
          <w:bCs/>
          <w:color w:val="000000"/>
          <w:sz w:val="24"/>
        </w:rPr>
        <w:t xml:space="preserve"> nutrient losses, protect water resources, and ensure long-term agricultural sustainability in hilly regions.</w:t>
      </w:r>
    </w:p>
    <w:p w14:paraId="20B9691F" w14:textId="77777777" w:rsidR="00AB2077" w:rsidRDefault="00AB2077" w:rsidP="00405515">
      <w:pPr>
        <w:spacing w:after="0" w:line="360" w:lineRule="auto"/>
        <w:rPr>
          <w:rFonts w:ascii="Times New Roman" w:hAnsi="Times New Roman"/>
          <w:bCs/>
          <w:color w:val="000000"/>
          <w:sz w:val="24"/>
        </w:rPr>
      </w:pPr>
    </w:p>
    <w:p w14:paraId="6F95C235" w14:textId="1A39EFB6" w:rsidR="00AB2077" w:rsidRPr="00AB2077" w:rsidRDefault="00AB2077" w:rsidP="00405515">
      <w:pPr>
        <w:spacing w:after="0" w:line="360" w:lineRule="auto"/>
        <w:rPr>
          <w:rFonts w:ascii="Times New Roman" w:hAnsi="Times New Roman"/>
          <w:i/>
          <w:iCs/>
        </w:rPr>
      </w:pPr>
      <w:r>
        <w:rPr>
          <w:rFonts w:ascii="Times New Roman" w:hAnsi="Times New Roman"/>
          <w:bCs/>
          <w:color w:val="000000"/>
          <w:sz w:val="24"/>
        </w:rPr>
        <w:t xml:space="preserve">Keywords: </w:t>
      </w:r>
      <w:r w:rsidRPr="00AB2077">
        <w:rPr>
          <w:rFonts w:ascii="Times New Roman" w:hAnsi="Times New Roman"/>
          <w:bCs/>
          <w:i/>
          <w:iCs/>
          <w:color w:val="000000"/>
          <w:sz w:val="24"/>
        </w:rPr>
        <w:t>Land-Use Management, Water Resource, Nutrient Pollution, Hilly Watershed</w:t>
      </w:r>
    </w:p>
    <w:p w14:paraId="1546AED3" w14:textId="77777777" w:rsidR="00405515" w:rsidRDefault="00405515" w:rsidP="00FA69E4">
      <w:pPr>
        <w:spacing w:after="0" w:line="360" w:lineRule="auto"/>
        <w:jc w:val="both"/>
        <w:rPr>
          <w:rFonts w:ascii="Times New Roman" w:hAnsi="Times New Roman"/>
        </w:rPr>
      </w:pPr>
    </w:p>
    <w:p w14:paraId="3EDD6700" w14:textId="70AC18F7" w:rsidR="00563AAB" w:rsidRDefault="00563AAB" w:rsidP="00FA69E4">
      <w:pPr>
        <w:spacing w:after="0" w:line="360" w:lineRule="auto"/>
        <w:jc w:val="both"/>
        <w:rPr>
          <w:rFonts w:ascii="Times New Roman" w:hAnsi="Times New Roman"/>
        </w:rPr>
      </w:pPr>
      <w:r w:rsidRPr="00563AAB">
        <w:rPr>
          <w:rFonts w:ascii="Times New Roman" w:hAnsi="Times New Roman"/>
        </w:rPr>
        <w:t>INTRODUCTION</w:t>
      </w:r>
    </w:p>
    <w:p w14:paraId="4AC1D519" w14:textId="4F446F2E" w:rsidR="00450F01" w:rsidRDefault="00450F01" w:rsidP="00FA69E4">
      <w:pPr>
        <w:pStyle w:val="NormalWeb"/>
        <w:spacing w:before="0" w:beforeAutospacing="0" w:after="0" w:afterAutospacing="0" w:line="360" w:lineRule="auto"/>
        <w:ind w:firstLine="720"/>
        <w:jc w:val="both"/>
      </w:pPr>
      <w:r>
        <w:t xml:space="preserve">Natural resources, namely soil, water, and vegetation, are critical indicators of a </w:t>
      </w:r>
      <w:r w:rsidR="00100AF9">
        <w:t xml:space="preserve">Nation's </w:t>
      </w:r>
      <w:r>
        <w:t xml:space="preserve">economic and social development (Raihan, 2024). Their degradation can significantly impact a country's development by disrupting key socio-economic activities, such as agriculture and related sectors. Therefore, the conservation and sustainable management of natural resources have become a vital part of development </w:t>
      </w:r>
      <w:proofErr w:type="spellStart"/>
      <w:r>
        <w:t>programmes</w:t>
      </w:r>
      <w:proofErr w:type="spellEnd"/>
      <w:r>
        <w:t xml:space="preserve"> globally. Recognizing this, the Indian government has implemented Integrated Watershed Development </w:t>
      </w:r>
      <w:proofErr w:type="spellStart"/>
      <w:r>
        <w:t>Programmes</w:t>
      </w:r>
      <w:proofErr w:type="spellEnd"/>
      <w:r>
        <w:t xml:space="preserve"> (IWDP) to ensure effective use of land and water resources (Manivannan </w:t>
      </w:r>
      <w:r w:rsidRPr="00FE1C1A">
        <w:rPr>
          <w:i/>
          <w:iCs/>
        </w:rPr>
        <w:t>et al.,</w:t>
      </w:r>
      <w:r>
        <w:t xml:space="preserve"> 2021).</w:t>
      </w:r>
      <w:r w:rsidR="00100AF9">
        <w:t xml:space="preserve"> </w:t>
      </w:r>
      <w:r>
        <w:t xml:space="preserve">Despite these efforts, nutrient loss through soil erosion from agricultural fields via runoff remains a major challenge in hilly watersheds (Bauwe </w:t>
      </w:r>
      <w:r w:rsidRPr="003865BC">
        <w:rPr>
          <w:i/>
          <w:iCs/>
        </w:rPr>
        <w:t>et al.,</w:t>
      </w:r>
      <w:r>
        <w:t xml:space="preserve"> 2019). Studies have demonstrated that nutrient loss can reduce soil fertility and crop yield, while nutrients transported to water bodies, especially nitrogen and phosphorus, contribute to eutrophication and other water pollution issues (Jia, 2024; Ayele </w:t>
      </w:r>
      <w:r w:rsidRPr="003865BC">
        <w:rPr>
          <w:i/>
          <w:iCs/>
        </w:rPr>
        <w:t>et al.,</w:t>
      </w:r>
      <w:r>
        <w:t xml:space="preserve"> 2021; Van Beek </w:t>
      </w:r>
      <w:r w:rsidRPr="003865BC">
        <w:rPr>
          <w:i/>
          <w:iCs/>
        </w:rPr>
        <w:t>et al.</w:t>
      </w:r>
      <w:r>
        <w:t xml:space="preserve">, 2018; Tedeschi </w:t>
      </w:r>
      <w:r w:rsidRPr="003865BC">
        <w:rPr>
          <w:i/>
          <w:iCs/>
        </w:rPr>
        <w:t>et al.,</w:t>
      </w:r>
      <w:r>
        <w:t xml:space="preserve"> 2024).</w:t>
      </w:r>
    </w:p>
    <w:p w14:paraId="13ECB8BB" w14:textId="67B36F6E" w:rsidR="00450F01" w:rsidRDefault="00450F01" w:rsidP="00FA69E4">
      <w:pPr>
        <w:pStyle w:val="NormalWeb"/>
        <w:spacing w:before="0" w:beforeAutospacing="0" w:after="0" w:afterAutospacing="0" w:line="360" w:lineRule="auto"/>
        <w:ind w:firstLine="720"/>
        <w:jc w:val="both"/>
      </w:pPr>
      <w:r>
        <w:t>Nutrient and sediment losses from watersheds are strongly influenced by morphometry, land use, and hydrological characteristics. Morphometric analysis provides essential information on watershed topography, drainage, and runoff potential (</w:t>
      </w:r>
      <w:proofErr w:type="spellStart"/>
      <w:r>
        <w:t>Waikar</w:t>
      </w:r>
      <w:proofErr w:type="spellEnd"/>
      <w:r>
        <w:t xml:space="preserve"> &amp; </w:t>
      </w:r>
      <w:proofErr w:type="spellStart"/>
      <w:r>
        <w:t>Nilawar</w:t>
      </w:r>
      <w:proofErr w:type="spellEnd"/>
      <w:r>
        <w:t>, 2014). Remote sensing and GIS techniques are widely used to monitor land use changes and understand watershed behavior, providing valuable context for evaluating runoff and nutrient dynamics (Singh et al., 2021; Bogale, 2021).</w:t>
      </w:r>
      <w:r w:rsidR="00E44A38">
        <w:t xml:space="preserve"> </w:t>
      </w:r>
      <w:r>
        <w:t xml:space="preserve">Hilly watersheds are inherently prone to natural erosion due to topographic conditions. In agrarian hilly watersheds, intensive agriculture, slope cultivation, and limited soil conservation measures accelerate erosion rates (Liu et al., 2022). The </w:t>
      </w:r>
      <w:proofErr w:type="spellStart"/>
      <w:r>
        <w:t>Sillahalla</w:t>
      </w:r>
      <w:proofErr w:type="spellEnd"/>
      <w:r>
        <w:t xml:space="preserve"> watershed in </w:t>
      </w:r>
      <w:proofErr w:type="spellStart"/>
      <w:r>
        <w:t>Nilgiris</w:t>
      </w:r>
      <w:proofErr w:type="spellEnd"/>
      <w:r>
        <w:t>, Tamil Nadu, is a hilly agricultural watershed where vegetables such as potato, carrot, radish, beetroot, cauliflower, and cabbage are commonly cultivated on slopes. Fertilizer application is frequent, and during monsoon, surface runoff transports nutrients from the fields into nearby water bodies, potentially contributing to water pollution.</w:t>
      </w:r>
      <w:r w:rsidR="008A1686">
        <w:t xml:space="preserve"> </w:t>
      </w:r>
      <w:r w:rsidR="00BD1453">
        <w:t>Th</w:t>
      </w:r>
      <w:r w:rsidR="00DD1D92">
        <w:t>e present</w:t>
      </w:r>
      <w:r w:rsidR="00BD1453">
        <w:t xml:space="preserve"> study </w:t>
      </w:r>
      <w:r w:rsidR="00DD1D92">
        <w:t xml:space="preserve">aims to </w:t>
      </w:r>
      <w:r w:rsidR="00934321">
        <w:t xml:space="preserve">study the nutrient transport across different reaches of the </w:t>
      </w:r>
      <w:proofErr w:type="spellStart"/>
      <w:r w:rsidR="00934321">
        <w:t>Sillahalla</w:t>
      </w:r>
      <w:proofErr w:type="spellEnd"/>
      <w:r w:rsidR="00934321">
        <w:t xml:space="preserve"> watershed and to evaluate </w:t>
      </w:r>
      <w:r w:rsidR="00BD1453">
        <w:lastRenderedPageBreak/>
        <w:t xml:space="preserve">spatial patterns of </w:t>
      </w:r>
      <w:r w:rsidR="00DD1D92">
        <w:t xml:space="preserve">nutrient pollution </w:t>
      </w:r>
      <w:r w:rsidR="00934321">
        <w:t xml:space="preserve">in runoff </w:t>
      </w:r>
      <w:r w:rsidR="00BD1453">
        <w:t>water. GIS-based morphometric analyses (</w:t>
      </w:r>
      <w:r w:rsidR="00345476">
        <w:rPr>
          <w:bCs/>
          <w:color w:val="000000" w:themeColor="text1"/>
        </w:rPr>
        <w:t>Kasthuri</w:t>
      </w:r>
      <w:r w:rsidR="00345476">
        <w:t xml:space="preserve"> </w:t>
      </w:r>
      <w:r w:rsidR="00BD1453">
        <w:t xml:space="preserve">Thilagam </w:t>
      </w:r>
      <w:r w:rsidR="00BD1453" w:rsidRPr="00345476">
        <w:rPr>
          <w:i/>
          <w:iCs/>
        </w:rPr>
        <w:t>et al.,</w:t>
      </w:r>
      <w:r w:rsidR="00BD1453">
        <w:t xml:space="preserve"> 2024) and AGNPS model simulations (</w:t>
      </w:r>
      <w:r w:rsidR="00345476">
        <w:rPr>
          <w:bCs/>
          <w:color w:val="000000" w:themeColor="text1"/>
        </w:rPr>
        <w:t>Kasthuri</w:t>
      </w:r>
      <w:r w:rsidR="00345476">
        <w:t xml:space="preserve"> </w:t>
      </w:r>
      <w:r w:rsidR="00BD1453">
        <w:t xml:space="preserve">Thilagam </w:t>
      </w:r>
      <w:r w:rsidR="00BD1453" w:rsidRPr="00345476">
        <w:rPr>
          <w:i/>
          <w:iCs/>
        </w:rPr>
        <w:t>et al.,</w:t>
      </w:r>
      <w:r w:rsidR="00BD1453">
        <w:t xml:space="preserve"> 2023) are used to interpret observed variations in water quality and to provide recommendations for nutrient management and soil and water conservation strategies.</w:t>
      </w:r>
    </w:p>
    <w:p w14:paraId="56EE3E41" w14:textId="42F35369" w:rsidR="00685E4D" w:rsidRDefault="00685E4D" w:rsidP="00FA69E4">
      <w:pPr>
        <w:pStyle w:val="NormalWeb"/>
        <w:spacing w:before="0" w:beforeAutospacing="0" w:after="0" w:afterAutospacing="0" w:line="360" w:lineRule="auto"/>
        <w:jc w:val="both"/>
        <w:rPr>
          <w:b/>
          <w:bCs/>
        </w:rPr>
      </w:pPr>
      <w:r w:rsidRPr="00685E4D">
        <w:rPr>
          <w:b/>
          <w:bCs/>
        </w:rPr>
        <w:t>Materials and Methods</w:t>
      </w:r>
    </w:p>
    <w:p w14:paraId="20539E79" w14:textId="67DBDC02" w:rsidR="00685E4D" w:rsidRPr="00685E4D" w:rsidRDefault="00685E4D" w:rsidP="00FA69E4">
      <w:pPr>
        <w:pStyle w:val="NormalWeb"/>
        <w:spacing w:before="0" w:beforeAutospacing="0" w:after="0" w:afterAutospacing="0" w:line="360" w:lineRule="auto"/>
        <w:jc w:val="both"/>
        <w:rPr>
          <w:b/>
          <w:bCs/>
        </w:rPr>
      </w:pPr>
      <w:r w:rsidRPr="00685E4D">
        <w:rPr>
          <w:b/>
          <w:bCs/>
        </w:rPr>
        <w:t>Study watershed</w:t>
      </w:r>
    </w:p>
    <w:p w14:paraId="2A6C5719" w14:textId="77777777" w:rsidR="00356807" w:rsidRDefault="00356807" w:rsidP="00FA69E4">
      <w:pPr>
        <w:pStyle w:val="NormalWeb"/>
        <w:spacing w:before="0" w:beforeAutospacing="0" w:after="0" w:afterAutospacing="0" w:line="360" w:lineRule="auto"/>
        <w:ind w:firstLine="720"/>
        <w:jc w:val="both"/>
      </w:pPr>
      <w:r w:rsidRPr="00636136">
        <w:rPr>
          <w:bCs/>
          <w:noProof/>
          <w:color w:val="000000" w:themeColor="text1"/>
        </w:rPr>
        <w:drawing>
          <wp:anchor distT="0" distB="0" distL="114300" distR="114300" simplePos="0" relativeHeight="251660288" behindDoc="1" locked="0" layoutInCell="1" allowOverlap="1" wp14:anchorId="38B54C6A" wp14:editId="19B77C56">
            <wp:simplePos x="0" y="0"/>
            <wp:positionH relativeFrom="column">
              <wp:posOffset>1431290</wp:posOffset>
            </wp:positionH>
            <wp:positionV relativeFrom="paragraph">
              <wp:posOffset>994410</wp:posOffset>
            </wp:positionV>
            <wp:extent cx="2374900" cy="3223895"/>
            <wp:effectExtent l="0" t="0" r="6350" b="0"/>
            <wp:wrapTight wrapText="bothSides">
              <wp:wrapPolygon edited="0">
                <wp:start x="0" y="0"/>
                <wp:lineTo x="0" y="21443"/>
                <wp:lineTo x="21484" y="21443"/>
                <wp:lineTo x="214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4900" cy="3223895"/>
                    </a:xfrm>
                    <a:prstGeom prst="rect">
                      <a:avLst/>
                    </a:prstGeom>
                  </pic:spPr>
                </pic:pic>
              </a:graphicData>
            </a:graphic>
            <wp14:sizeRelH relativeFrom="margin">
              <wp14:pctWidth>0</wp14:pctWidth>
            </wp14:sizeRelH>
            <wp14:sizeRelV relativeFrom="margin">
              <wp14:pctHeight>0</wp14:pctHeight>
            </wp14:sizeRelV>
          </wp:anchor>
        </w:drawing>
      </w:r>
      <w:r w:rsidR="00685E4D">
        <w:t xml:space="preserve">The </w:t>
      </w:r>
      <w:proofErr w:type="spellStart"/>
      <w:r w:rsidR="00685E4D">
        <w:t>Sillahalla</w:t>
      </w:r>
      <w:proofErr w:type="spellEnd"/>
      <w:r w:rsidR="00685E4D">
        <w:t xml:space="preserve"> watershed is a sub-catchment of the Kundha River, located south of the </w:t>
      </w:r>
      <w:proofErr w:type="spellStart"/>
      <w:r w:rsidR="00685E4D">
        <w:t>Nilgiri</w:t>
      </w:r>
      <w:proofErr w:type="spellEnd"/>
      <w:r w:rsidR="00685E4D">
        <w:t xml:space="preserve"> Plateau in Tamil Nadu, India (11°19'–11°25' N; 76°38'–76°44' E). Covering an area of 6,523 ha, the watershed features hilly terrain and predominantly agricultural land, forming a fragile agrarian ecosystem (Fig. 1). </w:t>
      </w:r>
    </w:p>
    <w:p w14:paraId="1946CB1A" w14:textId="77777777" w:rsidR="00356807" w:rsidRDefault="00356807" w:rsidP="00FA69E4">
      <w:pPr>
        <w:pStyle w:val="NormalWeb"/>
        <w:spacing w:before="0" w:beforeAutospacing="0" w:after="0" w:afterAutospacing="0" w:line="360" w:lineRule="auto"/>
        <w:ind w:firstLine="720"/>
        <w:jc w:val="both"/>
      </w:pPr>
    </w:p>
    <w:p w14:paraId="793E7EC4" w14:textId="77777777" w:rsidR="00356807" w:rsidRDefault="00356807" w:rsidP="00FA69E4">
      <w:pPr>
        <w:pStyle w:val="NormalWeb"/>
        <w:spacing w:before="0" w:beforeAutospacing="0" w:after="0" w:afterAutospacing="0" w:line="360" w:lineRule="auto"/>
        <w:ind w:firstLine="720"/>
        <w:jc w:val="both"/>
      </w:pPr>
    </w:p>
    <w:p w14:paraId="16C98589" w14:textId="77777777" w:rsidR="00356807" w:rsidRDefault="00356807" w:rsidP="00FA69E4">
      <w:pPr>
        <w:pStyle w:val="NormalWeb"/>
        <w:spacing w:before="0" w:beforeAutospacing="0" w:after="0" w:afterAutospacing="0" w:line="360" w:lineRule="auto"/>
        <w:ind w:firstLine="720"/>
        <w:jc w:val="both"/>
      </w:pPr>
    </w:p>
    <w:p w14:paraId="4E8579D4" w14:textId="77777777" w:rsidR="00356807" w:rsidRDefault="00356807" w:rsidP="00FA69E4">
      <w:pPr>
        <w:pStyle w:val="NormalWeb"/>
        <w:spacing w:before="0" w:beforeAutospacing="0" w:after="0" w:afterAutospacing="0" w:line="360" w:lineRule="auto"/>
        <w:ind w:firstLine="720"/>
        <w:jc w:val="both"/>
      </w:pPr>
    </w:p>
    <w:p w14:paraId="14BB2A6B" w14:textId="77777777" w:rsidR="00356807" w:rsidRDefault="00356807" w:rsidP="00FA69E4">
      <w:pPr>
        <w:pStyle w:val="NormalWeb"/>
        <w:spacing w:before="0" w:beforeAutospacing="0" w:after="0" w:afterAutospacing="0" w:line="360" w:lineRule="auto"/>
        <w:ind w:firstLine="720"/>
        <w:jc w:val="both"/>
      </w:pPr>
    </w:p>
    <w:p w14:paraId="06A448C3" w14:textId="77777777" w:rsidR="00356807" w:rsidRDefault="00356807" w:rsidP="00FA69E4">
      <w:pPr>
        <w:pStyle w:val="NormalWeb"/>
        <w:spacing w:before="0" w:beforeAutospacing="0" w:after="0" w:afterAutospacing="0" w:line="360" w:lineRule="auto"/>
        <w:ind w:firstLine="720"/>
        <w:jc w:val="both"/>
      </w:pPr>
    </w:p>
    <w:p w14:paraId="5688C544" w14:textId="77777777" w:rsidR="00356807" w:rsidRDefault="00356807" w:rsidP="00FA69E4">
      <w:pPr>
        <w:spacing w:after="0"/>
        <w:jc w:val="center"/>
        <w:rPr>
          <w:rFonts w:ascii="Times New Roman" w:hAnsi="Times New Roman"/>
          <w:b/>
          <w:color w:val="000000" w:themeColor="text1"/>
          <w:sz w:val="24"/>
          <w:lang w:val="en-US"/>
        </w:rPr>
      </w:pPr>
    </w:p>
    <w:p w14:paraId="5BC07F72" w14:textId="77777777" w:rsidR="009B4166" w:rsidRDefault="009B4166" w:rsidP="00FA69E4">
      <w:pPr>
        <w:spacing w:after="0"/>
        <w:jc w:val="center"/>
        <w:rPr>
          <w:rFonts w:ascii="Times New Roman" w:hAnsi="Times New Roman"/>
          <w:b/>
          <w:color w:val="000000" w:themeColor="text1"/>
          <w:sz w:val="24"/>
          <w:lang w:val="en-US"/>
        </w:rPr>
      </w:pPr>
    </w:p>
    <w:p w14:paraId="4F9C162E" w14:textId="77777777" w:rsidR="009B4166" w:rsidRDefault="009B4166" w:rsidP="00FA69E4">
      <w:pPr>
        <w:spacing w:after="0"/>
        <w:jc w:val="center"/>
        <w:rPr>
          <w:rFonts w:ascii="Times New Roman" w:hAnsi="Times New Roman"/>
          <w:b/>
          <w:color w:val="000000" w:themeColor="text1"/>
          <w:sz w:val="24"/>
          <w:lang w:val="en-US"/>
        </w:rPr>
      </w:pPr>
    </w:p>
    <w:p w14:paraId="09A8FABE" w14:textId="77777777" w:rsidR="009B4166" w:rsidRDefault="009B4166" w:rsidP="00FA69E4">
      <w:pPr>
        <w:spacing w:after="0"/>
        <w:jc w:val="center"/>
        <w:rPr>
          <w:rFonts w:ascii="Times New Roman" w:hAnsi="Times New Roman"/>
          <w:b/>
          <w:color w:val="000000" w:themeColor="text1"/>
          <w:sz w:val="24"/>
          <w:lang w:val="en-US"/>
        </w:rPr>
      </w:pPr>
    </w:p>
    <w:p w14:paraId="72F7D95E" w14:textId="77777777" w:rsidR="009B4166" w:rsidRDefault="009B4166" w:rsidP="00FA69E4">
      <w:pPr>
        <w:spacing w:after="0"/>
        <w:jc w:val="center"/>
        <w:rPr>
          <w:rFonts w:ascii="Times New Roman" w:hAnsi="Times New Roman"/>
          <w:b/>
          <w:color w:val="000000" w:themeColor="text1"/>
          <w:sz w:val="24"/>
          <w:lang w:val="en-US"/>
        </w:rPr>
      </w:pPr>
    </w:p>
    <w:p w14:paraId="1C4C382D" w14:textId="77777777" w:rsidR="009B4166" w:rsidRDefault="009B4166" w:rsidP="00FA69E4">
      <w:pPr>
        <w:spacing w:after="0"/>
        <w:jc w:val="center"/>
        <w:rPr>
          <w:rFonts w:ascii="Times New Roman" w:hAnsi="Times New Roman"/>
          <w:b/>
          <w:color w:val="000000" w:themeColor="text1"/>
          <w:sz w:val="24"/>
          <w:lang w:val="en-US"/>
        </w:rPr>
      </w:pPr>
    </w:p>
    <w:p w14:paraId="1C54713F" w14:textId="77777777" w:rsidR="009B4166" w:rsidRDefault="009B4166" w:rsidP="00FA69E4">
      <w:pPr>
        <w:spacing w:after="0"/>
        <w:jc w:val="center"/>
        <w:rPr>
          <w:rFonts w:ascii="Times New Roman" w:hAnsi="Times New Roman"/>
          <w:b/>
          <w:color w:val="000000" w:themeColor="text1"/>
          <w:sz w:val="24"/>
          <w:lang w:val="en-US"/>
        </w:rPr>
      </w:pPr>
    </w:p>
    <w:p w14:paraId="20516D4C" w14:textId="77777777" w:rsidR="009B4166" w:rsidRDefault="009B4166" w:rsidP="00FA69E4">
      <w:pPr>
        <w:spacing w:after="0"/>
        <w:jc w:val="center"/>
        <w:rPr>
          <w:rFonts w:ascii="Times New Roman" w:hAnsi="Times New Roman"/>
          <w:b/>
          <w:color w:val="000000" w:themeColor="text1"/>
          <w:sz w:val="24"/>
          <w:lang w:val="en-US"/>
        </w:rPr>
      </w:pPr>
    </w:p>
    <w:p w14:paraId="650B0392" w14:textId="6E893209" w:rsidR="00356807" w:rsidRPr="001D1385" w:rsidRDefault="00356807" w:rsidP="00FA69E4">
      <w:pPr>
        <w:spacing w:after="0"/>
        <w:jc w:val="center"/>
        <w:rPr>
          <w:rFonts w:ascii="Times New Roman" w:hAnsi="Times New Roman"/>
          <w:b/>
          <w:color w:val="000000" w:themeColor="text1"/>
          <w:sz w:val="24"/>
          <w:lang w:val="en-US"/>
        </w:rPr>
      </w:pPr>
      <w:r w:rsidRPr="001D1385">
        <w:rPr>
          <w:rFonts w:ascii="Times New Roman" w:hAnsi="Times New Roman"/>
          <w:b/>
          <w:color w:val="000000" w:themeColor="text1"/>
          <w:sz w:val="24"/>
          <w:lang w:val="en-US"/>
        </w:rPr>
        <w:t xml:space="preserve">Fig 1. The location map of </w:t>
      </w:r>
      <w:r>
        <w:rPr>
          <w:rFonts w:ascii="Times New Roman" w:hAnsi="Times New Roman"/>
          <w:b/>
          <w:color w:val="000000" w:themeColor="text1"/>
          <w:sz w:val="24"/>
          <w:lang w:val="en-US"/>
        </w:rPr>
        <w:t>study watershed</w:t>
      </w:r>
    </w:p>
    <w:p w14:paraId="0727B627" w14:textId="77777777" w:rsidR="00356807" w:rsidRDefault="00356807" w:rsidP="00FA69E4">
      <w:pPr>
        <w:pStyle w:val="NormalWeb"/>
        <w:spacing w:before="0" w:beforeAutospacing="0" w:after="0" w:afterAutospacing="0" w:line="360" w:lineRule="auto"/>
        <w:ind w:firstLine="720"/>
        <w:jc w:val="both"/>
      </w:pPr>
    </w:p>
    <w:p w14:paraId="0D5F97E9" w14:textId="1BE7FF94" w:rsidR="00356807" w:rsidRDefault="00685E4D" w:rsidP="00FA69E4">
      <w:pPr>
        <w:pStyle w:val="NormalWeb"/>
        <w:spacing w:before="0" w:beforeAutospacing="0" w:after="0" w:afterAutospacing="0" w:line="360" w:lineRule="auto"/>
        <w:ind w:firstLine="720"/>
        <w:jc w:val="both"/>
      </w:pPr>
      <w:r>
        <w:t>The region receives an average annual rainfall of 1,340 mm, primarily during the southwest and northeast monsoons (Manivannan et al., 2016). Elevation within the watershed ranges from 1,869 to 2,630 m above mean sea level. The watershed soils are largely sandy clay loam, followed by sandy clay, clay, clay loam, and loamy sand in minor patches. Approximately 83% of the area is under cultivation of annual vegetables and tea plantations. Commonly grown crops include carrot, potato, cauliflower, cabbage, and beetroot. The high intensity of rainfall and steep slopes contribute to significant soil erosion and runoff, leading to nutrient losses from agricultural fields.</w:t>
      </w:r>
    </w:p>
    <w:p w14:paraId="4211B50C" w14:textId="77777777" w:rsidR="00685E4D" w:rsidRPr="00685E4D" w:rsidRDefault="00685E4D" w:rsidP="00FA69E4">
      <w:pPr>
        <w:spacing w:after="0" w:line="240" w:lineRule="auto"/>
        <w:outlineLvl w:val="2"/>
        <w:rPr>
          <w:rFonts w:ascii="Times New Roman" w:eastAsia="Times New Roman" w:hAnsi="Times New Roman"/>
          <w:b/>
          <w:bCs/>
          <w:sz w:val="27"/>
          <w:szCs w:val="27"/>
          <w:lang w:val="en-US"/>
        </w:rPr>
      </w:pPr>
      <w:r w:rsidRPr="00685E4D">
        <w:rPr>
          <w:rFonts w:ascii="Times New Roman" w:eastAsia="Times New Roman" w:hAnsi="Times New Roman"/>
          <w:b/>
          <w:bCs/>
          <w:sz w:val="27"/>
          <w:szCs w:val="27"/>
          <w:lang w:val="en-US"/>
        </w:rPr>
        <w:lastRenderedPageBreak/>
        <w:t>Runoff Water Sample Collection</w:t>
      </w:r>
    </w:p>
    <w:p w14:paraId="0E0560FE" w14:textId="7B6FAB90" w:rsidR="00576716" w:rsidRDefault="00685E4D" w:rsidP="00FA69E4">
      <w:pPr>
        <w:pStyle w:val="NormalWeb"/>
        <w:spacing w:before="0" w:beforeAutospacing="0" w:after="0" w:afterAutospacing="0" w:line="360" w:lineRule="auto"/>
        <w:ind w:firstLine="720"/>
        <w:jc w:val="both"/>
      </w:pPr>
      <w:r w:rsidRPr="00685E4D">
        <w:t xml:space="preserve">In the present study runoff water samples were collected for the analysis of quality parameters. For sample collection the entire watershed was divided in to three reaches based on their elevation. Streams up to 2200 m constituted the </w:t>
      </w:r>
      <w:r w:rsidR="00E035C6">
        <w:t>lower</w:t>
      </w:r>
      <w:r w:rsidRPr="00685E4D">
        <w:t xml:space="preserve"> reach, those between 2200- 2400 m for middle reach and streams between 2400-2630 m represented the </w:t>
      </w:r>
      <w:r w:rsidR="00E035C6">
        <w:t>upper</w:t>
      </w:r>
      <w:r w:rsidRPr="00685E4D">
        <w:t xml:space="preserve"> reach. Integrated grab samples were collected from each reach three times during June–August 2016. Sampling containers were thoroughly rinsed with the same water prior to collection to prevent contamination and immediately transported to the laboratory for analysis.</w:t>
      </w:r>
      <w:r w:rsidR="00F54CF3">
        <w:t xml:space="preserve"> </w:t>
      </w:r>
      <w:r w:rsidRPr="00685E4D">
        <w:t>The collected samples were analyzed for 14 water quality parameters, including pH, Electrical Conductivity (EC), Dissolved Oxygen (DO), Biological Oxygen Demand (BOD), Chemical Oxygen Demand (COD), Total Dissolved Solids (TDS), Total Suspended Solids (TSS), Sulphate (SO₄²⁻), Chloride (Cl⁻), Calcium (Ca²⁺), Magnesium (Mg²⁺), Sodium (Na⁺), Nitrate (NO₃⁻), and Phosphate (PO₄³⁻).</w:t>
      </w:r>
      <w:r>
        <w:t xml:space="preserve"> </w:t>
      </w:r>
      <w:r w:rsidRPr="00685E4D">
        <w:t xml:space="preserve">Standard laboratory procedures were followed for analyses: pH and EC were measured using a digital meter; TDS and TSS were determined gravimetrically; Ca and Mg were quantified by EDTA titration; Na by flame photometry; Cl by </w:t>
      </w:r>
      <w:proofErr w:type="spellStart"/>
      <w:r w:rsidRPr="00685E4D">
        <w:t>AgNO</w:t>
      </w:r>
      <w:proofErr w:type="spellEnd"/>
      <w:r w:rsidRPr="00685E4D">
        <w:t>₃ titration; SO₄ and PO₄ spectrophotometrically; NO₃ by the Kjeldahl method</w:t>
      </w:r>
      <w:r w:rsidR="00DC470E">
        <w:t>. The</w:t>
      </w:r>
      <w:r w:rsidRPr="00685E4D">
        <w:t xml:space="preserve"> DO, BOD, and COD were measured at the Environmental Science Laboratory, Tamil Nadu Agricultural University.</w:t>
      </w:r>
      <w:r w:rsidR="00576716">
        <w:t xml:space="preserve"> </w:t>
      </w:r>
    </w:p>
    <w:p w14:paraId="5EBA293B" w14:textId="67672B36" w:rsidR="00576716" w:rsidRDefault="00576716" w:rsidP="00FA69E4">
      <w:pPr>
        <w:pStyle w:val="NormalWeb"/>
        <w:spacing w:before="0" w:beforeAutospacing="0" w:after="0" w:afterAutospacing="0" w:line="360" w:lineRule="auto"/>
        <w:jc w:val="both"/>
        <w:rPr>
          <w:b/>
          <w:bCs/>
        </w:rPr>
      </w:pPr>
      <w:r w:rsidRPr="00576716">
        <w:rPr>
          <w:b/>
          <w:bCs/>
        </w:rPr>
        <w:t>Nutrient Pollution Index (NPI)</w:t>
      </w:r>
    </w:p>
    <w:p w14:paraId="604AF91C" w14:textId="3457F824" w:rsidR="0042509D" w:rsidRPr="0042509D" w:rsidRDefault="0042509D" w:rsidP="00FA69E4">
      <w:pPr>
        <w:pStyle w:val="NormalWeb"/>
        <w:spacing w:before="0" w:beforeAutospacing="0" w:after="0" w:afterAutospacing="0" w:line="360" w:lineRule="auto"/>
        <w:jc w:val="both"/>
      </w:pPr>
      <w:r w:rsidRPr="0042509D">
        <w:t xml:space="preserve">The </w:t>
      </w:r>
      <w:r w:rsidRPr="0042509D">
        <w:rPr>
          <w:rStyle w:val="Strong"/>
          <w:b w:val="0"/>
          <w:bCs w:val="0"/>
        </w:rPr>
        <w:t>Nutrient Pollution Index (NPI)</w:t>
      </w:r>
      <w:r w:rsidRPr="0042509D">
        <w:t xml:space="preserve"> was employed to evaluate nutrient pollution levels </w:t>
      </w:r>
      <w:r w:rsidRPr="00576716">
        <w:t xml:space="preserve">in the </w:t>
      </w:r>
      <w:r>
        <w:t>collected runoff samples across the reaches</w:t>
      </w:r>
      <w:r w:rsidRPr="0042509D">
        <w:t xml:space="preserve"> based on nitrate nitrogen (N) and phosphate (P) concentrations. The index expresses the degree to which observed nutrient concentrations exceed their respective permissible or threshold limits.</w:t>
      </w:r>
    </w:p>
    <w:p w14:paraId="549DDB4B" w14:textId="0BA65F07" w:rsidR="00576716" w:rsidRDefault="00576716" w:rsidP="00FA69E4">
      <w:pPr>
        <w:pStyle w:val="NormalWeb"/>
        <w:spacing w:before="0" w:beforeAutospacing="0" w:after="0" w:afterAutospacing="0" w:line="360" w:lineRule="auto"/>
        <w:jc w:val="both"/>
        <w:rPr>
          <w:vertAlign w:val="subscript"/>
        </w:rPr>
      </w:pPr>
      <w:r w:rsidRPr="00576716">
        <w:t>NPI</w:t>
      </w:r>
      <w:r>
        <w:t xml:space="preserve"> </w:t>
      </w:r>
      <w:proofErr w:type="gramStart"/>
      <w:r w:rsidRPr="00576716">
        <w:rPr>
          <w:vertAlign w:val="subscript"/>
        </w:rPr>
        <w:t>nutrient</w:t>
      </w:r>
      <w:r>
        <w:rPr>
          <w:vertAlign w:val="subscript"/>
        </w:rPr>
        <w:t xml:space="preserve">  </w:t>
      </w:r>
      <w:r w:rsidRPr="00576716">
        <w:t>=</w:t>
      </w:r>
      <w:proofErr w:type="gramEnd"/>
      <w:r>
        <w:t xml:space="preserve"> </w:t>
      </w:r>
      <w:r w:rsidRPr="00576716">
        <w:t>C</w:t>
      </w:r>
      <w:r>
        <w:t xml:space="preserve"> </w:t>
      </w:r>
      <w:r w:rsidRPr="00576716">
        <w:rPr>
          <w:vertAlign w:val="subscript"/>
        </w:rPr>
        <w:t>nutrient</w:t>
      </w:r>
      <w:r>
        <w:t xml:space="preserve">  / </w:t>
      </w:r>
      <w:r w:rsidRPr="00576716">
        <w:t>MAC</w:t>
      </w:r>
      <w:r>
        <w:t xml:space="preserve"> </w:t>
      </w:r>
      <w:r w:rsidRPr="00576716">
        <w:rPr>
          <w:vertAlign w:val="subscript"/>
        </w:rPr>
        <w:t>nutrient</w:t>
      </w:r>
    </w:p>
    <w:p w14:paraId="08040401" w14:textId="111702C1" w:rsidR="00576716" w:rsidRDefault="00576716" w:rsidP="00FA69E4">
      <w:pPr>
        <w:pStyle w:val="NormalWeb"/>
        <w:spacing w:before="0" w:beforeAutospacing="0" w:after="0" w:afterAutospacing="0" w:line="360" w:lineRule="auto"/>
      </w:pPr>
      <w:r>
        <w:t>Where:</w:t>
      </w:r>
    </w:p>
    <w:p w14:paraId="1D1A4BE5" w14:textId="2A790DA9" w:rsidR="00576716" w:rsidRDefault="00576716" w:rsidP="00FA69E4">
      <w:pPr>
        <w:pStyle w:val="NormalWeb"/>
        <w:numPr>
          <w:ilvl w:val="0"/>
          <w:numId w:val="2"/>
        </w:numPr>
        <w:spacing w:before="0" w:beforeAutospacing="0" w:after="0" w:afterAutospacing="0" w:line="360" w:lineRule="auto"/>
      </w:pPr>
      <w:r>
        <w:rPr>
          <w:rStyle w:val="mord"/>
        </w:rPr>
        <w:t xml:space="preserve">C </w:t>
      </w:r>
      <w:r w:rsidRPr="00576716">
        <w:rPr>
          <w:rStyle w:val="mord"/>
          <w:vertAlign w:val="subscript"/>
        </w:rPr>
        <w:t>nutrient</w:t>
      </w:r>
      <w:r>
        <w:rPr>
          <w:rStyle w:val="vlist-s"/>
        </w:rPr>
        <w:t>​</w:t>
      </w:r>
      <w:r>
        <w:t xml:space="preserve"> = observed mean concentration of the nutrient (mg</w:t>
      </w:r>
      <w:r w:rsidR="002F75B9">
        <w:t xml:space="preserve"> </w:t>
      </w:r>
      <w:r w:rsidR="002F75B9" w:rsidRPr="0042509D">
        <w:rPr>
          <w:rStyle w:val="Strong"/>
          <w:b w:val="0"/>
          <w:bCs w:val="0"/>
        </w:rPr>
        <w:t>L⁻¹</w:t>
      </w:r>
      <w:r>
        <w:t>)</w:t>
      </w:r>
    </w:p>
    <w:p w14:paraId="14DE4625" w14:textId="5E1A883E" w:rsidR="00576716" w:rsidRDefault="00576716" w:rsidP="00FA69E4">
      <w:pPr>
        <w:pStyle w:val="NormalWeb"/>
        <w:numPr>
          <w:ilvl w:val="0"/>
          <w:numId w:val="2"/>
        </w:numPr>
        <w:spacing w:before="0" w:beforeAutospacing="0" w:after="0" w:afterAutospacing="0" w:line="360" w:lineRule="auto"/>
      </w:pPr>
      <w:r>
        <w:rPr>
          <w:rStyle w:val="mord"/>
        </w:rPr>
        <w:t xml:space="preserve">MAC </w:t>
      </w:r>
      <w:r w:rsidRPr="00576716">
        <w:rPr>
          <w:rStyle w:val="mord"/>
          <w:vertAlign w:val="subscript"/>
        </w:rPr>
        <w:t>nutrient</w:t>
      </w:r>
      <w:r w:rsidRPr="00576716">
        <w:rPr>
          <w:rStyle w:val="vlist-s"/>
          <w:vertAlign w:val="subscript"/>
        </w:rPr>
        <w:t>​</w:t>
      </w:r>
      <w:r>
        <w:t xml:space="preserve"> = maximum allowable concentration of the nutrient (mg</w:t>
      </w:r>
      <w:r w:rsidR="002F75B9">
        <w:t xml:space="preserve"> </w:t>
      </w:r>
      <w:r w:rsidR="002F75B9" w:rsidRPr="0042509D">
        <w:rPr>
          <w:rStyle w:val="Strong"/>
          <w:b w:val="0"/>
          <w:bCs w:val="0"/>
        </w:rPr>
        <w:t>L⁻¹</w:t>
      </w:r>
      <w:r>
        <w:t>)</w:t>
      </w:r>
    </w:p>
    <w:p w14:paraId="089834F0" w14:textId="6EDAB0FB" w:rsidR="00576716" w:rsidRDefault="0042509D" w:rsidP="00FA69E4">
      <w:pPr>
        <w:pStyle w:val="NormalWeb"/>
        <w:spacing w:before="0" w:beforeAutospacing="0" w:after="0" w:afterAutospacing="0" w:line="360" w:lineRule="auto"/>
        <w:jc w:val="both"/>
      </w:pPr>
      <w:r w:rsidRPr="0042509D">
        <w:t>For t</w:t>
      </w:r>
      <w:r>
        <w:t>he present</w:t>
      </w:r>
      <w:r w:rsidRPr="0042509D">
        <w:t xml:space="preserve"> study, the </w:t>
      </w:r>
      <w:r>
        <w:t>maximum allowable</w:t>
      </w:r>
      <w:r w:rsidRPr="0042509D">
        <w:t xml:space="preserve"> </w:t>
      </w:r>
      <w:r w:rsidRPr="0042509D">
        <w:rPr>
          <w:rStyle w:val="Strong"/>
          <w:b w:val="0"/>
          <w:bCs w:val="0"/>
        </w:rPr>
        <w:t>nitrate nitrogen</w:t>
      </w:r>
      <w:r w:rsidRPr="0042509D">
        <w:t xml:space="preserve"> was taken as </w:t>
      </w:r>
      <w:r w:rsidRPr="0042509D">
        <w:rPr>
          <w:rStyle w:val="Strong"/>
          <w:b w:val="0"/>
          <w:bCs w:val="0"/>
        </w:rPr>
        <w:t>45 mg L⁻¹</w:t>
      </w:r>
      <w:r w:rsidRPr="0042509D">
        <w:rPr>
          <w:b/>
          <w:bCs/>
        </w:rPr>
        <w:t>,</w:t>
      </w:r>
      <w:r w:rsidRPr="0042509D">
        <w:t xml:space="preserve"> in accordance with international and national drinking water guidelines (WHO, 2017; BIS, 2012). Since </w:t>
      </w:r>
      <w:r>
        <w:t xml:space="preserve">there is no </w:t>
      </w:r>
      <w:r w:rsidRPr="0042509D">
        <w:t xml:space="preserve">health-based guideline for phosphate, a threshold concentration of </w:t>
      </w:r>
      <w:r w:rsidRPr="0042509D">
        <w:rPr>
          <w:rStyle w:val="Strong"/>
          <w:b w:val="0"/>
          <w:bCs w:val="0"/>
        </w:rPr>
        <w:t>0.1 mg L⁻¹</w:t>
      </w:r>
      <w:r w:rsidRPr="0042509D">
        <w:t xml:space="preserve"> was adopted to represent the eutrophication limit for surface waters</w:t>
      </w:r>
      <w:r>
        <w:t xml:space="preserve"> from the earlier studies</w:t>
      </w:r>
      <w:r w:rsidRPr="0042509D">
        <w:t xml:space="preserve"> (Vollenweider, 1968; OECD, 1982; USEPA, 2000).</w:t>
      </w:r>
      <w:r w:rsidR="009B4166">
        <w:t xml:space="preserve"> </w:t>
      </w:r>
    </w:p>
    <w:p w14:paraId="1EC2C4A9" w14:textId="5A18FDDC" w:rsidR="0006727D" w:rsidRPr="0083125A" w:rsidRDefault="0006727D" w:rsidP="00FA69E4">
      <w:pPr>
        <w:pStyle w:val="NormalWeb"/>
        <w:spacing w:before="0" w:beforeAutospacing="0" w:after="0" w:afterAutospacing="0" w:line="360" w:lineRule="auto"/>
        <w:ind w:firstLine="720"/>
        <w:jc w:val="both"/>
        <w:rPr>
          <w:b/>
          <w:bCs/>
        </w:rPr>
      </w:pPr>
      <w:r>
        <w:lastRenderedPageBreak/>
        <w:t xml:space="preserve">To assess the overall nutrient pollution status, a </w:t>
      </w:r>
      <w:r w:rsidRPr="0006727D">
        <w:rPr>
          <w:rStyle w:val="Strong"/>
          <w:b w:val="0"/>
          <w:bCs w:val="0"/>
        </w:rPr>
        <w:t>combined Nutrient Pollution Index</w:t>
      </w:r>
      <w:r>
        <w:t xml:space="preserve"> for nitrogen and phosphorus was calculated</w:t>
      </w:r>
      <w:r w:rsidR="0083125A">
        <w:t xml:space="preserve"> </w:t>
      </w:r>
      <w:r w:rsidR="000650BA">
        <w:t>as the arithmetic mean of NPI</w:t>
      </w:r>
      <w:r w:rsidR="000650BA" w:rsidRPr="00781526">
        <w:rPr>
          <w:vertAlign w:val="subscript"/>
        </w:rPr>
        <w:t>N</w:t>
      </w:r>
      <w:r w:rsidR="000650BA">
        <w:t xml:space="preserve"> and NPI</w:t>
      </w:r>
      <w:r w:rsidR="000650BA" w:rsidRPr="00781526">
        <w:rPr>
          <w:vertAlign w:val="subscript"/>
        </w:rPr>
        <w:t>P</w:t>
      </w:r>
      <w:r w:rsidR="000650BA">
        <w:t xml:space="preserve"> </w:t>
      </w:r>
      <w:r w:rsidR="0083125A">
        <w:t xml:space="preserve">by using the formula given by </w:t>
      </w:r>
      <w:r w:rsidR="000650BA">
        <w:t>Sanad et al., 2024</w:t>
      </w:r>
    </w:p>
    <w:p w14:paraId="67597B79" w14:textId="77777777" w:rsidR="009B4166" w:rsidRDefault="009B4166" w:rsidP="00FA69E4">
      <w:pPr>
        <w:pStyle w:val="NormalWeb"/>
        <w:spacing w:before="0" w:beforeAutospacing="0" w:after="0" w:afterAutospacing="0" w:line="360" w:lineRule="auto"/>
        <w:jc w:val="both"/>
        <w:rPr>
          <w:rStyle w:val="mord"/>
        </w:rPr>
      </w:pPr>
    </w:p>
    <w:p w14:paraId="73F54998" w14:textId="1CED3B32" w:rsidR="0006727D" w:rsidRDefault="0006727D" w:rsidP="00FA69E4">
      <w:pPr>
        <w:pStyle w:val="NormalWeb"/>
        <w:spacing w:before="0" w:beforeAutospacing="0" w:after="0" w:afterAutospacing="0" w:line="360" w:lineRule="auto"/>
        <w:jc w:val="both"/>
        <w:rPr>
          <w:rStyle w:val="mord"/>
        </w:rPr>
      </w:pPr>
      <w:r>
        <w:rPr>
          <w:rStyle w:val="mord"/>
        </w:rPr>
        <w:t>Combined NPI</w:t>
      </w:r>
      <w:r>
        <w:rPr>
          <w:rStyle w:val="mrel"/>
          <w:rFonts w:eastAsiaTheme="majorEastAsia"/>
        </w:rPr>
        <w:t>=</w:t>
      </w:r>
      <w:r w:rsidRPr="0006727D">
        <w:t xml:space="preserve"> </w:t>
      </w:r>
      <w:r w:rsidR="008A5315">
        <w:t>(</w:t>
      </w:r>
      <w:r>
        <w:rPr>
          <w:rStyle w:val="mord"/>
        </w:rPr>
        <w:t>NPI</w:t>
      </w:r>
      <w:r w:rsidRPr="0006727D">
        <w:rPr>
          <w:rStyle w:val="mord"/>
          <w:vertAlign w:val="subscript"/>
        </w:rPr>
        <w:t>N</w:t>
      </w:r>
      <w:r>
        <w:rPr>
          <w:rStyle w:val="vlist-s"/>
        </w:rPr>
        <w:t>​</w:t>
      </w:r>
      <w:r w:rsidR="009E5189">
        <w:rPr>
          <w:rStyle w:val="vlist-s"/>
        </w:rPr>
        <w:t xml:space="preserve"> </w:t>
      </w:r>
      <w:r>
        <w:rPr>
          <w:rStyle w:val="mbin"/>
        </w:rPr>
        <w:t>+</w:t>
      </w:r>
      <w:r w:rsidR="009E5189">
        <w:rPr>
          <w:rStyle w:val="mbin"/>
        </w:rPr>
        <w:t xml:space="preserve"> </w:t>
      </w:r>
      <w:r>
        <w:rPr>
          <w:rStyle w:val="mord"/>
        </w:rPr>
        <w:t>NPI</w:t>
      </w:r>
      <w:r w:rsidRPr="0006727D">
        <w:rPr>
          <w:rStyle w:val="mord"/>
          <w:vertAlign w:val="subscript"/>
        </w:rPr>
        <w:t>P</w:t>
      </w:r>
      <w:r w:rsidR="008A5315">
        <w:rPr>
          <w:rStyle w:val="mord"/>
        </w:rPr>
        <w:t>)</w:t>
      </w:r>
      <w:r w:rsidR="000650BA" w:rsidRPr="000650BA">
        <w:rPr>
          <w:rStyle w:val="mord"/>
        </w:rPr>
        <w:t>/2</w:t>
      </w:r>
    </w:p>
    <w:p w14:paraId="0BC462FF" w14:textId="6BBE780C" w:rsidR="009B4166" w:rsidRDefault="009B4166" w:rsidP="00FA69E4">
      <w:pPr>
        <w:pStyle w:val="NormalWeb"/>
        <w:spacing w:before="0" w:beforeAutospacing="0" w:after="0" w:afterAutospacing="0" w:line="360" w:lineRule="auto"/>
        <w:jc w:val="both"/>
        <w:rPr>
          <w:rStyle w:val="mord"/>
        </w:rPr>
      </w:pPr>
      <w:r>
        <w:rPr>
          <w:rStyle w:val="mord"/>
        </w:rPr>
        <w:t xml:space="preserve">Where </w:t>
      </w:r>
    </w:p>
    <w:p w14:paraId="051050A2" w14:textId="0B26C9E1" w:rsidR="005C0140" w:rsidRDefault="005C0140" w:rsidP="00FA69E4">
      <w:pPr>
        <w:pStyle w:val="NormalWeb"/>
        <w:spacing w:before="0" w:beforeAutospacing="0" w:after="0" w:afterAutospacing="0" w:line="360" w:lineRule="auto"/>
        <w:jc w:val="both"/>
        <w:rPr>
          <w:rStyle w:val="mord"/>
        </w:rPr>
      </w:pPr>
      <w:r>
        <w:rPr>
          <w:rStyle w:val="mord"/>
        </w:rPr>
        <w:t>NPI = Nutrient Pollution Index</w:t>
      </w:r>
    </w:p>
    <w:p w14:paraId="6A1B6832" w14:textId="274541EB" w:rsidR="005C0140" w:rsidRPr="005C0140" w:rsidRDefault="005C0140" w:rsidP="00FA69E4">
      <w:pPr>
        <w:pStyle w:val="NormalWeb"/>
        <w:spacing w:before="0" w:beforeAutospacing="0" w:after="0" w:afterAutospacing="0" w:line="360" w:lineRule="auto"/>
        <w:jc w:val="both"/>
        <w:rPr>
          <w:rStyle w:val="mord"/>
        </w:rPr>
      </w:pPr>
      <w:r>
        <w:rPr>
          <w:rStyle w:val="mord"/>
        </w:rPr>
        <w:t>NPI</w:t>
      </w:r>
      <w:r w:rsidRPr="0006727D">
        <w:rPr>
          <w:rStyle w:val="mord"/>
          <w:vertAlign w:val="subscript"/>
        </w:rPr>
        <w:t>N</w:t>
      </w:r>
      <w:r>
        <w:rPr>
          <w:rStyle w:val="mord"/>
          <w:vertAlign w:val="subscript"/>
        </w:rPr>
        <w:t xml:space="preserve"> </w:t>
      </w:r>
      <w:r w:rsidRPr="005C0140">
        <w:rPr>
          <w:rStyle w:val="mord"/>
        </w:rPr>
        <w:t>=</w:t>
      </w:r>
      <w:r>
        <w:rPr>
          <w:rStyle w:val="mord"/>
          <w:vertAlign w:val="subscript"/>
        </w:rPr>
        <w:t xml:space="preserve"> </w:t>
      </w:r>
      <w:r w:rsidRPr="0006727D">
        <w:rPr>
          <w:rStyle w:val="Strong"/>
          <w:b w:val="0"/>
          <w:bCs w:val="0"/>
        </w:rPr>
        <w:t>Nutrient Pollution Index</w:t>
      </w:r>
      <w:r>
        <w:t xml:space="preserve"> for nitrogen </w:t>
      </w:r>
    </w:p>
    <w:p w14:paraId="000CCB0A" w14:textId="06B34AB2" w:rsidR="005C0140" w:rsidRPr="005C0140" w:rsidRDefault="005C0140" w:rsidP="00FA69E4">
      <w:pPr>
        <w:pStyle w:val="NormalWeb"/>
        <w:spacing w:before="0" w:beforeAutospacing="0" w:after="0" w:afterAutospacing="0" w:line="360" w:lineRule="auto"/>
        <w:jc w:val="both"/>
        <w:rPr>
          <w:rStyle w:val="mord"/>
        </w:rPr>
      </w:pPr>
      <w:r>
        <w:rPr>
          <w:rStyle w:val="mord"/>
        </w:rPr>
        <w:t>NPI</w:t>
      </w:r>
      <w:r w:rsidRPr="0006727D">
        <w:rPr>
          <w:rStyle w:val="mord"/>
          <w:vertAlign w:val="subscript"/>
        </w:rPr>
        <w:t>P</w:t>
      </w:r>
      <w:r>
        <w:rPr>
          <w:rStyle w:val="mord"/>
        </w:rPr>
        <w:t xml:space="preserve">= </w:t>
      </w:r>
      <w:r w:rsidRPr="0006727D">
        <w:rPr>
          <w:rStyle w:val="Strong"/>
          <w:b w:val="0"/>
          <w:bCs w:val="0"/>
        </w:rPr>
        <w:t>Nutrient Pollution Index</w:t>
      </w:r>
      <w:r>
        <w:t xml:space="preserve"> for phosphorus</w:t>
      </w:r>
    </w:p>
    <w:p w14:paraId="62C97D4C" w14:textId="77777777" w:rsidR="00F93018" w:rsidRDefault="00F93018" w:rsidP="00FA69E4">
      <w:pPr>
        <w:pStyle w:val="NormalWeb"/>
        <w:spacing w:before="0" w:beforeAutospacing="0" w:after="0" w:afterAutospacing="0" w:line="360" w:lineRule="auto"/>
        <w:jc w:val="both"/>
        <w:rPr>
          <w:rStyle w:val="mord"/>
          <w:b/>
          <w:bCs/>
        </w:rPr>
      </w:pPr>
    </w:p>
    <w:p w14:paraId="64A0EEB4" w14:textId="5451D79D" w:rsidR="00934368" w:rsidRDefault="00934368" w:rsidP="00FA69E4">
      <w:pPr>
        <w:pStyle w:val="NormalWeb"/>
        <w:spacing w:before="0" w:beforeAutospacing="0" w:after="0" w:afterAutospacing="0" w:line="360" w:lineRule="auto"/>
        <w:jc w:val="both"/>
        <w:rPr>
          <w:rStyle w:val="mord"/>
          <w:b/>
          <w:bCs/>
        </w:rPr>
      </w:pPr>
      <w:r w:rsidRPr="00356807">
        <w:rPr>
          <w:rStyle w:val="mord"/>
          <w:b/>
          <w:bCs/>
        </w:rPr>
        <w:t>Nutrient</w:t>
      </w:r>
      <w:r w:rsidR="009B4166">
        <w:rPr>
          <w:rStyle w:val="mord"/>
          <w:b/>
          <w:bCs/>
        </w:rPr>
        <w:t xml:space="preserve"> recommendation and land use management options for the watershed</w:t>
      </w:r>
    </w:p>
    <w:p w14:paraId="5CD60C17" w14:textId="011DC4C7" w:rsidR="00811A0C" w:rsidRDefault="00811A0C" w:rsidP="00A72689">
      <w:pPr>
        <w:pStyle w:val="NormalWeb"/>
        <w:spacing w:after="0" w:line="360" w:lineRule="auto"/>
        <w:ind w:firstLine="720"/>
        <w:jc w:val="both"/>
      </w:pPr>
      <w:r w:rsidRPr="00811A0C">
        <w:t xml:space="preserve"> </w:t>
      </w:r>
      <w:r>
        <w:t xml:space="preserve">The AGNPS model was used to simulate nutrient loss of the </w:t>
      </w:r>
      <w:proofErr w:type="spellStart"/>
      <w:r>
        <w:t>Sillahalla</w:t>
      </w:r>
      <w:proofErr w:type="spellEnd"/>
      <w:r>
        <w:t xml:space="preserve"> watershed </w:t>
      </w:r>
      <w:r w:rsidRPr="00811A0C">
        <w:t>for the selected rainfall events during the rainy season of 2017</w:t>
      </w:r>
      <w:r>
        <w:t xml:space="preserve">. </w:t>
      </w:r>
      <w:r w:rsidRPr="00811A0C">
        <w:t xml:space="preserve"> </w:t>
      </w:r>
      <w:r w:rsidR="001003DB" w:rsidRPr="001003DB">
        <w:t xml:space="preserve">A total of four scenarios were simulated, incorporating three nutrient management options along with </w:t>
      </w:r>
      <w:r w:rsidR="001003DB">
        <w:t>one</w:t>
      </w:r>
      <w:r w:rsidR="001003DB" w:rsidRPr="001003DB">
        <w:t xml:space="preserve"> land-use management strategies.</w:t>
      </w:r>
      <w:r w:rsidR="001003DB">
        <w:t xml:space="preserve"> </w:t>
      </w:r>
      <w:r w:rsidR="00A72689">
        <w:t xml:space="preserve">In the nutrient management scenario, it is assumed that the nutrient application by the farmer was 100% (Framers Practice). Scenario 1 was </w:t>
      </w:r>
      <w:r w:rsidR="005A319A">
        <w:t>p</w:t>
      </w:r>
      <w:r>
        <w:t>resent farmer's fertilizer application rates</w:t>
      </w:r>
      <w:r w:rsidR="00A72689">
        <w:t xml:space="preserve">, </w:t>
      </w:r>
      <w:r>
        <w:t>Scenario 2</w:t>
      </w:r>
      <w:r w:rsidR="00A72689">
        <w:t xml:space="preserve"> and 3 were </w:t>
      </w:r>
      <w:r>
        <w:t xml:space="preserve">25 % </w:t>
      </w:r>
      <w:r w:rsidR="00A72689">
        <w:t xml:space="preserve">and 50 % </w:t>
      </w:r>
      <w:r>
        <w:t>reduction in nutrient dose (N and P) from the present farmer's fertilizer application rates</w:t>
      </w:r>
      <w:r w:rsidR="00A72689">
        <w:t xml:space="preserve">. The </w:t>
      </w:r>
      <w:r>
        <w:t>Scenario</w:t>
      </w:r>
      <w:r w:rsidR="00A72689">
        <w:t xml:space="preserve"> 4 was c</w:t>
      </w:r>
      <w:r>
        <w:t xml:space="preserve">onversion of 25 % of the existing agricultural land into tea plantations, with nutrient application reduced by 50 % (as scenario </w:t>
      </w:r>
      <w:r w:rsidR="00A72689">
        <w:t>3</w:t>
      </w:r>
      <w:r>
        <w:t>)</w:t>
      </w:r>
      <w:r w:rsidR="00A72689">
        <w:t xml:space="preserve"> and discussed in the earlier publication of</w:t>
      </w:r>
      <w:r w:rsidR="00345476">
        <w:t xml:space="preserve"> </w:t>
      </w:r>
      <w:r w:rsidR="00345476">
        <w:rPr>
          <w:bCs/>
          <w:color w:val="000000" w:themeColor="text1"/>
        </w:rPr>
        <w:t>Kasthuri</w:t>
      </w:r>
      <w:r w:rsidR="00A72689">
        <w:t xml:space="preserve"> Thilagam et al., 2023. The results found that the Scenario 2 </w:t>
      </w:r>
      <w:proofErr w:type="spellStart"/>
      <w:r w:rsidR="00A72689">
        <w:t>ie</w:t>
      </w:r>
      <w:proofErr w:type="spellEnd"/>
      <w:r w:rsidR="00A72689">
        <w:t xml:space="preserve"> 50 % reduction in nutrient dose (N and P) from the present farmer's fertilizer application rates with INM is optimal to obtain the maximum yield of vegetable crops. Based on this Soil Test Crop Response (STCR) equation with Integrated Nutrient Management (INM) equations developed for carrot and potato crops by the Tamil Nadu Agricultural University for Nilgiris soils (Gayathri et al.,2009; Anonymous) was used for nutrient recommendations and given as a ready reckoner for the watershed farmers.</w:t>
      </w:r>
      <w:r w:rsidR="009B4166">
        <w:t xml:space="preserve"> </w:t>
      </w:r>
    </w:p>
    <w:p w14:paraId="289E764B" w14:textId="4ADDB85C" w:rsidR="005A3248" w:rsidRPr="005A3248" w:rsidRDefault="005A3248" w:rsidP="008A100A">
      <w:pPr>
        <w:pStyle w:val="NormalWeb"/>
        <w:spacing w:before="0" w:beforeAutospacing="0" w:after="0" w:afterAutospacing="0" w:line="360" w:lineRule="auto"/>
        <w:rPr>
          <w:b/>
          <w:bCs/>
        </w:rPr>
      </w:pPr>
      <w:r w:rsidRPr="005A3248">
        <w:rPr>
          <w:b/>
          <w:bCs/>
        </w:rPr>
        <w:t>Results and Discussion</w:t>
      </w:r>
    </w:p>
    <w:p w14:paraId="622CD145" w14:textId="77777777" w:rsidR="005A3248" w:rsidRPr="005A3248" w:rsidRDefault="005A3248" w:rsidP="00FA69E4">
      <w:pPr>
        <w:pStyle w:val="NormalWeb"/>
        <w:spacing w:before="0" w:beforeAutospacing="0" w:after="0" w:afterAutospacing="0" w:line="360" w:lineRule="auto"/>
        <w:jc w:val="both"/>
        <w:rPr>
          <w:b/>
          <w:bCs/>
        </w:rPr>
      </w:pPr>
      <w:r w:rsidRPr="005A3248">
        <w:rPr>
          <w:b/>
          <w:bCs/>
        </w:rPr>
        <w:t>Runoff Water Quality Parameters</w:t>
      </w:r>
    </w:p>
    <w:p w14:paraId="6C651C7B" w14:textId="4881BE1D" w:rsidR="00FC73FF" w:rsidRDefault="005A3248" w:rsidP="00FA69E4">
      <w:pPr>
        <w:pStyle w:val="NormalWeb"/>
        <w:spacing w:before="0" w:beforeAutospacing="0" w:after="0" w:afterAutospacing="0" w:line="360" w:lineRule="auto"/>
        <w:ind w:firstLine="720"/>
        <w:jc w:val="both"/>
      </w:pPr>
      <w:r w:rsidRPr="005A3248">
        <w:t xml:space="preserve">The runoff water samples collected from different reaches of the </w:t>
      </w:r>
      <w:proofErr w:type="spellStart"/>
      <w:r w:rsidRPr="005A3248">
        <w:t>Sillahalla</w:t>
      </w:r>
      <w:proofErr w:type="spellEnd"/>
      <w:r w:rsidRPr="005A3248">
        <w:t xml:space="preserve"> watershed were analyzed for 14 water quality parameters, and the results are summarized in Table 1. The pH of </w:t>
      </w:r>
      <w:r w:rsidRPr="005A3248">
        <w:lastRenderedPageBreak/>
        <w:t>runoff water from all three reaches indicates neutral conditions, with values of 6.79, 6.99, and 7.00 for the upper, middle, and lower reaches, respectively. Total dissolved solids (TDS) ranged from 627 to 844 mg L⁻¹, which are well within the permissible limit of 2,000 mg L⁻¹ (Bureau of Indian Standards, BIS, 2012). Similarly, sulphate (SO₄²⁻), chloride (Cl⁻), and soluble salts including calcium (Ca²⁺), magnesium (Mg²⁺), and sodium (Na⁺) were within BIS standards, indicating that irrigation with this water is unlikely to cause salinity or sodium hazards to soils and crops.</w:t>
      </w:r>
    </w:p>
    <w:p w14:paraId="78073B7A" w14:textId="14EC667D" w:rsidR="005A3248" w:rsidRPr="00FC73FF" w:rsidRDefault="00FC73FF" w:rsidP="00FA69E4">
      <w:pPr>
        <w:pStyle w:val="NormalWeb"/>
        <w:spacing w:before="0" w:beforeAutospacing="0" w:after="0" w:afterAutospacing="0" w:line="360" w:lineRule="auto"/>
        <w:jc w:val="both"/>
        <w:rPr>
          <w:b/>
          <w:bCs/>
        </w:rPr>
      </w:pPr>
      <w:r w:rsidRPr="00FC73FF">
        <w:rPr>
          <w:b/>
          <w:bCs/>
        </w:rPr>
        <w:t xml:space="preserve">Table 1. </w:t>
      </w:r>
      <w:r>
        <w:rPr>
          <w:b/>
          <w:bCs/>
        </w:rPr>
        <w:t>Runoff w</w:t>
      </w:r>
      <w:r w:rsidRPr="00FC73FF">
        <w:rPr>
          <w:b/>
          <w:bCs/>
        </w:rPr>
        <w:t xml:space="preserve">ater quality parameters of </w:t>
      </w:r>
      <w:proofErr w:type="spellStart"/>
      <w:r w:rsidRPr="00FC73FF">
        <w:rPr>
          <w:b/>
          <w:bCs/>
        </w:rPr>
        <w:t>Sillahalla</w:t>
      </w:r>
      <w:proofErr w:type="spellEnd"/>
      <w:r w:rsidRPr="00FC73FF">
        <w:rPr>
          <w:b/>
          <w:bCs/>
        </w:rPr>
        <w:t xml:space="preserve"> watershed in different reaches</w:t>
      </w:r>
    </w:p>
    <w:tbl>
      <w:tblPr>
        <w:tblStyle w:val="TableGrid"/>
        <w:tblW w:w="5076" w:type="pct"/>
        <w:tblLayout w:type="fixed"/>
        <w:tblLook w:val="04A0" w:firstRow="1" w:lastRow="0" w:firstColumn="1" w:lastColumn="0" w:noHBand="0" w:noVBand="1"/>
      </w:tblPr>
      <w:tblGrid>
        <w:gridCol w:w="1982"/>
        <w:gridCol w:w="850"/>
        <w:gridCol w:w="850"/>
        <w:gridCol w:w="710"/>
        <w:gridCol w:w="849"/>
        <w:gridCol w:w="991"/>
        <w:gridCol w:w="712"/>
        <w:gridCol w:w="852"/>
        <w:gridCol w:w="847"/>
        <w:gridCol w:w="849"/>
      </w:tblGrid>
      <w:tr w:rsidR="003B7AC5" w:rsidRPr="003B7AC5" w14:paraId="4BB8E793" w14:textId="77777777" w:rsidTr="003B7AC5">
        <w:tc>
          <w:tcPr>
            <w:tcW w:w="1044" w:type="pct"/>
            <w:vMerge w:val="restart"/>
          </w:tcPr>
          <w:p w14:paraId="2B8FA467" w14:textId="77777777" w:rsidR="003B7AC5" w:rsidRPr="003B7AC5" w:rsidRDefault="003B7AC5" w:rsidP="00FA69E4">
            <w:pPr>
              <w:pStyle w:val="NormalWeb"/>
              <w:spacing w:before="0" w:beforeAutospacing="0" w:after="0" w:afterAutospacing="0" w:line="360" w:lineRule="auto"/>
              <w:jc w:val="both"/>
              <w:rPr>
                <w:sz w:val="22"/>
                <w:szCs w:val="22"/>
              </w:rPr>
            </w:pPr>
            <w:r w:rsidRPr="003B7AC5">
              <w:rPr>
                <w:sz w:val="22"/>
                <w:szCs w:val="22"/>
              </w:rPr>
              <w:t>Parameter</w:t>
            </w:r>
          </w:p>
        </w:tc>
        <w:tc>
          <w:tcPr>
            <w:tcW w:w="1269" w:type="pct"/>
            <w:gridSpan w:val="3"/>
          </w:tcPr>
          <w:p w14:paraId="3DEC7B26" w14:textId="21698C02" w:rsidR="003B7AC5" w:rsidRPr="003B7AC5" w:rsidRDefault="003B7AC5" w:rsidP="00FA69E4">
            <w:pPr>
              <w:pStyle w:val="NormalWeb"/>
              <w:spacing w:before="0" w:beforeAutospacing="0" w:after="0" w:afterAutospacing="0" w:line="360" w:lineRule="auto"/>
              <w:jc w:val="center"/>
              <w:rPr>
                <w:sz w:val="22"/>
                <w:szCs w:val="22"/>
              </w:rPr>
            </w:pPr>
            <w:r w:rsidRPr="003B7AC5">
              <w:rPr>
                <w:sz w:val="22"/>
                <w:szCs w:val="22"/>
              </w:rPr>
              <w:t>Upper reach</w:t>
            </w:r>
          </w:p>
        </w:tc>
        <w:tc>
          <w:tcPr>
            <w:tcW w:w="1344" w:type="pct"/>
            <w:gridSpan w:val="3"/>
          </w:tcPr>
          <w:p w14:paraId="361DD5B6" w14:textId="276EEBDB" w:rsidR="003B7AC5" w:rsidRPr="003B7AC5" w:rsidRDefault="003B7AC5" w:rsidP="00FA69E4">
            <w:pPr>
              <w:pStyle w:val="NormalWeb"/>
              <w:spacing w:before="0" w:beforeAutospacing="0" w:after="0" w:afterAutospacing="0" w:line="360" w:lineRule="auto"/>
              <w:jc w:val="center"/>
              <w:rPr>
                <w:sz w:val="22"/>
                <w:szCs w:val="22"/>
              </w:rPr>
            </w:pPr>
            <w:r w:rsidRPr="003B7AC5">
              <w:rPr>
                <w:sz w:val="22"/>
                <w:szCs w:val="22"/>
              </w:rPr>
              <w:t>Middle reach</w:t>
            </w:r>
          </w:p>
        </w:tc>
        <w:tc>
          <w:tcPr>
            <w:tcW w:w="1343" w:type="pct"/>
            <w:gridSpan w:val="3"/>
          </w:tcPr>
          <w:p w14:paraId="1B9C06AD" w14:textId="205CAE71" w:rsidR="003B7AC5" w:rsidRPr="003B7AC5" w:rsidRDefault="003B7AC5" w:rsidP="00FA69E4">
            <w:pPr>
              <w:pStyle w:val="NormalWeb"/>
              <w:spacing w:before="0" w:beforeAutospacing="0" w:after="0" w:afterAutospacing="0" w:line="360" w:lineRule="auto"/>
              <w:jc w:val="center"/>
              <w:rPr>
                <w:sz w:val="22"/>
                <w:szCs w:val="22"/>
              </w:rPr>
            </w:pPr>
            <w:r w:rsidRPr="003B7AC5">
              <w:rPr>
                <w:sz w:val="22"/>
                <w:szCs w:val="22"/>
              </w:rPr>
              <w:t>Lower reach</w:t>
            </w:r>
          </w:p>
        </w:tc>
      </w:tr>
      <w:tr w:rsidR="003B7AC5" w:rsidRPr="003B7AC5" w14:paraId="679353DA" w14:textId="77777777" w:rsidTr="003B7AC5">
        <w:tc>
          <w:tcPr>
            <w:tcW w:w="1044" w:type="pct"/>
            <w:vMerge/>
          </w:tcPr>
          <w:p w14:paraId="0F98CC3F" w14:textId="77777777" w:rsidR="003B7AC5" w:rsidRPr="003B7AC5" w:rsidRDefault="003B7AC5" w:rsidP="00FA69E4">
            <w:pPr>
              <w:pStyle w:val="NormalWeb"/>
              <w:spacing w:before="0" w:beforeAutospacing="0" w:after="0" w:afterAutospacing="0" w:line="360" w:lineRule="auto"/>
              <w:jc w:val="both"/>
              <w:rPr>
                <w:sz w:val="22"/>
                <w:szCs w:val="22"/>
              </w:rPr>
            </w:pPr>
          </w:p>
        </w:tc>
        <w:tc>
          <w:tcPr>
            <w:tcW w:w="448" w:type="pct"/>
          </w:tcPr>
          <w:p w14:paraId="73E03831"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Range</w:t>
            </w:r>
          </w:p>
        </w:tc>
        <w:tc>
          <w:tcPr>
            <w:tcW w:w="448" w:type="pct"/>
          </w:tcPr>
          <w:p w14:paraId="7BD8AF8D"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Mean</w:t>
            </w:r>
          </w:p>
        </w:tc>
        <w:tc>
          <w:tcPr>
            <w:tcW w:w="374" w:type="pct"/>
          </w:tcPr>
          <w:p w14:paraId="42D3A8E3"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SD</w:t>
            </w:r>
          </w:p>
        </w:tc>
        <w:tc>
          <w:tcPr>
            <w:tcW w:w="447" w:type="pct"/>
          </w:tcPr>
          <w:p w14:paraId="4D02DF43"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Range</w:t>
            </w:r>
          </w:p>
        </w:tc>
        <w:tc>
          <w:tcPr>
            <w:tcW w:w="522" w:type="pct"/>
          </w:tcPr>
          <w:p w14:paraId="023BDC2B"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Mean</w:t>
            </w:r>
          </w:p>
        </w:tc>
        <w:tc>
          <w:tcPr>
            <w:tcW w:w="375" w:type="pct"/>
          </w:tcPr>
          <w:p w14:paraId="4D7A1465"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SD</w:t>
            </w:r>
          </w:p>
        </w:tc>
        <w:tc>
          <w:tcPr>
            <w:tcW w:w="449" w:type="pct"/>
          </w:tcPr>
          <w:p w14:paraId="5F6D3810"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Range</w:t>
            </w:r>
          </w:p>
        </w:tc>
        <w:tc>
          <w:tcPr>
            <w:tcW w:w="446" w:type="pct"/>
          </w:tcPr>
          <w:p w14:paraId="7C0CB8B1"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Mean</w:t>
            </w:r>
          </w:p>
        </w:tc>
        <w:tc>
          <w:tcPr>
            <w:tcW w:w="448" w:type="pct"/>
          </w:tcPr>
          <w:p w14:paraId="0F165A4F" w14:textId="77777777" w:rsidR="003B7AC5" w:rsidRPr="003B7AC5" w:rsidRDefault="003B7AC5" w:rsidP="00AE770C">
            <w:pPr>
              <w:pStyle w:val="NormalWeb"/>
              <w:spacing w:before="0" w:beforeAutospacing="0" w:after="0" w:afterAutospacing="0" w:line="360" w:lineRule="auto"/>
              <w:jc w:val="center"/>
              <w:rPr>
                <w:sz w:val="22"/>
                <w:szCs w:val="22"/>
              </w:rPr>
            </w:pPr>
            <w:r w:rsidRPr="003B7AC5">
              <w:rPr>
                <w:sz w:val="22"/>
                <w:szCs w:val="22"/>
              </w:rPr>
              <w:t>SD</w:t>
            </w:r>
          </w:p>
        </w:tc>
      </w:tr>
      <w:tr w:rsidR="00FA69E4" w:rsidRPr="003B7AC5" w14:paraId="2FA59355" w14:textId="77777777" w:rsidTr="003B7AC5">
        <w:tc>
          <w:tcPr>
            <w:tcW w:w="1044" w:type="pct"/>
          </w:tcPr>
          <w:p w14:paraId="1A04B328"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pH</w:t>
            </w:r>
          </w:p>
        </w:tc>
        <w:tc>
          <w:tcPr>
            <w:tcW w:w="448" w:type="pct"/>
          </w:tcPr>
          <w:p w14:paraId="4159BAA8"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0.64</w:t>
            </w:r>
          </w:p>
        </w:tc>
        <w:tc>
          <w:tcPr>
            <w:tcW w:w="448" w:type="pct"/>
          </w:tcPr>
          <w:p w14:paraId="2A5A908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6.79</w:t>
            </w:r>
          </w:p>
        </w:tc>
        <w:tc>
          <w:tcPr>
            <w:tcW w:w="374" w:type="pct"/>
          </w:tcPr>
          <w:p w14:paraId="6F686309"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0.33</w:t>
            </w:r>
          </w:p>
        </w:tc>
        <w:tc>
          <w:tcPr>
            <w:tcW w:w="447" w:type="pct"/>
          </w:tcPr>
          <w:p w14:paraId="12AC4D1A"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0.3</w:t>
            </w:r>
          </w:p>
        </w:tc>
        <w:tc>
          <w:tcPr>
            <w:tcW w:w="522" w:type="pct"/>
          </w:tcPr>
          <w:p w14:paraId="7716A998"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6.99</w:t>
            </w:r>
          </w:p>
        </w:tc>
        <w:tc>
          <w:tcPr>
            <w:tcW w:w="375" w:type="pct"/>
          </w:tcPr>
          <w:p w14:paraId="3B75338A"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0.16</w:t>
            </w:r>
          </w:p>
        </w:tc>
        <w:tc>
          <w:tcPr>
            <w:tcW w:w="449" w:type="pct"/>
          </w:tcPr>
          <w:p w14:paraId="1A4710C6"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0.57</w:t>
            </w:r>
          </w:p>
        </w:tc>
        <w:tc>
          <w:tcPr>
            <w:tcW w:w="446" w:type="pct"/>
          </w:tcPr>
          <w:p w14:paraId="335B3507"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7.00</w:t>
            </w:r>
          </w:p>
        </w:tc>
        <w:tc>
          <w:tcPr>
            <w:tcW w:w="448" w:type="pct"/>
          </w:tcPr>
          <w:p w14:paraId="4D0E10C1"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0.29</w:t>
            </w:r>
          </w:p>
        </w:tc>
      </w:tr>
      <w:tr w:rsidR="00FA69E4" w:rsidRPr="003B7AC5" w14:paraId="4D42491B" w14:textId="77777777" w:rsidTr="003B7AC5">
        <w:tc>
          <w:tcPr>
            <w:tcW w:w="1044" w:type="pct"/>
          </w:tcPr>
          <w:p w14:paraId="7E11E7D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EC (</w:t>
            </w:r>
            <w:proofErr w:type="spellStart"/>
            <w:r w:rsidRPr="003B7AC5">
              <w:rPr>
                <w:sz w:val="22"/>
                <w:szCs w:val="22"/>
              </w:rPr>
              <w:t>dS</w:t>
            </w:r>
            <w:proofErr w:type="spellEnd"/>
            <w:r w:rsidRPr="003B7AC5">
              <w:rPr>
                <w:sz w:val="22"/>
                <w:szCs w:val="22"/>
              </w:rPr>
              <w:t>/m)</w:t>
            </w:r>
          </w:p>
        </w:tc>
        <w:tc>
          <w:tcPr>
            <w:tcW w:w="448" w:type="pct"/>
          </w:tcPr>
          <w:p w14:paraId="0FF7F348"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0.02</w:t>
            </w:r>
          </w:p>
        </w:tc>
        <w:tc>
          <w:tcPr>
            <w:tcW w:w="448" w:type="pct"/>
          </w:tcPr>
          <w:p w14:paraId="363CD26B"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0.15</w:t>
            </w:r>
          </w:p>
        </w:tc>
        <w:tc>
          <w:tcPr>
            <w:tcW w:w="374" w:type="pct"/>
          </w:tcPr>
          <w:p w14:paraId="566134BA"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0.01</w:t>
            </w:r>
          </w:p>
        </w:tc>
        <w:tc>
          <w:tcPr>
            <w:tcW w:w="447" w:type="pct"/>
          </w:tcPr>
          <w:p w14:paraId="6A30A5F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0.02</w:t>
            </w:r>
          </w:p>
        </w:tc>
        <w:tc>
          <w:tcPr>
            <w:tcW w:w="522" w:type="pct"/>
          </w:tcPr>
          <w:p w14:paraId="675B481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0.15</w:t>
            </w:r>
          </w:p>
        </w:tc>
        <w:tc>
          <w:tcPr>
            <w:tcW w:w="375" w:type="pct"/>
          </w:tcPr>
          <w:p w14:paraId="33E8D0DA"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0.01</w:t>
            </w:r>
          </w:p>
        </w:tc>
        <w:tc>
          <w:tcPr>
            <w:tcW w:w="449" w:type="pct"/>
          </w:tcPr>
          <w:p w14:paraId="05A10DC5"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0.01</w:t>
            </w:r>
          </w:p>
        </w:tc>
        <w:tc>
          <w:tcPr>
            <w:tcW w:w="446" w:type="pct"/>
          </w:tcPr>
          <w:p w14:paraId="0E99F87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0.15</w:t>
            </w:r>
          </w:p>
        </w:tc>
        <w:tc>
          <w:tcPr>
            <w:tcW w:w="448" w:type="pct"/>
          </w:tcPr>
          <w:p w14:paraId="43DE968C"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0.01</w:t>
            </w:r>
          </w:p>
        </w:tc>
      </w:tr>
      <w:tr w:rsidR="00FA69E4" w:rsidRPr="003B7AC5" w14:paraId="6CDD114E" w14:textId="77777777" w:rsidTr="003B7AC5">
        <w:tc>
          <w:tcPr>
            <w:tcW w:w="1044" w:type="pct"/>
          </w:tcPr>
          <w:p w14:paraId="02FB7F42" w14:textId="63FC2FD1"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Dissolved oxygen (</w:t>
            </w:r>
            <w:r w:rsidR="00AE770C" w:rsidRPr="003B7AC5">
              <w:rPr>
                <w:sz w:val="22"/>
                <w:szCs w:val="22"/>
              </w:rPr>
              <w:t>mg L⁻¹</w:t>
            </w:r>
            <w:r w:rsidRPr="003B7AC5">
              <w:rPr>
                <w:sz w:val="22"/>
                <w:szCs w:val="22"/>
              </w:rPr>
              <w:t>)</w:t>
            </w:r>
          </w:p>
        </w:tc>
        <w:tc>
          <w:tcPr>
            <w:tcW w:w="448" w:type="pct"/>
          </w:tcPr>
          <w:p w14:paraId="054DB06A"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0.56</w:t>
            </w:r>
          </w:p>
        </w:tc>
        <w:tc>
          <w:tcPr>
            <w:tcW w:w="448" w:type="pct"/>
          </w:tcPr>
          <w:p w14:paraId="1075972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4.80</w:t>
            </w:r>
          </w:p>
        </w:tc>
        <w:tc>
          <w:tcPr>
            <w:tcW w:w="374" w:type="pct"/>
          </w:tcPr>
          <w:p w14:paraId="0A343F9A"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0.28</w:t>
            </w:r>
          </w:p>
        </w:tc>
        <w:tc>
          <w:tcPr>
            <w:tcW w:w="447" w:type="pct"/>
          </w:tcPr>
          <w:p w14:paraId="1178A10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0.13</w:t>
            </w:r>
          </w:p>
        </w:tc>
        <w:tc>
          <w:tcPr>
            <w:tcW w:w="522" w:type="pct"/>
          </w:tcPr>
          <w:p w14:paraId="5BC6032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4.35</w:t>
            </w:r>
          </w:p>
        </w:tc>
        <w:tc>
          <w:tcPr>
            <w:tcW w:w="375" w:type="pct"/>
          </w:tcPr>
          <w:p w14:paraId="56732E64"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0.07</w:t>
            </w:r>
          </w:p>
        </w:tc>
        <w:tc>
          <w:tcPr>
            <w:tcW w:w="449" w:type="pct"/>
          </w:tcPr>
          <w:p w14:paraId="1BC79E3A"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0.32</w:t>
            </w:r>
          </w:p>
        </w:tc>
        <w:tc>
          <w:tcPr>
            <w:tcW w:w="446" w:type="pct"/>
          </w:tcPr>
          <w:p w14:paraId="540DE020"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4.96</w:t>
            </w:r>
          </w:p>
        </w:tc>
        <w:tc>
          <w:tcPr>
            <w:tcW w:w="448" w:type="pct"/>
          </w:tcPr>
          <w:p w14:paraId="335C0949"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0.17</w:t>
            </w:r>
          </w:p>
        </w:tc>
      </w:tr>
      <w:tr w:rsidR="00FA69E4" w:rsidRPr="003B7AC5" w14:paraId="774F70EB" w14:textId="77777777" w:rsidTr="003B7AC5">
        <w:tc>
          <w:tcPr>
            <w:tcW w:w="1044" w:type="pct"/>
          </w:tcPr>
          <w:p w14:paraId="77EDCABA" w14:textId="4E593CAE"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BOD (</w:t>
            </w:r>
            <w:r w:rsidR="00AE770C" w:rsidRPr="003B7AC5">
              <w:rPr>
                <w:sz w:val="22"/>
                <w:szCs w:val="22"/>
              </w:rPr>
              <w:t>mg L⁻¹</w:t>
            </w:r>
            <w:r w:rsidRPr="003B7AC5">
              <w:rPr>
                <w:sz w:val="22"/>
                <w:szCs w:val="22"/>
              </w:rPr>
              <w:t>)</w:t>
            </w:r>
          </w:p>
        </w:tc>
        <w:tc>
          <w:tcPr>
            <w:tcW w:w="448" w:type="pct"/>
          </w:tcPr>
          <w:p w14:paraId="78874943"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6.20</w:t>
            </w:r>
          </w:p>
        </w:tc>
        <w:tc>
          <w:tcPr>
            <w:tcW w:w="448" w:type="pct"/>
          </w:tcPr>
          <w:p w14:paraId="79128DB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49.00</w:t>
            </w:r>
          </w:p>
        </w:tc>
        <w:tc>
          <w:tcPr>
            <w:tcW w:w="374" w:type="pct"/>
          </w:tcPr>
          <w:p w14:paraId="57D49C58"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3.13</w:t>
            </w:r>
          </w:p>
        </w:tc>
        <w:tc>
          <w:tcPr>
            <w:tcW w:w="447" w:type="pct"/>
          </w:tcPr>
          <w:p w14:paraId="127ED29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4.65</w:t>
            </w:r>
          </w:p>
        </w:tc>
        <w:tc>
          <w:tcPr>
            <w:tcW w:w="522" w:type="pct"/>
          </w:tcPr>
          <w:p w14:paraId="2661663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56.00</w:t>
            </w:r>
          </w:p>
        </w:tc>
        <w:tc>
          <w:tcPr>
            <w:tcW w:w="375" w:type="pct"/>
          </w:tcPr>
          <w:p w14:paraId="019AF56C"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2.59</w:t>
            </w:r>
          </w:p>
        </w:tc>
        <w:tc>
          <w:tcPr>
            <w:tcW w:w="449" w:type="pct"/>
          </w:tcPr>
          <w:p w14:paraId="30C5CE82"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3.98</w:t>
            </w:r>
          </w:p>
        </w:tc>
        <w:tc>
          <w:tcPr>
            <w:tcW w:w="446" w:type="pct"/>
          </w:tcPr>
          <w:p w14:paraId="2F901364"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67.00</w:t>
            </w:r>
          </w:p>
        </w:tc>
        <w:tc>
          <w:tcPr>
            <w:tcW w:w="448" w:type="pct"/>
          </w:tcPr>
          <w:p w14:paraId="4544B137"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1.99</w:t>
            </w:r>
          </w:p>
        </w:tc>
      </w:tr>
      <w:tr w:rsidR="00FA69E4" w:rsidRPr="003B7AC5" w14:paraId="233F4DE6" w14:textId="77777777" w:rsidTr="003B7AC5">
        <w:tc>
          <w:tcPr>
            <w:tcW w:w="1044" w:type="pct"/>
          </w:tcPr>
          <w:p w14:paraId="3DABD91D" w14:textId="66B790AC"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COD (</w:t>
            </w:r>
            <w:r w:rsidR="00AE770C" w:rsidRPr="003B7AC5">
              <w:rPr>
                <w:sz w:val="22"/>
                <w:szCs w:val="22"/>
              </w:rPr>
              <w:t>mg L⁻¹</w:t>
            </w:r>
            <w:r w:rsidRPr="003B7AC5">
              <w:rPr>
                <w:sz w:val="22"/>
                <w:szCs w:val="22"/>
              </w:rPr>
              <w:t>)</w:t>
            </w:r>
          </w:p>
        </w:tc>
        <w:tc>
          <w:tcPr>
            <w:tcW w:w="448" w:type="pct"/>
          </w:tcPr>
          <w:p w14:paraId="04B4FD30"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10.30</w:t>
            </w:r>
          </w:p>
        </w:tc>
        <w:tc>
          <w:tcPr>
            <w:tcW w:w="448" w:type="pct"/>
          </w:tcPr>
          <w:p w14:paraId="2E61D12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74.00</w:t>
            </w:r>
          </w:p>
        </w:tc>
        <w:tc>
          <w:tcPr>
            <w:tcW w:w="374" w:type="pct"/>
          </w:tcPr>
          <w:p w14:paraId="79A0F61E"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5.24</w:t>
            </w:r>
          </w:p>
        </w:tc>
        <w:tc>
          <w:tcPr>
            <w:tcW w:w="447" w:type="pct"/>
          </w:tcPr>
          <w:p w14:paraId="2F0EC4E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8.68</w:t>
            </w:r>
          </w:p>
        </w:tc>
        <w:tc>
          <w:tcPr>
            <w:tcW w:w="522" w:type="pct"/>
          </w:tcPr>
          <w:p w14:paraId="64A489E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92.00</w:t>
            </w:r>
          </w:p>
        </w:tc>
        <w:tc>
          <w:tcPr>
            <w:tcW w:w="375" w:type="pct"/>
          </w:tcPr>
          <w:p w14:paraId="174ABD9B"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4.37</w:t>
            </w:r>
          </w:p>
        </w:tc>
        <w:tc>
          <w:tcPr>
            <w:tcW w:w="449" w:type="pct"/>
          </w:tcPr>
          <w:p w14:paraId="2958AB9E"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10.29</w:t>
            </w:r>
          </w:p>
        </w:tc>
        <w:tc>
          <w:tcPr>
            <w:tcW w:w="446" w:type="pct"/>
          </w:tcPr>
          <w:p w14:paraId="49BC8AB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62.00</w:t>
            </w:r>
          </w:p>
        </w:tc>
        <w:tc>
          <w:tcPr>
            <w:tcW w:w="448" w:type="pct"/>
          </w:tcPr>
          <w:p w14:paraId="6123534B"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5.50</w:t>
            </w:r>
          </w:p>
        </w:tc>
      </w:tr>
      <w:tr w:rsidR="00FA69E4" w:rsidRPr="003B7AC5" w14:paraId="4F43D479" w14:textId="77777777" w:rsidTr="003B7AC5">
        <w:tc>
          <w:tcPr>
            <w:tcW w:w="1044" w:type="pct"/>
          </w:tcPr>
          <w:p w14:paraId="4E9C2860" w14:textId="512E9C5B"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TDS (</w:t>
            </w:r>
            <w:r w:rsidR="00AE770C" w:rsidRPr="003B7AC5">
              <w:rPr>
                <w:sz w:val="22"/>
                <w:szCs w:val="22"/>
              </w:rPr>
              <w:t>mg L⁻¹</w:t>
            </w:r>
            <w:r w:rsidRPr="003B7AC5">
              <w:rPr>
                <w:sz w:val="22"/>
                <w:szCs w:val="22"/>
              </w:rPr>
              <w:t>)</w:t>
            </w:r>
          </w:p>
        </w:tc>
        <w:tc>
          <w:tcPr>
            <w:tcW w:w="448" w:type="pct"/>
          </w:tcPr>
          <w:p w14:paraId="57C5D113"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110.30</w:t>
            </w:r>
          </w:p>
        </w:tc>
        <w:tc>
          <w:tcPr>
            <w:tcW w:w="448" w:type="pct"/>
          </w:tcPr>
          <w:p w14:paraId="5AF2BCD0" w14:textId="77777777" w:rsidR="00FC73FF" w:rsidRPr="003B7AC5" w:rsidRDefault="00FC73FF" w:rsidP="003B7AC5">
            <w:pPr>
              <w:pStyle w:val="NormalWeb"/>
              <w:spacing w:before="0" w:beforeAutospacing="0" w:after="0" w:afterAutospacing="0" w:line="360" w:lineRule="auto"/>
              <w:ind w:right="-109"/>
              <w:jc w:val="both"/>
              <w:rPr>
                <w:sz w:val="22"/>
                <w:szCs w:val="22"/>
              </w:rPr>
            </w:pPr>
            <w:r w:rsidRPr="003B7AC5">
              <w:rPr>
                <w:sz w:val="22"/>
                <w:szCs w:val="22"/>
              </w:rPr>
              <w:t>627.00</w:t>
            </w:r>
          </w:p>
        </w:tc>
        <w:tc>
          <w:tcPr>
            <w:tcW w:w="374" w:type="pct"/>
          </w:tcPr>
          <w:p w14:paraId="2D425B85"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55.06</w:t>
            </w:r>
          </w:p>
        </w:tc>
        <w:tc>
          <w:tcPr>
            <w:tcW w:w="447" w:type="pct"/>
          </w:tcPr>
          <w:p w14:paraId="65BDBCA1"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79.21</w:t>
            </w:r>
          </w:p>
        </w:tc>
        <w:tc>
          <w:tcPr>
            <w:tcW w:w="522" w:type="pct"/>
          </w:tcPr>
          <w:p w14:paraId="3AFA58FC"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793.00</w:t>
            </w:r>
          </w:p>
        </w:tc>
        <w:tc>
          <w:tcPr>
            <w:tcW w:w="375" w:type="pct"/>
          </w:tcPr>
          <w:p w14:paraId="313495FD" w14:textId="77777777" w:rsidR="00FC73FF" w:rsidRPr="003B7AC5" w:rsidRDefault="00FC73FF" w:rsidP="00FA69E4">
            <w:pPr>
              <w:pStyle w:val="NormalWeb"/>
              <w:spacing w:before="0" w:beforeAutospacing="0" w:after="0" w:afterAutospacing="0" w:line="360" w:lineRule="auto"/>
              <w:ind w:right="-106"/>
              <w:jc w:val="both"/>
              <w:rPr>
                <w:sz w:val="22"/>
                <w:szCs w:val="22"/>
              </w:rPr>
            </w:pPr>
            <w:r w:rsidRPr="003B7AC5">
              <w:rPr>
                <w:sz w:val="22"/>
                <w:szCs w:val="22"/>
              </w:rPr>
              <w:t>40.12</w:t>
            </w:r>
          </w:p>
        </w:tc>
        <w:tc>
          <w:tcPr>
            <w:tcW w:w="449" w:type="pct"/>
          </w:tcPr>
          <w:p w14:paraId="496AC79A" w14:textId="77777777" w:rsidR="00FC73FF" w:rsidRPr="003B7AC5" w:rsidRDefault="00FC73FF" w:rsidP="00FA69E4">
            <w:pPr>
              <w:pStyle w:val="NormalWeb"/>
              <w:spacing w:before="0" w:beforeAutospacing="0" w:after="0" w:afterAutospacing="0" w:line="360" w:lineRule="auto"/>
              <w:ind w:right="-102"/>
              <w:jc w:val="both"/>
              <w:rPr>
                <w:sz w:val="22"/>
                <w:szCs w:val="22"/>
              </w:rPr>
            </w:pPr>
            <w:r w:rsidRPr="003B7AC5">
              <w:rPr>
                <w:sz w:val="22"/>
                <w:szCs w:val="22"/>
              </w:rPr>
              <w:t>101.91</w:t>
            </w:r>
          </w:p>
        </w:tc>
        <w:tc>
          <w:tcPr>
            <w:tcW w:w="446" w:type="pct"/>
          </w:tcPr>
          <w:p w14:paraId="20783DBB"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844.00</w:t>
            </w:r>
          </w:p>
        </w:tc>
        <w:tc>
          <w:tcPr>
            <w:tcW w:w="448" w:type="pct"/>
          </w:tcPr>
          <w:p w14:paraId="3FE50028"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53.04</w:t>
            </w:r>
          </w:p>
        </w:tc>
      </w:tr>
      <w:tr w:rsidR="00FA69E4" w:rsidRPr="003B7AC5" w14:paraId="207EAB2E" w14:textId="77777777" w:rsidTr="003B7AC5">
        <w:tc>
          <w:tcPr>
            <w:tcW w:w="1044" w:type="pct"/>
          </w:tcPr>
          <w:p w14:paraId="783B0CE8" w14:textId="6DE0C6E1"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TSS (</w:t>
            </w:r>
            <w:r w:rsidR="00AE770C" w:rsidRPr="003B7AC5">
              <w:rPr>
                <w:sz w:val="22"/>
                <w:szCs w:val="22"/>
              </w:rPr>
              <w:t>mg L⁻¹</w:t>
            </w:r>
            <w:r w:rsidRPr="003B7AC5">
              <w:rPr>
                <w:sz w:val="22"/>
                <w:szCs w:val="22"/>
              </w:rPr>
              <w:t>)</w:t>
            </w:r>
          </w:p>
        </w:tc>
        <w:tc>
          <w:tcPr>
            <w:tcW w:w="448" w:type="pct"/>
          </w:tcPr>
          <w:p w14:paraId="0C6B1027"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0.80</w:t>
            </w:r>
          </w:p>
        </w:tc>
        <w:tc>
          <w:tcPr>
            <w:tcW w:w="448" w:type="pct"/>
          </w:tcPr>
          <w:p w14:paraId="025762F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5.00</w:t>
            </w:r>
          </w:p>
        </w:tc>
        <w:tc>
          <w:tcPr>
            <w:tcW w:w="374" w:type="pct"/>
          </w:tcPr>
          <w:p w14:paraId="6D7D4DF0"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0.46</w:t>
            </w:r>
          </w:p>
        </w:tc>
        <w:tc>
          <w:tcPr>
            <w:tcW w:w="447" w:type="pct"/>
          </w:tcPr>
          <w:p w14:paraId="7B23DBB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0.28</w:t>
            </w:r>
          </w:p>
        </w:tc>
        <w:tc>
          <w:tcPr>
            <w:tcW w:w="522" w:type="pct"/>
          </w:tcPr>
          <w:p w14:paraId="29B0B8B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6.00</w:t>
            </w:r>
          </w:p>
        </w:tc>
        <w:tc>
          <w:tcPr>
            <w:tcW w:w="375" w:type="pct"/>
          </w:tcPr>
          <w:p w14:paraId="7BAA6DEF"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0.15</w:t>
            </w:r>
          </w:p>
        </w:tc>
        <w:tc>
          <w:tcPr>
            <w:tcW w:w="449" w:type="pct"/>
          </w:tcPr>
          <w:p w14:paraId="544871E5"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0.47</w:t>
            </w:r>
          </w:p>
        </w:tc>
        <w:tc>
          <w:tcPr>
            <w:tcW w:w="446" w:type="pct"/>
          </w:tcPr>
          <w:p w14:paraId="7A4632A2"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9.00</w:t>
            </w:r>
          </w:p>
        </w:tc>
        <w:tc>
          <w:tcPr>
            <w:tcW w:w="448" w:type="pct"/>
          </w:tcPr>
          <w:p w14:paraId="721165E3"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0.24</w:t>
            </w:r>
          </w:p>
        </w:tc>
      </w:tr>
      <w:tr w:rsidR="00FA69E4" w:rsidRPr="003B7AC5" w14:paraId="49E9A394" w14:textId="77777777" w:rsidTr="003B7AC5">
        <w:tc>
          <w:tcPr>
            <w:tcW w:w="1044" w:type="pct"/>
          </w:tcPr>
          <w:p w14:paraId="3679C4F9" w14:textId="6EDBA6CA"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Sulphate (</w:t>
            </w:r>
            <w:r w:rsidR="00AE770C" w:rsidRPr="003B7AC5">
              <w:rPr>
                <w:sz w:val="22"/>
                <w:szCs w:val="22"/>
              </w:rPr>
              <w:t>mg L⁻¹</w:t>
            </w:r>
            <w:r w:rsidRPr="003B7AC5">
              <w:rPr>
                <w:sz w:val="22"/>
                <w:szCs w:val="22"/>
              </w:rPr>
              <w:t>)</w:t>
            </w:r>
          </w:p>
        </w:tc>
        <w:tc>
          <w:tcPr>
            <w:tcW w:w="448" w:type="pct"/>
          </w:tcPr>
          <w:p w14:paraId="7886664F"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1.80</w:t>
            </w:r>
          </w:p>
        </w:tc>
        <w:tc>
          <w:tcPr>
            <w:tcW w:w="448" w:type="pct"/>
          </w:tcPr>
          <w:p w14:paraId="570FED71"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12.00</w:t>
            </w:r>
          </w:p>
        </w:tc>
        <w:tc>
          <w:tcPr>
            <w:tcW w:w="374" w:type="pct"/>
          </w:tcPr>
          <w:p w14:paraId="1914F4E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0.90</w:t>
            </w:r>
          </w:p>
        </w:tc>
        <w:tc>
          <w:tcPr>
            <w:tcW w:w="447" w:type="pct"/>
          </w:tcPr>
          <w:p w14:paraId="5404D8A6" w14:textId="266F7E0A"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1.6</w:t>
            </w:r>
            <w:r w:rsidR="00FA69E4" w:rsidRPr="003B7AC5">
              <w:rPr>
                <w:sz w:val="22"/>
                <w:szCs w:val="22"/>
              </w:rPr>
              <w:t>0</w:t>
            </w:r>
          </w:p>
        </w:tc>
        <w:tc>
          <w:tcPr>
            <w:tcW w:w="522" w:type="pct"/>
          </w:tcPr>
          <w:p w14:paraId="58F84D1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18.00</w:t>
            </w:r>
          </w:p>
        </w:tc>
        <w:tc>
          <w:tcPr>
            <w:tcW w:w="375" w:type="pct"/>
          </w:tcPr>
          <w:p w14:paraId="48B3588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0.81</w:t>
            </w:r>
          </w:p>
        </w:tc>
        <w:tc>
          <w:tcPr>
            <w:tcW w:w="449" w:type="pct"/>
          </w:tcPr>
          <w:p w14:paraId="23592591"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0.67</w:t>
            </w:r>
          </w:p>
        </w:tc>
        <w:tc>
          <w:tcPr>
            <w:tcW w:w="446" w:type="pct"/>
          </w:tcPr>
          <w:p w14:paraId="2E02E752"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13.50</w:t>
            </w:r>
          </w:p>
        </w:tc>
        <w:tc>
          <w:tcPr>
            <w:tcW w:w="448" w:type="pct"/>
          </w:tcPr>
          <w:p w14:paraId="4070FEBE"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0.39</w:t>
            </w:r>
          </w:p>
        </w:tc>
      </w:tr>
      <w:tr w:rsidR="00FA69E4" w:rsidRPr="003B7AC5" w14:paraId="1BEC7F40" w14:textId="77777777" w:rsidTr="003B7AC5">
        <w:tc>
          <w:tcPr>
            <w:tcW w:w="1044" w:type="pct"/>
          </w:tcPr>
          <w:p w14:paraId="23353577" w14:textId="6F42EB1B"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Chloride (</w:t>
            </w:r>
            <w:r w:rsidR="00AE770C" w:rsidRPr="003B7AC5">
              <w:rPr>
                <w:sz w:val="22"/>
                <w:szCs w:val="22"/>
              </w:rPr>
              <w:t>mg L⁻¹</w:t>
            </w:r>
            <w:r w:rsidRPr="003B7AC5">
              <w:rPr>
                <w:sz w:val="22"/>
                <w:szCs w:val="22"/>
              </w:rPr>
              <w:t>)</w:t>
            </w:r>
          </w:p>
        </w:tc>
        <w:tc>
          <w:tcPr>
            <w:tcW w:w="448" w:type="pct"/>
          </w:tcPr>
          <w:p w14:paraId="4B50E1C2"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14.30</w:t>
            </w:r>
          </w:p>
        </w:tc>
        <w:tc>
          <w:tcPr>
            <w:tcW w:w="448" w:type="pct"/>
          </w:tcPr>
          <w:p w14:paraId="78F1ACE9"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112.00</w:t>
            </w:r>
          </w:p>
        </w:tc>
        <w:tc>
          <w:tcPr>
            <w:tcW w:w="374" w:type="pct"/>
          </w:tcPr>
          <w:p w14:paraId="6A8353E3"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7.30</w:t>
            </w:r>
          </w:p>
        </w:tc>
        <w:tc>
          <w:tcPr>
            <w:tcW w:w="447" w:type="pct"/>
          </w:tcPr>
          <w:p w14:paraId="4B36255F"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10.85</w:t>
            </w:r>
          </w:p>
        </w:tc>
        <w:tc>
          <w:tcPr>
            <w:tcW w:w="522" w:type="pct"/>
          </w:tcPr>
          <w:p w14:paraId="77449BA7"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185.00</w:t>
            </w:r>
          </w:p>
        </w:tc>
        <w:tc>
          <w:tcPr>
            <w:tcW w:w="375" w:type="pct"/>
          </w:tcPr>
          <w:p w14:paraId="1E14565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5.68</w:t>
            </w:r>
          </w:p>
        </w:tc>
        <w:tc>
          <w:tcPr>
            <w:tcW w:w="449" w:type="pct"/>
          </w:tcPr>
          <w:p w14:paraId="0D405CFC"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21.2</w:t>
            </w:r>
          </w:p>
        </w:tc>
        <w:tc>
          <w:tcPr>
            <w:tcW w:w="446" w:type="pct"/>
          </w:tcPr>
          <w:p w14:paraId="793BF72D"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246.00</w:t>
            </w:r>
          </w:p>
        </w:tc>
        <w:tc>
          <w:tcPr>
            <w:tcW w:w="448" w:type="pct"/>
          </w:tcPr>
          <w:p w14:paraId="0C866C11"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10.90</w:t>
            </w:r>
          </w:p>
        </w:tc>
      </w:tr>
      <w:tr w:rsidR="00FA69E4" w:rsidRPr="003B7AC5" w14:paraId="3A25F713" w14:textId="77777777" w:rsidTr="003B7AC5">
        <w:tc>
          <w:tcPr>
            <w:tcW w:w="1044" w:type="pct"/>
          </w:tcPr>
          <w:p w14:paraId="5ADA8121" w14:textId="0DA33FC6"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Calcium (</w:t>
            </w:r>
            <w:r w:rsidR="00AE770C" w:rsidRPr="003B7AC5">
              <w:rPr>
                <w:sz w:val="22"/>
                <w:szCs w:val="22"/>
              </w:rPr>
              <w:t>mg L⁻¹</w:t>
            </w:r>
            <w:r w:rsidRPr="003B7AC5">
              <w:rPr>
                <w:sz w:val="22"/>
                <w:szCs w:val="22"/>
              </w:rPr>
              <w:t>)</w:t>
            </w:r>
          </w:p>
        </w:tc>
        <w:tc>
          <w:tcPr>
            <w:tcW w:w="448" w:type="pct"/>
          </w:tcPr>
          <w:p w14:paraId="0B98C8C0"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7.40</w:t>
            </w:r>
          </w:p>
        </w:tc>
        <w:tc>
          <w:tcPr>
            <w:tcW w:w="448" w:type="pct"/>
          </w:tcPr>
          <w:p w14:paraId="7F5A2797"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56.00</w:t>
            </w:r>
          </w:p>
        </w:tc>
        <w:tc>
          <w:tcPr>
            <w:tcW w:w="374" w:type="pct"/>
          </w:tcPr>
          <w:p w14:paraId="40ADD4C0"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3.79</w:t>
            </w:r>
          </w:p>
        </w:tc>
        <w:tc>
          <w:tcPr>
            <w:tcW w:w="447" w:type="pct"/>
          </w:tcPr>
          <w:p w14:paraId="67C79E31"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5.54</w:t>
            </w:r>
          </w:p>
        </w:tc>
        <w:tc>
          <w:tcPr>
            <w:tcW w:w="522" w:type="pct"/>
          </w:tcPr>
          <w:p w14:paraId="700CB2D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48.00</w:t>
            </w:r>
          </w:p>
        </w:tc>
        <w:tc>
          <w:tcPr>
            <w:tcW w:w="375" w:type="pct"/>
          </w:tcPr>
          <w:p w14:paraId="3235B14E"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2.81</w:t>
            </w:r>
          </w:p>
        </w:tc>
        <w:tc>
          <w:tcPr>
            <w:tcW w:w="449" w:type="pct"/>
          </w:tcPr>
          <w:p w14:paraId="50DFD70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4.09</w:t>
            </w:r>
          </w:p>
        </w:tc>
        <w:tc>
          <w:tcPr>
            <w:tcW w:w="446" w:type="pct"/>
          </w:tcPr>
          <w:p w14:paraId="3648EB47"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50.00</w:t>
            </w:r>
          </w:p>
        </w:tc>
        <w:tc>
          <w:tcPr>
            <w:tcW w:w="448" w:type="pct"/>
          </w:tcPr>
          <w:p w14:paraId="2676E46D"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2.34</w:t>
            </w:r>
          </w:p>
        </w:tc>
      </w:tr>
      <w:tr w:rsidR="00FA69E4" w:rsidRPr="003B7AC5" w14:paraId="05614965" w14:textId="77777777" w:rsidTr="003B7AC5">
        <w:tc>
          <w:tcPr>
            <w:tcW w:w="1044" w:type="pct"/>
          </w:tcPr>
          <w:p w14:paraId="5D8466B2" w14:textId="017248A0"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Magnesium (</w:t>
            </w:r>
            <w:r w:rsidR="00AE770C" w:rsidRPr="003B7AC5">
              <w:rPr>
                <w:sz w:val="22"/>
                <w:szCs w:val="22"/>
              </w:rPr>
              <w:t>mg L⁻¹</w:t>
            </w:r>
            <w:r w:rsidRPr="003B7AC5">
              <w:rPr>
                <w:sz w:val="22"/>
                <w:szCs w:val="22"/>
              </w:rPr>
              <w:t>)</w:t>
            </w:r>
          </w:p>
        </w:tc>
        <w:tc>
          <w:tcPr>
            <w:tcW w:w="448" w:type="pct"/>
          </w:tcPr>
          <w:p w14:paraId="3B64AFDA"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1.50</w:t>
            </w:r>
          </w:p>
        </w:tc>
        <w:tc>
          <w:tcPr>
            <w:tcW w:w="448" w:type="pct"/>
          </w:tcPr>
          <w:p w14:paraId="20BB1B55"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12.00</w:t>
            </w:r>
          </w:p>
        </w:tc>
        <w:tc>
          <w:tcPr>
            <w:tcW w:w="374" w:type="pct"/>
          </w:tcPr>
          <w:p w14:paraId="45145D40"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0.76</w:t>
            </w:r>
          </w:p>
        </w:tc>
        <w:tc>
          <w:tcPr>
            <w:tcW w:w="447" w:type="pct"/>
          </w:tcPr>
          <w:p w14:paraId="394A4421"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2.12</w:t>
            </w:r>
          </w:p>
        </w:tc>
        <w:tc>
          <w:tcPr>
            <w:tcW w:w="522" w:type="pct"/>
          </w:tcPr>
          <w:p w14:paraId="712484B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14.00</w:t>
            </w:r>
          </w:p>
        </w:tc>
        <w:tc>
          <w:tcPr>
            <w:tcW w:w="375" w:type="pct"/>
          </w:tcPr>
          <w:p w14:paraId="21039149"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1.09</w:t>
            </w:r>
          </w:p>
        </w:tc>
        <w:tc>
          <w:tcPr>
            <w:tcW w:w="449" w:type="pct"/>
          </w:tcPr>
          <w:p w14:paraId="20E9514C"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2.04</w:t>
            </w:r>
          </w:p>
        </w:tc>
        <w:tc>
          <w:tcPr>
            <w:tcW w:w="446" w:type="pct"/>
          </w:tcPr>
          <w:p w14:paraId="31E097CB"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23.00</w:t>
            </w:r>
          </w:p>
        </w:tc>
        <w:tc>
          <w:tcPr>
            <w:tcW w:w="448" w:type="pct"/>
          </w:tcPr>
          <w:p w14:paraId="102C0FA8"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1.94</w:t>
            </w:r>
          </w:p>
        </w:tc>
      </w:tr>
      <w:tr w:rsidR="00FA69E4" w:rsidRPr="003B7AC5" w14:paraId="19D47A8C" w14:textId="77777777" w:rsidTr="003B7AC5">
        <w:tc>
          <w:tcPr>
            <w:tcW w:w="1044" w:type="pct"/>
          </w:tcPr>
          <w:p w14:paraId="0049655D" w14:textId="251DEE91"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Sodium (</w:t>
            </w:r>
            <w:r w:rsidR="00AE770C" w:rsidRPr="003B7AC5">
              <w:rPr>
                <w:sz w:val="22"/>
                <w:szCs w:val="22"/>
              </w:rPr>
              <w:t>mg L⁻¹</w:t>
            </w:r>
            <w:r w:rsidRPr="003B7AC5">
              <w:rPr>
                <w:sz w:val="22"/>
                <w:szCs w:val="22"/>
              </w:rPr>
              <w:t>)</w:t>
            </w:r>
          </w:p>
        </w:tc>
        <w:tc>
          <w:tcPr>
            <w:tcW w:w="448" w:type="pct"/>
          </w:tcPr>
          <w:p w14:paraId="1AC240B5"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1.50</w:t>
            </w:r>
          </w:p>
        </w:tc>
        <w:tc>
          <w:tcPr>
            <w:tcW w:w="448" w:type="pct"/>
          </w:tcPr>
          <w:p w14:paraId="293921C5"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9.50</w:t>
            </w:r>
          </w:p>
        </w:tc>
        <w:tc>
          <w:tcPr>
            <w:tcW w:w="374" w:type="pct"/>
          </w:tcPr>
          <w:p w14:paraId="0FD14568"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0.76</w:t>
            </w:r>
          </w:p>
        </w:tc>
        <w:tc>
          <w:tcPr>
            <w:tcW w:w="447" w:type="pct"/>
          </w:tcPr>
          <w:p w14:paraId="6A605B27"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1.99</w:t>
            </w:r>
          </w:p>
        </w:tc>
        <w:tc>
          <w:tcPr>
            <w:tcW w:w="522" w:type="pct"/>
          </w:tcPr>
          <w:p w14:paraId="0D95E61A"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11.30</w:t>
            </w:r>
          </w:p>
        </w:tc>
        <w:tc>
          <w:tcPr>
            <w:tcW w:w="375" w:type="pct"/>
          </w:tcPr>
          <w:p w14:paraId="4AA91B6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1.01</w:t>
            </w:r>
          </w:p>
        </w:tc>
        <w:tc>
          <w:tcPr>
            <w:tcW w:w="449" w:type="pct"/>
          </w:tcPr>
          <w:p w14:paraId="548C5152"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1.22</w:t>
            </w:r>
          </w:p>
        </w:tc>
        <w:tc>
          <w:tcPr>
            <w:tcW w:w="446" w:type="pct"/>
          </w:tcPr>
          <w:p w14:paraId="2618A503"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8.50</w:t>
            </w:r>
          </w:p>
        </w:tc>
        <w:tc>
          <w:tcPr>
            <w:tcW w:w="448" w:type="pct"/>
          </w:tcPr>
          <w:p w14:paraId="1A7F1EFC"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0.86</w:t>
            </w:r>
          </w:p>
        </w:tc>
      </w:tr>
      <w:tr w:rsidR="00FA69E4" w:rsidRPr="003B7AC5" w14:paraId="3998E564" w14:textId="77777777" w:rsidTr="003B7AC5">
        <w:tc>
          <w:tcPr>
            <w:tcW w:w="1044" w:type="pct"/>
          </w:tcPr>
          <w:p w14:paraId="076E0DE7" w14:textId="63E33978"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Nitrate Nitrogen (</w:t>
            </w:r>
            <w:r w:rsidR="00AE770C" w:rsidRPr="003B7AC5">
              <w:rPr>
                <w:sz w:val="22"/>
                <w:szCs w:val="22"/>
              </w:rPr>
              <w:t>mg L⁻¹</w:t>
            </w:r>
            <w:r w:rsidRPr="003B7AC5">
              <w:rPr>
                <w:sz w:val="22"/>
                <w:szCs w:val="22"/>
              </w:rPr>
              <w:t>)</w:t>
            </w:r>
          </w:p>
        </w:tc>
        <w:tc>
          <w:tcPr>
            <w:tcW w:w="448" w:type="pct"/>
          </w:tcPr>
          <w:p w14:paraId="2417FD82"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3.30</w:t>
            </w:r>
          </w:p>
        </w:tc>
        <w:tc>
          <w:tcPr>
            <w:tcW w:w="448" w:type="pct"/>
          </w:tcPr>
          <w:p w14:paraId="47652C9B" w14:textId="77777777"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23.50</w:t>
            </w:r>
          </w:p>
        </w:tc>
        <w:tc>
          <w:tcPr>
            <w:tcW w:w="374" w:type="pct"/>
          </w:tcPr>
          <w:p w14:paraId="0F6D21FC"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1.65</w:t>
            </w:r>
          </w:p>
        </w:tc>
        <w:tc>
          <w:tcPr>
            <w:tcW w:w="447" w:type="pct"/>
          </w:tcPr>
          <w:p w14:paraId="68BD74B2"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4.23</w:t>
            </w:r>
          </w:p>
        </w:tc>
        <w:tc>
          <w:tcPr>
            <w:tcW w:w="522" w:type="pct"/>
          </w:tcPr>
          <w:p w14:paraId="4732BAB0"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34.50</w:t>
            </w:r>
          </w:p>
        </w:tc>
        <w:tc>
          <w:tcPr>
            <w:tcW w:w="375" w:type="pct"/>
          </w:tcPr>
          <w:p w14:paraId="0030CC9B"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2.18</w:t>
            </w:r>
          </w:p>
        </w:tc>
        <w:tc>
          <w:tcPr>
            <w:tcW w:w="449" w:type="pct"/>
          </w:tcPr>
          <w:p w14:paraId="6B26018A"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3.15</w:t>
            </w:r>
          </w:p>
        </w:tc>
        <w:tc>
          <w:tcPr>
            <w:tcW w:w="446" w:type="pct"/>
          </w:tcPr>
          <w:p w14:paraId="2C1603EC"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55.50</w:t>
            </w:r>
          </w:p>
        </w:tc>
        <w:tc>
          <w:tcPr>
            <w:tcW w:w="448" w:type="pct"/>
          </w:tcPr>
          <w:p w14:paraId="63A12F1A"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1.73</w:t>
            </w:r>
          </w:p>
        </w:tc>
      </w:tr>
      <w:tr w:rsidR="00FA69E4" w:rsidRPr="003B7AC5" w14:paraId="674D40BB" w14:textId="77777777" w:rsidTr="003B7AC5">
        <w:tc>
          <w:tcPr>
            <w:tcW w:w="1044" w:type="pct"/>
          </w:tcPr>
          <w:p w14:paraId="39A50B37" w14:textId="30D9211A"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Phosphate</w:t>
            </w:r>
            <w:r w:rsidR="003B7AC5" w:rsidRPr="003B7AC5">
              <w:rPr>
                <w:sz w:val="22"/>
                <w:szCs w:val="22"/>
              </w:rPr>
              <w:t xml:space="preserve"> </w:t>
            </w:r>
            <w:r w:rsidRPr="003B7AC5">
              <w:rPr>
                <w:sz w:val="22"/>
                <w:szCs w:val="22"/>
              </w:rPr>
              <w:t>(</w:t>
            </w:r>
            <w:r w:rsidR="00AE770C" w:rsidRPr="003B7AC5">
              <w:rPr>
                <w:sz w:val="22"/>
                <w:szCs w:val="22"/>
              </w:rPr>
              <w:t>mg L⁻¹</w:t>
            </w:r>
            <w:r w:rsidRPr="003B7AC5">
              <w:rPr>
                <w:sz w:val="22"/>
                <w:szCs w:val="22"/>
              </w:rPr>
              <w:t>)</w:t>
            </w:r>
          </w:p>
        </w:tc>
        <w:tc>
          <w:tcPr>
            <w:tcW w:w="448" w:type="pct"/>
          </w:tcPr>
          <w:p w14:paraId="0BAC0750" w14:textId="77777777" w:rsidR="00FC73FF" w:rsidRPr="003B7AC5" w:rsidRDefault="00FC73FF" w:rsidP="00FA69E4">
            <w:pPr>
              <w:pStyle w:val="NormalWeb"/>
              <w:spacing w:before="0" w:beforeAutospacing="0" w:after="0" w:afterAutospacing="0" w:line="360" w:lineRule="auto"/>
              <w:ind w:right="-47"/>
              <w:jc w:val="both"/>
              <w:rPr>
                <w:sz w:val="22"/>
                <w:szCs w:val="22"/>
              </w:rPr>
            </w:pPr>
            <w:r w:rsidRPr="003B7AC5">
              <w:rPr>
                <w:sz w:val="22"/>
                <w:szCs w:val="22"/>
              </w:rPr>
              <w:t>0.04</w:t>
            </w:r>
          </w:p>
        </w:tc>
        <w:tc>
          <w:tcPr>
            <w:tcW w:w="448" w:type="pct"/>
          </w:tcPr>
          <w:p w14:paraId="61A142BB" w14:textId="1A56FE25" w:rsidR="00FC73FF" w:rsidRPr="003B7AC5" w:rsidRDefault="00FC73FF" w:rsidP="00FA69E4">
            <w:pPr>
              <w:pStyle w:val="NormalWeb"/>
              <w:spacing w:before="0" w:beforeAutospacing="0" w:after="0" w:afterAutospacing="0" w:line="360" w:lineRule="auto"/>
              <w:ind w:right="-109"/>
              <w:jc w:val="both"/>
              <w:rPr>
                <w:sz w:val="22"/>
                <w:szCs w:val="22"/>
              </w:rPr>
            </w:pPr>
            <w:r w:rsidRPr="003B7AC5">
              <w:rPr>
                <w:sz w:val="22"/>
                <w:szCs w:val="22"/>
              </w:rPr>
              <w:t>0.</w:t>
            </w:r>
            <w:r w:rsidR="00576716" w:rsidRPr="003B7AC5">
              <w:rPr>
                <w:sz w:val="22"/>
                <w:szCs w:val="22"/>
              </w:rPr>
              <w:t>1</w:t>
            </w:r>
            <w:r w:rsidR="00D028E3" w:rsidRPr="003B7AC5">
              <w:rPr>
                <w:sz w:val="22"/>
                <w:szCs w:val="22"/>
              </w:rPr>
              <w:t>0</w:t>
            </w:r>
          </w:p>
        </w:tc>
        <w:tc>
          <w:tcPr>
            <w:tcW w:w="374" w:type="pct"/>
          </w:tcPr>
          <w:p w14:paraId="0289E265" w14:textId="1389B27F"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0.0</w:t>
            </w:r>
            <w:r w:rsidR="00576716" w:rsidRPr="003B7AC5">
              <w:rPr>
                <w:sz w:val="22"/>
                <w:szCs w:val="22"/>
              </w:rPr>
              <w:t>1</w:t>
            </w:r>
          </w:p>
        </w:tc>
        <w:tc>
          <w:tcPr>
            <w:tcW w:w="447" w:type="pct"/>
          </w:tcPr>
          <w:p w14:paraId="7EBEE3BA"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0.01</w:t>
            </w:r>
          </w:p>
        </w:tc>
        <w:tc>
          <w:tcPr>
            <w:tcW w:w="522" w:type="pct"/>
          </w:tcPr>
          <w:p w14:paraId="7C3348C3"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0.10</w:t>
            </w:r>
          </w:p>
        </w:tc>
        <w:tc>
          <w:tcPr>
            <w:tcW w:w="375" w:type="pct"/>
          </w:tcPr>
          <w:p w14:paraId="567B4ADD"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0.01</w:t>
            </w:r>
          </w:p>
        </w:tc>
        <w:tc>
          <w:tcPr>
            <w:tcW w:w="449" w:type="pct"/>
          </w:tcPr>
          <w:p w14:paraId="52F3DB06" w14:textId="77777777" w:rsidR="00FC73FF" w:rsidRPr="003B7AC5" w:rsidRDefault="00FC73FF" w:rsidP="00FA69E4">
            <w:pPr>
              <w:pStyle w:val="NormalWeb"/>
              <w:spacing w:before="0" w:beforeAutospacing="0" w:after="0" w:afterAutospacing="0" w:line="360" w:lineRule="auto"/>
              <w:jc w:val="both"/>
              <w:rPr>
                <w:sz w:val="22"/>
                <w:szCs w:val="22"/>
              </w:rPr>
            </w:pPr>
            <w:r w:rsidRPr="003B7AC5">
              <w:rPr>
                <w:sz w:val="22"/>
                <w:szCs w:val="22"/>
              </w:rPr>
              <w:t>0.01</w:t>
            </w:r>
          </w:p>
        </w:tc>
        <w:tc>
          <w:tcPr>
            <w:tcW w:w="446" w:type="pct"/>
          </w:tcPr>
          <w:p w14:paraId="70264DBE" w14:textId="77777777" w:rsidR="00FC73FF" w:rsidRPr="003B7AC5" w:rsidRDefault="00FC73FF" w:rsidP="00FA69E4">
            <w:pPr>
              <w:pStyle w:val="NormalWeb"/>
              <w:spacing w:before="0" w:beforeAutospacing="0" w:after="0" w:afterAutospacing="0" w:line="360" w:lineRule="auto"/>
              <w:ind w:right="-105"/>
              <w:jc w:val="both"/>
              <w:rPr>
                <w:sz w:val="22"/>
                <w:szCs w:val="22"/>
              </w:rPr>
            </w:pPr>
            <w:r w:rsidRPr="003B7AC5">
              <w:rPr>
                <w:sz w:val="22"/>
                <w:szCs w:val="22"/>
              </w:rPr>
              <w:t>0.10</w:t>
            </w:r>
          </w:p>
        </w:tc>
        <w:tc>
          <w:tcPr>
            <w:tcW w:w="448" w:type="pct"/>
          </w:tcPr>
          <w:p w14:paraId="088166B1" w14:textId="77777777" w:rsidR="00FC73FF" w:rsidRPr="003B7AC5" w:rsidRDefault="00FC73FF" w:rsidP="00FA69E4">
            <w:pPr>
              <w:pStyle w:val="NormalWeb"/>
              <w:spacing w:before="0" w:beforeAutospacing="0" w:after="0" w:afterAutospacing="0" w:line="360" w:lineRule="auto"/>
              <w:ind w:right="-107"/>
              <w:jc w:val="both"/>
              <w:rPr>
                <w:sz w:val="22"/>
                <w:szCs w:val="22"/>
              </w:rPr>
            </w:pPr>
            <w:r w:rsidRPr="003B7AC5">
              <w:rPr>
                <w:sz w:val="22"/>
                <w:szCs w:val="22"/>
              </w:rPr>
              <w:t>0.01</w:t>
            </w:r>
          </w:p>
        </w:tc>
      </w:tr>
    </w:tbl>
    <w:p w14:paraId="58BC1D53" w14:textId="77777777" w:rsidR="003B7AC5" w:rsidRDefault="003B7AC5" w:rsidP="00FA69E4">
      <w:pPr>
        <w:pStyle w:val="NormalWeb"/>
        <w:spacing w:before="0" w:beforeAutospacing="0" w:after="0" w:afterAutospacing="0" w:line="360" w:lineRule="auto"/>
        <w:ind w:firstLine="720"/>
        <w:jc w:val="both"/>
      </w:pPr>
    </w:p>
    <w:p w14:paraId="3919440E" w14:textId="77D0C2CE" w:rsidR="00AE2661" w:rsidRPr="005A3248" w:rsidRDefault="00AE2661" w:rsidP="00FA69E4">
      <w:pPr>
        <w:pStyle w:val="NormalWeb"/>
        <w:spacing w:before="0" w:beforeAutospacing="0" w:after="0" w:afterAutospacing="0" w:line="360" w:lineRule="auto"/>
        <w:ind w:firstLine="720"/>
        <w:jc w:val="both"/>
      </w:pPr>
      <w:r w:rsidRPr="005A3248">
        <w:t xml:space="preserve">The nitrate (NO₃⁻) content varied across the watershed, with 23.5, 34.5, and 55.5 mg L⁻¹ in the upper, middle, and lower reaches, respectively. Notably, the nitrate concentration in the lower reach exceeds the BIS permissible limit of 45 mg L⁻¹, raising concerns about water quality for domestic use. </w:t>
      </w:r>
      <w:r w:rsidR="000870C9">
        <w:t xml:space="preserve">The mean </w:t>
      </w:r>
      <w:r w:rsidRPr="005A3248">
        <w:t xml:space="preserve">Phosphate (PO₄³⁻) concentrations </w:t>
      </w:r>
      <w:r w:rsidR="000870C9">
        <w:t>not</w:t>
      </w:r>
      <w:r w:rsidRPr="005A3248">
        <w:t xml:space="preserve"> exceeded eutrophication thresholds (0.</w:t>
      </w:r>
      <w:r w:rsidR="00A5031C">
        <w:t>1</w:t>
      </w:r>
      <w:r w:rsidRPr="005A3248">
        <w:t xml:space="preserve"> mg L⁻¹). The higher Biological Oxygen Demand (BOD) in the lower reach further suggests </w:t>
      </w:r>
      <w:r w:rsidRPr="005A3248">
        <w:lastRenderedPageBreak/>
        <w:t>the presence of organic wastes, including agricultural residues and domestic sewage, entering the water bodies through runoff. These findings are consistent with Rangasamy and Muniyandi (2024), who reported elevated BOD levels in waterbodies of the Nilgiris region due to similar anthropogenic activities.</w:t>
      </w:r>
    </w:p>
    <w:p w14:paraId="0D8C0E0A" w14:textId="285529F5" w:rsidR="00182CE0" w:rsidRDefault="00182CE0" w:rsidP="00FA69E4">
      <w:pPr>
        <w:pStyle w:val="NormalWeb"/>
        <w:spacing w:before="0" w:beforeAutospacing="0" w:after="0" w:afterAutospacing="0" w:line="360" w:lineRule="auto"/>
        <w:jc w:val="both"/>
        <w:rPr>
          <w:b/>
          <w:bCs/>
        </w:rPr>
      </w:pPr>
      <w:r w:rsidRPr="00576716">
        <w:rPr>
          <w:b/>
          <w:bCs/>
        </w:rPr>
        <w:t>Nutrient Pollution Index (NPI)</w:t>
      </w:r>
    </w:p>
    <w:p w14:paraId="54DF41D6" w14:textId="6EAA02B7" w:rsidR="009B24A5" w:rsidRPr="008D0C7C" w:rsidRDefault="005B66E6" w:rsidP="00FA69E4">
      <w:pPr>
        <w:pStyle w:val="NormalWeb"/>
        <w:spacing w:before="0" w:beforeAutospacing="0" w:after="0" w:afterAutospacing="0" w:line="360" w:lineRule="auto"/>
        <w:ind w:firstLine="720"/>
        <w:jc w:val="both"/>
        <w:rPr>
          <w:b/>
          <w:bCs/>
        </w:rPr>
      </w:pPr>
      <w:r>
        <w:rPr>
          <w:noProof/>
        </w:rPr>
        <w:drawing>
          <wp:anchor distT="0" distB="0" distL="114300" distR="114300" simplePos="0" relativeHeight="251658240" behindDoc="1" locked="0" layoutInCell="1" allowOverlap="1" wp14:anchorId="231EEFE2" wp14:editId="371B6E83">
            <wp:simplePos x="0" y="0"/>
            <wp:positionH relativeFrom="column">
              <wp:posOffset>909320</wp:posOffset>
            </wp:positionH>
            <wp:positionV relativeFrom="paragraph">
              <wp:posOffset>1600835</wp:posOffset>
            </wp:positionV>
            <wp:extent cx="4610100" cy="2543175"/>
            <wp:effectExtent l="0" t="0" r="0" b="9525"/>
            <wp:wrapTight wrapText="bothSides">
              <wp:wrapPolygon edited="0">
                <wp:start x="0" y="0"/>
                <wp:lineTo x="0" y="21519"/>
                <wp:lineTo x="21511" y="21519"/>
                <wp:lineTo x="21511" y="0"/>
                <wp:lineTo x="0" y="0"/>
              </wp:wrapPolygon>
            </wp:wrapTight>
            <wp:docPr id="1" name="Chart 1">
              <a:extLst xmlns:a="http://schemas.openxmlformats.org/drawingml/2006/main">
                <a:ext uri="{FF2B5EF4-FFF2-40B4-BE49-F238E27FC236}">
                  <a16:creationId xmlns:a16="http://schemas.microsoft.com/office/drawing/2014/main" id="{24AD94B4-7CA5-4996-9969-6D9F96EAA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747EA" w:rsidRPr="00D747EA">
        <w:t>The NPI</w:t>
      </w:r>
      <w:r w:rsidR="00D747EA">
        <w:t xml:space="preserve"> worked out with the N and P data indicated the pollution status of the watershed. The </w:t>
      </w:r>
      <w:proofErr w:type="gramStart"/>
      <w:r w:rsidR="00D747EA">
        <w:t>NPI</w:t>
      </w:r>
      <w:r w:rsidR="00D747EA" w:rsidRPr="00D747EA">
        <w:rPr>
          <w:vertAlign w:val="subscript"/>
        </w:rPr>
        <w:t xml:space="preserve">N </w:t>
      </w:r>
      <w:r w:rsidR="00D747EA">
        <w:t xml:space="preserve"> in</w:t>
      </w:r>
      <w:proofErr w:type="gramEnd"/>
      <w:r w:rsidR="00D747EA">
        <w:t xml:space="preserve"> upper and middle reaches are 0.52 and 0.77 respectively. This value of NPI indicates that there is no pollution in these water samples, at the same time the NPI </w:t>
      </w:r>
      <w:r w:rsidR="00D747EA" w:rsidRPr="00D747EA">
        <w:rPr>
          <w:vertAlign w:val="subscript"/>
        </w:rPr>
        <w:t xml:space="preserve">N </w:t>
      </w:r>
      <w:r w:rsidR="00D747EA" w:rsidRPr="00D747EA">
        <w:t>in the lower</w:t>
      </w:r>
      <w:r w:rsidR="00D747EA">
        <w:t xml:space="preserve"> reach is 1.23 and exceeds the NPI limit of 1 indicating the potential water pollution due to </w:t>
      </w:r>
      <w:r w:rsidR="0045058C">
        <w:t>nitrogen</w:t>
      </w:r>
      <w:r w:rsidR="00D747EA">
        <w:t xml:space="preserve">. </w:t>
      </w:r>
      <w:r w:rsidR="0045058C">
        <w:t>The NPI</w:t>
      </w:r>
      <w:r w:rsidR="0045058C" w:rsidRPr="0045058C">
        <w:rPr>
          <w:vertAlign w:val="subscript"/>
        </w:rPr>
        <w:t>P</w:t>
      </w:r>
      <w:r w:rsidR="0045058C">
        <w:t xml:space="preserve"> in all the reaches are within the limit of NPI. The combined NPI also </w:t>
      </w:r>
      <w:r w:rsidR="00470281">
        <w:t xml:space="preserve">indicating the </w:t>
      </w:r>
      <w:r w:rsidR="0045058C">
        <w:t xml:space="preserve">N pollution </w:t>
      </w:r>
      <w:r w:rsidR="00470281">
        <w:t>in Lower reaches</w:t>
      </w:r>
      <w:r w:rsidR="00066F20">
        <w:t xml:space="preserve"> </w:t>
      </w:r>
      <w:r w:rsidR="00066F20" w:rsidRPr="008D0C7C">
        <w:t>(Fig</w:t>
      </w:r>
      <w:r w:rsidR="008D0C7C" w:rsidRPr="008D0C7C">
        <w:t xml:space="preserve"> 2</w:t>
      </w:r>
      <w:r w:rsidR="00066F20" w:rsidRPr="008D0C7C">
        <w:t>)</w:t>
      </w:r>
      <w:r w:rsidR="00470281" w:rsidRPr="008D0C7C">
        <w:t>.</w:t>
      </w:r>
      <w:r w:rsidR="002E3378" w:rsidRPr="008D0C7C">
        <w:t xml:space="preserve"> </w:t>
      </w:r>
    </w:p>
    <w:p w14:paraId="19501CCE" w14:textId="7DFCCD53" w:rsidR="009B24A5" w:rsidRDefault="009B24A5" w:rsidP="00FA69E4">
      <w:pPr>
        <w:spacing w:after="0"/>
      </w:pPr>
    </w:p>
    <w:p w14:paraId="6BAEDD77" w14:textId="77777777" w:rsidR="009B24A5" w:rsidRDefault="009B24A5" w:rsidP="00FA69E4">
      <w:pPr>
        <w:spacing w:after="0"/>
        <w:jc w:val="center"/>
        <w:rPr>
          <w:b/>
          <w:bCs/>
        </w:rPr>
      </w:pPr>
    </w:p>
    <w:p w14:paraId="0E277F52" w14:textId="77777777" w:rsidR="009B24A5" w:rsidRDefault="009B24A5" w:rsidP="00FA69E4">
      <w:pPr>
        <w:spacing w:after="0"/>
        <w:jc w:val="center"/>
        <w:rPr>
          <w:b/>
          <w:bCs/>
        </w:rPr>
      </w:pPr>
    </w:p>
    <w:p w14:paraId="301CBB43" w14:textId="77777777" w:rsidR="009B24A5" w:rsidRDefault="009B24A5" w:rsidP="00FA69E4">
      <w:pPr>
        <w:spacing w:after="0"/>
        <w:jc w:val="center"/>
        <w:rPr>
          <w:b/>
          <w:bCs/>
        </w:rPr>
      </w:pPr>
    </w:p>
    <w:p w14:paraId="5A503814" w14:textId="77777777" w:rsidR="009B24A5" w:rsidRDefault="009B24A5" w:rsidP="00FA69E4">
      <w:pPr>
        <w:spacing w:after="0"/>
        <w:jc w:val="center"/>
        <w:rPr>
          <w:b/>
          <w:bCs/>
        </w:rPr>
      </w:pPr>
    </w:p>
    <w:p w14:paraId="37B823D0" w14:textId="77777777" w:rsidR="009B24A5" w:rsidRDefault="009B24A5" w:rsidP="00FA69E4">
      <w:pPr>
        <w:spacing w:after="0"/>
        <w:jc w:val="center"/>
        <w:rPr>
          <w:b/>
          <w:bCs/>
        </w:rPr>
      </w:pPr>
    </w:p>
    <w:p w14:paraId="5081F5C1" w14:textId="77777777" w:rsidR="009B24A5" w:rsidRDefault="009B24A5" w:rsidP="00FA69E4">
      <w:pPr>
        <w:spacing w:after="0"/>
        <w:jc w:val="center"/>
        <w:rPr>
          <w:b/>
          <w:bCs/>
        </w:rPr>
      </w:pPr>
    </w:p>
    <w:p w14:paraId="20976407" w14:textId="77777777" w:rsidR="009B24A5" w:rsidRDefault="009B24A5" w:rsidP="00FA69E4">
      <w:pPr>
        <w:spacing w:after="0"/>
        <w:jc w:val="center"/>
        <w:rPr>
          <w:b/>
          <w:bCs/>
        </w:rPr>
      </w:pPr>
    </w:p>
    <w:p w14:paraId="7606883E" w14:textId="77777777" w:rsidR="009B4166" w:rsidRDefault="009B4166" w:rsidP="00FA69E4">
      <w:pPr>
        <w:spacing w:after="0"/>
        <w:jc w:val="center"/>
        <w:rPr>
          <w:rFonts w:ascii="Times New Roman" w:hAnsi="Times New Roman"/>
          <w:sz w:val="24"/>
          <w:szCs w:val="24"/>
        </w:rPr>
      </w:pPr>
    </w:p>
    <w:p w14:paraId="36BADBD6" w14:textId="77777777" w:rsidR="009B4166" w:rsidRDefault="009B4166" w:rsidP="00FA69E4">
      <w:pPr>
        <w:spacing w:after="0"/>
        <w:jc w:val="center"/>
        <w:rPr>
          <w:rFonts w:ascii="Times New Roman" w:hAnsi="Times New Roman"/>
          <w:sz w:val="24"/>
          <w:szCs w:val="24"/>
        </w:rPr>
      </w:pPr>
    </w:p>
    <w:p w14:paraId="7471122E" w14:textId="77777777" w:rsidR="009B4166" w:rsidRDefault="009B4166" w:rsidP="00FA69E4">
      <w:pPr>
        <w:spacing w:after="0"/>
        <w:jc w:val="center"/>
        <w:rPr>
          <w:rFonts w:ascii="Times New Roman" w:hAnsi="Times New Roman"/>
          <w:sz w:val="24"/>
          <w:szCs w:val="24"/>
        </w:rPr>
      </w:pPr>
    </w:p>
    <w:p w14:paraId="39C31F39" w14:textId="77777777" w:rsidR="009B4166" w:rsidRDefault="009B4166" w:rsidP="00FA69E4">
      <w:pPr>
        <w:spacing w:after="0"/>
        <w:jc w:val="center"/>
        <w:rPr>
          <w:rFonts w:ascii="Times New Roman" w:hAnsi="Times New Roman"/>
          <w:sz w:val="24"/>
          <w:szCs w:val="24"/>
        </w:rPr>
      </w:pPr>
    </w:p>
    <w:p w14:paraId="2531F5ED" w14:textId="77777777" w:rsidR="009B4166" w:rsidRDefault="009B4166" w:rsidP="00FA69E4">
      <w:pPr>
        <w:spacing w:after="0"/>
        <w:jc w:val="center"/>
        <w:rPr>
          <w:rFonts w:ascii="Times New Roman" w:hAnsi="Times New Roman"/>
          <w:sz w:val="24"/>
          <w:szCs w:val="24"/>
        </w:rPr>
      </w:pPr>
    </w:p>
    <w:p w14:paraId="064141B0" w14:textId="77777777" w:rsidR="009B4166" w:rsidRDefault="009B4166" w:rsidP="00FA69E4">
      <w:pPr>
        <w:spacing w:after="0"/>
        <w:jc w:val="center"/>
        <w:rPr>
          <w:rFonts w:ascii="Times New Roman" w:hAnsi="Times New Roman"/>
          <w:sz w:val="24"/>
          <w:szCs w:val="24"/>
        </w:rPr>
      </w:pPr>
    </w:p>
    <w:p w14:paraId="24CC29D2" w14:textId="1B782537" w:rsidR="00934368" w:rsidRDefault="009B24A5" w:rsidP="00FA69E4">
      <w:pPr>
        <w:spacing w:after="0"/>
        <w:jc w:val="center"/>
        <w:rPr>
          <w:rFonts w:ascii="Times New Roman" w:hAnsi="Times New Roman"/>
          <w:sz w:val="24"/>
          <w:szCs w:val="24"/>
        </w:rPr>
      </w:pPr>
      <w:r w:rsidRPr="00D747EA">
        <w:rPr>
          <w:rFonts w:ascii="Times New Roman" w:hAnsi="Times New Roman"/>
          <w:sz w:val="24"/>
          <w:szCs w:val="24"/>
        </w:rPr>
        <w:t>Fig</w:t>
      </w:r>
      <w:r w:rsidR="008D0C7C">
        <w:rPr>
          <w:rFonts w:ascii="Times New Roman" w:hAnsi="Times New Roman"/>
          <w:sz w:val="24"/>
          <w:szCs w:val="24"/>
        </w:rPr>
        <w:t xml:space="preserve"> 2.</w:t>
      </w:r>
      <w:r w:rsidRPr="00D747EA">
        <w:rPr>
          <w:rFonts w:ascii="Times New Roman" w:hAnsi="Times New Roman"/>
          <w:sz w:val="24"/>
          <w:szCs w:val="24"/>
        </w:rPr>
        <w:t xml:space="preserve"> Nutrient Pollution Index (NPI) across the Reaches of watershed</w:t>
      </w:r>
    </w:p>
    <w:p w14:paraId="71A7F1B2" w14:textId="77777777" w:rsidR="00934368" w:rsidRDefault="00934368" w:rsidP="00FA69E4">
      <w:pPr>
        <w:pStyle w:val="NormalWeb"/>
        <w:spacing w:before="0" w:beforeAutospacing="0" w:after="0" w:afterAutospacing="0" w:line="360" w:lineRule="auto"/>
        <w:ind w:firstLine="720"/>
        <w:jc w:val="both"/>
      </w:pPr>
      <w:r w:rsidRPr="005A3248">
        <w:t>The upper and middle reaches are dominated by forest and plantation crops, which provide substantial vegetation cover, reducing soil erosion and nutrient runoff. In contrast, the lower reach is surrounded by intensive agricultural fields, making it more susceptible to nutrient losses through surface runoff. The elevated nitrate levels in this reach are likely due to soil erosion, runoff from fertilized fields, and disposal of crop residues into nearby water bodies (Shanthi et al., 2002).</w:t>
      </w:r>
      <w:r>
        <w:t xml:space="preserve"> </w:t>
      </w:r>
    </w:p>
    <w:p w14:paraId="5B877699" w14:textId="47349FCB" w:rsidR="009B4166" w:rsidRDefault="009B4166" w:rsidP="00FA69E4">
      <w:pPr>
        <w:spacing w:after="0" w:line="360" w:lineRule="auto"/>
        <w:jc w:val="both"/>
        <w:rPr>
          <w:rFonts w:ascii="Times New Roman" w:hAnsi="Times New Roman"/>
          <w:b/>
        </w:rPr>
      </w:pPr>
      <w:r>
        <w:rPr>
          <w:rFonts w:ascii="Times New Roman" w:hAnsi="Times New Roman"/>
          <w:b/>
        </w:rPr>
        <w:t xml:space="preserve">Nutrient recommendation </w:t>
      </w:r>
    </w:p>
    <w:p w14:paraId="6A983A1F" w14:textId="226F6695" w:rsidR="00D35933" w:rsidRDefault="004C5BC4" w:rsidP="005A4030">
      <w:pPr>
        <w:spacing w:before="120" w:after="0" w:line="360" w:lineRule="auto"/>
        <w:ind w:firstLine="720"/>
        <w:jc w:val="both"/>
        <w:rPr>
          <w:rFonts w:ascii="Times New Roman" w:hAnsi="Times New Roman"/>
          <w:bCs/>
          <w:color w:val="000000" w:themeColor="text1"/>
        </w:rPr>
      </w:pPr>
      <w:r>
        <w:rPr>
          <w:rFonts w:ascii="Times New Roman" w:hAnsi="Times New Roman"/>
          <w:bCs/>
          <w:color w:val="000000" w:themeColor="text1"/>
        </w:rPr>
        <w:t xml:space="preserve">The watershed farmers apply complex fertilisers as basal and DAP as top dressing for both potato and carrot crops which is higher than the </w:t>
      </w:r>
      <w:r w:rsidR="00B45D20">
        <w:rPr>
          <w:rFonts w:ascii="Times New Roman" w:hAnsi="Times New Roman"/>
          <w:bCs/>
          <w:color w:val="000000" w:themeColor="text1"/>
        </w:rPr>
        <w:t>recommendation of state</w:t>
      </w:r>
      <w:r>
        <w:rPr>
          <w:rFonts w:ascii="Times New Roman" w:hAnsi="Times New Roman"/>
          <w:bCs/>
          <w:color w:val="000000" w:themeColor="text1"/>
        </w:rPr>
        <w:t xml:space="preserve"> horticulture</w:t>
      </w:r>
      <w:r w:rsidR="00B45D20">
        <w:rPr>
          <w:rFonts w:ascii="Times New Roman" w:hAnsi="Times New Roman"/>
          <w:bCs/>
          <w:color w:val="000000" w:themeColor="text1"/>
        </w:rPr>
        <w:t xml:space="preserve"> department. </w:t>
      </w:r>
      <w:r>
        <w:rPr>
          <w:rFonts w:ascii="Times New Roman" w:hAnsi="Times New Roman"/>
          <w:bCs/>
          <w:color w:val="000000" w:themeColor="text1"/>
        </w:rPr>
        <w:t xml:space="preserve"> </w:t>
      </w:r>
      <w:r w:rsidR="00174A94">
        <w:rPr>
          <w:rFonts w:ascii="Times New Roman" w:hAnsi="Times New Roman"/>
          <w:bCs/>
          <w:color w:val="000000" w:themeColor="text1"/>
        </w:rPr>
        <w:t xml:space="preserve">From the study conducted by </w:t>
      </w:r>
      <w:r w:rsidR="00345476">
        <w:rPr>
          <w:rFonts w:ascii="Times New Roman" w:hAnsi="Times New Roman"/>
          <w:bCs/>
          <w:color w:val="000000" w:themeColor="text1"/>
        </w:rPr>
        <w:t xml:space="preserve">Kasthuri </w:t>
      </w:r>
      <w:r w:rsidR="00174A94">
        <w:rPr>
          <w:rFonts w:ascii="Times New Roman" w:hAnsi="Times New Roman"/>
          <w:bCs/>
          <w:color w:val="000000" w:themeColor="text1"/>
        </w:rPr>
        <w:t xml:space="preserve">Thilagam et al., 2023 </w:t>
      </w:r>
      <w:r w:rsidR="005A4030" w:rsidRPr="008C4AB4">
        <w:rPr>
          <w:rFonts w:ascii="Times New Roman" w:hAnsi="Times New Roman"/>
          <w:bCs/>
          <w:color w:val="000000" w:themeColor="text1"/>
        </w:rPr>
        <w:t xml:space="preserve">scenario </w:t>
      </w:r>
      <w:r w:rsidR="00174A94">
        <w:rPr>
          <w:rFonts w:ascii="Times New Roman" w:hAnsi="Times New Roman"/>
          <w:bCs/>
          <w:color w:val="000000" w:themeColor="text1"/>
        </w:rPr>
        <w:t>4</w:t>
      </w:r>
      <w:r w:rsidR="005A4030" w:rsidRPr="008C4AB4">
        <w:rPr>
          <w:rFonts w:ascii="Times New Roman" w:hAnsi="Times New Roman"/>
          <w:bCs/>
          <w:color w:val="000000" w:themeColor="text1"/>
        </w:rPr>
        <w:t xml:space="preserve">, </w:t>
      </w:r>
      <w:r w:rsidR="00174A94">
        <w:rPr>
          <w:rFonts w:ascii="Times New Roman" w:hAnsi="Times New Roman"/>
          <w:bCs/>
          <w:color w:val="000000" w:themeColor="text1"/>
        </w:rPr>
        <w:t xml:space="preserve">that is converting 25 % of agricultural land to </w:t>
      </w:r>
      <w:r w:rsidR="00174A94">
        <w:rPr>
          <w:rFonts w:ascii="Times New Roman" w:hAnsi="Times New Roman"/>
          <w:bCs/>
          <w:color w:val="000000" w:themeColor="text1"/>
        </w:rPr>
        <w:lastRenderedPageBreak/>
        <w:t>plantation and applying</w:t>
      </w:r>
      <w:r w:rsidR="00174A94" w:rsidRPr="00174A94">
        <w:rPr>
          <w:rFonts w:ascii="Times New Roman" w:hAnsi="Times New Roman"/>
          <w:bCs/>
          <w:color w:val="000000" w:themeColor="text1"/>
        </w:rPr>
        <w:t xml:space="preserve"> 50% of the present fertilizer dose </w:t>
      </w:r>
      <w:r w:rsidR="00B26B0B">
        <w:rPr>
          <w:rFonts w:ascii="Times New Roman" w:hAnsi="Times New Roman"/>
          <w:bCs/>
          <w:color w:val="000000" w:themeColor="text1"/>
        </w:rPr>
        <w:t xml:space="preserve">was adopted </w:t>
      </w:r>
      <w:r w:rsidR="00174A94" w:rsidRPr="00174A94">
        <w:rPr>
          <w:rFonts w:ascii="Times New Roman" w:hAnsi="Times New Roman"/>
          <w:bCs/>
          <w:color w:val="000000" w:themeColor="text1"/>
        </w:rPr>
        <w:t xml:space="preserve">for major vegetable crops, such as potato and carrot, with INM to reduce the nutrient enrichment in surface water bodies. </w:t>
      </w:r>
      <w:r w:rsidR="00174A94">
        <w:rPr>
          <w:rFonts w:ascii="Times New Roman" w:hAnsi="Times New Roman"/>
          <w:bCs/>
          <w:color w:val="000000" w:themeColor="text1"/>
        </w:rPr>
        <w:t xml:space="preserve">This reduction of fertiliser dose was compared with </w:t>
      </w:r>
      <w:r w:rsidR="005A4030" w:rsidRPr="008C4AB4">
        <w:rPr>
          <w:rFonts w:ascii="Times New Roman" w:hAnsi="Times New Roman"/>
          <w:bCs/>
          <w:color w:val="000000" w:themeColor="text1"/>
        </w:rPr>
        <w:t>Soil Test Crop Response (STCR) equation with Integrated Nutrient Management (INM) equations developed for carrot and potato crops by the Tamil Nadu Agricultural University for Nilgiri</w:t>
      </w:r>
      <w:r w:rsidR="005A4030">
        <w:rPr>
          <w:rFonts w:ascii="Times New Roman" w:hAnsi="Times New Roman"/>
          <w:bCs/>
          <w:color w:val="000000" w:themeColor="text1"/>
        </w:rPr>
        <w:t>s</w:t>
      </w:r>
      <w:r w:rsidR="005A4030" w:rsidRPr="008C4AB4">
        <w:rPr>
          <w:rFonts w:ascii="Times New Roman" w:hAnsi="Times New Roman"/>
          <w:bCs/>
          <w:color w:val="000000" w:themeColor="text1"/>
        </w:rPr>
        <w:t xml:space="preserve"> soils (Gayathri </w:t>
      </w:r>
      <w:r w:rsidR="005A4030" w:rsidRPr="00AC7804">
        <w:rPr>
          <w:rFonts w:ascii="Times New Roman" w:hAnsi="Times New Roman"/>
          <w:bCs/>
          <w:i/>
          <w:iCs/>
          <w:color w:val="000000" w:themeColor="text1"/>
        </w:rPr>
        <w:t>et al</w:t>
      </w:r>
      <w:r w:rsidR="005A4030" w:rsidRPr="008C4AB4">
        <w:rPr>
          <w:rFonts w:ascii="Times New Roman" w:hAnsi="Times New Roman"/>
          <w:bCs/>
          <w:color w:val="000000" w:themeColor="text1"/>
        </w:rPr>
        <w:t>., 2009; Anonymous)</w:t>
      </w:r>
      <w:r w:rsidR="00AA53B0">
        <w:rPr>
          <w:rFonts w:ascii="Times New Roman" w:hAnsi="Times New Roman"/>
          <w:bCs/>
          <w:color w:val="000000" w:themeColor="text1"/>
        </w:rPr>
        <w:t xml:space="preserve"> with following equations</w:t>
      </w:r>
      <w:r w:rsidR="005A4030" w:rsidRPr="008C4AB4">
        <w:rPr>
          <w:rFonts w:ascii="Times New Roman" w:hAnsi="Times New Roman"/>
          <w:bCs/>
          <w:color w:val="000000" w:themeColor="text1"/>
        </w:rPr>
        <w:t xml:space="preserve">. </w:t>
      </w:r>
    </w:p>
    <w:p w14:paraId="386564ED" w14:textId="40BB27D1" w:rsidR="00D35933" w:rsidRPr="00D35933" w:rsidRDefault="00D35933" w:rsidP="00AA53B0">
      <w:pPr>
        <w:spacing w:before="120" w:after="0" w:line="360" w:lineRule="auto"/>
        <w:jc w:val="both"/>
        <w:rPr>
          <w:rFonts w:ascii="Times New Roman" w:hAnsi="Times New Roman"/>
          <w:bCs/>
          <w:color w:val="000000" w:themeColor="text1"/>
        </w:rPr>
      </w:pPr>
      <w:r w:rsidRPr="00D35933">
        <w:rPr>
          <w:rFonts w:ascii="Times New Roman" w:hAnsi="Times New Roman"/>
          <w:bCs/>
          <w:color w:val="000000" w:themeColor="text1"/>
        </w:rPr>
        <w:t>The STCR</w:t>
      </w:r>
      <w:r>
        <w:rPr>
          <w:rFonts w:ascii="Times New Roman" w:hAnsi="Times New Roman"/>
          <w:bCs/>
          <w:color w:val="000000" w:themeColor="text1"/>
        </w:rPr>
        <w:t xml:space="preserve"> </w:t>
      </w:r>
      <w:r w:rsidRPr="00D35933">
        <w:rPr>
          <w:rFonts w:ascii="Times New Roman" w:hAnsi="Times New Roman"/>
          <w:bCs/>
          <w:color w:val="000000" w:themeColor="text1"/>
        </w:rPr>
        <w:t>equation for carrot with INM:</w:t>
      </w:r>
    </w:p>
    <w:p w14:paraId="24DDB922" w14:textId="04622617" w:rsidR="00D35933" w:rsidRPr="00D35933" w:rsidRDefault="00D35933" w:rsidP="00D35933">
      <w:pPr>
        <w:spacing w:before="120" w:after="0" w:line="360" w:lineRule="auto"/>
        <w:ind w:firstLine="720"/>
        <w:jc w:val="both"/>
        <w:rPr>
          <w:rFonts w:ascii="Times New Roman" w:hAnsi="Times New Roman"/>
          <w:bCs/>
          <w:color w:val="000000" w:themeColor="text1"/>
        </w:rPr>
      </w:pPr>
      <w:r w:rsidRPr="00D35933">
        <w:rPr>
          <w:rFonts w:ascii="Times New Roman" w:hAnsi="Times New Roman"/>
          <w:bCs/>
          <w:color w:val="000000" w:themeColor="text1"/>
        </w:rPr>
        <w:t>FN=0.48 T −0.17SN −</w:t>
      </w:r>
      <w:r w:rsidR="00CB5DA2">
        <w:rPr>
          <w:rFonts w:ascii="Times New Roman" w:hAnsi="Times New Roman"/>
          <w:bCs/>
          <w:color w:val="000000" w:themeColor="text1"/>
        </w:rPr>
        <w:t xml:space="preserve"> </w:t>
      </w:r>
      <w:r w:rsidRPr="00D35933">
        <w:rPr>
          <w:rFonts w:ascii="Times New Roman" w:hAnsi="Times New Roman"/>
          <w:bCs/>
          <w:color w:val="000000" w:themeColor="text1"/>
        </w:rPr>
        <w:t>0.33ON</w:t>
      </w:r>
    </w:p>
    <w:p w14:paraId="672F7AFD" w14:textId="146DCAD6" w:rsidR="00D35933" w:rsidRDefault="00D35933" w:rsidP="00D35933">
      <w:pPr>
        <w:spacing w:before="120" w:after="0" w:line="360" w:lineRule="auto"/>
        <w:ind w:firstLine="720"/>
        <w:jc w:val="both"/>
        <w:rPr>
          <w:rFonts w:ascii="Times New Roman" w:hAnsi="Times New Roman"/>
          <w:bCs/>
          <w:color w:val="000000" w:themeColor="text1"/>
        </w:rPr>
      </w:pPr>
      <w:r w:rsidRPr="00D35933">
        <w:rPr>
          <w:rFonts w:ascii="Times New Roman" w:hAnsi="Times New Roman"/>
          <w:bCs/>
          <w:color w:val="000000" w:themeColor="text1"/>
        </w:rPr>
        <w:t>FP</w:t>
      </w:r>
      <w:r w:rsidRPr="00D35933">
        <w:rPr>
          <w:rFonts w:ascii="Times New Roman" w:hAnsi="Times New Roman"/>
          <w:bCs/>
          <w:color w:val="000000" w:themeColor="text1"/>
          <w:vertAlign w:val="subscript"/>
        </w:rPr>
        <w:t>2</w:t>
      </w:r>
      <w:r w:rsidRPr="00D35933">
        <w:rPr>
          <w:rFonts w:ascii="Times New Roman" w:hAnsi="Times New Roman"/>
          <w:bCs/>
          <w:color w:val="000000" w:themeColor="text1"/>
        </w:rPr>
        <w:t>O</w:t>
      </w:r>
      <w:r w:rsidRPr="00D35933">
        <w:rPr>
          <w:rFonts w:ascii="Times New Roman" w:hAnsi="Times New Roman"/>
          <w:bCs/>
          <w:color w:val="000000" w:themeColor="text1"/>
          <w:vertAlign w:val="subscript"/>
        </w:rPr>
        <w:t>5</w:t>
      </w:r>
      <w:r w:rsidRPr="00D35933">
        <w:rPr>
          <w:rFonts w:ascii="Times New Roman" w:hAnsi="Times New Roman"/>
          <w:bCs/>
          <w:color w:val="000000" w:themeColor="text1"/>
        </w:rPr>
        <w:t xml:space="preserve"> = 1.11 T − 1.17 SP − 0.31 OP</w:t>
      </w:r>
    </w:p>
    <w:p w14:paraId="5A362183" w14:textId="77777777" w:rsidR="00092498" w:rsidRPr="00092498" w:rsidRDefault="00092498" w:rsidP="00092498">
      <w:pPr>
        <w:spacing w:before="120" w:after="0" w:line="360" w:lineRule="auto"/>
        <w:ind w:firstLine="720"/>
        <w:jc w:val="both"/>
        <w:rPr>
          <w:rFonts w:ascii="Times New Roman" w:hAnsi="Times New Roman"/>
          <w:bCs/>
          <w:color w:val="000000" w:themeColor="text1"/>
        </w:rPr>
      </w:pPr>
      <w:r w:rsidRPr="00092498">
        <w:rPr>
          <w:rFonts w:ascii="Times New Roman" w:hAnsi="Times New Roman"/>
          <w:bCs/>
          <w:color w:val="000000" w:themeColor="text1"/>
        </w:rPr>
        <w:t>FK</w:t>
      </w:r>
      <w:r w:rsidRPr="00092498">
        <w:rPr>
          <w:rFonts w:ascii="Times New Roman" w:hAnsi="Times New Roman"/>
          <w:bCs/>
          <w:color w:val="000000" w:themeColor="text1"/>
          <w:vertAlign w:val="subscript"/>
        </w:rPr>
        <w:t>2</w:t>
      </w:r>
      <w:r w:rsidRPr="00092498">
        <w:rPr>
          <w:rFonts w:ascii="Times New Roman" w:hAnsi="Times New Roman"/>
          <w:bCs/>
          <w:color w:val="000000" w:themeColor="text1"/>
        </w:rPr>
        <w:t>O= 0.83T-0.40SK-0.43OK</w:t>
      </w:r>
    </w:p>
    <w:p w14:paraId="766749F1" w14:textId="22CFD165" w:rsidR="00D35933" w:rsidRPr="00D35933" w:rsidRDefault="00D35933" w:rsidP="00D35933">
      <w:pPr>
        <w:spacing w:before="120" w:after="0" w:line="360" w:lineRule="auto"/>
        <w:jc w:val="both"/>
        <w:rPr>
          <w:rFonts w:ascii="Times New Roman" w:hAnsi="Times New Roman"/>
          <w:bCs/>
          <w:color w:val="000000" w:themeColor="text1"/>
        </w:rPr>
      </w:pPr>
      <w:r w:rsidRPr="00D35933">
        <w:rPr>
          <w:rFonts w:ascii="Times New Roman" w:hAnsi="Times New Roman"/>
          <w:bCs/>
          <w:color w:val="000000" w:themeColor="text1"/>
        </w:rPr>
        <w:t>The STCR</w:t>
      </w:r>
      <w:r>
        <w:rPr>
          <w:rFonts w:ascii="Times New Roman" w:hAnsi="Times New Roman"/>
          <w:bCs/>
          <w:color w:val="000000" w:themeColor="text1"/>
        </w:rPr>
        <w:t xml:space="preserve"> </w:t>
      </w:r>
      <w:r w:rsidRPr="00D35933">
        <w:rPr>
          <w:rFonts w:ascii="Times New Roman" w:hAnsi="Times New Roman"/>
          <w:bCs/>
          <w:color w:val="000000" w:themeColor="text1"/>
        </w:rPr>
        <w:t>equation for potato with INM:</w:t>
      </w:r>
    </w:p>
    <w:p w14:paraId="738C95F0" w14:textId="0C0A5B6D" w:rsidR="00D35933" w:rsidRPr="00D35933" w:rsidRDefault="00D35933" w:rsidP="00D35933">
      <w:pPr>
        <w:spacing w:before="120" w:after="0" w:line="360" w:lineRule="auto"/>
        <w:ind w:left="709"/>
        <w:jc w:val="both"/>
        <w:rPr>
          <w:rFonts w:ascii="Times New Roman" w:hAnsi="Times New Roman"/>
          <w:bCs/>
          <w:color w:val="000000" w:themeColor="text1"/>
        </w:rPr>
      </w:pPr>
      <w:r w:rsidRPr="00D35933">
        <w:rPr>
          <w:rFonts w:ascii="Times New Roman" w:hAnsi="Times New Roman"/>
          <w:bCs/>
          <w:color w:val="000000" w:themeColor="text1"/>
        </w:rPr>
        <w:t>FN=0.71 T −</w:t>
      </w:r>
      <w:r w:rsidR="00CB5DA2">
        <w:rPr>
          <w:rFonts w:ascii="Times New Roman" w:hAnsi="Times New Roman"/>
          <w:bCs/>
          <w:color w:val="000000" w:themeColor="text1"/>
        </w:rPr>
        <w:t xml:space="preserve"> </w:t>
      </w:r>
      <w:r w:rsidRPr="00D35933">
        <w:rPr>
          <w:rFonts w:ascii="Times New Roman" w:hAnsi="Times New Roman"/>
          <w:bCs/>
          <w:color w:val="000000" w:themeColor="text1"/>
        </w:rPr>
        <w:t>0.24SN −</w:t>
      </w:r>
      <w:r w:rsidR="00CB5DA2">
        <w:rPr>
          <w:rFonts w:ascii="Times New Roman" w:hAnsi="Times New Roman"/>
          <w:bCs/>
          <w:color w:val="000000" w:themeColor="text1"/>
        </w:rPr>
        <w:t xml:space="preserve"> </w:t>
      </w:r>
      <w:r w:rsidRPr="00D35933">
        <w:rPr>
          <w:rFonts w:ascii="Times New Roman" w:hAnsi="Times New Roman"/>
          <w:bCs/>
          <w:color w:val="000000" w:themeColor="text1"/>
        </w:rPr>
        <w:t>0.41ON</w:t>
      </w:r>
    </w:p>
    <w:p w14:paraId="1E3AE710" w14:textId="5158D162" w:rsidR="00D35933" w:rsidRDefault="008D0C7C" w:rsidP="00D35933">
      <w:pPr>
        <w:spacing w:before="120" w:after="0" w:line="360" w:lineRule="auto"/>
        <w:ind w:left="709"/>
        <w:jc w:val="both"/>
        <w:rPr>
          <w:rFonts w:ascii="Times New Roman" w:hAnsi="Times New Roman"/>
          <w:bCs/>
          <w:color w:val="000000" w:themeColor="text1"/>
        </w:rPr>
      </w:pPr>
      <w:r w:rsidRPr="00D35933">
        <w:rPr>
          <w:rFonts w:ascii="Times New Roman" w:hAnsi="Times New Roman"/>
          <w:bCs/>
          <w:color w:val="000000" w:themeColor="text1"/>
        </w:rPr>
        <w:t>FP</w:t>
      </w:r>
      <w:r w:rsidRPr="00D35933">
        <w:rPr>
          <w:rFonts w:ascii="Times New Roman" w:hAnsi="Times New Roman"/>
          <w:bCs/>
          <w:color w:val="000000" w:themeColor="text1"/>
          <w:vertAlign w:val="subscript"/>
        </w:rPr>
        <w:t>2</w:t>
      </w:r>
      <w:r w:rsidRPr="00D35933">
        <w:rPr>
          <w:rFonts w:ascii="Times New Roman" w:hAnsi="Times New Roman"/>
          <w:bCs/>
          <w:color w:val="000000" w:themeColor="text1"/>
        </w:rPr>
        <w:t>O</w:t>
      </w:r>
      <w:r w:rsidRPr="00D35933">
        <w:rPr>
          <w:rFonts w:ascii="Times New Roman" w:hAnsi="Times New Roman"/>
          <w:bCs/>
          <w:color w:val="000000" w:themeColor="text1"/>
          <w:vertAlign w:val="subscript"/>
        </w:rPr>
        <w:t>5</w:t>
      </w:r>
      <w:r w:rsidR="00D35933" w:rsidRPr="00D35933">
        <w:rPr>
          <w:rFonts w:ascii="Times New Roman" w:hAnsi="Times New Roman"/>
          <w:bCs/>
          <w:color w:val="000000" w:themeColor="text1"/>
        </w:rPr>
        <w:t xml:space="preserve"> = 1.40 T − 0.55 SP − 0.95 OP</w:t>
      </w:r>
    </w:p>
    <w:p w14:paraId="3D2398AD" w14:textId="77777777" w:rsidR="00177387" w:rsidRPr="00177387" w:rsidRDefault="00177387" w:rsidP="00177387">
      <w:pPr>
        <w:spacing w:before="120" w:after="0" w:line="360" w:lineRule="auto"/>
        <w:ind w:left="709"/>
        <w:jc w:val="both"/>
        <w:rPr>
          <w:rFonts w:ascii="Times New Roman" w:hAnsi="Times New Roman"/>
          <w:bCs/>
          <w:color w:val="000000" w:themeColor="text1"/>
        </w:rPr>
      </w:pPr>
      <w:r w:rsidRPr="00177387">
        <w:rPr>
          <w:rFonts w:ascii="Times New Roman" w:hAnsi="Times New Roman"/>
          <w:bCs/>
          <w:color w:val="000000" w:themeColor="text1"/>
        </w:rPr>
        <w:t>FK</w:t>
      </w:r>
      <w:r w:rsidRPr="00177387">
        <w:rPr>
          <w:rFonts w:ascii="Times New Roman" w:hAnsi="Times New Roman"/>
          <w:bCs/>
          <w:color w:val="000000" w:themeColor="text1"/>
          <w:vertAlign w:val="subscript"/>
        </w:rPr>
        <w:t>2</w:t>
      </w:r>
      <w:r w:rsidRPr="00177387">
        <w:rPr>
          <w:rFonts w:ascii="Times New Roman" w:hAnsi="Times New Roman"/>
          <w:bCs/>
          <w:color w:val="000000" w:themeColor="text1"/>
        </w:rPr>
        <w:t>O = 0.72 T - 0.25 SK – 0.39 OK</w:t>
      </w:r>
    </w:p>
    <w:p w14:paraId="4C2EE375" w14:textId="5ACDD6D0" w:rsidR="00D35933" w:rsidRDefault="00D35933" w:rsidP="00D055A2">
      <w:pPr>
        <w:spacing w:before="120" w:after="0" w:line="360" w:lineRule="auto"/>
        <w:ind w:firstLine="709"/>
        <w:jc w:val="both"/>
        <w:rPr>
          <w:rFonts w:ascii="Times New Roman" w:hAnsi="Times New Roman"/>
          <w:bCs/>
          <w:color w:val="000000" w:themeColor="text1"/>
        </w:rPr>
      </w:pPr>
      <w:r w:rsidRPr="00D35933">
        <w:rPr>
          <w:rFonts w:ascii="Times New Roman" w:hAnsi="Times New Roman"/>
          <w:bCs/>
          <w:color w:val="000000" w:themeColor="text1"/>
        </w:rPr>
        <w:t>where FN = Fertilizer Nitrogen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 FP</w:t>
      </w:r>
      <w:r w:rsidRPr="003956D1">
        <w:rPr>
          <w:rFonts w:ascii="Times New Roman" w:hAnsi="Times New Roman"/>
          <w:bCs/>
          <w:color w:val="000000" w:themeColor="text1"/>
          <w:vertAlign w:val="subscript"/>
        </w:rPr>
        <w:t>2</w:t>
      </w:r>
      <w:r w:rsidRPr="00D35933">
        <w:rPr>
          <w:rFonts w:ascii="Times New Roman" w:hAnsi="Times New Roman"/>
          <w:bCs/>
          <w:color w:val="000000" w:themeColor="text1"/>
        </w:rPr>
        <w:t>O</w:t>
      </w:r>
      <w:r w:rsidRPr="003956D1">
        <w:rPr>
          <w:rFonts w:ascii="Times New Roman" w:hAnsi="Times New Roman"/>
          <w:bCs/>
          <w:color w:val="000000" w:themeColor="text1"/>
          <w:vertAlign w:val="subscript"/>
        </w:rPr>
        <w:t>5</w:t>
      </w:r>
      <w:r w:rsidRPr="00D35933">
        <w:rPr>
          <w:rFonts w:ascii="Times New Roman" w:hAnsi="Times New Roman"/>
          <w:bCs/>
          <w:color w:val="000000" w:themeColor="text1"/>
        </w:rPr>
        <w:t xml:space="preserve"> = Fertilizer Phosphorus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w:t>
      </w:r>
      <w:r>
        <w:rPr>
          <w:rFonts w:ascii="Times New Roman" w:hAnsi="Times New Roman"/>
          <w:bCs/>
          <w:color w:val="000000" w:themeColor="text1"/>
        </w:rPr>
        <w:t xml:space="preserve"> </w:t>
      </w:r>
      <w:r w:rsidR="00092498" w:rsidRPr="00177387">
        <w:rPr>
          <w:rFonts w:ascii="Times New Roman" w:hAnsi="Times New Roman"/>
          <w:bCs/>
          <w:color w:val="000000" w:themeColor="text1"/>
        </w:rPr>
        <w:t>FK</w:t>
      </w:r>
      <w:r w:rsidR="00092498" w:rsidRPr="00177387">
        <w:rPr>
          <w:rFonts w:ascii="Times New Roman" w:hAnsi="Times New Roman"/>
          <w:bCs/>
          <w:color w:val="000000" w:themeColor="text1"/>
          <w:vertAlign w:val="subscript"/>
        </w:rPr>
        <w:t>2</w:t>
      </w:r>
      <w:r w:rsidR="00092498" w:rsidRPr="00177387">
        <w:rPr>
          <w:rFonts w:ascii="Times New Roman" w:hAnsi="Times New Roman"/>
          <w:bCs/>
          <w:color w:val="000000" w:themeColor="text1"/>
        </w:rPr>
        <w:t>O</w:t>
      </w:r>
      <w:r w:rsidR="00092498">
        <w:rPr>
          <w:rFonts w:ascii="Times New Roman" w:hAnsi="Times New Roman"/>
          <w:bCs/>
          <w:color w:val="000000" w:themeColor="text1"/>
        </w:rPr>
        <w:t xml:space="preserve"> = </w:t>
      </w:r>
      <w:r w:rsidR="00092498" w:rsidRPr="00D35933">
        <w:rPr>
          <w:rFonts w:ascii="Times New Roman" w:hAnsi="Times New Roman"/>
          <w:bCs/>
          <w:color w:val="000000" w:themeColor="text1"/>
        </w:rPr>
        <w:t>Fertilizer P</w:t>
      </w:r>
      <w:r w:rsidR="00092498">
        <w:rPr>
          <w:rFonts w:ascii="Times New Roman" w:hAnsi="Times New Roman"/>
          <w:bCs/>
          <w:color w:val="000000" w:themeColor="text1"/>
        </w:rPr>
        <w:t>otassium</w:t>
      </w:r>
      <w:r w:rsidR="00092498" w:rsidRPr="00D35933">
        <w:rPr>
          <w:rFonts w:ascii="Times New Roman" w:hAnsi="Times New Roman"/>
          <w:bCs/>
          <w:color w:val="000000" w:themeColor="text1"/>
        </w:rPr>
        <w:t xml:space="preserve"> (kg ha</w:t>
      </w:r>
      <w:r w:rsidR="00092498" w:rsidRPr="00D35933">
        <w:rPr>
          <w:rFonts w:ascii="Times New Roman" w:hAnsi="Times New Roman"/>
          <w:bCs/>
          <w:color w:val="000000" w:themeColor="text1"/>
          <w:vertAlign w:val="superscript"/>
        </w:rPr>
        <w:t>−1</w:t>
      </w:r>
      <w:r w:rsidR="00092498" w:rsidRPr="00D35933">
        <w:rPr>
          <w:rFonts w:ascii="Times New Roman" w:hAnsi="Times New Roman"/>
          <w:bCs/>
          <w:color w:val="000000" w:themeColor="text1"/>
        </w:rPr>
        <w:t>)</w:t>
      </w:r>
      <w:r w:rsidRPr="00D35933">
        <w:rPr>
          <w:rFonts w:ascii="Times New Roman" w:hAnsi="Times New Roman"/>
          <w:bCs/>
          <w:color w:val="000000" w:themeColor="text1"/>
        </w:rPr>
        <w:t>T=Yield target (q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 SN = Available soil N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 xml:space="preserve">); SP = Available soil </w:t>
      </w:r>
      <w:r w:rsidR="003956D1">
        <w:rPr>
          <w:rFonts w:ascii="Times New Roman" w:hAnsi="Times New Roman"/>
          <w:bCs/>
          <w:color w:val="000000" w:themeColor="text1"/>
        </w:rPr>
        <w:t>P</w:t>
      </w:r>
      <w:r w:rsidRPr="00D35933">
        <w:rPr>
          <w:rFonts w:ascii="Times New Roman" w:hAnsi="Times New Roman"/>
          <w:bCs/>
          <w:color w:val="000000" w:themeColor="text1"/>
        </w:rPr>
        <w:t xml:space="preserve">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w:t>
      </w:r>
      <w:r>
        <w:rPr>
          <w:rFonts w:ascii="Times New Roman" w:hAnsi="Times New Roman"/>
          <w:bCs/>
          <w:color w:val="000000" w:themeColor="text1"/>
        </w:rPr>
        <w:t xml:space="preserve"> </w:t>
      </w:r>
      <w:r w:rsidR="005441FB" w:rsidRPr="00D35933">
        <w:rPr>
          <w:rFonts w:ascii="Times New Roman" w:hAnsi="Times New Roman"/>
          <w:bCs/>
          <w:color w:val="000000" w:themeColor="text1"/>
        </w:rPr>
        <w:t>S</w:t>
      </w:r>
      <w:r w:rsidR="005441FB">
        <w:rPr>
          <w:rFonts w:ascii="Times New Roman" w:hAnsi="Times New Roman"/>
          <w:bCs/>
          <w:color w:val="000000" w:themeColor="text1"/>
        </w:rPr>
        <w:t>K</w:t>
      </w:r>
      <w:r w:rsidR="005441FB" w:rsidRPr="00D35933">
        <w:rPr>
          <w:rFonts w:ascii="Times New Roman" w:hAnsi="Times New Roman"/>
          <w:bCs/>
          <w:color w:val="000000" w:themeColor="text1"/>
        </w:rPr>
        <w:t xml:space="preserve"> = Available soil </w:t>
      </w:r>
      <w:r w:rsidR="005441FB">
        <w:rPr>
          <w:rFonts w:ascii="Times New Roman" w:hAnsi="Times New Roman"/>
          <w:bCs/>
          <w:color w:val="000000" w:themeColor="text1"/>
        </w:rPr>
        <w:t>K</w:t>
      </w:r>
      <w:r w:rsidR="005441FB" w:rsidRPr="00D35933">
        <w:rPr>
          <w:rFonts w:ascii="Times New Roman" w:hAnsi="Times New Roman"/>
          <w:bCs/>
          <w:color w:val="000000" w:themeColor="text1"/>
        </w:rPr>
        <w:t xml:space="preserve"> (kg ha</w:t>
      </w:r>
      <w:r w:rsidR="005441FB" w:rsidRPr="00D35933">
        <w:rPr>
          <w:rFonts w:ascii="Times New Roman" w:hAnsi="Times New Roman"/>
          <w:bCs/>
          <w:color w:val="000000" w:themeColor="text1"/>
          <w:vertAlign w:val="superscript"/>
        </w:rPr>
        <w:t>−1</w:t>
      </w:r>
      <w:r w:rsidR="005441FB" w:rsidRPr="00D35933">
        <w:rPr>
          <w:rFonts w:ascii="Times New Roman" w:hAnsi="Times New Roman"/>
          <w:bCs/>
          <w:color w:val="000000" w:themeColor="text1"/>
        </w:rPr>
        <w:t>);</w:t>
      </w:r>
      <w:r w:rsidR="005441FB">
        <w:rPr>
          <w:rFonts w:ascii="Times New Roman" w:hAnsi="Times New Roman"/>
          <w:bCs/>
          <w:color w:val="000000" w:themeColor="text1"/>
        </w:rPr>
        <w:t xml:space="preserve"> </w:t>
      </w:r>
      <w:r w:rsidRPr="00D35933">
        <w:rPr>
          <w:rFonts w:ascii="Times New Roman" w:hAnsi="Times New Roman"/>
          <w:bCs/>
          <w:color w:val="000000" w:themeColor="text1"/>
        </w:rPr>
        <w:t>ON</w:t>
      </w:r>
      <w:r w:rsidR="005441FB">
        <w:rPr>
          <w:rFonts w:ascii="Times New Roman" w:hAnsi="Times New Roman"/>
          <w:bCs/>
          <w:color w:val="000000" w:themeColor="text1"/>
        </w:rPr>
        <w:t xml:space="preserve">, </w:t>
      </w:r>
      <w:r w:rsidRPr="00D35933">
        <w:rPr>
          <w:rFonts w:ascii="Times New Roman" w:hAnsi="Times New Roman"/>
          <w:bCs/>
          <w:color w:val="000000" w:themeColor="text1"/>
        </w:rPr>
        <w:t>OP</w:t>
      </w:r>
      <w:r>
        <w:rPr>
          <w:rFonts w:ascii="Times New Roman" w:hAnsi="Times New Roman"/>
          <w:bCs/>
          <w:color w:val="000000" w:themeColor="text1"/>
        </w:rPr>
        <w:t xml:space="preserve"> </w:t>
      </w:r>
      <w:r w:rsidR="005441FB" w:rsidRPr="00D35933">
        <w:rPr>
          <w:rFonts w:ascii="Times New Roman" w:hAnsi="Times New Roman"/>
          <w:bCs/>
          <w:color w:val="000000" w:themeColor="text1"/>
        </w:rPr>
        <w:t>and</w:t>
      </w:r>
      <w:r w:rsidR="005441FB">
        <w:rPr>
          <w:rFonts w:ascii="Times New Roman" w:hAnsi="Times New Roman"/>
          <w:bCs/>
          <w:color w:val="000000" w:themeColor="text1"/>
        </w:rPr>
        <w:t xml:space="preserve"> OK </w:t>
      </w:r>
      <w:r w:rsidRPr="00D35933">
        <w:rPr>
          <w:rFonts w:ascii="Times New Roman" w:hAnsi="Times New Roman"/>
          <w:bCs/>
          <w:color w:val="000000" w:themeColor="text1"/>
        </w:rPr>
        <w:t>are</w:t>
      </w:r>
      <w:r>
        <w:rPr>
          <w:rFonts w:ascii="Times New Roman" w:hAnsi="Times New Roman"/>
          <w:bCs/>
          <w:color w:val="000000" w:themeColor="text1"/>
        </w:rPr>
        <w:t xml:space="preserve"> </w:t>
      </w:r>
      <w:r w:rsidRPr="00D35933">
        <w:rPr>
          <w:rFonts w:ascii="Times New Roman" w:hAnsi="Times New Roman"/>
          <w:bCs/>
          <w:color w:val="000000" w:themeColor="text1"/>
        </w:rPr>
        <w:t>the</w:t>
      </w:r>
      <w:r>
        <w:rPr>
          <w:rFonts w:ascii="Times New Roman" w:hAnsi="Times New Roman"/>
          <w:bCs/>
          <w:color w:val="000000" w:themeColor="text1"/>
        </w:rPr>
        <w:t xml:space="preserve"> </w:t>
      </w:r>
      <w:r w:rsidRPr="00D35933">
        <w:rPr>
          <w:rFonts w:ascii="Times New Roman" w:hAnsi="Times New Roman"/>
          <w:bCs/>
          <w:color w:val="000000" w:themeColor="text1"/>
        </w:rPr>
        <w:t>quantities of N and P supplied through organic manures (kg ha</w:t>
      </w:r>
      <w:r w:rsidRPr="00D35933">
        <w:rPr>
          <w:rFonts w:ascii="Times New Roman" w:hAnsi="Times New Roman"/>
          <w:bCs/>
          <w:color w:val="000000" w:themeColor="text1"/>
          <w:vertAlign w:val="superscript"/>
        </w:rPr>
        <w:t>−1</w:t>
      </w:r>
      <w:r w:rsidRPr="00D35933">
        <w:rPr>
          <w:rFonts w:ascii="Times New Roman" w:hAnsi="Times New Roman"/>
          <w:bCs/>
          <w:color w:val="000000" w:themeColor="text1"/>
        </w:rPr>
        <w:t>).</w:t>
      </w:r>
      <w:r w:rsidR="00AA53B0">
        <w:rPr>
          <w:rFonts w:ascii="Times New Roman" w:hAnsi="Times New Roman"/>
          <w:bCs/>
          <w:color w:val="000000" w:themeColor="text1"/>
        </w:rPr>
        <w:t xml:space="preserve"> </w:t>
      </w:r>
    </w:p>
    <w:p w14:paraId="71D433D6" w14:textId="43A4758F" w:rsidR="00064371" w:rsidRDefault="00FC3033" w:rsidP="00A01BDE">
      <w:pPr>
        <w:spacing w:before="120" w:after="0" w:line="360" w:lineRule="auto"/>
        <w:ind w:firstLine="720"/>
        <w:jc w:val="both"/>
        <w:rPr>
          <w:rFonts w:ascii="Times New Roman" w:hAnsi="Times New Roman"/>
          <w:bCs/>
          <w:color w:val="FF0000"/>
        </w:rPr>
      </w:pPr>
      <w:r>
        <w:rPr>
          <w:rFonts w:ascii="Times New Roman" w:hAnsi="Times New Roman"/>
          <w:bCs/>
          <w:color w:val="000000" w:themeColor="text1"/>
        </w:rPr>
        <w:t>Based on th</w:t>
      </w:r>
      <w:r w:rsidR="004C54C8">
        <w:rPr>
          <w:rFonts w:ascii="Times New Roman" w:hAnsi="Times New Roman"/>
          <w:bCs/>
          <w:color w:val="000000" w:themeColor="text1"/>
        </w:rPr>
        <w:t>ese</w:t>
      </w:r>
      <w:r>
        <w:rPr>
          <w:rFonts w:ascii="Times New Roman" w:hAnsi="Times New Roman"/>
          <w:bCs/>
          <w:color w:val="000000" w:themeColor="text1"/>
        </w:rPr>
        <w:t xml:space="preserve"> result</w:t>
      </w:r>
      <w:r w:rsidR="004C54C8">
        <w:rPr>
          <w:rFonts w:ascii="Times New Roman" w:hAnsi="Times New Roman"/>
          <w:bCs/>
          <w:color w:val="000000" w:themeColor="text1"/>
        </w:rPr>
        <w:t xml:space="preserve">s and the soil </w:t>
      </w:r>
      <w:r w:rsidR="006A067D">
        <w:rPr>
          <w:rFonts w:ascii="Times New Roman" w:hAnsi="Times New Roman"/>
          <w:bCs/>
          <w:color w:val="000000" w:themeColor="text1"/>
        </w:rPr>
        <w:t>nutrient status</w:t>
      </w:r>
      <w:r w:rsidR="004C54C8">
        <w:rPr>
          <w:rFonts w:ascii="Times New Roman" w:hAnsi="Times New Roman"/>
          <w:bCs/>
          <w:color w:val="000000" w:themeColor="text1"/>
        </w:rPr>
        <w:t xml:space="preserve"> of the watershed,</w:t>
      </w:r>
      <w:r>
        <w:rPr>
          <w:rFonts w:ascii="Times New Roman" w:hAnsi="Times New Roman"/>
          <w:bCs/>
          <w:color w:val="000000" w:themeColor="text1"/>
        </w:rPr>
        <w:t xml:space="preserve"> we have prepared a ready reckoner </w:t>
      </w:r>
      <w:r w:rsidR="004C54C8">
        <w:rPr>
          <w:rFonts w:ascii="Times New Roman" w:hAnsi="Times New Roman"/>
          <w:bCs/>
          <w:color w:val="000000" w:themeColor="text1"/>
        </w:rPr>
        <w:t xml:space="preserve">for </w:t>
      </w:r>
      <w:r w:rsidR="004C54C8" w:rsidRPr="004C54C8">
        <w:rPr>
          <w:rFonts w:ascii="Times New Roman" w:hAnsi="Times New Roman"/>
          <w:bCs/>
          <w:color w:val="000000" w:themeColor="text1"/>
        </w:rPr>
        <w:t xml:space="preserve">nitrogen (N) phosphorus (P) </w:t>
      </w:r>
      <w:r w:rsidR="00915073" w:rsidRPr="004C54C8">
        <w:rPr>
          <w:rFonts w:ascii="Times New Roman" w:hAnsi="Times New Roman"/>
          <w:bCs/>
          <w:color w:val="000000" w:themeColor="text1"/>
        </w:rPr>
        <w:t xml:space="preserve">and </w:t>
      </w:r>
      <w:r w:rsidR="00915073">
        <w:rPr>
          <w:rFonts w:ascii="Times New Roman" w:hAnsi="Times New Roman"/>
          <w:bCs/>
          <w:color w:val="000000" w:themeColor="text1"/>
        </w:rPr>
        <w:t xml:space="preserve">potassium (K) </w:t>
      </w:r>
      <w:r w:rsidR="004C54C8" w:rsidRPr="004C54C8">
        <w:rPr>
          <w:rFonts w:ascii="Times New Roman" w:hAnsi="Times New Roman"/>
          <w:bCs/>
          <w:color w:val="000000" w:themeColor="text1"/>
        </w:rPr>
        <w:t>recommendations</w:t>
      </w:r>
      <w:r w:rsidR="00C24ACD">
        <w:rPr>
          <w:rFonts w:ascii="Times New Roman" w:hAnsi="Times New Roman"/>
          <w:bCs/>
          <w:color w:val="000000" w:themeColor="text1"/>
        </w:rPr>
        <w:t>.</w:t>
      </w:r>
      <w:r w:rsidR="004C54C8">
        <w:rPr>
          <w:rFonts w:ascii="Times New Roman" w:hAnsi="Times New Roman"/>
          <w:bCs/>
          <w:color w:val="000000" w:themeColor="text1"/>
        </w:rPr>
        <w:t xml:space="preserve"> Fertilizer recommendations were provided for the straight fertilisers, as complex fertilisers </w:t>
      </w:r>
      <w:r w:rsidR="004C54C8" w:rsidRPr="004C54C8">
        <w:rPr>
          <w:rFonts w:ascii="Times New Roman" w:hAnsi="Times New Roman"/>
          <w:bCs/>
          <w:color w:val="000000" w:themeColor="text1"/>
        </w:rPr>
        <w:t>were found to supply nutrients in imbalanced proportions relative to crop requirements</w:t>
      </w:r>
      <w:r w:rsidR="004C54C8">
        <w:rPr>
          <w:rFonts w:ascii="Times New Roman" w:hAnsi="Times New Roman"/>
          <w:bCs/>
          <w:color w:val="000000" w:themeColor="text1"/>
        </w:rPr>
        <w:t>.</w:t>
      </w:r>
      <w:r w:rsidR="00BA4117">
        <w:rPr>
          <w:rFonts w:ascii="Times New Roman" w:hAnsi="Times New Roman"/>
          <w:bCs/>
          <w:color w:val="000000" w:themeColor="text1"/>
        </w:rPr>
        <w:t xml:space="preserve"> </w:t>
      </w:r>
      <w:r w:rsidR="00C24ACD">
        <w:rPr>
          <w:rFonts w:ascii="Times New Roman" w:hAnsi="Times New Roman"/>
          <w:bCs/>
          <w:color w:val="000000" w:themeColor="text1"/>
        </w:rPr>
        <w:t xml:space="preserve"> </w:t>
      </w:r>
      <w:r w:rsidR="00AA53B0" w:rsidRPr="00AA53B0">
        <w:rPr>
          <w:rFonts w:ascii="Times New Roman" w:hAnsi="Times New Roman"/>
          <w:bCs/>
          <w:color w:val="000000" w:themeColor="text1"/>
        </w:rPr>
        <w:t xml:space="preserve">The yield </w:t>
      </w:r>
      <w:r w:rsidR="00A01BDE">
        <w:rPr>
          <w:rFonts w:ascii="Times New Roman" w:hAnsi="Times New Roman"/>
          <w:bCs/>
          <w:color w:val="000000" w:themeColor="text1"/>
        </w:rPr>
        <w:t>of</w:t>
      </w:r>
      <w:r w:rsidR="00AA53B0" w:rsidRPr="00AA53B0">
        <w:rPr>
          <w:rFonts w:ascii="Times New Roman" w:hAnsi="Times New Roman"/>
          <w:bCs/>
          <w:color w:val="000000" w:themeColor="text1"/>
        </w:rPr>
        <w:t xml:space="preserve"> </w:t>
      </w:r>
      <w:r w:rsidR="0036446F">
        <w:rPr>
          <w:rFonts w:ascii="Times New Roman" w:hAnsi="Times New Roman"/>
          <w:bCs/>
          <w:color w:val="000000" w:themeColor="text1"/>
        </w:rPr>
        <w:t>40</w:t>
      </w:r>
      <w:r w:rsidR="00AA53B0" w:rsidRPr="00AA53B0">
        <w:rPr>
          <w:rFonts w:ascii="Times New Roman" w:hAnsi="Times New Roman"/>
          <w:bCs/>
          <w:color w:val="000000" w:themeColor="text1"/>
        </w:rPr>
        <w:t>0 q ha</w:t>
      </w:r>
      <w:r w:rsidR="00AA53B0" w:rsidRPr="00A01BDE">
        <w:rPr>
          <w:rFonts w:ascii="Times New Roman" w:hAnsi="Times New Roman"/>
          <w:bCs/>
          <w:color w:val="000000" w:themeColor="text1"/>
          <w:vertAlign w:val="superscript"/>
        </w:rPr>
        <w:t>−1</w:t>
      </w:r>
      <w:r w:rsidR="00AA53B0">
        <w:rPr>
          <w:rFonts w:ascii="Times New Roman" w:hAnsi="Times New Roman"/>
          <w:bCs/>
          <w:color w:val="000000" w:themeColor="text1"/>
        </w:rPr>
        <w:t xml:space="preserve"> </w:t>
      </w:r>
      <w:r w:rsidR="0036446F" w:rsidRPr="00AA53B0">
        <w:rPr>
          <w:rFonts w:ascii="Times New Roman" w:hAnsi="Times New Roman"/>
          <w:bCs/>
          <w:color w:val="000000" w:themeColor="text1"/>
        </w:rPr>
        <w:t xml:space="preserve">for carrot </w:t>
      </w:r>
      <w:r w:rsidR="00AA53B0" w:rsidRPr="00AA53B0">
        <w:rPr>
          <w:rFonts w:ascii="Times New Roman" w:hAnsi="Times New Roman"/>
          <w:bCs/>
          <w:color w:val="000000" w:themeColor="text1"/>
        </w:rPr>
        <w:t xml:space="preserve">and </w:t>
      </w:r>
      <w:r w:rsidR="0036446F">
        <w:rPr>
          <w:rFonts w:ascii="Times New Roman" w:hAnsi="Times New Roman"/>
          <w:bCs/>
          <w:color w:val="000000" w:themeColor="text1"/>
        </w:rPr>
        <w:t>35</w:t>
      </w:r>
      <w:r w:rsidR="00AA53B0" w:rsidRPr="00AA53B0">
        <w:rPr>
          <w:rFonts w:ascii="Times New Roman" w:hAnsi="Times New Roman"/>
          <w:bCs/>
          <w:color w:val="000000" w:themeColor="text1"/>
        </w:rPr>
        <w:t>0 q ha</w:t>
      </w:r>
      <w:r w:rsidR="00AA53B0" w:rsidRPr="00A01BDE">
        <w:rPr>
          <w:rFonts w:ascii="Times New Roman" w:hAnsi="Times New Roman"/>
          <w:bCs/>
          <w:color w:val="000000" w:themeColor="text1"/>
          <w:vertAlign w:val="superscript"/>
        </w:rPr>
        <w:t>−1</w:t>
      </w:r>
      <w:r w:rsidR="00AA53B0" w:rsidRPr="00AA53B0">
        <w:rPr>
          <w:rFonts w:ascii="Times New Roman" w:hAnsi="Times New Roman"/>
          <w:bCs/>
          <w:color w:val="000000" w:themeColor="text1"/>
        </w:rPr>
        <w:t xml:space="preserve"> for </w:t>
      </w:r>
      <w:r w:rsidR="0036446F" w:rsidRPr="00AA53B0">
        <w:rPr>
          <w:rFonts w:ascii="Times New Roman" w:hAnsi="Times New Roman"/>
          <w:bCs/>
          <w:color w:val="000000" w:themeColor="text1"/>
        </w:rPr>
        <w:t xml:space="preserve">potato </w:t>
      </w:r>
      <w:r w:rsidR="00AA53B0" w:rsidRPr="00AA53B0">
        <w:rPr>
          <w:rFonts w:ascii="Times New Roman" w:hAnsi="Times New Roman"/>
          <w:bCs/>
          <w:color w:val="000000" w:themeColor="text1"/>
        </w:rPr>
        <w:t xml:space="preserve">was </w:t>
      </w:r>
      <w:r w:rsidR="00A01BDE">
        <w:rPr>
          <w:rFonts w:ascii="Times New Roman" w:hAnsi="Times New Roman"/>
          <w:bCs/>
          <w:color w:val="000000" w:themeColor="text1"/>
        </w:rPr>
        <w:t>kept as target in consultation with the</w:t>
      </w:r>
      <w:r w:rsidR="00AA53B0" w:rsidRPr="00AA53B0">
        <w:rPr>
          <w:rFonts w:ascii="Times New Roman" w:hAnsi="Times New Roman"/>
          <w:bCs/>
          <w:color w:val="000000" w:themeColor="text1"/>
        </w:rPr>
        <w:t xml:space="preserve"> watershed </w:t>
      </w:r>
      <w:r w:rsidR="00AA53B0" w:rsidRPr="00092432">
        <w:rPr>
          <w:rFonts w:ascii="Times New Roman" w:hAnsi="Times New Roman"/>
          <w:bCs/>
        </w:rPr>
        <w:t>farmers</w:t>
      </w:r>
      <w:r w:rsidR="00B163B2" w:rsidRPr="00092432">
        <w:rPr>
          <w:rFonts w:ascii="Times New Roman" w:hAnsi="Times New Roman"/>
          <w:bCs/>
        </w:rPr>
        <w:t xml:space="preserve"> (Table</w:t>
      </w:r>
      <w:r w:rsidR="00944486">
        <w:rPr>
          <w:rFonts w:ascii="Times New Roman" w:hAnsi="Times New Roman"/>
          <w:bCs/>
        </w:rPr>
        <w:t xml:space="preserve"> 2</w:t>
      </w:r>
      <w:r w:rsidR="004451A1" w:rsidRPr="00092432">
        <w:rPr>
          <w:rFonts w:ascii="Times New Roman" w:hAnsi="Times New Roman"/>
          <w:bCs/>
        </w:rPr>
        <w:t xml:space="preserve"> and </w:t>
      </w:r>
      <w:r w:rsidR="00944486">
        <w:rPr>
          <w:rFonts w:ascii="Times New Roman" w:hAnsi="Times New Roman"/>
          <w:bCs/>
        </w:rPr>
        <w:t>3</w:t>
      </w:r>
      <w:r w:rsidR="00B163B2" w:rsidRPr="00092432">
        <w:rPr>
          <w:rFonts w:ascii="Times New Roman" w:hAnsi="Times New Roman"/>
          <w:bCs/>
        </w:rPr>
        <w:t>)</w:t>
      </w:r>
      <w:r w:rsidR="00AA53B0" w:rsidRPr="00092432">
        <w:rPr>
          <w:rFonts w:ascii="Times New Roman" w:hAnsi="Times New Roman"/>
          <w:bCs/>
        </w:rPr>
        <w:t xml:space="preserve">. </w:t>
      </w:r>
    </w:p>
    <w:p w14:paraId="300A269B" w14:textId="77777777" w:rsidR="00064371" w:rsidRDefault="00064371">
      <w:pPr>
        <w:spacing w:after="160" w:line="259" w:lineRule="auto"/>
        <w:rPr>
          <w:rFonts w:ascii="Times New Roman" w:hAnsi="Times New Roman"/>
          <w:bCs/>
          <w:color w:val="FF0000"/>
        </w:rPr>
      </w:pPr>
      <w:r>
        <w:rPr>
          <w:rFonts w:ascii="Times New Roman" w:hAnsi="Times New Roman"/>
          <w:bCs/>
          <w:color w:val="FF0000"/>
        </w:rPr>
        <w:br w:type="page"/>
      </w:r>
    </w:p>
    <w:p w14:paraId="066D26DC" w14:textId="5BF7DE17" w:rsidR="00EA4F6A" w:rsidRDefault="00437BB2" w:rsidP="004451A1">
      <w:pPr>
        <w:spacing w:before="120" w:after="0" w:line="360" w:lineRule="auto"/>
        <w:jc w:val="both"/>
        <w:rPr>
          <w:rFonts w:ascii="Times New Roman" w:hAnsi="Times New Roman"/>
          <w:bCs/>
          <w:color w:val="000000" w:themeColor="text1"/>
        </w:rPr>
      </w:pPr>
      <w:r w:rsidRPr="00D64D6B">
        <w:rPr>
          <w:rFonts w:ascii="Times New Roman" w:hAnsi="Times New Roman"/>
          <w:bCs/>
        </w:rPr>
        <w:lastRenderedPageBreak/>
        <w:t xml:space="preserve">Table </w:t>
      </w:r>
      <w:r w:rsidR="00944486">
        <w:rPr>
          <w:rFonts w:ascii="Times New Roman" w:hAnsi="Times New Roman"/>
          <w:bCs/>
        </w:rPr>
        <w:t>2</w:t>
      </w:r>
      <w:r w:rsidRPr="00D64D6B">
        <w:rPr>
          <w:rFonts w:ascii="Times New Roman" w:hAnsi="Times New Roman"/>
          <w:bCs/>
        </w:rPr>
        <w:t xml:space="preserve">. Ready reckoner for fertiliser recommendation of </w:t>
      </w:r>
      <w:r>
        <w:rPr>
          <w:rFonts w:ascii="Times New Roman" w:hAnsi="Times New Roman"/>
          <w:bCs/>
        </w:rPr>
        <w:t>carrot</w:t>
      </w:r>
      <w:r w:rsidRPr="00D64D6B">
        <w:rPr>
          <w:rFonts w:ascii="Times New Roman" w:hAnsi="Times New Roman"/>
          <w:bCs/>
        </w:rPr>
        <w:t xml:space="preserve"> based on STCR approach for </w:t>
      </w:r>
      <w:proofErr w:type="spellStart"/>
      <w:r w:rsidRPr="00D64D6B">
        <w:rPr>
          <w:rFonts w:ascii="Times New Roman" w:hAnsi="Times New Roman"/>
          <w:bCs/>
        </w:rPr>
        <w:t>Sillahalla</w:t>
      </w:r>
      <w:proofErr w:type="spellEnd"/>
      <w:r w:rsidRPr="00D64D6B">
        <w:rPr>
          <w:rFonts w:ascii="Times New Roman" w:hAnsi="Times New Roman"/>
          <w:bCs/>
        </w:rPr>
        <w:t xml:space="preserve"> watershed</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07"/>
        <w:gridCol w:w="1170"/>
        <w:gridCol w:w="1047"/>
        <w:gridCol w:w="1329"/>
        <w:gridCol w:w="1132"/>
        <w:gridCol w:w="1047"/>
        <w:gridCol w:w="1329"/>
        <w:gridCol w:w="1096"/>
      </w:tblGrid>
      <w:tr w:rsidR="00437BB2" w:rsidRPr="00177412" w14:paraId="4E130601" w14:textId="77777777" w:rsidTr="00781BD2">
        <w:trPr>
          <w:trHeight w:val="286"/>
          <w:jc w:val="center"/>
        </w:trPr>
        <w:tc>
          <w:tcPr>
            <w:tcW w:w="1129" w:type="dxa"/>
            <w:vMerge w:val="restart"/>
            <w:noWrap/>
            <w:vAlign w:val="bottom"/>
          </w:tcPr>
          <w:p w14:paraId="335BAC40" w14:textId="77777777" w:rsidR="00437BB2" w:rsidRPr="00177412" w:rsidRDefault="00437BB2" w:rsidP="00781BD2">
            <w:pPr>
              <w:spacing w:after="0" w:line="240" w:lineRule="auto"/>
              <w:ind w:left="-112" w:right="-103"/>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nitrogen</w:t>
            </w:r>
          </w:p>
          <w:p w14:paraId="5EEBE0B9" w14:textId="77777777" w:rsidR="00437BB2" w:rsidRPr="00EA4F6A"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207" w:type="dxa"/>
            <w:vMerge w:val="restart"/>
            <w:noWrap/>
            <w:vAlign w:val="bottom"/>
          </w:tcPr>
          <w:p w14:paraId="1A19125E" w14:textId="77777777" w:rsidR="00437BB2" w:rsidRPr="00177412" w:rsidRDefault="00437BB2" w:rsidP="00781BD2">
            <w:pPr>
              <w:spacing w:after="0" w:line="240" w:lineRule="auto"/>
              <w:ind w:left="-110" w:right="-84"/>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phosphorus</w:t>
            </w:r>
          </w:p>
          <w:p w14:paraId="4EE26EF9" w14:textId="77777777" w:rsidR="00437BB2" w:rsidRPr="00EA4F6A"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70" w:type="dxa"/>
            <w:vMerge w:val="restart"/>
            <w:vAlign w:val="bottom"/>
          </w:tcPr>
          <w:p w14:paraId="5FC82397"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potassium</w:t>
            </w:r>
          </w:p>
          <w:p w14:paraId="1C0A4F98" w14:textId="77777777" w:rsidR="00437BB2" w:rsidRPr="00177412" w:rsidRDefault="00437BB2" w:rsidP="00781BD2">
            <w:pPr>
              <w:spacing w:after="0" w:line="240" w:lineRule="auto"/>
              <w:ind w:right="-134"/>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6980" w:type="dxa"/>
            <w:gridSpan w:val="6"/>
          </w:tcPr>
          <w:p w14:paraId="529C37BC" w14:textId="7EE11D5D"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 xml:space="preserve">Fertilizer required for the Yield target of </w:t>
            </w:r>
            <w:r w:rsidR="00C9073F">
              <w:rPr>
                <w:rFonts w:ascii="Times New Roman" w:eastAsia="Times New Roman" w:hAnsi="Times New Roman"/>
                <w:b/>
                <w:bCs/>
                <w:color w:val="000000"/>
                <w:lang w:val="en-US"/>
              </w:rPr>
              <w:t>40</w:t>
            </w:r>
            <w:r w:rsidRPr="00177412">
              <w:rPr>
                <w:rFonts w:ascii="Times New Roman" w:eastAsia="Times New Roman" w:hAnsi="Times New Roman"/>
                <w:b/>
                <w:bCs/>
                <w:color w:val="000000"/>
                <w:lang w:val="en-US"/>
              </w:rPr>
              <w:t>0 q ha</w:t>
            </w:r>
            <w:r w:rsidRPr="00177412">
              <w:rPr>
                <w:rFonts w:ascii="Times New Roman" w:eastAsia="Times New Roman" w:hAnsi="Times New Roman"/>
                <w:b/>
                <w:bCs/>
                <w:color w:val="000000"/>
                <w:vertAlign w:val="superscript"/>
                <w:lang w:val="en-US"/>
              </w:rPr>
              <w:t>-1</w:t>
            </w:r>
          </w:p>
        </w:tc>
      </w:tr>
      <w:tr w:rsidR="00437BB2" w:rsidRPr="00177412" w14:paraId="780E5EB3" w14:textId="77777777" w:rsidTr="00781BD2">
        <w:trPr>
          <w:trHeight w:val="286"/>
          <w:jc w:val="center"/>
        </w:trPr>
        <w:tc>
          <w:tcPr>
            <w:tcW w:w="1129" w:type="dxa"/>
            <w:vMerge/>
            <w:noWrap/>
            <w:vAlign w:val="bottom"/>
          </w:tcPr>
          <w:p w14:paraId="4ADA44FB" w14:textId="77777777" w:rsidR="00437BB2" w:rsidRPr="00EA4F6A" w:rsidRDefault="00437BB2" w:rsidP="00781BD2">
            <w:pPr>
              <w:spacing w:after="0" w:line="240" w:lineRule="auto"/>
              <w:jc w:val="center"/>
              <w:rPr>
                <w:rFonts w:ascii="Times New Roman" w:eastAsia="Times New Roman" w:hAnsi="Times New Roman"/>
                <w:color w:val="000000"/>
                <w:lang w:val="en-US"/>
              </w:rPr>
            </w:pPr>
          </w:p>
        </w:tc>
        <w:tc>
          <w:tcPr>
            <w:tcW w:w="1207" w:type="dxa"/>
            <w:vMerge/>
            <w:noWrap/>
            <w:vAlign w:val="bottom"/>
          </w:tcPr>
          <w:p w14:paraId="32952B40" w14:textId="77777777" w:rsidR="00437BB2" w:rsidRPr="00EA4F6A" w:rsidRDefault="00437BB2" w:rsidP="00781BD2">
            <w:pPr>
              <w:spacing w:after="0" w:line="240" w:lineRule="auto"/>
              <w:jc w:val="center"/>
              <w:rPr>
                <w:rFonts w:ascii="Times New Roman" w:eastAsia="Times New Roman" w:hAnsi="Times New Roman"/>
                <w:color w:val="000000"/>
                <w:lang w:val="en-US"/>
              </w:rPr>
            </w:pPr>
          </w:p>
        </w:tc>
        <w:tc>
          <w:tcPr>
            <w:tcW w:w="1170" w:type="dxa"/>
            <w:vMerge/>
          </w:tcPr>
          <w:p w14:paraId="1FA8F677"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p>
        </w:tc>
        <w:tc>
          <w:tcPr>
            <w:tcW w:w="3508" w:type="dxa"/>
            <w:gridSpan w:val="3"/>
            <w:noWrap/>
            <w:vAlign w:val="bottom"/>
          </w:tcPr>
          <w:p w14:paraId="30040042"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With FYM</w:t>
            </w:r>
          </w:p>
        </w:tc>
        <w:tc>
          <w:tcPr>
            <w:tcW w:w="3472" w:type="dxa"/>
            <w:gridSpan w:val="3"/>
            <w:noWrap/>
            <w:vAlign w:val="bottom"/>
          </w:tcPr>
          <w:p w14:paraId="248AB354"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Inorganic fertilizers</w:t>
            </w:r>
          </w:p>
        </w:tc>
      </w:tr>
      <w:tr w:rsidR="00437BB2" w:rsidRPr="00177412" w14:paraId="068CEC0A" w14:textId="77777777" w:rsidTr="00781BD2">
        <w:trPr>
          <w:cantSplit/>
          <w:jc w:val="center"/>
        </w:trPr>
        <w:tc>
          <w:tcPr>
            <w:tcW w:w="1129" w:type="dxa"/>
            <w:vMerge/>
            <w:noWrap/>
          </w:tcPr>
          <w:p w14:paraId="5A53FA47" w14:textId="77777777" w:rsidR="00437BB2" w:rsidRPr="00177412" w:rsidRDefault="00437BB2" w:rsidP="00781BD2">
            <w:pPr>
              <w:spacing w:after="0" w:line="240" w:lineRule="auto"/>
              <w:jc w:val="center"/>
              <w:rPr>
                <w:rFonts w:ascii="Times New Roman" w:eastAsia="Times New Roman" w:hAnsi="Times New Roman"/>
                <w:color w:val="000000"/>
                <w:lang w:val="en-US"/>
              </w:rPr>
            </w:pPr>
          </w:p>
        </w:tc>
        <w:tc>
          <w:tcPr>
            <w:tcW w:w="1207" w:type="dxa"/>
            <w:vMerge/>
            <w:noWrap/>
          </w:tcPr>
          <w:p w14:paraId="62B55C5E" w14:textId="77777777" w:rsidR="00437BB2" w:rsidRPr="00177412" w:rsidRDefault="00437BB2" w:rsidP="00781BD2">
            <w:pPr>
              <w:spacing w:after="0" w:line="240" w:lineRule="auto"/>
              <w:jc w:val="center"/>
              <w:rPr>
                <w:rFonts w:ascii="Times New Roman" w:eastAsia="Times New Roman" w:hAnsi="Times New Roman"/>
                <w:color w:val="000000"/>
                <w:lang w:val="en-US"/>
              </w:rPr>
            </w:pPr>
          </w:p>
        </w:tc>
        <w:tc>
          <w:tcPr>
            <w:tcW w:w="1170" w:type="dxa"/>
            <w:vMerge/>
          </w:tcPr>
          <w:p w14:paraId="62A57589"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p>
        </w:tc>
        <w:tc>
          <w:tcPr>
            <w:tcW w:w="1047" w:type="dxa"/>
            <w:noWrap/>
          </w:tcPr>
          <w:p w14:paraId="009AFE7C" w14:textId="77777777" w:rsidR="00437BB2" w:rsidRPr="00177412" w:rsidRDefault="00437BB2" w:rsidP="00781BD2">
            <w:pPr>
              <w:spacing w:after="0" w:line="240" w:lineRule="auto"/>
              <w:ind w:right="-29"/>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55219C3C"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057384B1" w14:textId="77777777" w:rsidR="00437BB2" w:rsidRPr="00177412" w:rsidRDefault="00437BB2" w:rsidP="00781BD2">
            <w:pPr>
              <w:spacing w:after="0" w:line="240" w:lineRule="auto"/>
              <w:ind w:right="-50"/>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3BB61F8A"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32" w:type="dxa"/>
          </w:tcPr>
          <w:p w14:paraId="54E4D589" w14:textId="77777777" w:rsidR="00437BB2" w:rsidRPr="00177412" w:rsidRDefault="00437BB2" w:rsidP="00781BD2">
            <w:pPr>
              <w:spacing w:after="0" w:line="240" w:lineRule="auto"/>
              <w:ind w:left="-50"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69E0D1E4" w14:textId="77777777" w:rsidR="00437BB2" w:rsidRPr="00177412" w:rsidRDefault="00437BB2" w:rsidP="00781BD2">
            <w:pPr>
              <w:spacing w:after="0" w:line="240" w:lineRule="auto"/>
              <w:ind w:right="-6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47" w:type="dxa"/>
            <w:noWrap/>
          </w:tcPr>
          <w:p w14:paraId="70E111F5"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057AE70F"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56FED216"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08CE7335" w14:textId="77777777" w:rsidR="00437BB2" w:rsidRPr="00177412" w:rsidRDefault="00437BB2"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96" w:type="dxa"/>
          </w:tcPr>
          <w:p w14:paraId="73266A3A" w14:textId="77777777" w:rsidR="00437BB2" w:rsidRPr="00177412" w:rsidRDefault="00437BB2" w:rsidP="00781BD2">
            <w:pPr>
              <w:spacing w:after="0" w:line="240" w:lineRule="auto"/>
              <w:ind w:left="-86"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23C63932" w14:textId="77777777" w:rsidR="00437BB2" w:rsidRPr="00177412" w:rsidRDefault="00437BB2" w:rsidP="00781BD2">
            <w:pPr>
              <w:spacing w:after="0" w:line="240" w:lineRule="auto"/>
              <w:ind w:right="-10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r>
      <w:tr w:rsidR="00C9073F" w:rsidRPr="00177412" w14:paraId="7F2C988A" w14:textId="77777777" w:rsidTr="00781BD2">
        <w:trPr>
          <w:trHeight w:val="286"/>
          <w:jc w:val="center"/>
        </w:trPr>
        <w:tc>
          <w:tcPr>
            <w:tcW w:w="1129" w:type="dxa"/>
            <w:noWrap/>
            <w:vAlign w:val="bottom"/>
          </w:tcPr>
          <w:p w14:paraId="6747E9F0" w14:textId="3A5C5958"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300</w:t>
            </w:r>
          </w:p>
        </w:tc>
        <w:tc>
          <w:tcPr>
            <w:tcW w:w="1207" w:type="dxa"/>
            <w:noWrap/>
            <w:vAlign w:val="bottom"/>
          </w:tcPr>
          <w:p w14:paraId="4CE67FC4" w14:textId="03DC6A80"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250</w:t>
            </w:r>
          </w:p>
        </w:tc>
        <w:tc>
          <w:tcPr>
            <w:tcW w:w="1170" w:type="dxa"/>
            <w:vAlign w:val="bottom"/>
          </w:tcPr>
          <w:p w14:paraId="41C06B67" w14:textId="39EE68B2"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400</w:t>
            </w:r>
          </w:p>
        </w:tc>
        <w:tc>
          <w:tcPr>
            <w:tcW w:w="1047" w:type="dxa"/>
            <w:noWrap/>
            <w:vAlign w:val="bottom"/>
          </w:tcPr>
          <w:p w14:paraId="0DE52929" w14:textId="0A335759"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121</w:t>
            </w:r>
          </w:p>
        </w:tc>
        <w:tc>
          <w:tcPr>
            <w:tcW w:w="1329" w:type="dxa"/>
            <w:noWrap/>
            <w:vAlign w:val="bottom"/>
          </w:tcPr>
          <w:p w14:paraId="2B68BC19" w14:textId="6EAAAD46"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142</w:t>
            </w:r>
          </w:p>
        </w:tc>
        <w:tc>
          <w:tcPr>
            <w:tcW w:w="1132" w:type="dxa"/>
            <w:vAlign w:val="bottom"/>
          </w:tcPr>
          <w:p w14:paraId="6C04D961" w14:textId="24C63C42"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146</w:t>
            </w:r>
          </w:p>
        </w:tc>
        <w:tc>
          <w:tcPr>
            <w:tcW w:w="1047" w:type="dxa"/>
            <w:noWrap/>
            <w:vAlign w:val="bottom"/>
          </w:tcPr>
          <w:p w14:paraId="11145753" w14:textId="6402841F"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141</w:t>
            </w:r>
          </w:p>
        </w:tc>
        <w:tc>
          <w:tcPr>
            <w:tcW w:w="1329" w:type="dxa"/>
            <w:noWrap/>
            <w:vAlign w:val="bottom"/>
          </w:tcPr>
          <w:p w14:paraId="5466D302" w14:textId="4F93726D"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152</w:t>
            </w:r>
          </w:p>
        </w:tc>
        <w:tc>
          <w:tcPr>
            <w:tcW w:w="1096" w:type="dxa"/>
            <w:vAlign w:val="bottom"/>
          </w:tcPr>
          <w:p w14:paraId="07B9D4FD" w14:textId="66999F47"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172</w:t>
            </w:r>
          </w:p>
        </w:tc>
      </w:tr>
      <w:tr w:rsidR="00C9073F" w:rsidRPr="00177412" w14:paraId="2CEB0AAA" w14:textId="77777777" w:rsidTr="00437BB2">
        <w:trPr>
          <w:trHeight w:val="286"/>
          <w:jc w:val="center"/>
        </w:trPr>
        <w:tc>
          <w:tcPr>
            <w:tcW w:w="1129" w:type="dxa"/>
            <w:noWrap/>
            <w:vAlign w:val="bottom"/>
          </w:tcPr>
          <w:p w14:paraId="6CE4F3E5" w14:textId="2E806546"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320</w:t>
            </w:r>
          </w:p>
        </w:tc>
        <w:tc>
          <w:tcPr>
            <w:tcW w:w="1207" w:type="dxa"/>
            <w:noWrap/>
            <w:vAlign w:val="bottom"/>
          </w:tcPr>
          <w:p w14:paraId="266D8B82" w14:textId="0EB9F949"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260</w:t>
            </w:r>
          </w:p>
        </w:tc>
        <w:tc>
          <w:tcPr>
            <w:tcW w:w="1170" w:type="dxa"/>
            <w:vAlign w:val="bottom"/>
          </w:tcPr>
          <w:p w14:paraId="538DC2AE" w14:textId="0F9D2A9B"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425</w:t>
            </w:r>
          </w:p>
        </w:tc>
        <w:tc>
          <w:tcPr>
            <w:tcW w:w="1047" w:type="dxa"/>
            <w:noWrap/>
            <w:vAlign w:val="bottom"/>
          </w:tcPr>
          <w:p w14:paraId="00727FDB" w14:textId="1B7841EB"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118</w:t>
            </w:r>
          </w:p>
        </w:tc>
        <w:tc>
          <w:tcPr>
            <w:tcW w:w="1329" w:type="dxa"/>
            <w:noWrap/>
            <w:vAlign w:val="bottom"/>
          </w:tcPr>
          <w:p w14:paraId="439FA496" w14:textId="6F85A464"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131</w:t>
            </w:r>
          </w:p>
        </w:tc>
        <w:tc>
          <w:tcPr>
            <w:tcW w:w="1132" w:type="dxa"/>
            <w:vAlign w:val="bottom"/>
          </w:tcPr>
          <w:p w14:paraId="5E79F8E4" w14:textId="7500903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136</w:t>
            </w:r>
          </w:p>
        </w:tc>
        <w:tc>
          <w:tcPr>
            <w:tcW w:w="1047" w:type="dxa"/>
            <w:noWrap/>
            <w:vAlign w:val="bottom"/>
          </w:tcPr>
          <w:p w14:paraId="084E2570" w14:textId="31AA03AC"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138</w:t>
            </w:r>
          </w:p>
        </w:tc>
        <w:tc>
          <w:tcPr>
            <w:tcW w:w="1329" w:type="dxa"/>
            <w:noWrap/>
            <w:vAlign w:val="bottom"/>
          </w:tcPr>
          <w:p w14:paraId="38FEEEAA" w14:textId="625BA809"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140</w:t>
            </w:r>
          </w:p>
        </w:tc>
        <w:tc>
          <w:tcPr>
            <w:tcW w:w="1096" w:type="dxa"/>
            <w:vAlign w:val="bottom"/>
          </w:tcPr>
          <w:p w14:paraId="2716B358" w14:textId="714A5734"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162</w:t>
            </w:r>
          </w:p>
        </w:tc>
      </w:tr>
      <w:tr w:rsidR="00C9073F" w:rsidRPr="00177412" w14:paraId="4F772A3C" w14:textId="77777777" w:rsidTr="00437BB2">
        <w:trPr>
          <w:trHeight w:val="286"/>
          <w:jc w:val="center"/>
        </w:trPr>
        <w:tc>
          <w:tcPr>
            <w:tcW w:w="1129" w:type="dxa"/>
            <w:noWrap/>
            <w:vAlign w:val="bottom"/>
          </w:tcPr>
          <w:p w14:paraId="5004F17A" w14:textId="4C006259"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340</w:t>
            </w:r>
          </w:p>
        </w:tc>
        <w:tc>
          <w:tcPr>
            <w:tcW w:w="1207" w:type="dxa"/>
            <w:noWrap/>
            <w:vAlign w:val="bottom"/>
          </w:tcPr>
          <w:p w14:paraId="68B0A75D" w14:textId="45C9BEEF"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270</w:t>
            </w:r>
          </w:p>
        </w:tc>
        <w:tc>
          <w:tcPr>
            <w:tcW w:w="1170" w:type="dxa"/>
            <w:vAlign w:val="bottom"/>
          </w:tcPr>
          <w:p w14:paraId="5C119704" w14:textId="67AE9F0E"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450</w:t>
            </w:r>
          </w:p>
        </w:tc>
        <w:tc>
          <w:tcPr>
            <w:tcW w:w="1047" w:type="dxa"/>
            <w:noWrap/>
            <w:vAlign w:val="bottom"/>
          </w:tcPr>
          <w:p w14:paraId="29DB5470" w14:textId="3118B9D3"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114</w:t>
            </w:r>
          </w:p>
        </w:tc>
        <w:tc>
          <w:tcPr>
            <w:tcW w:w="1329" w:type="dxa"/>
            <w:noWrap/>
            <w:vAlign w:val="bottom"/>
          </w:tcPr>
          <w:p w14:paraId="5E431A50" w14:textId="1C9D900C"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119</w:t>
            </w:r>
          </w:p>
        </w:tc>
        <w:tc>
          <w:tcPr>
            <w:tcW w:w="1132" w:type="dxa"/>
            <w:vAlign w:val="bottom"/>
          </w:tcPr>
          <w:p w14:paraId="4F554FCB" w14:textId="63ABDF45"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126</w:t>
            </w:r>
          </w:p>
        </w:tc>
        <w:tc>
          <w:tcPr>
            <w:tcW w:w="1047" w:type="dxa"/>
            <w:noWrap/>
            <w:vAlign w:val="bottom"/>
          </w:tcPr>
          <w:p w14:paraId="16E30BB2" w14:textId="53A13BC6"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134</w:t>
            </w:r>
          </w:p>
        </w:tc>
        <w:tc>
          <w:tcPr>
            <w:tcW w:w="1329" w:type="dxa"/>
            <w:noWrap/>
            <w:vAlign w:val="bottom"/>
          </w:tcPr>
          <w:p w14:paraId="1F446330" w14:textId="6B7EEF5F"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128</w:t>
            </w:r>
          </w:p>
        </w:tc>
        <w:tc>
          <w:tcPr>
            <w:tcW w:w="1096" w:type="dxa"/>
            <w:vAlign w:val="bottom"/>
          </w:tcPr>
          <w:p w14:paraId="1D9DF2C5" w14:textId="7FB2048C"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152</w:t>
            </w:r>
          </w:p>
        </w:tc>
      </w:tr>
      <w:tr w:rsidR="00C9073F" w:rsidRPr="00177412" w14:paraId="698D7BF0" w14:textId="77777777" w:rsidTr="00437BB2">
        <w:trPr>
          <w:trHeight w:val="286"/>
          <w:jc w:val="center"/>
        </w:trPr>
        <w:tc>
          <w:tcPr>
            <w:tcW w:w="1129" w:type="dxa"/>
            <w:noWrap/>
            <w:vAlign w:val="bottom"/>
          </w:tcPr>
          <w:p w14:paraId="299C2241" w14:textId="6B656492"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360</w:t>
            </w:r>
          </w:p>
        </w:tc>
        <w:tc>
          <w:tcPr>
            <w:tcW w:w="1207" w:type="dxa"/>
            <w:noWrap/>
            <w:vAlign w:val="bottom"/>
          </w:tcPr>
          <w:p w14:paraId="65DAE503" w14:textId="2BD01CAB"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280</w:t>
            </w:r>
          </w:p>
        </w:tc>
        <w:tc>
          <w:tcPr>
            <w:tcW w:w="1170" w:type="dxa"/>
            <w:vAlign w:val="bottom"/>
          </w:tcPr>
          <w:p w14:paraId="19909649" w14:textId="69E887B0"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475</w:t>
            </w:r>
          </w:p>
        </w:tc>
        <w:tc>
          <w:tcPr>
            <w:tcW w:w="1047" w:type="dxa"/>
            <w:noWrap/>
            <w:vAlign w:val="bottom"/>
          </w:tcPr>
          <w:p w14:paraId="5AE21B1A" w14:textId="18AA544A"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111</w:t>
            </w:r>
          </w:p>
        </w:tc>
        <w:tc>
          <w:tcPr>
            <w:tcW w:w="1329" w:type="dxa"/>
            <w:noWrap/>
            <w:vAlign w:val="bottom"/>
          </w:tcPr>
          <w:p w14:paraId="2F369135" w14:textId="59705D31"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107</w:t>
            </w:r>
          </w:p>
        </w:tc>
        <w:tc>
          <w:tcPr>
            <w:tcW w:w="1132" w:type="dxa"/>
            <w:vAlign w:val="bottom"/>
          </w:tcPr>
          <w:p w14:paraId="5B6D7325" w14:textId="46B4177D"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116</w:t>
            </w:r>
          </w:p>
        </w:tc>
        <w:tc>
          <w:tcPr>
            <w:tcW w:w="1047" w:type="dxa"/>
            <w:noWrap/>
            <w:vAlign w:val="bottom"/>
          </w:tcPr>
          <w:p w14:paraId="10E74AEE" w14:textId="05F5E577"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131</w:t>
            </w:r>
          </w:p>
        </w:tc>
        <w:tc>
          <w:tcPr>
            <w:tcW w:w="1329" w:type="dxa"/>
            <w:noWrap/>
            <w:vAlign w:val="bottom"/>
          </w:tcPr>
          <w:p w14:paraId="143242F0" w14:textId="4570AB8B"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116</w:t>
            </w:r>
          </w:p>
        </w:tc>
        <w:tc>
          <w:tcPr>
            <w:tcW w:w="1096" w:type="dxa"/>
            <w:vAlign w:val="bottom"/>
          </w:tcPr>
          <w:p w14:paraId="673EA6AF" w14:textId="0E71DEDF"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142</w:t>
            </w:r>
          </w:p>
        </w:tc>
      </w:tr>
      <w:tr w:rsidR="00C9073F" w:rsidRPr="00177412" w14:paraId="78189E68" w14:textId="77777777" w:rsidTr="00437BB2">
        <w:trPr>
          <w:trHeight w:val="286"/>
          <w:jc w:val="center"/>
        </w:trPr>
        <w:tc>
          <w:tcPr>
            <w:tcW w:w="1129" w:type="dxa"/>
            <w:noWrap/>
            <w:vAlign w:val="bottom"/>
          </w:tcPr>
          <w:p w14:paraId="73D88365" w14:textId="417FCFA7"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380</w:t>
            </w:r>
          </w:p>
        </w:tc>
        <w:tc>
          <w:tcPr>
            <w:tcW w:w="1207" w:type="dxa"/>
            <w:noWrap/>
            <w:vAlign w:val="bottom"/>
          </w:tcPr>
          <w:p w14:paraId="5435B865" w14:textId="5F4E0DD0"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290</w:t>
            </w:r>
          </w:p>
        </w:tc>
        <w:tc>
          <w:tcPr>
            <w:tcW w:w="1170" w:type="dxa"/>
            <w:vAlign w:val="bottom"/>
          </w:tcPr>
          <w:p w14:paraId="2BEFDA87" w14:textId="5074BDB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500</w:t>
            </w:r>
          </w:p>
        </w:tc>
        <w:tc>
          <w:tcPr>
            <w:tcW w:w="1047" w:type="dxa"/>
            <w:noWrap/>
            <w:vAlign w:val="bottom"/>
          </w:tcPr>
          <w:p w14:paraId="2B9F2CBC" w14:textId="299F6841"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108</w:t>
            </w:r>
          </w:p>
        </w:tc>
        <w:tc>
          <w:tcPr>
            <w:tcW w:w="1329" w:type="dxa"/>
            <w:noWrap/>
            <w:vAlign w:val="bottom"/>
          </w:tcPr>
          <w:p w14:paraId="1483EAE9" w14:textId="636F5DBA"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95</w:t>
            </w:r>
          </w:p>
        </w:tc>
        <w:tc>
          <w:tcPr>
            <w:tcW w:w="1132" w:type="dxa"/>
            <w:vAlign w:val="bottom"/>
          </w:tcPr>
          <w:p w14:paraId="23D7B27B" w14:textId="426B99C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106</w:t>
            </w:r>
          </w:p>
        </w:tc>
        <w:tc>
          <w:tcPr>
            <w:tcW w:w="1047" w:type="dxa"/>
            <w:noWrap/>
            <w:vAlign w:val="bottom"/>
          </w:tcPr>
          <w:p w14:paraId="24E6D740" w14:textId="34F79F78"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127</w:t>
            </w:r>
          </w:p>
        </w:tc>
        <w:tc>
          <w:tcPr>
            <w:tcW w:w="1329" w:type="dxa"/>
            <w:noWrap/>
            <w:vAlign w:val="bottom"/>
          </w:tcPr>
          <w:p w14:paraId="46DC7F6D" w14:textId="1AAD8434"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105</w:t>
            </w:r>
          </w:p>
        </w:tc>
        <w:tc>
          <w:tcPr>
            <w:tcW w:w="1096" w:type="dxa"/>
            <w:vAlign w:val="bottom"/>
          </w:tcPr>
          <w:p w14:paraId="141155E3" w14:textId="0DB58EEB"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132</w:t>
            </w:r>
          </w:p>
        </w:tc>
      </w:tr>
      <w:tr w:rsidR="00C9073F" w:rsidRPr="00177412" w14:paraId="57722C4A" w14:textId="77777777" w:rsidTr="00437BB2">
        <w:trPr>
          <w:trHeight w:val="286"/>
          <w:jc w:val="center"/>
        </w:trPr>
        <w:tc>
          <w:tcPr>
            <w:tcW w:w="1129" w:type="dxa"/>
            <w:noWrap/>
            <w:vAlign w:val="bottom"/>
          </w:tcPr>
          <w:p w14:paraId="6381FDC8" w14:textId="0938808D"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400</w:t>
            </w:r>
          </w:p>
        </w:tc>
        <w:tc>
          <w:tcPr>
            <w:tcW w:w="1207" w:type="dxa"/>
            <w:noWrap/>
            <w:vAlign w:val="bottom"/>
          </w:tcPr>
          <w:p w14:paraId="0CF1C131" w14:textId="57A85705"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300</w:t>
            </w:r>
          </w:p>
        </w:tc>
        <w:tc>
          <w:tcPr>
            <w:tcW w:w="1170" w:type="dxa"/>
            <w:vAlign w:val="bottom"/>
          </w:tcPr>
          <w:p w14:paraId="318D3EFB" w14:textId="701F44B0"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525</w:t>
            </w:r>
          </w:p>
        </w:tc>
        <w:tc>
          <w:tcPr>
            <w:tcW w:w="1047" w:type="dxa"/>
            <w:noWrap/>
            <w:vAlign w:val="bottom"/>
          </w:tcPr>
          <w:p w14:paraId="12B5F648" w14:textId="7A9B0706"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104</w:t>
            </w:r>
          </w:p>
        </w:tc>
        <w:tc>
          <w:tcPr>
            <w:tcW w:w="1329" w:type="dxa"/>
            <w:noWrap/>
            <w:vAlign w:val="bottom"/>
          </w:tcPr>
          <w:p w14:paraId="69B5EC7D" w14:textId="28697162"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84</w:t>
            </w:r>
          </w:p>
        </w:tc>
        <w:tc>
          <w:tcPr>
            <w:tcW w:w="1132" w:type="dxa"/>
            <w:vAlign w:val="bottom"/>
          </w:tcPr>
          <w:p w14:paraId="033E6A6E" w14:textId="702F8E59"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96</w:t>
            </w:r>
          </w:p>
        </w:tc>
        <w:tc>
          <w:tcPr>
            <w:tcW w:w="1047" w:type="dxa"/>
            <w:noWrap/>
            <w:vAlign w:val="bottom"/>
          </w:tcPr>
          <w:p w14:paraId="0C85AA79" w14:textId="6B74CCB0"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124</w:t>
            </w:r>
          </w:p>
        </w:tc>
        <w:tc>
          <w:tcPr>
            <w:tcW w:w="1329" w:type="dxa"/>
            <w:noWrap/>
            <w:vAlign w:val="bottom"/>
          </w:tcPr>
          <w:p w14:paraId="7EE99363" w14:textId="7ADD6C8D" w:rsidR="00C9073F" w:rsidRPr="00EA4F6A" w:rsidRDefault="00C9073F" w:rsidP="00C9073F">
            <w:pPr>
              <w:spacing w:after="0" w:line="240" w:lineRule="auto"/>
              <w:jc w:val="center"/>
              <w:rPr>
                <w:rFonts w:ascii="Times New Roman" w:eastAsia="Times New Roman" w:hAnsi="Times New Roman"/>
                <w:color w:val="000000"/>
                <w:lang w:val="en-US"/>
              </w:rPr>
            </w:pPr>
            <w:r>
              <w:rPr>
                <w:rFonts w:cs="Calibri"/>
                <w:color w:val="000000"/>
              </w:rPr>
              <w:t>93</w:t>
            </w:r>
          </w:p>
        </w:tc>
        <w:tc>
          <w:tcPr>
            <w:tcW w:w="1096" w:type="dxa"/>
            <w:vAlign w:val="bottom"/>
          </w:tcPr>
          <w:p w14:paraId="61C82CF9" w14:textId="1B9A5DBA" w:rsidR="00C9073F" w:rsidRPr="00177412" w:rsidRDefault="00C9073F" w:rsidP="00C9073F">
            <w:pPr>
              <w:spacing w:after="0" w:line="240" w:lineRule="auto"/>
              <w:jc w:val="center"/>
              <w:rPr>
                <w:rFonts w:ascii="Times New Roman" w:eastAsia="Times New Roman" w:hAnsi="Times New Roman"/>
                <w:color w:val="000000"/>
                <w:lang w:val="en-US"/>
              </w:rPr>
            </w:pPr>
            <w:r>
              <w:rPr>
                <w:rFonts w:cs="Calibri"/>
                <w:color w:val="000000"/>
              </w:rPr>
              <w:t>122</w:t>
            </w:r>
          </w:p>
        </w:tc>
      </w:tr>
    </w:tbl>
    <w:p w14:paraId="6DBFD269" w14:textId="3637C6E2" w:rsidR="006E0433" w:rsidRPr="00D64D6B" w:rsidRDefault="006E0433" w:rsidP="006E0433">
      <w:pPr>
        <w:spacing w:before="120" w:after="0" w:line="360" w:lineRule="auto"/>
        <w:jc w:val="both"/>
        <w:rPr>
          <w:rFonts w:ascii="Times New Roman" w:hAnsi="Times New Roman"/>
          <w:bCs/>
        </w:rPr>
      </w:pPr>
      <w:r w:rsidRPr="00D64D6B">
        <w:rPr>
          <w:rFonts w:ascii="Times New Roman" w:hAnsi="Times New Roman"/>
          <w:bCs/>
        </w:rPr>
        <w:t xml:space="preserve">Table </w:t>
      </w:r>
      <w:r w:rsidR="00944486">
        <w:rPr>
          <w:rFonts w:ascii="Times New Roman" w:hAnsi="Times New Roman"/>
          <w:bCs/>
        </w:rPr>
        <w:t>3</w:t>
      </w:r>
      <w:r w:rsidRPr="00D64D6B">
        <w:rPr>
          <w:rFonts w:ascii="Times New Roman" w:hAnsi="Times New Roman"/>
          <w:bCs/>
        </w:rPr>
        <w:t xml:space="preserve">. Ready reckoner for fertiliser recommendation of potato based on STCR approach for </w:t>
      </w:r>
      <w:proofErr w:type="spellStart"/>
      <w:r w:rsidRPr="00D64D6B">
        <w:rPr>
          <w:rFonts w:ascii="Times New Roman" w:hAnsi="Times New Roman"/>
          <w:bCs/>
        </w:rPr>
        <w:t>Sillahalla</w:t>
      </w:r>
      <w:proofErr w:type="spellEnd"/>
      <w:r w:rsidRPr="00D64D6B">
        <w:rPr>
          <w:rFonts w:ascii="Times New Roman" w:hAnsi="Times New Roman"/>
          <w:bCs/>
        </w:rPr>
        <w:t xml:space="preserve"> watershed</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07"/>
        <w:gridCol w:w="1170"/>
        <w:gridCol w:w="1047"/>
        <w:gridCol w:w="1329"/>
        <w:gridCol w:w="1132"/>
        <w:gridCol w:w="1047"/>
        <w:gridCol w:w="1329"/>
        <w:gridCol w:w="1096"/>
      </w:tblGrid>
      <w:tr w:rsidR="006E0433" w:rsidRPr="00177412" w14:paraId="4084C7E4" w14:textId="77777777" w:rsidTr="00781BD2">
        <w:trPr>
          <w:trHeight w:val="286"/>
          <w:jc w:val="center"/>
        </w:trPr>
        <w:tc>
          <w:tcPr>
            <w:tcW w:w="1129" w:type="dxa"/>
            <w:vMerge w:val="restart"/>
            <w:noWrap/>
            <w:vAlign w:val="bottom"/>
          </w:tcPr>
          <w:p w14:paraId="72F80525" w14:textId="77777777" w:rsidR="006E0433" w:rsidRPr="00177412" w:rsidRDefault="006E0433" w:rsidP="00781BD2">
            <w:pPr>
              <w:spacing w:after="0" w:line="240" w:lineRule="auto"/>
              <w:ind w:left="-112" w:right="-103"/>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nitrogen</w:t>
            </w:r>
          </w:p>
          <w:p w14:paraId="2FEA5826" w14:textId="77777777" w:rsidR="006E0433" w:rsidRPr="00EA4F6A"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207" w:type="dxa"/>
            <w:vMerge w:val="restart"/>
            <w:noWrap/>
            <w:vAlign w:val="bottom"/>
          </w:tcPr>
          <w:p w14:paraId="4C447F73" w14:textId="77777777" w:rsidR="006E0433" w:rsidRPr="00177412" w:rsidRDefault="006E0433" w:rsidP="00781BD2">
            <w:pPr>
              <w:spacing w:after="0" w:line="240" w:lineRule="auto"/>
              <w:ind w:left="-110" w:right="-84"/>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phosphorus</w:t>
            </w:r>
          </w:p>
          <w:p w14:paraId="7ADA29DA" w14:textId="77777777" w:rsidR="006E0433" w:rsidRPr="00EA4F6A"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70" w:type="dxa"/>
            <w:vMerge w:val="restart"/>
            <w:vAlign w:val="bottom"/>
          </w:tcPr>
          <w:p w14:paraId="1E84908D"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Soil available potassium</w:t>
            </w:r>
          </w:p>
          <w:p w14:paraId="5EAA2A8B" w14:textId="77777777" w:rsidR="006E0433" w:rsidRPr="00177412" w:rsidRDefault="006E0433" w:rsidP="00781BD2">
            <w:pPr>
              <w:spacing w:after="0" w:line="240" w:lineRule="auto"/>
              <w:ind w:right="-134"/>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6980" w:type="dxa"/>
            <w:gridSpan w:val="6"/>
          </w:tcPr>
          <w:p w14:paraId="412EEE9D"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Fertilizer required for the Yield target of 350 q ha</w:t>
            </w:r>
            <w:r w:rsidRPr="00177412">
              <w:rPr>
                <w:rFonts w:ascii="Times New Roman" w:eastAsia="Times New Roman" w:hAnsi="Times New Roman"/>
                <w:b/>
                <w:bCs/>
                <w:color w:val="000000"/>
                <w:vertAlign w:val="superscript"/>
                <w:lang w:val="en-US"/>
              </w:rPr>
              <w:t>-1</w:t>
            </w:r>
          </w:p>
        </w:tc>
      </w:tr>
      <w:tr w:rsidR="006E0433" w:rsidRPr="00177412" w14:paraId="618BE53A" w14:textId="77777777" w:rsidTr="00781BD2">
        <w:trPr>
          <w:trHeight w:val="286"/>
          <w:jc w:val="center"/>
        </w:trPr>
        <w:tc>
          <w:tcPr>
            <w:tcW w:w="1129" w:type="dxa"/>
            <w:vMerge/>
            <w:noWrap/>
            <w:vAlign w:val="bottom"/>
          </w:tcPr>
          <w:p w14:paraId="40F53AEA" w14:textId="77777777" w:rsidR="006E0433" w:rsidRPr="00EA4F6A" w:rsidRDefault="006E0433" w:rsidP="00781BD2">
            <w:pPr>
              <w:spacing w:after="0" w:line="240" w:lineRule="auto"/>
              <w:jc w:val="center"/>
              <w:rPr>
                <w:rFonts w:ascii="Times New Roman" w:eastAsia="Times New Roman" w:hAnsi="Times New Roman"/>
                <w:color w:val="000000"/>
                <w:lang w:val="en-US"/>
              </w:rPr>
            </w:pPr>
          </w:p>
        </w:tc>
        <w:tc>
          <w:tcPr>
            <w:tcW w:w="1207" w:type="dxa"/>
            <w:vMerge/>
            <w:noWrap/>
            <w:vAlign w:val="bottom"/>
          </w:tcPr>
          <w:p w14:paraId="1AE1E89E" w14:textId="77777777" w:rsidR="006E0433" w:rsidRPr="00EA4F6A" w:rsidRDefault="006E0433" w:rsidP="00781BD2">
            <w:pPr>
              <w:spacing w:after="0" w:line="240" w:lineRule="auto"/>
              <w:jc w:val="center"/>
              <w:rPr>
                <w:rFonts w:ascii="Times New Roman" w:eastAsia="Times New Roman" w:hAnsi="Times New Roman"/>
                <w:color w:val="000000"/>
                <w:lang w:val="en-US"/>
              </w:rPr>
            </w:pPr>
          </w:p>
        </w:tc>
        <w:tc>
          <w:tcPr>
            <w:tcW w:w="1170" w:type="dxa"/>
            <w:vMerge/>
          </w:tcPr>
          <w:p w14:paraId="67A5C56B"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p>
        </w:tc>
        <w:tc>
          <w:tcPr>
            <w:tcW w:w="3508" w:type="dxa"/>
            <w:gridSpan w:val="3"/>
            <w:noWrap/>
            <w:vAlign w:val="bottom"/>
          </w:tcPr>
          <w:p w14:paraId="5D9399C6"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With FYM</w:t>
            </w:r>
          </w:p>
        </w:tc>
        <w:tc>
          <w:tcPr>
            <w:tcW w:w="3472" w:type="dxa"/>
            <w:gridSpan w:val="3"/>
            <w:noWrap/>
            <w:vAlign w:val="bottom"/>
          </w:tcPr>
          <w:p w14:paraId="027F1D18"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Inorganic fertilizers</w:t>
            </w:r>
          </w:p>
        </w:tc>
      </w:tr>
      <w:tr w:rsidR="006E0433" w:rsidRPr="00177412" w14:paraId="5D6FE3FB" w14:textId="77777777" w:rsidTr="00781BD2">
        <w:trPr>
          <w:cantSplit/>
          <w:jc w:val="center"/>
        </w:trPr>
        <w:tc>
          <w:tcPr>
            <w:tcW w:w="1129" w:type="dxa"/>
            <w:vMerge/>
            <w:noWrap/>
          </w:tcPr>
          <w:p w14:paraId="4EE5D529" w14:textId="77777777" w:rsidR="006E0433" w:rsidRPr="00177412" w:rsidRDefault="006E0433" w:rsidP="00781BD2">
            <w:pPr>
              <w:spacing w:after="0" w:line="240" w:lineRule="auto"/>
              <w:jc w:val="center"/>
              <w:rPr>
                <w:rFonts w:ascii="Times New Roman" w:eastAsia="Times New Roman" w:hAnsi="Times New Roman"/>
                <w:color w:val="000000"/>
                <w:lang w:val="en-US"/>
              </w:rPr>
            </w:pPr>
          </w:p>
        </w:tc>
        <w:tc>
          <w:tcPr>
            <w:tcW w:w="1207" w:type="dxa"/>
            <w:vMerge/>
            <w:noWrap/>
          </w:tcPr>
          <w:p w14:paraId="622F76BC" w14:textId="77777777" w:rsidR="006E0433" w:rsidRPr="00177412" w:rsidRDefault="006E0433" w:rsidP="00781BD2">
            <w:pPr>
              <w:spacing w:after="0" w:line="240" w:lineRule="auto"/>
              <w:jc w:val="center"/>
              <w:rPr>
                <w:rFonts w:ascii="Times New Roman" w:eastAsia="Times New Roman" w:hAnsi="Times New Roman"/>
                <w:color w:val="000000"/>
                <w:lang w:val="en-US"/>
              </w:rPr>
            </w:pPr>
          </w:p>
        </w:tc>
        <w:tc>
          <w:tcPr>
            <w:tcW w:w="1170" w:type="dxa"/>
            <w:vMerge/>
          </w:tcPr>
          <w:p w14:paraId="51EAF944"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p>
        </w:tc>
        <w:tc>
          <w:tcPr>
            <w:tcW w:w="1047" w:type="dxa"/>
            <w:noWrap/>
          </w:tcPr>
          <w:p w14:paraId="3E697FEB" w14:textId="77777777" w:rsidR="006E0433" w:rsidRPr="00177412" w:rsidRDefault="006E0433" w:rsidP="00781BD2">
            <w:pPr>
              <w:spacing w:after="0" w:line="240" w:lineRule="auto"/>
              <w:ind w:right="-29"/>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705D2885"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40E86177" w14:textId="77777777" w:rsidR="006E0433" w:rsidRPr="00177412" w:rsidRDefault="006E0433" w:rsidP="00781BD2">
            <w:pPr>
              <w:spacing w:after="0" w:line="240" w:lineRule="auto"/>
              <w:ind w:right="-50"/>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2DEFE27B"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132" w:type="dxa"/>
          </w:tcPr>
          <w:p w14:paraId="66D050C3" w14:textId="77777777" w:rsidR="006E0433" w:rsidRPr="00177412" w:rsidRDefault="006E0433" w:rsidP="00781BD2">
            <w:pPr>
              <w:spacing w:after="0" w:line="240" w:lineRule="auto"/>
              <w:ind w:left="-50"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60B73F00" w14:textId="77777777" w:rsidR="006E0433" w:rsidRPr="00177412" w:rsidRDefault="006E0433" w:rsidP="00781BD2">
            <w:pPr>
              <w:spacing w:after="0" w:line="240" w:lineRule="auto"/>
              <w:ind w:right="-6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47" w:type="dxa"/>
            <w:noWrap/>
          </w:tcPr>
          <w:p w14:paraId="70F8CDFF"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Nitrogen</w:t>
            </w:r>
          </w:p>
          <w:p w14:paraId="1403982A"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329" w:type="dxa"/>
            <w:noWrap/>
          </w:tcPr>
          <w:p w14:paraId="68F145B8"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Phosphorus</w:t>
            </w:r>
          </w:p>
          <w:p w14:paraId="0B0C821B" w14:textId="77777777" w:rsidR="006E0433" w:rsidRPr="00177412" w:rsidRDefault="006E0433" w:rsidP="00781BD2">
            <w:pPr>
              <w:spacing w:after="0" w:line="240" w:lineRule="auto"/>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c>
          <w:tcPr>
            <w:tcW w:w="1096" w:type="dxa"/>
          </w:tcPr>
          <w:p w14:paraId="79E80C9D" w14:textId="77777777" w:rsidR="006E0433" w:rsidRPr="00177412" w:rsidRDefault="006E0433" w:rsidP="00781BD2">
            <w:pPr>
              <w:spacing w:after="0" w:line="240" w:lineRule="auto"/>
              <w:ind w:left="-86" w:right="-101"/>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Potassium</w:t>
            </w:r>
          </w:p>
          <w:p w14:paraId="5638D5D3" w14:textId="77777777" w:rsidR="006E0433" w:rsidRPr="00177412" w:rsidRDefault="006E0433" w:rsidP="00781BD2">
            <w:pPr>
              <w:spacing w:after="0" w:line="240" w:lineRule="auto"/>
              <w:ind w:right="-107"/>
              <w:jc w:val="center"/>
              <w:rPr>
                <w:rFonts w:ascii="Times New Roman" w:eastAsia="Times New Roman" w:hAnsi="Times New Roman"/>
                <w:b/>
                <w:bCs/>
                <w:color w:val="000000"/>
                <w:lang w:val="en-US"/>
              </w:rPr>
            </w:pPr>
            <w:r w:rsidRPr="00177412">
              <w:rPr>
                <w:rFonts w:ascii="Times New Roman" w:eastAsia="Times New Roman" w:hAnsi="Times New Roman"/>
                <w:b/>
                <w:bCs/>
                <w:color w:val="000000"/>
                <w:lang w:val="en-US"/>
              </w:rPr>
              <w:t>(kg ha</w:t>
            </w:r>
            <w:r w:rsidRPr="00177412">
              <w:rPr>
                <w:rFonts w:ascii="Times New Roman" w:eastAsia="Times New Roman" w:hAnsi="Times New Roman"/>
                <w:b/>
                <w:bCs/>
                <w:color w:val="000000"/>
                <w:vertAlign w:val="superscript"/>
                <w:lang w:val="en-US"/>
              </w:rPr>
              <w:t>-1</w:t>
            </w:r>
            <w:r w:rsidRPr="00177412">
              <w:rPr>
                <w:rFonts w:ascii="Times New Roman" w:eastAsia="Times New Roman" w:hAnsi="Times New Roman"/>
                <w:b/>
                <w:bCs/>
                <w:color w:val="000000"/>
                <w:lang w:val="en-US"/>
              </w:rPr>
              <w:t>)</w:t>
            </w:r>
          </w:p>
        </w:tc>
      </w:tr>
      <w:tr w:rsidR="006E0433" w:rsidRPr="00177412" w14:paraId="03272D96" w14:textId="77777777" w:rsidTr="00781BD2">
        <w:trPr>
          <w:trHeight w:val="286"/>
          <w:jc w:val="center"/>
        </w:trPr>
        <w:tc>
          <w:tcPr>
            <w:tcW w:w="1129" w:type="dxa"/>
            <w:noWrap/>
            <w:vAlign w:val="bottom"/>
          </w:tcPr>
          <w:p w14:paraId="2889F657"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300</w:t>
            </w:r>
          </w:p>
        </w:tc>
        <w:tc>
          <w:tcPr>
            <w:tcW w:w="1207" w:type="dxa"/>
            <w:noWrap/>
            <w:vAlign w:val="bottom"/>
          </w:tcPr>
          <w:p w14:paraId="4FBC3F7F"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250</w:t>
            </w:r>
          </w:p>
        </w:tc>
        <w:tc>
          <w:tcPr>
            <w:tcW w:w="1170" w:type="dxa"/>
            <w:vAlign w:val="bottom"/>
          </w:tcPr>
          <w:p w14:paraId="03DCC774"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400</w:t>
            </w:r>
          </w:p>
        </w:tc>
        <w:tc>
          <w:tcPr>
            <w:tcW w:w="1047" w:type="dxa"/>
            <w:noWrap/>
            <w:vAlign w:val="bottom"/>
          </w:tcPr>
          <w:p w14:paraId="47DC5839"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152</w:t>
            </w:r>
          </w:p>
        </w:tc>
        <w:tc>
          <w:tcPr>
            <w:tcW w:w="1329" w:type="dxa"/>
            <w:noWrap/>
            <w:vAlign w:val="bottom"/>
          </w:tcPr>
          <w:p w14:paraId="6B316D8D"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315</w:t>
            </w:r>
          </w:p>
        </w:tc>
        <w:tc>
          <w:tcPr>
            <w:tcW w:w="1132" w:type="dxa"/>
            <w:vAlign w:val="bottom"/>
          </w:tcPr>
          <w:p w14:paraId="6244BB2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136</w:t>
            </w:r>
          </w:p>
        </w:tc>
        <w:tc>
          <w:tcPr>
            <w:tcW w:w="1047" w:type="dxa"/>
            <w:noWrap/>
            <w:vAlign w:val="bottom"/>
          </w:tcPr>
          <w:p w14:paraId="01CD780E"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177</w:t>
            </w:r>
          </w:p>
        </w:tc>
        <w:tc>
          <w:tcPr>
            <w:tcW w:w="1329" w:type="dxa"/>
            <w:noWrap/>
            <w:vAlign w:val="bottom"/>
          </w:tcPr>
          <w:p w14:paraId="4283683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353</w:t>
            </w:r>
          </w:p>
        </w:tc>
        <w:tc>
          <w:tcPr>
            <w:tcW w:w="1096" w:type="dxa"/>
            <w:vAlign w:val="bottom"/>
          </w:tcPr>
          <w:p w14:paraId="464293A6"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152</w:t>
            </w:r>
          </w:p>
        </w:tc>
      </w:tr>
      <w:tr w:rsidR="006E0433" w:rsidRPr="00177412" w14:paraId="62D6EFCB" w14:textId="77777777" w:rsidTr="00781BD2">
        <w:trPr>
          <w:trHeight w:val="286"/>
          <w:jc w:val="center"/>
        </w:trPr>
        <w:tc>
          <w:tcPr>
            <w:tcW w:w="1129" w:type="dxa"/>
            <w:noWrap/>
            <w:vAlign w:val="bottom"/>
            <w:hideMark/>
          </w:tcPr>
          <w:p w14:paraId="110C84A6"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320</w:t>
            </w:r>
          </w:p>
        </w:tc>
        <w:tc>
          <w:tcPr>
            <w:tcW w:w="1207" w:type="dxa"/>
            <w:noWrap/>
            <w:vAlign w:val="bottom"/>
            <w:hideMark/>
          </w:tcPr>
          <w:p w14:paraId="28498DC7"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260</w:t>
            </w:r>
          </w:p>
        </w:tc>
        <w:tc>
          <w:tcPr>
            <w:tcW w:w="1170" w:type="dxa"/>
            <w:vAlign w:val="bottom"/>
          </w:tcPr>
          <w:p w14:paraId="28D0E1FD"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425</w:t>
            </w:r>
          </w:p>
        </w:tc>
        <w:tc>
          <w:tcPr>
            <w:tcW w:w="1047" w:type="dxa"/>
            <w:noWrap/>
            <w:vAlign w:val="bottom"/>
            <w:hideMark/>
          </w:tcPr>
          <w:p w14:paraId="707A607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147</w:t>
            </w:r>
          </w:p>
        </w:tc>
        <w:tc>
          <w:tcPr>
            <w:tcW w:w="1329" w:type="dxa"/>
            <w:noWrap/>
            <w:vAlign w:val="bottom"/>
            <w:hideMark/>
          </w:tcPr>
          <w:p w14:paraId="21D32F2A"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309</w:t>
            </w:r>
          </w:p>
        </w:tc>
        <w:tc>
          <w:tcPr>
            <w:tcW w:w="1132" w:type="dxa"/>
            <w:vAlign w:val="bottom"/>
          </w:tcPr>
          <w:p w14:paraId="3DC51CD3"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130</w:t>
            </w:r>
          </w:p>
        </w:tc>
        <w:tc>
          <w:tcPr>
            <w:tcW w:w="1047" w:type="dxa"/>
            <w:noWrap/>
            <w:vAlign w:val="bottom"/>
            <w:hideMark/>
          </w:tcPr>
          <w:p w14:paraId="4DEF97D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172</w:t>
            </w:r>
          </w:p>
        </w:tc>
        <w:tc>
          <w:tcPr>
            <w:tcW w:w="1329" w:type="dxa"/>
            <w:noWrap/>
            <w:vAlign w:val="bottom"/>
            <w:hideMark/>
          </w:tcPr>
          <w:p w14:paraId="7BA07D4C"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347</w:t>
            </w:r>
          </w:p>
        </w:tc>
        <w:tc>
          <w:tcPr>
            <w:tcW w:w="1096" w:type="dxa"/>
            <w:vAlign w:val="bottom"/>
          </w:tcPr>
          <w:p w14:paraId="56F3D248"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146</w:t>
            </w:r>
          </w:p>
        </w:tc>
      </w:tr>
      <w:tr w:rsidR="006E0433" w:rsidRPr="00177412" w14:paraId="3875E9EE" w14:textId="77777777" w:rsidTr="00781BD2">
        <w:trPr>
          <w:trHeight w:val="286"/>
          <w:jc w:val="center"/>
        </w:trPr>
        <w:tc>
          <w:tcPr>
            <w:tcW w:w="1129" w:type="dxa"/>
            <w:noWrap/>
            <w:vAlign w:val="bottom"/>
            <w:hideMark/>
          </w:tcPr>
          <w:p w14:paraId="6ABA1E3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340</w:t>
            </w:r>
          </w:p>
        </w:tc>
        <w:tc>
          <w:tcPr>
            <w:tcW w:w="1207" w:type="dxa"/>
            <w:noWrap/>
            <w:vAlign w:val="bottom"/>
            <w:hideMark/>
          </w:tcPr>
          <w:p w14:paraId="01259A78"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270</w:t>
            </w:r>
          </w:p>
        </w:tc>
        <w:tc>
          <w:tcPr>
            <w:tcW w:w="1170" w:type="dxa"/>
            <w:vAlign w:val="bottom"/>
          </w:tcPr>
          <w:p w14:paraId="1AA39E73"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450</w:t>
            </w:r>
          </w:p>
        </w:tc>
        <w:tc>
          <w:tcPr>
            <w:tcW w:w="1047" w:type="dxa"/>
            <w:noWrap/>
            <w:vAlign w:val="bottom"/>
            <w:hideMark/>
          </w:tcPr>
          <w:p w14:paraId="120265B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142</w:t>
            </w:r>
          </w:p>
        </w:tc>
        <w:tc>
          <w:tcPr>
            <w:tcW w:w="1329" w:type="dxa"/>
            <w:noWrap/>
            <w:vAlign w:val="bottom"/>
            <w:hideMark/>
          </w:tcPr>
          <w:p w14:paraId="0105DF57"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304</w:t>
            </w:r>
          </w:p>
        </w:tc>
        <w:tc>
          <w:tcPr>
            <w:tcW w:w="1132" w:type="dxa"/>
            <w:vAlign w:val="bottom"/>
          </w:tcPr>
          <w:p w14:paraId="5955B601"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124</w:t>
            </w:r>
          </w:p>
        </w:tc>
        <w:tc>
          <w:tcPr>
            <w:tcW w:w="1047" w:type="dxa"/>
            <w:noWrap/>
            <w:vAlign w:val="bottom"/>
            <w:hideMark/>
          </w:tcPr>
          <w:p w14:paraId="483418B2"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167</w:t>
            </w:r>
          </w:p>
        </w:tc>
        <w:tc>
          <w:tcPr>
            <w:tcW w:w="1329" w:type="dxa"/>
            <w:noWrap/>
            <w:vAlign w:val="bottom"/>
            <w:hideMark/>
          </w:tcPr>
          <w:p w14:paraId="11A44793"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342</w:t>
            </w:r>
          </w:p>
        </w:tc>
        <w:tc>
          <w:tcPr>
            <w:tcW w:w="1096" w:type="dxa"/>
            <w:vAlign w:val="bottom"/>
          </w:tcPr>
          <w:p w14:paraId="665A7CE2"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140</w:t>
            </w:r>
          </w:p>
        </w:tc>
      </w:tr>
      <w:tr w:rsidR="006E0433" w:rsidRPr="00177412" w14:paraId="7CFE1BAF" w14:textId="77777777" w:rsidTr="00781BD2">
        <w:trPr>
          <w:trHeight w:val="286"/>
          <w:jc w:val="center"/>
        </w:trPr>
        <w:tc>
          <w:tcPr>
            <w:tcW w:w="1129" w:type="dxa"/>
            <w:noWrap/>
            <w:vAlign w:val="bottom"/>
            <w:hideMark/>
          </w:tcPr>
          <w:p w14:paraId="1E9C24A8"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360</w:t>
            </w:r>
          </w:p>
        </w:tc>
        <w:tc>
          <w:tcPr>
            <w:tcW w:w="1207" w:type="dxa"/>
            <w:noWrap/>
            <w:vAlign w:val="bottom"/>
            <w:hideMark/>
          </w:tcPr>
          <w:p w14:paraId="673708A9"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280</w:t>
            </w:r>
          </w:p>
        </w:tc>
        <w:tc>
          <w:tcPr>
            <w:tcW w:w="1170" w:type="dxa"/>
            <w:vAlign w:val="bottom"/>
          </w:tcPr>
          <w:p w14:paraId="45542E1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475</w:t>
            </w:r>
          </w:p>
        </w:tc>
        <w:tc>
          <w:tcPr>
            <w:tcW w:w="1047" w:type="dxa"/>
            <w:noWrap/>
            <w:vAlign w:val="bottom"/>
            <w:hideMark/>
          </w:tcPr>
          <w:p w14:paraId="4979C588"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138</w:t>
            </w:r>
          </w:p>
        </w:tc>
        <w:tc>
          <w:tcPr>
            <w:tcW w:w="1329" w:type="dxa"/>
            <w:noWrap/>
            <w:vAlign w:val="bottom"/>
            <w:hideMark/>
          </w:tcPr>
          <w:p w14:paraId="5F9BD8AF"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298</w:t>
            </w:r>
          </w:p>
        </w:tc>
        <w:tc>
          <w:tcPr>
            <w:tcW w:w="1132" w:type="dxa"/>
            <w:vAlign w:val="bottom"/>
          </w:tcPr>
          <w:p w14:paraId="78D48916"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118</w:t>
            </w:r>
          </w:p>
        </w:tc>
        <w:tc>
          <w:tcPr>
            <w:tcW w:w="1047" w:type="dxa"/>
            <w:noWrap/>
            <w:vAlign w:val="bottom"/>
            <w:hideMark/>
          </w:tcPr>
          <w:p w14:paraId="0C9C1731"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162</w:t>
            </w:r>
          </w:p>
        </w:tc>
        <w:tc>
          <w:tcPr>
            <w:tcW w:w="1329" w:type="dxa"/>
            <w:noWrap/>
            <w:vAlign w:val="bottom"/>
            <w:hideMark/>
          </w:tcPr>
          <w:p w14:paraId="5B327290"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336</w:t>
            </w:r>
          </w:p>
        </w:tc>
        <w:tc>
          <w:tcPr>
            <w:tcW w:w="1096" w:type="dxa"/>
            <w:vAlign w:val="bottom"/>
          </w:tcPr>
          <w:p w14:paraId="3961EE42"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133</w:t>
            </w:r>
          </w:p>
        </w:tc>
      </w:tr>
      <w:tr w:rsidR="006E0433" w:rsidRPr="00177412" w14:paraId="4BE44AC9" w14:textId="77777777" w:rsidTr="00781BD2">
        <w:trPr>
          <w:trHeight w:val="286"/>
          <w:jc w:val="center"/>
        </w:trPr>
        <w:tc>
          <w:tcPr>
            <w:tcW w:w="1129" w:type="dxa"/>
            <w:noWrap/>
            <w:vAlign w:val="bottom"/>
            <w:hideMark/>
          </w:tcPr>
          <w:p w14:paraId="3B79143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380</w:t>
            </w:r>
          </w:p>
        </w:tc>
        <w:tc>
          <w:tcPr>
            <w:tcW w:w="1207" w:type="dxa"/>
            <w:noWrap/>
            <w:vAlign w:val="bottom"/>
            <w:hideMark/>
          </w:tcPr>
          <w:p w14:paraId="2F0A582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290</w:t>
            </w:r>
          </w:p>
        </w:tc>
        <w:tc>
          <w:tcPr>
            <w:tcW w:w="1170" w:type="dxa"/>
            <w:vAlign w:val="bottom"/>
          </w:tcPr>
          <w:p w14:paraId="3AE5A564"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500</w:t>
            </w:r>
          </w:p>
        </w:tc>
        <w:tc>
          <w:tcPr>
            <w:tcW w:w="1047" w:type="dxa"/>
            <w:noWrap/>
            <w:vAlign w:val="bottom"/>
            <w:hideMark/>
          </w:tcPr>
          <w:p w14:paraId="1706CE83"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133</w:t>
            </w:r>
          </w:p>
        </w:tc>
        <w:tc>
          <w:tcPr>
            <w:tcW w:w="1329" w:type="dxa"/>
            <w:noWrap/>
            <w:vAlign w:val="bottom"/>
            <w:hideMark/>
          </w:tcPr>
          <w:p w14:paraId="7B2D419E"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293</w:t>
            </w:r>
          </w:p>
        </w:tc>
        <w:tc>
          <w:tcPr>
            <w:tcW w:w="1132" w:type="dxa"/>
            <w:vAlign w:val="bottom"/>
          </w:tcPr>
          <w:p w14:paraId="123B35EC"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111</w:t>
            </w:r>
          </w:p>
        </w:tc>
        <w:tc>
          <w:tcPr>
            <w:tcW w:w="1047" w:type="dxa"/>
            <w:noWrap/>
            <w:vAlign w:val="bottom"/>
            <w:hideMark/>
          </w:tcPr>
          <w:p w14:paraId="04906B64"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157</w:t>
            </w:r>
          </w:p>
        </w:tc>
        <w:tc>
          <w:tcPr>
            <w:tcW w:w="1329" w:type="dxa"/>
            <w:noWrap/>
            <w:vAlign w:val="bottom"/>
            <w:hideMark/>
          </w:tcPr>
          <w:p w14:paraId="337487D6"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331</w:t>
            </w:r>
          </w:p>
        </w:tc>
        <w:tc>
          <w:tcPr>
            <w:tcW w:w="1096" w:type="dxa"/>
            <w:vAlign w:val="bottom"/>
          </w:tcPr>
          <w:p w14:paraId="188BF28A"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127</w:t>
            </w:r>
          </w:p>
        </w:tc>
      </w:tr>
      <w:tr w:rsidR="006E0433" w:rsidRPr="00177412" w14:paraId="6A768EC0" w14:textId="77777777" w:rsidTr="00781BD2">
        <w:trPr>
          <w:trHeight w:val="286"/>
          <w:jc w:val="center"/>
        </w:trPr>
        <w:tc>
          <w:tcPr>
            <w:tcW w:w="1129" w:type="dxa"/>
            <w:noWrap/>
            <w:vAlign w:val="bottom"/>
            <w:hideMark/>
          </w:tcPr>
          <w:p w14:paraId="1015D2C5"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400</w:t>
            </w:r>
          </w:p>
        </w:tc>
        <w:tc>
          <w:tcPr>
            <w:tcW w:w="1207" w:type="dxa"/>
            <w:noWrap/>
            <w:vAlign w:val="bottom"/>
            <w:hideMark/>
          </w:tcPr>
          <w:p w14:paraId="30438990"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300</w:t>
            </w:r>
          </w:p>
        </w:tc>
        <w:tc>
          <w:tcPr>
            <w:tcW w:w="1170" w:type="dxa"/>
            <w:vAlign w:val="bottom"/>
          </w:tcPr>
          <w:p w14:paraId="2A01236B"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525</w:t>
            </w:r>
          </w:p>
        </w:tc>
        <w:tc>
          <w:tcPr>
            <w:tcW w:w="1047" w:type="dxa"/>
            <w:noWrap/>
            <w:vAlign w:val="bottom"/>
            <w:hideMark/>
          </w:tcPr>
          <w:p w14:paraId="08B88C00"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128</w:t>
            </w:r>
          </w:p>
        </w:tc>
        <w:tc>
          <w:tcPr>
            <w:tcW w:w="1329" w:type="dxa"/>
            <w:noWrap/>
            <w:vAlign w:val="bottom"/>
            <w:hideMark/>
          </w:tcPr>
          <w:p w14:paraId="2ADFA475"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287</w:t>
            </w:r>
          </w:p>
        </w:tc>
        <w:tc>
          <w:tcPr>
            <w:tcW w:w="1132" w:type="dxa"/>
            <w:vAlign w:val="bottom"/>
          </w:tcPr>
          <w:p w14:paraId="60B4E8C7"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105</w:t>
            </w:r>
          </w:p>
        </w:tc>
        <w:tc>
          <w:tcPr>
            <w:tcW w:w="1047" w:type="dxa"/>
            <w:noWrap/>
            <w:vAlign w:val="bottom"/>
            <w:hideMark/>
          </w:tcPr>
          <w:p w14:paraId="1753170D"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153</w:t>
            </w:r>
          </w:p>
        </w:tc>
        <w:tc>
          <w:tcPr>
            <w:tcW w:w="1329" w:type="dxa"/>
            <w:noWrap/>
            <w:vAlign w:val="bottom"/>
            <w:hideMark/>
          </w:tcPr>
          <w:p w14:paraId="69A811C1" w14:textId="77777777" w:rsidR="006E0433" w:rsidRPr="00EA4F6A" w:rsidRDefault="006E0433" w:rsidP="00781BD2">
            <w:pPr>
              <w:spacing w:after="0" w:line="240" w:lineRule="auto"/>
              <w:jc w:val="center"/>
              <w:rPr>
                <w:rFonts w:ascii="Times New Roman" w:eastAsia="Times New Roman" w:hAnsi="Times New Roman"/>
                <w:color w:val="000000"/>
                <w:lang w:val="en-US"/>
              </w:rPr>
            </w:pPr>
            <w:r w:rsidRPr="00EA4F6A">
              <w:rPr>
                <w:rFonts w:ascii="Times New Roman" w:eastAsia="Times New Roman" w:hAnsi="Times New Roman"/>
                <w:color w:val="000000"/>
                <w:lang w:val="en-US"/>
              </w:rPr>
              <w:t>325</w:t>
            </w:r>
          </w:p>
        </w:tc>
        <w:tc>
          <w:tcPr>
            <w:tcW w:w="1096" w:type="dxa"/>
            <w:vAlign w:val="bottom"/>
          </w:tcPr>
          <w:p w14:paraId="6FBE169E" w14:textId="77777777" w:rsidR="006E0433" w:rsidRPr="00177412" w:rsidRDefault="006E0433" w:rsidP="00781BD2">
            <w:pPr>
              <w:spacing w:after="0" w:line="240" w:lineRule="auto"/>
              <w:jc w:val="center"/>
              <w:rPr>
                <w:rFonts w:ascii="Times New Roman" w:eastAsia="Times New Roman" w:hAnsi="Times New Roman"/>
                <w:color w:val="000000"/>
                <w:lang w:val="en-US"/>
              </w:rPr>
            </w:pPr>
            <w:r w:rsidRPr="00177412">
              <w:rPr>
                <w:rFonts w:ascii="Times New Roman" w:hAnsi="Times New Roman"/>
                <w:color w:val="000000"/>
              </w:rPr>
              <w:t>121</w:t>
            </w:r>
          </w:p>
        </w:tc>
      </w:tr>
    </w:tbl>
    <w:p w14:paraId="6B246190" w14:textId="77777777" w:rsidR="006E0433" w:rsidRDefault="006E0433" w:rsidP="00B163B2">
      <w:pPr>
        <w:spacing w:before="120" w:after="0" w:line="360" w:lineRule="auto"/>
        <w:ind w:firstLine="720"/>
        <w:jc w:val="both"/>
        <w:rPr>
          <w:rFonts w:ascii="Times New Roman" w:hAnsi="Times New Roman"/>
          <w:bCs/>
          <w:color w:val="000000" w:themeColor="text1"/>
        </w:rPr>
      </w:pPr>
    </w:p>
    <w:p w14:paraId="2931D3E7" w14:textId="354FF2CC" w:rsidR="00CB5DA2" w:rsidRDefault="00AA53B0" w:rsidP="00B163B2">
      <w:pPr>
        <w:spacing w:before="120" w:after="0" w:line="360" w:lineRule="auto"/>
        <w:ind w:firstLine="720"/>
        <w:jc w:val="both"/>
        <w:rPr>
          <w:rFonts w:ascii="Times New Roman" w:hAnsi="Times New Roman"/>
          <w:bCs/>
          <w:color w:val="000000" w:themeColor="text1"/>
        </w:rPr>
      </w:pPr>
      <w:r w:rsidRPr="00AA53B0">
        <w:rPr>
          <w:rFonts w:ascii="Times New Roman" w:hAnsi="Times New Roman"/>
          <w:bCs/>
          <w:color w:val="000000" w:themeColor="text1"/>
        </w:rPr>
        <w:t xml:space="preserve">The derived fertilizer dose </w:t>
      </w:r>
      <w:r w:rsidR="00B26B0B">
        <w:rPr>
          <w:rFonts w:ascii="Times New Roman" w:hAnsi="Times New Roman"/>
          <w:bCs/>
          <w:color w:val="000000" w:themeColor="text1"/>
        </w:rPr>
        <w:t xml:space="preserve">in the ready reckoner </w:t>
      </w:r>
      <w:r w:rsidRPr="00AA53B0">
        <w:rPr>
          <w:rFonts w:ascii="Times New Roman" w:hAnsi="Times New Roman"/>
          <w:bCs/>
          <w:color w:val="000000" w:themeColor="text1"/>
        </w:rPr>
        <w:t>also confirmed that the farmers of</w:t>
      </w:r>
      <w:r>
        <w:rPr>
          <w:rFonts w:ascii="Times New Roman" w:hAnsi="Times New Roman"/>
          <w:bCs/>
          <w:color w:val="000000" w:themeColor="text1"/>
        </w:rPr>
        <w:t xml:space="preserve"> </w:t>
      </w:r>
      <w:r w:rsidRPr="00AA53B0">
        <w:rPr>
          <w:rFonts w:ascii="Times New Roman" w:hAnsi="Times New Roman"/>
          <w:bCs/>
          <w:color w:val="000000" w:themeColor="text1"/>
        </w:rPr>
        <w:t>this watershed could reduce 50</w:t>
      </w:r>
      <w:r w:rsidR="007F6E60">
        <w:rPr>
          <w:rFonts w:ascii="Times New Roman" w:hAnsi="Times New Roman"/>
          <w:bCs/>
          <w:color w:val="000000" w:themeColor="text1"/>
        </w:rPr>
        <w:t xml:space="preserve"> </w:t>
      </w:r>
      <w:r w:rsidRPr="00AA53B0">
        <w:rPr>
          <w:rFonts w:ascii="Times New Roman" w:hAnsi="Times New Roman"/>
          <w:bCs/>
          <w:color w:val="000000" w:themeColor="text1"/>
        </w:rPr>
        <w:t xml:space="preserve">% of the </w:t>
      </w:r>
      <w:r w:rsidR="00A77AC4">
        <w:rPr>
          <w:rFonts w:ascii="Times New Roman" w:hAnsi="Times New Roman"/>
          <w:bCs/>
          <w:color w:val="000000" w:themeColor="text1"/>
        </w:rPr>
        <w:t>n</w:t>
      </w:r>
      <w:r w:rsidRPr="00AA53B0">
        <w:rPr>
          <w:rFonts w:ascii="Times New Roman" w:hAnsi="Times New Roman"/>
          <w:bCs/>
          <w:color w:val="000000" w:themeColor="text1"/>
        </w:rPr>
        <w:t xml:space="preserve">itrogen and phosphorus fertilizers </w:t>
      </w:r>
      <w:r w:rsidR="00A77AC4">
        <w:rPr>
          <w:rFonts w:ascii="Times New Roman" w:hAnsi="Times New Roman"/>
          <w:bCs/>
          <w:color w:val="000000" w:themeColor="text1"/>
        </w:rPr>
        <w:t>with addition of</w:t>
      </w:r>
      <w:r w:rsidR="00B26B0B">
        <w:rPr>
          <w:rFonts w:ascii="Times New Roman" w:hAnsi="Times New Roman"/>
          <w:bCs/>
          <w:color w:val="000000" w:themeColor="text1"/>
        </w:rPr>
        <w:t xml:space="preserve"> 15 t ha</w:t>
      </w:r>
      <w:r w:rsidR="00B26B0B" w:rsidRPr="00B26B0B">
        <w:rPr>
          <w:rFonts w:ascii="Times New Roman" w:hAnsi="Times New Roman"/>
          <w:bCs/>
          <w:color w:val="000000" w:themeColor="text1"/>
          <w:vertAlign w:val="superscript"/>
        </w:rPr>
        <w:t>-1</w:t>
      </w:r>
      <w:r w:rsidRPr="00AA53B0">
        <w:rPr>
          <w:rFonts w:ascii="Times New Roman" w:hAnsi="Times New Roman"/>
          <w:bCs/>
          <w:color w:val="000000" w:themeColor="text1"/>
        </w:rPr>
        <w:t xml:space="preserve"> FYM</w:t>
      </w:r>
      <w:r w:rsidR="00A77AC4">
        <w:rPr>
          <w:rFonts w:ascii="Times New Roman" w:hAnsi="Times New Roman"/>
          <w:bCs/>
          <w:color w:val="000000" w:themeColor="text1"/>
        </w:rPr>
        <w:t xml:space="preserve">. </w:t>
      </w:r>
      <w:r w:rsidR="00EC5A08">
        <w:rPr>
          <w:rFonts w:ascii="Times New Roman" w:hAnsi="Times New Roman"/>
          <w:bCs/>
          <w:color w:val="000000" w:themeColor="text1"/>
        </w:rPr>
        <w:t>T</w:t>
      </w:r>
      <w:r w:rsidRPr="00AA53B0">
        <w:rPr>
          <w:rFonts w:ascii="Times New Roman" w:hAnsi="Times New Roman"/>
          <w:bCs/>
          <w:color w:val="000000" w:themeColor="text1"/>
        </w:rPr>
        <w:t xml:space="preserve">he soil </w:t>
      </w:r>
      <w:proofErr w:type="gramStart"/>
      <w:r w:rsidRPr="00AA53B0">
        <w:rPr>
          <w:rFonts w:ascii="Times New Roman" w:hAnsi="Times New Roman"/>
          <w:bCs/>
          <w:color w:val="000000" w:themeColor="text1"/>
        </w:rPr>
        <w:t xml:space="preserve">test </w:t>
      </w:r>
      <w:r w:rsidR="00EC5A08">
        <w:rPr>
          <w:rFonts w:ascii="Times New Roman" w:hAnsi="Times New Roman"/>
          <w:bCs/>
          <w:color w:val="000000" w:themeColor="text1"/>
        </w:rPr>
        <w:t>based</w:t>
      </w:r>
      <w:proofErr w:type="gramEnd"/>
      <w:r w:rsidR="00EC5A08">
        <w:rPr>
          <w:rFonts w:ascii="Times New Roman" w:hAnsi="Times New Roman"/>
          <w:bCs/>
          <w:color w:val="000000" w:themeColor="text1"/>
        </w:rPr>
        <w:t xml:space="preserve"> fertilizer recommendation with INM helps </w:t>
      </w:r>
      <w:r w:rsidRPr="00AA53B0">
        <w:rPr>
          <w:rFonts w:ascii="Times New Roman" w:hAnsi="Times New Roman"/>
          <w:bCs/>
          <w:color w:val="000000" w:themeColor="text1"/>
        </w:rPr>
        <w:t>to obtain the maximum</w:t>
      </w:r>
      <w:r>
        <w:rPr>
          <w:rFonts w:ascii="Times New Roman" w:hAnsi="Times New Roman"/>
          <w:bCs/>
          <w:color w:val="000000" w:themeColor="text1"/>
        </w:rPr>
        <w:t xml:space="preserve"> </w:t>
      </w:r>
      <w:r w:rsidRPr="00AA53B0">
        <w:rPr>
          <w:rFonts w:ascii="Times New Roman" w:hAnsi="Times New Roman"/>
          <w:bCs/>
          <w:color w:val="000000" w:themeColor="text1"/>
        </w:rPr>
        <w:t>yield of vegetable crops.</w:t>
      </w:r>
      <w:r w:rsidR="00B163B2">
        <w:rPr>
          <w:rFonts w:ascii="Times New Roman" w:hAnsi="Times New Roman"/>
          <w:bCs/>
          <w:color w:val="000000" w:themeColor="text1"/>
        </w:rPr>
        <w:t xml:space="preserve"> </w:t>
      </w:r>
      <w:r w:rsidR="005A4030" w:rsidRPr="008C4AB4">
        <w:rPr>
          <w:rFonts w:ascii="Times New Roman" w:hAnsi="Times New Roman"/>
          <w:bCs/>
          <w:color w:val="000000" w:themeColor="text1"/>
        </w:rPr>
        <w:t>Fertilizer recommendations based on STCR equations are highly precise as it accounts both soil nutrient status and crop nutrient demand (</w:t>
      </w:r>
      <w:r w:rsidR="00345476">
        <w:rPr>
          <w:rFonts w:ascii="Times New Roman" w:hAnsi="Times New Roman"/>
          <w:bCs/>
          <w:color w:val="000000" w:themeColor="text1"/>
        </w:rPr>
        <w:t xml:space="preserve">Kasthuri </w:t>
      </w:r>
      <w:r w:rsidR="005A4030" w:rsidRPr="008C4AB4">
        <w:rPr>
          <w:rFonts w:ascii="Times New Roman" w:hAnsi="Times New Roman"/>
          <w:bCs/>
          <w:color w:val="000000" w:themeColor="text1"/>
        </w:rPr>
        <w:t xml:space="preserve">Thilagam </w:t>
      </w:r>
      <w:r w:rsidR="005A4030" w:rsidRPr="009961F0">
        <w:rPr>
          <w:rFonts w:ascii="Times New Roman" w:hAnsi="Times New Roman"/>
          <w:bCs/>
          <w:i/>
          <w:iCs/>
          <w:color w:val="000000" w:themeColor="text1"/>
        </w:rPr>
        <w:t>et al</w:t>
      </w:r>
      <w:r w:rsidR="005A4030" w:rsidRPr="008C4AB4">
        <w:rPr>
          <w:rFonts w:ascii="Times New Roman" w:hAnsi="Times New Roman"/>
          <w:bCs/>
          <w:color w:val="000000" w:themeColor="text1"/>
        </w:rPr>
        <w:t>., 2009).</w:t>
      </w:r>
      <w:r w:rsidR="005A4030">
        <w:rPr>
          <w:rFonts w:ascii="Times New Roman" w:hAnsi="Times New Roman"/>
          <w:bCs/>
          <w:color w:val="000000" w:themeColor="text1"/>
        </w:rPr>
        <w:t xml:space="preserve"> </w:t>
      </w:r>
    </w:p>
    <w:p w14:paraId="5589563C" w14:textId="0DD23CB0" w:rsidR="00D35933" w:rsidRPr="00073E17" w:rsidRDefault="00073E17" w:rsidP="00073E17">
      <w:pPr>
        <w:spacing w:before="120" w:after="0" w:line="360" w:lineRule="auto"/>
        <w:jc w:val="both"/>
        <w:rPr>
          <w:rFonts w:ascii="Times New Roman" w:hAnsi="Times New Roman"/>
          <w:b/>
          <w:color w:val="000000" w:themeColor="text1"/>
        </w:rPr>
      </w:pPr>
      <w:r w:rsidRPr="00073E17">
        <w:rPr>
          <w:rFonts w:ascii="Times New Roman" w:hAnsi="Times New Roman"/>
          <w:b/>
          <w:color w:val="000000" w:themeColor="text1"/>
        </w:rPr>
        <w:t>Land use management strategy</w:t>
      </w:r>
    </w:p>
    <w:p w14:paraId="68863288" w14:textId="480264AD" w:rsidR="005A4030" w:rsidRDefault="005A4030" w:rsidP="005A4030">
      <w:pPr>
        <w:spacing w:before="120" w:after="0" w:line="360" w:lineRule="auto"/>
        <w:ind w:firstLine="720"/>
        <w:jc w:val="both"/>
        <w:rPr>
          <w:rFonts w:ascii="Times New Roman" w:hAnsi="Times New Roman"/>
          <w:bCs/>
          <w:color w:val="000000" w:themeColor="text1"/>
        </w:rPr>
      </w:pPr>
      <w:r w:rsidRPr="008C4AB4">
        <w:rPr>
          <w:rFonts w:ascii="Times New Roman" w:hAnsi="Times New Roman"/>
          <w:bCs/>
          <w:color w:val="000000" w:themeColor="text1"/>
        </w:rPr>
        <w:t xml:space="preserve">The nutrient loss from the watershed is significantly influenced by land-uses (Silva </w:t>
      </w:r>
      <w:r w:rsidRPr="009961F0">
        <w:rPr>
          <w:rFonts w:ascii="Times New Roman" w:hAnsi="Times New Roman"/>
          <w:bCs/>
          <w:i/>
          <w:iCs/>
          <w:color w:val="000000" w:themeColor="text1"/>
        </w:rPr>
        <w:t>et al</w:t>
      </w:r>
      <w:r w:rsidRPr="008C4AB4">
        <w:rPr>
          <w:rFonts w:ascii="Times New Roman" w:hAnsi="Times New Roman"/>
          <w:bCs/>
          <w:color w:val="000000" w:themeColor="text1"/>
        </w:rPr>
        <w:t xml:space="preserve">., 2015), and the nutrient management in agricultural crops is crucial in controlling nutrient loading of water resources within small watersheds (Gravelle </w:t>
      </w:r>
      <w:r w:rsidRPr="009961F0">
        <w:rPr>
          <w:rFonts w:ascii="Times New Roman" w:hAnsi="Times New Roman"/>
          <w:bCs/>
          <w:i/>
          <w:iCs/>
          <w:color w:val="000000" w:themeColor="text1"/>
        </w:rPr>
        <w:t>et al</w:t>
      </w:r>
      <w:r w:rsidRPr="008C4AB4">
        <w:rPr>
          <w:rFonts w:ascii="Times New Roman" w:hAnsi="Times New Roman"/>
          <w:bCs/>
          <w:color w:val="000000" w:themeColor="text1"/>
        </w:rPr>
        <w:t>., 200</w:t>
      </w:r>
      <w:r w:rsidR="008607FC">
        <w:rPr>
          <w:rFonts w:ascii="Times New Roman" w:hAnsi="Times New Roman"/>
          <w:bCs/>
          <w:color w:val="000000" w:themeColor="text1"/>
        </w:rPr>
        <w:t>9</w:t>
      </w:r>
      <w:r w:rsidRPr="008C4AB4">
        <w:rPr>
          <w:rFonts w:ascii="Times New Roman" w:hAnsi="Times New Roman"/>
          <w:bCs/>
          <w:color w:val="000000" w:themeColor="text1"/>
        </w:rPr>
        <w:t xml:space="preserve">). In scenario </w:t>
      </w:r>
      <w:r w:rsidR="00956994">
        <w:rPr>
          <w:rFonts w:ascii="Times New Roman" w:hAnsi="Times New Roman"/>
          <w:bCs/>
          <w:color w:val="000000" w:themeColor="text1"/>
        </w:rPr>
        <w:t>4</w:t>
      </w:r>
      <w:r w:rsidRPr="008C4AB4">
        <w:rPr>
          <w:rFonts w:ascii="Times New Roman" w:hAnsi="Times New Roman"/>
          <w:bCs/>
          <w:color w:val="000000" w:themeColor="text1"/>
        </w:rPr>
        <w:t xml:space="preserve">, soil loss was reduced to 10% due to reduced soil disturbance for agricultural practices and the higher vegetation coverage of tea plantations. The Nitrogen and phosphorus loads were also reduced to 56 and 48%, respectively. </w:t>
      </w:r>
      <w:r>
        <w:rPr>
          <w:rFonts w:ascii="Times New Roman" w:hAnsi="Times New Roman"/>
          <w:bCs/>
          <w:color w:val="000000" w:themeColor="text1"/>
        </w:rPr>
        <w:t>Though n</w:t>
      </w:r>
      <w:r w:rsidRPr="004150B7">
        <w:rPr>
          <w:rFonts w:ascii="Times New Roman" w:hAnsi="Times New Roman"/>
          <w:bCs/>
          <w:color w:val="000000" w:themeColor="text1"/>
        </w:rPr>
        <w:t xml:space="preserve">utrient management </w:t>
      </w:r>
      <w:r>
        <w:rPr>
          <w:rFonts w:ascii="Times New Roman" w:hAnsi="Times New Roman"/>
          <w:bCs/>
          <w:color w:val="000000" w:themeColor="text1"/>
        </w:rPr>
        <w:t xml:space="preserve">practice </w:t>
      </w:r>
      <w:r w:rsidRPr="004150B7">
        <w:rPr>
          <w:rFonts w:ascii="Times New Roman" w:hAnsi="Times New Roman"/>
          <w:bCs/>
          <w:color w:val="000000" w:themeColor="text1"/>
        </w:rPr>
        <w:t xml:space="preserve">results in fair nutrient loss reduction, it may not </w:t>
      </w:r>
      <w:r>
        <w:rPr>
          <w:rFonts w:ascii="Times New Roman" w:hAnsi="Times New Roman"/>
          <w:bCs/>
          <w:color w:val="000000" w:themeColor="text1"/>
        </w:rPr>
        <w:t>reduce</w:t>
      </w:r>
      <w:r w:rsidRPr="004150B7">
        <w:rPr>
          <w:rFonts w:ascii="Times New Roman" w:hAnsi="Times New Roman"/>
          <w:bCs/>
          <w:color w:val="000000" w:themeColor="text1"/>
        </w:rPr>
        <w:t xml:space="preserve"> soil loss. Hence combining </w:t>
      </w:r>
      <w:r w:rsidRPr="004150B7">
        <w:rPr>
          <w:rFonts w:ascii="Times New Roman" w:hAnsi="Times New Roman"/>
          <w:bCs/>
          <w:color w:val="000000" w:themeColor="text1"/>
        </w:rPr>
        <w:lastRenderedPageBreak/>
        <w:t xml:space="preserve">both </w:t>
      </w:r>
      <w:r w:rsidRPr="0034093C">
        <w:rPr>
          <w:rFonts w:ascii="Times New Roman" w:hAnsi="Times New Roman"/>
          <w:bCs/>
        </w:rPr>
        <w:t>the nutrient management and land use change scenarios will have higher impact on reducing nutrient loss (</w:t>
      </w:r>
      <w:proofErr w:type="gramStart"/>
      <w:r w:rsidR="0034093C" w:rsidRPr="0034093C">
        <w:rPr>
          <w:rFonts w:ascii="Times New Roman" w:hAnsi="Times New Roman"/>
          <w:bCs/>
        </w:rPr>
        <w:t xml:space="preserve">Pathak </w:t>
      </w:r>
      <w:r w:rsidRPr="0034093C">
        <w:rPr>
          <w:rFonts w:ascii="Times New Roman" w:hAnsi="Times New Roman"/>
          <w:bCs/>
        </w:rPr>
        <w:t xml:space="preserve"> </w:t>
      </w:r>
      <w:r w:rsidRPr="0034093C">
        <w:rPr>
          <w:rFonts w:ascii="Times New Roman" w:hAnsi="Times New Roman"/>
          <w:bCs/>
          <w:i/>
          <w:iCs/>
        </w:rPr>
        <w:t>et al.</w:t>
      </w:r>
      <w:proofErr w:type="gramEnd"/>
      <w:r w:rsidRPr="0034093C">
        <w:rPr>
          <w:rFonts w:ascii="Times New Roman" w:hAnsi="Times New Roman"/>
          <w:bCs/>
          <w:i/>
          <w:iCs/>
        </w:rPr>
        <w:t>,</w:t>
      </w:r>
      <w:r w:rsidRPr="0034093C">
        <w:rPr>
          <w:rFonts w:ascii="Times New Roman" w:hAnsi="Times New Roman"/>
          <w:bCs/>
        </w:rPr>
        <w:t xml:space="preserve"> 202</w:t>
      </w:r>
      <w:r w:rsidR="0034093C" w:rsidRPr="0034093C">
        <w:rPr>
          <w:rFonts w:ascii="Times New Roman" w:hAnsi="Times New Roman"/>
          <w:bCs/>
        </w:rPr>
        <w:t>5</w:t>
      </w:r>
      <w:r w:rsidRPr="0034093C">
        <w:rPr>
          <w:rFonts w:ascii="Times New Roman" w:hAnsi="Times New Roman"/>
          <w:bCs/>
        </w:rPr>
        <w:t xml:space="preserve">). Reducing the land under agriculture and optimizing the fertilizer dose may further help to reduce soil and nutrient loss (Yusof </w:t>
      </w:r>
      <w:r w:rsidRPr="0034093C">
        <w:rPr>
          <w:rFonts w:ascii="Times New Roman" w:hAnsi="Times New Roman"/>
          <w:bCs/>
          <w:i/>
          <w:iCs/>
        </w:rPr>
        <w:t xml:space="preserve">et </w:t>
      </w:r>
      <w:r w:rsidRPr="009961F0">
        <w:rPr>
          <w:rFonts w:ascii="Times New Roman" w:hAnsi="Times New Roman"/>
          <w:bCs/>
          <w:i/>
          <w:iCs/>
          <w:color w:val="000000" w:themeColor="text1"/>
        </w:rPr>
        <w:t>al</w:t>
      </w:r>
      <w:r w:rsidRPr="008C4AB4">
        <w:rPr>
          <w:rFonts w:ascii="Times New Roman" w:hAnsi="Times New Roman"/>
          <w:bCs/>
          <w:color w:val="000000" w:themeColor="text1"/>
        </w:rPr>
        <w:t xml:space="preserve">., 2019). </w:t>
      </w:r>
    </w:p>
    <w:p w14:paraId="0136B642" w14:textId="1081B849" w:rsidR="005B66E6" w:rsidRPr="003F0626" w:rsidRDefault="005B66E6" w:rsidP="00FA69E4">
      <w:pPr>
        <w:spacing w:after="0" w:line="360" w:lineRule="auto"/>
        <w:jc w:val="both"/>
        <w:rPr>
          <w:rFonts w:ascii="Times New Roman" w:hAnsi="Times New Roman"/>
          <w:b/>
        </w:rPr>
      </w:pPr>
      <w:r w:rsidRPr="003F0626">
        <w:rPr>
          <w:rFonts w:ascii="Times New Roman" w:hAnsi="Times New Roman"/>
          <w:b/>
        </w:rPr>
        <w:t xml:space="preserve">Potential Soil and Water Conservation Measures </w:t>
      </w:r>
    </w:p>
    <w:p w14:paraId="6202C45E" w14:textId="77777777" w:rsidR="00B94141" w:rsidRDefault="005B66E6" w:rsidP="00FA69E4">
      <w:pPr>
        <w:spacing w:after="0" w:line="360" w:lineRule="auto"/>
        <w:ind w:firstLine="720"/>
        <w:jc w:val="both"/>
        <w:rPr>
          <w:rFonts w:ascii="Times New Roman" w:hAnsi="Times New Roman"/>
          <w:bCs/>
          <w:color w:val="000000" w:themeColor="text1"/>
        </w:rPr>
      </w:pPr>
      <w:r w:rsidRPr="008C4AB4">
        <w:rPr>
          <w:rFonts w:ascii="Times New Roman" w:hAnsi="Times New Roman"/>
          <w:bCs/>
          <w:color w:val="000000" w:themeColor="text1"/>
        </w:rPr>
        <w:t xml:space="preserve">Scientific planning and implementation of conservation measures in watersheds leads to achieve potential benefits with sustainability (Manivannan </w:t>
      </w:r>
      <w:r w:rsidRPr="009961F0">
        <w:rPr>
          <w:rFonts w:ascii="Times New Roman" w:hAnsi="Times New Roman"/>
          <w:bCs/>
          <w:i/>
          <w:iCs/>
          <w:color w:val="000000" w:themeColor="text1"/>
        </w:rPr>
        <w:t>et al</w:t>
      </w:r>
      <w:r w:rsidRPr="008C4AB4">
        <w:rPr>
          <w:rFonts w:ascii="Times New Roman" w:hAnsi="Times New Roman"/>
          <w:bCs/>
          <w:color w:val="000000" w:themeColor="text1"/>
        </w:rPr>
        <w:t>., 2017). Doza et al. (2025) highlighted the that localized interventions can significantly reduce the nutrient losses, whereas the management strategies implemented at watershed level will address the further nutrient loss from the whole watershed (</w:t>
      </w:r>
      <w:proofErr w:type="spellStart"/>
      <w:r w:rsidRPr="008C4AB4">
        <w:rPr>
          <w:rFonts w:ascii="Times New Roman" w:hAnsi="Times New Roman"/>
          <w:bCs/>
          <w:color w:val="000000" w:themeColor="text1"/>
        </w:rPr>
        <w:t>Moriasi</w:t>
      </w:r>
      <w:proofErr w:type="spellEnd"/>
      <w:r w:rsidRPr="008C4AB4">
        <w:rPr>
          <w:rFonts w:ascii="Times New Roman" w:hAnsi="Times New Roman"/>
          <w:bCs/>
          <w:color w:val="000000" w:themeColor="text1"/>
        </w:rPr>
        <w:t xml:space="preserve"> </w:t>
      </w:r>
      <w:r w:rsidRPr="009961F0">
        <w:rPr>
          <w:rFonts w:ascii="Times New Roman" w:hAnsi="Times New Roman"/>
          <w:bCs/>
          <w:i/>
          <w:iCs/>
          <w:color w:val="000000" w:themeColor="text1"/>
        </w:rPr>
        <w:t>et al</w:t>
      </w:r>
      <w:r w:rsidRPr="008C4AB4">
        <w:rPr>
          <w:rFonts w:ascii="Times New Roman" w:hAnsi="Times New Roman"/>
          <w:bCs/>
          <w:color w:val="000000" w:themeColor="text1"/>
        </w:rPr>
        <w:t>., 2020)</w:t>
      </w:r>
      <w:r>
        <w:rPr>
          <w:rFonts w:ascii="Times New Roman" w:hAnsi="Times New Roman"/>
          <w:bCs/>
          <w:color w:val="000000" w:themeColor="text1"/>
        </w:rPr>
        <w:t xml:space="preserve">. </w:t>
      </w:r>
      <w:r w:rsidRPr="003F0626">
        <w:rPr>
          <w:rFonts w:ascii="Times New Roman" w:hAnsi="Times New Roman"/>
          <w:bCs/>
          <w:color w:val="000000" w:themeColor="text1"/>
        </w:rPr>
        <w:t xml:space="preserve">Construction of temporary structures like loose boulders and brushwood check dams in the first order streams with the locally available materials is economical as the waterflow is very minimum. Semipermanent structures like Gabion check dams are recommended in the second and third order streams to reduce erosion. Whereas, in the fourth and fifth order streams, RR masonry check dams are recommended to manage the heavy water flow. However, the agricultural lands near the higher order streams still face frequent flooding issues during heavy rains. Considering the risk, rubber or flexi check dams are advocated. These flexi dams, with the inflation and deflation capacity can be effectively deployed for flood mitigation and erosion control. The </w:t>
      </w:r>
      <w:r w:rsidR="00B94141">
        <w:rPr>
          <w:rFonts w:ascii="Times New Roman" w:hAnsi="Times New Roman"/>
          <w:bCs/>
          <w:color w:val="000000" w:themeColor="text1"/>
        </w:rPr>
        <w:t>study</w:t>
      </w:r>
      <w:r w:rsidRPr="003F0626">
        <w:rPr>
          <w:rFonts w:ascii="Times New Roman" w:hAnsi="Times New Roman"/>
          <w:bCs/>
          <w:color w:val="000000" w:themeColor="text1"/>
        </w:rPr>
        <w:t xml:space="preserve"> showed </w:t>
      </w:r>
      <w:r w:rsidR="00B94141">
        <w:rPr>
          <w:rFonts w:ascii="Times New Roman" w:hAnsi="Times New Roman"/>
          <w:bCs/>
          <w:color w:val="000000" w:themeColor="text1"/>
        </w:rPr>
        <w:t xml:space="preserve">that </w:t>
      </w:r>
      <w:r w:rsidRPr="003F0626">
        <w:rPr>
          <w:rFonts w:ascii="Times New Roman" w:hAnsi="Times New Roman"/>
          <w:bCs/>
          <w:color w:val="000000" w:themeColor="text1"/>
        </w:rPr>
        <w:t xml:space="preserve">the </w:t>
      </w:r>
      <w:r w:rsidR="00B94141">
        <w:rPr>
          <w:rFonts w:ascii="Times New Roman" w:hAnsi="Times New Roman"/>
          <w:bCs/>
          <w:color w:val="000000" w:themeColor="text1"/>
        </w:rPr>
        <w:t xml:space="preserve">watershed has </w:t>
      </w:r>
      <w:r w:rsidRPr="003F0626">
        <w:rPr>
          <w:rFonts w:ascii="Times New Roman" w:hAnsi="Times New Roman"/>
          <w:bCs/>
          <w:color w:val="000000" w:themeColor="text1"/>
        </w:rPr>
        <w:t xml:space="preserve">potential for microscale water harvesting structures like farm ponds, lined farm ponds in the agricultural fields and percolation ponds for ground water recharge in common lands. </w:t>
      </w:r>
    </w:p>
    <w:p w14:paraId="330CBC44" w14:textId="22C430E9" w:rsidR="00B94141" w:rsidRDefault="0003164D" w:rsidP="006105CA">
      <w:pPr>
        <w:spacing w:after="0" w:line="360" w:lineRule="auto"/>
        <w:jc w:val="both"/>
        <w:rPr>
          <w:rFonts w:ascii="Times New Roman" w:hAnsi="Times New Roman"/>
          <w:b/>
          <w:color w:val="000000" w:themeColor="text1"/>
        </w:rPr>
      </w:pPr>
      <w:r w:rsidRPr="0003164D">
        <w:rPr>
          <w:rFonts w:ascii="Times New Roman" w:hAnsi="Times New Roman"/>
          <w:b/>
          <w:color w:val="000000" w:themeColor="text1"/>
        </w:rPr>
        <w:t>Conclusion</w:t>
      </w:r>
    </w:p>
    <w:p w14:paraId="6D855DF5" w14:textId="60B1F695" w:rsidR="0003164D" w:rsidRDefault="0003164D" w:rsidP="002C2316">
      <w:pPr>
        <w:spacing w:before="120" w:after="0" w:line="360" w:lineRule="auto"/>
        <w:ind w:firstLine="720"/>
        <w:jc w:val="both"/>
        <w:rPr>
          <w:rFonts w:ascii="Times New Roman" w:hAnsi="Times New Roman"/>
          <w:bCs/>
        </w:rPr>
      </w:pPr>
      <w:r w:rsidRPr="00D9227A">
        <w:rPr>
          <w:rFonts w:ascii="Times New Roman" w:hAnsi="Times New Roman"/>
          <w:bCs/>
        </w:rPr>
        <w:t xml:space="preserve">The </w:t>
      </w:r>
      <w:r w:rsidR="002C2316">
        <w:rPr>
          <w:rFonts w:ascii="Times New Roman" w:hAnsi="Times New Roman"/>
          <w:bCs/>
        </w:rPr>
        <w:t xml:space="preserve">present </w:t>
      </w:r>
      <w:r w:rsidRPr="00D9227A">
        <w:rPr>
          <w:rFonts w:ascii="Times New Roman" w:hAnsi="Times New Roman"/>
          <w:bCs/>
        </w:rPr>
        <w:t xml:space="preserve">study brought attention to the factors influencing the soil and nutrient losses in a hilly watershed </w:t>
      </w:r>
      <w:r w:rsidR="001E35AD">
        <w:rPr>
          <w:rFonts w:ascii="Times New Roman" w:hAnsi="Times New Roman"/>
          <w:bCs/>
        </w:rPr>
        <w:t>predominantly characterized by</w:t>
      </w:r>
      <w:r w:rsidRPr="00D9227A">
        <w:rPr>
          <w:rFonts w:ascii="Times New Roman" w:hAnsi="Times New Roman"/>
          <w:bCs/>
        </w:rPr>
        <w:t xml:space="preserve"> agricultural land use. </w:t>
      </w:r>
      <w:r w:rsidR="00F63B40">
        <w:rPr>
          <w:rFonts w:ascii="Times New Roman" w:hAnsi="Times New Roman"/>
          <w:bCs/>
        </w:rPr>
        <w:t xml:space="preserve"> The NPI of the water samples collected form three different reaches indicates that the lower reach has exceeded the NPI limit and polluted especially due to Nitrogen. The land use of lower reach is dominated by agriculture and erosion and excess nutrient application lead to pollution. As per the model prediction c</w:t>
      </w:r>
      <w:r w:rsidR="00F63B40">
        <w:rPr>
          <w:rFonts w:ascii="Times New Roman" w:hAnsi="Times New Roman"/>
          <w:bCs/>
          <w:color w:val="000000" w:themeColor="text1"/>
        </w:rPr>
        <w:t xml:space="preserve">onverting 25% </w:t>
      </w:r>
      <w:r w:rsidR="00076D6A">
        <w:rPr>
          <w:rFonts w:ascii="Times New Roman" w:hAnsi="Times New Roman"/>
          <w:bCs/>
          <w:color w:val="000000" w:themeColor="text1"/>
        </w:rPr>
        <w:t>of the</w:t>
      </w:r>
      <w:r w:rsidR="00F63B40">
        <w:rPr>
          <w:rFonts w:ascii="Times New Roman" w:hAnsi="Times New Roman"/>
          <w:bCs/>
          <w:color w:val="000000" w:themeColor="text1"/>
        </w:rPr>
        <w:t xml:space="preserve"> agricultural land to plantation reduced the s</w:t>
      </w:r>
      <w:r w:rsidR="00F63B40" w:rsidRPr="008C4AB4">
        <w:rPr>
          <w:rFonts w:ascii="Times New Roman" w:hAnsi="Times New Roman"/>
          <w:bCs/>
          <w:color w:val="000000" w:themeColor="text1"/>
        </w:rPr>
        <w:t xml:space="preserve">oil </w:t>
      </w:r>
      <w:r w:rsidR="00F63B40">
        <w:rPr>
          <w:rFonts w:ascii="Times New Roman" w:hAnsi="Times New Roman"/>
          <w:bCs/>
          <w:color w:val="000000" w:themeColor="text1"/>
        </w:rPr>
        <w:t>erosion by</w:t>
      </w:r>
      <w:r w:rsidR="00F63B40" w:rsidRPr="008C4AB4">
        <w:rPr>
          <w:rFonts w:ascii="Times New Roman" w:hAnsi="Times New Roman"/>
          <w:bCs/>
          <w:color w:val="000000" w:themeColor="text1"/>
        </w:rPr>
        <w:t xml:space="preserve"> 10%. </w:t>
      </w:r>
      <w:r w:rsidR="00F63B40">
        <w:rPr>
          <w:rFonts w:ascii="Times New Roman" w:hAnsi="Times New Roman"/>
          <w:bCs/>
          <w:color w:val="000000" w:themeColor="text1"/>
        </w:rPr>
        <w:t>Furthermore, reduction of 50% of fertilizer dose from the farmers application rate reduced the</w:t>
      </w:r>
      <w:r w:rsidR="00F63B40" w:rsidRPr="008C4AB4">
        <w:rPr>
          <w:rFonts w:ascii="Times New Roman" w:hAnsi="Times New Roman"/>
          <w:bCs/>
          <w:color w:val="000000" w:themeColor="text1"/>
        </w:rPr>
        <w:t xml:space="preserve"> </w:t>
      </w:r>
      <w:r w:rsidR="008F4945">
        <w:rPr>
          <w:rFonts w:ascii="Times New Roman" w:hAnsi="Times New Roman"/>
          <w:bCs/>
          <w:color w:val="000000" w:themeColor="text1"/>
        </w:rPr>
        <w:t>n</w:t>
      </w:r>
      <w:r w:rsidR="00F63B40" w:rsidRPr="008C4AB4">
        <w:rPr>
          <w:rFonts w:ascii="Times New Roman" w:hAnsi="Times New Roman"/>
          <w:bCs/>
          <w:color w:val="000000" w:themeColor="text1"/>
        </w:rPr>
        <w:t xml:space="preserve">itrogen and phosphorus loads </w:t>
      </w:r>
      <w:r w:rsidR="008F4945">
        <w:rPr>
          <w:rFonts w:ascii="Times New Roman" w:hAnsi="Times New Roman"/>
          <w:bCs/>
          <w:color w:val="000000" w:themeColor="text1"/>
        </w:rPr>
        <w:t>by</w:t>
      </w:r>
      <w:r w:rsidR="00F63B40" w:rsidRPr="008C4AB4">
        <w:rPr>
          <w:rFonts w:ascii="Times New Roman" w:hAnsi="Times New Roman"/>
          <w:bCs/>
          <w:color w:val="000000" w:themeColor="text1"/>
        </w:rPr>
        <w:t xml:space="preserve"> 56 and 48%, respectively.</w:t>
      </w:r>
      <w:r w:rsidR="008F4945">
        <w:rPr>
          <w:rFonts w:ascii="Times New Roman" w:hAnsi="Times New Roman"/>
          <w:bCs/>
          <w:color w:val="000000" w:themeColor="text1"/>
        </w:rPr>
        <w:t xml:space="preserve"> </w:t>
      </w:r>
      <w:r w:rsidR="001E35AD">
        <w:rPr>
          <w:rFonts w:ascii="Times New Roman" w:hAnsi="Times New Roman"/>
          <w:bCs/>
        </w:rPr>
        <w:t>In such slopping lands, effective n</w:t>
      </w:r>
      <w:r w:rsidR="002C2316">
        <w:rPr>
          <w:rFonts w:ascii="Times New Roman" w:hAnsi="Times New Roman"/>
          <w:bCs/>
        </w:rPr>
        <w:t xml:space="preserve">utrient management and </w:t>
      </w:r>
      <w:r w:rsidR="001E35AD">
        <w:rPr>
          <w:rFonts w:ascii="Times New Roman" w:hAnsi="Times New Roman"/>
          <w:bCs/>
        </w:rPr>
        <w:t xml:space="preserve">appropriate </w:t>
      </w:r>
      <w:r w:rsidR="002C2316">
        <w:rPr>
          <w:rFonts w:ascii="Times New Roman" w:hAnsi="Times New Roman"/>
          <w:bCs/>
        </w:rPr>
        <w:t>land use strategies are crucial</w:t>
      </w:r>
      <w:r w:rsidR="001E35AD">
        <w:rPr>
          <w:rFonts w:ascii="Times New Roman" w:hAnsi="Times New Roman"/>
          <w:bCs/>
        </w:rPr>
        <w:t xml:space="preserve"> to mitigate </w:t>
      </w:r>
      <w:r w:rsidR="00202AC0">
        <w:rPr>
          <w:rFonts w:ascii="Times New Roman" w:hAnsi="Times New Roman"/>
          <w:bCs/>
        </w:rPr>
        <w:t>nutrient losses</w:t>
      </w:r>
      <w:r w:rsidR="002C2316">
        <w:rPr>
          <w:rFonts w:ascii="Times New Roman" w:hAnsi="Times New Roman"/>
          <w:bCs/>
        </w:rPr>
        <w:t xml:space="preserve">. </w:t>
      </w:r>
      <w:r w:rsidR="00202AC0">
        <w:rPr>
          <w:rFonts w:ascii="Times New Roman" w:hAnsi="Times New Roman"/>
          <w:bCs/>
        </w:rPr>
        <w:t xml:space="preserve">As </w:t>
      </w:r>
      <w:proofErr w:type="spellStart"/>
      <w:r w:rsidR="001E35AD">
        <w:rPr>
          <w:rFonts w:ascii="Times New Roman" w:hAnsi="Times New Roman"/>
          <w:bCs/>
        </w:rPr>
        <w:t>Sillahalla</w:t>
      </w:r>
      <w:proofErr w:type="spellEnd"/>
      <w:r w:rsidR="001E35AD">
        <w:rPr>
          <w:rFonts w:ascii="Times New Roman" w:hAnsi="Times New Roman"/>
          <w:bCs/>
        </w:rPr>
        <w:t xml:space="preserve"> </w:t>
      </w:r>
      <w:r w:rsidR="00202AC0">
        <w:rPr>
          <w:rFonts w:ascii="Times New Roman" w:hAnsi="Times New Roman"/>
          <w:bCs/>
        </w:rPr>
        <w:t>is</w:t>
      </w:r>
      <w:r w:rsidR="001E35AD">
        <w:rPr>
          <w:rFonts w:ascii="Times New Roman" w:hAnsi="Times New Roman"/>
          <w:bCs/>
        </w:rPr>
        <w:t xml:space="preserve"> an agriculture dominated watershed</w:t>
      </w:r>
      <w:r w:rsidR="001E35AD" w:rsidRPr="00D9227A">
        <w:rPr>
          <w:rFonts w:ascii="Times New Roman" w:hAnsi="Times New Roman"/>
          <w:bCs/>
        </w:rPr>
        <w:t xml:space="preserve"> </w:t>
      </w:r>
      <w:r w:rsidR="001E35AD">
        <w:rPr>
          <w:rFonts w:ascii="Times New Roman" w:hAnsi="Times New Roman"/>
          <w:bCs/>
        </w:rPr>
        <w:t xml:space="preserve">the given ready reckoner for fertiliser recommendation will be highly useful for the farmers </w:t>
      </w:r>
      <w:r w:rsidR="00202AC0">
        <w:rPr>
          <w:rFonts w:ascii="Times New Roman" w:hAnsi="Times New Roman"/>
          <w:bCs/>
        </w:rPr>
        <w:t>in</w:t>
      </w:r>
      <w:r w:rsidR="001E35AD">
        <w:rPr>
          <w:rFonts w:ascii="Times New Roman" w:hAnsi="Times New Roman"/>
          <w:bCs/>
        </w:rPr>
        <w:t xml:space="preserve"> </w:t>
      </w:r>
      <w:r w:rsidR="008A100A">
        <w:rPr>
          <w:rFonts w:ascii="Times New Roman" w:hAnsi="Times New Roman"/>
          <w:bCs/>
        </w:rPr>
        <w:t>reducing</w:t>
      </w:r>
      <w:r w:rsidR="001E35AD">
        <w:rPr>
          <w:rFonts w:ascii="Times New Roman" w:hAnsi="Times New Roman"/>
          <w:bCs/>
        </w:rPr>
        <w:t xml:space="preserve"> the water pollution </w:t>
      </w:r>
      <w:r w:rsidR="00202AC0">
        <w:rPr>
          <w:rFonts w:ascii="Times New Roman" w:hAnsi="Times New Roman"/>
          <w:bCs/>
        </w:rPr>
        <w:t>caused by</w:t>
      </w:r>
      <w:r w:rsidR="001E35AD">
        <w:rPr>
          <w:rFonts w:ascii="Times New Roman" w:hAnsi="Times New Roman"/>
          <w:bCs/>
        </w:rPr>
        <w:t xml:space="preserve"> nutrient </w:t>
      </w:r>
      <w:r w:rsidR="00202AC0">
        <w:rPr>
          <w:rFonts w:ascii="Times New Roman" w:hAnsi="Times New Roman"/>
          <w:bCs/>
        </w:rPr>
        <w:t>losses while</w:t>
      </w:r>
      <w:r w:rsidR="001E35AD">
        <w:rPr>
          <w:rFonts w:ascii="Times New Roman" w:hAnsi="Times New Roman"/>
          <w:bCs/>
        </w:rPr>
        <w:t xml:space="preserve"> sustain</w:t>
      </w:r>
      <w:r w:rsidR="00202AC0">
        <w:rPr>
          <w:rFonts w:ascii="Times New Roman" w:hAnsi="Times New Roman"/>
          <w:bCs/>
        </w:rPr>
        <w:t>ing</w:t>
      </w:r>
      <w:r w:rsidR="001E35AD">
        <w:rPr>
          <w:rFonts w:ascii="Times New Roman" w:hAnsi="Times New Roman"/>
          <w:bCs/>
        </w:rPr>
        <w:t xml:space="preserve"> soil health. </w:t>
      </w:r>
      <w:r w:rsidR="00202AC0">
        <w:rPr>
          <w:rFonts w:ascii="Times New Roman" w:hAnsi="Times New Roman"/>
          <w:bCs/>
        </w:rPr>
        <w:t>Furthermore</w:t>
      </w:r>
      <w:r w:rsidRPr="00D9227A">
        <w:rPr>
          <w:rFonts w:ascii="Times New Roman" w:hAnsi="Times New Roman"/>
          <w:bCs/>
        </w:rPr>
        <w:t xml:space="preserve">, it is </w:t>
      </w:r>
      <w:r w:rsidR="00202AC0">
        <w:rPr>
          <w:rFonts w:ascii="Times New Roman" w:hAnsi="Times New Roman"/>
          <w:bCs/>
        </w:rPr>
        <w:t>imperative that</w:t>
      </w:r>
      <w:r w:rsidRPr="00D9227A">
        <w:rPr>
          <w:rFonts w:ascii="Times New Roman" w:hAnsi="Times New Roman"/>
          <w:bCs/>
        </w:rPr>
        <w:t xml:space="preserve"> the farmers, researchers and policy makers should prioritize erosion control measures to minimize the adverse impacts of land use and their management practices on natural resources in hilly watersheds. </w:t>
      </w:r>
    </w:p>
    <w:p w14:paraId="72951C46" w14:textId="77777777" w:rsidR="0054459E" w:rsidRPr="00F63B40" w:rsidRDefault="0054459E" w:rsidP="0054459E">
      <w:pPr>
        <w:rPr>
          <w:rFonts w:ascii="Times New Roman" w:hAnsi="Times New Roman"/>
          <w:b/>
        </w:rPr>
      </w:pPr>
      <w:r w:rsidRPr="00F63B40">
        <w:rPr>
          <w:rFonts w:ascii="Times New Roman" w:hAnsi="Times New Roman"/>
          <w:b/>
        </w:rPr>
        <w:t>Disclaimer (Artificial intelligence)</w:t>
      </w:r>
    </w:p>
    <w:p w14:paraId="5D6AA177" w14:textId="77777777" w:rsidR="0054459E" w:rsidRPr="00F63B40" w:rsidRDefault="0054459E" w:rsidP="00F63B40">
      <w:pPr>
        <w:jc w:val="both"/>
        <w:rPr>
          <w:rFonts w:ascii="Times New Roman" w:hAnsi="Times New Roman"/>
          <w:bCs/>
        </w:rPr>
      </w:pPr>
      <w:r w:rsidRPr="00F63B40">
        <w:rPr>
          <w:rFonts w:ascii="Times New Roman" w:hAnsi="Times New Roman"/>
          <w:bCs/>
        </w:rPr>
        <w:lastRenderedPageBreak/>
        <w:t>Author(s) hereby declare that NO generative AI technologies such as Large Language Models (</w:t>
      </w:r>
      <w:proofErr w:type="spellStart"/>
      <w:r w:rsidRPr="00F63B40">
        <w:rPr>
          <w:rFonts w:ascii="Times New Roman" w:hAnsi="Times New Roman"/>
          <w:bCs/>
        </w:rPr>
        <w:t>ChatGPT</w:t>
      </w:r>
      <w:proofErr w:type="spellEnd"/>
      <w:r w:rsidRPr="00F63B40">
        <w:rPr>
          <w:rFonts w:ascii="Times New Roman" w:hAnsi="Times New Roman"/>
          <w:bCs/>
        </w:rPr>
        <w:t xml:space="preserve">, COPILOT, etc.) and text-to-image generators have been used during the writing or editing of this manuscript. </w:t>
      </w:r>
    </w:p>
    <w:p w14:paraId="32A42BBE" w14:textId="77777777" w:rsidR="0054459E" w:rsidRPr="00D9227A" w:rsidRDefault="0054459E" w:rsidP="002C2316">
      <w:pPr>
        <w:spacing w:before="120" w:after="0" w:line="360" w:lineRule="auto"/>
        <w:ind w:firstLine="720"/>
        <w:jc w:val="both"/>
        <w:rPr>
          <w:rFonts w:ascii="Times New Roman" w:hAnsi="Times New Roman"/>
          <w:bCs/>
        </w:rPr>
      </w:pPr>
    </w:p>
    <w:p w14:paraId="0DACB629" w14:textId="77777777" w:rsidR="00320BED" w:rsidRPr="0061440E" w:rsidRDefault="00320BED" w:rsidP="00320BED">
      <w:pPr>
        <w:jc w:val="both"/>
        <w:rPr>
          <w:rFonts w:ascii="Times New Roman" w:hAnsi="Times New Roman"/>
          <w:b/>
          <w:bCs/>
          <w:sz w:val="24"/>
          <w:szCs w:val="24"/>
        </w:rPr>
      </w:pPr>
      <w:r w:rsidRPr="0061440E">
        <w:rPr>
          <w:rFonts w:ascii="Times New Roman" w:hAnsi="Times New Roman"/>
          <w:b/>
          <w:bCs/>
          <w:sz w:val="24"/>
          <w:szCs w:val="24"/>
        </w:rPr>
        <w:t>REFERENCES</w:t>
      </w:r>
    </w:p>
    <w:p w14:paraId="5DC1F359" w14:textId="77777777" w:rsidR="00113C05" w:rsidRPr="003E590F" w:rsidRDefault="00113C05" w:rsidP="003E590F">
      <w:pPr>
        <w:pStyle w:val="ListParagraph"/>
        <w:widowControl w:val="0"/>
        <w:numPr>
          <w:ilvl w:val="0"/>
          <w:numId w:val="3"/>
        </w:numPr>
        <w:autoSpaceDE w:val="0"/>
        <w:autoSpaceDN w:val="0"/>
        <w:adjustRightInd w:val="0"/>
        <w:spacing w:after="160" w:line="360" w:lineRule="auto"/>
        <w:jc w:val="both"/>
        <w:rPr>
          <w:rFonts w:ascii="Times New Roman" w:hAnsi="Times New Roman"/>
          <w:noProof/>
          <w:sz w:val="24"/>
          <w:szCs w:val="24"/>
        </w:rPr>
      </w:pPr>
      <w:r w:rsidRPr="003E590F">
        <w:rPr>
          <w:rFonts w:ascii="Times New Roman" w:hAnsi="Times New Roman"/>
          <w:noProof/>
          <w:sz w:val="24"/>
          <w:szCs w:val="24"/>
        </w:rPr>
        <w:t>Anonymous, STCR–IPNS Technology for Various Crops and Soils of Tamil Nadu. Available online: https://tnau.ac.in/nrmgt/dept-of-soil-science-and-agricultural-chemistry-technologies-developed (accessed on 05 January 2025).</w:t>
      </w:r>
    </w:p>
    <w:p w14:paraId="74A183AE"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lang w:val="es-US"/>
        </w:rPr>
        <w:t xml:space="preserve">Ayele, G. T., </w:t>
      </w:r>
      <w:proofErr w:type="spellStart"/>
      <w:r w:rsidRPr="003E590F">
        <w:rPr>
          <w:rFonts w:ascii="Times New Roman" w:eastAsia="Times New Roman" w:hAnsi="Times New Roman"/>
          <w:sz w:val="24"/>
          <w:szCs w:val="24"/>
          <w:lang w:val="es-US"/>
        </w:rPr>
        <w:t>Kuriqi</w:t>
      </w:r>
      <w:proofErr w:type="spellEnd"/>
      <w:r w:rsidRPr="003E590F">
        <w:rPr>
          <w:rFonts w:ascii="Times New Roman" w:eastAsia="Times New Roman" w:hAnsi="Times New Roman"/>
          <w:sz w:val="24"/>
          <w:szCs w:val="24"/>
          <w:lang w:val="es-US"/>
        </w:rPr>
        <w:t xml:space="preserve">, A., </w:t>
      </w:r>
      <w:proofErr w:type="spellStart"/>
      <w:r w:rsidRPr="003E590F">
        <w:rPr>
          <w:rFonts w:ascii="Times New Roman" w:eastAsia="Times New Roman" w:hAnsi="Times New Roman"/>
          <w:sz w:val="24"/>
          <w:szCs w:val="24"/>
          <w:lang w:val="es-US"/>
        </w:rPr>
        <w:t>Jemberrie</w:t>
      </w:r>
      <w:proofErr w:type="spellEnd"/>
      <w:r w:rsidRPr="003E590F">
        <w:rPr>
          <w:rFonts w:ascii="Times New Roman" w:eastAsia="Times New Roman" w:hAnsi="Times New Roman"/>
          <w:sz w:val="24"/>
          <w:szCs w:val="24"/>
          <w:lang w:val="es-US"/>
        </w:rPr>
        <w:t xml:space="preserve">, M. A., Saia, S. M., Seka, A. M., </w:t>
      </w:r>
      <w:proofErr w:type="spellStart"/>
      <w:r w:rsidRPr="003E590F">
        <w:rPr>
          <w:rFonts w:ascii="Times New Roman" w:eastAsia="Times New Roman" w:hAnsi="Times New Roman"/>
          <w:sz w:val="24"/>
          <w:szCs w:val="24"/>
          <w:lang w:val="es-US"/>
        </w:rPr>
        <w:t>Teshale</w:t>
      </w:r>
      <w:proofErr w:type="spellEnd"/>
      <w:r w:rsidRPr="003E590F">
        <w:rPr>
          <w:rFonts w:ascii="Times New Roman" w:eastAsia="Times New Roman" w:hAnsi="Times New Roman"/>
          <w:sz w:val="24"/>
          <w:szCs w:val="24"/>
          <w:lang w:val="es-US"/>
        </w:rPr>
        <w:t xml:space="preserve">, E. Z., … </w:t>
      </w:r>
      <w:r w:rsidRPr="003E590F">
        <w:rPr>
          <w:rFonts w:ascii="Times New Roman" w:eastAsia="Times New Roman" w:hAnsi="Times New Roman"/>
          <w:sz w:val="24"/>
          <w:szCs w:val="24"/>
        </w:rPr>
        <w:t>Melesse, A. M. (2021). Sediment yield and reservoir sedimentation in highly dynamic watersheds: The case of Koga Reservoir, Ethiopia. </w:t>
      </w:r>
      <w:r w:rsidRPr="003E590F">
        <w:rPr>
          <w:rFonts w:ascii="Times New Roman" w:eastAsia="Times New Roman" w:hAnsi="Times New Roman"/>
          <w:i/>
          <w:iCs/>
          <w:sz w:val="24"/>
          <w:szCs w:val="24"/>
          <w:bdr w:val="none" w:sz="0" w:space="0" w:color="auto" w:frame="1"/>
        </w:rPr>
        <w:t>Water</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13</w:t>
      </w:r>
      <w:r w:rsidRPr="003E590F">
        <w:rPr>
          <w:rFonts w:ascii="Times New Roman" w:eastAsia="Times New Roman" w:hAnsi="Times New Roman"/>
          <w:sz w:val="24"/>
          <w:szCs w:val="24"/>
        </w:rPr>
        <w:t>(23), 3374. https//doi.org/10.3390/w13233374.</w:t>
      </w:r>
    </w:p>
    <w:p w14:paraId="7345AF0E"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Bauwe, A., Eckhardt, K.-U., &amp; Lennartz, B. (2019). Predicting dissolved reactive phosphorus in tile-drained catchments using a modified SWAT model. </w:t>
      </w:r>
      <w:r w:rsidRPr="003E590F">
        <w:rPr>
          <w:rFonts w:ascii="Times New Roman" w:eastAsia="Times New Roman" w:hAnsi="Times New Roman"/>
          <w:i/>
          <w:iCs/>
          <w:sz w:val="24"/>
          <w:szCs w:val="24"/>
          <w:bdr w:val="none" w:sz="0" w:space="0" w:color="auto" w:frame="1"/>
        </w:rPr>
        <w:t>International Journal of Ecohydrology &amp; Hydrobiology</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19</w:t>
      </w:r>
      <w:r w:rsidRPr="003E590F">
        <w:rPr>
          <w:rFonts w:ascii="Times New Roman" w:eastAsia="Times New Roman" w:hAnsi="Times New Roman"/>
          <w:sz w:val="24"/>
          <w:szCs w:val="24"/>
        </w:rPr>
        <w:t>(2), 198–209. https//doi.org/10.1016/j.ecohyd.2019.03.003.</w:t>
      </w:r>
    </w:p>
    <w:p w14:paraId="5359AE3C" w14:textId="056D3173"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lang w:val="en-US"/>
        </w:rPr>
      </w:pPr>
      <w:r w:rsidRPr="003E590F">
        <w:rPr>
          <w:rFonts w:ascii="Times New Roman" w:eastAsia="Times New Roman" w:hAnsi="Times New Roman"/>
          <w:sz w:val="24"/>
          <w:szCs w:val="24"/>
          <w:lang w:val="en-US"/>
        </w:rPr>
        <w:t xml:space="preserve">BIS (2012). </w:t>
      </w:r>
      <w:r w:rsidRPr="003E590F">
        <w:rPr>
          <w:rFonts w:ascii="Times New Roman" w:eastAsia="Times New Roman" w:hAnsi="Times New Roman"/>
          <w:i/>
          <w:iCs/>
          <w:sz w:val="24"/>
          <w:szCs w:val="24"/>
          <w:lang w:val="en-US"/>
        </w:rPr>
        <w:t>Indian Standard Drinking Water Specification (IS 10500:2012).</w:t>
      </w:r>
      <w:r w:rsidRPr="003E590F">
        <w:rPr>
          <w:rFonts w:ascii="Times New Roman" w:eastAsia="Times New Roman" w:hAnsi="Times New Roman"/>
          <w:sz w:val="24"/>
          <w:szCs w:val="24"/>
          <w:lang w:val="en-US"/>
        </w:rPr>
        <w:t xml:space="preserve"> Bureau of Indian Standards, New Delhi.</w:t>
      </w:r>
    </w:p>
    <w:p w14:paraId="327E2145"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 xml:space="preserve">Bogale, A. (2021). Morphometric analysis of a drainage basin using geographical information system in </w:t>
      </w:r>
      <w:proofErr w:type="spellStart"/>
      <w:r w:rsidRPr="003E590F">
        <w:rPr>
          <w:rFonts w:ascii="Times New Roman" w:eastAsia="Times New Roman" w:hAnsi="Times New Roman"/>
          <w:sz w:val="24"/>
          <w:szCs w:val="24"/>
        </w:rPr>
        <w:t>Gilgel</w:t>
      </w:r>
      <w:proofErr w:type="spellEnd"/>
      <w:r w:rsidRPr="003E590F">
        <w:rPr>
          <w:rFonts w:ascii="Times New Roman" w:eastAsia="Times New Roman" w:hAnsi="Times New Roman"/>
          <w:sz w:val="24"/>
          <w:szCs w:val="24"/>
        </w:rPr>
        <w:t xml:space="preserve"> </w:t>
      </w:r>
      <w:proofErr w:type="spellStart"/>
      <w:r w:rsidRPr="003E590F">
        <w:rPr>
          <w:rFonts w:ascii="Times New Roman" w:eastAsia="Times New Roman" w:hAnsi="Times New Roman"/>
          <w:sz w:val="24"/>
          <w:szCs w:val="24"/>
        </w:rPr>
        <w:t>Abay</w:t>
      </w:r>
      <w:proofErr w:type="spellEnd"/>
      <w:r w:rsidRPr="003E590F">
        <w:rPr>
          <w:rFonts w:ascii="Times New Roman" w:eastAsia="Times New Roman" w:hAnsi="Times New Roman"/>
          <w:sz w:val="24"/>
          <w:szCs w:val="24"/>
        </w:rPr>
        <w:t xml:space="preserve"> watershed, Lake Tana Basin, upper Blue Nile Basin, Ethiopia. </w:t>
      </w:r>
      <w:r w:rsidRPr="003E590F">
        <w:rPr>
          <w:rFonts w:ascii="Times New Roman" w:eastAsia="Times New Roman" w:hAnsi="Times New Roman"/>
          <w:i/>
          <w:iCs/>
          <w:sz w:val="24"/>
          <w:szCs w:val="24"/>
          <w:bdr w:val="none" w:sz="0" w:space="0" w:color="auto" w:frame="1"/>
        </w:rPr>
        <w:t>Applied Water Science</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11</w:t>
      </w:r>
      <w:r w:rsidRPr="003E590F">
        <w:rPr>
          <w:rFonts w:ascii="Times New Roman" w:eastAsia="Times New Roman" w:hAnsi="Times New Roman"/>
          <w:sz w:val="24"/>
          <w:szCs w:val="24"/>
        </w:rPr>
        <w:t xml:space="preserve">(7). </w:t>
      </w:r>
      <w:hyperlink r:id="rId9" w:history="1">
        <w:r w:rsidRPr="003E590F">
          <w:rPr>
            <w:rStyle w:val="Hyperlink"/>
            <w:rFonts w:ascii="Times New Roman" w:eastAsia="Times New Roman" w:hAnsi="Times New Roman"/>
            <w:sz w:val="24"/>
            <w:szCs w:val="24"/>
          </w:rPr>
          <w:t>https://doi.org/10.1007/s13201-021-01447-9</w:t>
        </w:r>
      </w:hyperlink>
    </w:p>
    <w:p w14:paraId="2BCF1601"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 xml:space="preserve">Doza, B.M., Yang, W., Liu, Y., </w:t>
      </w:r>
      <w:proofErr w:type="spellStart"/>
      <w:r w:rsidRPr="003E590F">
        <w:rPr>
          <w:rFonts w:ascii="Times New Roman" w:eastAsia="Times New Roman" w:hAnsi="Times New Roman"/>
          <w:sz w:val="24"/>
          <w:szCs w:val="24"/>
        </w:rPr>
        <w:t>Yerubandi</w:t>
      </w:r>
      <w:proofErr w:type="spellEnd"/>
      <w:r w:rsidRPr="003E590F">
        <w:rPr>
          <w:rFonts w:ascii="Times New Roman" w:eastAsia="Times New Roman" w:hAnsi="Times New Roman"/>
          <w:sz w:val="24"/>
          <w:szCs w:val="24"/>
        </w:rPr>
        <w:t xml:space="preserve">, R., </w:t>
      </w:r>
      <w:proofErr w:type="spellStart"/>
      <w:r w:rsidRPr="003E590F">
        <w:rPr>
          <w:rFonts w:ascii="Times New Roman" w:eastAsia="Times New Roman" w:hAnsi="Times New Roman"/>
          <w:sz w:val="24"/>
          <w:szCs w:val="24"/>
        </w:rPr>
        <w:t>Daggupati</w:t>
      </w:r>
      <w:proofErr w:type="spellEnd"/>
      <w:r w:rsidRPr="003E590F">
        <w:rPr>
          <w:rFonts w:ascii="Times New Roman" w:eastAsia="Times New Roman" w:hAnsi="Times New Roman"/>
          <w:sz w:val="24"/>
          <w:szCs w:val="24"/>
        </w:rPr>
        <w:t>, P., DeVries, B., &amp; Fraser, E. D. G. (2025). Evaluating best management practices for nutrient load reductions in tile-drained watersheds of the Laurentian Great Lakes Basin: A literature review. </w:t>
      </w:r>
      <w:r w:rsidRPr="003E590F">
        <w:rPr>
          <w:rFonts w:ascii="Times New Roman" w:eastAsia="Times New Roman" w:hAnsi="Times New Roman"/>
          <w:i/>
          <w:iCs/>
          <w:sz w:val="24"/>
          <w:szCs w:val="24"/>
          <w:bdr w:val="none" w:sz="0" w:space="0" w:color="auto" w:frame="1"/>
        </w:rPr>
        <w:t>The Science of the Total Environment</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965</w:t>
      </w:r>
      <w:r w:rsidRPr="003E590F">
        <w:rPr>
          <w:rFonts w:ascii="Times New Roman" w:eastAsia="Times New Roman" w:hAnsi="Times New Roman"/>
          <w:sz w:val="24"/>
          <w:szCs w:val="24"/>
        </w:rPr>
        <w:t xml:space="preserve">, 178657. </w:t>
      </w:r>
      <w:hyperlink r:id="rId10" w:history="1">
        <w:r w:rsidRPr="003E590F">
          <w:rPr>
            <w:rStyle w:val="Hyperlink"/>
            <w:rFonts w:ascii="Times New Roman" w:hAnsi="Times New Roman"/>
            <w:noProof/>
            <w:sz w:val="24"/>
            <w:szCs w:val="24"/>
          </w:rPr>
          <w:t>https://doi.org/10.1016/j.scitotenv.2025.178657</w:t>
        </w:r>
      </w:hyperlink>
      <w:r w:rsidRPr="003E590F">
        <w:rPr>
          <w:rFonts w:ascii="Times New Roman" w:hAnsi="Times New Roman"/>
          <w:noProof/>
          <w:sz w:val="24"/>
          <w:szCs w:val="24"/>
        </w:rPr>
        <w:t>.</w:t>
      </w:r>
    </w:p>
    <w:p w14:paraId="428BF835"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 xml:space="preserve">Gayathri, A., Vadivel, A., Santhi, R., Boopathi, P. M., &amp; Natesan, R. (2009). Soil </w:t>
      </w:r>
      <w:proofErr w:type="gramStart"/>
      <w:r w:rsidRPr="003E590F">
        <w:rPr>
          <w:rFonts w:ascii="Times New Roman" w:eastAsia="Times New Roman" w:hAnsi="Times New Roman"/>
          <w:sz w:val="24"/>
          <w:szCs w:val="24"/>
        </w:rPr>
        <w:t>test based</w:t>
      </w:r>
      <w:proofErr w:type="gramEnd"/>
      <w:r w:rsidRPr="003E590F">
        <w:rPr>
          <w:rFonts w:ascii="Times New Roman" w:eastAsia="Times New Roman" w:hAnsi="Times New Roman"/>
          <w:sz w:val="24"/>
          <w:szCs w:val="24"/>
        </w:rPr>
        <w:t xml:space="preserve"> fertilizer recommendation under integrated plant nutrition system for potato (</w:t>
      </w:r>
      <w:r w:rsidRPr="003E590F">
        <w:rPr>
          <w:rFonts w:ascii="Times New Roman" w:eastAsia="Times New Roman" w:hAnsi="Times New Roman"/>
          <w:i/>
          <w:iCs/>
          <w:sz w:val="24"/>
          <w:szCs w:val="24"/>
        </w:rPr>
        <w:t>Solanum Tuberosum</w:t>
      </w:r>
      <w:r w:rsidRPr="003E590F">
        <w:rPr>
          <w:rFonts w:ascii="Times New Roman" w:eastAsia="Times New Roman" w:hAnsi="Times New Roman"/>
          <w:sz w:val="24"/>
          <w:szCs w:val="24"/>
        </w:rPr>
        <w:t>. L) in hilly tracts of Nilgiris District. </w:t>
      </w:r>
      <w:r w:rsidRPr="003E590F">
        <w:rPr>
          <w:rFonts w:ascii="Times New Roman" w:eastAsia="Times New Roman" w:hAnsi="Times New Roman"/>
          <w:i/>
          <w:iCs/>
          <w:sz w:val="24"/>
          <w:szCs w:val="24"/>
          <w:bdr w:val="none" w:sz="0" w:space="0" w:color="auto" w:frame="1"/>
        </w:rPr>
        <w:t>Indian Journal of Agricultural Research</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43(1)</w:t>
      </w:r>
      <w:r w:rsidRPr="003E590F">
        <w:rPr>
          <w:rFonts w:ascii="Times New Roman" w:eastAsia="Times New Roman" w:hAnsi="Times New Roman"/>
          <w:sz w:val="24"/>
          <w:szCs w:val="24"/>
        </w:rPr>
        <w:t>, 52–56.</w:t>
      </w:r>
    </w:p>
    <w:p w14:paraId="0EBDECE9"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lastRenderedPageBreak/>
        <w:t>Gravelle, J. A., Ice, G., Link, T. E., &amp; Cook, D. L. (2009). Nutrient concentration dynamics in an inland Pacific Northwest watershed before and after timber harvest. </w:t>
      </w:r>
      <w:r w:rsidRPr="003E590F">
        <w:rPr>
          <w:rFonts w:ascii="Times New Roman" w:eastAsia="Times New Roman" w:hAnsi="Times New Roman"/>
          <w:i/>
          <w:iCs/>
          <w:sz w:val="24"/>
          <w:szCs w:val="24"/>
          <w:bdr w:val="none" w:sz="0" w:space="0" w:color="auto" w:frame="1"/>
        </w:rPr>
        <w:t>Forest Ecology &amp; Management</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257</w:t>
      </w:r>
      <w:r w:rsidRPr="003E590F">
        <w:rPr>
          <w:rFonts w:ascii="Times New Roman" w:eastAsia="Times New Roman" w:hAnsi="Times New Roman"/>
          <w:sz w:val="24"/>
          <w:szCs w:val="24"/>
        </w:rPr>
        <w:t>, 1663–1675.</w:t>
      </w:r>
      <w:r w:rsidRPr="003E590F">
        <w:rPr>
          <w:rFonts w:ascii="Times New Roman" w:hAnsi="Times New Roman"/>
          <w:sz w:val="24"/>
          <w:szCs w:val="24"/>
        </w:rPr>
        <w:t xml:space="preserve"> </w:t>
      </w:r>
      <w:hyperlink r:id="rId11" w:history="1">
        <w:r w:rsidRPr="003E590F">
          <w:rPr>
            <w:rStyle w:val="Hyperlink"/>
            <w:rFonts w:ascii="Times New Roman" w:eastAsia="Times New Roman" w:hAnsi="Times New Roman"/>
            <w:sz w:val="24"/>
            <w:szCs w:val="24"/>
          </w:rPr>
          <w:t>https://doi.org/10.1016/j.foreco.2009.01.017</w:t>
        </w:r>
      </w:hyperlink>
    </w:p>
    <w:p w14:paraId="27367073"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Jia, L. (2024). Soil and water management: Practices to mitigate nutrient losses in agricultural watersheds. </w:t>
      </w:r>
      <w:r w:rsidRPr="003E590F">
        <w:rPr>
          <w:rFonts w:ascii="Times New Roman" w:eastAsia="Times New Roman" w:hAnsi="Times New Roman"/>
          <w:i/>
          <w:iCs/>
          <w:sz w:val="24"/>
          <w:szCs w:val="24"/>
          <w:bdr w:val="none" w:sz="0" w:space="0" w:color="auto" w:frame="1"/>
        </w:rPr>
        <w:t>Water</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16</w:t>
      </w:r>
      <w:r w:rsidRPr="003E590F">
        <w:rPr>
          <w:rFonts w:ascii="Times New Roman" w:eastAsia="Times New Roman" w:hAnsi="Times New Roman"/>
          <w:sz w:val="24"/>
          <w:szCs w:val="24"/>
        </w:rPr>
        <w:t xml:space="preserve">(16), 2269. </w:t>
      </w:r>
      <w:hyperlink r:id="rId12" w:history="1">
        <w:r w:rsidRPr="003E590F">
          <w:rPr>
            <w:rStyle w:val="Hyperlink"/>
            <w:rFonts w:ascii="Times New Roman" w:hAnsi="Times New Roman"/>
            <w:sz w:val="24"/>
            <w:szCs w:val="24"/>
            <w:shd w:val="clear" w:color="auto" w:fill="FFFFFF"/>
          </w:rPr>
          <w:t>https://doi.org/10.3390/w16162269</w:t>
        </w:r>
      </w:hyperlink>
    </w:p>
    <w:p w14:paraId="6E84C264"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proofErr w:type="spellStart"/>
      <w:r w:rsidRPr="003E590F">
        <w:rPr>
          <w:rFonts w:ascii="Times New Roman" w:eastAsia="Times New Roman" w:hAnsi="Times New Roman"/>
          <w:sz w:val="24"/>
          <w:szCs w:val="24"/>
        </w:rPr>
        <w:t>Kasthuri</w:t>
      </w:r>
      <w:proofErr w:type="spellEnd"/>
      <w:r w:rsidRPr="003E590F">
        <w:rPr>
          <w:rFonts w:ascii="Times New Roman" w:eastAsia="Times New Roman" w:hAnsi="Times New Roman"/>
          <w:sz w:val="24"/>
          <w:szCs w:val="24"/>
        </w:rPr>
        <w:t xml:space="preserve"> </w:t>
      </w:r>
      <w:proofErr w:type="spellStart"/>
      <w:r w:rsidRPr="003E590F">
        <w:rPr>
          <w:rFonts w:ascii="Times New Roman" w:eastAsia="Times New Roman" w:hAnsi="Times New Roman"/>
          <w:sz w:val="24"/>
          <w:szCs w:val="24"/>
        </w:rPr>
        <w:t>Thilagam</w:t>
      </w:r>
      <w:proofErr w:type="spellEnd"/>
      <w:r w:rsidRPr="003E590F">
        <w:rPr>
          <w:rFonts w:ascii="Times New Roman" w:eastAsia="Times New Roman" w:hAnsi="Times New Roman"/>
          <w:sz w:val="24"/>
          <w:szCs w:val="24"/>
        </w:rPr>
        <w:t xml:space="preserve"> V, </w:t>
      </w:r>
      <w:proofErr w:type="spellStart"/>
      <w:proofErr w:type="gramStart"/>
      <w:r w:rsidRPr="003E590F">
        <w:rPr>
          <w:rFonts w:ascii="Times New Roman" w:eastAsia="Times New Roman" w:hAnsi="Times New Roman"/>
          <w:sz w:val="24"/>
          <w:szCs w:val="24"/>
        </w:rPr>
        <w:t>S.Manivannan</w:t>
      </w:r>
      <w:proofErr w:type="spellEnd"/>
      <w:proofErr w:type="gramEnd"/>
      <w:r w:rsidRPr="003E590F">
        <w:rPr>
          <w:rFonts w:ascii="Times New Roman" w:eastAsia="Times New Roman" w:hAnsi="Times New Roman"/>
          <w:sz w:val="24"/>
          <w:szCs w:val="24"/>
        </w:rPr>
        <w:t xml:space="preserve"> and </w:t>
      </w:r>
      <w:proofErr w:type="spellStart"/>
      <w:r w:rsidRPr="003E590F">
        <w:rPr>
          <w:rFonts w:ascii="Times New Roman" w:eastAsia="Times New Roman" w:hAnsi="Times New Roman"/>
          <w:sz w:val="24"/>
          <w:szCs w:val="24"/>
        </w:rPr>
        <w:t>R.Srinivasan</w:t>
      </w:r>
      <w:proofErr w:type="spellEnd"/>
      <w:r w:rsidRPr="003E590F">
        <w:rPr>
          <w:rFonts w:ascii="Times New Roman" w:eastAsia="Times New Roman" w:hAnsi="Times New Roman"/>
          <w:sz w:val="24"/>
          <w:szCs w:val="24"/>
        </w:rPr>
        <w:t xml:space="preserve"> (2024). Morphological Characterization of an Agricultural Watershed using Geospatial tools for effective Planning of Engineering Structures. Climate Change and Environmental Sustainability 2023, 11 (1): 49-56 DOI: 10.5958/2320-642X.2023.00006.</w:t>
      </w:r>
    </w:p>
    <w:p w14:paraId="762275A1"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Kasthuri Thilagam, V. &amp; Natesan, R. (2009). Fertilizer prescription equations for desired yield targets of cauliflower under integrated plant nutrient system based on targeted yield model. </w:t>
      </w:r>
      <w:r w:rsidRPr="003E590F">
        <w:rPr>
          <w:rFonts w:ascii="Times New Roman" w:eastAsia="Times New Roman" w:hAnsi="Times New Roman"/>
          <w:i/>
          <w:iCs/>
          <w:sz w:val="24"/>
          <w:szCs w:val="24"/>
          <w:bdr w:val="none" w:sz="0" w:space="0" w:color="auto" w:frame="1"/>
        </w:rPr>
        <w:t>Agriculture Science Digest</w:t>
      </w:r>
      <w:r w:rsidRPr="003E590F">
        <w:rPr>
          <w:rFonts w:ascii="Times New Roman" w:eastAsia="Times New Roman" w:hAnsi="Times New Roman"/>
          <w:sz w:val="24"/>
          <w:szCs w:val="24"/>
        </w:rPr>
        <w:t>, </w:t>
      </w:r>
      <w:r w:rsidRPr="003E590F">
        <w:rPr>
          <w:rFonts w:ascii="Times New Roman" w:eastAsia="Times New Roman" w:hAnsi="Times New Roman"/>
          <w:sz w:val="24"/>
          <w:szCs w:val="24"/>
          <w:bdr w:val="none" w:sz="0" w:space="0" w:color="auto" w:frame="1"/>
        </w:rPr>
        <w:t>29(4)</w:t>
      </w:r>
      <w:r w:rsidRPr="003E590F">
        <w:rPr>
          <w:rFonts w:ascii="Times New Roman" w:eastAsia="Times New Roman" w:hAnsi="Times New Roman"/>
          <w:sz w:val="24"/>
          <w:szCs w:val="24"/>
        </w:rPr>
        <w:t>, 250–253.</w:t>
      </w:r>
    </w:p>
    <w:p w14:paraId="230792B5" w14:textId="6F71459E"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proofErr w:type="spellStart"/>
      <w:r w:rsidRPr="003E590F">
        <w:rPr>
          <w:rFonts w:ascii="Times New Roman" w:eastAsia="Times New Roman" w:hAnsi="Times New Roman"/>
          <w:sz w:val="24"/>
          <w:szCs w:val="24"/>
        </w:rPr>
        <w:t>Kasthuri</w:t>
      </w:r>
      <w:proofErr w:type="spellEnd"/>
      <w:r w:rsidRPr="003E590F">
        <w:rPr>
          <w:rFonts w:ascii="Times New Roman" w:eastAsia="Times New Roman" w:hAnsi="Times New Roman"/>
          <w:sz w:val="24"/>
          <w:szCs w:val="24"/>
        </w:rPr>
        <w:t xml:space="preserve"> </w:t>
      </w:r>
      <w:proofErr w:type="spellStart"/>
      <w:r w:rsidRPr="003E590F">
        <w:rPr>
          <w:rFonts w:ascii="Times New Roman" w:eastAsia="Times New Roman" w:hAnsi="Times New Roman"/>
          <w:sz w:val="24"/>
          <w:szCs w:val="24"/>
        </w:rPr>
        <w:t>Thilagam</w:t>
      </w:r>
      <w:proofErr w:type="spellEnd"/>
      <w:r w:rsidRPr="003E590F">
        <w:rPr>
          <w:rFonts w:ascii="Times New Roman" w:eastAsia="Times New Roman" w:hAnsi="Times New Roman"/>
          <w:sz w:val="24"/>
          <w:szCs w:val="24"/>
        </w:rPr>
        <w:t xml:space="preserve">, V.; Manivannan, S.; </w:t>
      </w:r>
      <w:proofErr w:type="spellStart"/>
      <w:r w:rsidRPr="003E590F">
        <w:rPr>
          <w:rFonts w:ascii="Times New Roman" w:eastAsia="Times New Roman" w:hAnsi="Times New Roman"/>
          <w:sz w:val="24"/>
          <w:szCs w:val="24"/>
        </w:rPr>
        <w:t>Khola</w:t>
      </w:r>
      <w:proofErr w:type="spellEnd"/>
      <w:r w:rsidRPr="003E590F">
        <w:rPr>
          <w:rFonts w:ascii="Times New Roman" w:eastAsia="Times New Roman" w:hAnsi="Times New Roman"/>
          <w:sz w:val="24"/>
          <w:szCs w:val="24"/>
        </w:rPr>
        <w:t xml:space="preserve">, O.P.S. (2023). Deriving Land Management Practices for Reduced Nutrient Movement from an Agricultural Watershed Using the AGNPS Model. Sustainability 2023, 15 (5), 4001. </w:t>
      </w:r>
      <w:hyperlink r:id="rId13" w:history="1">
        <w:r w:rsidRPr="003E590F">
          <w:rPr>
            <w:rFonts w:ascii="Times New Roman" w:eastAsia="Times New Roman" w:hAnsi="Times New Roman"/>
            <w:sz w:val="24"/>
            <w:szCs w:val="24"/>
          </w:rPr>
          <w:t>https://doi.org/10.3390/</w:t>
        </w:r>
      </w:hyperlink>
      <w:r w:rsidRPr="003E590F">
        <w:rPr>
          <w:rFonts w:ascii="Times New Roman" w:eastAsia="Times New Roman" w:hAnsi="Times New Roman"/>
          <w:sz w:val="24"/>
          <w:szCs w:val="24"/>
        </w:rPr>
        <w:t xml:space="preserve"> su15054001. </w:t>
      </w:r>
    </w:p>
    <w:p w14:paraId="7493EEE9"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rPr>
      </w:pPr>
      <w:r w:rsidRPr="003E590F">
        <w:rPr>
          <w:rFonts w:ascii="Times New Roman" w:eastAsia="Times New Roman" w:hAnsi="Times New Roman"/>
        </w:rPr>
        <w:t xml:space="preserve">Liu, Y., Hou, X., </w:t>
      </w:r>
      <w:proofErr w:type="spellStart"/>
      <w:r w:rsidRPr="003E590F">
        <w:rPr>
          <w:rFonts w:ascii="Times New Roman" w:eastAsia="Times New Roman" w:hAnsi="Times New Roman"/>
        </w:rPr>
        <w:t>Qiao</w:t>
      </w:r>
      <w:proofErr w:type="spellEnd"/>
      <w:r w:rsidRPr="003E590F">
        <w:rPr>
          <w:rFonts w:ascii="Times New Roman" w:eastAsia="Times New Roman" w:hAnsi="Times New Roman"/>
        </w:rPr>
        <w:t xml:space="preserve">, J., Zhang, W., Fang, M., &amp; Lin, M. (2022). Evaluation of soil erosion rates in the hilly-gully region of the Loess Plateau in China in the past 60 years using global fallout plutonium. </w:t>
      </w:r>
      <w:r w:rsidRPr="003E590F">
        <w:rPr>
          <w:rFonts w:ascii="Times New Roman" w:eastAsia="Times New Roman" w:hAnsi="Times New Roman"/>
          <w:i/>
          <w:iCs/>
        </w:rPr>
        <w:t>Catena</w:t>
      </w:r>
      <w:r w:rsidRPr="003E590F">
        <w:rPr>
          <w:rFonts w:ascii="Times New Roman" w:eastAsia="Times New Roman" w:hAnsi="Times New Roman"/>
        </w:rPr>
        <w:t>, 220, 106666. https://doi.org/10.1016/j.catena.2022.106666</w:t>
      </w:r>
    </w:p>
    <w:p w14:paraId="6A415395"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proofErr w:type="spellStart"/>
      <w:r w:rsidRPr="003E590F">
        <w:rPr>
          <w:rFonts w:ascii="Times New Roman" w:eastAsia="Times New Roman" w:hAnsi="Times New Roman"/>
          <w:sz w:val="24"/>
          <w:szCs w:val="24"/>
        </w:rPr>
        <w:t>Manivannan</w:t>
      </w:r>
      <w:proofErr w:type="spellEnd"/>
      <w:r w:rsidRPr="003E590F">
        <w:rPr>
          <w:rFonts w:ascii="Times New Roman" w:eastAsia="Times New Roman" w:hAnsi="Times New Roman"/>
          <w:sz w:val="24"/>
          <w:szCs w:val="24"/>
        </w:rPr>
        <w:t>, S., Kasthuri Thilagam</w:t>
      </w:r>
      <w:proofErr w:type="gramStart"/>
      <w:r w:rsidRPr="003E590F">
        <w:rPr>
          <w:rFonts w:ascii="Times New Roman" w:eastAsia="Times New Roman" w:hAnsi="Times New Roman"/>
          <w:sz w:val="24"/>
          <w:szCs w:val="24"/>
        </w:rPr>
        <w:t>, .</w:t>
      </w:r>
      <w:proofErr w:type="gramEnd"/>
      <w:r w:rsidRPr="003E590F">
        <w:rPr>
          <w:rFonts w:ascii="Times New Roman" w:eastAsia="Times New Roman" w:hAnsi="Times New Roman"/>
          <w:sz w:val="24"/>
          <w:szCs w:val="24"/>
        </w:rPr>
        <w:t xml:space="preserve"> &amp; </w:t>
      </w:r>
      <w:proofErr w:type="spellStart"/>
      <w:r w:rsidRPr="003E590F">
        <w:rPr>
          <w:rFonts w:ascii="Times New Roman" w:eastAsia="Times New Roman" w:hAnsi="Times New Roman"/>
          <w:sz w:val="24"/>
          <w:szCs w:val="24"/>
        </w:rPr>
        <w:t>Khola</w:t>
      </w:r>
      <w:proofErr w:type="spellEnd"/>
      <w:r w:rsidRPr="003E590F">
        <w:rPr>
          <w:rFonts w:ascii="Times New Roman" w:eastAsia="Times New Roman" w:hAnsi="Times New Roman"/>
          <w:sz w:val="24"/>
          <w:szCs w:val="24"/>
        </w:rPr>
        <w:t>, V. (2017). Soil and water conservation in India: Strategies and Research Challenges. </w:t>
      </w:r>
      <w:r w:rsidRPr="003E590F">
        <w:rPr>
          <w:rFonts w:ascii="Times New Roman" w:eastAsia="Times New Roman" w:hAnsi="Times New Roman"/>
          <w:i/>
          <w:iCs/>
          <w:sz w:val="24"/>
          <w:szCs w:val="24"/>
        </w:rPr>
        <w:t xml:space="preserve">Journal </w:t>
      </w:r>
      <w:proofErr w:type="gramStart"/>
      <w:r w:rsidRPr="003E590F">
        <w:rPr>
          <w:rFonts w:ascii="Times New Roman" w:eastAsia="Times New Roman" w:hAnsi="Times New Roman"/>
          <w:i/>
          <w:iCs/>
          <w:sz w:val="24"/>
          <w:szCs w:val="24"/>
        </w:rPr>
        <w:t>of  Soil</w:t>
      </w:r>
      <w:proofErr w:type="gramEnd"/>
      <w:r w:rsidRPr="003E590F">
        <w:rPr>
          <w:rFonts w:ascii="Times New Roman" w:eastAsia="Times New Roman" w:hAnsi="Times New Roman"/>
          <w:i/>
          <w:iCs/>
          <w:sz w:val="24"/>
          <w:szCs w:val="24"/>
        </w:rPr>
        <w:t xml:space="preserve"> &amp; Water Conservation</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16</w:t>
      </w:r>
      <w:r w:rsidRPr="003E590F">
        <w:rPr>
          <w:rFonts w:ascii="Times New Roman" w:eastAsia="Times New Roman" w:hAnsi="Times New Roman"/>
          <w:sz w:val="24"/>
          <w:szCs w:val="24"/>
        </w:rPr>
        <w:t>(4), 312–319.</w:t>
      </w:r>
    </w:p>
    <w:p w14:paraId="67306D8B"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proofErr w:type="spellStart"/>
      <w:r w:rsidRPr="003E590F">
        <w:rPr>
          <w:rFonts w:ascii="Times New Roman" w:eastAsia="Times New Roman" w:hAnsi="Times New Roman"/>
          <w:sz w:val="24"/>
          <w:szCs w:val="24"/>
        </w:rPr>
        <w:t>Manivannan</w:t>
      </w:r>
      <w:proofErr w:type="spellEnd"/>
      <w:r w:rsidRPr="003E590F">
        <w:rPr>
          <w:rFonts w:ascii="Times New Roman" w:eastAsia="Times New Roman" w:hAnsi="Times New Roman"/>
          <w:sz w:val="24"/>
          <w:szCs w:val="24"/>
        </w:rPr>
        <w:t xml:space="preserve">, S., </w:t>
      </w:r>
      <w:proofErr w:type="spellStart"/>
      <w:r w:rsidRPr="003E590F">
        <w:rPr>
          <w:rFonts w:ascii="Times New Roman" w:eastAsia="Times New Roman" w:hAnsi="Times New Roman"/>
          <w:sz w:val="24"/>
          <w:szCs w:val="24"/>
        </w:rPr>
        <w:t>Khola</w:t>
      </w:r>
      <w:proofErr w:type="spellEnd"/>
      <w:r w:rsidRPr="003E590F">
        <w:rPr>
          <w:rFonts w:ascii="Times New Roman" w:eastAsia="Times New Roman" w:hAnsi="Times New Roman"/>
          <w:sz w:val="24"/>
          <w:szCs w:val="24"/>
        </w:rPr>
        <w:t>, O.P.S. &amp; Dinesh, D. (2016). Probability Analysis of weekly rainfall for crop planning in Nilgiris hills of Tamil Nadu. </w:t>
      </w:r>
      <w:r w:rsidRPr="003E590F">
        <w:rPr>
          <w:rFonts w:ascii="Times New Roman" w:eastAsia="Times New Roman" w:hAnsi="Times New Roman"/>
          <w:i/>
          <w:iCs/>
          <w:sz w:val="24"/>
          <w:szCs w:val="24"/>
          <w:bdr w:val="none" w:sz="0" w:space="0" w:color="auto" w:frame="1"/>
        </w:rPr>
        <w:t>Journal of Agricultural Meteorology</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18</w:t>
      </w:r>
      <w:r w:rsidRPr="003E590F">
        <w:rPr>
          <w:rFonts w:ascii="Times New Roman" w:eastAsia="Times New Roman" w:hAnsi="Times New Roman"/>
          <w:sz w:val="24"/>
          <w:szCs w:val="24"/>
        </w:rPr>
        <w:t>(1), 163–164.</w:t>
      </w:r>
    </w:p>
    <w:p w14:paraId="47E75559"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proofErr w:type="spellStart"/>
      <w:r w:rsidRPr="003E590F">
        <w:rPr>
          <w:rFonts w:ascii="Times New Roman" w:eastAsia="Times New Roman" w:hAnsi="Times New Roman"/>
          <w:sz w:val="24"/>
          <w:szCs w:val="24"/>
        </w:rPr>
        <w:t>Manivannan</w:t>
      </w:r>
      <w:proofErr w:type="spellEnd"/>
      <w:r w:rsidRPr="003E590F">
        <w:rPr>
          <w:rFonts w:ascii="Times New Roman" w:eastAsia="Times New Roman" w:hAnsi="Times New Roman"/>
          <w:sz w:val="24"/>
          <w:szCs w:val="24"/>
        </w:rPr>
        <w:t xml:space="preserve">, S., </w:t>
      </w:r>
      <w:proofErr w:type="spellStart"/>
      <w:r w:rsidRPr="003E590F">
        <w:rPr>
          <w:rFonts w:ascii="Times New Roman" w:eastAsia="Times New Roman" w:hAnsi="Times New Roman"/>
          <w:sz w:val="24"/>
          <w:szCs w:val="24"/>
        </w:rPr>
        <w:t>Khola</w:t>
      </w:r>
      <w:proofErr w:type="spellEnd"/>
      <w:r w:rsidRPr="003E590F">
        <w:rPr>
          <w:rFonts w:ascii="Times New Roman" w:eastAsia="Times New Roman" w:hAnsi="Times New Roman"/>
          <w:sz w:val="24"/>
          <w:szCs w:val="24"/>
        </w:rPr>
        <w:t xml:space="preserve">, O.P.S., Kannan, K., </w:t>
      </w:r>
      <w:proofErr w:type="spellStart"/>
      <w:r w:rsidRPr="003E590F">
        <w:rPr>
          <w:rFonts w:ascii="Times New Roman" w:eastAsia="Times New Roman" w:hAnsi="Times New Roman"/>
          <w:sz w:val="24"/>
          <w:szCs w:val="24"/>
        </w:rPr>
        <w:t>Hombegowda</w:t>
      </w:r>
      <w:proofErr w:type="spellEnd"/>
      <w:r w:rsidRPr="003E590F">
        <w:rPr>
          <w:rFonts w:ascii="Times New Roman" w:eastAsia="Times New Roman" w:hAnsi="Times New Roman"/>
          <w:sz w:val="24"/>
          <w:szCs w:val="24"/>
        </w:rPr>
        <w:t>, H. C., Singh, D. V., Sundarambal, P. &amp; Kasthuri Thilagam, V. (2021). Comprehensive impact assessment of watershed development projects in lower Bhavani catchments of Tamil Nadu. </w:t>
      </w:r>
      <w:r w:rsidRPr="003E590F">
        <w:rPr>
          <w:rFonts w:ascii="Times New Roman" w:eastAsia="Times New Roman" w:hAnsi="Times New Roman"/>
          <w:i/>
          <w:iCs/>
          <w:sz w:val="24"/>
          <w:szCs w:val="24"/>
        </w:rPr>
        <w:t xml:space="preserve">Journal </w:t>
      </w:r>
      <w:proofErr w:type="gramStart"/>
      <w:r w:rsidRPr="003E590F">
        <w:rPr>
          <w:rFonts w:ascii="Times New Roman" w:eastAsia="Times New Roman" w:hAnsi="Times New Roman"/>
          <w:i/>
          <w:iCs/>
          <w:sz w:val="24"/>
          <w:szCs w:val="24"/>
        </w:rPr>
        <w:t>of  Soil</w:t>
      </w:r>
      <w:proofErr w:type="gramEnd"/>
      <w:r w:rsidRPr="003E590F">
        <w:rPr>
          <w:rFonts w:ascii="Times New Roman" w:eastAsia="Times New Roman" w:hAnsi="Times New Roman"/>
          <w:i/>
          <w:iCs/>
          <w:sz w:val="24"/>
          <w:szCs w:val="24"/>
        </w:rPr>
        <w:t xml:space="preserve"> &amp; Water Conservation</w:t>
      </w:r>
      <w:r w:rsidRPr="003E590F">
        <w:rPr>
          <w:rFonts w:ascii="Times New Roman" w:eastAsia="Times New Roman" w:hAnsi="Times New Roman"/>
          <w:sz w:val="24"/>
          <w:szCs w:val="24"/>
        </w:rPr>
        <w:t>,  20 (1), 66–73.</w:t>
      </w:r>
    </w:p>
    <w:p w14:paraId="10C207BC" w14:textId="77777777" w:rsidR="00113C05" w:rsidRPr="003E590F" w:rsidRDefault="00113C05" w:rsidP="003E590F">
      <w:pPr>
        <w:pStyle w:val="ListParagraph"/>
        <w:numPr>
          <w:ilvl w:val="0"/>
          <w:numId w:val="3"/>
        </w:numPr>
        <w:spacing w:after="160" w:line="360" w:lineRule="auto"/>
        <w:jc w:val="both"/>
        <w:rPr>
          <w:rFonts w:ascii="Times New Roman" w:eastAsia="Times New Roman" w:hAnsi="Times New Roman"/>
          <w:sz w:val="24"/>
          <w:szCs w:val="24"/>
        </w:rPr>
      </w:pPr>
      <w:proofErr w:type="spellStart"/>
      <w:r w:rsidRPr="003E590F">
        <w:rPr>
          <w:rFonts w:ascii="Times New Roman" w:eastAsia="Times New Roman" w:hAnsi="Times New Roman"/>
          <w:sz w:val="24"/>
          <w:szCs w:val="24"/>
        </w:rPr>
        <w:t>Moriasi</w:t>
      </w:r>
      <w:proofErr w:type="spellEnd"/>
      <w:r w:rsidRPr="003E590F">
        <w:rPr>
          <w:rFonts w:ascii="Times New Roman" w:eastAsia="Times New Roman" w:hAnsi="Times New Roman"/>
          <w:sz w:val="24"/>
          <w:szCs w:val="24"/>
        </w:rPr>
        <w:t xml:space="preserve">, D. N., </w:t>
      </w:r>
      <w:proofErr w:type="spellStart"/>
      <w:r w:rsidRPr="003E590F">
        <w:rPr>
          <w:rFonts w:ascii="Times New Roman" w:eastAsia="Times New Roman" w:hAnsi="Times New Roman"/>
          <w:sz w:val="24"/>
          <w:szCs w:val="24"/>
        </w:rPr>
        <w:t>Duriancik</w:t>
      </w:r>
      <w:proofErr w:type="spellEnd"/>
      <w:r w:rsidRPr="003E590F">
        <w:rPr>
          <w:rFonts w:ascii="Times New Roman" w:eastAsia="Times New Roman" w:hAnsi="Times New Roman"/>
          <w:sz w:val="24"/>
          <w:szCs w:val="24"/>
        </w:rPr>
        <w:t xml:space="preserve">, L. F., Sadler, E. J., Tsegaye, T., Steiner, J. L., Locke, M. A., … Osmond, D. L. (2020). Quantifying the impacts of the Conservation Effects Assessment </w:t>
      </w:r>
      <w:r w:rsidRPr="003E590F">
        <w:rPr>
          <w:rFonts w:ascii="Times New Roman" w:eastAsia="Times New Roman" w:hAnsi="Times New Roman"/>
          <w:sz w:val="24"/>
          <w:szCs w:val="24"/>
        </w:rPr>
        <w:lastRenderedPageBreak/>
        <w:t>Project watershed assessments: The first fifteen years. </w:t>
      </w:r>
      <w:r w:rsidRPr="003E590F">
        <w:rPr>
          <w:rFonts w:ascii="Times New Roman" w:eastAsia="Times New Roman" w:hAnsi="Times New Roman"/>
          <w:i/>
          <w:iCs/>
          <w:sz w:val="24"/>
          <w:szCs w:val="24"/>
          <w:bdr w:val="none" w:sz="0" w:space="0" w:color="auto" w:frame="1"/>
        </w:rPr>
        <w:t>Journal of Soil and Water Conservation</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75</w:t>
      </w:r>
      <w:r w:rsidRPr="003E590F">
        <w:rPr>
          <w:rFonts w:ascii="Times New Roman" w:eastAsia="Times New Roman" w:hAnsi="Times New Roman"/>
          <w:sz w:val="24"/>
          <w:szCs w:val="24"/>
        </w:rPr>
        <w:t xml:space="preserve">(3). </w:t>
      </w:r>
      <w:hyperlink r:id="rId14" w:history="1">
        <w:r w:rsidRPr="003E590F">
          <w:rPr>
            <w:rStyle w:val="Hyperlink"/>
            <w:rFonts w:ascii="Times New Roman" w:eastAsia="Times New Roman" w:hAnsi="Times New Roman"/>
            <w:sz w:val="24"/>
            <w:szCs w:val="24"/>
          </w:rPr>
          <w:t>https://doi.org/10.2489/jswc.75.3.57A</w:t>
        </w:r>
      </w:hyperlink>
      <w:r w:rsidRPr="003E590F">
        <w:rPr>
          <w:rFonts w:ascii="Times New Roman" w:eastAsia="Times New Roman" w:hAnsi="Times New Roman"/>
          <w:sz w:val="24"/>
          <w:szCs w:val="24"/>
        </w:rPr>
        <w:t>.</w:t>
      </w:r>
    </w:p>
    <w:p w14:paraId="7EAF66F3"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lang w:val="en-US"/>
        </w:rPr>
      </w:pPr>
      <w:r w:rsidRPr="003E590F">
        <w:rPr>
          <w:rFonts w:ascii="Times New Roman" w:eastAsia="Times New Roman" w:hAnsi="Times New Roman"/>
          <w:sz w:val="24"/>
          <w:szCs w:val="24"/>
          <w:lang w:val="en-US"/>
        </w:rPr>
        <w:t xml:space="preserve">OECD (1982). </w:t>
      </w:r>
      <w:r w:rsidRPr="003E590F">
        <w:rPr>
          <w:rFonts w:ascii="Times New Roman" w:eastAsia="Times New Roman" w:hAnsi="Times New Roman"/>
          <w:i/>
          <w:iCs/>
          <w:sz w:val="24"/>
          <w:szCs w:val="24"/>
          <w:lang w:val="en-US"/>
        </w:rPr>
        <w:t>Eutrophication of Waters: Monitoring, Assessment and Control.</w:t>
      </w:r>
      <w:r w:rsidRPr="003E590F">
        <w:rPr>
          <w:rFonts w:ascii="Times New Roman" w:eastAsia="Times New Roman" w:hAnsi="Times New Roman"/>
          <w:sz w:val="24"/>
          <w:szCs w:val="24"/>
          <w:lang w:val="en-US"/>
        </w:rPr>
        <w:t xml:space="preserve"> OECD, Paris.</w:t>
      </w:r>
    </w:p>
    <w:p w14:paraId="2A0D6633"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 xml:space="preserve">Pathak, G.S., </w:t>
      </w:r>
      <w:proofErr w:type="spellStart"/>
      <w:r w:rsidRPr="003E590F">
        <w:rPr>
          <w:rFonts w:ascii="Times New Roman" w:eastAsia="Times New Roman" w:hAnsi="Times New Roman"/>
          <w:sz w:val="24"/>
          <w:szCs w:val="24"/>
        </w:rPr>
        <w:t>Kafle</w:t>
      </w:r>
      <w:proofErr w:type="spellEnd"/>
      <w:r w:rsidRPr="003E590F">
        <w:rPr>
          <w:rFonts w:ascii="Times New Roman" w:eastAsia="Times New Roman" w:hAnsi="Times New Roman"/>
          <w:sz w:val="24"/>
          <w:szCs w:val="24"/>
        </w:rPr>
        <w:t xml:space="preserve">, G., and Pathak, H. K. (2025). Impacts of land use change on soil erosion in a Himalayan watershed: Implications for sustainable watershed management. </w:t>
      </w:r>
      <w:r w:rsidRPr="003E590F">
        <w:rPr>
          <w:rFonts w:ascii="Times New Roman" w:eastAsia="Times New Roman" w:hAnsi="Times New Roman"/>
          <w:i/>
          <w:iCs/>
          <w:sz w:val="24"/>
          <w:szCs w:val="24"/>
        </w:rPr>
        <w:t>Journal of Agriculture and Natural Resources, 8</w:t>
      </w:r>
      <w:r w:rsidRPr="003E590F">
        <w:rPr>
          <w:rFonts w:ascii="Times New Roman" w:eastAsia="Times New Roman" w:hAnsi="Times New Roman"/>
          <w:sz w:val="24"/>
          <w:szCs w:val="24"/>
        </w:rPr>
        <w:t xml:space="preserve">(1), 113–124. </w:t>
      </w:r>
      <w:hyperlink r:id="rId15" w:tgtFrame="_new" w:history="1">
        <w:r w:rsidRPr="003E590F">
          <w:rPr>
            <w:rFonts w:ascii="Times New Roman" w:eastAsia="Times New Roman" w:hAnsi="Times New Roman"/>
            <w:sz w:val="24"/>
            <w:szCs w:val="24"/>
          </w:rPr>
          <w:t>https://doi.org/10.3126/janr.v8i1.88869</w:t>
        </w:r>
      </w:hyperlink>
    </w:p>
    <w:p w14:paraId="5F1677FC"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hAnsi="Times New Roman"/>
          <w:sz w:val="24"/>
          <w:szCs w:val="24"/>
        </w:rPr>
        <w:t>Raihan, A. (2024). The influences of economic progress, natural resources, and capitalization on financial development in the United States. Innovation and Green Development, 3(2), 100146. https://doi.org/10.1016/j.igd.2024.100146</w:t>
      </w:r>
    </w:p>
    <w:p w14:paraId="7C05E6FE"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lang w:val="en-US"/>
        </w:rPr>
      </w:pPr>
      <w:r w:rsidRPr="003E590F">
        <w:rPr>
          <w:rFonts w:ascii="Times New Roman" w:eastAsia="Times New Roman" w:hAnsi="Times New Roman"/>
          <w:sz w:val="24"/>
          <w:szCs w:val="24"/>
          <w:lang w:val="en-US"/>
        </w:rPr>
        <w:t xml:space="preserve">Sanad H, </w:t>
      </w:r>
      <w:proofErr w:type="spellStart"/>
      <w:r w:rsidRPr="003E590F">
        <w:rPr>
          <w:rFonts w:ascii="Times New Roman" w:eastAsia="Times New Roman" w:hAnsi="Times New Roman"/>
          <w:sz w:val="24"/>
          <w:szCs w:val="24"/>
          <w:lang w:val="en-US"/>
        </w:rPr>
        <w:t>Mouhir</w:t>
      </w:r>
      <w:proofErr w:type="spellEnd"/>
      <w:r w:rsidRPr="003E590F">
        <w:rPr>
          <w:rFonts w:ascii="Times New Roman" w:eastAsia="Times New Roman" w:hAnsi="Times New Roman"/>
          <w:sz w:val="24"/>
          <w:szCs w:val="24"/>
          <w:lang w:val="en-US"/>
        </w:rPr>
        <w:t xml:space="preserve"> L, </w:t>
      </w:r>
      <w:proofErr w:type="spellStart"/>
      <w:r w:rsidRPr="003E590F">
        <w:rPr>
          <w:rFonts w:ascii="Times New Roman" w:eastAsia="Times New Roman" w:hAnsi="Times New Roman"/>
          <w:sz w:val="24"/>
          <w:szCs w:val="24"/>
          <w:lang w:val="en-US"/>
        </w:rPr>
        <w:t>Zouahri</w:t>
      </w:r>
      <w:proofErr w:type="spellEnd"/>
      <w:r w:rsidRPr="003E590F">
        <w:rPr>
          <w:rFonts w:ascii="Times New Roman" w:eastAsia="Times New Roman" w:hAnsi="Times New Roman"/>
          <w:sz w:val="24"/>
          <w:szCs w:val="24"/>
          <w:lang w:val="en-US"/>
        </w:rPr>
        <w:t xml:space="preserve"> A, </w:t>
      </w:r>
      <w:proofErr w:type="spellStart"/>
      <w:r w:rsidRPr="003E590F">
        <w:rPr>
          <w:rFonts w:ascii="Times New Roman" w:eastAsia="Times New Roman" w:hAnsi="Times New Roman"/>
          <w:sz w:val="24"/>
          <w:szCs w:val="24"/>
          <w:lang w:val="en-US"/>
        </w:rPr>
        <w:t>Moussadek</w:t>
      </w:r>
      <w:proofErr w:type="spellEnd"/>
      <w:r w:rsidRPr="003E590F">
        <w:rPr>
          <w:rFonts w:ascii="Times New Roman" w:eastAsia="Times New Roman" w:hAnsi="Times New Roman"/>
          <w:sz w:val="24"/>
          <w:szCs w:val="24"/>
          <w:lang w:val="en-US"/>
        </w:rPr>
        <w:t xml:space="preserve"> R, El </w:t>
      </w:r>
      <w:proofErr w:type="spellStart"/>
      <w:r w:rsidRPr="003E590F">
        <w:rPr>
          <w:rFonts w:ascii="Times New Roman" w:eastAsia="Times New Roman" w:hAnsi="Times New Roman"/>
          <w:sz w:val="24"/>
          <w:szCs w:val="24"/>
          <w:lang w:val="en-US"/>
        </w:rPr>
        <w:t>Azhari</w:t>
      </w:r>
      <w:proofErr w:type="spellEnd"/>
      <w:r w:rsidRPr="003E590F">
        <w:rPr>
          <w:rFonts w:ascii="Times New Roman" w:eastAsia="Times New Roman" w:hAnsi="Times New Roman"/>
          <w:sz w:val="24"/>
          <w:szCs w:val="24"/>
          <w:lang w:val="en-US"/>
        </w:rPr>
        <w:t xml:space="preserve"> H, </w:t>
      </w:r>
      <w:proofErr w:type="spellStart"/>
      <w:r w:rsidRPr="003E590F">
        <w:rPr>
          <w:rFonts w:ascii="Times New Roman" w:eastAsia="Times New Roman" w:hAnsi="Times New Roman"/>
          <w:sz w:val="24"/>
          <w:szCs w:val="24"/>
          <w:lang w:val="en-US"/>
        </w:rPr>
        <w:t>Yachou</w:t>
      </w:r>
      <w:proofErr w:type="spellEnd"/>
      <w:r w:rsidRPr="003E590F">
        <w:rPr>
          <w:rFonts w:ascii="Times New Roman" w:eastAsia="Times New Roman" w:hAnsi="Times New Roman"/>
          <w:sz w:val="24"/>
          <w:szCs w:val="24"/>
          <w:lang w:val="en-US"/>
        </w:rPr>
        <w:t xml:space="preserve"> H, </w:t>
      </w:r>
      <w:proofErr w:type="spellStart"/>
      <w:r w:rsidRPr="003E590F">
        <w:rPr>
          <w:rFonts w:ascii="Times New Roman" w:eastAsia="Times New Roman" w:hAnsi="Times New Roman"/>
          <w:sz w:val="24"/>
          <w:szCs w:val="24"/>
          <w:lang w:val="en-US"/>
        </w:rPr>
        <w:t>Ghanimi</w:t>
      </w:r>
      <w:proofErr w:type="spellEnd"/>
      <w:r w:rsidRPr="003E590F">
        <w:rPr>
          <w:rFonts w:ascii="Times New Roman" w:eastAsia="Times New Roman" w:hAnsi="Times New Roman"/>
          <w:sz w:val="24"/>
          <w:szCs w:val="24"/>
          <w:lang w:val="en-US"/>
        </w:rPr>
        <w:t xml:space="preserve"> A, </w:t>
      </w:r>
      <w:proofErr w:type="spellStart"/>
      <w:r w:rsidRPr="003E590F">
        <w:rPr>
          <w:rFonts w:ascii="Times New Roman" w:eastAsia="Times New Roman" w:hAnsi="Times New Roman"/>
          <w:sz w:val="24"/>
          <w:szCs w:val="24"/>
          <w:lang w:val="en-US"/>
        </w:rPr>
        <w:t>Oueld</w:t>
      </w:r>
      <w:proofErr w:type="spellEnd"/>
      <w:r w:rsidRPr="003E590F">
        <w:rPr>
          <w:rFonts w:ascii="Times New Roman" w:eastAsia="Times New Roman" w:hAnsi="Times New Roman"/>
          <w:sz w:val="24"/>
          <w:szCs w:val="24"/>
          <w:lang w:val="en-US"/>
        </w:rPr>
        <w:t xml:space="preserve"> </w:t>
      </w:r>
      <w:proofErr w:type="spellStart"/>
      <w:r w:rsidRPr="003E590F">
        <w:rPr>
          <w:rFonts w:ascii="Times New Roman" w:eastAsia="Times New Roman" w:hAnsi="Times New Roman"/>
          <w:sz w:val="24"/>
          <w:szCs w:val="24"/>
          <w:lang w:val="en-US"/>
        </w:rPr>
        <w:t>Lhaj</w:t>
      </w:r>
      <w:proofErr w:type="spellEnd"/>
      <w:r w:rsidRPr="003E590F">
        <w:rPr>
          <w:rFonts w:ascii="Times New Roman" w:eastAsia="Times New Roman" w:hAnsi="Times New Roman"/>
          <w:sz w:val="24"/>
          <w:szCs w:val="24"/>
          <w:lang w:val="en-US"/>
        </w:rPr>
        <w:t xml:space="preserve"> M, </w:t>
      </w:r>
      <w:proofErr w:type="spellStart"/>
      <w:r w:rsidRPr="003E590F">
        <w:rPr>
          <w:rFonts w:ascii="Times New Roman" w:eastAsia="Times New Roman" w:hAnsi="Times New Roman"/>
          <w:sz w:val="24"/>
          <w:szCs w:val="24"/>
          <w:lang w:val="en-US"/>
        </w:rPr>
        <w:t>Dakak</w:t>
      </w:r>
      <w:proofErr w:type="spellEnd"/>
      <w:r w:rsidRPr="003E590F">
        <w:rPr>
          <w:rFonts w:ascii="Times New Roman" w:eastAsia="Times New Roman" w:hAnsi="Times New Roman"/>
          <w:sz w:val="24"/>
          <w:szCs w:val="24"/>
          <w:lang w:val="en-US"/>
        </w:rPr>
        <w:t xml:space="preserve"> </w:t>
      </w:r>
      <w:proofErr w:type="gramStart"/>
      <w:r w:rsidRPr="003E590F">
        <w:rPr>
          <w:rFonts w:ascii="Times New Roman" w:eastAsia="Times New Roman" w:hAnsi="Times New Roman"/>
          <w:sz w:val="24"/>
          <w:szCs w:val="24"/>
          <w:lang w:val="en-US"/>
        </w:rPr>
        <w:t>H.( 2024</w:t>
      </w:r>
      <w:proofErr w:type="gramEnd"/>
      <w:r w:rsidRPr="003E590F">
        <w:rPr>
          <w:rFonts w:ascii="Times New Roman" w:eastAsia="Times New Roman" w:hAnsi="Times New Roman"/>
          <w:sz w:val="24"/>
          <w:szCs w:val="24"/>
          <w:lang w:val="en-US"/>
        </w:rPr>
        <w:t xml:space="preserve"> )Assessment of Groundwater Quality Using the Pollution Index of Groundwater (PIG), Nitrate Pollution Index (NPI), Water Quality Index (WQI), Multivariate Statistical Analysis (MSA), and GIS Approaches: A Case Study of the </w:t>
      </w:r>
      <w:proofErr w:type="spellStart"/>
      <w:r w:rsidRPr="003E590F">
        <w:rPr>
          <w:rFonts w:ascii="Times New Roman" w:eastAsia="Times New Roman" w:hAnsi="Times New Roman"/>
          <w:sz w:val="24"/>
          <w:szCs w:val="24"/>
          <w:lang w:val="en-US"/>
        </w:rPr>
        <w:t>Mnasra</w:t>
      </w:r>
      <w:proofErr w:type="spellEnd"/>
      <w:r w:rsidRPr="003E590F">
        <w:rPr>
          <w:rFonts w:ascii="Times New Roman" w:eastAsia="Times New Roman" w:hAnsi="Times New Roman"/>
          <w:sz w:val="24"/>
          <w:szCs w:val="24"/>
          <w:lang w:val="en-US"/>
        </w:rPr>
        <w:t xml:space="preserve"> Region, </w:t>
      </w:r>
      <w:proofErr w:type="spellStart"/>
      <w:r w:rsidRPr="003E590F">
        <w:rPr>
          <w:rFonts w:ascii="Times New Roman" w:eastAsia="Times New Roman" w:hAnsi="Times New Roman"/>
          <w:sz w:val="24"/>
          <w:szCs w:val="24"/>
          <w:lang w:val="en-US"/>
        </w:rPr>
        <w:t>Gharb</w:t>
      </w:r>
      <w:proofErr w:type="spellEnd"/>
      <w:r w:rsidRPr="003E590F">
        <w:rPr>
          <w:rFonts w:ascii="Times New Roman" w:eastAsia="Times New Roman" w:hAnsi="Times New Roman"/>
          <w:sz w:val="24"/>
          <w:szCs w:val="24"/>
          <w:lang w:val="en-US"/>
        </w:rPr>
        <w:t xml:space="preserve"> Plain, Morocco. </w:t>
      </w:r>
      <w:r w:rsidRPr="003E590F">
        <w:rPr>
          <w:rFonts w:ascii="Times New Roman" w:eastAsia="Times New Roman" w:hAnsi="Times New Roman"/>
          <w:i/>
          <w:iCs/>
          <w:sz w:val="24"/>
          <w:szCs w:val="24"/>
          <w:lang w:val="en-US"/>
        </w:rPr>
        <w:t>Water</w:t>
      </w:r>
      <w:r w:rsidRPr="003E590F">
        <w:rPr>
          <w:rFonts w:ascii="Times New Roman" w:eastAsia="Times New Roman" w:hAnsi="Times New Roman"/>
          <w:sz w:val="24"/>
          <w:szCs w:val="24"/>
          <w:lang w:val="en-US"/>
        </w:rPr>
        <w:t xml:space="preserve">. 16(9):1263. </w:t>
      </w:r>
      <w:hyperlink r:id="rId16" w:history="1">
        <w:r w:rsidRPr="003E590F">
          <w:rPr>
            <w:rStyle w:val="Hyperlink"/>
            <w:rFonts w:ascii="Times New Roman" w:eastAsia="Times New Roman" w:hAnsi="Times New Roman"/>
            <w:sz w:val="24"/>
            <w:szCs w:val="24"/>
            <w:lang w:val="en-US"/>
          </w:rPr>
          <w:t>https://doi.org/10.3390/w16091263</w:t>
        </w:r>
      </w:hyperlink>
    </w:p>
    <w:p w14:paraId="097BA66C"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rPr>
      </w:pPr>
      <w:r w:rsidRPr="003E590F">
        <w:rPr>
          <w:rFonts w:ascii="Times New Roman" w:eastAsia="Times New Roman" w:hAnsi="Times New Roman"/>
        </w:rPr>
        <w:t xml:space="preserve">Shanthi, K., &amp; Ramasamy, L. (2002). Hydrological study of </w:t>
      </w:r>
      <w:proofErr w:type="spellStart"/>
      <w:r w:rsidRPr="003E590F">
        <w:rPr>
          <w:rFonts w:ascii="Times New Roman" w:eastAsia="Times New Roman" w:hAnsi="Times New Roman"/>
        </w:rPr>
        <w:t>Singanallur</w:t>
      </w:r>
      <w:proofErr w:type="spellEnd"/>
      <w:r w:rsidRPr="003E590F">
        <w:rPr>
          <w:rFonts w:ascii="Times New Roman" w:eastAsia="Times New Roman" w:hAnsi="Times New Roman"/>
        </w:rPr>
        <w:t xml:space="preserve"> lake at Coimbatore. </w:t>
      </w:r>
      <w:r w:rsidRPr="003E590F">
        <w:rPr>
          <w:rFonts w:ascii="Times New Roman" w:eastAsia="Times New Roman" w:hAnsi="Times New Roman"/>
          <w:i/>
          <w:iCs/>
          <w:bdr w:val="none" w:sz="0" w:space="0" w:color="auto" w:frame="1"/>
        </w:rPr>
        <w:t>Nature Environment &amp; Pollution Technology</w:t>
      </w:r>
      <w:r w:rsidRPr="003E590F">
        <w:rPr>
          <w:rFonts w:ascii="Times New Roman" w:eastAsia="Times New Roman" w:hAnsi="Times New Roman"/>
        </w:rPr>
        <w:t>, </w:t>
      </w:r>
      <w:r w:rsidRPr="003E590F">
        <w:rPr>
          <w:rFonts w:ascii="Times New Roman" w:eastAsia="Times New Roman" w:hAnsi="Times New Roman"/>
          <w:bdr w:val="none" w:sz="0" w:space="0" w:color="auto" w:frame="1"/>
        </w:rPr>
        <w:t>1</w:t>
      </w:r>
      <w:r w:rsidRPr="003E590F">
        <w:rPr>
          <w:rFonts w:ascii="Times New Roman" w:eastAsia="Times New Roman" w:hAnsi="Times New Roman"/>
        </w:rPr>
        <w:t>(2), 97–101.</w:t>
      </w:r>
    </w:p>
    <w:p w14:paraId="67AC325B"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rPr>
      </w:pPr>
      <w:r w:rsidRPr="003E590F">
        <w:rPr>
          <w:rFonts w:ascii="Times New Roman" w:eastAsia="Times New Roman" w:hAnsi="Times New Roman"/>
        </w:rPr>
        <w:t xml:space="preserve">Silva, </w:t>
      </w:r>
      <w:proofErr w:type="spellStart"/>
      <w:proofErr w:type="gramStart"/>
      <w:r w:rsidRPr="003E590F">
        <w:rPr>
          <w:rFonts w:ascii="Times New Roman" w:eastAsia="Times New Roman" w:hAnsi="Times New Roman"/>
        </w:rPr>
        <w:t>D.M.,Souza</w:t>
      </w:r>
      <w:proofErr w:type="spellEnd"/>
      <w:proofErr w:type="gramEnd"/>
      <w:r w:rsidRPr="003E590F">
        <w:rPr>
          <w:rFonts w:ascii="Times New Roman" w:eastAsia="Times New Roman" w:hAnsi="Times New Roman"/>
        </w:rPr>
        <w:t xml:space="preserve">, M.F., Silva, F., Paula, F.C., </w:t>
      </w:r>
      <w:proofErr w:type="spellStart"/>
      <w:r w:rsidRPr="003E590F">
        <w:rPr>
          <w:rFonts w:ascii="Times New Roman" w:eastAsia="Times New Roman" w:hAnsi="Times New Roman"/>
        </w:rPr>
        <w:t>Moraes</w:t>
      </w:r>
      <w:proofErr w:type="spellEnd"/>
      <w:r w:rsidRPr="003E590F">
        <w:rPr>
          <w:rFonts w:ascii="Times New Roman" w:eastAsia="Times New Roman" w:hAnsi="Times New Roman"/>
        </w:rPr>
        <w:t xml:space="preserve">, M.E., </w:t>
      </w:r>
      <w:proofErr w:type="spellStart"/>
      <w:r w:rsidRPr="003E590F">
        <w:rPr>
          <w:rFonts w:ascii="Times New Roman" w:eastAsia="Times New Roman" w:hAnsi="Times New Roman"/>
        </w:rPr>
        <w:t>Strenzel</w:t>
      </w:r>
      <w:proofErr w:type="spellEnd"/>
      <w:r w:rsidRPr="003E590F">
        <w:rPr>
          <w:rFonts w:ascii="Times New Roman" w:eastAsia="Times New Roman" w:hAnsi="Times New Roman"/>
        </w:rPr>
        <w:t xml:space="preserve">, G.M. (2015). Land use effects on nutrient concentration in a small watershed in northeast brazil. </w:t>
      </w:r>
      <w:r w:rsidRPr="003E590F">
        <w:rPr>
          <w:rFonts w:ascii="Times New Roman" w:eastAsia="Times New Roman" w:hAnsi="Times New Roman"/>
          <w:i/>
          <w:iCs/>
        </w:rPr>
        <w:t xml:space="preserve">Brazilian Journal of Aquatic Science and </w:t>
      </w:r>
      <w:proofErr w:type="gramStart"/>
      <w:r w:rsidRPr="003E590F">
        <w:rPr>
          <w:rFonts w:ascii="Times New Roman" w:eastAsia="Times New Roman" w:hAnsi="Times New Roman"/>
          <w:i/>
          <w:iCs/>
        </w:rPr>
        <w:t>Technology,</w:t>
      </w:r>
      <w:r w:rsidRPr="003E590F">
        <w:rPr>
          <w:rFonts w:ascii="Times New Roman" w:eastAsia="Times New Roman" w:hAnsi="Times New Roman"/>
        </w:rPr>
        <w:t xml:space="preserve">  19</w:t>
      </w:r>
      <w:proofErr w:type="gramEnd"/>
      <w:r w:rsidRPr="003E590F">
        <w:rPr>
          <w:rFonts w:ascii="Times New Roman" w:eastAsia="Times New Roman" w:hAnsi="Times New Roman"/>
        </w:rPr>
        <w:t>, 102–111.</w:t>
      </w:r>
    </w:p>
    <w:p w14:paraId="5414C4F1"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rPr>
        <w:t xml:space="preserve">Singh, W. R., Barman, S. &amp; Tirkey, G. (2021). Morphometric analysis and watershed prioritization in relation to soil erosion in </w:t>
      </w:r>
      <w:proofErr w:type="spellStart"/>
      <w:r w:rsidRPr="003E590F">
        <w:rPr>
          <w:rFonts w:ascii="Times New Roman" w:eastAsia="Times New Roman" w:hAnsi="Times New Roman"/>
          <w:sz w:val="24"/>
          <w:szCs w:val="24"/>
        </w:rPr>
        <w:t>Dudhnai</w:t>
      </w:r>
      <w:proofErr w:type="spellEnd"/>
      <w:r w:rsidRPr="003E590F">
        <w:rPr>
          <w:rFonts w:ascii="Times New Roman" w:eastAsia="Times New Roman" w:hAnsi="Times New Roman"/>
          <w:sz w:val="24"/>
          <w:szCs w:val="24"/>
        </w:rPr>
        <w:t xml:space="preserve"> Watershed. </w:t>
      </w:r>
      <w:r w:rsidRPr="003E590F">
        <w:rPr>
          <w:rFonts w:ascii="Times New Roman" w:eastAsia="Times New Roman" w:hAnsi="Times New Roman"/>
          <w:i/>
          <w:iCs/>
          <w:sz w:val="24"/>
          <w:szCs w:val="24"/>
          <w:bdr w:val="none" w:sz="0" w:space="0" w:color="auto" w:frame="1"/>
        </w:rPr>
        <w:t>Applied Water Science</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11</w:t>
      </w:r>
      <w:r w:rsidRPr="003E590F">
        <w:rPr>
          <w:rFonts w:ascii="Times New Roman" w:eastAsia="Times New Roman" w:hAnsi="Times New Roman"/>
          <w:sz w:val="24"/>
          <w:szCs w:val="24"/>
        </w:rPr>
        <w:t xml:space="preserve">(9). </w:t>
      </w:r>
      <w:hyperlink r:id="rId17" w:history="1">
        <w:r w:rsidRPr="003E590F">
          <w:rPr>
            <w:rStyle w:val="Hyperlink"/>
            <w:rFonts w:ascii="Times New Roman" w:eastAsia="Times New Roman" w:hAnsi="Times New Roman"/>
            <w:sz w:val="24"/>
            <w:szCs w:val="24"/>
          </w:rPr>
          <w:t>https://doi.org/10.1007/s13201-021-01483-5</w:t>
        </w:r>
      </w:hyperlink>
    </w:p>
    <w:p w14:paraId="3BD4435E" w14:textId="77777777" w:rsidR="00113C05" w:rsidRPr="003E590F" w:rsidRDefault="00113C05" w:rsidP="003E590F">
      <w:pPr>
        <w:pStyle w:val="ListParagraph"/>
        <w:numPr>
          <w:ilvl w:val="0"/>
          <w:numId w:val="3"/>
        </w:numPr>
        <w:spacing w:after="0" w:line="360" w:lineRule="auto"/>
        <w:rPr>
          <w:rFonts w:ascii="Times New Roman" w:eastAsia="Times New Roman" w:hAnsi="Times New Roman"/>
          <w:sz w:val="24"/>
          <w:szCs w:val="24"/>
        </w:rPr>
      </w:pPr>
      <w:r w:rsidRPr="003E590F">
        <w:rPr>
          <w:rFonts w:ascii="Times New Roman" w:eastAsia="Times New Roman" w:hAnsi="Times New Roman"/>
          <w:sz w:val="24"/>
          <w:szCs w:val="24"/>
        </w:rPr>
        <w:t xml:space="preserve">Tedeschi, A. C., Fortier, R. A., &amp; Chow-Fraser, P. (2024). Effects of increasing tile drainage and seasonal weather patterns on phosphorus loading from three major Canadian Lake Erie tributaries. </w:t>
      </w:r>
      <w:r w:rsidRPr="003E590F">
        <w:rPr>
          <w:rFonts w:ascii="Times New Roman" w:eastAsia="Times New Roman" w:hAnsi="Times New Roman"/>
          <w:i/>
          <w:iCs/>
          <w:sz w:val="24"/>
          <w:szCs w:val="24"/>
        </w:rPr>
        <w:t>Journal of Great Lakes Research</w:t>
      </w:r>
      <w:r w:rsidRPr="003E590F">
        <w:rPr>
          <w:rFonts w:ascii="Times New Roman" w:eastAsia="Times New Roman" w:hAnsi="Times New Roman"/>
          <w:sz w:val="24"/>
          <w:szCs w:val="24"/>
        </w:rPr>
        <w:t xml:space="preserve">, </w:t>
      </w:r>
      <w:r w:rsidRPr="003E590F">
        <w:rPr>
          <w:rFonts w:ascii="Times New Roman" w:eastAsia="Times New Roman" w:hAnsi="Times New Roman"/>
          <w:i/>
          <w:iCs/>
          <w:sz w:val="24"/>
          <w:szCs w:val="24"/>
        </w:rPr>
        <w:t>50</w:t>
      </w:r>
      <w:r w:rsidRPr="003E590F">
        <w:rPr>
          <w:rFonts w:ascii="Times New Roman" w:eastAsia="Times New Roman" w:hAnsi="Times New Roman"/>
          <w:sz w:val="24"/>
          <w:szCs w:val="24"/>
        </w:rPr>
        <w:t xml:space="preserve">(5), 102396. </w:t>
      </w:r>
      <w:hyperlink r:id="rId18" w:history="1">
        <w:r w:rsidRPr="003E590F">
          <w:rPr>
            <w:rStyle w:val="Hyperlink"/>
            <w:rFonts w:ascii="Times New Roman" w:eastAsia="Times New Roman" w:hAnsi="Times New Roman"/>
            <w:sz w:val="24"/>
            <w:szCs w:val="24"/>
          </w:rPr>
          <w:t>https://doi.org/10.1016/j.jglr.2024.102396</w:t>
        </w:r>
      </w:hyperlink>
    </w:p>
    <w:p w14:paraId="5929439D"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lang w:val="es-US"/>
        </w:rPr>
      </w:pPr>
      <w:r w:rsidRPr="003E590F">
        <w:rPr>
          <w:rFonts w:ascii="Times New Roman" w:eastAsia="Times New Roman" w:hAnsi="Times New Roman"/>
          <w:sz w:val="24"/>
          <w:szCs w:val="24"/>
          <w:lang w:val="en-US"/>
        </w:rPr>
        <w:t xml:space="preserve">USEPA (2000). </w:t>
      </w:r>
      <w:r w:rsidRPr="003E590F">
        <w:rPr>
          <w:rFonts w:ascii="Times New Roman" w:eastAsia="Times New Roman" w:hAnsi="Times New Roman"/>
          <w:i/>
          <w:iCs/>
          <w:sz w:val="24"/>
          <w:szCs w:val="24"/>
          <w:lang w:val="en-US"/>
        </w:rPr>
        <w:t>Nutrient Criteria Technical Guidance Manual: Rivers and Streams.</w:t>
      </w:r>
      <w:r w:rsidRPr="003E590F">
        <w:rPr>
          <w:rFonts w:ascii="Times New Roman" w:eastAsia="Times New Roman" w:hAnsi="Times New Roman"/>
          <w:sz w:val="24"/>
          <w:szCs w:val="24"/>
          <w:lang w:val="en-US"/>
        </w:rPr>
        <w:t xml:space="preserve"> </w:t>
      </w:r>
      <w:r w:rsidRPr="003E590F">
        <w:rPr>
          <w:rFonts w:ascii="Times New Roman" w:eastAsia="Times New Roman" w:hAnsi="Times New Roman"/>
          <w:sz w:val="24"/>
          <w:szCs w:val="24"/>
          <w:lang w:val="es-US"/>
        </w:rPr>
        <w:t>EPA-822-B-00-002.</w:t>
      </w:r>
    </w:p>
    <w:p w14:paraId="1F13CF67"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lang w:val="es-US"/>
        </w:rPr>
        <w:t xml:space="preserve">Van </w:t>
      </w:r>
      <w:proofErr w:type="spellStart"/>
      <w:r w:rsidRPr="003E590F">
        <w:rPr>
          <w:rFonts w:ascii="Times New Roman" w:eastAsia="Times New Roman" w:hAnsi="Times New Roman"/>
          <w:sz w:val="24"/>
          <w:szCs w:val="24"/>
          <w:lang w:val="es-US"/>
        </w:rPr>
        <w:t>Beek</w:t>
      </w:r>
      <w:proofErr w:type="spellEnd"/>
      <w:r w:rsidRPr="003E590F">
        <w:rPr>
          <w:rFonts w:ascii="Times New Roman" w:eastAsia="Times New Roman" w:hAnsi="Times New Roman"/>
          <w:sz w:val="24"/>
          <w:szCs w:val="24"/>
          <w:lang w:val="es-US"/>
        </w:rPr>
        <w:t xml:space="preserve">, C. L. C., </w:t>
      </w:r>
      <w:proofErr w:type="spellStart"/>
      <w:r w:rsidRPr="003E590F">
        <w:rPr>
          <w:rFonts w:ascii="Times New Roman" w:eastAsia="Times New Roman" w:hAnsi="Times New Roman"/>
          <w:sz w:val="24"/>
          <w:szCs w:val="24"/>
          <w:lang w:val="es-US"/>
        </w:rPr>
        <w:t>Elias</w:t>
      </w:r>
      <w:proofErr w:type="spellEnd"/>
      <w:r w:rsidRPr="003E590F">
        <w:rPr>
          <w:rFonts w:ascii="Times New Roman" w:eastAsia="Times New Roman" w:hAnsi="Times New Roman"/>
          <w:sz w:val="24"/>
          <w:szCs w:val="24"/>
          <w:lang w:val="es-US"/>
        </w:rPr>
        <w:t xml:space="preserve">, E., Selassie, Y. G., </w:t>
      </w:r>
      <w:proofErr w:type="spellStart"/>
      <w:r w:rsidRPr="003E590F">
        <w:rPr>
          <w:rFonts w:ascii="Times New Roman" w:eastAsia="Times New Roman" w:hAnsi="Times New Roman"/>
          <w:sz w:val="24"/>
          <w:szCs w:val="24"/>
          <w:lang w:val="es-US"/>
        </w:rPr>
        <w:t>Gebresamuel</w:t>
      </w:r>
      <w:proofErr w:type="spellEnd"/>
      <w:r w:rsidRPr="003E590F">
        <w:rPr>
          <w:rFonts w:ascii="Times New Roman" w:eastAsia="Times New Roman" w:hAnsi="Times New Roman"/>
          <w:sz w:val="24"/>
          <w:szCs w:val="24"/>
          <w:lang w:val="es-US"/>
        </w:rPr>
        <w:t xml:space="preserve">, G., Tsegaye, A., </w:t>
      </w:r>
      <w:proofErr w:type="spellStart"/>
      <w:r w:rsidRPr="003E590F">
        <w:rPr>
          <w:rFonts w:ascii="Times New Roman" w:eastAsia="Times New Roman" w:hAnsi="Times New Roman"/>
          <w:sz w:val="24"/>
          <w:szCs w:val="24"/>
          <w:lang w:val="es-US"/>
        </w:rPr>
        <w:t>Hundessa</w:t>
      </w:r>
      <w:proofErr w:type="spellEnd"/>
      <w:r w:rsidRPr="003E590F">
        <w:rPr>
          <w:rFonts w:ascii="Times New Roman" w:eastAsia="Times New Roman" w:hAnsi="Times New Roman"/>
          <w:sz w:val="24"/>
          <w:szCs w:val="24"/>
          <w:lang w:val="es-US"/>
        </w:rPr>
        <w:t xml:space="preserve">, F., … </w:t>
      </w:r>
      <w:r w:rsidRPr="003E590F">
        <w:rPr>
          <w:rFonts w:ascii="Times New Roman" w:eastAsia="Times New Roman" w:hAnsi="Times New Roman"/>
          <w:sz w:val="24"/>
          <w:szCs w:val="24"/>
        </w:rPr>
        <w:t xml:space="preserve">Mengistu, S. (2018). Soil organic matter depletion as a major threat to agricultural </w:t>
      </w:r>
      <w:r w:rsidRPr="003E590F">
        <w:rPr>
          <w:rFonts w:ascii="Times New Roman" w:eastAsia="Times New Roman" w:hAnsi="Times New Roman"/>
          <w:sz w:val="24"/>
          <w:szCs w:val="24"/>
        </w:rPr>
        <w:lastRenderedPageBreak/>
        <w:t>intensification in the highlands of Ethiopia. </w:t>
      </w:r>
      <w:r w:rsidRPr="003E590F">
        <w:rPr>
          <w:rFonts w:ascii="Times New Roman" w:eastAsia="Times New Roman" w:hAnsi="Times New Roman"/>
          <w:i/>
          <w:iCs/>
          <w:sz w:val="24"/>
          <w:szCs w:val="24"/>
          <w:bdr w:val="none" w:sz="0" w:space="0" w:color="auto" w:frame="1"/>
        </w:rPr>
        <w:t>Ethiopian Journal of Science and Technology</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11</w:t>
      </w:r>
      <w:r w:rsidRPr="003E590F">
        <w:rPr>
          <w:rFonts w:ascii="Times New Roman" w:eastAsia="Times New Roman" w:hAnsi="Times New Roman"/>
          <w:sz w:val="24"/>
          <w:szCs w:val="24"/>
        </w:rPr>
        <w:t>(3), 271–285.</w:t>
      </w:r>
    </w:p>
    <w:p w14:paraId="56087570"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lang w:val="en-US"/>
        </w:rPr>
      </w:pPr>
      <w:proofErr w:type="spellStart"/>
      <w:r w:rsidRPr="003E590F">
        <w:rPr>
          <w:rFonts w:ascii="Times New Roman" w:eastAsia="Times New Roman" w:hAnsi="Times New Roman"/>
          <w:sz w:val="24"/>
          <w:szCs w:val="24"/>
          <w:lang w:val="en-US"/>
        </w:rPr>
        <w:t>Vollenweider</w:t>
      </w:r>
      <w:proofErr w:type="spellEnd"/>
      <w:r w:rsidRPr="003E590F">
        <w:rPr>
          <w:rFonts w:ascii="Times New Roman" w:eastAsia="Times New Roman" w:hAnsi="Times New Roman"/>
          <w:sz w:val="24"/>
          <w:szCs w:val="24"/>
          <w:lang w:val="en-US"/>
        </w:rPr>
        <w:t xml:space="preserve">, R.A. (1968). </w:t>
      </w:r>
      <w:r w:rsidRPr="003E590F">
        <w:rPr>
          <w:rFonts w:ascii="Times New Roman" w:eastAsia="Times New Roman" w:hAnsi="Times New Roman"/>
          <w:i/>
          <w:iCs/>
          <w:sz w:val="24"/>
          <w:szCs w:val="24"/>
          <w:lang w:val="en-US"/>
        </w:rPr>
        <w:t>Scientific fundamentals of the eutrophication of lakes and flowing waters.</w:t>
      </w:r>
      <w:r w:rsidRPr="003E590F">
        <w:rPr>
          <w:rFonts w:ascii="Times New Roman" w:eastAsia="Times New Roman" w:hAnsi="Times New Roman"/>
          <w:sz w:val="24"/>
          <w:szCs w:val="24"/>
          <w:lang w:val="en-US"/>
        </w:rPr>
        <w:t xml:space="preserve"> OECD, Paris.</w:t>
      </w:r>
    </w:p>
    <w:p w14:paraId="1D8E2D6B"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proofErr w:type="spellStart"/>
      <w:r w:rsidRPr="003E590F">
        <w:rPr>
          <w:rFonts w:ascii="Times New Roman" w:eastAsia="Times New Roman" w:hAnsi="Times New Roman"/>
          <w:sz w:val="24"/>
          <w:szCs w:val="24"/>
        </w:rPr>
        <w:t>Waikar</w:t>
      </w:r>
      <w:proofErr w:type="spellEnd"/>
      <w:r w:rsidRPr="003E590F">
        <w:rPr>
          <w:rFonts w:ascii="Times New Roman" w:eastAsia="Times New Roman" w:hAnsi="Times New Roman"/>
          <w:sz w:val="24"/>
          <w:szCs w:val="24"/>
        </w:rPr>
        <w:t xml:space="preserve">, M., &amp; </w:t>
      </w:r>
      <w:proofErr w:type="spellStart"/>
      <w:r w:rsidRPr="003E590F">
        <w:rPr>
          <w:rFonts w:ascii="Times New Roman" w:eastAsia="Times New Roman" w:hAnsi="Times New Roman"/>
          <w:sz w:val="24"/>
          <w:szCs w:val="24"/>
        </w:rPr>
        <w:t>Nilawar</w:t>
      </w:r>
      <w:proofErr w:type="spellEnd"/>
      <w:r w:rsidRPr="003E590F">
        <w:rPr>
          <w:rFonts w:ascii="Times New Roman" w:eastAsia="Times New Roman" w:hAnsi="Times New Roman"/>
          <w:sz w:val="24"/>
          <w:szCs w:val="24"/>
        </w:rPr>
        <w:t>, A. P. (2014). Morphometric analysis of a drainage basin using geographical information system: a case study. </w:t>
      </w:r>
      <w:r w:rsidRPr="003E590F">
        <w:rPr>
          <w:rFonts w:ascii="Times New Roman" w:eastAsia="Times New Roman" w:hAnsi="Times New Roman"/>
          <w:i/>
          <w:iCs/>
          <w:sz w:val="24"/>
          <w:szCs w:val="24"/>
          <w:bdr w:val="none" w:sz="0" w:space="0" w:color="auto" w:frame="1"/>
        </w:rPr>
        <w:t xml:space="preserve">Int J </w:t>
      </w:r>
      <w:proofErr w:type="spellStart"/>
      <w:r w:rsidRPr="003E590F">
        <w:rPr>
          <w:rFonts w:ascii="Times New Roman" w:eastAsia="Times New Roman" w:hAnsi="Times New Roman"/>
          <w:i/>
          <w:iCs/>
          <w:sz w:val="24"/>
          <w:szCs w:val="24"/>
          <w:bdr w:val="none" w:sz="0" w:space="0" w:color="auto" w:frame="1"/>
        </w:rPr>
        <w:t>Multidiscip</w:t>
      </w:r>
      <w:proofErr w:type="spellEnd"/>
      <w:r w:rsidRPr="003E590F">
        <w:rPr>
          <w:rFonts w:ascii="Times New Roman" w:eastAsia="Times New Roman" w:hAnsi="Times New Roman"/>
          <w:i/>
          <w:iCs/>
          <w:sz w:val="24"/>
          <w:szCs w:val="24"/>
          <w:bdr w:val="none" w:sz="0" w:space="0" w:color="auto" w:frame="1"/>
        </w:rPr>
        <w:t xml:space="preserve"> </w:t>
      </w:r>
      <w:proofErr w:type="spellStart"/>
      <w:r w:rsidRPr="003E590F">
        <w:rPr>
          <w:rFonts w:ascii="Times New Roman" w:eastAsia="Times New Roman" w:hAnsi="Times New Roman"/>
          <w:i/>
          <w:iCs/>
          <w:sz w:val="24"/>
          <w:szCs w:val="24"/>
          <w:bdr w:val="none" w:sz="0" w:space="0" w:color="auto" w:frame="1"/>
        </w:rPr>
        <w:t>Curr</w:t>
      </w:r>
      <w:proofErr w:type="spellEnd"/>
      <w:r w:rsidRPr="003E590F">
        <w:rPr>
          <w:rFonts w:ascii="Times New Roman" w:eastAsia="Times New Roman" w:hAnsi="Times New Roman"/>
          <w:i/>
          <w:iCs/>
          <w:sz w:val="24"/>
          <w:szCs w:val="24"/>
          <w:bdr w:val="none" w:sz="0" w:space="0" w:color="auto" w:frame="1"/>
        </w:rPr>
        <w:t xml:space="preserve"> Res</w:t>
      </w:r>
      <w:r w:rsidRPr="003E590F">
        <w:rPr>
          <w:rFonts w:ascii="Times New Roman" w:eastAsia="Times New Roman" w:hAnsi="Times New Roman"/>
          <w:sz w:val="24"/>
          <w:szCs w:val="24"/>
        </w:rPr>
        <w:t>, </w:t>
      </w:r>
      <w:r w:rsidRPr="003E590F">
        <w:rPr>
          <w:rFonts w:ascii="Times New Roman" w:eastAsia="Times New Roman" w:hAnsi="Times New Roman"/>
          <w:i/>
          <w:iCs/>
          <w:sz w:val="24"/>
          <w:szCs w:val="24"/>
          <w:bdr w:val="none" w:sz="0" w:space="0" w:color="auto" w:frame="1"/>
        </w:rPr>
        <w:t>2</w:t>
      </w:r>
      <w:r w:rsidRPr="003E590F">
        <w:rPr>
          <w:rFonts w:ascii="Times New Roman" w:eastAsia="Times New Roman" w:hAnsi="Times New Roman"/>
          <w:sz w:val="24"/>
          <w:szCs w:val="24"/>
        </w:rPr>
        <w:t>, 179–184.</w:t>
      </w:r>
    </w:p>
    <w:p w14:paraId="727132A4" w14:textId="77777777" w:rsidR="00113C05" w:rsidRPr="003E590F" w:rsidRDefault="00113C05" w:rsidP="003E590F">
      <w:pPr>
        <w:pStyle w:val="ListParagraph"/>
        <w:numPr>
          <w:ilvl w:val="0"/>
          <w:numId w:val="3"/>
        </w:numPr>
        <w:shd w:val="clear" w:color="auto" w:fill="FFFFFF"/>
        <w:spacing w:after="0" w:line="360" w:lineRule="auto"/>
        <w:jc w:val="both"/>
        <w:textAlignment w:val="baseline"/>
        <w:rPr>
          <w:rFonts w:ascii="Times New Roman" w:eastAsia="Times New Roman" w:hAnsi="Times New Roman"/>
          <w:sz w:val="24"/>
          <w:szCs w:val="24"/>
        </w:rPr>
      </w:pPr>
      <w:r w:rsidRPr="003E590F">
        <w:rPr>
          <w:rFonts w:ascii="Times New Roman" w:eastAsia="Times New Roman" w:hAnsi="Times New Roman"/>
          <w:sz w:val="24"/>
          <w:szCs w:val="24"/>
          <w:lang w:val="en-US"/>
        </w:rPr>
        <w:t xml:space="preserve">WHO (2017). </w:t>
      </w:r>
      <w:r w:rsidRPr="003E590F">
        <w:rPr>
          <w:rFonts w:ascii="Times New Roman" w:eastAsia="Times New Roman" w:hAnsi="Times New Roman"/>
          <w:i/>
          <w:iCs/>
          <w:sz w:val="24"/>
          <w:szCs w:val="24"/>
          <w:lang w:val="en-US"/>
        </w:rPr>
        <w:t>Guidelines for Drinking-water Quality</w:t>
      </w:r>
      <w:r w:rsidRPr="003E590F">
        <w:rPr>
          <w:rFonts w:ascii="Times New Roman" w:eastAsia="Times New Roman" w:hAnsi="Times New Roman"/>
          <w:sz w:val="24"/>
          <w:szCs w:val="24"/>
          <w:lang w:val="en-US"/>
        </w:rPr>
        <w:t>, 4th Edition. World Health Organization, Geneva.</w:t>
      </w:r>
    </w:p>
    <w:p w14:paraId="7BB0B66F" w14:textId="77777777" w:rsidR="00113C05" w:rsidRDefault="00113C05" w:rsidP="003E590F">
      <w:pPr>
        <w:pStyle w:val="ListParagraph"/>
        <w:numPr>
          <w:ilvl w:val="0"/>
          <w:numId w:val="3"/>
        </w:numPr>
        <w:shd w:val="clear" w:color="auto" w:fill="FFFFFF"/>
        <w:spacing w:after="0" w:line="360" w:lineRule="auto"/>
        <w:jc w:val="both"/>
        <w:textAlignment w:val="baseline"/>
      </w:pPr>
      <w:r w:rsidRPr="003E590F">
        <w:rPr>
          <w:rFonts w:ascii="Times New Roman" w:eastAsia="Times New Roman" w:hAnsi="Times New Roman"/>
          <w:sz w:val="24"/>
          <w:szCs w:val="24"/>
        </w:rPr>
        <w:t xml:space="preserve">Yusof, F. M., Jamil, N. R., Aini, N., &amp; Manaf, L. A. (2016). Land use change and soil loss risk assessment by using geographical information system (GIS): A case study of lower part of </w:t>
      </w:r>
      <w:r w:rsidRPr="003E590F">
        <w:rPr>
          <w:rFonts w:ascii="Times New Roman" w:eastAsia="Times New Roman" w:hAnsi="Times New Roman"/>
        </w:rPr>
        <w:t xml:space="preserve">Perak River. In Proceedings 8th IGRSM International Conference and Exhibition on Remote Sensing &amp; GIS. </w:t>
      </w:r>
      <w:r w:rsidRPr="003E590F">
        <w:rPr>
          <w:rFonts w:ascii="Times New Roman" w:eastAsia="Times New Roman" w:hAnsi="Times New Roman"/>
          <w:i/>
          <w:iCs/>
        </w:rPr>
        <w:t>IOP Conference Series: Earth and E</w:t>
      </w:r>
      <w:bookmarkStart w:id="0" w:name="_GoBack"/>
      <w:bookmarkEnd w:id="0"/>
      <w:r w:rsidRPr="003E590F">
        <w:rPr>
          <w:rFonts w:ascii="Times New Roman" w:eastAsia="Times New Roman" w:hAnsi="Times New Roman"/>
          <w:i/>
          <w:iCs/>
        </w:rPr>
        <w:t>nvironmental Science</w:t>
      </w:r>
      <w:r w:rsidRPr="003E590F">
        <w:rPr>
          <w:rFonts w:ascii="Times New Roman" w:eastAsia="Times New Roman" w:hAnsi="Times New Roman"/>
        </w:rPr>
        <w:t>, 37, 012065 https://doi:10.1088/1755-1315/37/1/012065</w:t>
      </w:r>
    </w:p>
    <w:p w14:paraId="78487942" w14:textId="77777777" w:rsidR="008A5DAE" w:rsidRPr="0061440E" w:rsidRDefault="008A5DAE" w:rsidP="00320BED">
      <w:pPr>
        <w:shd w:val="clear" w:color="auto" w:fill="FFFFFF"/>
        <w:spacing w:after="0" w:line="360" w:lineRule="auto"/>
        <w:ind w:left="720" w:hanging="720"/>
        <w:jc w:val="both"/>
        <w:textAlignment w:val="baseline"/>
        <w:rPr>
          <w:rFonts w:ascii="Times New Roman" w:eastAsia="Times New Roman" w:hAnsi="Times New Roman"/>
          <w:sz w:val="24"/>
          <w:szCs w:val="24"/>
        </w:rPr>
      </w:pPr>
    </w:p>
    <w:p w14:paraId="1AC7811E" w14:textId="3072744B" w:rsidR="006E1E1E" w:rsidRPr="00D747EA" w:rsidRDefault="006E1E1E" w:rsidP="00320BED">
      <w:pPr>
        <w:pStyle w:val="NormalWeb"/>
        <w:spacing w:before="0" w:beforeAutospacing="0" w:after="0" w:afterAutospacing="0" w:line="360" w:lineRule="auto"/>
        <w:jc w:val="both"/>
      </w:pPr>
    </w:p>
    <w:p w14:paraId="2C32D772" w14:textId="77777777" w:rsidR="00CA61CD" w:rsidRDefault="00CA61CD" w:rsidP="00FA69E4">
      <w:pPr>
        <w:pStyle w:val="NormalWeb"/>
        <w:spacing w:before="0" w:beforeAutospacing="0" w:after="0" w:afterAutospacing="0" w:line="360" w:lineRule="auto"/>
        <w:jc w:val="both"/>
      </w:pPr>
    </w:p>
    <w:sectPr w:rsidR="00CA61C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38AB" w14:textId="77777777" w:rsidR="002C687B" w:rsidRDefault="002C687B" w:rsidP="00747C4E">
      <w:pPr>
        <w:spacing w:after="0" w:line="240" w:lineRule="auto"/>
      </w:pPr>
      <w:r>
        <w:separator/>
      </w:r>
    </w:p>
  </w:endnote>
  <w:endnote w:type="continuationSeparator" w:id="0">
    <w:p w14:paraId="404460E6" w14:textId="77777777" w:rsidR="002C687B" w:rsidRDefault="002C687B" w:rsidP="0074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1535" w14:textId="77777777" w:rsidR="00747C4E" w:rsidRDefault="00747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DB37" w14:textId="77777777" w:rsidR="00747C4E" w:rsidRDefault="00747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E37D" w14:textId="77777777" w:rsidR="00747C4E" w:rsidRDefault="0074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A9AC" w14:textId="77777777" w:rsidR="002C687B" w:rsidRDefault="002C687B" w:rsidP="00747C4E">
      <w:pPr>
        <w:spacing w:after="0" w:line="240" w:lineRule="auto"/>
      </w:pPr>
      <w:r>
        <w:separator/>
      </w:r>
    </w:p>
  </w:footnote>
  <w:footnote w:type="continuationSeparator" w:id="0">
    <w:p w14:paraId="5B4580E8" w14:textId="77777777" w:rsidR="002C687B" w:rsidRDefault="002C687B" w:rsidP="00747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57C0" w14:textId="7B97040C" w:rsidR="00747C4E" w:rsidRDefault="002C687B">
    <w:pPr>
      <w:pStyle w:val="Header"/>
    </w:pPr>
    <w:r>
      <w:rPr>
        <w:noProof/>
      </w:rPr>
      <w:pict w14:anchorId="2184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31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7B67" w14:textId="30190DB4" w:rsidR="00747C4E" w:rsidRDefault="002C687B">
    <w:pPr>
      <w:pStyle w:val="Header"/>
    </w:pPr>
    <w:r>
      <w:rPr>
        <w:noProof/>
      </w:rPr>
      <w:pict w14:anchorId="4246C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31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874C" w14:textId="0EC7A396" w:rsidR="00747C4E" w:rsidRDefault="002C687B">
    <w:pPr>
      <w:pStyle w:val="Header"/>
    </w:pPr>
    <w:r>
      <w:rPr>
        <w:noProof/>
      </w:rPr>
      <w:pict w14:anchorId="1E71C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31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49B"/>
    <w:multiLevelType w:val="multilevel"/>
    <w:tmpl w:val="95AA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B61F8"/>
    <w:multiLevelType w:val="multilevel"/>
    <w:tmpl w:val="6562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52CA7"/>
    <w:multiLevelType w:val="hybridMultilevel"/>
    <w:tmpl w:val="76AC21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sTC0MLQ0NDIysTBW0lEKTi0uzszPAykwqwUAJ+wEsywAAAA="/>
  </w:docVars>
  <w:rsids>
    <w:rsidRoot w:val="007D5167"/>
    <w:rsid w:val="0000123A"/>
    <w:rsid w:val="00023263"/>
    <w:rsid w:val="00026A35"/>
    <w:rsid w:val="0003164D"/>
    <w:rsid w:val="00064371"/>
    <w:rsid w:val="000650BA"/>
    <w:rsid w:val="00066F20"/>
    <w:rsid w:val="0006727D"/>
    <w:rsid w:val="000721C6"/>
    <w:rsid w:val="00073E17"/>
    <w:rsid w:val="00076D6A"/>
    <w:rsid w:val="0008334B"/>
    <w:rsid w:val="000870C9"/>
    <w:rsid w:val="00092432"/>
    <w:rsid w:val="00092498"/>
    <w:rsid w:val="000A6D6F"/>
    <w:rsid w:val="001003DB"/>
    <w:rsid w:val="00100AF9"/>
    <w:rsid w:val="00113C05"/>
    <w:rsid w:val="00174A94"/>
    <w:rsid w:val="00177387"/>
    <w:rsid w:val="00177412"/>
    <w:rsid w:val="00182CE0"/>
    <w:rsid w:val="00183A23"/>
    <w:rsid w:val="001E35AD"/>
    <w:rsid w:val="001F3FE8"/>
    <w:rsid w:val="00202AC0"/>
    <w:rsid w:val="00216024"/>
    <w:rsid w:val="00235522"/>
    <w:rsid w:val="00273F2D"/>
    <w:rsid w:val="002B5EDE"/>
    <w:rsid w:val="002C2316"/>
    <w:rsid w:val="002C687B"/>
    <w:rsid w:val="002E3378"/>
    <w:rsid w:val="002F75B9"/>
    <w:rsid w:val="00320BED"/>
    <w:rsid w:val="0034093C"/>
    <w:rsid w:val="00345476"/>
    <w:rsid w:val="00356807"/>
    <w:rsid w:val="0036446F"/>
    <w:rsid w:val="0037309F"/>
    <w:rsid w:val="003865BC"/>
    <w:rsid w:val="003956D1"/>
    <w:rsid w:val="003A0AB3"/>
    <w:rsid w:val="003B24A5"/>
    <w:rsid w:val="003B4886"/>
    <w:rsid w:val="003B7AC5"/>
    <w:rsid w:val="003D2D07"/>
    <w:rsid w:val="003E590F"/>
    <w:rsid w:val="00405515"/>
    <w:rsid w:val="0042509D"/>
    <w:rsid w:val="00437BB2"/>
    <w:rsid w:val="004451A1"/>
    <w:rsid w:val="0045058C"/>
    <w:rsid w:val="00450F01"/>
    <w:rsid w:val="00470281"/>
    <w:rsid w:val="004A747C"/>
    <w:rsid w:val="004C54C8"/>
    <w:rsid w:val="004C5BC4"/>
    <w:rsid w:val="005441FB"/>
    <w:rsid w:val="0054459E"/>
    <w:rsid w:val="00552FFA"/>
    <w:rsid w:val="00563AAB"/>
    <w:rsid w:val="00576716"/>
    <w:rsid w:val="0058740B"/>
    <w:rsid w:val="0059262F"/>
    <w:rsid w:val="005A319A"/>
    <w:rsid w:val="005A3248"/>
    <w:rsid w:val="005A4030"/>
    <w:rsid w:val="005B66E6"/>
    <w:rsid w:val="005C0140"/>
    <w:rsid w:val="005C7F14"/>
    <w:rsid w:val="006105CA"/>
    <w:rsid w:val="00622E0A"/>
    <w:rsid w:val="006277EF"/>
    <w:rsid w:val="00685E4D"/>
    <w:rsid w:val="006A067D"/>
    <w:rsid w:val="006E0433"/>
    <w:rsid w:val="006E1E1E"/>
    <w:rsid w:val="006F4B07"/>
    <w:rsid w:val="00747C4E"/>
    <w:rsid w:val="007501AA"/>
    <w:rsid w:val="00781526"/>
    <w:rsid w:val="00781C87"/>
    <w:rsid w:val="007C29DE"/>
    <w:rsid w:val="007D5167"/>
    <w:rsid w:val="007F6C9C"/>
    <w:rsid w:val="007F6E60"/>
    <w:rsid w:val="00805731"/>
    <w:rsid w:val="00811A0C"/>
    <w:rsid w:val="0083125A"/>
    <w:rsid w:val="008607FC"/>
    <w:rsid w:val="0086141D"/>
    <w:rsid w:val="008876C9"/>
    <w:rsid w:val="008A100A"/>
    <w:rsid w:val="008A1686"/>
    <w:rsid w:val="008A5315"/>
    <w:rsid w:val="008A5DAE"/>
    <w:rsid w:val="008D0C7C"/>
    <w:rsid w:val="008D331A"/>
    <w:rsid w:val="008F4945"/>
    <w:rsid w:val="0090132C"/>
    <w:rsid w:val="00901F2D"/>
    <w:rsid w:val="00915073"/>
    <w:rsid w:val="00924D54"/>
    <w:rsid w:val="00934321"/>
    <w:rsid w:val="00934368"/>
    <w:rsid w:val="00944486"/>
    <w:rsid w:val="00956994"/>
    <w:rsid w:val="009A3144"/>
    <w:rsid w:val="009B24A5"/>
    <w:rsid w:val="009B4166"/>
    <w:rsid w:val="009E5189"/>
    <w:rsid w:val="00A01BDE"/>
    <w:rsid w:val="00A04C57"/>
    <w:rsid w:val="00A05246"/>
    <w:rsid w:val="00A24CA1"/>
    <w:rsid w:val="00A3379F"/>
    <w:rsid w:val="00A379DC"/>
    <w:rsid w:val="00A5031C"/>
    <w:rsid w:val="00A72689"/>
    <w:rsid w:val="00A73B6E"/>
    <w:rsid w:val="00A77AC4"/>
    <w:rsid w:val="00A96917"/>
    <w:rsid w:val="00AA53B0"/>
    <w:rsid w:val="00AB2077"/>
    <w:rsid w:val="00AE2661"/>
    <w:rsid w:val="00AE770C"/>
    <w:rsid w:val="00B052A4"/>
    <w:rsid w:val="00B0733A"/>
    <w:rsid w:val="00B163B2"/>
    <w:rsid w:val="00B26B0B"/>
    <w:rsid w:val="00B340E6"/>
    <w:rsid w:val="00B45D20"/>
    <w:rsid w:val="00B94141"/>
    <w:rsid w:val="00BA4117"/>
    <w:rsid w:val="00BD1453"/>
    <w:rsid w:val="00C14824"/>
    <w:rsid w:val="00C24ACD"/>
    <w:rsid w:val="00C9073F"/>
    <w:rsid w:val="00C9360F"/>
    <w:rsid w:val="00CA61CD"/>
    <w:rsid w:val="00CB5DA2"/>
    <w:rsid w:val="00CC7D43"/>
    <w:rsid w:val="00D028E3"/>
    <w:rsid w:val="00D055A2"/>
    <w:rsid w:val="00D141A3"/>
    <w:rsid w:val="00D15323"/>
    <w:rsid w:val="00D25B98"/>
    <w:rsid w:val="00D35933"/>
    <w:rsid w:val="00D62634"/>
    <w:rsid w:val="00D64D6B"/>
    <w:rsid w:val="00D747EA"/>
    <w:rsid w:val="00DA6707"/>
    <w:rsid w:val="00DC470E"/>
    <w:rsid w:val="00DD1D92"/>
    <w:rsid w:val="00DD3E0A"/>
    <w:rsid w:val="00DE6AD8"/>
    <w:rsid w:val="00DF5A8A"/>
    <w:rsid w:val="00E035C6"/>
    <w:rsid w:val="00E07E4D"/>
    <w:rsid w:val="00E44A38"/>
    <w:rsid w:val="00E5080A"/>
    <w:rsid w:val="00E67419"/>
    <w:rsid w:val="00EA4F6A"/>
    <w:rsid w:val="00EC0F2B"/>
    <w:rsid w:val="00EC5A08"/>
    <w:rsid w:val="00EE1A8F"/>
    <w:rsid w:val="00EE2A00"/>
    <w:rsid w:val="00F54CF3"/>
    <w:rsid w:val="00F63B40"/>
    <w:rsid w:val="00F853E8"/>
    <w:rsid w:val="00F93018"/>
    <w:rsid w:val="00FA69E4"/>
    <w:rsid w:val="00FC3033"/>
    <w:rsid w:val="00FC73FF"/>
    <w:rsid w:val="00FE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F4148"/>
  <w15:chartTrackingRefBased/>
  <w15:docId w15:val="{B4E2BCD5-E315-46AC-92EB-C908E8F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41D"/>
    <w:pPr>
      <w:spacing w:after="200" w:line="276" w:lineRule="auto"/>
    </w:pPr>
    <w:rPr>
      <w:rFonts w:ascii="Calibri" w:eastAsia="Calibri" w:hAnsi="Calibri" w:cs="Times New Roman"/>
      <w:lang w:val="en-IN"/>
    </w:rPr>
  </w:style>
  <w:style w:type="paragraph" w:styleId="Heading3">
    <w:name w:val="heading 3"/>
    <w:basedOn w:val="Normal"/>
    <w:link w:val="Heading3Char"/>
    <w:uiPriority w:val="9"/>
    <w:qFormat/>
    <w:rsid w:val="00685E4D"/>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5A32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F0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450F01"/>
    <w:rPr>
      <w:b/>
      <w:bCs/>
    </w:rPr>
  </w:style>
  <w:style w:type="character" w:customStyle="1" w:styleId="Heading3Char">
    <w:name w:val="Heading 3 Char"/>
    <w:basedOn w:val="DefaultParagraphFont"/>
    <w:link w:val="Heading3"/>
    <w:uiPriority w:val="9"/>
    <w:rsid w:val="00685E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A3248"/>
    <w:rPr>
      <w:rFonts w:asciiTheme="majorHAnsi" w:eastAsiaTheme="majorEastAsia" w:hAnsiTheme="majorHAnsi" w:cstheme="majorBidi"/>
      <w:i/>
      <w:iCs/>
      <w:color w:val="2F5496" w:themeColor="accent1" w:themeShade="BF"/>
      <w:lang w:val="en-IN"/>
    </w:rPr>
  </w:style>
  <w:style w:type="table" w:styleId="TableGrid">
    <w:name w:val="Table Grid"/>
    <w:basedOn w:val="TableNormal"/>
    <w:uiPriority w:val="39"/>
    <w:rsid w:val="00FC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76716"/>
  </w:style>
  <w:style w:type="character" w:customStyle="1" w:styleId="mord">
    <w:name w:val="mord"/>
    <w:basedOn w:val="DefaultParagraphFont"/>
    <w:rsid w:val="00576716"/>
  </w:style>
  <w:style w:type="character" w:customStyle="1" w:styleId="vlist-s">
    <w:name w:val="vlist-s"/>
    <w:basedOn w:val="DefaultParagraphFont"/>
    <w:rsid w:val="00576716"/>
  </w:style>
  <w:style w:type="character" w:customStyle="1" w:styleId="mrel">
    <w:name w:val="mrel"/>
    <w:basedOn w:val="DefaultParagraphFont"/>
    <w:rsid w:val="0006727D"/>
  </w:style>
  <w:style w:type="character" w:customStyle="1" w:styleId="mbin">
    <w:name w:val="mbin"/>
    <w:basedOn w:val="DefaultParagraphFont"/>
    <w:rsid w:val="0006727D"/>
  </w:style>
  <w:style w:type="character" w:styleId="Emphasis">
    <w:name w:val="Emphasis"/>
    <w:basedOn w:val="DefaultParagraphFont"/>
    <w:uiPriority w:val="20"/>
    <w:qFormat/>
    <w:rsid w:val="00CA61CD"/>
    <w:rPr>
      <w:i/>
      <w:iCs/>
    </w:rPr>
  </w:style>
  <w:style w:type="character" w:styleId="Hyperlink">
    <w:name w:val="Hyperlink"/>
    <w:basedOn w:val="DefaultParagraphFont"/>
    <w:uiPriority w:val="99"/>
    <w:unhideWhenUsed/>
    <w:rsid w:val="0083125A"/>
    <w:rPr>
      <w:color w:val="0000FF"/>
      <w:u w:val="single"/>
    </w:rPr>
  </w:style>
  <w:style w:type="character" w:styleId="UnresolvedMention">
    <w:name w:val="Unresolved Mention"/>
    <w:basedOn w:val="DefaultParagraphFont"/>
    <w:uiPriority w:val="99"/>
    <w:semiHidden/>
    <w:unhideWhenUsed/>
    <w:rsid w:val="0058740B"/>
    <w:rPr>
      <w:color w:val="605E5C"/>
      <w:shd w:val="clear" w:color="auto" w:fill="E1DFDD"/>
    </w:rPr>
  </w:style>
  <w:style w:type="paragraph" w:styleId="Header">
    <w:name w:val="header"/>
    <w:basedOn w:val="Normal"/>
    <w:link w:val="HeaderChar"/>
    <w:uiPriority w:val="99"/>
    <w:unhideWhenUsed/>
    <w:rsid w:val="00747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C4E"/>
    <w:rPr>
      <w:rFonts w:ascii="Calibri" w:eastAsia="Calibri" w:hAnsi="Calibri" w:cs="Times New Roman"/>
      <w:lang w:val="en-IN"/>
    </w:rPr>
  </w:style>
  <w:style w:type="paragraph" w:styleId="Footer">
    <w:name w:val="footer"/>
    <w:basedOn w:val="Normal"/>
    <w:link w:val="FooterChar"/>
    <w:uiPriority w:val="99"/>
    <w:unhideWhenUsed/>
    <w:rsid w:val="00747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C4E"/>
    <w:rPr>
      <w:rFonts w:ascii="Calibri" w:eastAsia="Calibri" w:hAnsi="Calibri" w:cs="Times New Roman"/>
      <w:lang w:val="en-IN"/>
    </w:rPr>
  </w:style>
  <w:style w:type="paragraph" w:styleId="ListParagraph">
    <w:name w:val="List Paragraph"/>
    <w:basedOn w:val="Normal"/>
    <w:uiPriority w:val="34"/>
    <w:qFormat/>
    <w:rsid w:val="003E5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8177">
      <w:bodyDiv w:val="1"/>
      <w:marLeft w:val="0"/>
      <w:marRight w:val="0"/>
      <w:marTop w:val="0"/>
      <w:marBottom w:val="0"/>
      <w:divBdr>
        <w:top w:val="none" w:sz="0" w:space="0" w:color="auto"/>
        <w:left w:val="none" w:sz="0" w:space="0" w:color="auto"/>
        <w:bottom w:val="none" w:sz="0" w:space="0" w:color="auto"/>
        <w:right w:val="none" w:sz="0" w:space="0" w:color="auto"/>
      </w:divBdr>
    </w:div>
    <w:div w:id="234822455">
      <w:bodyDiv w:val="1"/>
      <w:marLeft w:val="0"/>
      <w:marRight w:val="0"/>
      <w:marTop w:val="0"/>
      <w:marBottom w:val="0"/>
      <w:divBdr>
        <w:top w:val="none" w:sz="0" w:space="0" w:color="auto"/>
        <w:left w:val="none" w:sz="0" w:space="0" w:color="auto"/>
        <w:bottom w:val="none" w:sz="0" w:space="0" w:color="auto"/>
        <w:right w:val="none" w:sz="0" w:space="0" w:color="auto"/>
      </w:divBdr>
    </w:div>
    <w:div w:id="235016569">
      <w:bodyDiv w:val="1"/>
      <w:marLeft w:val="0"/>
      <w:marRight w:val="0"/>
      <w:marTop w:val="0"/>
      <w:marBottom w:val="0"/>
      <w:divBdr>
        <w:top w:val="none" w:sz="0" w:space="0" w:color="auto"/>
        <w:left w:val="none" w:sz="0" w:space="0" w:color="auto"/>
        <w:bottom w:val="none" w:sz="0" w:space="0" w:color="auto"/>
        <w:right w:val="none" w:sz="0" w:space="0" w:color="auto"/>
      </w:divBdr>
    </w:div>
    <w:div w:id="341318771">
      <w:bodyDiv w:val="1"/>
      <w:marLeft w:val="0"/>
      <w:marRight w:val="0"/>
      <w:marTop w:val="0"/>
      <w:marBottom w:val="0"/>
      <w:divBdr>
        <w:top w:val="none" w:sz="0" w:space="0" w:color="auto"/>
        <w:left w:val="none" w:sz="0" w:space="0" w:color="auto"/>
        <w:bottom w:val="none" w:sz="0" w:space="0" w:color="auto"/>
        <w:right w:val="none" w:sz="0" w:space="0" w:color="auto"/>
      </w:divBdr>
    </w:div>
    <w:div w:id="428695657">
      <w:bodyDiv w:val="1"/>
      <w:marLeft w:val="0"/>
      <w:marRight w:val="0"/>
      <w:marTop w:val="0"/>
      <w:marBottom w:val="0"/>
      <w:divBdr>
        <w:top w:val="none" w:sz="0" w:space="0" w:color="auto"/>
        <w:left w:val="none" w:sz="0" w:space="0" w:color="auto"/>
        <w:bottom w:val="none" w:sz="0" w:space="0" w:color="auto"/>
        <w:right w:val="none" w:sz="0" w:space="0" w:color="auto"/>
      </w:divBdr>
    </w:div>
    <w:div w:id="534346588">
      <w:bodyDiv w:val="1"/>
      <w:marLeft w:val="0"/>
      <w:marRight w:val="0"/>
      <w:marTop w:val="0"/>
      <w:marBottom w:val="0"/>
      <w:divBdr>
        <w:top w:val="none" w:sz="0" w:space="0" w:color="auto"/>
        <w:left w:val="none" w:sz="0" w:space="0" w:color="auto"/>
        <w:bottom w:val="none" w:sz="0" w:space="0" w:color="auto"/>
        <w:right w:val="none" w:sz="0" w:space="0" w:color="auto"/>
      </w:divBdr>
    </w:div>
    <w:div w:id="544410428">
      <w:bodyDiv w:val="1"/>
      <w:marLeft w:val="0"/>
      <w:marRight w:val="0"/>
      <w:marTop w:val="0"/>
      <w:marBottom w:val="0"/>
      <w:divBdr>
        <w:top w:val="none" w:sz="0" w:space="0" w:color="auto"/>
        <w:left w:val="none" w:sz="0" w:space="0" w:color="auto"/>
        <w:bottom w:val="none" w:sz="0" w:space="0" w:color="auto"/>
        <w:right w:val="none" w:sz="0" w:space="0" w:color="auto"/>
      </w:divBdr>
    </w:div>
    <w:div w:id="576404702">
      <w:bodyDiv w:val="1"/>
      <w:marLeft w:val="0"/>
      <w:marRight w:val="0"/>
      <w:marTop w:val="0"/>
      <w:marBottom w:val="0"/>
      <w:divBdr>
        <w:top w:val="none" w:sz="0" w:space="0" w:color="auto"/>
        <w:left w:val="none" w:sz="0" w:space="0" w:color="auto"/>
        <w:bottom w:val="none" w:sz="0" w:space="0" w:color="auto"/>
        <w:right w:val="none" w:sz="0" w:space="0" w:color="auto"/>
      </w:divBdr>
    </w:div>
    <w:div w:id="696975662">
      <w:bodyDiv w:val="1"/>
      <w:marLeft w:val="0"/>
      <w:marRight w:val="0"/>
      <w:marTop w:val="0"/>
      <w:marBottom w:val="0"/>
      <w:divBdr>
        <w:top w:val="none" w:sz="0" w:space="0" w:color="auto"/>
        <w:left w:val="none" w:sz="0" w:space="0" w:color="auto"/>
        <w:bottom w:val="none" w:sz="0" w:space="0" w:color="auto"/>
        <w:right w:val="none" w:sz="0" w:space="0" w:color="auto"/>
      </w:divBdr>
    </w:div>
    <w:div w:id="1049301071">
      <w:bodyDiv w:val="1"/>
      <w:marLeft w:val="0"/>
      <w:marRight w:val="0"/>
      <w:marTop w:val="0"/>
      <w:marBottom w:val="0"/>
      <w:divBdr>
        <w:top w:val="none" w:sz="0" w:space="0" w:color="auto"/>
        <w:left w:val="none" w:sz="0" w:space="0" w:color="auto"/>
        <w:bottom w:val="none" w:sz="0" w:space="0" w:color="auto"/>
        <w:right w:val="none" w:sz="0" w:space="0" w:color="auto"/>
      </w:divBdr>
    </w:div>
    <w:div w:id="1245184140">
      <w:bodyDiv w:val="1"/>
      <w:marLeft w:val="0"/>
      <w:marRight w:val="0"/>
      <w:marTop w:val="0"/>
      <w:marBottom w:val="0"/>
      <w:divBdr>
        <w:top w:val="none" w:sz="0" w:space="0" w:color="auto"/>
        <w:left w:val="none" w:sz="0" w:space="0" w:color="auto"/>
        <w:bottom w:val="none" w:sz="0" w:space="0" w:color="auto"/>
        <w:right w:val="none" w:sz="0" w:space="0" w:color="auto"/>
      </w:divBdr>
    </w:div>
    <w:div w:id="1295259004">
      <w:bodyDiv w:val="1"/>
      <w:marLeft w:val="0"/>
      <w:marRight w:val="0"/>
      <w:marTop w:val="0"/>
      <w:marBottom w:val="0"/>
      <w:divBdr>
        <w:top w:val="none" w:sz="0" w:space="0" w:color="auto"/>
        <w:left w:val="none" w:sz="0" w:space="0" w:color="auto"/>
        <w:bottom w:val="none" w:sz="0" w:space="0" w:color="auto"/>
        <w:right w:val="none" w:sz="0" w:space="0" w:color="auto"/>
      </w:divBdr>
    </w:div>
    <w:div w:id="1315525601">
      <w:bodyDiv w:val="1"/>
      <w:marLeft w:val="0"/>
      <w:marRight w:val="0"/>
      <w:marTop w:val="0"/>
      <w:marBottom w:val="0"/>
      <w:divBdr>
        <w:top w:val="none" w:sz="0" w:space="0" w:color="auto"/>
        <w:left w:val="none" w:sz="0" w:space="0" w:color="auto"/>
        <w:bottom w:val="none" w:sz="0" w:space="0" w:color="auto"/>
        <w:right w:val="none" w:sz="0" w:space="0" w:color="auto"/>
      </w:divBdr>
    </w:div>
    <w:div w:id="1910269559">
      <w:bodyDiv w:val="1"/>
      <w:marLeft w:val="0"/>
      <w:marRight w:val="0"/>
      <w:marTop w:val="0"/>
      <w:marBottom w:val="0"/>
      <w:divBdr>
        <w:top w:val="none" w:sz="0" w:space="0" w:color="auto"/>
        <w:left w:val="none" w:sz="0" w:space="0" w:color="auto"/>
        <w:bottom w:val="none" w:sz="0" w:space="0" w:color="auto"/>
        <w:right w:val="none" w:sz="0" w:space="0" w:color="auto"/>
      </w:divBdr>
    </w:div>
    <w:div w:id="1991708129">
      <w:bodyDiv w:val="1"/>
      <w:marLeft w:val="0"/>
      <w:marRight w:val="0"/>
      <w:marTop w:val="0"/>
      <w:marBottom w:val="0"/>
      <w:divBdr>
        <w:top w:val="none" w:sz="0" w:space="0" w:color="auto"/>
        <w:left w:val="none" w:sz="0" w:space="0" w:color="auto"/>
        <w:bottom w:val="none" w:sz="0" w:space="0" w:color="auto"/>
        <w:right w:val="none" w:sz="0" w:space="0" w:color="auto"/>
      </w:divBdr>
    </w:div>
    <w:div w:id="20668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 TargetMode="External"/><Relationship Id="rId18" Type="http://schemas.openxmlformats.org/officeDocument/2006/relationships/hyperlink" Target="https://doi.org/10.1016/j.jglr.2024.10239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w16162269" TargetMode="External"/><Relationship Id="rId17" Type="http://schemas.openxmlformats.org/officeDocument/2006/relationships/hyperlink" Target="https://doi.org/10.1007/s13201-021-0148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w1609126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reco.2009.01.01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126/janr.v8i1.88869" TargetMode="External"/><Relationship Id="rId23" Type="http://schemas.openxmlformats.org/officeDocument/2006/relationships/header" Target="header3.xml"/><Relationship Id="rId10" Type="http://schemas.openxmlformats.org/officeDocument/2006/relationships/hyperlink" Target="https://doi.org/10.1016/j.scitotenv.2025.17865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3201-021-01447-9" TargetMode="External"/><Relationship Id="rId14" Type="http://schemas.openxmlformats.org/officeDocument/2006/relationships/hyperlink" Target="https://doi.org/10.2489/jswc.75.3.57A"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Kasthuri%20SBI\KASTHURI%20SBI\Publication\Research%20articles\Nutrient%20movement\AGNPS-%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Sheet1!$I$11</c:f>
              <c:strCache>
                <c:ptCount val="1"/>
                <c:pt idx="0">
                  <c:v>NPI (N)</c:v>
                </c:pt>
              </c:strCache>
            </c:strRef>
          </c:tx>
          <c:spPr>
            <a:solidFill>
              <a:schemeClr val="accent4">
                <a:lumMod val="75000"/>
              </a:schemeClr>
            </a:solidFill>
            <a:ln>
              <a:noFill/>
            </a:ln>
            <a:effectLst/>
          </c:spPr>
          <c:invertIfNegative val="0"/>
          <c:cat>
            <c:strRef>
              <c:f>Sheet1!$H$12:$H$14</c:f>
              <c:strCache>
                <c:ptCount val="3"/>
                <c:pt idx="0">
                  <c:v>Upper Reach</c:v>
                </c:pt>
                <c:pt idx="1">
                  <c:v>Middle Reach</c:v>
                </c:pt>
                <c:pt idx="2">
                  <c:v>Lower Reach</c:v>
                </c:pt>
              </c:strCache>
            </c:strRef>
          </c:cat>
          <c:val>
            <c:numRef>
              <c:f>Sheet1!$I$12:$I$14</c:f>
              <c:numCache>
                <c:formatCode>General</c:formatCode>
                <c:ptCount val="3"/>
                <c:pt idx="0">
                  <c:v>0.52</c:v>
                </c:pt>
                <c:pt idx="1">
                  <c:v>0.77</c:v>
                </c:pt>
                <c:pt idx="2">
                  <c:v>1.23</c:v>
                </c:pt>
              </c:numCache>
            </c:numRef>
          </c:val>
          <c:extLst>
            <c:ext xmlns:c16="http://schemas.microsoft.com/office/drawing/2014/chart" uri="{C3380CC4-5D6E-409C-BE32-E72D297353CC}">
              <c16:uniqueId val="{00000000-D0C1-4A49-A609-1B135C567E5F}"/>
            </c:ext>
          </c:extLst>
        </c:ser>
        <c:ser>
          <c:idx val="1"/>
          <c:order val="1"/>
          <c:tx>
            <c:strRef>
              <c:f>Sheet1!$J$11</c:f>
              <c:strCache>
                <c:ptCount val="1"/>
                <c:pt idx="0">
                  <c:v>NPI (P)</c:v>
                </c:pt>
              </c:strCache>
            </c:strRef>
          </c:tx>
          <c:spPr>
            <a:solidFill>
              <a:schemeClr val="accent6">
                <a:lumMod val="50000"/>
              </a:schemeClr>
            </a:solidFill>
            <a:ln>
              <a:noFill/>
            </a:ln>
            <a:effectLst/>
          </c:spPr>
          <c:invertIfNegative val="0"/>
          <c:cat>
            <c:strRef>
              <c:f>Sheet1!$H$12:$H$14</c:f>
              <c:strCache>
                <c:ptCount val="3"/>
                <c:pt idx="0">
                  <c:v>Upper Reach</c:v>
                </c:pt>
                <c:pt idx="1">
                  <c:v>Middle Reach</c:v>
                </c:pt>
                <c:pt idx="2">
                  <c:v>Lower Reach</c:v>
                </c:pt>
              </c:strCache>
            </c:strRef>
          </c:cat>
          <c:val>
            <c:numRef>
              <c:f>Sheet1!$J$12:$J$14</c:f>
              <c:numCache>
                <c:formatCode>General</c:formatCode>
                <c:ptCount val="3"/>
                <c:pt idx="0">
                  <c:v>1</c:v>
                </c:pt>
                <c:pt idx="1">
                  <c:v>1</c:v>
                </c:pt>
                <c:pt idx="2">
                  <c:v>1</c:v>
                </c:pt>
              </c:numCache>
            </c:numRef>
          </c:val>
          <c:extLst>
            <c:ext xmlns:c16="http://schemas.microsoft.com/office/drawing/2014/chart" uri="{C3380CC4-5D6E-409C-BE32-E72D297353CC}">
              <c16:uniqueId val="{00000001-D0C1-4A49-A609-1B135C567E5F}"/>
            </c:ext>
          </c:extLst>
        </c:ser>
        <c:ser>
          <c:idx val="2"/>
          <c:order val="2"/>
          <c:tx>
            <c:strRef>
              <c:f>Sheet1!$K$11</c:f>
              <c:strCache>
                <c:ptCount val="1"/>
                <c:pt idx="0">
                  <c:v>Combined NPI</c:v>
                </c:pt>
              </c:strCache>
            </c:strRef>
          </c:tx>
          <c:spPr>
            <a:solidFill>
              <a:schemeClr val="bg2">
                <a:lumMod val="25000"/>
              </a:schemeClr>
            </a:solidFill>
            <a:ln>
              <a:noFill/>
            </a:ln>
            <a:effectLst/>
          </c:spPr>
          <c:invertIfNegative val="0"/>
          <c:cat>
            <c:strRef>
              <c:f>Sheet1!$H$12:$H$14</c:f>
              <c:strCache>
                <c:ptCount val="3"/>
                <c:pt idx="0">
                  <c:v>Upper Reach</c:v>
                </c:pt>
                <c:pt idx="1">
                  <c:v>Middle Reach</c:v>
                </c:pt>
                <c:pt idx="2">
                  <c:v>Lower Reach</c:v>
                </c:pt>
              </c:strCache>
            </c:strRef>
          </c:cat>
          <c:val>
            <c:numRef>
              <c:f>Sheet1!$K$12:$K$14</c:f>
              <c:numCache>
                <c:formatCode>General</c:formatCode>
                <c:ptCount val="3"/>
                <c:pt idx="0">
                  <c:v>0.76</c:v>
                </c:pt>
                <c:pt idx="1">
                  <c:v>0.88</c:v>
                </c:pt>
                <c:pt idx="2">
                  <c:v>1.1200000000000001</c:v>
                </c:pt>
              </c:numCache>
            </c:numRef>
          </c:val>
          <c:extLst>
            <c:ext xmlns:c16="http://schemas.microsoft.com/office/drawing/2014/chart" uri="{C3380CC4-5D6E-409C-BE32-E72D297353CC}">
              <c16:uniqueId val="{00000002-D0C1-4A49-A609-1B135C567E5F}"/>
            </c:ext>
          </c:extLst>
        </c:ser>
        <c:dLbls>
          <c:showLegendKey val="0"/>
          <c:showVal val="0"/>
          <c:showCatName val="0"/>
          <c:showSerName val="0"/>
          <c:showPercent val="0"/>
          <c:showBubbleSize val="0"/>
        </c:dLbls>
        <c:gapWidth val="219"/>
        <c:overlap val="-27"/>
        <c:axId val="118714000"/>
        <c:axId val="118716080"/>
      </c:barChart>
      <c:lineChart>
        <c:grouping val="standard"/>
        <c:varyColors val="0"/>
        <c:ser>
          <c:idx val="3"/>
          <c:order val="3"/>
          <c:tx>
            <c:strRef>
              <c:f>Sheet1!$L$11</c:f>
              <c:strCache>
                <c:ptCount val="1"/>
                <c:pt idx="0">
                  <c:v>NPI limit</c:v>
                </c:pt>
              </c:strCache>
            </c:strRef>
          </c:tx>
          <c:spPr>
            <a:ln w="28575" cap="rnd">
              <a:solidFill>
                <a:srgbClr val="FF0000"/>
              </a:solidFill>
              <a:prstDash val="sysDot"/>
              <a:round/>
            </a:ln>
            <a:effectLst/>
          </c:spPr>
          <c:marker>
            <c:symbol val="none"/>
          </c:marker>
          <c:cat>
            <c:strRef>
              <c:f>Sheet1!$H$12:$H$14</c:f>
              <c:strCache>
                <c:ptCount val="3"/>
                <c:pt idx="0">
                  <c:v>Upper Reach</c:v>
                </c:pt>
                <c:pt idx="1">
                  <c:v>Middle Reach</c:v>
                </c:pt>
                <c:pt idx="2">
                  <c:v>Lower Reach</c:v>
                </c:pt>
              </c:strCache>
            </c:strRef>
          </c:cat>
          <c:val>
            <c:numRef>
              <c:f>Sheet1!$L$12:$L$14</c:f>
              <c:numCache>
                <c:formatCode>General</c:formatCode>
                <c:ptCount val="3"/>
                <c:pt idx="0">
                  <c:v>1</c:v>
                </c:pt>
                <c:pt idx="1">
                  <c:v>1</c:v>
                </c:pt>
                <c:pt idx="2">
                  <c:v>1</c:v>
                </c:pt>
              </c:numCache>
            </c:numRef>
          </c:val>
          <c:smooth val="0"/>
          <c:extLst>
            <c:ext xmlns:c16="http://schemas.microsoft.com/office/drawing/2014/chart" uri="{C3380CC4-5D6E-409C-BE32-E72D297353CC}">
              <c16:uniqueId val="{00000003-D0C1-4A49-A609-1B135C567E5F}"/>
            </c:ext>
          </c:extLst>
        </c:ser>
        <c:dLbls>
          <c:showLegendKey val="0"/>
          <c:showVal val="0"/>
          <c:showCatName val="0"/>
          <c:showSerName val="0"/>
          <c:showPercent val="0"/>
          <c:showBubbleSize val="0"/>
        </c:dLbls>
        <c:marker val="1"/>
        <c:smooth val="0"/>
        <c:axId val="118714000"/>
        <c:axId val="118716080"/>
      </c:lineChart>
      <c:catAx>
        <c:axId val="11871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716080"/>
        <c:crosses val="autoZero"/>
        <c:auto val="1"/>
        <c:lblAlgn val="ctr"/>
        <c:lblOffset val="100"/>
        <c:noMultiLvlLbl val="0"/>
      </c:catAx>
      <c:valAx>
        <c:axId val="118716080"/>
        <c:scaling>
          <c:orientation val="minMax"/>
          <c:max val="1.2"/>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71400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lgn="ctr">
            <a:defRPr lang="en-US"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14</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Kasthuri Thilagam</dc:creator>
  <cp:keywords/>
  <dc:description/>
  <cp:lastModifiedBy>SDI 1186</cp:lastModifiedBy>
  <cp:revision>158</cp:revision>
  <dcterms:created xsi:type="dcterms:W3CDTF">2026-01-28T04:29:00Z</dcterms:created>
  <dcterms:modified xsi:type="dcterms:W3CDTF">2026-04-09T12:31:00Z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161306f4-302e-43af-bfd2-51c301507d3b</vt:lpwstr>
  </property>
</Properties>
</file>