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851D16" w14:textId="77777777" w:rsidR="00B41431" w:rsidRPr="00BB5FA2" w:rsidRDefault="00B41431" w:rsidP="006424FC">
      <w:pPr>
        <w:pStyle w:val="Heading1"/>
        <w:jc w:val="center"/>
        <w:rPr>
          <w:sz w:val="24"/>
          <w:szCs w:val="24"/>
        </w:rPr>
      </w:pPr>
      <w:r w:rsidRPr="00BB5FA2">
        <w:rPr>
          <w:sz w:val="24"/>
          <w:szCs w:val="24"/>
        </w:rPr>
        <w:t>Hydroponics, Vertical Farming and Carbon Footprint Dynamics: Pathways toward Climate-Resilient Food Systems</w:t>
      </w:r>
    </w:p>
    <w:p w14:paraId="7B1CCD72" w14:textId="605D1373" w:rsidR="00A67768" w:rsidRDefault="00BB5FA2" w:rsidP="004B1AD4">
      <w:pPr>
        <w:spacing w:before="100" w:beforeAutospacing="1" w:after="100" w:afterAutospacing="1" w:line="240" w:lineRule="auto"/>
        <w:outlineLvl w:val="1"/>
        <w:rPr>
          <w:rFonts w:ascii="Times New Roman" w:eastAsia="Times New Roman" w:hAnsi="Times New Roman" w:cs="Times New Roman"/>
          <w:bCs/>
          <w:sz w:val="24"/>
          <w:szCs w:val="36"/>
          <w:lang w:val="en-US"/>
        </w:rPr>
      </w:pPr>
      <w:r w:rsidRPr="00BB5FA2">
        <w:rPr>
          <w:rFonts w:ascii="Times New Roman" w:eastAsia="Times New Roman" w:hAnsi="Times New Roman" w:cs="Times New Roman"/>
          <w:bCs/>
          <w:sz w:val="24"/>
          <w:szCs w:val="36"/>
          <w:lang w:val="en-US"/>
        </w:rPr>
        <w:t xml:space="preserve">                  </w:t>
      </w:r>
    </w:p>
    <w:p w14:paraId="6DC00767" w14:textId="77777777" w:rsidR="004B1AD4" w:rsidRPr="00BB5FA2" w:rsidRDefault="004B1AD4" w:rsidP="004B1AD4">
      <w:pPr>
        <w:spacing w:before="100" w:beforeAutospacing="1" w:after="100" w:afterAutospacing="1" w:line="240" w:lineRule="auto"/>
        <w:outlineLvl w:val="1"/>
        <w:rPr>
          <w:rFonts w:ascii="Times New Roman" w:eastAsia="Times New Roman" w:hAnsi="Times New Roman" w:cs="Times New Roman"/>
          <w:bCs/>
          <w:sz w:val="24"/>
          <w:szCs w:val="36"/>
          <w:lang w:val="en-US"/>
        </w:rPr>
      </w:pPr>
    </w:p>
    <w:p w14:paraId="1B028973" w14:textId="77777777" w:rsidR="00B41431" w:rsidRPr="00B41431" w:rsidRDefault="00B41431" w:rsidP="00BB5FA2">
      <w:pPr>
        <w:spacing w:before="100" w:beforeAutospacing="1" w:after="100" w:afterAutospacing="1" w:line="240" w:lineRule="auto"/>
        <w:jc w:val="center"/>
        <w:outlineLvl w:val="1"/>
        <w:rPr>
          <w:rFonts w:ascii="Times New Roman" w:eastAsia="Times New Roman" w:hAnsi="Times New Roman" w:cs="Times New Roman"/>
          <w:b/>
          <w:bCs/>
          <w:sz w:val="36"/>
          <w:szCs w:val="36"/>
          <w:lang w:val="en-US"/>
        </w:rPr>
      </w:pPr>
      <w:r w:rsidRPr="00B41431">
        <w:rPr>
          <w:rFonts w:ascii="Times New Roman" w:eastAsia="Times New Roman" w:hAnsi="Times New Roman" w:cs="Times New Roman"/>
          <w:b/>
          <w:bCs/>
          <w:sz w:val="36"/>
          <w:szCs w:val="36"/>
          <w:lang w:val="en-US"/>
        </w:rPr>
        <w:t>Abstract</w:t>
      </w:r>
    </w:p>
    <w:p w14:paraId="4B5FBE25" w14:textId="77777777" w:rsidR="00B41431" w:rsidRPr="00B41431" w:rsidRDefault="00B41431" w:rsidP="00BB5FA2">
      <w:pPr>
        <w:spacing w:after="0" w:line="360" w:lineRule="auto"/>
        <w:jc w:val="both"/>
        <w:rPr>
          <w:rFonts w:ascii="Times New Roman" w:eastAsia="Times New Roman" w:hAnsi="Times New Roman" w:cs="Times New Roman"/>
          <w:sz w:val="24"/>
          <w:szCs w:val="24"/>
          <w:lang w:val="en-US"/>
        </w:rPr>
      </w:pPr>
      <w:r w:rsidRPr="00B41431">
        <w:rPr>
          <w:rFonts w:ascii="Times New Roman" w:eastAsia="Times New Roman" w:hAnsi="Times New Roman" w:cs="Times New Roman"/>
          <w:sz w:val="24"/>
          <w:szCs w:val="24"/>
          <w:lang w:val="en-US"/>
        </w:rPr>
        <w:t>Rapid urbanization, climate instability, shrinking arable land, and increasing food demand are intensifying pressure on global agricultural systems. Conventional farming methods, while foundational to food production, contribute significantly to greenhouse gas emissions, water depletion, soil degradation, and biodiversity loss. In response, smart farming technologies, hydroponics, and vertical agriculture have emerged as controlled-environment production systems that promise land-use efficiency, water conservation, and localized supply chains. However, the environmental sustainability of these systems remains contested due to high electricity demand and embodied carbon emissions. This review critically examines the carbon footprint implications of hydroponic vertical farming compared with conventional open-field and greenhouse systems. It elaborates on greenhouse gas accounting methodologies, lif</w:t>
      </w:r>
      <w:r>
        <w:rPr>
          <w:rFonts w:ascii="Times New Roman" w:eastAsia="Times New Roman" w:hAnsi="Times New Roman" w:cs="Times New Roman"/>
          <w:sz w:val="24"/>
          <w:szCs w:val="24"/>
          <w:lang w:val="en-US"/>
        </w:rPr>
        <w:t xml:space="preserve">e cycle assessment techniques, </w:t>
      </w:r>
      <w:r w:rsidRPr="00B41431">
        <w:rPr>
          <w:rFonts w:ascii="Times New Roman" w:eastAsia="Times New Roman" w:hAnsi="Times New Roman" w:cs="Times New Roman"/>
          <w:sz w:val="24"/>
          <w:szCs w:val="24"/>
          <w:lang w:val="en-US"/>
        </w:rPr>
        <w:t>energy-based emission modeling, and emerging sensor-based carbon monitoring systems. The findings suggest that hydroponic vertical farming can significantly contribute to urban food resilience and environmental sustainability when supported by renewable energy transitions and technological efficiency improvements. Rather than replacing conventional agriculture, it functions most effectively as a complementary climate-smart production system.</w:t>
      </w:r>
    </w:p>
    <w:p w14:paraId="330E6237" w14:textId="77777777" w:rsidR="00B41431" w:rsidRPr="003D4794" w:rsidRDefault="00B41431" w:rsidP="00BB5FA2">
      <w:pPr>
        <w:spacing w:after="0" w:line="360" w:lineRule="auto"/>
        <w:jc w:val="both"/>
        <w:rPr>
          <w:rFonts w:ascii="Times New Roman" w:hAnsi="Times New Roman" w:cs="Times New Roman"/>
          <w:sz w:val="24"/>
          <w:szCs w:val="24"/>
        </w:rPr>
      </w:pPr>
      <w:r w:rsidRPr="00B41431">
        <w:rPr>
          <w:rFonts w:ascii="Times New Roman" w:hAnsi="Times New Roman" w:cs="Times New Roman"/>
          <w:b/>
          <w:i/>
          <w:sz w:val="24"/>
          <w:szCs w:val="24"/>
        </w:rPr>
        <w:t>Keywords:</w:t>
      </w:r>
      <w:r w:rsidRPr="003D4794">
        <w:rPr>
          <w:rFonts w:ascii="Times New Roman" w:hAnsi="Times New Roman" w:cs="Times New Roman"/>
          <w:sz w:val="24"/>
          <w:szCs w:val="24"/>
        </w:rPr>
        <w:t xml:space="preserve"> Smart farming, Vertical Farming, Hydroponics, F</w:t>
      </w:r>
      <w:r w:rsidR="00140CFD">
        <w:rPr>
          <w:rFonts w:ascii="Times New Roman" w:hAnsi="Times New Roman" w:cs="Times New Roman"/>
          <w:sz w:val="24"/>
          <w:szCs w:val="24"/>
        </w:rPr>
        <w:t>ood Security, Carbon footprint</w:t>
      </w:r>
      <w:r w:rsidR="006424FC">
        <w:rPr>
          <w:rFonts w:ascii="Times New Roman" w:hAnsi="Times New Roman" w:cs="Times New Roman"/>
          <w:sz w:val="24"/>
          <w:szCs w:val="24"/>
        </w:rPr>
        <w:t>, Greenhouse gases</w:t>
      </w:r>
    </w:p>
    <w:p w14:paraId="49DAAA7A" w14:textId="77777777" w:rsidR="00140CFD" w:rsidRPr="00BB5FA2" w:rsidRDefault="00140CFD" w:rsidP="00BB5FA2">
      <w:pPr>
        <w:spacing w:after="0" w:line="360" w:lineRule="auto"/>
        <w:outlineLvl w:val="1"/>
        <w:rPr>
          <w:rFonts w:ascii="Times New Roman" w:eastAsia="Times New Roman" w:hAnsi="Times New Roman" w:cs="Times New Roman"/>
          <w:b/>
          <w:bCs/>
          <w:sz w:val="36"/>
          <w:szCs w:val="36"/>
          <w:lang w:val="en-US"/>
        </w:rPr>
      </w:pPr>
      <w:r w:rsidRPr="00BB5FA2">
        <w:rPr>
          <w:rFonts w:ascii="Times New Roman" w:eastAsia="Times New Roman" w:hAnsi="Times New Roman" w:cs="Times New Roman"/>
          <w:b/>
          <w:bCs/>
          <w:sz w:val="36"/>
          <w:szCs w:val="36"/>
          <w:lang w:val="en-US"/>
        </w:rPr>
        <w:t>Introduction</w:t>
      </w:r>
    </w:p>
    <w:p w14:paraId="64CAE3A2" w14:textId="77777777" w:rsidR="00140CFD" w:rsidRPr="00140CFD" w:rsidRDefault="00140CFD" w:rsidP="00BB5FA2">
      <w:pPr>
        <w:spacing w:after="0" w:line="360" w:lineRule="auto"/>
        <w:jc w:val="both"/>
        <w:rPr>
          <w:rFonts w:ascii="Times New Roman" w:eastAsia="Times New Roman" w:hAnsi="Times New Roman" w:cs="Times New Roman"/>
          <w:sz w:val="24"/>
          <w:szCs w:val="24"/>
          <w:lang w:val="en-US"/>
        </w:rPr>
      </w:pPr>
      <w:r w:rsidRPr="00140CFD">
        <w:rPr>
          <w:rFonts w:ascii="Times New Roman" w:eastAsia="Times New Roman" w:hAnsi="Times New Roman" w:cs="Times New Roman"/>
          <w:sz w:val="24"/>
          <w:szCs w:val="24"/>
          <w:lang w:val="en-US"/>
        </w:rPr>
        <w:t xml:space="preserve">Global food systems are currently experiencing an unprecedented convergence of environmental, demographic, and economic pressures that collectively threaten long-term sustainability. Climate change has emerged not only as an environmental crisis but also as a structural challenge to agricultural stability. Rising global temperatures, shifting precipitation patterns, prolonged droughts, unseasonal rainfall, and increasing frequency of extreme climatic events such as floods, cyclones, and heatwaves are directly affecting crop physiology, soil health, and yield consistency. The declining availability of arable land due to desertification, salinization, erosion, and urban encroachment further compounds these challenges, narrowing </w:t>
      </w:r>
      <w:r w:rsidRPr="00140CFD">
        <w:rPr>
          <w:rFonts w:ascii="Times New Roman" w:eastAsia="Times New Roman" w:hAnsi="Times New Roman" w:cs="Times New Roman"/>
          <w:sz w:val="24"/>
          <w:szCs w:val="24"/>
          <w:lang w:val="en-US"/>
        </w:rPr>
        <w:lastRenderedPageBreak/>
        <w:t>the margin for expanding conventional cultivation (</w:t>
      </w:r>
      <w:proofErr w:type="spellStart"/>
      <w:r w:rsidRPr="00140CFD">
        <w:rPr>
          <w:rFonts w:ascii="Times New Roman" w:eastAsia="Times New Roman" w:hAnsi="Times New Roman" w:cs="Times New Roman"/>
          <w:sz w:val="24"/>
          <w:szCs w:val="24"/>
          <w:lang w:val="en-US"/>
        </w:rPr>
        <w:t>Benke</w:t>
      </w:r>
      <w:proofErr w:type="spellEnd"/>
      <w:r w:rsidRPr="00140CFD">
        <w:rPr>
          <w:rFonts w:ascii="Times New Roman" w:eastAsia="Times New Roman" w:hAnsi="Times New Roman" w:cs="Times New Roman"/>
          <w:sz w:val="24"/>
          <w:szCs w:val="24"/>
          <w:lang w:val="en-US"/>
        </w:rPr>
        <w:t xml:space="preserve"> &amp; Tomkins, 2017). Climate variability disrupts established </w:t>
      </w:r>
      <w:proofErr w:type="spellStart"/>
      <w:r w:rsidRPr="00140CFD">
        <w:rPr>
          <w:rFonts w:ascii="Times New Roman" w:eastAsia="Times New Roman" w:hAnsi="Times New Roman" w:cs="Times New Roman"/>
          <w:sz w:val="24"/>
          <w:szCs w:val="24"/>
          <w:lang w:val="en-US"/>
        </w:rPr>
        <w:t>agro</w:t>
      </w:r>
      <w:proofErr w:type="spellEnd"/>
      <w:r w:rsidRPr="00140CFD">
        <w:rPr>
          <w:rFonts w:ascii="Times New Roman" w:eastAsia="Times New Roman" w:hAnsi="Times New Roman" w:cs="Times New Roman"/>
          <w:sz w:val="24"/>
          <w:szCs w:val="24"/>
          <w:lang w:val="en-US"/>
        </w:rPr>
        <w:t>-ecological cycles by altering evapotranspiration rates, soil moisture regimes, and growing seasons. Increased heat stress impairs pollination and grain filling in major crops, while fluctuating humidity and temperature conditions intensify pest proliferation and pathogen outbreaks, thereby increasing production risks and yield instability (Cassia et al., 2018). Simultaneously, decades of intensive monocropping, excessive agrochemical use, and improper land management have accelerated soil degradation, reduced organic carbon content, and weakened nutrient cycling processes, diminishing the long-term productive capacity of farmland (Hardy et al., 2021).</w:t>
      </w:r>
    </w:p>
    <w:p w14:paraId="568BAB78" w14:textId="77777777" w:rsidR="00140CFD" w:rsidRPr="00140CFD" w:rsidRDefault="00140CFD" w:rsidP="00BB5FA2">
      <w:pPr>
        <w:spacing w:after="0" w:line="360" w:lineRule="auto"/>
        <w:jc w:val="both"/>
        <w:rPr>
          <w:rFonts w:ascii="Times New Roman" w:eastAsia="Times New Roman" w:hAnsi="Times New Roman" w:cs="Times New Roman"/>
          <w:sz w:val="24"/>
          <w:szCs w:val="24"/>
          <w:lang w:val="en-US"/>
        </w:rPr>
      </w:pPr>
      <w:r w:rsidRPr="00140CFD">
        <w:rPr>
          <w:rFonts w:ascii="Times New Roman" w:eastAsia="Times New Roman" w:hAnsi="Times New Roman" w:cs="Times New Roman"/>
          <w:sz w:val="24"/>
          <w:szCs w:val="24"/>
          <w:lang w:val="en-US"/>
        </w:rPr>
        <w:t>Paradoxically, while agriculture is highly vulnerable to climatic shifts, it also significantly contributes to the problem. The agricultural sector accounts for approximately 11% of total anthropogenic greenhouse gas emissions globally (FAO, 2015). These emissions originate from multiple interconnected processes within the production system. Nitrous oxide (N₂O), a greenhouse gas with nearly 298 times the global warming potential of carbon dioxide over a 100-year period, is primarily released through microbial nitrification and denitrification processes following nitrogen fertilizer application. Methane (CH₄), with a global warming potential approximately 28–34 times that of CO₂, is emitted from anaerobic soil conditions in flooded rice systems and enteric fermentation in ruminant livestock. In addition, carbon dioxide (CO₂) emissions arise from fossil fuel combustion in agricultural machinery, irrigation pumps, fertilizer manufacturing, processing facilities, and transportation networks. Beyond on-farm activities, post-harvest handling, cold storage, packaging, and long-distance distribution contribute additional indirect emissions, expanding the carbon footprint of the food supply chain.</w:t>
      </w:r>
    </w:p>
    <w:p w14:paraId="473E10D5" w14:textId="77777777" w:rsidR="00140CFD" w:rsidRPr="00140CFD" w:rsidRDefault="00140CFD" w:rsidP="00BB5FA2">
      <w:pPr>
        <w:spacing w:after="0" w:line="360" w:lineRule="auto"/>
        <w:jc w:val="both"/>
        <w:rPr>
          <w:rFonts w:ascii="Times New Roman" w:eastAsia="Times New Roman" w:hAnsi="Times New Roman" w:cs="Times New Roman"/>
          <w:sz w:val="24"/>
          <w:szCs w:val="24"/>
          <w:lang w:val="en-US"/>
        </w:rPr>
      </w:pPr>
      <w:r w:rsidRPr="00140CFD">
        <w:rPr>
          <w:rFonts w:ascii="Times New Roman" w:eastAsia="Times New Roman" w:hAnsi="Times New Roman" w:cs="Times New Roman"/>
          <w:sz w:val="24"/>
          <w:szCs w:val="24"/>
          <w:lang w:val="en-US"/>
        </w:rPr>
        <w:t>Urbanization introduces another layer of complexity to food production dynamics. As more than half of the global population resides in urban areas, and this proportion continues to rise, the spatial separation between production sites and consumption centers widens. Urban expansion often converts fertile peri-urban agricultural land into residential and industrial infrastructure, thereby reducing local food production capacity. Consequently, cities become increasingly dependent on distant rural and international supply chains. This geographic disconnect amplifies transportation-related emissions, intensifies reliance on energy-intensive cold-chain systems, and increases food loss and waste during transit and storage (Armanda et al., 2019). The longer the supply chain, the greater the cumulative environmental burden, particularly in systems dependent on fossil fuel-based logistics.</w:t>
      </w:r>
    </w:p>
    <w:p w14:paraId="331886FC" w14:textId="634FEB29" w:rsidR="00D16EE9" w:rsidRPr="00E658F1" w:rsidRDefault="00140CFD" w:rsidP="00BB5FA2">
      <w:pPr>
        <w:spacing w:after="0" w:line="360" w:lineRule="auto"/>
        <w:jc w:val="both"/>
        <w:rPr>
          <w:rFonts w:ascii="Times New Roman" w:eastAsia="Times New Roman" w:hAnsi="Times New Roman" w:cs="Times New Roman"/>
          <w:color w:val="FF0000"/>
          <w:sz w:val="24"/>
          <w:szCs w:val="24"/>
          <w:lang w:val="en-US"/>
        </w:rPr>
      </w:pPr>
      <w:r w:rsidRPr="00140CFD">
        <w:rPr>
          <w:rFonts w:ascii="Times New Roman" w:eastAsia="Times New Roman" w:hAnsi="Times New Roman" w:cs="Times New Roman"/>
          <w:sz w:val="24"/>
          <w:szCs w:val="24"/>
          <w:lang w:val="en-US"/>
        </w:rPr>
        <w:lastRenderedPageBreak/>
        <w:t>In response to these multidimensional pressures, controlled environment agriculture (CEA), hydroponics, and vertical farming have gained attention as technologically sophisticated alternatives capable of reshaping food production paradigms. These systems seek to decouple agricultural productivity from climatic uncertainty by creating highly regulated micro-environments in which temperature, humidity, light intensity, carbon dioxide concentration, and nutrient delivery are precisely controlled. By relocating food production closer to urban centers, they promise reductions in transportation emissions, enhanced freshness, and improved supply chain resilience (Kalantari et al., 2018). Moreover, hydroponic and vertical systems significantly reduce land requirements and enable year-round production independent of seasonal variability. However, despite these apparent advantages, concerns remain regarding their true environmental performance. The high electricity demand associated with artificial lighting, climate control, and automation raises critical questions about their net carbon footprint. Therefore, rigorous evaluation through comprehensive carbon accounting frameworks, including life cycle assessment and energy-based emission modeling, is essential to determine whether these innovative systems represent genuinely sustainable solutions or merely a technological redistribution of environmental burdens.</w:t>
      </w:r>
      <w:r w:rsidR="00E658F1" w:rsidRPr="00E658F1">
        <w:t xml:space="preserve"> </w:t>
      </w:r>
      <w:r w:rsidR="00E658F1" w:rsidRPr="00F24B26">
        <w:rPr>
          <w:rFonts w:ascii="Times New Roman" w:hAnsi="Times New Roman" w:cs="Times New Roman"/>
          <w:color w:val="000000" w:themeColor="text1"/>
          <w:sz w:val="24"/>
          <w:szCs w:val="24"/>
        </w:rPr>
        <w:t>This review aims to evaluate the carbon footprint of hydroponic and vertical farming systems using established assessment methodologies, compare them with conventional agriculture, and identify pathways for improving sustainability through technological and energy transitions.</w:t>
      </w:r>
    </w:p>
    <w:p w14:paraId="4EFF2F96" w14:textId="77777777" w:rsidR="00BB5FA2" w:rsidRDefault="007070BC" w:rsidP="00BB5FA2">
      <w:pPr>
        <w:spacing w:after="0" w:line="360" w:lineRule="auto"/>
        <w:jc w:val="both"/>
        <w:rPr>
          <w:rFonts w:ascii="Times New Roman" w:eastAsia="Times New Roman" w:hAnsi="Times New Roman" w:cs="Times New Roman"/>
          <w:b/>
          <w:sz w:val="28"/>
          <w:szCs w:val="28"/>
          <w:lang w:val="en-US"/>
        </w:rPr>
      </w:pPr>
      <w:r>
        <w:rPr>
          <w:rFonts w:ascii="Times New Roman" w:eastAsia="Times New Roman" w:hAnsi="Times New Roman" w:cs="Times New Roman"/>
          <w:b/>
          <w:bCs/>
          <w:sz w:val="32"/>
          <w:szCs w:val="36"/>
          <w:lang w:val="en-US"/>
        </w:rPr>
        <w:t xml:space="preserve"> </w:t>
      </w:r>
      <w:r w:rsidR="00365D42" w:rsidRPr="00BB5FA2">
        <w:rPr>
          <w:rFonts w:ascii="Times New Roman" w:eastAsia="Times New Roman" w:hAnsi="Times New Roman" w:cs="Times New Roman"/>
          <w:b/>
          <w:bCs/>
          <w:sz w:val="28"/>
          <w:szCs w:val="28"/>
          <w:lang w:val="en-US"/>
        </w:rPr>
        <w:t>Evolution of Smart Farming and Controlled Environment Agriculture</w:t>
      </w:r>
    </w:p>
    <w:p w14:paraId="2ED1769E" w14:textId="77777777" w:rsidR="00C1294A" w:rsidRDefault="00365D42" w:rsidP="00BB5FA2">
      <w:pPr>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val="en-US"/>
        </w:rPr>
        <w:drawing>
          <wp:anchor distT="0" distB="0" distL="114300" distR="114300" simplePos="0" relativeHeight="251659264" behindDoc="0" locked="0" layoutInCell="1" allowOverlap="1" wp14:anchorId="03C1A411" wp14:editId="36BFDA14">
            <wp:simplePos x="0" y="0"/>
            <wp:positionH relativeFrom="column">
              <wp:posOffset>3011805</wp:posOffset>
            </wp:positionH>
            <wp:positionV relativeFrom="paragraph">
              <wp:posOffset>2378710</wp:posOffset>
            </wp:positionV>
            <wp:extent cx="2680970" cy="2009140"/>
            <wp:effectExtent l="19050" t="0" r="5080" b="0"/>
            <wp:wrapSquare wrapText="bothSides"/>
            <wp:docPr id="3" name="Picture 3" descr="https://d2908q01vomqb2.cloudfront.net/f6e1126cedebf23e1463aee73f9df08783640400/2018/04/04/Yanmar-Customer-Use-Case-1024x7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2908q01vomqb2.cloudfront.net/f6e1126cedebf23e1463aee73f9df08783640400/2018/04/04/Yanmar-Customer-Use-Case-1024x771.png"/>
                    <pic:cNvPicPr>
                      <a:picLocks noChangeAspect="1" noChangeArrowheads="1"/>
                    </pic:cNvPicPr>
                  </pic:nvPicPr>
                  <pic:blipFill>
                    <a:blip r:embed="rId7" cstate="print"/>
                    <a:srcRect/>
                    <a:stretch>
                      <a:fillRect/>
                    </a:stretch>
                  </pic:blipFill>
                  <pic:spPr bwMode="auto">
                    <a:xfrm>
                      <a:off x="0" y="0"/>
                      <a:ext cx="2680970" cy="2009140"/>
                    </a:xfrm>
                    <a:prstGeom prst="rect">
                      <a:avLst/>
                    </a:prstGeom>
                    <a:noFill/>
                    <a:ln w="9525">
                      <a:noFill/>
                      <a:miter lim="800000"/>
                      <a:headEnd/>
                      <a:tailEnd/>
                    </a:ln>
                  </pic:spPr>
                </pic:pic>
              </a:graphicData>
            </a:graphic>
          </wp:anchor>
        </w:drawing>
      </w:r>
      <w:r>
        <w:rPr>
          <w:rFonts w:ascii="Times New Roman" w:eastAsia="Times New Roman" w:hAnsi="Times New Roman" w:cs="Times New Roman"/>
          <w:noProof/>
          <w:sz w:val="24"/>
          <w:szCs w:val="24"/>
          <w:lang w:val="en-US"/>
        </w:rPr>
        <w:drawing>
          <wp:anchor distT="0" distB="0" distL="114300" distR="114300" simplePos="0" relativeHeight="251658240" behindDoc="0" locked="0" layoutInCell="1" allowOverlap="1" wp14:anchorId="791DFC3F" wp14:editId="0E62FE24">
            <wp:simplePos x="0" y="0"/>
            <wp:positionH relativeFrom="column">
              <wp:posOffset>3011805</wp:posOffset>
            </wp:positionH>
            <wp:positionV relativeFrom="paragraph">
              <wp:posOffset>850900</wp:posOffset>
            </wp:positionV>
            <wp:extent cx="3041015" cy="1492250"/>
            <wp:effectExtent l="19050" t="0" r="6985" b="0"/>
            <wp:wrapSquare wrapText="bothSides"/>
            <wp:docPr id="4" name="Picture 2" descr="https://ars.els-cdn.com/content/image/3-s2.0-B9780323851527000239-f09-01-97803238515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rs.els-cdn.com/content/image/3-s2.0-B9780323851527000239-f09-01-9780323851527.jpg"/>
                    <pic:cNvPicPr>
                      <a:picLocks noChangeAspect="1" noChangeArrowheads="1"/>
                    </pic:cNvPicPr>
                  </pic:nvPicPr>
                  <pic:blipFill>
                    <a:blip r:embed="rId8"/>
                    <a:srcRect/>
                    <a:stretch>
                      <a:fillRect/>
                    </a:stretch>
                  </pic:blipFill>
                  <pic:spPr bwMode="auto">
                    <a:xfrm>
                      <a:off x="0" y="0"/>
                      <a:ext cx="3041015" cy="1492250"/>
                    </a:xfrm>
                    <a:prstGeom prst="rect">
                      <a:avLst/>
                    </a:prstGeom>
                    <a:noFill/>
                    <a:ln w="9525">
                      <a:noFill/>
                      <a:miter lim="800000"/>
                      <a:headEnd/>
                      <a:tailEnd/>
                    </a:ln>
                  </pic:spPr>
                </pic:pic>
              </a:graphicData>
            </a:graphic>
          </wp:anchor>
        </w:drawing>
      </w:r>
      <w:r w:rsidRPr="00365D42">
        <w:rPr>
          <w:rFonts w:ascii="Times New Roman" w:eastAsia="Times New Roman" w:hAnsi="Times New Roman" w:cs="Times New Roman"/>
          <w:sz w:val="24"/>
          <w:szCs w:val="24"/>
          <w:lang w:val="en-US"/>
        </w:rPr>
        <w:t xml:space="preserve">Smart farming represents the integration of information and communication technologies, sensor networks, artificial intelligence, robotics, and data analytics into agricultural systems. Historically, agriculture evolved from labor-intensive manual practices to mechanized systems in the twentieth century. The current phase, often referred to as Agriculture 4.0, incorporates IoT-enabled sensors, machine learning algorithms, cloud-based data platforms, and renewable energy systems (De </w:t>
      </w:r>
      <w:proofErr w:type="spellStart"/>
      <w:r w:rsidRPr="00365D42">
        <w:rPr>
          <w:rFonts w:ascii="Times New Roman" w:eastAsia="Times New Roman" w:hAnsi="Times New Roman" w:cs="Times New Roman"/>
          <w:sz w:val="24"/>
          <w:szCs w:val="24"/>
          <w:lang w:val="en-US"/>
        </w:rPr>
        <w:t>Clercq</w:t>
      </w:r>
      <w:proofErr w:type="spellEnd"/>
      <w:r w:rsidRPr="00365D42">
        <w:rPr>
          <w:rFonts w:ascii="Times New Roman" w:eastAsia="Times New Roman" w:hAnsi="Times New Roman" w:cs="Times New Roman"/>
          <w:sz w:val="24"/>
          <w:szCs w:val="24"/>
          <w:lang w:val="en-US"/>
        </w:rPr>
        <w:t xml:space="preserve"> et al., 2018; </w:t>
      </w:r>
      <w:proofErr w:type="spellStart"/>
      <w:r w:rsidRPr="00365D42">
        <w:rPr>
          <w:rFonts w:ascii="Times New Roman" w:eastAsia="Times New Roman" w:hAnsi="Times New Roman" w:cs="Times New Roman"/>
          <w:sz w:val="24"/>
          <w:szCs w:val="24"/>
          <w:lang w:val="en-US"/>
        </w:rPr>
        <w:t>Hosny</w:t>
      </w:r>
      <w:proofErr w:type="spellEnd"/>
      <w:r w:rsidRPr="00365D42">
        <w:rPr>
          <w:rFonts w:ascii="Times New Roman" w:eastAsia="Times New Roman" w:hAnsi="Times New Roman" w:cs="Times New Roman"/>
          <w:sz w:val="24"/>
          <w:szCs w:val="24"/>
          <w:lang w:val="en-US"/>
        </w:rPr>
        <w:t xml:space="preserve"> et al., 2024).</w:t>
      </w:r>
      <w:r>
        <w:rPr>
          <w:rFonts w:ascii="Times New Roman" w:eastAsia="Times New Roman" w:hAnsi="Times New Roman" w:cs="Times New Roman"/>
          <w:sz w:val="24"/>
          <w:szCs w:val="24"/>
          <w:lang w:val="en-US"/>
        </w:rPr>
        <w:t xml:space="preserve"> </w:t>
      </w:r>
      <w:r w:rsidRPr="00365D42">
        <w:rPr>
          <w:rFonts w:ascii="Times New Roman" w:eastAsia="Times New Roman" w:hAnsi="Times New Roman" w:cs="Times New Roman"/>
          <w:sz w:val="24"/>
          <w:szCs w:val="24"/>
          <w:lang w:val="en-US"/>
        </w:rPr>
        <w:t xml:space="preserve">Controlled environment agriculture allows precise regulation of temperature, humidity, carbon dioxide concentration, nutrient supply, </w:t>
      </w:r>
      <w:r w:rsidRPr="00365D42">
        <w:rPr>
          <w:rFonts w:ascii="Times New Roman" w:eastAsia="Times New Roman" w:hAnsi="Times New Roman" w:cs="Times New Roman"/>
          <w:sz w:val="24"/>
          <w:szCs w:val="24"/>
          <w:lang w:val="en-US"/>
        </w:rPr>
        <w:lastRenderedPageBreak/>
        <w:t xml:space="preserve">and light intensity. Unlike open-field farming, which depends heavily on climatic variability, </w:t>
      </w:r>
    </w:p>
    <w:p w14:paraId="34C05F2B" w14:textId="42932B1B" w:rsidR="00C1294A" w:rsidRPr="00F24B26" w:rsidRDefault="00C1294A" w:rsidP="00BB5FA2">
      <w:pPr>
        <w:spacing w:after="0" w:line="360" w:lineRule="auto"/>
        <w:jc w:val="both"/>
        <w:rPr>
          <w:rFonts w:ascii="Times New Roman" w:eastAsia="Times New Roman" w:hAnsi="Times New Roman" w:cs="Times New Roman"/>
          <w:b/>
          <w:sz w:val="24"/>
          <w:szCs w:val="24"/>
          <w:lang w:val="en-US"/>
        </w:rPr>
      </w:pPr>
      <w:r w:rsidRPr="00F24B26">
        <w:rPr>
          <w:rFonts w:ascii="Times New Roman" w:eastAsia="Times New Roman" w:hAnsi="Times New Roman" w:cs="Times New Roman"/>
          <w:b/>
          <w:sz w:val="24"/>
          <w:szCs w:val="24"/>
          <w:lang w:val="en-US"/>
        </w:rPr>
        <w:t xml:space="preserve">Fig 1: </w:t>
      </w:r>
      <w:r w:rsidR="00D830EF" w:rsidRPr="00F24B26">
        <w:rPr>
          <w:rFonts w:ascii="Times New Roman" w:eastAsia="Times New Roman" w:hAnsi="Times New Roman" w:cs="Times New Roman"/>
          <w:b/>
          <w:sz w:val="24"/>
          <w:szCs w:val="24"/>
          <w:lang w:val="en-US"/>
        </w:rPr>
        <w:t>IoT-based Smart Greenhouse</w:t>
      </w:r>
    </w:p>
    <w:p w14:paraId="530FD14E" w14:textId="77777777" w:rsidR="00365D42" w:rsidRPr="00BB5FA2" w:rsidRDefault="00365D42" w:rsidP="00BB5FA2">
      <w:pPr>
        <w:spacing w:after="0" w:line="360" w:lineRule="auto"/>
        <w:jc w:val="both"/>
        <w:rPr>
          <w:rFonts w:ascii="Times New Roman" w:eastAsia="Times New Roman" w:hAnsi="Times New Roman" w:cs="Times New Roman"/>
          <w:b/>
          <w:sz w:val="28"/>
          <w:szCs w:val="28"/>
          <w:lang w:val="en-US"/>
        </w:rPr>
      </w:pPr>
      <w:r w:rsidRPr="00365D42">
        <w:rPr>
          <w:rFonts w:ascii="Times New Roman" w:eastAsia="Times New Roman" w:hAnsi="Times New Roman" w:cs="Times New Roman"/>
          <w:sz w:val="24"/>
          <w:szCs w:val="24"/>
          <w:lang w:val="en-US"/>
        </w:rPr>
        <w:t>CEA decouples crop production from seasonal constraints (</w:t>
      </w:r>
      <w:proofErr w:type="spellStart"/>
      <w:r w:rsidRPr="00365D42">
        <w:rPr>
          <w:rFonts w:ascii="Times New Roman" w:eastAsia="Times New Roman" w:hAnsi="Times New Roman" w:cs="Times New Roman"/>
          <w:sz w:val="24"/>
          <w:szCs w:val="24"/>
          <w:lang w:val="en-US"/>
        </w:rPr>
        <w:t>Shamshiri</w:t>
      </w:r>
      <w:proofErr w:type="spellEnd"/>
      <w:r w:rsidRPr="00365D42">
        <w:rPr>
          <w:rFonts w:ascii="Times New Roman" w:eastAsia="Times New Roman" w:hAnsi="Times New Roman" w:cs="Times New Roman"/>
          <w:sz w:val="24"/>
          <w:szCs w:val="24"/>
          <w:lang w:val="en-US"/>
        </w:rPr>
        <w:t xml:space="preserve"> et al., 2018). </w:t>
      </w:r>
      <w:proofErr w:type="spellStart"/>
      <w:r w:rsidRPr="00365D42">
        <w:rPr>
          <w:rFonts w:ascii="Times New Roman" w:eastAsia="Times New Roman" w:hAnsi="Times New Roman" w:cs="Times New Roman"/>
          <w:sz w:val="24"/>
          <w:szCs w:val="24"/>
          <w:lang w:val="en-US"/>
        </w:rPr>
        <w:t>Kozai</w:t>
      </w:r>
      <w:proofErr w:type="spellEnd"/>
      <w:r w:rsidRPr="00365D42">
        <w:rPr>
          <w:rFonts w:ascii="Times New Roman" w:eastAsia="Times New Roman" w:hAnsi="Times New Roman" w:cs="Times New Roman"/>
          <w:sz w:val="24"/>
          <w:szCs w:val="24"/>
          <w:lang w:val="en-US"/>
        </w:rPr>
        <w:t xml:space="preserve"> et al. (2015) demonstrated that plant factories with artificial lighting can achieve significantly higher productivity per unit area compared with traditional systems, particularly for leafy vegetables.</w:t>
      </w:r>
    </w:p>
    <w:p w14:paraId="20DD91A0" w14:textId="77777777" w:rsidR="00365D42" w:rsidRPr="003D5F11" w:rsidRDefault="00365D42" w:rsidP="003D5F11">
      <w:pPr>
        <w:spacing w:after="0" w:line="360" w:lineRule="auto"/>
        <w:jc w:val="both"/>
        <w:rPr>
          <w:rFonts w:ascii="Times New Roman" w:eastAsia="Times New Roman" w:hAnsi="Times New Roman" w:cs="Times New Roman"/>
          <w:sz w:val="24"/>
          <w:szCs w:val="24"/>
          <w:lang w:val="en-US"/>
        </w:rPr>
      </w:pPr>
      <w:r w:rsidRPr="003D5F11">
        <w:rPr>
          <w:rFonts w:ascii="Times New Roman" w:eastAsia="Times New Roman" w:hAnsi="Times New Roman" w:cs="Times New Roman"/>
          <w:sz w:val="24"/>
          <w:szCs w:val="24"/>
          <w:lang w:val="en-US"/>
        </w:rPr>
        <w:t>Hydroponics, as a core component of vertical farming, eliminates soil and provides nutrients directly through aqueous solutions. This approach enhances nutrient uptake efficiency, reduces soil-borne diseases, and permits year-round cultivation (Lee &amp; Lee, 2015). However, the environmental sustainability of these systems depends largely on energy sources and system optimization.</w:t>
      </w:r>
    </w:p>
    <w:p w14:paraId="6F287D5D" w14:textId="77777777" w:rsidR="00233025" w:rsidRPr="003D5F11" w:rsidRDefault="00233025" w:rsidP="00233025">
      <w:pPr>
        <w:pStyle w:val="Heading2"/>
        <w:rPr>
          <w:sz w:val="24"/>
          <w:szCs w:val="24"/>
        </w:rPr>
      </w:pPr>
      <w:r w:rsidRPr="003D5F11">
        <w:rPr>
          <w:sz w:val="24"/>
          <w:szCs w:val="24"/>
        </w:rPr>
        <w:t xml:space="preserve"> Carbon Footprint in Agricultural Systems</w:t>
      </w:r>
    </w:p>
    <w:p w14:paraId="7F5E5B9B" w14:textId="1B93C7BC" w:rsidR="00233025" w:rsidRDefault="00233025" w:rsidP="007070BC">
      <w:pPr>
        <w:pStyle w:val="NormalWeb"/>
        <w:jc w:val="both"/>
      </w:pPr>
      <w:r w:rsidRPr="003D5F11">
        <w:t>Carbon footprint refers to the total greenhouse gas emissions associated with a product, process, or system, expressed in carbon dioxide equivalents (</w:t>
      </w:r>
      <w:proofErr w:type="spellStart"/>
      <w:r w:rsidRPr="003D5F11">
        <w:t>CO₂e</w:t>
      </w:r>
      <w:proofErr w:type="spellEnd"/>
      <w:r w:rsidRPr="003D5F11">
        <w:t>). In agriculture, emissions originate from direct sources such as fertilizer-induced N₂O emissions and indirect sources such as electricity consumption for irrigation and climate control.</w:t>
      </w:r>
    </w:p>
    <w:p w14:paraId="512FA96C" w14:textId="77777777" w:rsidR="005660A2" w:rsidRPr="005660A2" w:rsidRDefault="005660A2" w:rsidP="005660A2">
      <w:pPr>
        <w:pStyle w:val="Heading2"/>
        <w:jc w:val="both"/>
        <w:rPr>
          <w:color w:val="FF0000"/>
          <w:sz w:val="24"/>
          <w:szCs w:val="24"/>
        </w:rPr>
      </w:pPr>
      <w:r w:rsidRPr="005660A2">
        <w:rPr>
          <w:color w:val="FF0000"/>
          <w:sz w:val="24"/>
          <w:szCs w:val="24"/>
        </w:rPr>
        <w:t>Literature Search Methodology</w:t>
      </w:r>
    </w:p>
    <w:p w14:paraId="2C837C3D" w14:textId="77777777" w:rsidR="005660A2" w:rsidRPr="005660A2" w:rsidRDefault="005660A2" w:rsidP="005660A2">
      <w:pPr>
        <w:pStyle w:val="NormalWeb"/>
        <w:jc w:val="both"/>
        <w:rPr>
          <w:color w:val="FF0000"/>
        </w:rPr>
      </w:pPr>
      <w:r w:rsidRPr="005660A2">
        <w:rPr>
          <w:color w:val="FF0000"/>
        </w:rPr>
        <w:t>This review adopts a systematic literature-based approach to evaluate the carbon footprint dynamics of hydroponic and vertical farming systems. Relevant peer-reviewed articles were retrieved from major scientific databases including Scopus, Web of Science, ScienceDirect, and Google Scholar. Keywords used in the search process included “vertical farming,” “hydroponics,” “carbon footprint,” “life cycle assessment,” “controlled environment agriculture,” and “greenhouse gas emissions.”</w:t>
      </w:r>
    </w:p>
    <w:p w14:paraId="4B41E822" w14:textId="77777777" w:rsidR="005660A2" w:rsidRPr="005660A2" w:rsidRDefault="005660A2" w:rsidP="005660A2">
      <w:pPr>
        <w:pStyle w:val="NormalWeb"/>
        <w:jc w:val="both"/>
        <w:rPr>
          <w:color w:val="FF0000"/>
        </w:rPr>
      </w:pPr>
      <w:r w:rsidRPr="005660A2">
        <w:rPr>
          <w:color w:val="FF0000"/>
        </w:rPr>
        <w:t>Inclusion criteria focused on studies published between 2015 and 2025 to ensure recency, along with foundational earlier works of high relevance. Only peer-reviewed journal articles, conference papers, and authoritative institutional reports were considered. Studies were screened based on relevance to carbon assessment methodologies, energy use, and sustainability outcomes. Duplicate and non-English publications were excluded.</w:t>
      </w:r>
    </w:p>
    <w:p w14:paraId="0F6230B2" w14:textId="0EC2BC6F" w:rsidR="005660A2" w:rsidRPr="003D5F11" w:rsidRDefault="005660A2" w:rsidP="007070BC">
      <w:pPr>
        <w:pStyle w:val="NormalWeb"/>
        <w:jc w:val="both"/>
      </w:pPr>
      <w:r w:rsidRPr="005660A2">
        <w:rPr>
          <w:color w:val="FF0000"/>
        </w:rPr>
        <w:t xml:space="preserve">The selected literature was critically </w:t>
      </w:r>
      <w:proofErr w:type="spellStart"/>
      <w:r w:rsidRPr="005660A2">
        <w:rPr>
          <w:color w:val="FF0000"/>
        </w:rPr>
        <w:t>analyzed</w:t>
      </w:r>
      <w:proofErr w:type="spellEnd"/>
      <w:r w:rsidRPr="005660A2">
        <w:rPr>
          <w:color w:val="FF0000"/>
        </w:rPr>
        <w:t xml:space="preserve"> using thematic categorization, focusing on energy consumption, emission sources, technological innovations, and comparative sustainability performance</w:t>
      </w:r>
      <w:r>
        <w:t>.</w:t>
      </w:r>
    </w:p>
    <w:p w14:paraId="61ED4F34" w14:textId="77777777" w:rsidR="00233025" w:rsidRPr="003D5F11" w:rsidRDefault="00233025" w:rsidP="007070BC">
      <w:pPr>
        <w:pStyle w:val="Heading3"/>
        <w:jc w:val="both"/>
        <w:rPr>
          <w:rFonts w:ascii="Times New Roman" w:hAnsi="Times New Roman" w:cs="Times New Roman"/>
          <w:color w:val="auto"/>
          <w:sz w:val="24"/>
          <w:szCs w:val="24"/>
        </w:rPr>
      </w:pPr>
      <w:r w:rsidRPr="003D5F11">
        <w:rPr>
          <w:rFonts w:ascii="Times New Roman" w:hAnsi="Times New Roman" w:cs="Times New Roman"/>
          <w:color w:val="auto"/>
          <w:sz w:val="24"/>
          <w:szCs w:val="24"/>
        </w:rPr>
        <w:t xml:space="preserve"> Life Cycle Assessment (LCA)</w:t>
      </w:r>
    </w:p>
    <w:p w14:paraId="68046E81" w14:textId="77777777" w:rsidR="00233025" w:rsidRPr="003D5F11" w:rsidRDefault="00233025" w:rsidP="007070BC">
      <w:pPr>
        <w:pStyle w:val="NormalWeb"/>
        <w:jc w:val="both"/>
      </w:pPr>
      <w:r w:rsidRPr="003D5F11">
        <w:t xml:space="preserve">Life Cycle Assessment is the most widely adopted methodology for quantifying carbon footprints in agricultural systems. LCA evaluates environmental impacts across all stages of production, including raw material extraction, infrastructure construction, operation, distribution, and waste disposal. </w:t>
      </w:r>
      <w:proofErr w:type="spellStart"/>
      <w:r w:rsidRPr="003D5F11">
        <w:t>Blom</w:t>
      </w:r>
      <w:proofErr w:type="spellEnd"/>
      <w:r w:rsidRPr="003D5F11">
        <w:t xml:space="preserve"> et al. (2022) applied LCA to compare lettuce production in open-field, greenhouse, and vertical farm systems in the Netherlands. Their findings revealed </w:t>
      </w:r>
      <w:r w:rsidRPr="003D5F11">
        <w:lastRenderedPageBreak/>
        <w:t>that vertical farming exhibited substantially higher carbon intensity under baseline energy conditions, primarily due to electricity demand for artificial lighting.</w:t>
      </w:r>
    </w:p>
    <w:p w14:paraId="0D104B4B" w14:textId="77777777" w:rsidR="00233025" w:rsidRPr="003D5F11" w:rsidRDefault="00233025" w:rsidP="007070BC">
      <w:pPr>
        <w:pStyle w:val="Heading3"/>
        <w:jc w:val="both"/>
        <w:rPr>
          <w:rFonts w:ascii="Times New Roman" w:hAnsi="Times New Roman" w:cs="Times New Roman"/>
          <w:color w:val="auto"/>
          <w:sz w:val="24"/>
          <w:szCs w:val="24"/>
        </w:rPr>
      </w:pPr>
      <w:r w:rsidRPr="003D5F11">
        <w:rPr>
          <w:rFonts w:ascii="Times New Roman" w:hAnsi="Times New Roman" w:cs="Times New Roman"/>
          <w:color w:val="auto"/>
          <w:sz w:val="24"/>
          <w:szCs w:val="24"/>
        </w:rPr>
        <w:t xml:space="preserve"> Process-Based Emission </w:t>
      </w:r>
      <w:proofErr w:type="spellStart"/>
      <w:r w:rsidRPr="003D5F11">
        <w:rPr>
          <w:rFonts w:ascii="Times New Roman" w:hAnsi="Times New Roman" w:cs="Times New Roman"/>
          <w:color w:val="auto"/>
          <w:sz w:val="24"/>
          <w:szCs w:val="24"/>
        </w:rPr>
        <w:t>Modeling</w:t>
      </w:r>
      <w:proofErr w:type="spellEnd"/>
    </w:p>
    <w:p w14:paraId="45253C76" w14:textId="77777777" w:rsidR="00233025" w:rsidRPr="003D5F11" w:rsidRDefault="00233025" w:rsidP="007070BC">
      <w:pPr>
        <w:pStyle w:val="NormalWeb"/>
        <w:jc w:val="both"/>
      </w:pPr>
      <w:r w:rsidRPr="003D5F11">
        <w:t>Process-based models estimate emissions using activity data such as fertilizer input, irrigation volume, and fuel consumption combined with standardized emission factors (FAO, 2015). This approach is commonly used in national greenhouse gas inventories and agricultural sustainability assessments.</w:t>
      </w:r>
    </w:p>
    <w:p w14:paraId="408D47E5" w14:textId="77777777" w:rsidR="00233025" w:rsidRPr="003D5F11" w:rsidRDefault="00233025" w:rsidP="007070BC">
      <w:pPr>
        <w:pStyle w:val="Heading3"/>
        <w:jc w:val="both"/>
        <w:rPr>
          <w:rFonts w:ascii="Times New Roman" w:hAnsi="Times New Roman" w:cs="Times New Roman"/>
          <w:color w:val="auto"/>
          <w:sz w:val="24"/>
          <w:szCs w:val="24"/>
        </w:rPr>
      </w:pPr>
      <w:r w:rsidRPr="003D5F11">
        <w:rPr>
          <w:rFonts w:ascii="Times New Roman" w:hAnsi="Times New Roman" w:cs="Times New Roman"/>
          <w:color w:val="auto"/>
          <w:sz w:val="24"/>
          <w:szCs w:val="24"/>
        </w:rPr>
        <w:t>Field-Based Measurement Techniques</w:t>
      </w:r>
    </w:p>
    <w:p w14:paraId="070BEB8B" w14:textId="77777777" w:rsidR="00233025" w:rsidRPr="003D5F11" w:rsidRDefault="00233025" w:rsidP="007070BC">
      <w:pPr>
        <w:pStyle w:val="NormalWeb"/>
        <w:jc w:val="both"/>
      </w:pPr>
      <w:r w:rsidRPr="003D5F11">
        <w:t>Direct measurement techniques involve chamber methods and gas chromatography to quantify soil-emitted CH₄ and N₂O fluxes. Poudel et al. (2023) highlighted the importance of chamber-based measurement for accurate emission estimation in managed systems. Although hydroponic systems largely eliminate soil-based N₂O emissions, electricity-related emissions remain significant.</w:t>
      </w:r>
    </w:p>
    <w:p w14:paraId="6F57F4AE" w14:textId="77777777" w:rsidR="00233025" w:rsidRPr="003D5F11" w:rsidRDefault="00233025" w:rsidP="007070BC">
      <w:pPr>
        <w:pStyle w:val="Heading3"/>
        <w:jc w:val="both"/>
        <w:rPr>
          <w:rFonts w:ascii="Times New Roman" w:hAnsi="Times New Roman" w:cs="Times New Roman"/>
          <w:color w:val="auto"/>
          <w:sz w:val="24"/>
          <w:szCs w:val="24"/>
        </w:rPr>
      </w:pPr>
      <w:r w:rsidRPr="003D5F11">
        <w:rPr>
          <w:rFonts w:ascii="Times New Roman" w:hAnsi="Times New Roman" w:cs="Times New Roman"/>
          <w:color w:val="auto"/>
          <w:sz w:val="24"/>
          <w:szCs w:val="24"/>
        </w:rPr>
        <w:t>Energy-Based Carbon Accounting</w:t>
      </w:r>
    </w:p>
    <w:p w14:paraId="1C52B877" w14:textId="77777777" w:rsidR="00233025" w:rsidRPr="003D5F11" w:rsidRDefault="00233025" w:rsidP="007070BC">
      <w:pPr>
        <w:pStyle w:val="NormalWeb"/>
        <w:jc w:val="both"/>
      </w:pPr>
      <w:r w:rsidRPr="003D5F11">
        <w:t>Electricity consumption (kWh) multiplied by grid emission factors (kg CO₂/kWh) provides a straightforward estimation of operational emissions. Vertical farms powered by fossil fuel-dominated grids exhibit significantly higher carbon intensity compared with those using renewable sources (Molin &amp; Martin, 2018).</w:t>
      </w:r>
    </w:p>
    <w:p w14:paraId="2C7B6D72" w14:textId="77777777" w:rsidR="00233025" w:rsidRPr="003D5F11" w:rsidRDefault="00233025" w:rsidP="007070BC">
      <w:pPr>
        <w:pStyle w:val="Heading3"/>
        <w:jc w:val="both"/>
        <w:rPr>
          <w:rFonts w:ascii="Times New Roman" w:hAnsi="Times New Roman" w:cs="Times New Roman"/>
          <w:color w:val="auto"/>
          <w:sz w:val="24"/>
          <w:szCs w:val="24"/>
        </w:rPr>
      </w:pPr>
      <w:r w:rsidRPr="003D5F11">
        <w:rPr>
          <w:rFonts w:ascii="Times New Roman" w:hAnsi="Times New Roman" w:cs="Times New Roman"/>
          <w:color w:val="auto"/>
          <w:sz w:val="24"/>
          <w:szCs w:val="24"/>
        </w:rPr>
        <w:t xml:space="preserve"> Emerging Carbon Monitoring Technologies</w:t>
      </w:r>
    </w:p>
    <w:p w14:paraId="16227B71" w14:textId="77777777" w:rsidR="00233025" w:rsidRPr="008D0827" w:rsidRDefault="00233025" w:rsidP="007070BC">
      <w:pPr>
        <w:pStyle w:val="NormalWeb"/>
        <w:jc w:val="both"/>
      </w:pPr>
      <w:r w:rsidRPr="008D0827">
        <w:t>Innovative carbon monitoring approaches now incorporate real-time energy tracking sensors, blockchain-based carbon accounting platforms, and AI-driven predictive emission models. Smart meters integrated within IoT frameworks can continuously assess energy usage patterns and identify inefficiencies in climate control or lighting systems (</w:t>
      </w:r>
      <w:proofErr w:type="spellStart"/>
      <w:r w:rsidRPr="008D0827">
        <w:t>Hosny</w:t>
      </w:r>
      <w:proofErr w:type="spellEnd"/>
      <w:r w:rsidRPr="008D0827">
        <w:t xml:space="preserve"> et al., 2024). Additionally, satellite-based remote sensing and spectral analysis are increasingly used to evaluate land-use change emissions and vegetation carbon sequestration potential.</w:t>
      </w:r>
    </w:p>
    <w:p w14:paraId="43E66D66" w14:textId="77777777" w:rsidR="00233025" w:rsidRDefault="00233025" w:rsidP="00233025">
      <w:pPr>
        <w:pStyle w:val="Heading2"/>
      </w:pPr>
      <w:r>
        <w:t>Comparative Carbon Footprint of Production Systems</w:t>
      </w:r>
    </w:p>
    <w:p w14:paraId="79FFC99A" w14:textId="77777777" w:rsidR="00233025" w:rsidRDefault="00C1294A" w:rsidP="007070BC">
      <w:pPr>
        <w:pStyle w:val="NormalWeb"/>
        <w:jc w:val="both"/>
      </w:pPr>
      <w:r>
        <w:rPr>
          <w:noProof/>
          <w:lang w:val="en-US"/>
        </w:rPr>
        <w:lastRenderedPageBreak/>
        <w:drawing>
          <wp:anchor distT="0" distB="0" distL="114300" distR="114300" simplePos="0" relativeHeight="251660288" behindDoc="0" locked="0" layoutInCell="1" allowOverlap="1" wp14:anchorId="06BC6B4C" wp14:editId="056CE947">
            <wp:simplePos x="0" y="0"/>
            <wp:positionH relativeFrom="column">
              <wp:posOffset>-786075</wp:posOffset>
            </wp:positionH>
            <wp:positionV relativeFrom="paragraph">
              <wp:posOffset>1034387</wp:posOffset>
            </wp:positionV>
            <wp:extent cx="4164965" cy="2846705"/>
            <wp:effectExtent l="19050" t="0" r="6985" b="0"/>
            <wp:wrapSquare wrapText="bothSides"/>
            <wp:docPr id="9" name="Picture 9" descr="https://cdn.greenmatch.co.uk/cdn-cgi/image/format%3Dauto/2/2024/08/Vertical-Farming-Alternativ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cdn.greenmatch.co.uk/cdn-cgi/image/format%3Dauto/2/2024/08/Vertical-Farming-Alternatives.png"/>
                    <pic:cNvPicPr>
                      <a:picLocks noChangeAspect="1" noChangeArrowheads="1"/>
                    </pic:cNvPicPr>
                  </pic:nvPicPr>
                  <pic:blipFill>
                    <a:blip r:embed="rId9"/>
                    <a:srcRect/>
                    <a:stretch>
                      <a:fillRect/>
                    </a:stretch>
                  </pic:blipFill>
                  <pic:spPr bwMode="auto">
                    <a:xfrm>
                      <a:off x="0" y="0"/>
                      <a:ext cx="4164965" cy="2846705"/>
                    </a:xfrm>
                    <a:prstGeom prst="rect">
                      <a:avLst/>
                    </a:prstGeom>
                    <a:noFill/>
                    <a:ln w="9525">
                      <a:noFill/>
                      <a:miter lim="800000"/>
                      <a:headEnd/>
                      <a:tailEnd/>
                    </a:ln>
                  </pic:spPr>
                </pic:pic>
              </a:graphicData>
            </a:graphic>
          </wp:anchor>
        </w:drawing>
      </w:r>
      <w:proofErr w:type="spellStart"/>
      <w:r w:rsidR="00233025">
        <w:t>Blom</w:t>
      </w:r>
      <w:proofErr w:type="spellEnd"/>
      <w:r w:rsidR="00233025">
        <w:t xml:space="preserve"> et al. (2022) reported that vertical farms exhibited 5.6–16.7 times higher carbon footprint than open-field systems under conventional grid electricity conditions. Artificial lighting accounted for approximately 65–80% of electricity use. When renewable energy scenarios were applied, emissions reduced significantly, though vertical systems still remained more carbon-intensive than open-field production.</w:t>
      </w:r>
    </w:p>
    <w:p w14:paraId="64E61A32" w14:textId="77777777" w:rsidR="00233025" w:rsidRDefault="007070BC" w:rsidP="00233025">
      <w:r>
        <w:rPr>
          <w:noProof/>
          <w:lang w:val="en-US"/>
        </w:rPr>
        <w:drawing>
          <wp:anchor distT="0" distB="0" distL="114300" distR="114300" simplePos="0" relativeHeight="251661312" behindDoc="0" locked="0" layoutInCell="1" allowOverlap="1" wp14:anchorId="3E3DF1C7" wp14:editId="697146D7">
            <wp:simplePos x="0" y="0"/>
            <wp:positionH relativeFrom="column">
              <wp:posOffset>3443605</wp:posOffset>
            </wp:positionH>
            <wp:positionV relativeFrom="paragraph">
              <wp:posOffset>-86360</wp:posOffset>
            </wp:positionV>
            <wp:extent cx="3129280" cy="2484120"/>
            <wp:effectExtent l="19050" t="0" r="0" b="0"/>
            <wp:wrapSquare wrapText="bothSides"/>
            <wp:docPr id="8" name="Picture 8" descr="https://www.researchgate.net/publication/364544066/figure/fig1/AS%3A11431281091276007%401666362629917/Schematic-of-product-life-cycle-by-L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researchgate.net/publication/364544066/figure/fig1/AS%3A11431281091276007%401666362629917/Schematic-of-product-life-cycle-by-LCA.png"/>
                    <pic:cNvPicPr>
                      <a:picLocks noChangeAspect="1" noChangeArrowheads="1"/>
                    </pic:cNvPicPr>
                  </pic:nvPicPr>
                  <pic:blipFill>
                    <a:blip r:embed="rId10"/>
                    <a:srcRect/>
                    <a:stretch>
                      <a:fillRect/>
                    </a:stretch>
                  </pic:blipFill>
                  <pic:spPr bwMode="auto">
                    <a:xfrm>
                      <a:off x="0" y="0"/>
                      <a:ext cx="3129280" cy="2484120"/>
                    </a:xfrm>
                    <a:prstGeom prst="rect">
                      <a:avLst/>
                    </a:prstGeom>
                    <a:noFill/>
                    <a:ln w="9525">
                      <a:noFill/>
                      <a:miter lim="800000"/>
                      <a:headEnd/>
                      <a:tailEnd/>
                    </a:ln>
                  </pic:spPr>
                </pic:pic>
              </a:graphicData>
            </a:graphic>
          </wp:anchor>
        </w:drawing>
      </w:r>
    </w:p>
    <w:p w14:paraId="6A87D6BD" w14:textId="77777777" w:rsidR="00C1294A" w:rsidRDefault="00C1294A" w:rsidP="003D5F11">
      <w:pPr>
        <w:pStyle w:val="NormalWeb"/>
        <w:spacing w:after="0" w:line="360" w:lineRule="auto"/>
        <w:jc w:val="both"/>
      </w:pPr>
    </w:p>
    <w:p w14:paraId="1A687969" w14:textId="3F45D050" w:rsidR="00D830EF" w:rsidRPr="003D5F11" w:rsidRDefault="00C1294A" w:rsidP="00D830EF">
      <w:pPr>
        <w:pStyle w:val="Heading2"/>
        <w:rPr>
          <w:sz w:val="24"/>
          <w:szCs w:val="24"/>
        </w:rPr>
      </w:pPr>
      <w:r>
        <w:t xml:space="preserve">Fig 2: </w:t>
      </w:r>
      <w:r w:rsidR="00D830EF" w:rsidRPr="003D5F11">
        <w:rPr>
          <w:sz w:val="24"/>
          <w:szCs w:val="24"/>
        </w:rPr>
        <w:t xml:space="preserve">Carbon Footprint </w:t>
      </w:r>
      <w:r w:rsidR="00D830EF">
        <w:rPr>
          <w:sz w:val="24"/>
          <w:szCs w:val="24"/>
        </w:rPr>
        <w:t xml:space="preserve">Applied </w:t>
      </w:r>
      <w:r w:rsidR="00D830EF" w:rsidRPr="003D5F11">
        <w:rPr>
          <w:sz w:val="24"/>
          <w:szCs w:val="24"/>
        </w:rPr>
        <w:t>in</w:t>
      </w:r>
      <w:r w:rsidR="00D830EF">
        <w:rPr>
          <w:sz w:val="24"/>
          <w:szCs w:val="24"/>
        </w:rPr>
        <w:t xml:space="preserve"> various </w:t>
      </w:r>
      <w:r w:rsidR="001959DA">
        <w:rPr>
          <w:sz w:val="24"/>
          <w:szCs w:val="24"/>
        </w:rPr>
        <w:t>Fields</w:t>
      </w:r>
    </w:p>
    <w:p w14:paraId="7846040C" w14:textId="350680B8" w:rsidR="00C1294A" w:rsidRPr="00D830EF" w:rsidRDefault="00C1294A" w:rsidP="003D5F11">
      <w:pPr>
        <w:pStyle w:val="NormalWeb"/>
        <w:spacing w:after="0" w:line="360" w:lineRule="auto"/>
        <w:jc w:val="both"/>
        <w:rPr>
          <w:lang w:val="en-US"/>
        </w:rPr>
      </w:pPr>
    </w:p>
    <w:p w14:paraId="31163613" w14:textId="22E974D7" w:rsidR="00233025" w:rsidRDefault="00233025" w:rsidP="003D5F11">
      <w:pPr>
        <w:pStyle w:val="NormalWeb"/>
        <w:spacing w:after="0" w:line="360" w:lineRule="auto"/>
        <w:jc w:val="both"/>
      </w:pPr>
      <w:r>
        <w:t xml:space="preserve">Greenhouse systems, particularly those utilizing natural sunlight, demonstrate lower energy demand than fully indoor vertical farms (Van </w:t>
      </w:r>
      <w:proofErr w:type="spellStart"/>
      <w:r>
        <w:t>Gerrewey</w:t>
      </w:r>
      <w:proofErr w:type="spellEnd"/>
      <w:r>
        <w:t xml:space="preserve"> et al., 2022). However, hydroponic greenhouses may still require supplemental heating or cooling depending on </w:t>
      </w:r>
      <w:r w:rsidR="00D830EF">
        <w:t xml:space="preserve">the </w:t>
      </w:r>
      <w:r>
        <w:t>climate.</w:t>
      </w:r>
    </w:p>
    <w:p w14:paraId="3C25382A" w14:textId="77777777" w:rsidR="00233025" w:rsidRDefault="00233025" w:rsidP="00233025">
      <w:pPr>
        <w:pStyle w:val="Heading2"/>
      </w:pPr>
      <w:r>
        <w:t xml:space="preserve"> How Hydroponics Can Reduce Carbon Footprint</w:t>
      </w:r>
    </w:p>
    <w:p w14:paraId="7AE8851C" w14:textId="77777777" w:rsidR="007070BC" w:rsidRPr="007070BC" w:rsidRDefault="007070BC" w:rsidP="003D5F11">
      <w:pPr>
        <w:spacing w:after="0" w:line="360" w:lineRule="auto"/>
        <w:jc w:val="both"/>
        <w:rPr>
          <w:rFonts w:ascii="Times New Roman" w:eastAsia="Times New Roman" w:hAnsi="Times New Roman" w:cs="Times New Roman"/>
          <w:sz w:val="24"/>
          <w:szCs w:val="24"/>
          <w:lang w:val="en-US"/>
        </w:rPr>
      </w:pPr>
      <w:r w:rsidRPr="007070BC">
        <w:rPr>
          <w:rFonts w:ascii="Times New Roman" w:eastAsia="Times New Roman" w:hAnsi="Times New Roman" w:cs="Times New Roman"/>
          <w:sz w:val="24"/>
          <w:szCs w:val="24"/>
          <w:lang w:val="en-US"/>
        </w:rPr>
        <w:t>The net carbon footprint of hydroponic production is highly sensitive to system design, nutrient management efficiency, spatial configuration, and energy sourcing. When these components are strategically aligned, hydroponic systems can mitigate multiple emission pathways that are otherwise prevalent in conventional agriculture.</w:t>
      </w:r>
    </w:p>
    <w:p w14:paraId="45478BEA" w14:textId="77777777" w:rsidR="007070BC" w:rsidRPr="007070BC" w:rsidRDefault="007070BC" w:rsidP="003D5F11">
      <w:pPr>
        <w:spacing w:after="0" w:line="360" w:lineRule="auto"/>
        <w:jc w:val="both"/>
        <w:rPr>
          <w:rFonts w:ascii="Times New Roman" w:eastAsia="Times New Roman" w:hAnsi="Times New Roman" w:cs="Times New Roman"/>
          <w:sz w:val="24"/>
          <w:szCs w:val="24"/>
          <w:lang w:val="en-US"/>
        </w:rPr>
      </w:pPr>
      <w:r w:rsidRPr="007070BC">
        <w:rPr>
          <w:rFonts w:ascii="Times New Roman" w:eastAsia="Times New Roman" w:hAnsi="Times New Roman" w:cs="Times New Roman"/>
          <w:sz w:val="24"/>
          <w:szCs w:val="24"/>
          <w:lang w:val="en-US"/>
        </w:rPr>
        <w:t xml:space="preserve">One of the most significant environmental advantages of hydroponics lies in its exceptional water-use efficiency. Traditional soil-based irrigation systems often experience substantial water losses through runoff, evaporation, and deep percolation. In contrast, hydroponic systems operate within closed-loop recirculation frameworks in which nutrient-enriched water is continuously collected, filtered, adjusted for pH and electrical conductivity, and redistributed to plant roots. This approach can reduce water consumption by up to 70–90% compared with </w:t>
      </w:r>
      <w:r w:rsidRPr="007070BC">
        <w:rPr>
          <w:rFonts w:ascii="Times New Roman" w:eastAsia="Times New Roman" w:hAnsi="Times New Roman" w:cs="Times New Roman"/>
          <w:sz w:val="24"/>
          <w:szCs w:val="24"/>
          <w:lang w:val="en-US"/>
        </w:rPr>
        <w:lastRenderedPageBreak/>
        <w:t>open-field cultivation (Kalantari et al., 2018). Lower water demand translates into reduced energy requirements for groundwater pumping, surface water extraction, and long-distance irrigation distribution. In regions where irrigation depends heavily on diesel pumps or fossil fuel-powered electricity grids, this reduction directly lowers associated carbon dioxide emissions. Furthermore, decreased water abstraction helps preserve local aquifers and reduces indirect emissions associated with water treatment infrastructure.</w:t>
      </w:r>
    </w:p>
    <w:p w14:paraId="64CF7CE0" w14:textId="77777777" w:rsidR="007070BC" w:rsidRPr="00482478" w:rsidRDefault="007070BC" w:rsidP="003D5F11">
      <w:pPr>
        <w:spacing w:after="0" w:line="360" w:lineRule="auto"/>
        <w:jc w:val="both"/>
        <w:rPr>
          <w:rFonts w:ascii="Times New Roman" w:eastAsia="Times New Roman" w:hAnsi="Times New Roman" w:cs="Times New Roman"/>
          <w:sz w:val="24"/>
          <w:szCs w:val="24"/>
          <w:lang w:val="en-US"/>
        </w:rPr>
      </w:pPr>
      <w:r w:rsidRPr="007070BC">
        <w:rPr>
          <w:rFonts w:ascii="Times New Roman" w:eastAsia="Times New Roman" w:hAnsi="Times New Roman" w:cs="Times New Roman"/>
          <w:sz w:val="24"/>
          <w:szCs w:val="24"/>
          <w:lang w:val="en-US"/>
        </w:rPr>
        <w:t xml:space="preserve">Hydroponic systems also enhance fertilizer use efficiency through precise nutrient delivery mechanisms. In conventional agriculture, nitrogen fertilizers are often applied in excess to compensate for leaching and uneven soil nutrient availability. This inefficiency contributes to nitrous oxide (N₂O) emissions generated during microbial nitrification and denitrification processes in soil. N₂O is one of the most potent greenhouse gases, possessing a global warming potential nearly 298 times that of CO₂ over a 100-year period. Hydroponic cultivation eliminates soil-based nitrogen transformations by delivering nutrients directly to the root zone in dissolved form. Continuous monitoring of nutrient solution composition allows growers to maintain optimal electrical conductivity (EC) and pH levels, preventing over-fertilization and </w:t>
      </w:r>
      <w:r w:rsidRPr="00482478">
        <w:rPr>
          <w:rFonts w:ascii="Times New Roman" w:eastAsia="Times New Roman" w:hAnsi="Times New Roman" w:cs="Times New Roman"/>
          <w:sz w:val="24"/>
          <w:szCs w:val="24"/>
          <w:lang w:val="en-US"/>
        </w:rPr>
        <w:t>nutrient imbalance. As demonstrated by Singh et al. (2019), hydroponic nutrient optimization improves uptake efficiency and reduces waste, thereby minimizing indirect greenhouse gas emissions associated with fertilizer production and soil nitrogen cycling. Additionally, nutrient recapture systems prevent runoff losses that would otherwise contribute to downstream environmental degradation and eutrophication.</w:t>
      </w:r>
      <w:r w:rsidR="00D16EE9" w:rsidRPr="00482478">
        <w:rPr>
          <w:rFonts w:ascii="Times New Roman" w:eastAsia="Times New Roman" w:hAnsi="Times New Roman" w:cs="Times New Roman"/>
          <w:sz w:val="24"/>
          <w:szCs w:val="24"/>
          <w:lang w:val="en-US"/>
        </w:rPr>
        <w:t xml:space="preserve"> </w:t>
      </w:r>
      <w:r w:rsidR="00D16EE9" w:rsidRPr="00482478">
        <w:rPr>
          <w:rFonts w:ascii="Times New Roman" w:hAnsi="Times New Roman" w:cs="Times New Roman"/>
          <w:sz w:val="24"/>
          <w:szCs w:val="24"/>
        </w:rPr>
        <w:t xml:space="preserve">Hydroponics holds immense promise for further innovation and application. Continued advancements in crop optimization and system scalability are poised to enhance yields and operational efficiencies, ensuring a resilient food supply in the face of global challenges such as climate change and population growth. As a cornerstone of sustainable agriculture, hydroponics not only conserves arable land but also offers a pathway to enhanced food sovereignty through local production and reduced reliance on imported goods. (Thapa, </w:t>
      </w:r>
      <w:proofErr w:type="gramStart"/>
      <w:r w:rsidR="00D16EE9" w:rsidRPr="00482478">
        <w:rPr>
          <w:rFonts w:ascii="Times New Roman" w:hAnsi="Times New Roman" w:cs="Times New Roman"/>
          <w:i/>
          <w:sz w:val="24"/>
          <w:szCs w:val="24"/>
        </w:rPr>
        <w:t>et.al</w:t>
      </w:r>
      <w:r w:rsidR="00482478" w:rsidRPr="00482478">
        <w:rPr>
          <w:rFonts w:ascii="Times New Roman" w:hAnsi="Times New Roman" w:cs="Times New Roman"/>
          <w:sz w:val="24"/>
          <w:szCs w:val="24"/>
        </w:rPr>
        <w:t xml:space="preserve"> ,</w:t>
      </w:r>
      <w:proofErr w:type="gramEnd"/>
      <w:r w:rsidR="00482478" w:rsidRPr="00482478">
        <w:rPr>
          <w:rFonts w:ascii="Times New Roman" w:hAnsi="Times New Roman" w:cs="Times New Roman"/>
          <w:sz w:val="24"/>
          <w:szCs w:val="24"/>
        </w:rPr>
        <w:t xml:space="preserve"> 2024)</w:t>
      </w:r>
    </w:p>
    <w:p w14:paraId="06F69AA9" w14:textId="77777777" w:rsidR="007070BC" w:rsidRPr="007070BC" w:rsidRDefault="007070BC" w:rsidP="003D5F11">
      <w:pPr>
        <w:spacing w:after="0" w:line="360" w:lineRule="auto"/>
        <w:jc w:val="both"/>
        <w:rPr>
          <w:rFonts w:ascii="Times New Roman" w:eastAsia="Times New Roman" w:hAnsi="Times New Roman" w:cs="Times New Roman"/>
          <w:sz w:val="24"/>
          <w:szCs w:val="24"/>
          <w:lang w:val="en-US"/>
        </w:rPr>
      </w:pPr>
      <w:r w:rsidRPr="00482478">
        <w:rPr>
          <w:rFonts w:ascii="Times New Roman" w:eastAsia="Times New Roman" w:hAnsi="Times New Roman" w:cs="Times New Roman"/>
          <w:sz w:val="24"/>
          <w:szCs w:val="24"/>
          <w:lang w:val="en-US"/>
        </w:rPr>
        <w:t>Another substantial carbon-reducing benefit of hydroponic vertical farming arises from its spatial integration within urban or peri-urban environments. Conventional agricultural supply chains frequently involve long-distance transportation from rural production areas to</w:t>
      </w:r>
      <w:r w:rsidRPr="007070BC">
        <w:rPr>
          <w:rFonts w:ascii="Times New Roman" w:eastAsia="Times New Roman" w:hAnsi="Times New Roman" w:cs="Times New Roman"/>
          <w:sz w:val="24"/>
          <w:szCs w:val="24"/>
          <w:lang w:val="en-US"/>
        </w:rPr>
        <w:t xml:space="preserve"> metropolitan markets. These extended logistics networks depend on fossil fuel-powered vehicles and energy-intensive refrigeration systems, contributing significantly to carbon dioxide emissions. By situating production facilities closer to consumers, hydroponic vertical farms reduce “food miles,” shorten distribution timeframes, and decrease reliance on cold-chain storage (</w:t>
      </w:r>
      <w:proofErr w:type="spellStart"/>
      <w:r w:rsidRPr="007070BC">
        <w:rPr>
          <w:rFonts w:ascii="Times New Roman" w:eastAsia="Times New Roman" w:hAnsi="Times New Roman" w:cs="Times New Roman"/>
          <w:sz w:val="24"/>
          <w:szCs w:val="24"/>
          <w:lang w:val="en-US"/>
        </w:rPr>
        <w:t>Avgoustaki</w:t>
      </w:r>
      <w:proofErr w:type="spellEnd"/>
      <w:r w:rsidRPr="007070BC">
        <w:rPr>
          <w:rFonts w:ascii="Times New Roman" w:eastAsia="Times New Roman" w:hAnsi="Times New Roman" w:cs="Times New Roman"/>
          <w:sz w:val="24"/>
          <w:szCs w:val="24"/>
          <w:lang w:val="en-US"/>
        </w:rPr>
        <w:t xml:space="preserve"> &amp; Xydis, 2020). Reduced transportation not only lowers direct fuel </w:t>
      </w:r>
      <w:r w:rsidRPr="007070BC">
        <w:rPr>
          <w:rFonts w:ascii="Times New Roman" w:eastAsia="Times New Roman" w:hAnsi="Times New Roman" w:cs="Times New Roman"/>
          <w:sz w:val="24"/>
          <w:szCs w:val="24"/>
          <w:lang w:val="en-US"/>
        </w:rPr>
        <w:lastRenderedPageBreak/>
        <w:t>combustion emissions but also minimizes food spoilage and post-harvest losses, thereby decreasing the embedded carbon associated with wasted production. This localization of food systems strengthens urban resilience while simultaneously lowering supply chain-related environmental burdens.</w:t>
      </w:r>
    </w:p>
    <w:p w14:paraId="3D97ED7B" w14:textId="77777777" w:rsidR="007070BC" w:rsidRPr="007070BC" w:rsidRDefault="007070BC" w:rsidP="003D5F11">
      <w:pPr>
        <w:spacing w:after="0" w:line="360" w:lineRule="auto"/>
        <w:jc w:val="both"/>
        <w:rPr>
          <w:rFonts w:ascii="Times New Roman" w:eastAsia="Times New Roman" w:hAnsi="Times New Roman" w:cs="Times New Roman"/>
          <w:sz w:val="24"/>
          <w:szCs w:val="24"/>
          <w:lang w:val="en-US"/>
        </w:rPr>
      </w:pPr>
      <w:r w:rsidRPr="007070BC">
        <w:rPr>
          <w:rFonts w:ascii="Times New Roman" w:eastAsia="Times New Roman" w:hAnsi="Times New Roman" w:cs="Times New Roman"/>
          <w:sz w:val="24"/>
          <w:szCs w:val="24"/>
          <w:lang w:val="en-US"/>
        </w:rPr>
        <w:t>Lighting efficiency represents another critical pathway for emission mitigation. The transition from conventional high-pressure sodium lamps to advanced LED technologies has dramatically improved energy-use efficiency in controlled environment agriculture. LEDs emit specific wavelengths within the photosynthetically active radiation (PAR) spectrum that directly correspond to plant physiological needs. Blue wavelengths stimulate vegetative growth, while red wavelengths enhance flowering and fruiting. By tailoring spectral output to crop developmental stages, LED systems reduce wasted energy and maximize photon-use efficiency (</w:t>
      </w:r>
      <w:proofErr w:type="spellStart"/>
      <w:r w:rsidRPr="007070BC">
        <w:rPr>
          <w:rFonts w:ascii="Times New Roman" w:eastAsia="Times New Roman" w:hAnsi="Times New Roman" w:cs="Times New Roman"/>
          <w:sz w:val="24"/>
          <w:szCs w:val="24"/>
          <w:lang w:val="en-US"/>
        </w:rPr>
        <w:t>Bian</w:t>
      </w:r>
      <w:proofErr w:type="spellEnd"/>
      <w:r w:rsidRPr="007070BC">
        <w:rPr>
          <w:rFonts w:ascii="Times New Roman" w:eastAsia="Times New Roman" w:hAnsi="Times New Roman" w:cs="Times New Roman"/>
          <w:sz w:val="24"/>
          <w:szCs w:val="24"/>
          <w:lang w:val="en-US"/>
        </w:rPr>
        <w:t xml:space="preserve"> et al., 2018). Moreover, LEDs generate minimal radiant heat compared to older lighting technologies, decreasing cooling requirements and further lowering electricity consumption. Sophisticated dimming systems and programmable photoperiod controls allow dynamic adjustment of light intensity based on real-time plant growth conditions, optimizing the energy-to-yield ratio.</w:t>
      </w:r>
    </w:p>
    <w:p w14:paraId="087E6858" w14:textId="77777777" w:rsidR="007070BC" w:rsidRPr="007070BC" w:rsidRDefault="007070BC" w:rsidP="003D5F11">
      <w:pPr>
        <w:spacing w:after="0" w:line="360" w:lineRule="auto"/>
        <w:jc w:val="both"/>
        <w:rPr>
          <w:rFonts w:ascii="Times New Roman" w:eastAsia="Times New Roman" w:hAnsi="Times New Roman" w:cs="Times New Roman"/>
          <w:sz w:val="24"/>
          <w:szCs w:val="24"/>
          <w:lang w:val="en-US"/>
        </w:rPr>
      </w:pPr>
      <w:r w:rsidRPr="007070BC">
        <w:rPr>
          <w:rFonts w:ascii="Times New Roman" w:eastAsia="Times New Roman" w:hAnsi="Times New Roman" w:cs="Times New Roman"/>
          <w:sz w:val="24"/>
          <w:szCs w:val="24"/>
          <w:lang w:val="en-US"/>
        </w:rPr>
        <w:t>The integration of renewable energy sources fundamentally transforms the carbon profile of hydroponic vertical farming. Rooftop solar photovoltaic systems can supply a substantial portion of a facility’s electricity demand, particularly during peak daylight hours when lighting requirements are high. Geothermal cooling systems stabilize indoor temperatures by leveraging subsurface thermal gradients, reducing reliance on energy-intensive HVAC operations. Wind energy procurement or renewable energy purchase agreements can further offset operational emissions. When powered by low-carbon electricity sources, the life cycle greenhouse gas emissions of vertical farms decline significantly, narrowing the gap with conventional open-field systems.</w:t>
      </w:r>
    </w:p>
    <w:p w14:paraId="7475B794" w14:textId="77777777" w:rsidR="007070BC" w:rsidRPr="006424FC" w:rsidRDefault="007070BC" w:rsidP="003D5F11">
      <w:pPr>
        <w:spacing w:after="0" w:line="360" w:lineRule="auto"/>
        <w:jc w:val="both"/>
        <w:rPr>
          <w:rFonts w:ascii="Times New Roman" w:eastAsia="Times New Roman" w:hAnsi="Times New Roman" w:cs="Times New Roman"/>
          <w:sz w:val="24"/>
          <w:szCs w:val="24"/>
          <w:lang w:val="en-US"/>
        </w:rPr>
      </w:pPr>
      <w:r w:rsidRPr="007070BC">
        <w:rPr>
          <w:rFonts w:ascii="Times New Roman" w:eastAsia="Times New Roman" w:hAnsi="Times New Roman" w:cs="Times New Roman"/>
          <w:sz w:val="24"/>
          <w:szCs w:val="24"/>
          <w:lang w:val="en-US"/>
        </w:rPr>
        <w:t>In addition to renewable integration, artificial intelligence-driven climate control systems provide substantial energy optimization benefits. Advanced sensor networks continuously monitor environmental parameters such as temperature, humidity, CO₂ concentration, and light intensity. Machine learning algorithms analyze these data streams to predict plant growth responses and dynamically adjust environmental controls in real time. By synchronizing lighting schedules, ventilation rates, nutrient dosing, and CO₂ enrichment with actual crop demand, AI systems prevent overuse of electricity and reduce unnecessary operational cycles (</w:t>
      </w:r>
      <w:proofErr w:type="spellStart"/>
      <w:r w:rsidRPr="007070BC">
        <w:rPr>
          <w:rFonts w:ascii="Times New Roman" w:eastAsia="Times New Roman" w:hAnsi="Times New Roman" w:cs="Times New Roman"/>
          <w:sz w:val="24"/>
          <w:szCs w:val="24"/>
          <w:lang w:val="en-US"/>
        </w:rPr>
        <w:t>Hosny</w:t>
      </w:r>
      <w:proofErr w:type="spellEnd"/>
      <w:r w:rsidRPr="007070BC">
        <w:rPr>
          <w:rFonts w:ascii="Times New Roman" w:eastAsia="Times New Roman" w:hAnsi="Times New Roman" w:cs="Times New Roman"/>
          <w:sz w:val="24"/>
          <w:szCs w:val="24"/>
          <w:lang w:val="en-US"/>
        </w:rPr>
        <w:t xml:space="preserve"> et al., 2024). Predictive climate modeling also enables proactive adjustments that reduce thermal fluctuations, improving system stability and lowering energy waste.</w:t>
      </w:r>
    </w:p>
    <w:p w14:paraId="6310B122" w14:textId="77777777" w:rsidR="00233025" w:rsidRDefault="00233025" w:rsidP="00233025">
      <w:pPr>
        <w:pStyle w:val="Heading2"/>
      </w:pPr>
      <w:r>
        <w:lastRenderedPageBreak/>
        <w:t>Innovative Approaches to Carbon Reduction in Vertical Farming</w:t>
      </w:r>
    </w:p>
    <w:p w14:paraId="126855AC" w14:textId="77777777" w:rsidR="007070BC" w:rsidRDefault="007070BC" w:rsidP="003D5F11">
      <w:pPr>
        <w:pStyle w:val="NormalWeb"/>
        <w:spacing w:after="0" w:line="360" w:lineRule="auto"/>
        <w:jc w:val="both"/>
      </w:pPr>
      <w:r>
        <w:t>The environmental sustainability of vertical farming is increasingly dependent on technological refinements that address both operational emissions and embodied carbon. While early-generation vertical farms were criticized for their high electricity demand, particularly for lighting and climate regulation, recent engineering innovations have significantly improved energy-use efficiency and carbon performance.</w:t>
      </w:r>
    </w:p>
    <w:p w14:paraId="47AB65AD" w14:textId="77777777" w:rsidR="007070BC" w:rsidRDefault="007070BC" w:rsidP="003D5F11">
      <w:pPr>
        <w:pStyle w:val="NormalWeb"/>
        <w:spacing w:after="0" w:line="360" w:lineRule="auto"/>
        <w:jc w:val="both"/>
      </w:pPr>
      <w:r>
        <w:t>One of the most transformative advancements has occurred in lighting technology. Modern high-efficiency light-emitting diode (LED) systems are engineered to emit narrow spectral bands that align precisely with plant photosynthetic requirements within the photosynthetically active radiation (PAR) range of 400–700 nm. Unlike conventional high-pressure sodium or fluorescent lamps, LEDs emit minimal radiant heat, allowing fixtures to be positioned closer to plant canopies without inducing thermal stress. This proximity reduces light dispersion losses and increases photon capture efficiency while simultaneously decreasing the need for active cooling systems (</w:t>
      </w:r>
      <w:proofErr w:type="spellStart"/>
      <w:r>
        <w:t>Bian</w:t>
      </w:r>
      <w:proofErr w:type="spellEnd"/>
      <w:r>
        <w:t xml:space="preserve"> et al., 2018). Furthermore, </w:t>
      </w:r>
      <w:proofErr w:type="spellStart"/>
      <w:r>
        <w:t>tunable</w:t>
      </w:r>
      <w:proofErr w:type="spellEnd"/>
      <w:r>
        <w:t xml:space="preserve"> LED systems allow growers to dynamically adjust red-to-blue light ratios according to plant developmental stages, thereby improving biomass accumulation per unit of energy consumed. Studies evaluating the energy and environmental performance of vertical hydroponic systems demonstrate that lighting optimization represents the single largest opportunity for operational carbon reduction (Molin &amp; Martin, 2018). Emerging adaptive dimming technologies and pulsed-light strategies further enhance energy efficiency by synchronizing light output with real-time photosynthetic demand, minimizing unnecessary electricity consumption.</w:t>
      </w:r>
    </w:p>
    <w:p w14:paraId="15686E8C" w14:textId="77777777" w:rsidR="007070BC" w:rsidRDefault="007070BC" w:rsidP="003D5F11">
      <w:pPr>
        <w:pStyle w:val="NormalWeb"/>
        <w:spacing w:after="0" w:line="360" w:lineRule="auto"/>
        <w:jc w:val="both"/>
      </w:pPr>
      <w:r>
        <w:t xml:space="preserve">Complementing advances in lighting are innovations in reflective surface engineering. Interior wall panels coated with highly reflective materials increase photon utilization by redirecting scattered light back toward crop canopies. This improves light uniformity across vertical layers and reduces the total wattage required to achieve target photosynthetic photon flux density (PPFD). When integrated with computational </w:t>
      </w:r>
      <w:proofErr w:type="spellStart"/>
      <w:r>
        <w:t>modeling</w:t>
      </w:r>
      <w:proofErr w:type="spellEnd"/>
      <w:r>
        <w:t xml:space="preserve"> of canopy geometry, reflective optimization can significantly enhance light-use efficiency, thereby lowering electricity-associated emissions (</w:t>
      </w:r>
      <w:proofErr w:type="spellStart"/>
      <w:r>
        <w:t>Kozai</w:t>
      </w:r>
      <w:proofErr w:type="spellEnd"/>
      <w:r>
        <w:t xml:space="preserve"> et al., 2015).</w:t>
      </w:r>
    </w:p>
    <w:p w14:paraId="6265BC63" w14:textId="77777777" w:rsidR="007070BC" w:rsidRDefault="007070BC" w:rsidP="003D5F11">
      <w:pPr>
        <w:pStyle w:val="NormalWeb"/>
        <w:spacing w:after="0" w:line="360" w:lineRule="auto"/>
        <w:jc w:val="both"/>
      </w:pPr>
      <w:r>
        <w:t xml:space="preserve">Thermal management systems also play a critical role in carbon mitigation. Because LED arrays and climate control equipment generate heat, modern vertical farms increasingly incorporate waste heat recovery mechanisms. Heat exchangers capture excess thermal energy from lighting systems and HVAC units, redistributing it within the facility to maintain optimal </w:t>
      </w:r>
      <w:r>
        <w:lastRenderedPageBreak/>
        <w:t xml:space="preserve">root-zone and air temperatures. In colder climates, recovered heat can offset heating requirements, reducing dependence on fossil fuel-based thermal energy sources (Van </w:t>
      </w:r>
      <w:proofErr w:type="spellStart"/>
      <w:r>
        <w:t>Gerrewey</w:t>
      </w:r>
      <w:proofErr w:type="spellEnd"/>
      <w:r>
        <w:t xml:space="preserve"> et al., 2022). Advanced environmental control strategies integrate heat recovery with predictive climate </w:t>
      </w:r>
      <w:proofErr w:type="spellStart"/>
      <w:r>
        <w:t>modeling</w:t>
      </w:r>
      <w:proofErr w:type="spellEnd"/>
      <w:r>
        <w:t>, improving overall energy balance within plant factories (</w:t>
      </w:r>
      <w:proofErr w:type="spellStart"/>
      <w:r>
        <w:t>Shamshiri</w:t>
      </w:r>
      <w:proofErr w:type="spellEnd"/>
      <w:r>
        <w:t xml:space="preserve"> et al., 2018).</w:t>
      </w:r>
    </w:p>
    <w:p w14:paraId="73F8FF66" w14:textId="77777777" w:rsidR="007070BC" w:rsidRDefault="007070BC" w:rsidP="003D5F11">
      <w:pPr>
        <w:pStyle w:val="NormalWeb"/>
        <w:spacing w:after="0" w:line="360" w:lineRule="auto"/>
        <w:jc w:val="both"/>
      </w:pPr>
      <w:r>
        <w:t>Another emerging strategy involves carbon capture integration within controlled environments. Instead of sourcing compressed industrial CO₂ for enrichment, vertical farms can utilize purified carbon dioxide streams derived from nearby industrial exhaust systems. By redirecting CO₂ emissions into plant growth chambers, facilities can enhance photosynthetic rates while simultaneously preventing atmospheric release. Controlled CO₂ enrichment</w:t>
      </w:r>
      <w:r w:rsidR="00363423">
        <w:t xml:space="preserve"> </w:t>
      </w:r>
      <w:r>
        <w:t>typically maintained between 800 and 1200 ppm depending on crop species</w:t>
      </w:r>
      <w:r w:rsidR="00363423">
        <w:t xml:space="preserve"> </w:t>
      </w:r>
      <w:r>
        <w:t>improves biomass productivity and shortens growth cycles, effectively increasing yield per unit of energy consumed (Cassia et al., 2018). This approach transforms vertical farms into localized carbon utilization systems rather than passive emitters. When combined with renewable energy inputs, such integration contributes to partial carbon circularity within urban-industrial ecosystems.</w:t>
      </w:r>
    </w:p>
    <w:p w14:paraId="326AD94D" w14:textId="77777777" w:rsidR="007070BC" w:rsidRDefault="007070BC" w:rsidP="003D5F11">
      <w:pPr>
        <w:pStyle w:val="NormalWeb"/>
        <w:spacing w:after="0" w:line="360" w:lineRule="auto"/>
        <w:jc w:val="both"/>
      </w:pPr>
      <w:r>
        <w:t>Circular nutrient management systems further contribute to upstream emission reductions. Traditional fertilizer manufacturing, particularly nitrogen synthesis through the Haber–Bosch process, is highly energy intensive and carbon emitting. In response, innovative vertical farming systems are incorporating bio-based nutrient formulations, organic hydrolysates, and nutrients recovered from treated wastewater streams. Nutrient recirculation technologies ensure minimal discharge losses while maintaining optimal electrical conductivity and pH stability. Precision dosing systems controlled by sensor arrays reduce over-application and prevent nutrient imbalances, thereby lowering indirect nitrous oxide emissions associated with fertilizer production and use (Singh et al., 2019). Such circular nutrient strategies align with broader principles of resource efficiency and industrial symbiosis.</w:t>
      </w:r>
    </w:p>
    <w:p w14:paraId="481F3284" w14:textId="77777777" w:rsidR="007070BC" w:rsidRDefault="007070BC" w:rsidP="003D5F11">
      <w:pPr>
        <w:pStyle w:val="NormalWeb"/>
        <w:spacing w:after="0" w:line="360" w:lineRule="auto"/>
        <w:jc w:val="both"/>
      </w:pPr>
      <w:r>
        <w:t>Beyond operational considerations, embodied carbon</w:t>
      </w:r>
      <w:r w:rsidR="003D5F11">
        <w:t xml:space="preserve"> </w:t>
      </w:r>
      <w:r>
        <w:t>the emissions associated with infrastructure construction, material production, and facility assembly</w:t>
      </w:r>
      <w:r w:rsidR="003D5F11">
        <w:t xml:space="preserve"> </w:t>
      </w:r>
      <w:r>
        <w:t xml:space="preserve">has become a focal point in sustainability assessments. Vertical farms traditionally rely on steel frameworks, </w:t>
      </w:r>
      <w:proofErr w:type="spellStart"/>
      <w:r>
        <w:t>aluminum</w:t>
      </w:r>
      <w:proofErr w:type="spellEnd"/>
      <w:r>
        <w:t xml:space="preserve"> lighting arrays, plastic hydroponic channels, and climate control systems, all of which carry substantial embodied carbon footprints. To mitigate this, designers are increasingly adopting low-carbon construction materials such as engineered timber, recycled steel, and modular lightweight composite structures. Prefabricated modular systems not only reduce material waste during construction but also facilitate future disassembly and reuse, lowering life cycle emissions (</w:t>
      </w:r>
      <w:proofErr w:type="spellStart"/>
      <w:r>
        <w:t>Blom</w:t>
      </w:r>
      <w:proofErr w:type="spellEnd"/>
      <w:r>
        <w:t xml:space="preserve"> et al., 2022). Life cycle assessment studies emphasize that incorporating low-</w:t>
      </w:r>
      <w:r>
        <w:lastRenderedPageBreak/>
        <w:t>carbon building materials and renewable energy systems significantly improves the comparative environmental performance of vertical farming relative to greenhouse and open-field systems (Molin &amp; Martin, 2018).</w:t>
      </w:r>
    </w:p>
    <w:p w14:paraId="6FE1E018" w14:textId="3F12D8E6" w:rsidR="007070BC" w:rsidRPr="005660A2" w:rsidRDefault="007070BC" w:rsidP="003D5F11">
      <w:pPr>
        <w:pStyle w:val="NormalWeb"/>
        <w:spacing w:after="0" w:line="360" w:lineRule="auto"/>
        <w:jc w:val="both"/>
        <w:rPr>
          <w:color w:val="FF0000"/>
        </w:rPr>
      </w:pPr>
      <w:r>
        <w:t xml:space="preserve">Digital optimization tools further strengthen carbon reduction strategies. Artificial intelligence-based climate control algorithms </w:t>
      </w:r>
      <w:proofErr w:type="spellStart"/>
      <w:r>
        <w:t>analyze</w:t>
      </w:r>
      <w:proofErr w:type="spellEnd"/>
      <w:r>
        <w:t xml:space="preserve"> real-time data from temperature, humidity, CO₂, and light sensors to dynamically regulate environmental conditions. By minimizing redundant heating, cooling, and lighting cycles, these intelligent systems reduce electricity demand and enhance resource-use efficiency (</w:t>
      </w:r>
      <w:proofErr w:type="spellStart"/>
      <w:r>
        <w:t>Hosny</w:t>
      </w:r>
      <w:proofErr w:type="spellEnd"/>
      <w:r>
        <w:t xml:space="preserve"> et al., 2024). Machine learning models can also forecast plant growth trajectories and adjust environmental parameters proactively, improving the energy-to-yield ratio.</w:t>
      </w:r>
      <w:r w:rsidR="005660A2">
        <w:t xml:space="preserve"> </w:t>
      </w:r>
      <w:r w:rsidR="005660A2" w:rsidRPr="005660A2">
        <w:rPr>
          <w:color w:val="FF0000"/>
        </w:rPr>
        <w:t xml:space="preserve">Recent advancements in computational </w:t>
      </w:r>
      <w:proofErr w:type="spellStart"/>
      <w:r w:rsidR="005660A2" w:rsidRPr="005660A2">
        <w:rPr>
          <w:color w:val="FF0000"/>
        </w:rPr>
        <w:t>modeling</w:t>
      </w:r>
      <w:proofErr w:type="spellEnd"/>
      <w:r w:rsidR="005660A2" w:rsidRPr="005660A2">
        <w:rPr>
          <w:color w:val="FF0000"/>
        </w:rPr>
        <w:t xml:space="preserve"> have further enhanced the efficiency of indoor farming systems. Computational fluid dynamics (CFD) is increasingly applied to simulate airflow distribution, temperature gradients, and humidity control within vertical farms. These models enable precise optimization of microclimatic conditions, reducing energy consumption associated with ventilation and cooling systems. </w:t>
      </w:r>
      <w:proofErr w:type="spellStart"/>
      <w:r w:rsidR="005660A2" w:rsidRPr="005660A2">
        <w:rPr>
          <w:color w:val="FF0000"/>
        </w:rPr>
        <w:t>Sarailoo</w:t>
      </w:r>
      <w:proofErr w:type="spellEnd"/>
      <w:r w:rsidR="005660A2" w:rsidRPr="005660A2">
        <w:rPr>
          <w:color w:val="FF0000"/>
        </w:rPr>
        <w:t xml:space="preserve"> et al. (2025) demonstrated that CFD-based environmental control strategies significantly improve energy-use efficiency and crop productivity by minimizing spatial variability in growth conditions.</w:t>
      </w:r>
    </w:p>
    <w:p w14:paraId="475EF95F" w14:textId="77777777" w:rsidR="00233025" w:rsidRDefault="00233025" w:rsidP="00233025">
      <w:pPr>
        <w:pStyle w:val="Heading2"/>
      </w:pPr>
      <w:r>
        <w:t>Discussion: Complementary Role in Food Security</w:t>
      </w:r>
    </w:p>
    <w:p w14:paraId="219186B5" w14:textId="77777777" w:rsidR="008D0827" w:rsidRPr="003D5F11" w:rsidRDefault="008D0827" w:rsidP="003D5F11">
      <w:pPr>
        <w:spacing w:after="0" w:line="360" w:lineRule="auto"/>
        <w:jc w:val="both"/>
        <w:rPr>
          <w:rFonts w:ascii="Times New Roman" w:eastAsia="Times New Roman" w:hAnsi="Times New Roman" w:cs="Times New Roman"/>
          <w:sz w:val="24"/>
          <w:szCs w:val="24"/>
          <w:lang w:val="en-US"/>
        </w:rPr>
      </w:pPr>
      <w:r w:rsidRPr="003D5F11">
        <w:rPr>
          <w:rFonts w:ascii="Times New Roman" w:eastAsia="Times New Roman" w:hAnsi="Times New Roman" w:cs="Times New Roman"/>
          <w:sz w:val="24"/>
          <w:szCs w:val="24"/>
          <w:lang w:val="en-US"/>
        </w:rPr>
        <w:t>Hydroponic vertical farming should not be interpreted as a wholesale replacement for conventional large-scale agriculture, particularly for staple crops such as rice, wheat, and maize that require vast cultivation areas and comparatively low per-unit production costs. The energy demands associated with artificial lighting, climate regulation, and environmental control currently limit the economic feasibility of producing calorie-dense staples in fully controlled indoor environments. Instead, vertical farming is better conceptualized as a complementary system within a diversified food production portfolio. It is particularly well suited for high-value horticultural crops, leafy greens, herbs, microgreens, and certain nutritionally sensitive vegetables that benefit from controlled environmental conditions and rapid turnover cycles.</w:t>
      </w:r>
    </w:p>
    <w:p w14:paraId="66E99562" w14:textId="77777777" w:rsidR="008D0827" w:rsidRPr="003D5F11" w:rsidRDefault="008D0827" w:rsidP="003D5F11">
      <w:pPr>
        <w:spacing w:after="0" w:line="360" w:lineRule="auto"/>
        <w:jc w:val="both"/>
        <w:rPr>
          <w:rFonts w:ascii="Times New Roman" w:eastAsia="Times New Roman" w:hAnsi="Times New Roman" w:cs="Times New Roman"/>
          <w:sz w:val="24"/>
          <w:szCs w:val="24"/>
          <w:lang w:val="en-US"/>
        </w:rPr>
      </w:pPr>
      <w:proofErr w:type="spellStart"/>
      <w:r w:rsidRPr="003D5F11">
        <w:rPr>
          <w:rFonts w:ascii="Times New Roman" w:eastAsia="Times New Roman" w:hAnsi="Times New Roman" w:cs="Times New Roman"/>
          <w:sz w:val="24"/>
          <w:szCs w:val="24"/>
          <w:lang w:val="en-US"/>
        </w:rPr>
        <w:t>Kozai</w:t>
      </w:r>
      <w:proofErr w:type="spellEnd"/>
      <w:r w:rsidRPr="003D5F11">
        <w:rPr>
          <w:rFonts w:ascii="Times New Roman" w:eastAsia="Times New Roman" w:hAnsi="Times New Roman" w:cs="Times New Roman"/>
          <w:sz w:val="24"/>
          <w:szCs w:val="24"/>
          <w:lang w:val="en-US"/>
        </w:rPr>
        <w:t xml:space="preserve"> et al. (2015) emphasize that plant factories with artificial lighting (PFALs) are especially appropriate in densely populated urban regions where horizontal land expansion is constrained by infrastructure, real estate pressure, and environmental degradation. In such settings, the vertical stacking of crops maximizes productivity per unit land area, effectively decoupling food production from traditional soil-based spatial limitations. This spatial intensification </w:t>
      </w:r>
      <w:r w:rsidRPr="003D5F11">
        <w:rPr>
          <w:rFonts w:ascii="Times New Roman" w:eastAsia="Times New Roman" w:hAnsi="Times New Roman" w:cs="Times New Roman"/>
          <w:sz w:val="24"/>
          <w:szCs w:val="24"/>
          <w:lang w:val="en-US"/>
        </w:rPr>
        <w:lastRenderedPageBreak/>
        <w:t>allows cities to reclaim underutilized industrial buildings, warehouses, and rooftop spaces for agricultural purposes, thereby embedding food production within urban ecosystems. The vertical dimension of cultivation transforms limited footprints into high-output production systems, contributing to land-use efficiency without encroaching upon forests or ecologically sensitive areas.</w:t>
      </w:r>
    </w:p>
    <w:p w14:paraId="2A14C352" w14:textId="241ADA00" w:rsidR="008D0827" w:rsidRPr="003D5F11" w:rsidRDefault="008D0827" w:rsidP="003D5F11">
      <w:pPr>
        <w:spacing w:after="0" w:line="360" w:lineRule="auto"/>
        <w:jc w:val="both"/>
        <w:rPr>
          <w:rFonts w:ascii="Times New Roman" w:eastAsia="Times New Roman" w:hAnsi="Times New Roman" w:cs="Times New Roman"/>
          <w:sz w:val="24"/>
          <w:szCs w:val="24"/>
          <w:lang w:val="en-US"/>
        </w:rPr>
      </w:pPr>
      <w:r w:rsidRPr="003D5F11">
        <w:rPr>
          <w:rFonts w:ascii="Times New Roman" w:eastAsia="Times New Roman" w:hAnsi="Times New Roman" w:cs="Times New Roman"/>
          <w:sz w:val="24"/>
          <w:szCs w:val="24"/>
          <w:lang w:val="en-US"/>
        </w:rPr>
        <w:t>Beyond spatial efficiency, hydroponic vertical farming enhances food security by stabilizing production against climatic variability. Conventional agriculture remains highly vulnerable to droughts, floods, heatwaves, cyclones, and seasonal unpredictability</w:t>
      </w:r>
      <w:r w:rsidR="00E658F1">
        <w:rPr>
          <w:rFonts w:ascii="Times New Roman" w:eastAsia="Times New Roman" w:hAnsi="Times New Roman" w:cs="Times New Roman"/>
          <w:sz w:val="24"/>
          <w:szCs w:val="24"/>
          <w:lang w:val="en-US"/>
        </w:rPr>
        <w:t xml:space="preserve"> </w:t>
      </w:r>
      <w:r w:rsidRPr="003D5F11">
        <w:rPr>
          <w:rFonts w:ascii="Times New Roman" w:eastAsia="Times New Roman" w:hAnsi="Times New Roman" w:cs="Times New Roman"/>
          <w:sz w:val="24"/>
          <w:szCs w:val="24"/>
          <w:lang w:val="en-US"/>
        </w:rPr>
        <w:t>phenomena that are intensifying under global climate change. Controlled environment agriculture eliminates direct exposure to these external climatic stresses. By maintaining optimized temperature, humidity, light intensity, and CO₂ levels year-round, vertical farms achieve consistent yields independent of seasonal fluctuations. This production stability reduces supply volatility, mitigates price spikes, and strengthens local food system resilience. In urban regions heavily dependent on imports from distant rural zones or foreign markets, localized vertical farming can function as a buffer during disruptions such as extreme weather events, transportation breakdowns, or geopolitical instability.</w:t>
      </w:r>
    </w:p>
    <w:p w14:paraId="7995D7C9" w14:textId="77777777" w:rsidR="008D0827" w:rsidRPr="003D5F11" w:rsidRDefault="008D0827" w:rsidP="003D5F11">
      <w:pPr>
        <w:spacing w:after="0" w:line="360" w:lineRule="auto"/>
        <w:jc w:val="both"/>
        <w:rPr>
          <w:rFonts w:ascii="Times New Roman" w:eastAsia="Times New Roman" w:hAnsi="Times New Roman" w:cs="Times New Roman"/>
          <w:sz w:val="24"/>
          <w:szCs w:val="24"/>
          <w:lang w:val="en-US"/>
        </w:rPr>
      </w:pPr>
      <w:r w:rsidRPr="003D5F11">
        <w:rPr>
          <w:rFonts w:ascii="Times New Roman" w:eastAsia="Times New Roman" w:hAnsi="Times New Roman" w:cs="Times New Roman"/>
          <w:sz w:val="24"/>
          <w:szCs w:val="24"/>
          <w:lang w:val="en-US"/>
        </w:rPr>
        <w:t>However, the long-term sustainability of vertical farming is intrinsically linked to energy decarbonization. Without renewable energy integration, the environmental benefits achieved through water savings, nutrient precision, and reduced transportation may be offset by high electricity-related emissions. Therefore, large-scale deployment of rooftop solar photovoltaics, energy storage systems, smart grids, and waste heat recovery technologies is essential to ensuring that vertical farming contributes positively to climate mitigation goals. Continued technological innovation</w:t>
      </w:r>
      <w:r w:rsidR="003D5F11">
        <w:rPr>
          <w:rFonts w:ascii="Times New Roman" w:eastAsia="Times New Roman" w:hAnsi="Times New Roman" w:cs="Times New Roman"/>
          <w:sz w:val="24"/>
          <w:szCs w:val="24"/>
          <w:lang w:val="en-US"/>
        </w:rPr>
        <w:t xml:space="preserve"> </w:t>
      </w:r>
      <w:r w:rsidRPr="003D5F11">
        <w:rPr>
          <w:rFonts w:ascii="Times New Roman" w:eastAsia="Times New Roman" w:hAnsi="Times New Roman" w:cs="Times New Roman"/>
          <w:sz w:val="24"/>
          <w:szCs w:val="24"/>
          <w:lang w:val="en-US"/>
        </w:rPr>
        <w:t>particularly in LED efficiency, automation, artificial intelligence-based climate control, and circular nutrient management</w:t>
      </w:r>
      <w:r w:rsidR="003D5F11">
        <w:rPr>
          <w:rFonts w:ascii="Times New Roman" w:eastAsia="Times New Roman" w:hAnsi="Times New Roman" w:cs="Times New Roman"/>
          <w:sz w:val="24"/>
          <w:szCs w:val="24"/>
          <w:lang w:val="en-US"/>
        </w:rPr>
        <w:t xml:space="preserve"> </w:t>
      </w:r>
      <w:r w:rsidRPr="003D5F11">
        <w:rPr>
          <w:rFonts w:ascii="Times New Roman" w:eastAsia="Times New Roman" w:hAnsi="Times New Roman" w:cs="Times New Roman"/>
          <w:sz w:val="24"/>
          <w:szCs w:val="24"/>
          <w:lang w:val="en-US"/>
        </w:rPr>
        <w:t>will further improve energy-use efficiency and reduce life cycle emissions.</w:t>
      </w:r>
    </w:p>
    <w:p w14:paraId="0484204D" w14:textId="3D39E65A" w:rsidR="00233025" w:rsidRDefault="008D0827" w:rsidP="003D5F11">
      <w:pPr>
        <w:spacing w:after="0" w:line="360" w:lineRule="auto"/>
        <w:jc w:val="both"/>
        <w:rPr>
          <w:rFonts w:ascii="Times New Roman" w:eastAsia="Times New Roman" w:hAnsi="Times New Roman" w:cs="Times New Roman"/>
          <w:sz w:val="24"/>
          <w:szCs w:val="24"/>
          <w:lang w:val="en-US"/>
        </w:rPr>
      </w:pPr>
      <w:r w:rsidRPr="003D5F11">
        <w:rPr>
          <w:rFonts w:ascii="Times New Roman" w:eastAsia="Times New Roman" w:hAnsi="Times New Roman" w:cs="Times New Roman"/>
          <w:sz w:val="24"/>
          <w:szCs w:val="24"/>
          <w:lang w:val="en-US"/>
        </w:rPr>
        <w:t>In summary, hydroponic vertical farming represents a strategic complement rather than a substitute for conventional agriculture. Its comparative advantage lies in producing high-value, perishable crops within urban landscapes while enhancing resilience against climate variability and supply chain disruptions. When powered by renewable energy and supported by continuous technological advancement, vertical farming can play a meaningful role in strengthening urban food security and contributing to sustainable agricultural transitions.</w:t>
      </w:r>
    </w:p>
    <w:p w14:paraId="7146D4DF" w14:textId="474BA0B6" w:rsidR="00EE3F59" w:rsidRPr="00EE3F59" w:rsidRDefault="00EE3F59" w:rsidP="003D5F11">
      <w:pPr>
        <w:spacing w:after="0" w:line="360" w:lineRule="auto"/>
        <w:jc w:val="both"/>
        <w:rPr>
          <w:rFonts w:ascii="Times New Roman" w:eastAsia="Times New Roman" w:hAnsi="Times New Roman" w:cs="Times New Roman"/>
          <w:color w:val="FF0000"/>
          <w:sz w:val="24"/>
          <w:szCs w:val="24"/>
          <w:lang w:val="en-US"/>
        </w:rPr>
      </w:pPr>
      <w:r w:rsidRPr="00EE3F59">
        <w:rPr>
          <w:rFonts w:ascii="Times New Roman" w:hAnsi="Times New Roman" w:cs="Times New Roman"/>
          <w:color w:val="FF0000"/>
        </w:rPr>
        <w:t>Limitations</w:t>
      </w:r>
    </w:p>
    <w:p w14:paraId="50BCC10C" w14:textId="77777777" w:rsidR="00E658F1" w:rsidRPr="00E658F1" w:rsidRDefault="00E658F1" w:rsidP="00E658F1">
      <w:pPr>
        <w:spacing w:after="0" w:line="360" w:lineRule="auto"/>
        <w:jc w:val="both"/>
        <w:rPr>
          <w:rFonts w:ascii="Times New Roman" w:eastAsia="Times New Roman" w:hAnsi="Times New Roman" w:cs="Times New Roman"/>
          <w:color w:val="FF0000"/>
          <w:sz w:val="24"/>
          <w:szCs w:val="24"/>
          <w:lang w:val="en-US"/>
        </w:rPr>
      </w:pPr>
      <w:r w:rsidRPr="00E658F1">
        <w:rPr>
          <w:rFonts w:ascii="Times New Roman" w:eastAsia="Times New Roman" w:hAnsi="Times New Roman" w:cs="Times New Roman"/>
          <w:color w:val="FF0000"/>
          <w:sz w:val="24"/>
          <w:szCs w:val="24"/>
          <w:lang w:val="en-US"/>
        </w:rPr>
        <w:t xml:space="preserve">Despite providing a comprehensive review of hydroponic vertical farming and its carbon footprint implications, this study has several limitations. First, the analysis is primarily based </w:t>
      </w:r>
      <w:r w:rsidRPr="00E658F1">
        <w:rPr>
          <w:rFonts w:ascii="Times New Roman" w:eastAsia="Times New Roman" w:hAnsi="Times New Roman" w:cs="Times New Roman"/>
          <w:color w:val="FF0000"/>
          <w:sz w:val="24"/>
          <w:szCs w:val="24"/>
          <w:lang w:val="en-US"/>
        </w:rPr>
        <w:lastRenderedPageBreak/>
        <w:t>on secondary data from published literature, which may vary in methodological assumptions, system boundaries, and regional contexts. Differences in life cycle assessment frameworks and emission factors can influence comparability across studies.</w:t>
      </w:r>
    </w:p>
    <w:p w14:paraId="7446D52E" w14:textId="77777777" w:rsidR="00E658F1" w:rsidRPr="00E658F1" w:rsidRDefault="00E658F1" w:rsidP="00E658F1">
      <w:pPr>
        <w:spacing w:after="0" w:line="360" w:lineRule="auto"/>
        <w:jc w:val="both"/>
        <w:rPr>
          <w:rFonts w:ascii="Times New Roman" w:eastAsia="Times New Roman" w:hAnsi="Times New Roman" w:cs="Times New Roman"/>
          <w:color w:val="FF0000"/>
          <w:sz w:val="24"/>
          <w:szCs w:val="24"/>
          <w:lang w:val="en-US"/>
        </w:rPr>
      </w:pPr>
      <w:r w:rsidRPr="00E658F1">
        <w:rPr>
          <w:rFonts w:ascii="Times New Roman" w:eastAsia="Times New Roman" w:hAnsi="Times New Roman" w:cs="Times New Roman"/>
          <w:color w:val="FF0000"/>
          <w:sz w:val="24"/>
          <w:szCs w:val="24"/>
          <w:lang w:val="en-US"/>
        </w:rPr>
        <w:t>Second, the carbon footprint of vertical farming is highly dependent on local energy grids, which vary significantly across regions. Therefore, findings may not be universally applicable, particularly in regions with differing renewable energy penetration.</w:t>
      </w:r>
    </w:p>
    <w:p w14:paraId="5C6D2E29" w14:textId="77777777" w:rsidR="00E658F1" w:rsidRPr="00E658F1" w:rsidRDefault="00E658F1" w:rsidP="00E658F1">
      <w:pPr>
        <w:spacing w:after="0" w:line="360" w:lineRule="auto"/>
        <w:jc w:val="both"/>
        <w:rPr>
          <w:rFonts w:ascii="Times New Roman" w:eastAsia="Times New Roman" w:hAnsi="Times New Roman" w:cs="Times New Roman"/>
          <w:color w:val="FF0000"/>
          <w:sz w:val="24"/>
          <w:szCs w:val="24"/>
          <w:lang w:val="en-US"/>
        </w:rPr>
      </w:pPr>
      <w:r w:rsidRPr="00E658F1">
        <w:rPr>
          <w:rFonts w:ascii="Times New Roman" w:eastAsia="Times New Roman" w:hAnsi="Times New Roman" w:cs="Times New Roman"/>
          <w:color w:val="FF0000"/>
          <w:sz w:val="24"/>
          <w:szCs w:val="24"/>
          <w:lang w:val="en-US"/>
        </w:rPr>
        <w:t>Third, rapid technological advancements in lighting, automation, and renewable integration mean that some findings may become outdated as newer, more efficient systems are developed.</w:t>
      </w:r>
    </w:p>
    <w:p w14:paraId="1995CDDB" w14:textId="5EB28989" w:rsidR="005660A2" w:rsidRPr="00E658F1" w:rsidRDefault="00E658F1" w:rsidP="003D5F11">
      <w:pPr>
        <w:spacing w:after="0" w:line="360" w:lineRule="auto"/>
        <w:jc w:val="both"/>
        <w:rPr>
          <w:rFonts w:ascii="Times New Roman" w:eastAsia="Times New Roman" w:hAnsi="Times New Roman" w:cs="Times New Roman"/>
          <w:color w:val="FF0000"/>
          <w:sz w:val="24"/>
          <w:szCs w:val="24"/>
          <w:lang w:val="en-US"/>
        </w:rPr>
      </w:pPr>
      <w:r w:rsidRPr="00E658F1">
        <w:rPr>
          <w:rFonts w:ascii="Times New Roman" w:eastAsia="Times New Roman" w:hAnsi="Times New Roman" w:cs="Times New Roman"/>
          <w:color w:val="FF0000"/>
          <w:sz w:val="24"/>
          <w:szCs w:val="24"/>
          <w:lang w:val="en-US"/>
        </w:rPr>
        <w:t>Future research should incorporate real-time experimental data, region-specific analyses, and standardized carbon accounting frameworks to improve the robustness and comparability of results.</w:t>
      </w:r>
    </w:p>
    <w:p w14:paraId="5BD7DB33" w14:textId="6E1D5BD5" w:rsidR="00233025" w:rsidRPr="003D5F11" w:rsidRDefault="00F24B26" w:rsidP="003D5F11">
      <w:pPr>
        <w:pStyle w:val="Heading2"/>
        <w:spacing w:before="0" w:beforeAutospacing="0" w:after="0" w:afterAutospacing="0" w:line="360" w:lineRule="auto"/>
        <w:rPr>
          <w:sz w:val="24"/>
          <w:szCs w:val="24"/>
        </w:rPr>
      </w:pPr>
      <w:r>
        <w:rPr>
          <w:sz w:val="24"/>
          <w:szCs w:val="24"/>
        </w:rPr>
        <w:t xml:space="preserve">Summary and </w:t>
      </w:r>
      <w:r w:rsidR="00233025" w:rsidRPr="003D5F11">
        <w:rPr>
          <w:sz w:val="24"/>
          <w:szCs w:val="24"/>
        </w:rPr>
        <w:t>Conclusion</w:t>
      </w:r>
    </w:p>
    <w:p w14:paraId="03011A55" w14:textId="77777777" w:rsidR="00233025" w:rsidRPr="003D5F11" w:rsidRDefault="00233025" w:rsidP="003D5F11">
      <w:pPr>
        <w:pStyle w:val="NormalWeb"/>
        <w:spacing w:after="0" w:line="360" w:lineRule="auto"/>
        <w:jc w:val="both"/>
      </w:pPr>
      <w:r w:rsidRPr="003D5F11">
        <w:t xml:space="preserve">Hydroponic vertical farming represents a technologically advanced agricultural paradigm capable of addressing urban food demand, land scarcity, and resource efficiency challenges. While current systems exhibit higher </w:t>
      </w:r>
      <w:proofErr w:type="gramStart"/>
      <w:r w:rsidRPr="003D5F11">
        <w:t>carbon</w:t>
      </w:r>
      <w:proofErr w:type="gramEnd"/>
      <w:r w:rsidRPr="003D5F11">
        <w:t xml:space="preserve"> footprints compared to open-field agriculture under fossil fuel-based electricity grids, significant reductions are achievable through renewable energy transitions, LED optimization, AI-driven climate management, and circular nutrient strategies.</w:t>
      </w:r>
    </w:p>
    <w:p w14:paraId="5C5BEA72" w14:textId="77777777" w:rsidR="00233025" w:rsidRPr="003D5F11" w:rsidRDefault="00233025" w:rsidP="003D5F11">
      <w:pPr>
        <w:pStyle w:val="NormalWeb"/>
        <w:spacing w:after="0" w:line="360" w:lineRule="auto"/>
        <w:jc w:val="both"/>
      </w:pPr>
      <w:r w:rsidRPr="003D5F11">
        <w:t xml:space="preserve">Carbon footprint assessment through Life Cycle Assessment, emission factor </w:t>
      </w:r>
      <w:proofErr w:type="spellStart"/>
      <w:r w:rsidRPr="003D5F11">
        <w:t>modeling</w:t>
      </w:r>
      <w:proofErr w:type="spellEnd"/>
      <w:r w:rsidRPr="003D5F11">
        <w:t>, and real-time energy monitoring is essential for evidence-based policy and system optimization. Vertical farming should therefore be conceptualized not as a universal replacement but as a climate-smart complementary system within diversified agricultural landscapes.</w:t>
      </w:r>
    </w:p>
    <w:p w14:paraId="4D3E00C4" w14:textId="77777777" w:rsidR="008D0827" w:rsidRPr="003D5F11" w:rsidRDefault="00233025" w:rsidP="003D5F11">
      <w:pPr>
        <w:pStyle w:val="NormalWeb"/>
        <w:spacing w:after="0" w:line="360" w:lineRule="auto"/>
        <w:jc w:val="both"/>
        <w:rPr>
          <w:rFonts w:eastAsia="Times New Roman"/>
          <w:lang w:val="en-US"/>
        </w:rPr>
      </w:pPr>
      <w:r w:rsidRPr="003D5F11">
        <w:t>Sustained research, renewable energy integration, and interdisciplinary collaboration are required to realize its full environmental potential.</w:t>
      </w:r>
      <w:r w:rsidR="008D0827" w:rsidRPr="003D5F11">
        <w:t xml:space="preserve"> </w:t>
      </w:r>
      <w:r w:rsidR="008D0827" w:rsidRPr="003D5F11">
        <w:rPr>
          <w:rFonts w:eastAsia="Times New Roman"/>
          <w:lang w:val="en-US"/>
        </w:rPr>
        <w:t>Hydroponic vertical farming represents a transformative evolution in agricultural production, redefining how food can be cultivated within increasingly urbanized and resource-constrained environments. By decoupling crop growth from soil dependency and climatic variability, it offers a technologically sophisticated solution to pressing global challenges including land scarcity, freshwater depletion, urban food insecurity, and supply chain vulnerability. Its capacity for year-round production, high land-use efficiency through vertical stacking, and precise control over environmental parameters positions it as a forward-looking agricultural model aligned with the demands of rapidly expanding metropolitan populations.</w:t>
      </w:r>
    </w:p>
    <w:p w14:paraId="5EB03884" w14:textId="77777777" w:rsidR="008D0827" w:rsidRPr="003D5F11" w:rsidRDefault="008D0827" w:rsidP="003D5F11">
      <w:pPr>
        <w:spacing w:after="0" w:line="360" w:lineRule="auto"/>
        <w:jc w:val="both"/>
        <w:rPr>
          <w:rFonts w:ascii="Times New Roman" w:eastAsia="Times New Roman" w:hAnsi="Times New Roman" w:cs="Times New Roman"/>
          <w:sz w:val="24"/>
          <w:szCs w:val="24"/>
          <w:lang w:val="en-US"/>
        </w:rPr>
      </w:pPr>
      <w:r w:rsidRPr="003D5F11">
        <w:rPr>
          <w:rFonts w:ascii="Times New Roman" w:eastAsia="Times New Roman" w:hAnsi="Times New Roman" w:cs="Times New Roman"/>
          <w:sz w:val="24"/>
          <w:szCs w:val="24"/>
          <w:lang w:val="en-US"/>
        </w:rPr>
        <w:t xml:space="preserve">At present, however, the carbon intensity of hydroponic vertical farming remains closely tied to electricity consumption patterns. When powered predominantly by fossil fuel-based grids, </w:t>
      </w:r>
      <w:r w:rsidRPr="003D5F11">
        <w:rPr>
          <w:rFonts w:ascii="Times New Roman" w:eastAsia="Times New Roman" w:hAnsi="Times New Roman" w:cs="Times New Roman"/>
          <w:sz w:val="24"/>
          <w:szCs w:val="24"/>
          <w:lang w:val="en-US"/>
        </w:rPr>
        <w:lastRenderedPageBreak/>
        <w:t>operational emissions</w:t>
      </w:r>
      <w:r w:rsidR="00D16EE9">
        <w:rPr>
          <w:rFonts w:ascii="Times New Roman" w:eastAsia="Times New Roman" w:hAnsi="Times New Roman" w:cs="Times New Roman"/>
          <w:sz w:val="24"/>
          <w:szCs w:val="24"/>
          <w:lang w:val="en-US"/>
        </w:rPr>
        <w:t xml:space="preserve"> </w:t>
      </w:r>
      <w:r w:rsidRPr="003D5F11">
        <w:rPr>
          <w:rFonts w:ascii="Times New Roman" w:eastAsia="Times New Roman" w:hAnsi="Times New Roman" w:cs="Times New Roman"/>
          <w:sz w:val="24"/>
          <w:szCs w:val="24"/>
          <w:lang w:val="en-US"/>
        </w:rPr>
        <w:t>especially from artificial lighting and climate control</w:t>
      </w:r>
      <w:r w:rsidR="003D5F11">
        <w:rPr>
          <w:rFonts w:ascii="Times New Roman" w:eastAsia="Times New Roman" w:hAnsi="Times New Roman" w:cs="Times New Roman"/>
          <w:sz w:val="24"/>
          <w:szCs w:val="24"/>
          <w:lang w:val="en-US"/>
        </w:rPr>
        <w:t xml:space="preserve"> </w:t>
      </w:r>
      <w:r w:rsidRPr="003D5F11">
        <w:rPr>
          <w:rFonts w:ascii="Times New Roman" w:eastAsia="Times New Roman" w:hAnsi="Times New Roman" w:cs="Times New Roman"/>
          <w:sz w:val="24"/>
          <w:szCs w:val="24"/>
          <w:lang w:val="en-US"/>
        </w:rPr>
        <w:t>can exceed those of certain conventional open-field systems. Yet this limitation is not structural; it is transitional. As energy systems worldwide shift toward renewable sources, the comparative carbon performance of vertical farming is expected to improve substantially. Integration of rooftop solar photovoltaics, on-site energy storage, geothermal cooling, waste heat recovery systems, and participation in smart renewable grids can significantly lower operational emissions. Concurrent advancements in high-efficiency LED technology, spectral optimization, and adaptive photoperiod control are steadily reducing energy demand per unit of biomass produced.</w:t>
      </w:r>
    </w:p>
    <w:p w14:paraId="29750D93" w14:textId="77777777" w:rsidR="008D0827" w:rsidRPr="003D5F11" w:rsidRDefault="008D0827" w:rsidP="003D5F11">
      <w:pPr>
        <w:spacing w:after="0" w:line="360" w:lineRule="auto"/>
        <w:jc w:val="both"/>
        <w:rPr>
          <w:rFonts w:ascii="Times New Roman" w:eastAsia="Times New Roman" w:hAnsi="Times New Roman" w:cs="Times New Roman"/>
          <w:sz w:val="24"/>
          <w:szCs w:val="24"/>
          <w:lang w:val="en-US"/>
        </w:rPr>
      </w:pPr>
      <w:r w:rsidRPr="003D5F11">
        <w:rPr>
          <w:rFonts w:ascii="Times New Roman" w:eastAsia="Times New Roman" w:hAnsi="Times New Roman" w:cs="Times New Roman"/>
          <w:sz w:val="24"/>
          <w:szCs w:val="24"/>
          <w:lang w:val="en-US"/>
        </w:rPr>
        <w:t>Equally important is the role of intelligent automation and digital agriculture. Artificial intelligence-driven climate management systems, predictive growth modeling, and real-time sensor networks enable dynamic optimization of temperature, humidity, CO₂ enrichment, nutrient delivery, and lighting intensity. These technologies enhance energy-use efficiency while stabilizing yields and minimizing resource waste. Circular nutrient strategies</w:t>
      </w:r>
      <w:r w:rsidR="003D5F11">
        <w:rPr>
          <w:rFonts w:ascii="Times New Roman" w:eastAsia="Times New Roman" w:hAnsi="Times New Roman" w:cs="Times New Roman"/>
          <w:sz w:val="24"/>
          <w:szCs w:val="24"/>
          <w:lang w:val="en-US"/>
        </w:rPr>
        <w:t xml:space="preserve"> </w:t>
      </w:r>
      <w:r w:rsidRPr="003D5F11">
        <w:rPr>
          <w:rFonts w:ascii="Times New Roman" w:eastAsia="Times New Roman" w:hAnsi="Times New Roman" w:cs="Times New Roman"/>
          <w:sz w:val="24"/>
          <w:szCs w:val="24"/>
          <w:lang w:val="en-US"/>
        </w:rPr>
        <w:t>such as nutrient recapture, bio-based fertilizers, and integration with urban wastewater nutrient recovery</w:t>
      </w:r>
      <w:r w:rsidR="00D16EE9">
        <w:rPr>
          <w:rFonts w:ascii="Times New Roman" w:eastAsia="Times New Roman" w:hAnsi="Times New Roman" w:cs="Times New Roman"/>
          <w:sz w:val="24"/>
          <w:szCs w:val="24"/>
          <w:lang w:val="en-US"/>
        </w:rPr>
        <w:t xml:space="preserve"> </w:t>
      </w:r>
      <w:r w:rsidRPr="003D5F11">
        <w:rPr>
          <w:rFonts w:ascii="Times New Roman" w:eastAsia="Times New Roman" w:hAnsi="Times New Roman" w:cs="Times New Roman"/>
          <w:sz w:val="24"/>
          <w:szCs w:val="24"/>
          <w:lang w:val="en-US"/>
        </w:rPr>
        <w:t>further reduce upstream emissions associated with synthetic fertilizer production. Together, these innovations progressively narrow the environmental gap between indoor and conventional agriculture.</w:t>
      </w:r>
    </w:p>
    <w:p w14:paraId="0A969048" w14:textId="77777777" w:rsidR="008D0827" w:rsidRPr="003D5F11" w:rsidRDefault="008D0827" w:rsidP="003D5F11">
      <w:pPr>
        <w:spacing w:after="0" w:line="360" w:lineRule="auto"/>
        <w:jc w:val="both"/>
        <w:rPr>
          <w:rFonts w:ascii="Times New Roman" w:eastAsia="Times New Roman" w:hAnsi="Times New Roman" w:cs="Times New Roman"/>
          <w:sz w:val="24"/>
          <w:szCs w:val="24"/>
          <w:lang w:val="en-US"/>
        </w:rPr>
      </w:pPr>
      <w:r w:rsidRPr="003D5F11">
        <w:rPr>
          <w:rFonts w:ascii="Times New Roman" w:eastAsia="Times New Roman" w:hAnsi="Times New Roman" w:cs="Times New Roman"/>
          <w:sz w:val="24"/>
          <w:szCs w:val="24"/>
          <w:lang w:val="en-US"/>
        </w:rPr>
        <w:t>Robust carbon footprint assessment remains essential to guiding this transition. Comprehensive Life Cycle Assessment (LCA), emission factor modeling, embodied carbon analysis of construction materials, and real-time energy monitoring systems provide evidence-based insights into emission hotspots and mitigation opportunities. Transparent reporting frameworks can support policy formulation, carbon credit mechanisms, green building standards, and investment decisions. Without rigorous measurement and benchmarking, sustainability claims risk remaining theoretical rather than demonstrable.</w:t>
      </w:r>
    </w:p>
    <w:p w14:paraId="4D29BF65" w14:textId="77777777" w:rsidR="008D0827" w:rsidRPr="003D5F11" w:rsidRDefault="008D0827" w:rsidP="003D5F11">
      <w:pPr>
        <w:spacing w:after="0" w:line="360" w:lineRule="auto"/>
        <w:jc w:val="both"/>
        <w:rPr>
          <w:rFonts w:ascii="Times New Roman" w:eastAsia="Times New Roman" w:hAnsi="Times New Roman" w:cs="Times New Roman"/>
          <w:sz w:val="24"/>
          <w:szCs w:val="24"/>
          <w:lang w:val="en-US"/>
        </w:rPr>
      </w:pPr>
      <w:r w:rsidRPr="003D5F11">
        <w:rPr>
          <w:rFonts w:ascii="Times New Roman" w:eastAsia="Times New Roman" w:hAnsi="Times New Roman" w:cs="Times New Roman"/>
          <w:sz w:val="24"/>
          <w:szCs w:val="24"/>
          <w:lang w:val="en-US"/>
        </w:rPr>
        <w:t xml:space="preserve">Looking forward, the future of hydroponic vertical farming lies in systemic integration rather than isolation. Hybrid models that combine renewable microgrids, carbon capture utilization (e.g., channeling industrial CO₂ into controlled environments), modular low-carbon construction materials, and blockchain-enabled supply chain transparency may further strengthen environmental performance. Advances in plant breeding tailored specifically for indoor systems—focusing on compact morphology, rapid growth cycles, and enhanced photosynthetic efficiency—will improve productivity while reducing energy inputs per unit yield. Moreover, as cities increasingly prioritize circular economies, vertical farms may </w:t>
      </w:r>
      <w:r w:rsidRPr="003D5F11">
        <w:rPr>
          <w:rFonts w:ascii="Times New Roman" w:eastAsia="Times New Roman" w:hAnsi="Times New Roman" w:cs="Times New Roman"/>
          <w:sz w:val="24"/>
          <w:szCs w:val="24"/>
          <w:lang w:val="en-US"/>
        </w:rPr>
        <w:lastRenderedPageBreak/>
        <w:t>become integral components of urban infrastructure, linked with waste management, energy recovery, and sustainable water systems.</w:t>
      </w:r>
    </w:p>
    <w:p w14:paraId="55A06A18" w14:textId="77777777" w:rsidR="008D0827" w:rsidRPr="003D5F11" w:rsidRDefault="008D0827" w:rsidP="003D5F11">
      <w:pPr>
        <w:spacing w:after="0" w:line="360" w:lineRule="auto"/>
        <w:jc w:val="both"/>
        <w:rPr>
          <w:rFonts w:ascii="Times New Roman" w:eastAsia="Times New Roman" w:hAnsi="Times New Roman" w:cs="Times New Roman"/>
          <w:sz w:val="24"/>
          <w:szCs w:val="24"/>
          <w:lang w:val="en-US"/>
        </w:rPr>
      </w:pPr>
      <w:r w:rsidRPr="003D5F11">
        <w:rPr>
          <w:rFonts w:ascii="Times New Roman" w:eastAsia="Times New Roman" w:hAnsi="Times New Roman" w:cs="Times New Roman"/>
          <w:sz w:val="24"/>
          <w:szCs w:val="24"/>
          <w:lang w:val="en-US"/>
        </w:rPr>
        <w:t>Importantly, vertical farming should not be conceptualized as a universal substitute for conventional agriculture, particularly for staple crops requiring extensive land and low-cost production. Rather, it serves as a climate-smart complementary system within diversified agricultural landscapes. By specializing in high-value, perishable, and nutritionally sensitive crops, vertical farms can relieve pressure on rural land resources, reduce transportation emissions, and enhance urban food resilience without displacing large-scale field production.</w:t>
      </w:r>
    </w:p>
    <w:p w14:paraId="061303D9" w14:textId="77777777" w:rsidR="008D0827" w:rsidRPr="003D5F11" w:rsidRDefault="008D0827" w:rsidP="003D5F11">
      <w:pPr>
        <w:spacing w:after="0" w:line="360" w:lineRule="auto"/>
        <w:jc w:val="both"/>
        <w:rPr>
          <w:rFonts w:ascii="Times New Roman" w:eastAsia="Times New Roman" w:hAnsi="Times New Roman" w:cs="Times New Roman"/>
          <w:sz w:val="24"/>
          <w:szCs w:val="24"/>
          <w:lang w:val="en-US"/>
        </w:rPr>
      </w:pPr>
      <w:r w:rsidRPr="003D5F11">
        <w:rPr>
          <w:rFonts w:ascii="Times New Roman" w:eastAsia="Times New Roman" w:hAnsi="Times New Roman" w:cs="Times New Roman"/>
          <w:sz w:val="24"/>
          <w:szCs w:val="24"/>
          <w:lang w:val="en-US"/>
        </w:rPr>
        <w:t>Ultimately, the environmental viability of hydroponic vertical farming will depend on sustained interdisciplinary collaboration among agronomists, engineers, energy specialists, environmental scientists, economists, and policymakers. Continued research, renewable energy integration, supportive regulatory frameworks, and technological innovation are critical to unlocking its full potential. If strategically implemented within a decarbonizing energy future, hydroponic vertical farming can evolve from an energy-intensive novelty into a cornerstone of sustainable, resilient, and low-carbon urban food systems.</w:t>
      </w:r>
    </w:p>
    <w:p w14:paraId="69FF4671" w14:textId="77777777" w:rsidR="00DB72C6" w:rsidRPr="00CA3906" w:rsidRDefault="00DB72C6" w:rsidP="00DB72C6">
      <w:pPr>
        <w:rPr>
          <w:b/>
          <w:highlight w:val="yellow"/>
        </w:rPr>
      </w:pPr>
      <w:r w:rsidRPr="00CA3906">
        <w:rPr>
          <w:b/>
          <w:highlight w:val="yellow"/>
        </w:rPr>
        <w:t>Disclaimer (Artificial intelligence)</w:t>
      </w:r>
    </w:p>
    <w:p w14:paraId="013E3E76" w14:textId="77777777" w:rsidR="00DB72C6" w:rsidRPr="00740879" w:rsidRDefault="00DB72C6" w:rsidP="00DB72C6">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2287493E" w14:textId="77777777" w:rsidR="003D5F11" w:rsidRPr="003D5F11" w:rsidRDefault="003D5F11" w:rsidP="003D5F11">
      <w:pPr>
        <w:pStyle w:val="NormalWeb"/>
        <w:spacing w:after="0" w:line="360" w:lineRule="auto"/>
        <w:jc w:val="both"/>
        <w:rPr>
          <w:b/>
        </w:rPr>
      </w:pPr>
    </w:p>
    <w:p w14:paraId="3B1185D9" w14:textId="77777777" w:rsidR="00B41431" w:rsidRPr="00D830EF" w:rsidRDefault="00EC62D7" w:rsidP="008D0827">
      <w:pPr>
        <w:pStyle w:val="NormalWeb"/>
        <w:jc w:val="both"/>
        <w:rPr>
          <w:b/>
          <w:lang w:val="es-US"/>
        </w:rPr>
      </w:pPr>
      <w:proofErr w:type="spellStart"/>
      <w:r w:rsidRPr="00D830EF">
        <w:rPr>
          <w:b/>
          <w:lang w:val="es-US"/>
        </w:rPr>
        <w:t>References</w:t>
      </w:r>
      <w:proofErr w:type="spellEnd"/>
      <w:r w:rsidRPr="00D830EF">
        <w:rPr>
          <w:b/>
          <w:lang w:val="es-US"/>
        </w:rPr>
        <w:t>:</w:t>
      </w:r>
      <w:r w:rsidR="001E18BC" w:rsidRPr="00D830EF">
        <w:rPr>
          <w:b/>
          <w:lang w:val="es-US"/>
        </w:rPr>
        <w:t xml:space="preserve"> </w:t>
      </w:r>
    </w:p>
    <w:p w14:paraId="2A48A3C2" w14:textId="77777777" w:rsidR="00EC62D7" w:rsidRPr="00F24B26" w:rsidRDefault="00EC62D7" w:rsidP="00F24B26">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F24B26">
        <w:rPr>
          <w:rFonts w:ascii="Times New Roman" w:eastAsia="Times New Roman" w:hAnsi="Times New Roman" w:cs="Times New Roman"/>
          <w:sz w:val="24"/>
          <w:szCs w:val="24"/>
          <w:lang w:val="es-US"/>
        </w:rPr>
        <w:t>Armanda</w:t>
      </w:r>
      <w:proofErr w:type="spellEnd"/>
      <w:r w:rsidRPr="00F24B26">
        <w:rPr>
          <w:rFonts w:ascii="Times New Roman" w:eastAsia="Times New Roman" w:hAnsi="Times New Roman" w:cs="Times New Roman"/>
          <w:sz w:val="24"/>
          <w:szCs w:val="24"/>
          <w:lang w:val="es-US"/>
        </w:rPr>
        <w:t xml:space="preserve">, D. T., </w:t>
      </w:r>
      <w:proofErr w:type="spellStart"/>
      <w:r w:rsidRPr="00F24B26">
        <w:rPr>
          <w:rFonts w:ascii="Times New Roman" w:eastAsia="Times New Roman" w:hAnsi="Times New Roman" w:cs="Times New Roman"/>
          <w:sz w:val="24"/>
          <w:szCs w:val="24"/>
          <w:lang w:val="es-US"/>
        </w:rPr>
        <w:t>Guinée</w:t>
      </w:r>
      <w:proofErr w:type="spellEnd"/>
      <w:r w:rsidRPr="00F24B26">
        <w:rPr>
          <w:rFonts w:ascii="Times New Roman" w:eastAsia="Times New Roman" w:hAnsi="Times New Roman" w:cs="Times New Roman"/>
          <w:sz w:val="24"/>
          <w:szCs w:val="24"/>
          <w:lang w:val="es-US"/>
        </w:rPr>
        <w:t xml:space="preserve">, J. B., &amp; </w:t>
      </w:r>
      <w:proofErr w:type="spellStart"/>
      <w:r w:rsidRPr="00F24B26">
        <w:rPr>
          <w:rFonts w:ascii="Times New Roman" w:eastAsia="Times New Roman" w:hAnsi="Times New Roman" w:cs="Times New Roman"/>
          <w:sz w:val="24"/>
          <w:szCs w:val="24"/>
          <w:lang w:val="es-US"/>
        </w:rPr>
        <w:t>Tukker</w:t>
      </w:r>
      <w:proofErr w:type="spellEnd"/>
      <w:r w:rsidRPr="00F24B26">
        <w:rPr>
          <w:rFonts w:ascii="Times New Roman" w:eastAsia="Times New Roman" w:hAnsi="Times New Roman" w:cs="Times New Roman"/>
          <w:sz w:val="24"/>
          <w:szCs w:val="24"/>
          <w:lang w:val="es-US"/>
        </w:rPr>
        <w:t xml:space="preserve">, A. (2019). </w:t>
      </w:r>
      <w:r w:rsidRPr="00F24B26">
        <w:rPr>
          <w:rFonts w:ascii="Times New Roman" w:eastAsia="Times New Roman" w:hAnsi="Times New Roman" w:cs="Times New Roman"/>
          <w:sz w:val="24"/>
          <w:szCs w:val="24"/>
          <w:lang w:val="en-US"/>
        </w:rPr>
        <w:t xml:space="preserve">The second green revolution: Innovative urban agriculture’s contribution to food security and sustainability – A review. </w:t>
      </w:r>
      <w:r w:rsidRPr="00F24B26">
        <w:rPr>
          <w:rFonts w:ascii="Times New Roman" w:eastAsia="Times New Roman" w:hAnsi="Times New Roman" w:cs="Times New Roman"/>
          <w:i/>
          <w:iCs/>
          <w:sz w:val="24"/>
          <w:szCs w:val="24"/>
          <w:lang w:val="en-US"/>
        </w:rPr>
        <w:t>Global Food Security</w:t>
      </w:r>
      <w:r w:rsidRPr="00F24B26">
        <w:rPr>
          <w:rFonts w:ascii="Times New Roman" w:eastAsia="Times New Roman" w:hAnsi="Times New Roman" w:cs="Times New Roman"/>
          <w:sz w:val="24"/>
          <w:szCs w:val="24"/>
          <w:lang w:val="en-US"/>
        </w:rPr>
        <w:t>, 22, 13–24.</w:t>
      </w:r>
    </w:p>
    <w:p w14:paraId="3FBF1FB8" w14:textId="77777777" w:rsidR="00EC62D7" w:rsidRPr="00F24B26" w:rsidRDefault="00EC62D7" w:rsidP="00F24B26">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F24B26">
        <w:rPr>
          <w:rFonts w:ascii="Times New Roman" w:eastAsia="Times New Roman" w:hAnsi="Times New Roman" w:cs="Times New Roman"/>
          <w:sz w:val="24"/>
          <w:szCs w:val="24"/>
          <w:lang w:val="en-US"/>
        </w:rPr>
        <w:t>Avgoustaki</w:t>
      </w:r>
      <w:proofErr w:type="spellEnd"/>
      <w:r w:rsidRPr="00F24B26">
        <w:rPr>
          <w:rFonts w:ascii="Times New Roman" w:eastAsia="Times New Roman" w:hAnsi="Times New Roman" w:cs="Times New Roman"/>
          <w:sz w:val="24"/>
          <w:szCs w:val="24"/>
          <w:lang w:val="en-US"/>
        </w:rPr>
        <w:t xml:space="preserve">, D. D., &amp; Xydis, G. (2020). Indoor vertical farming in the urban nexus context: Business growth and resource savings. </w:t>
      </w:r>
      <w:r w:rsidRPr="00F24B26">
        <w:rPr>
          <w:rFonts w:ascii="Times New Roman" w:eastAsia="Times New Roman" w:hAnsi="Times New Roman" w:cs="Times New Roman"/>
          <w:i/>
          <w:iCs/>
          <w:sz w:val="24"/>
          <w:szCs w:val="24"/>
          <w:lang w:val="en-US"/>
        </w:rPr>
        <w:t>Sustainability</w:t>
      </w:r>
      <w:r w:rsidRPr="00F24B26">
        <w:rPr>
          <w:rFonts w:ascii="Times New Roman" w:eastAsia="Times New Roman" w:hAnsi="Times New Roman" w:cs="Times New Roman"/>
          <w:sz w:val="24"/>
          <w:szCs w:val="24"/>
          <w:lang w:val="en-US"/>
        </w:rPr>
        <w:t>, 12(5), 1965.</w:t>
      </w:r>
    </w:p>
    <w:p w14:paraId="2230B24F" w14:textId="77777777" w:rsidR="00EC62D7" w:rsidRPr="00F24B26" w:rsidRDefault="00EC62D7" w:rsidP="00F24B26">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F24B26">
        <w:rPr>
          <w:rFonts w:ascii="Times New Roman" w:eastAsia="Times New Roman" w:hAnsi="Times New Roman" w:cs="Times New Roman"/>
          <w:sz w:val="24"/>
          <w:szCs w:val="24"/>
          <w:lang w:val="en-US"/>
        </w:rPr>
        <w:t>Benke</w:t>
      </w:r>
      <w:proofErr w:type="spellEnd"/>
      <w:r w:rsidRPr="00F24B26">
        <w:rPr>
          <w:rFonts w:ascii="Times New Roman" w:eastAsia="Times New Roman" w:hAnsi="Times New Roman" w:cs="Times New Roman"/>
          <w:sz w:val="24"/>
          <w:szCs w:val="24"/>
          <w:lang w:val="en-US"/>
        </w:rPr>
        <w:t xml:space="preserve">, K., &amp; Tomkins, B. (2017). Future food-production systems: Vertical farming and controlled-environment agriculture. </w:t>
      </w:r>
      <w:r w:rsidRPr="00F24B26">
        <w:rPr>
          <w:rFonts w:ascii="Times New Roman" w:eastAsia="Times New Roman" w:hAnsi="Times New Roman" w:cs="Times New Roman"/>
          <w:i/>
          <w:iCs/>
          <w:sz w:val="24"/>
          <w:szCs w:val="24"/>
          <w:lang w:val="en-US"/>
        </w:rPr>
        <w:t>Sustainability: Science, Practice and Policy</w:t>
      </w:r>
      <w:r w:rsidRPr="00F24B26">
        <w:rPr>
          <w:rFonts w:ascii="Times New Roman" w:eastAsia="Times New Roman" w:hAnsi="Times New Roman" w:cs="Times New Roman"/>
          <w:sz w:val="24"/>
          <w:szCs w:val="24"/>
          <w:lang w:val="en-US"/>
        </w:rPr>
        <w:t>, 13(1), 13–26.</w:t>
      </w:r>
    </w:p>
    <w:p w14:paraId="413539B8" w14:textId="77777777" w:rsidR="00EC62D7" w:rsidRPr="00F24B26" w:rsidRDefault="00EC62D7" w:rsidP="00F24B26">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F24B26">
        <w:rPr>
          <w:rFonts w:ascii="Times New Roman" w:eastAsia="Times New Roman" w:hAnsi="Times New Roman" w:cs="Times New Roman"/>
          <w:sz w:val="24"/>
          <w:szCs w:val="24"/>
          <w:lang w:val="en-US"/>
        </w:rPr>
        <w:t>Bian</w:t>
      </w:r>
      <w:proofErr w:type="spellEnd"/>
      <w:r w:rsidRPr="00F24B26">
        <w:rPr>
          <w:rFonts w:ascii="Times New Roman" w:eastAsia="Times New Roman" w:hAnsi="Times New Roman" w:cs="Times New Roman"/>
          <w:sz w:val="24"/>
          <w:szCs w:val="24"/>
          <w:lang w:val="en-US"/>
        </w:rPr>
        <w:t xml:space="preserve">, Z., Jiang, N., Grundy, S., &amp; Lu, C. (2018). Uncovering LED light effects on plant growth: New angles and perspectives – LED light for improving plant growth, nutrition and energy-use efficiency. </w:t>
      </w:r>
      <w:r w:rsidRPr="00F24B26">
        <w:rPr>
          <w:rFonts w:ascii="Times New Roman" w:eastAsia="Times New Roman" w:hAnsi="Times New Roman" w:cs="Times New Roman"/>
          <w:i/>
          <w:iCs/>
          <w:sz w:val="24"/>
          <w:szCs w:val="24"/>
          <w:lang w:val="en-US"/>
        </w:rPr>
        <w:t xml:space="preserve">Acta </w:t>
      </w:r>
      <w:proofErr w:type="spellStart"/>
      <w:r w:rsidRPr="00F24B26">
        <w:rPr>
          <w:rFonts w:ascii="Times New Roman" w:eastAsia="Times New Roman" w:hAnsi="Times New Roman" w:cs="Times New Roman"/>
          <w:i/>
          <w:iCs/>
          <w:sz w:val="24"/>
          <w:szCs w:val="24"/>
          <w:lang w:val="en-US"/>
        </w:rPr>
        <w:t>Horticulturae</w:t>
      </w:r>
      <w:proofErr w:type="spellEnd"/>
      <w:r w:rsidRPr="00F24B26">
        <w:rPr>
          <w:rFonts w:ascii="Times New Roman" w:eastAsia="Times New Roman" w:hAnsi="Times New Roman" w:cs="Times New Roman"/>
          <w:sz w:val="24"/>
          <w:szCs w:val="24"/>
          <w:lang w:val="en-US"/>
        </w:rPr>
        <w:t>, 1227, 491–498.</w:t>
      </w:r>
    </w:p>
    <w:p w14:paraId="31F42A73" w14:textId="77777777" w:rsidR="00EC62D7" w:rsidRPr="00F24B26" w:rsidRDefault="00EC62D7" w:rsidP="00F24B26">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F24B26">
        <w:rPr>
          <w:rFonts w:ascii="Times New Roman" w:eastAsia="Times New Roman" w:hAnsi="Times New Roman" w:cs="Times New Roman"/>
          <w:sz w:val="24"/>
          <w:szCs w:val="24"/>
          <w:lang w:val="en-US"/>
        </w:rPr>
        <w:t>Blom</w:t>
      </w:r>
      <w:proofErr w:type="spellEnd"/>
      <w:r w:rsidRPr="00F24B26">
        <w:rPr>
          <w:rFonts w:ascii="Times New Roman" w:eastAsia="Times New Roman" w:hAnsi="Times New Roman" w:cs="Times New Roman"/>
          <w:sz w:val="24"/>
          <w:szCs w:val="24"/>
          <w:lang w:val="en-US"/>
        </w:rPr>
        <w:t xml:space="preserve">, T. J., Inamdar, S., &amp; </w:t>
      </w:r>
      <w:proofErr w:type="spellStart"/>
      <w:r w:rsidRPr="00F24B26">
        <w:rPr>
          <w:rFonts w:ascii="Times New Roman" w:eastAsia="Times New Roman" w:hAnsi="Times New Roman" w:cs="Times New Roman"/>
          <w:sz w:val="24"/>
          <w:szCs w:val="24"/>
          <w:lang w:val="en-US"/>
        </w:rPr>
        <w:t>Straver</w:t>
      </w:r>
      <w:proofErr w:type="spellEnd"/>
      <w:r w:rsidRPr="00F24B26">
        <w:rPr>
          <w:rFonts w:ascii="Times New Roman" w:eastAsia="Times New Roman" w:hAnsi="Times New Roman" w:cs="Times New Roman"/>
          <w:sz w:val="24"/>
          <w:szCs w:val="24"/>
          <w:lang w:val="en-US"/>
        </w:rPr>
        <w:t xml:space="preserve">, N. (2022). Life cycle assessment of lettuce production in open-field, greenhouse, and vertical farm systems in the Netherlands. </w:t>
      </w:r>
      <w:r w:rsidRPr="00F24B26">
        <w:rPr>
          <w:rFonts w:ascii="Times New Roman" w:eastAsia="Times New Roman" w:hAnsi="Times New Roman" w:cs="Times New Roman"/>
          <w:i/>
          <w:iCs/>
          <w:sz w:val="24"/>
          <w:szCs w:val="24"/>
          <w:lang w:val="en-US"/>
        </w:rPr>
        <w:t>Agricultural Systems</w:t>
      </w:r>
      <w:r w:rsidRPr="00F24B26">
        <w:rPr>
          <w:rFonts w:ascii="Times New Roman" w:eastAsia="Times New Roman" w:hAnsi="Times New Roman" w:cs="Times New Roman"/>
          <w:sz w:val="24"/>
          <w:szCs w:val="24"/>
          <w:lang w:val="en-US"/>
        </w:rPr>
        <w:t>, 194, 103285.</w:t>
      </w:r>
    </w:p>
    <w:p w14:paraId="7F0D591D" w14:textId="77777777" w:rsidR="00EC62D7" w:rsidRPr="00F24B26" w:rsidRDefault="00EC62D7" w:rsidP="00F24B26">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r w:rsidRPr="00F24B26">
        <w:rPr>
          <w:rFonts w:ascii="Times New Roman" w:eastAsia="Times New Roman" w:hAnsi="Times New Roman" w:cs="Times New Roman"/>
          <w:sz w:val="24"/>
          <w:szCs w:val="24"/>
          <w:lang w:val="en-US"/>
        </w:rPr>
        <w:t xml:space="preserve">Cassia, R., </w:t>
      </w:r>
      <w:proofErr w:type="spellStart"/>
      <w:r w:rsidRPr="00F24B26">
        <w:rPr>
          <w:rFonts w:ascii="Times New Roman" w:eastAsia="Times New Roman" w:hAnsi="Times New Roman" w:cs="Times New Roman"/>
          <w:sz w:val="24"/>
          <w:szCs w:val="24"/>
          <w:lang w:val="en-US"/>
        </w:rPr>
        <w:t>Nocioni</w:t>
      </w:r>
      <w:proofErr w:type="spellEnd"/>
      <w:r w:rsidRPr="00F24B26">
        <w:rPr>
          <w:rFonts w:ascii="Times New Roman" w:eastAsia="Times New Roman" w:hAnsi="Times New Roman" w:cs="Times New Roman"/>
          <w:sz w:val="24"/>
          <w:szCs w:val="24"/>
          <w:lang w:val="en-US"/>
        </w:rPr>
        <w:t>, M., Correa-</w:t>
      </w:r>
      <w:proofErr w:type="spellStart"/>
      <w:r w:rsidRPr="00F24B26">
        <w:rPr>
          <w:rFonts w:ascii="Times New Roman" w:eastAsia="Times New Roman" w:hAnsi="Times New Roman" w:cs="Times New Roman"/>
          <w:sz w:val="24"/>
          <w:szCs w:val="24"/>
          <w:lang w:val="en-US"/>
        </w:rPr>
        <w:t>Aragunde</w:t>
      </w:r>
      <w:proofErr w:type="spellEnd"/>
      <w:r w:rsidRPr="00F24B26">
        <w:rPr>
          <w:rFonts w:ascii="Times New Roman" w:eastAsia="Times New Roman" w:hAnsi="Times New Roman" w:cs="Times New Roman"/>
          <w:sz w:val="24"/>
          <w:szCs w:val="24"/>
          <w:lang w:val="en-US"/>
        </w:rPr>
        <w:t xml:space="preserve">, N., &amp; </w:t>
      </w:r>
      <w:proofErr w:type="spellStart"/>
      <w:r w:rsidRPr="00F24B26">
        <w:rPr>
          <w:rFonts w:ascii="Times New Roman" w:eastAsia="Times New Roman" w:hAnsi="Times New Roman" w:cs="Times New Roman"/>
          <w:sz w:val="24"/>
          <w:szCs w:val="24"/>
          <w:lang w:val="en-US"/>
        </w:rPr>
        <w:t>Lamattina</w:t>
      </w:r>
      <w:proofErr w:type="spellEnd"/>
      <w:r w:rsidRPr="00F24B26">
        <w:rPr>
          <w:rFonts w:ascii="Times New Roman" w:eastAsia="Times New Roman" w:hAnsi="Times New Roman" w:cs="Times New Roman"/>
          <w:sz w:val="24"/>
          <w:szCs w:val="24"/>
          <w:lang w:val="en-US"/>
        </w:rPr>
        <w:t xml:space="preserve">, L. (2018). Climate change and the impact of greenhouse gases: CO₂ and NO₂ on photosynthesis and plant growth. </w:t>
      </w:r>
      <w:r w:rsidRPr="00F24B26">
        <w:rPr>
          <w:rFonts w:ascii="Times New Roman" w:eastAsia="Times New Roman" w:hAnsi="Times New Roman" w:cs="Times New Roman"/>
          <w:i/>
          <w:iCs/>
          <w:sz w:val="24"/>
          <w:szCs w:val="24"/>
          <w:lang w:val="en-US"/>
        </w:rPr>
        <w:t>Frontiers in Plant Science</w:t>
      </w:r>
      <w:r w:rsidRPr="00F24B26">
        <w:rPr>
          <w:rFonts w:ascii="Times New Roman" w:eastAsia="Times New Roman" w:hAnsi="Times New Roman" w:cs="Times New Roman"/>
          <w:sz w:val="24"/>
          <w:szCs w:val="24"/>
          <w:lang w:val="en-US"/>
        </w:rPr>
        <w:t>, 9, 357.</w:t>
      </w:r>
    </w:p>
    <w:p w14:paraId="3E20977C" w14:textId="77777777" w:rsidR="00EC62D7" w:rsidRPr="00F24B26" w:rsidRDefault="00EC62D7" w:rsidP="00F24B26">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r w:rsidRPr="00F24B26">
        <w:rPr>
          <w:rFonts w:ascii="Times New Roman" w:eastAsia="Times New Roman" w:hAnsi="Times New Roman" w:cs="Times New Roman"/>
          <w:sz w:val="24"/>
          <w:szCs w:val="24"/>
          <w:lang w:val="en-US"/>
        </w:rPr>
        <w:t xml:space="preserve">De </w:t>
      </w:r>
      <w:proofErr w:type="spellStart"/>
      <w:r w:rsidRPr="00F24B26">
        <w:rPr>
          <w:rFonts w:ascii="Times New Roman" w:eastAsia="Times New Roman" w:hAnsi="Times New Roman" w:cs="Times New Roman"/>
          <w:sz w:val="24"/>
          <w:szCs w:val="24"/>
          <w:lang w:val="en-US"/>
        </w:rPr>
        <w:t>Clercq</w:t>
      </w:r>
      <w:proofErr w:type="spellEnd"/>
      <w:r w:rsidRPr="00F24B26">
        <w:rPr>
          <w:rFonts w:ascii="Times New Roman" w:eastAsia="Times New Roman" w:hAnsi="Times New Roman" w:cs="Times New Roman"/>
          <w:sz w:val="24"/>
          <w:szCs w:val="24"/>
          <w:lang w:val="en-US"/>
        </w:rPr>
        <w:t xml:space="preserve">, M., Vats, A., &amp; Biel, A. (2018). Agriculture 4.0: The future of farming technology. </w:t>
      </w:r>
      <w:r w:rsidRPr="00F24B26">
        <w:rPr>
          <w:rFonts w:ascii="Times New Roman" w:eastAsia="Times New Roman" w:hAnsi="Times New Roman" w:cs="Times New Roman"/>
          <w:i/>
          <w:iCs/>
          <w:sz w:val="24"/>
          <w:szCs w:val="24"/>
          <w:lang w:val="en-US"/>
        </w:rPr>
        <w:t>World Government Summit Report</w:t>
      </w:r>
      <w:r w:rsidRPr="00F24B26">
        <w:rPr>
          <w:rFonts w:ascii="Times New Roman" w:eastAsia="Times New Roman" w:hAnsi="Times New Roman" w:cs="Times New Roman"/>
          <w:sz w:val="24"/>
          <w:szCs w:val="24"/>
          <w:lang w:val="en-US"/>
        </w:rPr>
        <w:t>, Dubai.</w:t>
      </w:r>
    </w:p>
    <w:p w14:paraId="036043E5" w14:textId="77777777" w:rsidR="00EC62D7" w:rsidRPr="00F24B26" w:rsidRDefault="00EC62D7" w:rsidP="00F24B26">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r w:rsidRPr="00F24B26">
        <w:rPr>
          <w:rFonts w:ascii="Times New Roman" w:eastAsia="Times New Roman" w:hAnsi="Times New Roman" w:cs="Times New Roman"/>
          <w:sz w:val="24"/>
          <w:szCs w:val="24"/>
          <w:lang w:val="en-US"/>
        </w:rPr>
        <w:lastRenderedPageBreak/>
        <w:t xml:space="preserve">FAO (Food and Agriculture Organization of the United Nations). (2015). </w:t>
      </w:r>
      <w:r w:rsidRPr="00F24B26">
        <w:rPr>
          <w:rFonts w:ascii="Times New Roman" w:eastAsia="Times New Roman" w:hAnsi="Times New Roman" w:cs="Times New Roman"/>
          <w:i/>
          <w:iCs/>
          <w:sz w:val="24"/>
          <w:szCs w:val="24"/>
          <w:lang w:val="en-US"/>
        </w:rPr>
        <w:t>FAOSTAT emissions database: Agriculture total emissions</w:t>
      </w:r>
      <w:r w:rsidRPr="00F24B26">
        <w:rPr>
          <w:rFonts w:ascii="Times New Roman" w:eastAsia="Times New Roman" w:hAnsi="Times New Roman" w:cs="Times New Roman"/>
          <w:sz w:val="24"/>
          <w:szCs w:val="24"/>
          <w:lang w:val="en-US"/>
        </w:rPr>
        <w:t>. Rome: FAO.</w:t>
      </w:r>
    </w:p>
    <w:p w14:paraId="1F19657C" w14:textId="77777777" w:rsidR="00EC62D7" w:rsidRPr="00F24B26" w:rsidRDefault="00EC62D7" w:rsidP="00F24B26">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r w:rsidRPr="00F24B26">
        <w:rPr>
          <w:rFonts w:ascii="Times New Roman" w:eastAsia="Times New Roman" w:hAnsi="Times New Roman" w:cs="Times New Roman"/>
          <w:sz w:val="24"/>
          <w:szCs w:val="24"/>
          <w:lang w:val="en-US"/>
        </w:rPr>
        <w:t xml:space="preserve">Hardy, B., </w:t>
      </w:r>
      <w:proofErr w:type="spellStart"/>
      <w:r w:rsidRPr="00F24B26">
        <w:rPr>
          <w:rFonts w:ascii="Times New Roman" w:eastAsia="Times New Roman" w:hAnsi="Times New Roman" w:cs="Times New Roman"/>
          <w:sz w:val="24"/>
          <w:szCs w:val="24"/>
          <w:lang w:val="en-US"/>
        </w:rPr>
        <w:t>McBratney</w:t>
      </w:r>
      <w:proofErr w:type="spellEnd"/>
      <w:r w:rsidRPr="00F24B26">
        <w:rPr>
          <w:rFonts w:ascii="Times New Roman" w:eastAsia="Times New Roman" w:hAnsi="Times New Roman" w:cs="Times New Roman"/>
          <w:sz w:val="24"/>
          <w:szCs w:val="24"/>
          <w:lang w:val="en-US"/>
        </w:rPr>
        <w:t xml:space="preserve">, A., &amp; </w:t>
      </w:r>
      <w:proofErr w:type="spellStart"/>
      <w:r w:rsidRPr="00F24B26">
        <w:rPr>
          <w:rFonts w:ascii="Times New Roman" w:eastAsia="Times New Roman" w:hAnsi="Times New Roman" w:cs="Times New Roman"/>
          <w:sz w:val="24"/>
          <w:szCs w:val="24"/>
          <w:lang w:val="en-US"/>
        </w:rPr>
        <w:t>Minasny</w:t>
      </w:r>
      <w:proofErr w:type="spellEnd"/>
      <w:r w:rsidRPr="00F24B26">
        <w:rPr>
          <w:rFonts w:ascii="Times New Roman" w:eastAsia="Times New Roman" w:hAnsi="Times New Roman" w:cs="Times New Roman"/>
          <w:sz w:val="24"/>
          <w:szCs w:val="24"/>
          <w:lang w:val="en-US"/>
        </w:rPr>
        <w:t xml:space="preserve">, B. (2021). Soil degradation and soil carbon decline under intensive agricultural systems. </w:t>
      </w:r>
      <w:r w:rsidRPr="00F24B26">
        <w:rPr>
          <w:rFonts w:ascii="Times New Roman" w:eastAsia="Times New Roman" w:hAnsi="Times New Roman" w:cs="Times New Roman"/>
          <w:i/>
          <w:iCs/>
          <w:sz w:val="24"/>
          <w:szCs w:val="24"/>
          <w:lang w:val="en-US"/>
        </w:rPr>
        <w:t>Soil Security</w:t>
      </w:r>
      <w:r w:rsidRPr="00F24B26">
        <w:rPr>
          <w:rFonts w:ascii="Times New Roman" w:eastAsia="Times New Roman" w:hAnsi="Times New Roman" w:cs="Times New Roman"/>
          <w:sz w:val="24"/>
          <w:szCs w:val="24"/>
          <w:lang w:val="en-US"/>
        </w:rPr>
        <w:t>, 4, 100017.</w:t>
      </w:r>
    </w:p>
    <w:p w14:paraId="2C570FDA" w14:textId="77777777" w:rsidR="00EC62D7" w:rsidRPr="00F24B26" w:rsidRDefault="00EC62D7" w:rsidP="00F24B26">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F24B26">
        <w:rPr>
          <w:rFonts w:ascii="Times New Roman" w:eastAsia="Times New Roman" w:hAnsi="Times New Roman" w:cs="Times New Roman"/>
          <w:sz w:val="24"/>
          <w:szCs w:val="24"/>
          <w:lang w:val="en-US"/>
        </w:rPr>
        <w:t>Hosny</w:t>
      </w:r>
      <w:proofErr w:type="spellEnd"/>
      <w:r w:rsidRPr="00F24B26">
        <w:rPr>
          <w:rFonts w:ascii="Times New Roman" w:eastAsia="Times New Roman" w:hAnsi="Times New Roman" w:cs="Times New Roman"/>
          <w:sz w:val="24"/>
          <w:szCs w:val="24"/>
          <w:lang w:val="en-US"/>
        </w:rPr>
        <w:t xml:space="preserve">, K. M., El-Hady, W. M., &amp; </w:t>
      </w:r>
      <w:proofErr w:type="spellStart"/>
      <w:r w:rsidRPr="00F24B26">
        <w:rPr>
          <w:rFonts w:ascii="Times New Roman" w:eastAsia="Times New Roman" w:hAnsi="Times New Roman" w:cs="Times New Roman"/>
          <w:sz w:val="24"/>
          <w:szCs w:val="24"/>
          <w:lang w:val="en-US"/>
        </w:rPr>
        <w:t>Samy</w:t>
      </w:r>
      <w:proofErr w:type="spellEnd"/>
      <w:r w:rsidRPr="00F24B26">
        <w:rPr>
          <w:rFonts w:ascii="Times New Roman" w:eastAsia="Times New Roman" w:hAnsi="Times New Roman" w:cs="Times New Roman"/>
          <w:sz w:val="24"/>
          <w:szCs w:val="24"/>
          <w:lang w:val="en-US"/>
        </w:rPr>
        <w:t xml:space="preserve">, F. M. (2024). Technologies, protocols, and applications of Internet of Things in greenhouse farming: A review of recent advances. </w:t>
      </w:r>
      <w:r w:rsidRPr="00F24B26">
        <w:rPr>
          <w:rFonts w:ascii="Times New Roman" w:eastAsia="Times New Roman" w:hAnsi="Times New Roman" w:cs="Times New Roman"/>
          <w:i/>
          <w:iCs/>
          <w:sz w:val="24"/>
          <w:szCs w:val="24"/>
          <w:lang w:val="en-US"/>
        </w:rPr>
        <w:t>Information Processing in Agriculture</w:t>
      </w:r>
      <w:r w:rsidRPr="00F24B26">
        <w:rPr>
          <w:rFonts w:ascii="Times New Roman" w:eastAsia="Times New Roman" w:hAnsi="Times New Roman" w:cs="Times New Roman"/>
          <w:sz w:val="24"/>
          <w:szCs w:val="24"/>
          <w:lang w:val="en-US"/>
        </w:rPr>
        <w:t>, 11(1), 1–18.</w:t>
      </w:r>
    </w:p>
    <w:p w14:paraId="2307F4D1" w14:textId="77777777" w:rsidR="00EC62D7" w:rsidRPr="00F24B26" w:rsidRDefault="00EC62D7" w:rsidP="00F24B26">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r w:rsidRPr="00F24B26">
        <w:rPr>
          <w:rFonts w:ascii="Times New Roman" w:eastAsia="Times New Roman" w:hAnsi="Times New Roman" w:cs="Times New Roman"/>
          <w:sz w:val="24"/>
          <w:szCs w:val="24"/>
          <w:lang w:val="en-US"/>
        </w:rPr>
        <w:t xml:space="preserve">Kalantari, F., Tahir, O. M., Joni, R. A., &amp; </w:t>
      </w:r>
      <w:proofErr w:type="spellStart"/>
      <w:r w:rsidRPr="00F24B26">
        <w:rPr>
          <w:rFonts w:ascii="Times New Roman" w:eastAsia="Times New Roman" w:hAnsi="Times New Roman" w:cs="Times New Roman"/>
          <w:sz w:val="24"/>
          <w:szCs w:val="24"/>
          <w:lang w:val="en-US"/>
        </w:rPr>
        <w:t>Fatemi</w:t>
      </w:r>
      <w:proofErr w:type="spellEnd"/>
      <w:r w:rsidRPr="00F24B26">
        <w:rPr>
          <w:rFonts w:ascii="Times New Roman" w:eastAsia="Times New Roman" w:hAnsi="Times New Roman" w:cs="Times New Roman"/>
          <w:sz w:val="24"/>
          <w:szCs w:val="24"/>
          <w:lang w:val="en-US"/>
        </w:rPr>
        <w:t xml:space="preserve">, E. (2018). Opportunities and challenges in sustainability of vertical farming: A review. </w:t>
      </w:r>
      <w:r w:rsidRPr="00F24B26">
        <w:rPr>
          <w:rFonts w:ascii="Times New Roman" w:eastAsia="Times New Roman" w:hAnsi="Times New Roman" w:cs="Times New Roman"/>
          <w:i/>
          <w:iCs/>
          <w:sz w:val="24"/>
          <w:szCs w:val="24"/>
          <w:lang w:val="en-US"/>
        </w:rPr>
        <w:t>Journal of Landscape Ecology</w:t>
      </w:r>
      <w:r w:rsidRPr="00F24B26">
        <w:rPr>
          <w:rFonts w:ascii="Times New Roman" w:eastAsia="Times New Roman" w:hAnsi="Times New Roman" w:cs="Times New Roman"/>
          <w:sz w:val="24"/>
          <w:szCs w:val="24"/>
          <w:lang w:val="en-US"/>
        </w:rPr>
        <w:t>, 11(1), 35–60.</w:t>
      </w:r>
    </w:p>
    <w:p w14:paraId="0347A882" w14:textId="77777777" w:rsidR="00EC62D7" w:rsidRPr="00F24B26" w:rsidRDefault="00EC62D7" w:rsidP="00F24B26">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F24B26">
        <w:rPr>
          <w:rFonts w:ascii="Times New Roman" w:eastAsia="Times New Roman" w:hAnsi="Times New Roman" w:cs="Times New Roman"/>
          <w:sz w:val="24"/>
          <w:szCs w:val="24"/>
          <w:lang w:val="en-US"/>
        </w:rPr>
        <w:t>Kozai</w:t>
      </w:r>
      <w:proofErr w:type="spellEnd"/>
      <w:r w:rsidRPr="00F24B26">
        <w:rPr>
          <w:rFonts w:ascii="Times New Roman" w:eastAsia="Times New Roman" w:hAnsi="Times New Roman" w:cs="Times New Roman"/>
          <w:sz w:val="24"/>
          <w:szCs w:val="24"/>
          <w:lang w:val="en-US"/>
        </w:rPr>
        <w:t xml:space="preserve">, T., </w:t>
      </w:r>
      <w:proofErr w:type="spellStart"/>
      <w:r w:rsidRPr="00F24B26">
        <w:rPr>
          <w:rFonts w:ascii="Times New Roman" w:eastAsia="Times New Roman" w:hAnsi="Times New Roman" w:cs="Times New Roman"/>
          <w:sz w:val="24"/>
          <w:szCs w:val="24"/>
          <w:lang w:val="en-US"/>
        </w:rPr>
        <w:t>Niu</w:t>
      </w:r>
      <w:proofErr w:type="spellEnd"/>
      <w:r w:rsidRPr="00F24B26">
        <w:rPr>
          <w:rFonts w:ascii="Times New Roman" w:eastAsia="Times New Roman" w:hAnsi="Times New Roman" w:cs="Times New Roman"/>
          <w:sz w:val="24"/>
          <w:szCs w:val="24"/>
          <w:lang w:val="en-US"/>
        </w:rPr>
        <w:t xml:space="preserve">, G., &amp; </w:t>
      </w:r>
      <w:proofErr w:type="spellStart"/>
      <w:r w:rsidRPr="00F24B26">
        <w:rPr>
          <w:rFonts w:ascii="Times New Roman" w:eastAsia="Times New Roman" w:hAnsi="Times New Roman" w:cs="Times New Roman"/>
          <w:sz w:val="24"/>
          <w:szCs w:val="24"/>
          <w:lang w:val="en-US"/>
        </w:rPr>
        <w:t>Takagaki</w:t>
      </w:r>
      <w:proofErr w:type="spellEnd"/>
      <w:r w:rsidRPr="00F24B26">
        <w:rPr>
          <w:rFonts w:ascii="Times New Roman" w:eastAsia="Times New Roman" w:hAnsi="Times New Roman" w:cs="Times New Roman"/>
          <w:sz w:val="24"/>
          <w:szCs w:val="24"/>
          <w:lang w:val="en-US"/>
        </w:rPr>
        <w:t xml:space="preserve">, M. (2015). </w:t>
      </w:r>
      <w:r w:rsidRPr="00F24B26">
        <w:rPr>
          <w:rFonts w:ascii="Times New Roman" w:eastAsia="Times New Roman" w:hAnsi="Times New Roman" w:cs="Times New Roman"/>
          <w:i/>
          <w:iCs/>
          <w:sz w:val="24"/>
          <w:szCs w:val="24"/>
          <w:lang w:val="en-US"/>
        </w:rPr>
        <w:t>Plant Factory: An Indoor Vertical Farming System for Efficient Quality Food Production</w:t>
      </w:r>
      <w:r w:rsidRPr="00F24B26">
        <w:rPr>
          <w:rFonts w:ascii="Times New Roman" w:eastAsia="Times New Roman" w:hAnsi="Times New Roman" w:cs="Times New Roman"/>
          <w:sz w:val="24"/>
          <w:szCs w:val="24"/>
          <w:lang w:val="en-US"/>
        </w:rPr>
        <w:t>. Academic Press, Elsevier.</w:t>
      </w:r>
    </w:p>
    <w:p w14:paraId="6F1827A4" w14:textId="77777777" w:rsidR="00EC62D7" w:rsidRPr="00F24B26" w:rsidRDefault="00EC62D7" w:rsidP="00F24B26">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r w:rsidRPr="00F24B26">
        <w:rPr>
          <w:rFonts w:ascii="Times New Roman" w:eastAsia="Times New Roman" w:hAnsi="Times New Roman" w:cs="Times New Roman"/>
          <w:sz w:val="24"/>
          <w:szCs w:val="24"/>
          <w:lang w:val="en-US"/>
        </w:rPr>
        <w:t xml:space="preserve">Lee, S., &amp; Lee, J. (2015). Beneficial bacteria and fungi in hydroponic systems: Types and characteristics of hydroponic food production methods. </w:t>
      </w:r>
      <w:r w:rsidRPr="00F24B26">
        <w:rPr>
          <w:rFonts w:ascii="Times New Roman" w:eastAsia="Times New Roman" w:hAnsi="Times New Roman" w:cs="Times New Roman"/>
          <w:i/>
          <w:iCs/>
          <w:sz w:val="24"/>
          <w:szCs w:val="24"/>
          <w:lang w:val="en-US"/>
        </w:rPr>
        <w:t xml:space="preserve">Scientia </w:t>
      </w:r>
      <w:proofErr w:type="spellStart"/>
      <w:r w:rsidRPr="00F24B26">
        <w:rPr>
          <w:rFonts w:ascii="Times New Roman" w:eastAsia="Times New Roman" w:hAnsi="Times New Roman" w:cs="Times New Roman"/>
          <w:i/>
          <w:iCs/>
          <w:sz w:val="24"/>
          <w:szCs w:val="24"/>
          <w:lang w:val="en-US"/>
        </w:rPr>
        <w:t>Horticulturae</w:t>
      </w:r>
      <w:proofErr w:type="spellEnd"/>
      <w:r w:rsidRPr="00F24B26">
        <w:rPr>
          <w:rFonts w:ascii="Times New Roman" w:eastAsia="Times New Roman" w:hAnsi="Times New Roman" w:cs="Times New Roman"/>
          <w:sz w:val="24"/>
          <w:szCs w:val="24"/>
          <w:lang w:val="en-US"/>
        </w:rPr>
        <w:t>, 195, 206–215.</w:t>
      </w:r>
    </w:p>
    <w:p w14:paraId="0CB5A310" w14:textId="77777777" w:rsidR="00EC62D7" w:rsidRPr="00F24B26" w:rsidRDefault="00EC62D7" w:rsidP="00F24B26">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r w:rsidRPr="00F24B26">
        <w:rPr>
          <w:rFonts w:ascii="Times New Roman" w:eastAsia="Times New Roman" w:hAnsi="Times New Roman" w:cs="Times New Roman"/>
          <w:sz w:val="24"/>
          <w:szCs w:val="24"/>
          <w:lang w:val="en-US"/>
        </w:rPr>
        <w:t>Molin, E., &amp; Martin, M. (2018). Assessin</w:t>
      </w:r>
      <w:bookmarkStart w:id="0" w:name="_GoBack"/>
      <w:bookmarkEnd w:id="0"/>
      <w:r w:rsidRPr="00F24B26">
        <w:rPr>
          <w:rFonts w:ascii="Times New Roman" w:eastAsia="Times New Roman" w:hAnsi="Times New Roman" w:cs="Times New Roman"/>
          <w:sz w:val="24"/>
          <w:szCs w:val="24"/>
          <w:lang w:val="en-US"/>
        </w:rPr>
        <w:t xml:space="preserve">g the energy and environmental performance of vertical hydroponic farming systems. </w:t>
      </w:r>
      <w:r w:rsidRPr="00F24B26">
        <w:rPr>
          <w:rFonts w:ascii="Times New Roman" w:eastAsia="Times New Roman" w:hAnsi="Times New Roman" w:cs="Times New Roman"/>
          <w:i/>
          <w:iCs/>
          <w:sz w:val="24"/>
          <w:szCs w:val="24"/>
          <w:lang w:val="en-US"/>
        </w:rPr>
        <w:t>Sustainability</w:t>
      </w:r>
      <w:r w:rsidRPr="00F24B26">
        <w:rPr>
          <w:rFonts w:ascii="Times New Roman" w:eastAsia="Times New Roman" w:hAnsi="Times New Roman" w:cs="Times New Roman"/>
          <w:sz w:val="24"/>
          <w:szCs w:val="24"/>
          <w:lang w:val="en-US"/>
        </w:rPr>
        <w:t>, 10(11), 1–19.</w:t>
      </w:r>
    </w:p>
    <w:p w14:paraId="2F3D572F" w14:textId="77777777" w:rsidR="00EC62D7" w:rsidRPr="00F24B26" w:rsidRDefault="00EC62D7" w:rsidP="00F24B26">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r w:rsidRPr="00F24B26">
        <w:rPr>
          <w:rFonts w:ascii="Times New Roman" w:eastAsia="Times New Roman" w:hAnsi="Times New Roman" w:cs="Times New Roman"/>
          <w:sz w:val="24"/>
          <w:szCs w:val="24"/>
          <w:lang w:val="en-US"/>
        </w:rPr>
        <w:t xml:space="preserve">Poudel, S., Wang, W., &amp; </w:t>
      </w:r>
      <w:proofErr w:type="spellStart"/>
      <w:r w:rsidRPr="00F24B26">
        <w:rPr>
          <w:rFonts w:ascii="Times New Roman" w:eastAsia="Times New Roman" w:hAnsi="Times New Roman" w:cs="Times New Roman"/>
          <w:sz w:val="24"/>
          <w:szCs w:val="24"/>
          <w:lang w:val="en-US"/>
        </w:rPr>
        <w:t>VanLoocke</w:t>
      </w:r>
      <w:proofErr w:type="spellEnd"/>
      <w:r w:rsidRPr="00F24B26">
        <w:rPr>
          <w:rFonts w:ascii="Times New Roman" w:eastAsia="Times New Roman" w:hAnsi="Times New Roman" w:cs="Times New Roman"/>
          <w:sz w:val="24"/>
          <w:szCs w:val="24"/>
          <w:lang w:val="en-US"/>
        </w:rPr>
        <w:t xml:space="preserve">, A. (2023). Field-based greenhouse gas flux measurements in managed agricultural systems: Advances in chamber methodologies. </w:t>
      </w:r>
      <w:r w:rsidRPr="00F24B26">
        <w:rPr>
          <w:rFonts w:ascii="Times New Roman" w:eastAsia="Times New Roman" w:hAnsi="Times New Roman" w:cs="Times New Roman"/>
          <w:i/>
          <w:iCs/>
          <w:sz w:val="24"/>
          <w:szCs w:val="24"/>
          <w:lang w:val="en-US"/>
        </w:rPr>
        <w:t>Agricultural and Forest Meteorology</w:t>
      </w:r>
      <w:r w:rsidRPr="00F24B26">
        <w:rPr>
          <w:rFonts w:ascii="Times New Roman" w:eastAsia="Times New Roman" w:hAnsi="Times New Roman" w:cs="Times New Roman"/>
          <w:sz w:val="24"/>
          <w:szCs w:val="24"/>
          <w:lang w:val="en-US"/>
        </w:rPr>
        <w:t>, 331, 109324.</w:t>
      </w:r>
    </w:p>
    <w:p w14:paraId="5F466CA8" w14:textId="77777777" w:rsidR="00EC62D7" w:rsidRPr="00F24B26" w:rsidRDefault="00EC62D7" w:rsidP="00F24B26">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F24B26">
        <w:rPr>
          <w:rFonts w:ascii="Times New Roman" w:eastAsia="Times New Roman" w:hAnsi="Times New Roman" w:cs="Times New Roman"/>
          <w:sz w:val="24"/>
          <w:szCs w:val="24"/>
          <w:lang w:val="en-US"/>
        </w:rPr>
        <w:t>Shamshiri</w:t>
      </w:r>
      <w:proofErr w:type="spellEnd"/>
      <w:r w:rsidRPr="00F24B26">
        <w:rPr>
          <w:rFonts w:ascii="Times New Roman" w:eastAsia="Times New Roman" w:hAnsi="Times New Roman" w:cs="Times New Roman"/>
          <w:sz w:val="24"/>
          <w:szCs w:val="24"/>
          <w:lang w:val="en-US"/>
        </w:rPr>
        <w:t xml:space="preserve">, R. R., Kalantari, F., Ting, K. C., Thorp, K. R., Hameed, I. A., </w:t>
      </w:r>
      <w:proofErr w:type="spellStart"/>
      <w:r w:rsidRPr="00F24B26">
        <w:rPr>
          <w:rFonts w:ascii="Times New Roman" w:eastAsia="Times New Roman" w:hAnsi="Times New Roman" w:cs="Times New Roman"/>
          <w:sz w:val="24"/>
          <w:szCs w:val="24"/>
          <w:lang w:val="en-US"/>
        </w:rPr>
        <w:t>Weltzien</w:t>
      </w:r>
      <w:proofErr w:type="spellEnd"/>
      <w:r w:rsidRPr="00F24B26">
        <w:rPr>
          <w:rFonts w:ascii="Times New Roman" w:eastAsia="Times New Roman" w:hAnsi="Times New Roman" w:cs="Times New Roman"/>
          <w:sz w:val="24"/>
          <w:szCs w:val="24"/>
          <w:lang w:val="en-US"/>
        </w:rPr>
        <w:t xml:space="preserve">, C., Ahmad, D., &amp; Shad, Z. M. (2018). Advances in greenhouse automation and controlled environment agriculture: A review. </w:t>
      </w:r>
      <w:r w:rsidRPr="00F24B26">
        <w:rPr>
          <w:rFonts w:ascii="Times New Roman" w:eastAsia="Times New Roman" w:hAnsi="Times New Roman" w:cs="Times New Roman"/>
          <w:i/>
          <w:iCs/>
          <w:sz w:val="24"/>
          <w:szCs w:val="24"/>
          <w:lang w:val="en-US"/>
        </w:rPr>
        <w:t>Computers and Electronics in Agriculture</w:t>
      </w:r>
      <w:r w:rsidRPr="00F24B26">
        <w:rPr>
          <w:rFonts w:ascii="Times New Roman" w:eastAsia="Times New Roman" w:hAnsi="Times New Roman" w:cs="Times New Roman"/>
          <w:sz w:val="24"/>
          <w:szCs w:val="24"/>
          <w:lang w:val="en-US"/>
        </w:rPr>
        <w:t>, 162, 367–392.</w:t>
      </w:r>
    </w:p>
    <w:p w14:paraId="2BC346EB" w14:textId="7945A0C4" w:rsidR="00482478" w:rsidRPr="00F24B26" w:rsidRDefault="00EC62D7" w:rsidP="00F24B26">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r w:rsidRPr="00F24B26">
        <w:rPr>
          <w:rFonts w:ascii="Times New Roman" w:eastAsia="Times New Roman" w:hAnsi="Times New Roman" w:cs="Times New Roman"/>
          <w:sz w:val="24"/>
          <w:szCs w:val="24"/>
          <w:lang w:val="en-US"/>
        </w:rPr>
        <w:t xml:space="preserve">Singh, H., Dunn, B. L., Payton, M., &amp; </w:t>
      </w:r>
      <w:proofErr w:type="spellStart"/>
      <w:r w:rsidRPr="00F24B26">
        <w:rPr>
          <w:rFonts w:ascii="Times New Roman" w:eastAsia="Times New Roman" w:hAnsi="Times New Roman" w:cs="Times New Roman"/>
          <w:sz w:val="24"/>
          <w:szCs w:val="24"/>
          <w:lang w:val="en-US"/>
        </w:rPr>
        <w:t>Brandenberger</w:t>
      </w:r>
      <w:proofErr w:type="spellEnd"/>
      <w:r w:rsidRPr="00F24B26">
        <w:rPr>
          <w:rFonts w:ascii="Times New Roman" w:eastAsia="Times New Roman" w:hAnsi="Times New Roman" w:cs="Times New Roman"/>
          <w:sz w:val="24"/>
          <w:szCs w:val="24"/>
          <w:lang w:val="en-US"/>
        </w:rPr>
        <w:t xml:space="preserve">, L. (2019). Selection of fertilizer and cultivar for hydroponic vegetable production systems. </w:t>
      </w:r>
      <w:r w:rsidRPr="00F24B26">
        <w:rPr>
          <w:rFonts w:ascii="Times New Roman" w:eastAsia="Times New Roman" w:hAnsi="Times New Roman" w:cs="Times New Roman"/>
          <w:i/>
          <w:iCs/>
          <w:sz w:val="24"/>
          <w:szCs w:val="24"/>
          <w:lang w:val="en-US"/>
        </w:rPr>
        <w:t>Agronomy</w:t>
      </w:r>
      <w:r w:rsidRPr="00F24B26">
        <w:rPr>
          <w:rFonts w:ascii="Times New Roman" w:eastAsia="Times New Roman" w:hAnsi="Times New Roman" w:cs="Times New Roman"/>
          <w:sz w:val="24"/>
          <w:szCs w:val="24"/>
          <w:lang w:val="en-US"/>
        </w:rPr>
        <w:t>, 9(8), 433.</w:t>
      </w:r>
    </w:p>
    <w:p w14:paraId="7F35748A" w14:textId="5099F431" w:rsidR="00EE3F59" w:rsidRPr="00EE3F59" w:rsidRDefault="00EE3F59" w:rsidP="00F24B26">
      <w:pPr>
        <w:pStyle w:val="NormalWeb"/>
        <w:numPr>
          <w:ilvl w:val="0"/>
          <w:numId w:val="12"/>
        </w:numPr>
        <w:rPr>
          <w:color w:val="FF0000"/>
          <w:lang w:val="en-GB"/>
        </w:rPr>
      </w:pPr>
      <w:proofErr w:type="spellStart"/>
      <w:r w:rsidRPr="00EE3F59">
        <w:rPr>
          <w:color w:val="FF0000"/>
          <w:lang w:val="en-GB"/>
        </w:rPr>
        <w:t>Sarailoo</w:t>
      </w:r>
      <w:proofErr w:type="spellEnd"/>
      <w:r w:rsidRPr="00EE3F59">
        <w:rPr>
          <w:color w:val="FF0000"/>
          <w:lang w:val="en-GB"/>
        </w:rPr>
        <w:t xml:space="preserve">, H., Campbell, L., &amp; </w:t>
      </w:r>
      <w:proofErr w:type="spellStart"/>
      <w:r w:rsidRPr="00EE3F59">
        <w:rPr>
          <w:color w:val="FF0000"/>
          <w:lang w:val="en-GB"/>
        </w:rPr>
        <w:t>Bougherara</w:t>
      </w:r>
      <w:proofErr w:type="spellEnd"/>
      <w:r w:rsidRPr="00EE3F59">
        <w:rPr>
          <w:color w:val="FF0000"/>
          <w:lang w:val="en-GB"/>
        </w:rPr>
        <w:t xml:space="preserve">, H. (2025). A comprehensive review on the application of computational fluid dynamics in enhancing indoor vertical farm microclimate. Journal of Biosystems Engineering, 50(2), 145-169. </w:t>
      </w:r>
    </w:p>
    <w:p w14:paraId="7D846FB2" w14:textId="77777777" w:rsidR="00482478" w:rsidRPr="00F24B26" w:rsidRDefault="00482478" w:rsidP="00F24B26">
      <w:pPr>
        <w:pStyle w:val="ListParagraph"/>
        <w:numPr>
          <w:ilvl w:val="0"/>
          <w:numId w:val="12"/>
        </w:numPr>
        <w:spacing w:before="100" w:beforeAutospacing="1" w:after="100" w:afterAutospacing="1" w:line="240" w:lineRule="auto"/>
        <w:jc w:val="both"/>
        <w:rPr>
          <w:rFonts w:ascii="Times New Roman" w:hAnsi="Times New Roman" w:cs="Times New Roman"/>
          <w:sz w:val="24"/>
          <w:szCs w:val="24"/>
        </w:rPr>
      </w:pPr>
      <w:proofErr w:type="gramStart"/>
      <w:r w:rsidRPr="00F24B26">
        <w:rPr>
          <w:rFonts w:ascii="Times New Roman" w:hAnsi="Times New Roman" w:cs="Times New Roman"/>
          <w:sz w:val="24"/>
          <w:szCs w:val="24"/>
        </w:rPr>
        <w:t>Thapa ,</w:t>
      </w:r>
      <w:proofErr w:type="gramEnd"/>
      <w:r w:rsidRPr="00F24B26">
        <w:rPr>
          <w:rFonts w:ascii="Times New Roman" w:hAnsi="Times New Roman" w:cs="Times New Roman"/>
          <w:sz w:val="24"/>
          <w:szCs w:val="24"/>
        </w:rPr>
        <w:t xml:space="preserve"> U. </w:t>
      </w:r>
      <w:proofErr w:type="spellStart"/>
      <w:r w:rsidRPr="00F24B26">
        <w:rPr>
          <w:rFonts w:ascii="Times New Roman" w:hAnsi="Times New Roman" w:cs="Times New Roman"/>
          <w:sz w:val="24"/>
          <w:szCs w:val="24"/>
        </w:rPr>
        <w:t>Hansda</w:t>
      </w:r>
      <w:proofErr w:type="spellEnd"/>
      <w:r w:rsidRPr="00F24B26">
        <w:rPr>
          <w:rFonts w:ascii="Times New Roman" w:hAnsi="Times New Roman" w:cs="Times New Roman"/>
          <w:sz w:val="24"/>
          <w:szCs w:val="24"/>
        </w:rPr>
        <w:t xml:space="preserve">, N.N, Kundu, S., </w:t>
      </w:r>
      <w:proofErr w:type="spellStart"/>
      <w:r w:rsidRPr="00F24B26">
        <w:rPr>
          <w:rFonts w:ascii="Times New Roman" w:hAnsi="Times New Roman" w:cs="Times New Roman"/>
          <w:sz w:val="24"/>
          <w:szCs w:val="24"/>
        </w:rPr>
        <w:t>Giri</w:t>
      </w:r>
      <w:proofErr w:type="spellEnd"/>
      <w:r w:rsidRPr="00F24B26">
        <w:rPr>
          <w:rFonts w:ascii="Times New Roman" w:hAnsi="Times New Roman" w:cs="Times New Roman"/>
          <w:sz w:val="24"/>
          <w:szCs w:val="24"/>
        </w:rPr>
        <w:t xml:space="preserve">, A., Tamang, </w:t>
      </w:r>
      <w:proofErr w:type="spellStart"/>
      <w:r w:rsidRPr="00F24B26">
        <w:rPr>
          <w:rFonts w:ascii="Times New Roman" w:hAnsi="Times New Roman" w:cs="Times New Roman"/>
          <w:sz w:val="24"/>
          <w:szCs w:val="24"/>
        </w:rPr>
        <w:t>D.and</w:t>
      </w:r>
      <w:proofErr w:type="spellEnd"/>
      <w:r w:rsidRPr="00F24B26">
        <w:rPr>
          <w:rFonts w:ascii="Times New Roman" w:hAnsi="Times New Roman" w:cs="Times New Roman"/>
          <w:sz w:val="24"/>
          <w:szCs w:val="24"/>
        </w:rPr>
        <w:t xml:space="preserve">  </w:t>
      </w:r>
      <w:proofErr w:type="spellStart"/>
      <w:r w:rsidRPr="00F24B26">
        <w:rPr>
          <w:rFonts w:ascii="Times New Roman" w:hAnsi="Times New Roman" w:cs="Times New Roman"/>
          <w:sz w:val="24"/>
          <w:szCs w:val="24"/>
        </w:rPr>
        <w:t>Rahaman</w:t>
      </w:r>
      <w:proofErr w:type="spellEnd"/>
      <w:r w:rsidRPr="00F24B26">
        <w:rPr>
          <w:rFonts w:ascii="Times New Roman" w:hAnsi="Times New Roman" w:cs="Times New Roman"/>
          <w:sz w:val="24"/>
          <w:szCs w:val="24"/>
        </w:rPr>
        <w:t xml:space="preserve">, A.O.; “Advancements in Hydroponic Systems: A Comprehensive Review”. Archives of Current Research International 24 (11):317-28. https://doi.org/10.9734/acri/2024/v24i11973. </w:t>
      </w:r>
    </w:p>
    <w:p w14:paraId="5CBE070F" w14:textId="77777777" w:rsidR="00EC62D7" w:rsidRPr="00F24B26" w:rsidRDefault="00EC62D7" w:rsidP="00F24B26">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r w:rsidRPr="00F24B26">
        <w:rPr>
          <w:rFonts w:ascii="Times New Roman" w:eastAsia="Times New Roman" w:hAnsi="Times New Roman" w:cs="Times New Roman"/>
          <w:sz w:val="24"/>
          <w:szCs w:val="24"/>
          <w:lang w:val="en-US"/>
        </w:rPr>
        <w:t xml:space="preserve">Van </w:t>
      </w:r>
      <w:proofErr w:type="spellStart"/>
      <w:r w:rsidRPr="00F24B26">
        <w:rPr>
          <w:rFonts w:ascii="Times New Roman" w:eastAsia="Times New Roman" w:hAnsi="Times New Roman" w:cs="Times New Roman"/>
          <w:sz w:val="24"/>
          <w:szCs w:val="24"/>
          <w:lang w:val="en-US"/>
        </w:rPr>
        <w:t>Gerrewey</w:t>
      </w:r>
      <w:proofErr w:type="spellEnd"/>
      <w:r w:rsidRPr="00F24B26">
        <w:rPr>
          <w:rFonts w:ascii="Times New Roman" w:eastAsia="Times New Roman" w:hAnsi="Times New Roman" w:cs="Times New Roman"/>
          <w:sz w:val="24"/>
          <w:szCs w:val="24"/>
          <w:lang w:val="en-US"/>
        </w:rPr>
        <w:t xml:space="preserve">, T., </w:t>
      </w:r>
      <w:proofErr w:type="spellStart"/>
      <w:r w:rsidRPr="00F24B26">
        <w:rPr>
          <w:rFonts w:ascii="Times New Roman" w:eastAsia="Times New Roman" w:hAnsi="Times New Roman" w:cs="Times New Roman"/>
          <w:sz w:val="24"/>
          <w:szCs w:val="24"/>
          <w:lang w:val="en-US"/>
        </w:rPr>
        <w:t>Amelynck</w:t>
      </w:r>
      <w:proofErr w:type="spellEnd"/>
      <w:r w:rsidRPr="00F24B26">
        <w:rPr>
          <w:rFonts w:ascii="Times New Roman" w:eastAsia="Times New Roman" w:hAnsi="Times New Roman" w:cs="Times New Roman"/>
          <w:sz w:val="24"/>
          <w:szCs w:val="24"/>
          <w:lang w:val="en-US"/>
        </w:rPr>
        <w:t xml:space="preserve">, C., &amp; Van </w:t>
      </w:r>
      <w:proofErr w:type="spellStart"/>
      <w:r w:rsidRPr="00F24B26">
        <w:rPr>
          <w:rFonts w:ascii="Times New Roman" w:eastAsia="Times New Roman" w:hAnsi="Times New Roman" w:cs="Times New Roman"/>
          <w:sz w:val="24"/>
          <w:szCs w:val="24"/>
          <w:lang w:val="en-US"/>
        </w:rPr>
        <w:t>Impe</w:t>
      </w:r>
      <w:proofErr w:type="spellEnd"/>
      <w:r w:rsidRPr="00F24B26">
        <w:rPr>
          <w:rFonts w:ascii="Times New Roman" w:eastAsia="Times New Roman" w:hAnsi="Times New Roman" w:cs="Times New Roman"/>
          <w:sz w:val="24"/>
          <w:szCs w:val="24"/>
          <w:lang w:val="en-US"/>
        </w:rPr>
        <w:t xml:space="preserve">, J. (2022). Energy and carbon footprint analysis of greenhouse and indoor vertical farming systems. </w:t>
      </w:r>
      <w:r w:rsidRPr="00F24B26">
        <w:rPr>
          <w:rFonts w:ascii="Times New Roman" w:eastAsia="Times New Roman" w:hAnsi="Times New Roman" w:cs="Times New Roman"/>
          <w:i/>
          <w:iCs/>
          <w:sz w:val="24"/>
          <w:szCs w:val="24"/>
          <w:lang w:val="en-US"/>
        </w:rPr>
        <w:t>Biosystems Engineering</w:t>
      </w:r>
      <w:r w:rsidRPr="00F24B26">
        <w:rPr>
          <w:rFonts w:ascii="Times New Roman" w:eastAsia="Times New Roman" w:hAnsi="Times New Roman" w:cs="Times New Roman"/>
          <w:sz w:val="24"/>
          <w:szCs w:val="24"/>
          <w:lang w:val="en-US"/>
        </w:rPr>
        <w:t>, 215, 1–15.</w:t>
      </w:r>
    </w:p>
    <w:p w14:paraId="0121ACFC" w14:textId="77777777" w:rsidR="00EC62D7" w:rsidRPr="00482478" w:rsidRDefault="00EC62D7" w:rsidP="003D5F11">
      <w:pPr>
        <w:spacing w:before="100" w:beforeAutospacing="1" w:after="100" w:afterAutospacing="1" w:line="240" w:lineRule="auto"/>
        <w:jc w:val="both"/>
        <w:rPr>
          <w:rFonts w:ascii="Times New Roman" w:eastAsia="Times New Roman" w:hAnsi="Times New Roman" w:cs="Times New Roman"/>
          <w:sz w:val="24"/>
          <w:szCs w:val="24"/>
          <w:lang w:val="en-US"/>
        </w:rPr>
      </w:pPr>
    </w:p>
    <w:p w14:paraId="03F5ED8F" w14:textId="77777777" w:rsidR="00EC62D7" w:rsidRPr="003D5F11" w:rsidRDefault="00EC62D7" w:rsidP="003D5F11">
      <w:pPr>
        <w:pBdr>
          <w:top w:val="single" w:sz="6" w:space="1" w:color="auto"/>
        </w:pBdr>
        <w:spacing w:after="0" w:line="240" w:lineRule="auto"/>
        <w:jc w:val="both"/>
        <w:rPr>
          <w:rFonts w:ascii="Times New Roman" w:eastAsia="Times New Roman" w:hAnsi="Times New Roman" w:cs="Times New Roman"/>
          <w:vanish/>
          <w:sz w:val="24"/>
          <w:szCs w:val="24"/>
          <w:lang w:val="en-US"/>
        </w:rPr>
      </w:pPr>
      <w:r w:rsidRPr="003D5F11">
        <w:rPr>
          <w:rFonts w:ascii="Times New Roman" w:eastAsia="Times New Roman" w:hAnsi="Times New Roman" w:cs="Times New Roman"/>
          <w:vanish/>
          <w:sz w:val="24"/>
          <w:szCs w:val="24"/>
          <w:lang w:val="en-US"/>
        </w:rPr>
        <w:t>Bottom of Form</w:t>
      </w:r>
    </w:p>
    <w:p w14:paraId="0CA7284C" w14:textId="77777777" w:rsidR="00EC62D7" w:rsidRPr="003D5F11" w:rsidRDefault="00EC62D7" w:rsidP="003D5F11">
      <w:pPr>
        <w:pStyle w:val="NormalWeb"/>
        <w:jc w:val="both"/>
      </w:pPr>
    </w:p>
    <w:sectPr w:rsidR="00EC62D7" w:rsidRPr="003D5F11" w:rsidSect="00F31BF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CBA2B9" w14:textId="77777777" w:rsidR="00260D6B" w:rsidRDefault="00260D6B" w:rsidP="004B1AD4">
      <w:pPr>
        <w:spacing w:after="0" w:line="240" w:lineRule="auto"/>
      </w:pPr>
      <w:r>
        <w:separator/>
      </w:r>
    </w:p>
  </w:endnote>
  <w:endnote w:type="continuationSeparator" w:id="0">
    <w:p w14:paraId="5E015D41" w14:textId="77777777" w:rsidR="00260D6B" w:rsidRDefault="00260D6B" w:rsidP="004B1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BD2DC" w14:textId="77777777" w:rsidR="004B1AD4" w:rsidRDefault="004B1A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ED13D" w14:textId="77777777" w:rsidR="004B1AD4" w:rsidRDefault="004B1A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4968C" w14:textId="77777777" w:rsidR="004B1AD4" w:rsidRDefault="004B1A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75C782" w14:textId="77777777" w:rsidR="00260D6B" w:rsidRDefault="00260D6B" w:rsidP="004B1AD4">
      <w:pPr>
        <w:spacing w:after="0" w:line="240" w:lineRule="auto"/>
      </w:pPr>
      <w:r>
        <w:separator/>
      </w:r>
    </w:p>
  </w:footnote>
  <w:footnote w:type="continuationSeparator" w:id="0">
    <w:p w14:paraId="4814F85D" w14:textId="77777777" w:rsidR="00260D6B" w:rsidRDefault="00260D6B" w:rsidP="004B1A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A61D5" w14:textId="44C1A2BB" w:rsidR="004B1AD4" w:rsidRDefault="00260D6B">
    <w:pPr>
      <w:pStyle w:val="Header"/>
    </w:pPr>
    <w:r>
      <w:rPr>
        <w:noProof/>
      </w:rPr>
      <w:pict w14:anchorId="07618F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97909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66842" w14:textId="590861A7" w:rsidR="004B1AD4" w:rsidRDefault="00260D6B">
    <w:pPr>
      <w:pStyle w:val="Header"/>
    </w:pPr>
    <w:r>
      <w:rPr>
        <w:noProof/>
      </w:rPr>
      <w:pict w14:anchorId="0566EF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97909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42B63" w14:textId="116F1464" w:rsidR="004B1AD4" w:rsidRDefault="00260D6B">
    <w:pPr>
      <w:pStyle w:val="Header"/>
    </w:pPr>
    <w:r>
      <w:rPr>
        <w:noProof/>
      </w:rPr>
      <w:pict w14:anchorId="3EF9D5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97909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02911"/>
    <w:multiLevelType w:val="hybridMultilevel"/>
    <w:tmpl w:val="3AECF82C"/>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 w15:restartNumberingAfterBreak="0">
    <w:nsid w:val="1E170EA3"/>
    <w:multiLevelType w:val="multilevel"/>
    <w:tmpl w:val="7C22C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F81724"/>
    <w:multiLevelType w:val="multilevel"/>
    <w:tmpl w:val="C570F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6E00D3"/>
    <w:multiLevelType w:val="hybridMultilevel"/>
    <w:tmpl w:val="A79480FE"/>
    <w:lvl w:ilvl="0" w:tplc="6F00CAE8">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15:restartNumberingAfterBreak="0">
    <w:nsid w:val="3DA534C3"/>
    <w:multiLevelType w:val="multilevel"/>
    <w:tmpl w:val="B1D84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BD498D"/>
    <w:multiLevelType w:val="multilevel"/>
    <w:tmpl w:val="F23EE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D224FC"/>
    <w:multiLevelType w:val="hybridMultilevel"/>
    <w:tmpl w:val="1DDA934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71C5BF6"/>
    <w:multiLevelType w:val="multilevel"/>
    <w:tmpl w:val="928EB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BE927FB"/>
    <w:multiLevelType w:val="multilevel"/>
    <w:tmpl w:val="2814E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4A1D1B"/>
    <w:multiLevelType w:val="multilevel"/>
    <w:tmpl w:val="94480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5728AE"/>
    <w:multiLevelType w:val="hybridMultilevel"/>
    <w:tmpl w:val="CA608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BC08B5"/>
    <w:multiLevelType w:val="multilevel"/>
    <w:tmpl w:val="6AC23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6"/>
  </w:num>
  <w:num w:numId="4">
    <w:abstractNumId w:val="2"/>
  </w:num>
  <w:num w:numId="5">
    <w:abstractNumId w:val="1"/>
  </w:num>
  <w:num w:numId="6">
    <w:abstractNumId w:val="8"/>
  </w:num>
  <w:num w:numId="7">
    <w:abstractNumId w:val="9"/>
  </w:num>
  <w:num w:numId="8">
    <w:abstractNumId w:val="11"/>
  </w:num>
  <w:num w:numId="9">
    <w:abstractNumId w:val="5"/>
  </w:num>
  <w:num w:numId="10">
    <w:abstractNumId w:val="4"/>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QztzAzMrK0MDE2sjBV0lEKTi0uzszPAykwrAUAyHsGoSwAAAA="/>
  </w:docVars>
  <w:rsids>
    <w:rsidRoot w:val="00017F71"/>
    <w:rsid w:val="000077C5"/>
    <w:rsid w:val="00017F71"/>
    <w:rsid w:val="000471FE"/>
    <w:rsid w:val="0007196A"/>
    <w:rsid w:val="00080D65"/>
    <w:rsid w:val="00081AC3"/>
    <w:rsid w:val="00084764"/>
    <w:rsid w:val="000E55C0"/>
    <w:rsid w:val="000F175A"/>
    <w:rsid w:val="001037A8"/>
    <w:rsid w:val="00140CFD"/>
    <w:rsid w:val="00157750"/>
    <w:rsid w:val="00162D69"/>
    <w:rsid w:val="0017736D"/>
    <w:rsid w:val="00181BB7"/>
    <w:rsid w:val="001959DA"/>
    <w:rsid w:val="001C4183"/>
    <w:rsid w:val="001E18BC"/>
    <w:rsid w:val="001F6F27"/>
    <w:rsid w:val="00233025"/>
    <w:rsid w:val="0026057D"/>
    <w:rsid w:val="00260D6B"/>
    <w:rsid w:val="002C128C"/>
    <w:rsid w:val="00351D72"/>
    <w:rsid w:val="00363423"/>
    <w:rsid w:val="00365D42"/>
    <w:rsid w:val="003C6634"/>
    <w:rsid w:val="003D4794"/>
    <w:rsid w:val="003D5F11"/>
    <w:rsid w:val="004237AA"/>
    <w:rsid w:val="00440A86"/>
    <w:rsid w:val="00456C70"/>
    <w:rsid w:val="00461D41"/>
    <w:rsid w:val="00461F53"/>
    <w:rsid w:val="00475C87"/>
    <w:rsid w:val="00482478"/>
    <w:rsid w:val="004A5DE6"/>
    <w:rsid w:val="004B1AD4"/>
    <w:rsid w:val="004B23AD"/>
    <w:rsid w:val="004D4852"/>
    <w:rsid w:val="004D74C9"/>
    <w:rsid w:val="004E4A13"/>
    <w:rsid w:val="00507587"/>
    <w:rsid w:val="00523382"/>
    <w:rsid w:val="005660A2"/>
    <w:rsid w:val="00566A31"/>
    <w:rsid w:val="00566CE5"/>
    <w:rsid w:val="00572781"/>
    <w:rsid w:val="00581257"/>
    <w:rsid w:val="00581A17"/>
    <w:rsid w:val="005C2EC1"/>
    <w:rsid w:val="005D0233"/>
    <w:rsid w:val="00627671"/>
    <w:rsid w:val="006424FC"/>
    <w:rsid w:val="006B35C8"/>
    <w:rsid w:val="006F02AF"/>
    <w:rsid w:val="007070BC"/>
    <w:rsid w:val="00732866"/>
    <w:rsid w:val="007502EA"/>
    <w:rsid w:val="00792D49"/>
    <w:rsid w:val="007F6401"/>
    <w:rsid w:val="008267A8"/>
    <w:rsid w:val="0084002A"/>
    <w:rsid w:val="00841DE9"/>
    <w:rsid w:val="00893465"/>
    <w:rsid w:val="0089484D"/>
    <w:rsid w:val="00896933"/>
    <w:rsid w:val="008A7A45"/>
    <w:rsid w:val="008D0827"/>
    <w:rsid w:val="008D7EEC"/>
    <w:rsid w:val="009219FA"/>
    <w:rsid w:val="009233D9"/>
    <w:rsid w:val="00982CAD"/>
    <w:rsid w:val="00990FCA"/>
    <w:rsid w:val="009B72D1"/>
    <w:rsid w:val="009E495A"/>
    <w:rsid w:val="00A47508"/>
    <w:rsid w:val="00A67768"/>
    <w:rsid w:val="00A905FA"/>
    <w:rsid w:val="00A913BF"/>
    <w:rsid w:val="00A967A6"/>
    <w:rsid w:val="00AF1D42"/>
    <w:rsid w:val="00AF6EE1"/>
    <w:rsid w:val="00B052A4"/>
    <w:rsid w:val="00B2111F"/>
    <w:rsid w:val="00B30D1E"/>
    <w:rsid w:val="00B32CEA"/>
    <w:rsid w:val="00B3482C"/>
    <w:rsid w:val="00B41431"/>
    <w:rsid w:val="00BA5273"/>
    <w:rsid w:val="00BB5FA2"/>
    <w:rsid w:val="00C05E84"/>
    <w:rsid w:val="00C1294A"/>
    <w:rsid w:val="00C2357B"/>
    <w:rsid w:val="00C34A63"/>
    <w:rsid w:val="00C6157A"/>
    <w:rsid w:val="00C674B8"/>
    <w:rsid w:val="00C74B23"/>
    <w:rsid w:val="00CC677C"/>
    <w:rsid w:val="00CC6F37"/>
    <w:rsid w:val="00D16EE9"/>
    <w:rsid w:val="00D322AC"/>
    <w:rsid w:val="00D757CF"/>
    <w:rsid w:val="00D830EF"/>
    <w:rsid w:val="00D876DB"/>
    <w:rsid w:val="00DA3247"/>
    <w:rsid w:val="00DB72C6"/>
    <w:rsid w:val="00DC0CCA"/>
    <w:rsid w:val="00DD7B89"/>
    <w:rsid w:val="00E02D80"/>
    <w:rsid w:val="00E353F2"/>
    <w:rsid w:val="00E57255"/>
    <w:rsid w:val="00E658F1"/>
    <w:rsid w:val="00EA4BEC"/>
    <w:rsid w:val="00EC48ED"/>
    <w:rsid w:val="00EC50ED"/>
    <w:rsid w:val="00EC62D7"/>
    <w:rsid w:val="00ED31B6"/>
    <w:rsid w:val="00EE3F59"/>
    <w:rsid w:val="00EF1234"/>
    <w:rsid w:val="00F21D77"/>
    <w:rsid w:val="00F24B26"/>
    <w:rsid w:val="00F25AEC"/>
    <w:rsid w:val="00F31BFE"/>
    <w:rsid w:val="00F32419"/>
    <w:rsid w:val="00F441A3"/>
    <w:rsid w:val="00F46C58"/>
    <w:rsid w:val="00F74DBF"/>
    <w:rsid w:val="00F777FF"/>
    <w:rsid w:val="00F864F1"/>
    <w:rsid w:val="00FD571B"/>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FA95FB"/>
  <w15:docId w15:val="{D31B822A-A253-41C3-AF5F-54CE76112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5FA2"/>
  </w:style>
  <w:style w:type="paragraph" w:styleId="Heading1">
    <w:name w:val="heading 1"/>
    <w:basedOn w:val="Normal"/>
    <w:link w:val="Heading1Char"/>
    <w:uiPriority w:val="9"/>
    <w:qFormat/>
    <w:rsid w:val="00B41431"/>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B41431"/>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uiPriority w:val="9"/>
    <w:semiHidden/>
    <w:unhideWhenUsed/>
    <w:qFormat/>
    <w:rsid w:val="00233025"/>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nchor-text">
    <w:name w:val="anchor-text"/>
    <w:basedOn w:val="DefaultParagraphFont"/>
    <w:rsid w:val="00351D72"/>
  </w:style>
  <w:style w:type="character" w:styleId="Hyperlink">
    <w:name w:val="Hyperlink"/>
    <w:basedOn w:val="DefaultParagraphFont"/>
    <w:uiPriority w:val="99"/>
    <w:unhideWhenUsed/>
    <w:rsid w:val="00AF1D42"/>
    <w:rPr>
      <w:color w:val="0563C1" w:themeColor="hyperlink"/>
      <w:u w:val="single"/>
    </w:rPr>
  </w:style>
  <w:style w:type="paragraph" w:styleId="ListParagraph">
    <w:name w:val="List Paragraph"/>
    <w:basedOn w:val="Normal"/>
    <w:uiPriority w:val="34"/>
    <w:qFormat/>
    <w:rsid w:val="00B2111F"/>
    <w:pPr>
      <w:ind w:left="720"/>
      <w:contextualSpacing/>
    </w:pPr>
  </w:style>
  <w:style w:type="character" w:styleId="CommentReference">
    <w:name w:val="annotation reference"/>
    <w:basedOn w:val="DefaultParagraphFont"/>
    <w:uiPriority w:val="99"/>
    <w:semiHidden/>
    <w:unhideWhenUsed/>
    <w:rsid w:val="00566A31"/>
    <w:rPr>
      <w:sz w:val="16"/>
      <w:szCs w:val="16"/>
    </w:rPr>
  </w:style>
  <w:style w:type="paragraph" w:styleId="CommentText">
    <w:name w:val="annotation text"/>
    <w:basedOn w:val="Normal"/>
    <w:link w:val="CommentTextChar"/>
    <w:uiPriority w:val="99"/>
    <w:unhideWhenUsed/>
    <w:rsid w:val="00566A31"/>
    <w:pPr>
      <w:spacing w:line="240" w:lineRule="auto"/>
    </w:pPr>
    <w:rPr>
      <w:sz w:val="20"/>
      <w:szCs w:val="20"/>
    </w:rPr>
  </w:style>
  <w:style w:type="character" w:customStyle="1" w:styleId="CommentTextChar">
    <w:name w:val="Comment Text Char"/>
    <w:basedOn w:val="DefaultParagraphFont"/>
    <w:link w:val="CommentText"/>
    <w:uiPriority w:val="99"/>
    <w:rsid w:val="00566A31"/>
    <w:rPr>
      <w:sz w:val="20"/>
      <w:szCs w:val="20"/>
    </w:rPr>
  </w:style>
  <w:style w:type="paragraph" w:styleId="CommentSubject">
    <w:name w:val="annotation subject"/>
    <w:basedOn w:val="CommentText"/>
    <w:next w:val="CommentText"/>
    <w:link w:val="CommentSubjectChar"/>
    <w:uiPriority w:val="99"/>
    <w:semiHidden/>
    <w:unhideWhenUsed/>
    <w:rsid w:val="00566A31"/>
    <w:rPr>
      <w:b/>
      <w:bCs/>
    </w:rPr>
  </w:style>
  <w:style w:type="character" w:customStyle="1" w:styleId="CommentSubjectChar">
    <w:name w:val="Comment Subject Char"/>
    <w:basedOn w:val="CommentTextChar"/>
    <w:link w:val="CommentSubject"/>
    <w:uiPriority w:val="99"/>
    <w:semiHidden/>
    <w:rsid w:val="00566A31"/>
    <w:rPr>
      <w:b/>
      <w:bCs/>
      <w:sz w:val="20"/>
      <w:szCs w:val="20"/>
    </w:rPr>
  </w:style>
  <w:style w:type="paragraph" w:styleId="NormalWeb">
    <w:name w:val="Normal (Web)"/>
    <w:basedOn w:val="Normal"/>
    <w:unhideWhenUsed/>
    <w:rsid w:val="00566CE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162D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2D69"/>
    <w:rPr>
      <w:rFonts w:ascii="Segoe UI" w:hAnsi="Segoe UI" w:cs="Segoe UI"/>
      <w:sz w:val="18"/>
      <w:szCs w:val="18"/>
    </w:rPr>
  </w:style>
  <w:style w:type="character" w:customStyle="1" w:styleId="Heading1Char">
    <w:name w:val="Heading 1 Char"/>
    <w:basedOn w:val="DefaultParagraphFont"/>
    <w:link w:val="Heading1"/>
    <w:uiPriority w:val="9"/>
    <w:rsid w:val="00B41431"/>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B41431"/>
    <w:rPr>
      <w:rFonts w:ascii="Times New Roman" w:eastAsia="Times New Roman" w:hAnsi="Times New Roman" w:cs="Times New Roman"/>
      <w:b/>
      <w:bCs/>
      <w:sz w:val="36"/>
      <w:szCs w:val="36"/>
      <w:lang w:val="en-US"/>
    </w:rPr>
  </w:style>
  <w:style w:type="character" w:customStyle="1" w:styleId="text-xs">
    <w:name w:val="text-xs"/>
    <w:basedOn w:val="DefaultParagraphFont"/>
    <w:rsid w:val="00365D42"/>
  </w:style>
  <w:style w:type="character" w:customStyle="1" w:styleId="Heading3Char">
    <w:name w:val="Heading 3 Char"/>
    <w:basedOn w:val="DefaultParagraphFont"/>
    <w:link w:val="Heading3"/>
    <w:uiPriority w:val="9"/>
    <w:semiHidden/>
    <w:rsid w:val="00233025"/>
    <w:rPr>
      <w:rFonts w:asciiTheme="majorHAnsi" w:eastAsiaTheme="majorEastAsia" w:hAnsiTheme="majorHAnsi" w:cstheme="majorBidi"/>
      <w:b/>
      <w:bCs/>
      <w:color w:val="5B9BD5" w:themeColor="accent1"/>
    </w:rPr>
  </w:style>
  <w:style w:type="character" w:styleId="Emphasis">
    <w:name w:val="Emphasis"/>
    <w:basedOn w:val="DefaultParagraphFont"/>
    <w:uiPriority w:val="20"/>
    <w:qFormat/>
    <w:rsid w:val="00EC62D7"/>
    <w:rPr>
      <w:i/>
      <w:iCs/>
    </w:rPr>
  </w:style>
  <w:style w:type="character" w:styleId="Strong">
    <w:name w:val="Strong"/>
    <w:basedOn w:val="DefaultParagraphFont"/>
    <w:uiPriority w:val="22"/>
    <w:qFormat/>
    <w:rsid w:val="00EC62D7"/>
    <w:rPr>
      <w:b/>
      <w:bCs/>
    </w:rPr>
  </w:style>
  <w:style w:type="paragraph" w:styleId="z-TopofForm">
    <w:name w:val="HTML Top of Form"/>
    <w:basedOn w:val="Normal"/>
    <w:next w:val="Normal"/>
    <w:link w:val="z-TopofFormChar"/>
    <w:hidden/>
    <w:uiPriority w:val="99"/>
    <w:semiHidden/>
    <w:unhideWhenUsed/>
    <w:rsid w:val="00EC62D7"/>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semiHidden/>
    <w:rsid w:val="00EC62D7"/>
    <w:rPr>
      <w:rFonts w:ascii="Arial" w:eastAsia="Times New Roman" w:hAnsi="Arial" w:cs="Arial"/>
      <w:vanish/>
      <w:sz w:val="16"/>
      <w:szCs w:val="16"/>
      <w:lang w:val="en-US"/>
    </w:rPr>
  </w:style>
  <w:style w:type="paragraph" w:customStyle="1" w:styleId="placeholder">
    <w:name w:val="placeholder"/>
    <w:basedOn w:val="Normal"/>
    <w:rsid w:val="00EC62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z-BottomofForm">
    <w:name w:val="HTML Bottom of Form"/>
    <w:basedOn w:val="Normal"/>
    <w:next w:val="Normal"/>
    <w:link w:val="z-BottomofFormChar"/>
    <w:hidden/>
    <w:uiPriority w:val="99"/>
    <w:semiHidden/>
    <w:unhideWhenUsed/>
    <w:rsid w:val="00EC62D7"/>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semiHidden/>
    <w:rsid w:val="00EC62D7"/>
    <w:rPr>
      <w:rFonts w:ascii="Arial" w:eastAsia="Times New Roman" w:hAnsi="Arial" w:cs="Arial"/>
      <w:vanish/>
      <w:sz w:val="16"/>
      <w:szCs w:val="16"/>
      <w:lang w:val="en-US"/>
    </w:rPr>
  </w:style>
  <w:style w:type="character" w:styleId="UnresolvedMention">
    <w:name w:val="Unresolved Mention"/>
    <w:basedOn w:val="DefaultParagraphFont"/>
    <w:uiPriority w:val="99"/>
    <w:semiHidden/>
    <w:unhideWhenUsed/>
    <w:rsid w:val="00A67768"/>
    <w:rPr>
      <w:color w:val="605E5C"/>
      <w:shd w:val="clear" w:color="auto" w:fill="E1DFDD"/>
    </w:rPr>
  </w:style>
  <w:style w:type="paragraph" w:styleId="Header">
    <w:name w:val="header"/>
    <w:basedOn w:val="Normal"/>
    <w:link w:val="HeaderChar"/>
    <w:uiPriority w:val="99"/>
    <w:unhideWhenUsed/>
    <w:rsid w:val="004B1A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1AD4"/>
  </w:style>
  <w:style w:type="paragraph" w:styleId="Footer">
    <w:name w:val="footer"/>
    <w:basedOn w:val="Normal"/>
    <w:link w:val="FooterChar"/>
    <w:uiPriority w:val="99"/>
    <w:unhideWhenUsed/>
    <w:rsid w:val="004B1A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1A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47654">
      <w:bodyDiv w:val="1"/>
      <w:marLeft w:val="0"/>
      <w:marRight w:val="0"/>
      <w:marTop w:val="0"/>
      <w:marBottom w:val="0"/>
      <w:divBdr>
        <w:top w:val="none" w:sz="0" w:space="0" w:color="auto"/>
        <w:left w:val="none" w:sz="0" w:space="0" w:color="auto"/>
        <w:bottom w:val="none" w:sz="0" w:space="0" w:color="auto"/>
        <w:right w:val="none" w:sz="0" w:space="0" w:color="auto"/>
      </w:divBdr>
    </w:div>
    <w:div w:id="268047367">
      <w:bodyDiv w:val="1"/>
      <w:marLeft w:val="0"/>
      <w:marRight w:val="0"/>
      <w:marTop w:val="0"/>
      <w:marBottom w:val="0"/>
      <w:divBdr>
        <w:top w:val="none" w:sz="0" w:space="0" w:color="auto"/>
        <w:left w:val="none" w:sz="0" w:space="0" w:color="auto"/>
        <w:bottom w:val="none" w:sz="0" w:space="0" w:color="auto"/>
        <w:right w:val="none" w:sz="0" w:space="0" w:color="auto"/>
      </w:divBdr>
      <w:divsChild>
        <w:div w:id="1182629120">
          <w:marLeft w:val="0"/>
          <w:marRight w:val="0"/>
          <w:marTop w:val="0"/>
          <w:marBottom w:val="0"/>
          <w:divBdr>
            <w:top w:val="none" w:sz="0" w:space="0" w:color="auto"/>
            <w:left w:val="none" w:sz="0" w:space="0" w:color="auto"/>
            <w:bottom w:val="none" w:sz="0" w:space="0" w:color="auto"/>
            <w:right w:val="none" w:sz="0" w:space="0" w:color="auto"/>
          </w:divBdr>
          <w:divsChild>
            <w:div w:id="1669021056">
              <w:marLeft w:val="0"/>
              <w:marRight w:val="0"/>
              <w:marTop w:val="0"/>
              <w:marBottom w:val="0"/>
              <w:divBdr>
                <w:top w:val="none" w:sz="0" w:space="0" w:color="auto"/>
                <w:left w:val="none" w:sz="0" w:space="0" w:color="auto"/>
                <w:bottom w:val="none" w:sz="0" w:space="0" w:color="auto"/>
                <w:right w:val="none" w:sz="0" w:space="0" w:color="auto"/>
              </w:divBdr>
              <w:divsChild>
                <w:div w:id="528105716">
                  <w:marLeft w:val="0"/>
                  <w:marRight w:val="0"/>
                  <w:marTop w:val="0"/>
                  <w:marBottom w:val="0"/>
                  <w:divBdr>
                    <w:top w:val="none" w:sz="0" w:space="0" w:color="auto"/>
                    <w:left w:val="none" w:sz="0" w:space="0" w:color="auto"/>
                    <w:bottom w:val="none" w:sz="0" w:space="0" w:color="auto"/>
                    <w:right w:val="none" w:sz="0" w:space="0" w:color="auto"/>
                  </w:divBdr>
                </w:div>
              </w:divsChild>
            </w:div>
            <w:div w:id="1007908943">
              <w:marLeft w:val="0"/>
              <w:marRight w:val="0"/>
              <w:marTop w:val="0"/>
              <w:marBottom w:val="0"/>
              <w:divBdr>
                <w:top w:val="none" w:sz="0" w:space="0" w:color="auto"/>
                <w:left w:val="none" w:sz="0" w:space="0" w:color="auto"/>
                <w:bottom w:val="none" w:sz="0" w:space="0" w:color="auto"/>
                <w:right w:val="none" w:sz="0" w:space="0" w:color="auto"/>
              </w:divBdr>
              <w:divsChild>
                <w:div w:id="1629704890">
                  <w:marLeft w:val="0"/>
                  <w:marRight w:val="0"/>
                  <w:marTop w:val="0"/>
                  <w:marBottom w:val="0"/>
                  <w:divBdr>
                    <w:top w:val="none" w:sz="0" w:space="0" w:color="auto"/>
                    <w:left w:val="none" w:sz="0" w:space="0" w:color="auto"/>
                    <w:bottom w:val="none" w:sz="0" w:space="0" w:color="auto"/>
                    <w:right w:val="none" w:sz="0" w:space="0" w:color="auto"/>
                  </w:divBdr>
                </w:div>
              </w:divsChild>
            </w:div>
            <w:div w:id="818423505">
              <w:marLeft w:val="0"/>
              <w:marRight w:val="0"/>
              <w:marTop w:val="0"/>
              <w:marBottom w:val="0"/>
              <w:divBdr>
                <w:top w:val="none" w:sz="0" w:space="0" w:color="auto"/>
                <w:left w:val="none" w:sz="0" w:space="0" w:color="auto"/>
                <w:bottom w:val="none" w:sz="0" w:space="0" w:color="auto"/>
                <w:right w:val="none" w:sz="0" w:space="0" w:color="auto"/>
              </w:divBdr>
              <w:divsChild>
                <w:div w:id="601227455">
                  <w:marLeft w:val="0"/>
                  <w:marRight w:val="0"/>
                  <w:marTop w:val="0"/>
                  <w:marBottom w:val="0"/>
                  <w:divBdr>
                    <w:top w:val="none" w:sz="0" w:space="0" w:color="auto"/>
                    <w:left w:val="none" w:sz="0" w:space="0" w:color="auto"/>
                    <w:bottom w:val="none" w:sz="0" w:space="0" w:color="auto"/>
                    <w:right w:val="none" w:sz="0" w:space="0" w:color="auto"/>
                  </w:divBdr>
                </w:div>
                <w:div w:id="108665909">
                  <w:marLeft w:val="0"/>
                  <w:marRight w:val="0"/>
                  <w:marTop w:val="0"/>
                  <w:marBottom w:val="0"/>
                  <w:divBdr>
                    <w:top w:val="none" w:sz="0" w:space="0" w:color="auto"/>
                    <w:left w:val="none" w:sz="0" w:space="0" w:color="auto"/>
                    <w:bottom w:val="none" w:sz="0" w:space="0" w:color="auto"/>
                    <w:right w:val="none" w:sz="0" w:space="0" w:color="auto"/>
                  </w:divBdr>
                  <w:divsChild>
                    <w:div w:id="97302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455908">
      <w:bodyDiv w:val="1"/>
      <w:marLeft w:val="0"/>
      <w:marRight w:val="0"/>
      <w:marTop w:val="0"/>
      <w:marBottom w:val="0"/>
      <w:divBdr>
        <w:top w:val="none" w:sz="0" w:space="0" w:color="auto"/>
        <w:left w:val="none" w:sz="0" w:space="0" w:color="auto"/>
        <w:bottom w:val="none" w:sz="0" w:space="0" w:color="auto"/>
        <w:right w:val="none" w:sz="0" w:space="0" w:color="auto"/>
      </w:divBdr>
    </w:div>
    <w:div w:id="556357109">
      <w:bodyDiv w:val="1"/>
      <w:marLeft w:val="0"/>
      <w:marRight w:val="0"/>
      <w:marTop w:val="0"/>
      <w:marBottom w:val="0"/>
      <w:divBdr>
        <w:top w:val="none" w:sz="0" w:space="0" w:color="auto"/>
        <w:left w:val="none" w:sz="0" w:space="0" w:color="auto"/>
        <w:bottom w:val="none" w:sz="0" w:space="0" w:color="auto"/>
        <w:right w:val="none" w:sz="0" w:space="0" w:color="auto"/>
      </w:divBdr>
    </w:div>
    <w:div w:id="592588601">
      <w:bodyDiv w:val="1"/>
      <w:marLeft w:val="0"/>
      <w:marRight w:val="0"/>
      <w:marTop w:val="0"/>
      <w:marBottom w:val="0"/>
      <w:divBdr>
        <w:top w:val="none" w:sz="0" w:space="0" w:color="auto"/>
        <w:left w:val="none" w:sz="0" w:space="0" w:color="auto"/>
        <w:bottom w:val="none" w:sz="0" w:space="0" w:color="auto"/>
        <w:right w:val="none" w:sz="0" w:space="0" w:color="auto"/>
      </w:divBdr>
    </w:div>
    <w:div w:id="707724481">
      <w:bodyDiv w:val="1"/>
      <w:marLeft w:val="0"/>
      <w:marRight w:val="0"/>
      <w:marTop w:val="0"/>
      <w:marBottom w:val="0"/>
      <w:divBdr>
        <w:top w:val="none" w:sz="0" w:space="0" w:color="auto"/>
        <w:left w:val="none" w:sz="0" w:space="0" w:color="auto"/>
        <w:bottom w:val="none" w:sz="0" w:space="0" w:color="auto"/>
        <w:right w:val="none" w:sz="0" w:space="0" w:color="auto"/>
      </w:divBdr>
    </w:div>
    <w:div w:id="734550255">
      <w:bodyDiv w:val="1"/>
      <w:marLeft w:val="0"/>
      <w:marRight w:val="0"/>
      <w:marTop w:val="0"/>
      <w:marBottom w:val="0"/>
      <w:divBdr>
        <w:top w:val="none" w:sz="0" w:space="0" w:color="auto"/>
        <w:left w:val="none" w:sz="0" w:space="0" w:color="auto"/>
        <w:bottom w:val="none" w:sz="0" w:space="0" w:color="auto"/>
        <w:right w:val="none" w:sz="0" w:space="0" w:color="auto"/>
      </w:divBdr>
      <w:divsChild>
        <w:div w:id="1225944947">
          <w:marLeft w:val="0"/>
          <w:marRight w:val="0"/>
          <w:marTop w:val="0"/>
          <w:marBottom w:val="0"/>
          <w:divBdr>
            <w:top w:val="none" w:sz="0" w:space="0" w:color="auto"/>
            <w:left w:val="none" w:sz="0" w:space="0" w:color="auto"/>
            <w:bottom w:val="none" w:sz="0" w:space="0" w:color="auto"/>
            <w:right w:val="none" w:sz="0" w:space="0" w:color="auto"/>
          </w:divBdr>
          <w:divsChild>
            <w:div w:id="1844511919">
              <w:marLeft w:val="0"/>
              <w:marRight w:val="0"/>
              <w:marTop w:val="0"/>
              <w:marBottom w:val="0"/>
              <w:divBdr>
                <w:top w:val="none" w:sz="0" w:space="0" w:color="auto"/>
                <w:left w:val="none" w:sz="0" w:space="0" w:color="auto"/>
                <w:bottom w:val="none" w:sz="0" w:space="0" w:color="auto"/>
                <w:right w:val="none" w:sz="0" w:space="0" w:color="auto"/>
              </w:divBdr>
              <w:divsChild>
                <w:div w:id="358824667">
                  <w:marLeft w:val="0"/>
                  <w:marRight w:val="0"/>
                  <w:marTop w:val="0"/>
                  <w:marBottom w:val="0"/>
                  <w:divBdr>
                    <w:top w:val="none" w:sz="0" w:space="0" w:color="auto"/>
                    <w:left w:val="none" w:sz="0" w:space="0" w:color="auto"/>
                    <w:bottom w:val="none" w:sz="0" w:space="0" w:color="auto"/>
                    <w:right w:val="none" w:sz="0" w:space="0" w:color="auto"/>
                  </w:divBdr>
                  <w:divsChild>
                    <w:div w:id="1746754407">
                      <w:marLeft w:val="0"/>
                      <w:marRight w:val="0"/>
                      <w:marTop w:val="0"/>
                      <w:marBottom w:val="0"/>
                      <w:divBdr>
                        <w:top w:val="none" w:sz="0" w:space="0" w:color="auto"/>
                        <w:left w:val="none" w:sz="0" w:space="0" w:color="auto"/>
                        <w:bottom w:val="none" w:sz="0" w:space="0" w:color="auto"/>
                        <w:right w:val="none" w:sz="0" w:space="0" w:color="auto"/>
                      </w:divBdr>
                      <w:divsChild>
                        <w:div w:id="1534616399">
                          <w:marLeft w:val="0"/>
                          <w:marRight w:val="0"/>
                          <w:marTop w:val="0"/>
                          <w:marBottom w:val="0"/>
                          <w:divBdr>
                            <w:top w:val="none" w:sz="0" w:space="0" w:color="auto"/>
                            <w:left w:val="none" w:sz="0" w:space="0" w:color="auto"/>
                            <w:bottom w:val="none" w:sz="0" w:space="0" w:color="auto"/>
                            <w:right w:val="none" w:sz="0" w:space="0" w:color="auto"/>
                          </w:divBdr>
                          <w:divsChild>
                            <w:div w:id="164637301">
                              <w:marLeft w:val="0"/>
                              <w:marRight w:val="0"/>
                              <w:marTop w:val="0"/>
                              <w:marBottom w:val="0"/>
                              <w:divBdr>
                                <w:top w:val="none" w:sz="0" w:space="0" w:color="auto"/>
                                <w:left w:val="none" w:sz="0" w:space="0" w:color="auto"/>
                                <w:bottom w:val="none" w:sz="0" w:space="0" w:color="auto"/>
                                <w:right w:val="none" w:sz="0" w:space="0" w:color="auto"/>
                              </w:divBdr>
                              <w:divsChild>
                                <w:div w:id="9042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421608">
      <w:bodyDiv w:val="1"/>
      <w:marLeft w:val="0"/>
      <w:marRight w:val="0"/>
      <w:marTop w:val="0"/>
      <w:marBottom w:val="0"/>
      <w:divBdr>
        <w:top w:val="none" w:sz="0" w:space="0" w:color="auto"/>
        <w:left w:val="none" w:sz="0" w:space="0" w:color="auto"/>
        <w:bottom w:val="none" w:sz="0" w:space="0" w:color="auto"/>
        <w:right w:val="none" w:sz="0" w:space="0" w:color="auto"/>
      </w:divBdr>
    </w:div>
    <w:div w:id="965816034">
      <w:bodyDiv w:val="1"/>
      <w:marLeft w:val="0"/>
      <w:marRight w:val="0"/>
      <w:marTop w:val="0"/>
      <w:marBottom w:val="0"/>
      <w:divBdr>
        <w:top w:val="none" w:sz="0" w:space="0" w:color="auto"/>
        <w:left w:val="none" w:sz="0" w:space="0" w:color="auto"/>
        <w:bottom w:val="none" w:sz="0" w:space="0" w:color="auto"/>
        <w:right w:val="none" w:sz="0" w:space="0" w:color="auto"/>
      </w:divBdr>
    </w:div>
    <w:div w:id="999578505">
      <w:bodyDiv w:val="1"/>
      <w:marLeft w:val="0"/>
      <w:marRight w:val="0"/>
      <w:marTop w:val="0"/>
      <w:marBottom w:val="0"/>
      <w:divBdr>
        <w:top w:val="none" w:sz="0" w:space="0" w:color="auto"/>
        <w:left w:val="none" w:sz="0" w:space="0" w:color="auto"/>
        <w:bottom w:val="none" w:sz="0" w:space="0" w:color="auto"/>
        <w:right w:val="none" w:sz="0" w:space="0" w:color="auto"/>
      </w:divBdr>
    </w:div>
    <w:div w:id="1002775113">
      <w:bodyDiv w:val="1"/>
      <w:marLeft w:val="0"/>
      <w:marRight w:val="0"/>
      <w:marTop w:val="0"/>
      <w:marBottom w:val="0"/>
      <w:divBdr>
        <w:top w:val="none" w:sz="0" w:space="0" w:color="auto"/>
        <w:left w:val="none" w:sz="0" w:space="0" w:color="auto"/>
        <w:bottom w:val="none" w:sz="0" w:space="0" w:color="auto"/>
        <w:right w:val="none" w:sz="0" w:space="0" w:color="auto"/>
      </w:divBdr>
    </w:div>
    <w:div w:id="1020008174">
      <w:bodyDiv w:val="1"/>
      <w:marLeft w:val="0"/>
      <w:marRight w:val="0"/>
      <w:marTop w:val="0"/>
      <w:marBottom w:val="0"/>
      <w:divBdr>
        <w:top w:val="none" w:sz="0" w:space="0" w:color="auto"/>
        <w:left w:val="none" w:sz="0" w:space="0" w:color="auto"/>
        <w:bottom w:val="none" w:sz="0" w:space="0" w:color="auto"/>
        <w:right w:val="none" w:sz="0" w:space="0" w:color="auto"/>
      </w:divBdr>
    </w:div>
    <w:div w:id="1032221072">
      <w:bodyDiv w:val="1"/>
      <w:marLeft w:val="0"/>
      <w:marRight w:val="0"/>
      <w:marTop w:val="0"/>
      <w:marBottom w:val="0"/>
      <w:divBdr>
        <w:top w:val="none" w:sz="0" w:space="0" w:color="auto"/>
        <w:left w:val="none" w:sz="0" w:space="0" w:color="auto"/>
        <w:bottom w:val="none" w:sz="0" w:space="0" w:color="auto"/>
        <w:right w:val="none" w:sz="0" w:space="0" w:color="auto"/>
      </w:divBdr>
    </w:div>
    <w:div w:id="1080061260">
      <w:bodyDiv w:val="1"/>
      <w:marLeft w:val="0"/>
      <w:marRight w:val="0"/>
      <w:marTop w:val="0"/>
      <w:marBottom w:val="0"/>
      <w:divBdr>
        <w:top w:val="none" w:sz="0" w:space="0" w:color="auto"/>
        <w:left w:val="none" w:sz="0" w:space="0" w:color="auto"/>
        <w:bottom w:val="none" w:sz="0" w:space="0" w:color="auto"/>
        <w:right w:val="none" w:sz="0" w:space="0" w:color="auto"/>
      </w:divBdr>
    </w:div>
    <w:div w:id="1093697118">
      <w:bodyDiv w:val="1"/>
      <w:marLeft w:val="0"/>
      <w:marRight w:val="0"/>
      <w:marTop w:val="0"/>
      <w:marBottom w:val="0"/>
      <w:divBdr>
        <w:top w:val="none" w:sz="0" w:space="0" w:color="auto"/>
        <w:left w:val="none" w:sz="0" w:space="0" w:color="auto"/>
        <w:bottom w:val="none" w:sz="0" w:space="0" w:color="auto"/>
        <w:right w:val="none" w:sz="0" w:space="0" w:color="auto"/>
      </w:divBdr>
    </w:div>
    <w:div w:id="1145127724">
      <w:bodyDiv w:val="1"/>
      <w:marLeft w:val="0"/>
      <w:marRight w:val="0"/>
      <w:marTop w:val="0"/>
      <w:marBottom w:val="0"/>
      <w:divBdr>
        <w:top w:val="none" w:sz="0" w:space="0" w:color="auto"/>
        <w:left w:val="none" w:sz="0" w:space="0" w:color="auto"/>
        <w:bottom w:val="none" w:sz="0" w:space="0" w:color="auto"/>
        <w:right w:val="none" w:sz="0" w:space="0" w:color="auto"/>
      </w:divBdr>
    </w:div>
    <w:div w:id="1318264273">
      <w:bodyDiv w:val="1"/>
      <w:marLeft w:val="0"/>
      <w:marRight w:val="0"/>
      <w:marTop w:val="0"/>
      <w:marBottom w:val="0"/>
      <w:divBdr>
        <w:top w:val="none" w:sz="0" w:space="0" w:color="auto"/>
        <w:left w:val="none" w:sz="0" w:space="0" w:color="auto"/>
        <w:bottom w:val="none" w:sz="0" w:space="0" w:color="auto"/>
        <w:right w:val="none" w:sz="0" w:space="0" w:color="auto"/>
      </w:divBdr>
    </w:div>
    <w:div w:id="1353874043">
      <w:bodyDiv w:val="1"/>
      <w:marLeft w:val="0"/>
      <w:marRight w:val="0"/>
      <w:marTop w:val="0"/>
      <w:marBottom w:val="0"/>
      <w:divBdr>
        <w:top w:val="none" w:sz="0" w:space="0" w:color="auto"/>
        <w:left w:val="none" w:sz="0" w:space="0" w:color="auto"/>
        <w:bottom w:val="none" w:sz="0" w:space="0" w:color="auto"/>
        <w:right w:val="none" w:sz="0" w:space="0" w:color="auto"/>
      </w:divBdr>
    </w:div>
    <w:div w:id="1586955696">
      <w:bodyDiv w:val="1"/>
      <w:marLeft w:val="0"/>
      <w:marRight w:val="0"/>
      <w:marTop w:val="0"/>
      <w:marBottom w:val="0"/>
      <w:divBdr>
        <w:top w:val="none" w:sz="0" w:space="0" w:color="auto"/>
        <w:left w:val="none" w:sz="0" w:space="0" w:color="auto"/>
        <w:bottom w:val="none" w:sz="0" w:space="0" w:color="auto"/>
        <w:right w:val="none" w:sz="0" w:space="0" w:color="auto"/>
      </w:divBdr>
    </w:div>
    <w:div w:id="1594782961">
      <w:bodyDiv w:val="1"/>
      <w:marLeft w:val="0"/>
      <w:marRight w:val="0"/>
      <w:marTop w:val="0"/>
      <w:marBottom w:val="0"/>
      <w:divBdr>
        <w:top w:val="none" w:sz="0" w:space="0" w:color="auto"/>
        <w:left w:val="none" w:sz="0" w:space="0" w:color="auto"/>
        <w:bottom w:val="none" w:sz="0" w:space="0" w:color="auto"/>
        <w:right w:val="none" w:sz="0" w:space="0" w:color="auto"/>
      </w:divBdr>
    </w:div>
    <w:div w:id="1605917270">
      <w:bodyDiv w:val="1"/>
      <w:marLeft w:val="0"/>
      <w:marRight w:val="0"/>
      <w:marTop w:val="0"/>
      <w:marBottom w:val="0"/>
      <w:divBdr>
        <w:top w:val="none" w:sz="0" w:space="0" w:color="auto"/>
        <w:left w:val="none" w:sz="0" w:space="0" w:color="auto"/>
        <w:bottom w:val="none" w:sz="0" w:space="0" w:color="auto"/>
        <w:right w:val="none" w:sz="0" w:space="0" w:color="auto"/>
      </w:divBdr>
    </w:div>
    <w:div w:id="1628201194">
      <w:bodyDiv w:val="1"/>
      <w:marLeft w:val="0"/>
      <w:marRight w:val="0"/>
      <w:marTop w:val="0"/>
      <w:marBottom w:val="0"/>
      <w:divBdr>
        <w:top w:val="none" w:sz="0" w:space="0" w:color="auto"/>
        <w:left w:val="none" w:sz="0" w:space="0" w:color="auto"/>
        <w:bottom w:val="none" w:sz="0" w:space="0" w:color="auto"/>
        <w:right w:val="none" w:sz="0" w:space="0" w:color="auto"/>
      </w:divBdr>
      <w:divsChild>
        <w:div w:id="1753891180">
          <w:marLeft w:val="0"/>
          <w:marRight w:val="0"/>
          <w:marTop w:val="0"/>
          <w:marBottom w:val="0"/>
          <w:divBdr>
            <w:top w:val="none" w:sz="0" w:space="0" w:color="auto"/>
            <w:left w:val="none" w:sz="0" w:space="0" w:color="auto"/>
            <w:bottom w:val="none" w:sz="0" w:space="0" w:color="auto"/>
            <w:right w:val="none" w:sz="0" w:space="0" w:color="auto"/>
          </w:divBdr>
          <w:divsChild>
            <w:div w:id="544558432">
              <w:marLeft w:val="0"/>
              <w:marRight w:val="0"/>
              <w:marTop w:val="0"/>
              <w:marBottom w:val="0"/>
              <w:divBdr>
                <w:top w:val="none" w:sz="0" w:space="0" w:color="auto"/>
                <w:left w:val="none" w:sz="0" w:space="0" w:color="auto"/>
                <w:bottom w:val="none" w:sz="0" w:space="0" w:color="auto"/>
                <w:right w:val="none" w:sz="0" w:space="0" w:color="auto"/>
              </w:divBdr>
              <w:divsChild>
                <w:div w:id="466775672">
                  <w:marLeft w:val="0"/>
                  <w:marRight w:val="0"/>
                  <w:marTop w:val="0"/>
                  <w:marBottom w:val="0"/>
                  <w:divBdr>
                    <w:top w:val="none" w:sz="0" w:space="0" w:color="auto"/>
                    <w:left w:val="none" w:sz="0" w:space="0" w:color="auto"/>
                    <w:bottom w:val="none" w:sz="0" w:space="0" w:color="auto"/>
                    <w:right w:val="none" w:sz="0" w:space="0" w:color="auto"/>
                  </w:divBdr>
                </w:div>
              </w:divsChild>
            </w:div>
            <w:div w:id="1532919691">
              <w:marLeft w:val="0"/>
              <w:marRight w:val="0"/>
              <w:marTop w:val="0"/>
              <w:marBottom w:val="0"/>
              <w:divBdr>
                <w:top w:val="none" w:sz="0" w:space="0" w:color="auto"/>
                <w:left w:val="none" w:sz="0" w:space="0" w:color="auto"/>
                <w:bottom w:val="none" w:sz="0" w:space="0" w:color="auto"/>
                <w:right w:val="none" w:sz="0" w:space="0" w:color="auto"/>
              </w:divBdr>
              <w:divsChild>
                <w:div w:id="39402629">
                  <w:marLeft w:val="0"/>
                  <w:marRight w:val="0"/>
                  <w:marTop w:val="0"/>
                  <w:marBottom w:val="0"/>
                  <w:divBdr>
                    <w:top w:val="none" w:sz="0" w:space="0" w:color="auto"/>
                    <w:left w:val="none" w:sz="0" w:space="0" w:color="auto"/>
                    <w:bottom w:val="none" w:sz="0" w:space="0" w:color="auto"/>
                    <w:right w:val="none" w:sz="0" w:space="0" w:color="auto"/>
                  </w:divBdr>
                </w:div>
              </w:divsChild>
            </w:div>
            <w:div w:id="464396396">
              <w:marLeft w:val="0"/>
              <w:marRight w:val="0"/>
              <w:marTop w:val="0"/>
              <w:marBottom w:val="0"/>
              <w:divBdr>
                <w:top w:val="none" w:sz="0" w:space="0" w:color="auto"/>
                <w:left w:val="none" w:sz="0" w:space="0" w:color="auto"/>
                <w:bottom w:val="none" w:sz="0" w:space="0" w:color="auto"/>
                <w:right w:val="none" w:sz="0" w:space="0" w:color="auto"/>
              </w:divBdr>
              <w:divsChild>
                <w:div w:id="696657544">
                  <w:marLeft w:val="0"/>
                  <w:marRight w:val="0"/>
                  <w:marTop w:val="0"/>
                  <w:marBottom w:val="0"/>
                  <w:divBdr>
                    <w:top w:val="none" w:sz="0" w:space="0" w:color="auto"/>
                    <w:left w:val="none" w:sz="0" w:space="0" w:color="auto"/>
                    <w:bottom w:val="none" w:sz="0" w:space="0" w:color="auto"/>
                    <w:right w:val="none" w:sz="0" w:space="0" w:color="auto"/>
                  </w:divBdr>
                </w:div>
                <w:div w:id="172764320">
                  <w:marLeft w:val="0"/>
                  <w:marRight w:val="0"/>
                  <w:marTop w:val="0"/>
                  <w:marBottom w:val="0"/>
                  <w:divBdr>
                    <w:top w:val="none" w:sz="0" w:space="0" w:color="auto"/>
                    <w:left w:val="none" w:sz="0" w:space="0" w:color="auto"/>
                    <w:bottom w:val="none" w:sz="0" w:space="0" w:color="auto"/>
                    <w:right w:val="none" w:sz="0" w:space="0" w:color="auto"/>
                  </w:divBdr>
                  <w:divsChild>
                    <w:div w:id="141508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603136">
      <w:bodyDiv w:val="1"/>
      <w:marLeft w:val="0"/>
      <w:marRight w:val="0"/>
      <w:marTop w:val="0"/>
      <w:marBottom w:val="0"/>
      <w:divBdr>
        <w:top w:val="none" w:sz="0" w:space="0" w:color="auto"/>
        <w:left w:val="none" w:sz="0" w:space="0" w:color="auto"/>
        <w:bottom w:val="none" w:sz="0" w:space="0" w:color="auto"/>
        <w:right w:val="none" w:sz="0" w:space="0" w:color="auto"/>
      </w:divBdr>
    </w:div>
    <w:div w:id="1648363026">
      <w:bodyDiv w:val="1"/>
      <w:marLeft w:val="0"/>
      <w:marRight w:val="0"/>
      <w:marTop w:val="0"/>
      <w:marBottom w:val="0"/>
      <w:divBdr>
        <w:top w:val="none" w:sz="0" w:space="0" w:color="auto"/>
        <w:left w:val="none" w:sz="0" w:space="0" w:color="auto"/>
        <w:bottom w:val="none" w:sz="0" w:space="0" w:color="auto"/>
        <w:right w:val="none" w:sz="0" w:space="0" w:color="auto"/>
      </w:divBdr>
    </w:div>
    <w:div w:id="1682581980">
      <w:bodyDiv w:val="1"/>
      <w:marLeft w:val="0"/>
      <w:marRight w:val="0"/>
      <w:marTop w:val="0"/>
      <w:marBottom w:val="0"/>
      <w:divBdr>
        <w:top w:val="none" w:sz="0" w:space="0" w:color="auto"/>
        <w:left w:val="none" w:sz="0" w:space="0" w:color="auto"/>
        <w:bottom w:val="none" w:sz="0" w:space="0" w:color="auto"/>
        <w:right w:val="none" w:sz="0" w:space="0" w:color="auto"/>
      </w:divBdr>
    </w:div>
    <w:div w:id="1775319283">
      <w:bodyDiv w:val="1"/>
      <w:marLeft w:val="0"/>
      <w:marRight w:val="0"/>
      <w:marTop w:val="0"/>
      <w:marBottom w:val="0"/>
      <w:divBdr>
        <w:top w:val="none" w:sz="0" w:space="0" w:color="auto"/>
        <w:left w:val="none" w:sz="0" w:space="0" w:color="auto"/>
        <w:bottom w:val="none" w:sz="0" w:space="0" w:color="auto"/>
        <w:right w:val="none" w:sz="0" w:space="0" w:color="auto"/>
      </w:divBdr>
    </w:div>
    <w:div w:id="1860463979">
      <w:bodyDiv w:val="1"/>
      <w:marLeft w:val="0"/>
      <w:marRight w:val="0"/>
      <w:marTop w:val="0"/>
      <w:marBottom w:val="0"/>
      <w:divBdr>
        <w:top w:val="none" w:sz="0" w:space="0" w:color="auto"/>
        <w:left w:val="none" w:sz="0" w:space="0" w:color="auto"/>
        <w:bottom w:val="none" w:sz="0" w:space="0" w:color="auto"/>
        <w:right w:val="none" w:sz="0" w:space="0" w:color="auto"/>
      </w:divBdr>
    </w:div>
    <w:div w:id="1973637638">
      <w:bodyDiv w:val="1"/>
      <w:marLeft w:val="0"/>
      <w:marRight w:val="0"/>
      <w:marTop w:val="0"/>
      <w:marBottom w:val="0"/>
      <w:divBdr>
        <w:top w:val="none" w:sz="0" w:space="0" w:color="auto"/>
        <w:left w:val="none" w:sz="0" w:space="0" w:color="auto"/>
        <w:bottom w:val="none" w:sz="0" w:space="0" w:color="auto"/>
        <w:right w:val="none" w:sz="0" w:space="0" w:color="auto"/>
      </w:divBdr>
      <w:divsChild>
        <w:div w:id="1055736223">
          <w:marLeft w:val="0"/>
          <w:marRight w:val="0"/>
          <w:marTop w:val="0"/>
          <w:marBottom w:val="0"/>
          <w:divBdr>
            <w:top w:val="none" w:sz="0" w:space="0" w:color="auto"/>
            <w:left w:val="none" w:sz="0" w:space="0" w:color="auto"/>
            <w:bottom w:val="none" w:sz="0" w:space="0" w:color="auto"/>
            <w:right w:val="none" w:sz="0" w:space="0" w:color="auto"/>
          </w:divBdr>
          <w:divsChild>
            <w:div w:id="1807044615">
              <w:marLeft w:val="0"/>
              <w:marRight w:val="0"/>
              <w:marTop w:val="0"/>
              <w:marBottom w:val="0"/>
              <w:divBdr>
                <w:top w:val="none" w:sz="0" w:space="0" w:color="auto"/>
                <w:left w:val="none" w:sz="0" w:space="0" w:color="auto"/>
                <w:bottom w:val="none" w:sz="0" w:space="0" w:color="auto"/>
                <w:right w:val="none" w:sz="0" w:space="0" w:color="auto"/>
              </w:divBdr>
              <w:divsChild>
                <w:div w:id="649404247">
                  <w:marLeft w:val="0"/>
                  <w:marRight w:val="0"/>
                  <w:marTop w:val="0"/>
                  <w:marBottom w:val="0"/>
                  <w:divBdr>
                    <w:top w:val="none" w:sz="0" w:space="0" w:color="auto"/>
                    <w:left w:val="none" w:sz="0" w:space="0" w:color="auto"/>
                    <w:bottom w:val="none" w:sz="0" w:space="0" w:color="auto"/>
                    <w:right w:val="none" w:sz="0" w:space="0" w:color="auto"/>
                  </w:divBdr>
                  <w:divsChild>
                    <w:div w:id="1444572425">
                      <w:marLeft w:val="0"/>
                      <w:marRight w:val="0"/>
                      <w:marTop w:val="0"/>
                      <w:marBottom w:val="0"/>
                      <w:divBdr>
                        <w:top w:val="none" w:sz="0" w:space="0" w:color="auto"/>
                        <w:left w:val="none" w:sz="0" w:space="0" w:color="auto"/>
                        <w:bottom w:val="none" w:sz="0" w:space="0" w:color="auto"/>
                        <w:right w:val="none" w:sz="0" w:space="0" w:color="auto"/>
                      </w:divBdr>
                      <w:divsChild>
                        <w:div w:id="1796288034">
                          <w:marLeft w:val="0"/>
                          <w:marRight w:val="0"/>
                          <w:marTop w:val="0"/>
                          <w:marBottom w:val="0"/>
                          <w:divBdr>
                            <w:top w:val="none" w:sz="0" w:space="0" w:color="auto"/>
                            <w:left w:val="none" w:sz="0" w:space="0" w:color="auto"/>
                            <w:bottom w:val="none" w:sz="0" w:space="0" w:color="auto"/>
                            <w:right w:val="none" w:sz="0" w:space="0" w:color="auto"/>
                          </w:divBdr>
                          <w:divsChild>
                            <w:div w:id="1536962593">
                              <w:marLeft w:val="0"/>
                              <w:marRight w:val="0"/>
                              <w:marTop w:val="0"/>
                              <w:marBottom w:val="0"/>
                              <w:divBdr>
                                <w:top w:val="none" w:sz="0" w:space="0" w:color="auto"/>
                                <w:left w:val="none" w:sz="0" w:space="0" w:color="auto"/>
                                <w:bottom w:val="none" w:sz="0" w:space="0" w:color="auto"/>
                                <w:right w:val="none" w:sz="0" w:space="0" w:color="auto"/>
                              </w:divBdr>
                              <w:divsChild>
                                <w:div w:id="1456093487">
                                  <w:marLeft w:val="0"/>
                                  <w:marRight w:val="0"/>
                                  <w:marTop w:val="0"/>
                                  <w:marBottom w:val="0"/>
                                  <w:divBdr>
                                    <w:top w:val="none" w:sz="0" w:space="0" w:color="auto"/>
                                    <w:left w:val="none" w:sz="0" w:space="0" w:color="auto"/>
                                    <w:bottom w:val="none" w:sz="0" w:space="0" w:color="auto"/>
                                    <w:right w:val="none" w:sz="0" w:space="0" w:color="auto"/>
                                  </w:divBdr>
                                  <w:divsChild>
                                    <w:div w:id="55616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174751">
          <w:marLeft w:val="0"/>
          <w:marRight w:val="0"/>
          <w:marTop w:val="0"/>
          <w:marBottom w:val="0"/>
          <w:divBdr>
            <w:top w:val="none" w:sz="0" w:space="0" w:color="auto"/>
            <w:left w:val="none" w:sz="0" w:space="0" w:color="auto"/>
            <w:bottom w:val="none" w:sz="0" w:space="0" w:color="auto"/>
            <w:right w:val="none" w:sz="0" w:space="0" w:color="auto"/>
          </w:divBdr>
          <w:divsChild>
            <w:div w:id="1776630965">
              <w:marLeft w:val="0"/>
              <w:marRight w:val="0"/>
              <w:marTop w:val="0"/>
              <w:marBottom w:val="0"/>
              <w:divBdr>
                <w:top w:val="none" w:sz="0" w:space="0" w:color="auto"/>
                <w:left w:val="none" w:sz="0" w:space="0" w:color="auto"/>
                <w:bottom w:val="none" w:sz="0" w:space="0" w:color="auto"/>
                <w:right w:val="none" w:sz="0" w:space="0" w:color="auto"/>
              </w:divBdr>
              <w:divsChild>
                <w:div w:id="686298580">
                  <w:marLeft w:val="0"/>
                  <w:marRight w:val="0"/>
                  <w:marTop w:val="0"/>
                  <w:marBottom w:val="0"/>
                  <w:divBdr>
                    <w:top w:val="none" w:sz="0" w:space="0" w:color="auto"/>
                    <w:left w:val="none" w:sz="0" w:space="0" w:color="auto"/>
                    <w:bottom w:val="none" w:sz="0" w:space="0" w:color="auto"/>
                    <w:right w:val="none" w:sz="0" w:space="0" w:color="auto"/>
                  </w:divBdr>
                  <w:divsChild>
                    <w:div w:id="686520459">
                      <w:marLeft w:val="0"/>
                      <w:marRight w:val="0"/>
                      <w:marTop w:val="0"/>
                      <w:marBottom w:val="0"/>
                      <w:divBdr>
                        <w:top w:val="none" w:sz="0" w:space="0" w:color="auto"/>
                        <w:left w:val="none" w:sz="0" w:space="0" w:color="auto"/>
                        <w:bottom w:val="none" w:sz="0" w:space="0" w:color="auto"/>
                        <w:right w:val="none" w:sz="0" w:space="0" w:color="auto"/>
                      </w:divBdr>
                      <w:divsChild>
                        <w:div w:id="814686985">
                          <w:marLeft w:val="0"/>
                          <w:marRight w:val="0"/>
                          <w:marTop w:val="0"/>
                          <w:marBottom w:val="0"/>
                          <w:divBdr>
                            <w:top w:val="none" w:sz="0" w:space="0" w:color="auto"/>
                            <w:left w:val="none" w:sz="0" w:space="0" w:color="auto"/>
                            <w:bottom w:val="none" w:sz="0" w:space="0" w:color="auto"/>
                            <w:right w:val="none" w:sz="0" w:space="0" w:color="auto"/>
                          </w:divBdr>
                          <w:divsChild>
                            <w:div w:id="1973973792">
                              <w:marLeft w:val="0"/>
                              <w:marRight w:val="0"/>
                              <w:marTop w:val="0"/>
                              <w:marBottom w:val="0"/>
                              <w:divBdr>
                                <w:top w:val="none" w:sz="0" w:space="0" w:color="auto"/>
                                <w:left w:val="none" w:sz="0" w:space="0" w:color="auto"/>
                                <w:bottom w:val="none" w:sz="0" w:space="0" w:color="auto"/>
                                <w:right w:val="none" w:sz="0" w:space="0" w:color="auto"/>
                              </w:divBdr>
                              <w:divsChild>
                                <w:div w:id="1046679770">
                                  <w:marLeft w:val="0"/>
                                  <w:marRight w:val="0"/>
                                  <w:marTop w:val="0"/>
                                  <w:marBottom w:val="0"/>
                                  <w:divBdr>
                                    <w:top w:val="none" w:sz="0" w:space="0" w:color="auto"/>
                                    <w:left w:val="none" w:sz="0" w:space="0" w:color="auto"/>
                                    <w:bottom w:val="none" w:sz="0" w:space="0" w:color="auto"/>
                                    <w:right w:val="none" w:sz="0" w:space="0" w:color="auto"/>
                                  </w:divBdr>
                                  <w:divsChild>
                                    <w:div w:id="1705668384">
                                      <w:marLeft w:val="0"/>
                                      <w:marRight w:val="0"/>
                                      <w:marTop w:val="0"/>
                                      <w:marBottom w:val="0"/>
                                      <w:divBdr>
                                        <w:top w:val="none" w:sz="0" w:space="0" w:color="auto"/>
                                        <w:left w:val="none" w:sz="0" w:space="0" w:color="auto"/>
                                        <w:bottom w:val="none" w:sz="0" w:space="0" w:color="auto"/>
                                        <w:right w:val="none" w:sz="0" w:space="0" w:color="auto"/>
                                      </w:divBdr>
                                      <w:divsChild>
                                        <w:div w:id="1904873169">
                                          <w:marLeft w:val="0"/>
                                          <w:marRight w:val="0"/>
                                          <w:marTop w:val="0"/>
                                          <w:marBottom w:val="0"/>
                                          <w:divBdr>
                                            <w:top w:val="none" w:sz="0" w:space="0" w:color="auto"/>
                                            <w:left w:val="none" w:sz="0" w:space="0" w:color="auto"/>
                                            <w:bottom w:val="none" w:sz="0" w:space="0" w:color="auto"/>
                                            <w:right w:val="none" w:sz="0" w:space="0" w:color="auto"/>
                                          </w:divBdr>
                                          <w:divsChild>
                                            <w:div w:id="28739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6312</Words>
  <Characters>35985</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Editor-1183</cp:lastModifiedBy>
  <cp:revision>3</cp:revision>
  <dcterms:created xsi:type="dcterms:W3CDTF">2026-04-07T10:05:00Z</dcterms:created>
  <dcterms:modified xsi:type="dcterms:W3CDTF">2026-04-09T13:32:00Z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f9e2444b-0c26-4093-b90b-6e8a1cc3accb</vt:lpwstr>
  </property>
</Properties>
</file>