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DC9A8" w14:textId="77777777" w:rsidR="0088082E" w:rsidRDefault="002C7464">
      <w:pPr>
        <w:spacing w:line="240" w:lineRule="auto"/>
        <w:jc w:val="both"/>
        <w:rPr>
          <w:rFonts w:ascii="Garamond" w:eastAsia="Garamond" w:hAnsi="Garamond" w:cs="Garamond"/>
          <w:b/>
          <w:bCs/>
          <w:sz w:val="28"/>
          <w:szCs w:val="28"/>
        </w:rPr>
      </w:pPr>
      <w:r>
        <w:rPr>
          <w:rFonts w:ascii="Garamond" w:eastAsia="Garamond" w:hAnsi="Garamond" w:cs="Garamond"/>
          <w:b/>
          <w:bCs/>
          <w:sz w:val="28"/>
          <w:szCs w:val="28"/>
        </w:rPr>
        <w:t>Artificial Intelligence, Public Policy and Governance - Implications for Economic Management and Political Systems</w:t>
      </w:r>
    </w:p>
    <w:p w14:paraId="35CE1636" w14:textId="77777777" w:rsidR="0088082E" w:rsidRDefault="0088082E">
      <w:pPr>
        <w:spacing w:line="240" w:lineRule="auto"/>
        <w:jc w:val="both"/>
        <w:rPr>
          <w:rFonts w:ascii="Garamond" w:eastAsia="Garamond" w:hAnsi="Garamond" w:cs="Garamond"/>
          <w:b/>
          <w:bCs/>
          <w:color w:val="111111"/>
          <w:sz w:val="28"/>
          <w:szCs w:val="28"/>
        </w:rPr>
      </w:pPr>
    </w:p>
    <w:p w14:paraId="3E36E9E9" w14:textId="77777777" w:rsidR="0088082E" w:rsidRDefault="0088082E">
      <w:pPr>
        <w:spacing w:line="240" w:lineRule="auto"/>
        <w:jc w:val="both"/>
        <w:rPr>
          <w:rFonts w:ascii="Garamond" w:eastAsia="Garamond" w:hAnsi="Garamond" w:cs="Garamond"/>
          <w:color w:val="111111"/>
          <w:sz w:val="24"/>
          <w:szCs w:val="24"/>
        </w:rPr>
      </w:pPr>
    </w:p>
    <w:p w14:paraId="5BB876BF" w14:textId="77777777" w:rsidR="0088082E" w:rsidRDefault="0088082E">
      <w:pPr>
        <w:spacing w:line="240" w:lineRule="auto"/>
        <w:jc w:val="both"/>
        <w:rPr>
          <w:rFonts w:ascii="Garamond" w:eastAsia="Garamond" w:hAnsi="Garamond" w:cs="Garamond"/>
          <w:b/>
          <w:bCs/>
          <w:color w:val="111111"/>
          <w:sz w:val="24"/>
          <w:szCs w:val="24"/>
        </w:rPr>
      </w:pPr>
    </w:p>
    <w:p w14:paraId="4EB054D4"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ABSTRACT</w:t>
      </w:r>
    </w:p>
    <w:p w14:paraId="5DB321E1" w14:textId="77777777" w:rsidR="0088082E" w:rsidRDefault="0088082E">
      <w:pPr>
        <w:spacing w:line="240" w:lineRule="auto"/>
        <w:jc w:val="both"/>
        <w:rPr>
          <w:rFonts w:ascii="Garamond" w:eastAsia="Garamond" w:hAnsi="Garamond" w:cs="Garamond"/>
          <w:color w:val="111111"/>
          <w:sz w:val="24"/>
          <w:szCs w:val="24"/>
        </w:rPr>
      </w:pPr>
    </w:p>
    <w:p w14:paraId="3C279EE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As a General-Purpose Technology (GPT), Artificial Intelligence (AI) is fundamentally reconfiguring state capacity, as well as the mechanics of global economic management. This systematic review examines current research studies (2018-2026) to assess the socio-political consequences of artificial intelligence-driven governance in three key dimensions - policy integration, economic consequences and democratic legitimacy. Following the guidelines of the Preferred Reporting of Items in a Systematic Review and Meta-Analysis (PRISMA), the outcomes of this review show a structural shift from "street level" bureaucracies to "system-level" architectures that can be defined as the institutional division of "Artificial Discretion" to algorithmic infrastructures - with empirical evidence showing great gains in efficiency at routinised administrative tasks and fiscal forecasting, offsets by a growing "Efficiency-Legitimacy Paradox". The findings reveal the importance of the "black box" nature of automated systems, </w:t>
      </w:r>
      <w:proofErr w:type="spellStart"/>
      <w:r>
        <w:rPr>
          <w:rFonts w:ascii="Garamond" w:eastAsia="Garamond" w:hAnsi="Garamond" w:cs="Garamond"/>
          <w:color w:val="111111"/>
          <w:sz w:val="24"/>
          <w:szCs w:val="24"/>
        </w:rPr>
        <w:t>epitomised</w:t>
      </w:r>
      <w:proofErr w:type="spellEnd"/>
      <w:r>
        <w:rPr>
          <w:rFonts w:ascii="Garamond" w:eastAsia="Garamond" w:hAnsi="Garamond" w:cs="Garamond"/>
          <w:color w:val="111111"/>
          <w:sz w:val="24"/>
          <w:szCs w:val="24"/>
        </w:rPr>
        <w:t xml:space="preserve"> by the Australian 'Robo-debt' scandal, that undermines the democratic social contract and principles of procedural justice. Furthermore, the synthesis presents a stark geopolitical divide between the "AI Core" nations and the Global South; the latter group faces acute risks of "Digital Dependency" as well as eroded digital sovereignty. In order to alleviate these types of tensions, the review examines the effectiveness of visibility mechanisms, such as public algorithm registers or role-sensitive explainability, in regaining citizen trust. The study concludes that the sustainability of the algorithmic state rests on a movement from technocratic secrecy to value-based transparency that will ensure that AI- and human collaboration is founded on institutional accountability and algorithmic justice.</w:t>
      </w:r>
    </w:p>
    <w:p w14:paraId="5708393E" w14:textId="77777777" w:rsidR="0088082E" w:rsidRDefault="0088082E">
      <w:pPr>
        <w:spacing w:line="240" w:lineRule="auto"/>
        <w:jc w:val="both"/>
        <w:rPr>
          <w:rFonts w:ascii="Garamond" w:eastAsia="Garamond" w:hAnsi="Garamond" w:cs="Garamond"/>
          <w:color w:val="111111"/>
          <w:sz w:val="24"/>
          <w:szCs w:val="24"/>
        </w:rPr>
      </w:pPr>
    </w:p>
    <w:p w14:paraId="7188EF3D" w14:textId="77777777" w:rsidR="0088082E" w:rsidRDefault="002C7464">
      <w:pPr>
        <w:spacing w:line="240" w:lineRule="auto"/>
        <w:jc w:val="both"/>
        <w:rPr>
          <w:rFonts w:ascii="Garamond" w:eastAsia="Garamond" w:hAnsi="Garamond" w:cs="Garamond"/>
          <w:i/>
          <w:iCs/>
          <w:color w:val="111111"/>
          <w:sz w:val="24"/>
          <w:szCs w:val="24"/>
        </w:rPr>
      </w:pPr>
      <w:r>
        <w:rPr>
          <w:rFonts w:ascii="Garamond" w:eastAsia="Garamond" w:hAnsi="Garamond" w:cs="Garamond"/>
          <w:b/>
          <w:bCs/>
          <w:color w:val="111111"/>
          <w:sz w:val="24"/>
          <w:szCs w:val="24"/>
        </w:rPr>
        <w:t xml:space="preserve">Keywords: </w:t>
      </w:r>
      <w:r>
        <w:rPr>
          <w:rFonts w:ascii="Garamond" w:eastAsia="Garamond" w:hAnsi="Garamond" w:cs="Garamond"/>
          <w:i/>
          <w:iCs/>
          <w:color w:val="111111"/>
          <w:sz w:val="24"/>
          <w:szCs w:val="24"/>
        </w:rPr>
        <w:t>Algorithmic Governance; Artificial Discretion; Digital Sovereignty; Economic Management; Public Policy; Transparency.</w:t>
      </w:r>
    </w:p>
    <w:p w14:paraId="2D4EF0B2" w14:textId="77777777" w:rsidR="0088082E" w:rsidRDefault="0088082E">
      <w:pPr>
        <w:spacing w:line="240" w:lineRule="auto"/>
        <w:jc w:val="both"/>
        <w:rPr>
          <w:rFonts w:ascii="Garamond" w:eastAsia="Garamond" w:hAnsi="Garamond" w:cs="Garamond"/>
          <w:i/>
          <w:iCs/>
          <w:color w:val="111111"/>
          <w:sz w:val="24"/>
          <w:szCs w:val="24"/>
        </w:rPr>
        <w:sectPr w:rsidR="0088082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4874A81E" w14:textId="77777777" w:rsidR="0088082E" w:rsidRDefault="0088082E">
      <w:pPr>
        <w:spacing w:line="240" w:lineRule="auto"/>
        <w:jc w:val="both"/>
        <w:rPr>
          <w:rFonts w:ascii="Garamond" w:eastAsia="Garamond" w:hAnsi="Garamond" w:cs="Garamond"/>
          <w:b/>
          <w:bCs/>
          <w:color w:val="111111"/>
          <w:sz w:val="24"/>
          <w:szCs w:val="24"/>
        </w:rPr>
      </w:pPr>
    </w:p>
    <w:p w14:paraId="3E625D5E" w14:textId="77777777" w:rsidR="0088082E" w:rsidRDefault="0088082E">
      <w:pPr>
        <w:spacing w:line="240" w:lineRule="auto"/>
        <w:jc w:val="both"/>
        <w:rPr>
          <w:rFonts w:ascii="Garamond" w:eastAsia="Garamond" w:hAnsi="Garamond" w:cs="Garamond"/>
          <w:b/>
          <w:bCs/>
          <w:color w:val="111111"/>
          <w:sz w:val="24"/>
          <w:szCs w:val="24"/>
        </w:rPr>
      </w:pPr>
    </w:p>
    <w:p w14:paraId="5EA4AA26" w14:textId="77777777" w:rsidR="0088082E" w:rsidRDefault="002C7464">
      <w:pPr>
        <w:spacing w:line="240" w:lineRule="auto"/>
        <w:jc w:val="both"/>
        <w:rPr>
          <w:rFonts w:ascii="Garamond" w:eastAsia="Garamond" w:hAnsi="Garamond" w:cs="Garamond"/>
          <w:b/>
          <w:bCs/>
          <w:sz w:val="24"/>
          <w:szCs w:val="24"/>
        </w:rPr>
      </w:pPr>
      <w:r>
        <w:rPr>
          <w:rFonts w:ascii="Garamond" w:eastAsia="Garamond" w:hAnsi="Garamond" w:cs="Garamond"/>
          <w:b/>
          <w:bCs/>
          <w:color w:val="111111"/>
          <w:sz w:val="24"/>
          <w:szCs w:val="24"/>
        </w:rPr>
        <w:t xml:space="preserve">INTRODUCTION </w:t>
      </w:r>
    </w:p>
    <w:p w14:paraId="6E206D30" w14:textId="20A831CF"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Artificial Intelligence (AI) has come to be an example of General-Purpose Technology (GPT) with a revolutionary journey comparable to electricity or the steam engine.</w:t>
      </w:r>
      <w:r>
        <w:rPr>
          <w:rFonts w:ascii="Garamond" w:eastAsia="Garamond" w:hAnsi="Garamond" w:cs="Garamond"/>
          <w:sz w:val="24"/>
          <w:szCs w:val="24"/>
        </w:rPr>
        <w:t xml:space="preserve"> </w:t>
      </w:r>
      <w:r>
        <w:rPr>
          <w:rFonts w:ascii="Garamond" w:eastAsia="Garamond" w:hAnsi="Garamond" w:cs="Garamond"/>
          <w:color w:val="111111"/>
          <w:sz w:val="24"/>
          <w:szCs w:val="24"/>
        </w:rPr>
        <w:t>Unlike niche technologies, AI is marked by widespread proliferation of the technology across disparate sectors, on one hand, and the ability to continuously and autonomously improve, on the other (Farhad, 2025; Srivastava &amp; Bullock, 2024).</w:t>
      </w:r>
      <w:r>
        <w:rPr>
          <w:rFonts w:ascii="Garamond" w:eastAsia="Garamond" w:hAnsi="Garamond" w:cs="Garamond"/>
          <w:sz w:val="24"/>
          <w:szCs w:val="24"/>
        </w:rPr>
        <w:t xml:space="preserve"> </w:t>
      </w:r>
      <w:r>
        <w:rPr>
          <w:rFonts w:ascii="Garamond" w:eastAsia="Garamond" w:hAnsi="Garamond" w:cs="Garamond"/>
          <w:color w:val="111111"/>
          <w:sz w:val="24"/>
          <w:szCs w:val="24"/>
        </w:rPr>
        <w:t>In the field of governance, AI is fundamentally changing the definition of "state capacity" - the set of institutional competencies and resources needed for the effective formulation and implementation of policies (Sousa et al., 2025).</w:t>
      </w:r>
      <w:r>
        <w:rPr>
          <w:rFonts w:ascii="Garamond" w:eastAsia="Garamond" w:hAnsi="Garamond" w:cs="Garamond"/>
          <w:sz w:val="24"/>
          <w:szCs w:val="24"/>
        </w:rPr>
        <w:t xml:space="preserve"> </w:t>
      </w:r>
      <w:r w:rsidR="00796B8B" w:rsidRPr="000B5512">
        <w:rPr>
          <w:rFonts w:ascii="Garamond" w:eastAsia="Garamond" w:hAnsi="Garamond" w:cs="Garamond"/>
          <w:sz w:val="24"/>
          <w:szCs w:val="24"/>
          <w:highlight w:val="yellow"/>
        </w:rPr>
        <w:t>The integration of</w:t>
      </w:r>
      <w:r w:rsidR="00796B8B" w:rsidRPr="000B5512">
        <w:rPr>
          <w:rFonts w:ascii="Garamond" w:eastAsia="Garamond" w:hAnsi="Garamond" w:cs="Garamond"/>
          <w:sz w:val="24"/>
          <w:szCs w:val="24"/>
          <w:highlight w:val="yellow"/>
        </w:rPr>
        <w:t xml:space="preserve"> </w:t>
      </w:r>
      <w:r w:rsidR="00796B8B" w:rsidRPr="000B5512">
        <w:rPr>
          <w:rFonts w:ascii="Garamond" w:eastAsia="Garamond" w:hAnsi="Garamond" w:cs="Garamond"/>
          <w:sz w:val="24"/>
          <w:szCs w:val="24"/>
          <w:highlight w:val="yellow"/>
        </w:rPr>
        <w:t>AI into public administration marks a significant transformation in governance, policy-making, and public service delivery</w:t>
      </w:r>
      <w:r w:rsidR="00796B8B" w:rsidRPr="000B5512">
        <w:rPr>
          <w:rFonts w:ascii="Garamond" w:eastAsia="Garamond" w:hAnsi="Garamond" w:cs="Garamond"/>
          <w:sz w:val="24"/>
          <w:szCs w:val="24"/>
          <w:highlight w:val="yellow"/>
        </w:rPr>
        <w:t xml:space="preserve"> (</w:t>
      </w:r>
      <w:r w:rsidR="000B5512" w:rsidRPr="000B5512">
        <w:rPr>
          <w:rFonts w:ascii="Garamond" w:eastAsia="Garamond" w:hAnsi="Garamond" w:cs="Garamond"/>
          <w:sz w:val="24"/>
          <w:szCs w:val="24"/>
          <w:highlight w:val="yellow"/>
          <w:lang w:val="en-US"/>
        </w:rPr>
        <w:t>Charles</w:t>
      </w:r>
      <w:r w:rsidR="000B5512" w:rsidRPr="000B5512">
        <w:rPr>
          <w:rFonts w:ascii="Garamond" w:eastAsia="Garamond" w:hAnsi="Garamond" w:cs="Garamond"/>
          <w:sz w:val="24"/>
          <w:szCs w:val="24"/>
          <w:highlight w:val="yellow"/>
          <w:lang w:val="en-US"/>
        </w:rPr>
        <w:t xml:space="preserve"> et al., 2022; </w:t>
      </w:r>
      <w:r w:rsidR="00796B8B" w:rsidRPr="000B5512">
        <w:rPr>
          <w:rFonts w:ascii="Garamond" w:eastAsia="Garamond" w:hAnsi="Garamond" w:cs="Garamond"/>
          <w:sz w:val="24"/>
          <w:szCs w:val="24"/>
          <w:highlight w:val="yellow"/>
        </w:rPr>
        <w:t>Kayyali</w:t>
      </w:r>
      <w:r w:rsidR="00796B8B" w:rsidRPr="000B5512">
        <w:rPr>
          <w:rFonts w:ascii="Garamond" w:eastAsia="Garamond" w:hAnsi="Garamond" w:cs="Garamond"/>
          <w:sz w:val="24"/>
          <w:szCs w:val="24"/>
          <w:highlight w:val="yellow"/>
        </w:rPr>
        <w:t>, 2026)</w:t>
      </w:r>
      <w:r w:rsidR="00796B8B" w:rsidRPr="000B5512">
        <w:rPr>
          <w:rFonts w:ascii="Garamond" w:eastAsia="Garamond" w:hAnsi="Garamond" w:cs="Garamond"/>
          <w:sz w:val="24"/>
          <w:szCs w:val="24"/>
          <w:highlight w:val="yellow"/>
        </w:rPr>
        <w:t>.</w:t>
      </w:r>
      <w:r w:rsidR="00796B8B" w:rsidRPr="000B5512">
        <w:rPr>
          <w:rFonts w:ascii="Garamond" w:eastAsia="Garamond" w:hAnsi="Garamond" w:cs="Garamond"/>
          <w:sz w:val="24"/>
          <w:szCs w:val="24"/>
          <w:highlight w:val="yellow"/>
        </w:rPr>
        <w:t xml:space="preserve"> </w:t>
      </w:r>
      <w:r w:rsidR="00796B8B" w:rsidRPr="000B5512">
        <w:rPr>
          <w:rFonts w:ascii="Garamond" w:eastAsia="Garamond" w:hAnsi="Garamond" w:cs="Garamond"/>
          <w:sz w:val="24"/>
          <w:szCs w:val="24"/>
          <w:highlight w:val="yellow"/>
        </w:rPr>
        <w:t>AI offers transformational</w:t>
      </w:r>
      <w:r w:rsidR="00796B8B" w:rsidRPr="000B5512">
        <w:rPr>
          <w:rFonts w:ascii="Garamond" w:eastAsia="Garamond" w:hAnsi="Garamond" w:cs="Garamond"/>
          <w:sz w:val="24"/>
          <w:szCs w:val="24"/>
          <w:highlight w:val="yellow"/>
        </w:rPr>
        <w:t xml:space="preserve"> </w:t>
      </w:r>
      <w:r w:rsidR="00796B8B" w:rsidRPr="000B5512">
        <w:rPr>
          <w:rFonts w:ascii="Garamond" w:eastAsia="Garamond" w:hAnsi="Garamond" w:cs="Garamond"/>
          <w:sz w:val="24"/>
          <w:szCs w:val="24"/>
          <w:highlight w:val="yellow"/>
        </w:rPr>
        <w:t>potential for governance. As a technology capable of processing large-scale</w:t>
      </w:r>
      <w:r w:rsidR="00796B8B" w:rsidRPr="000B5512">
        <w:rPr>
          <w:rFonts w:ascii="Garamond" w:eastAsia="Garamond" w:hAnsi="Garamond" w:cs="Garamond"/>
          <w:sz w:val="24"/>
          <w:szCs w:val="24"/>
          <w:highlight w:val="yellow"/>
        </w:rPr>
        <w:t xml:space="preserve"> </w:t>
      </w:r>
      <w:r w:rsidR="00796B8B" w:rsidRPr="000B5512">
        <w:rPr>
          <w:rFonts w:ascii="Garamond" w:eastAsia="Garamond" w:hAnsi="Garamond" w:cs="Garamond"/>
          <w:sz w:val="24"/>
          <w:szCs w:val="24"/>
          <w:highlight w:val="yellow"/>
        </w:rPr>
        <w:t>data, identifying patterns, and generating evidence-based insights, AI is believed to support more targeted decision-making</w:t>
      </w:r>
      <w:r w:rsidR="00796B8B" w:rsidRPr="000B5512">
        <w:rPr>
          <w:rFonts w:ascii="Garamond" w:eastAsia="Garamond" w:hAnsi="Garamond" w:cs="Garamond"/>
          <w:sz w:val="24"/>
          <w:szCs w:val="24"/>
          <w:highlight w:val="yellow"/>
        </w:rPr>
        <w:t xml:space="preserve"> (</w:t>
      </w:r>
      <w:r w:rsidR="00796B8B" w:rsidRPr="000B5512">
        <w:rPr>
          <w:rFonts w:ascii="Garamond" w:eastAsia="Garamond" w:hAnsi="Garamond" w:cs="Garamond"/>
          <w:sz w:val="24"/>
          <w:szCs w:val="24"/>
          <w:highlight w:val="yellow"/>
        </w:rPr>
        <w:t>Arief</w:t>
      </w:r>
      <w:r w:rsidR="00796B8B" w:rsidRPr="000B5512">
        <w:rPr>
          <w:rFonts w:ascii="Garamond" w:eastAsia="Garamond" w:hAnsi="Garamond" w:cs="Garamond"/>
          <w:sz w:val="24"/>
          <w:szCs w:val="24"/>
          <w:highlight w:val="yellow"/>
        </w:rPr>
        <w:t xml:space="preserve"> et al., 2025</w:t>
      </w:r>
      <w:r w:rsidR="000B5512" w:rsidRPr="000B5512">
        <w:rPr>
          <w:rFonts w:ascii="Garamond" w:eastAsia="Garamond" w:hAnsi="Garamond" w:cs="Garamond"/>
          <w:sz w:val="24"/>
          <w:szCs w:val="24"/>
          <w:highlight w:val="yellow"/>
        </w:rPr>
        <w:t xml:space="preserve">; </w:t>
      </w:r>
      <w:r w:rsidR="000B5512" w:rsidRPr="000B5512">
        <w:rPr>
          <w:rFonts w:ascii="Garamond" w:eastAsia="Garamond" w:hAnsi="Garamond" w:cs="Garamond"/>
          <w:sz w:val="24"/>
          <w:szCs w:val="24"/>
          <w:highlight w:val="yellow"/>
        </w:rPr>
        <w:t>Xu</w:t>
      </w:r>
      <w:r w:rsidR="000B5512" w:rsidRPr="000B5512">
        <w:rPr>
          <w:rFonts w:ascii="Garamond" w:eastAsia="Garamond" w:hAnsi="Garamond" w:cs="Garamond"/>
          <w:sz w:val="24"/>
          <w:szCs w:val="24"/>
          <w:highlight w:val="yellow"/>
        </w:rPr>
        <w:t xml:space="preserve"> et al., 2025</w:t>
      </w:r>
      <w:r w:rsidR="00796B8B" w:rsidRPr="000B5512">
        <w:rPr>
          <w:rFonts w:ascii="Garamond" w:eastAsia="Garamond" w:hAnsi="Garamond" w:cs="Garamond"/>
          <w:sz w:val="24"/>
          <w:szCs w:val="24"/>
          <w:highlight w:val="yellow"/>
        </w:rPr>
        <w:t>)</w:t>
      </w:r>
      <w:r w:rsidR="00796B8B" w:rsidRPr="000B5512">
        <w:rPr>
          <w:rFonts w:ascii="Garamond" w:eastAsia="Garamond" w:hAnsi="Garamond" w:cs="Garamond"/>
          <w:sz w:val="24"/>
          <w:szCs w:val="24"/>
          <w:highlight w:val="yellow"/>
        </w:rPr>
        <w:t>.</w:t>
      </w:r>
      <w:r w:rsidR="00796B8B">
        <w:rPr>
          <w:rFonts w:ascii="Garamond" w:eastAsia="Garamond" w:hAnsi="Garamond" w:cs="Garamond"/>
          <w:sz w:val="24"/>
          <w:szCs w:val="24"/>
        </w:rPr>
        <w:t xml:space="preserve"> </w:t>
      </w:r>
      <w:r>
        <w:rPr>
          <w:rFonts w:ascii="Garamond" w:eastAsia="Garamond" w:hAnsi="Garamond" w:cs="Garamond"/>
          <w:color w:val="111111"/>
          <w:sz w:val="24"/>
          <w:szCs w:val="24"/>
        </w:rPr>
        <w:t>As public administration evolves from "street-level" bureaucracies to "system-level" bureaucracies, the point of discretionary power is moving from human agents to algorithmic structures (Young et al., 2019).</w:t>
      </w:r>
      <w:r>
        <w:rPr>
          <w:rFonts w:ascii="Garamond" w:eastAsia="Garamond" w:hAnsi="Garamond" w:cs="Garamond"/>
          <w:sz w:val="24"/>
          <w:szCs w:val="24"/>
        </w:rPr>
        <w:t xml:space="preserve"> </w:t>
      </w:r>
      <w:r>
        <w:rPr>
          <w:rFonts w:ascii="Garamond" w:eastAsia="Garamond" w:hAnsi="Garamond" w:cs="Garamond"/>
          <w:color w:val="111111"/>
          <w:sz w:val="24"/>
          <w:szCs w:val="24"/>
        </w:rPr>
        <w:t xml:space="preserve">This evolution requires a radical adaptation of the state function and involves new technical competencies for monitoring the AI system's </w:t>
      </w:r>
      <w:r>
        <w:rPr>
          <w:rFonts w:ascii="Garamond" w:eastAsia="Garamond" w:hAnsi="Garamond" w:cs="Garamond"/>
          <w:color w:val="111111"/>
          <w:sz w:val="24"/>
          <w:szCs w:val="24"/>
        </w:rPr>
        <w:lastRenderedPageBreak/>
        <w:t>operation and new institutional structures to control the structural and discursive power to which AI empowers both public and private actors (Srivastava &amp; Bullock, 2024; Sousa et al., 2025).</w:t>
      </w:r>
    </w:p>
    <w:p w14:paraId="6D09AE2A" w14:textId="77777777" w:rsidR="0088082E" w:rsidRDefault="0088082E">
      <w:pPr>
        <w:spacing w:line="240" w:lineRule="auto"/>
        <w:jc w:val="both"/>
        <w:rPr>
          <w:rFonts w:ascii="Garamond" w:eastAsia="Garamond" w:hAnsi="Garamond" w:cs="Garamond"/>
          <w:color w:val="111111"/>
          <w:sz w:val="24"/>
          <w:szCs w:val="24"/>
        </w:rPr>
      </w:pPr>
    </w:p>
    <w:p w14:paraId="276B7878" w14:textId="77777777" w:rsidR="0088082E" w:rsidRDefault="0088082E">
      <w:pPr>
        <w:spacing w:line="240" w:lineRule="auto"/>
        <w:jc w:val="both"/>
        <w:rPr>
          <w:rFonts w:ascii="Garamond" w:eastAsia="Garamond" w:hAnsi="Garamond" w:cs="Garamond"/>
          <w:color w:val="111111"/>
          <w:sz w:val="24"/>
          <w:szCs w:val="24"/>
        </w:rPr>
      </w:pPr>
    </w:p>
    <w:p w14:paraId="60F96D22"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The Problem Statement</w:t>
      </w:r>
    </w:p>
    <w:p w14:paraId="5BDC8D83"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The integration of AI into public policy presents a profound "governance paradox." On the one hand, there are the possibilities of radically more efficient, resilient and proactive public services offered by AI-driven predictive analytics: Governments can anticipate economic shifts and societal needs before they become bigger problems (Vatamanu &amp; Tofan, 2025; Fan, 2025). On the other hand, the threat to the fundamental principles of democratic control of government - transparency, fairness, and human agency- is the "hard problem" of AI governance (Minkkinen &amp; </w:t>
      </w:r>
      <w:proofErr w:type="spellStart"/>
      <w:r>
        <w:rPr>
          <w:rFonts w:ascii="Garamond" w:eastAsia="Garamond" w:hAnsi="Garamond" w:cs="Garamond"/>
          <w:color w:val="111111"/>
          <w:sz w:val="24"/>
          <w:szCs w:val="24"/>
        </w:rPr>
        <w:t>Mantymaki</w:t>
      </w:r>
      <w:proofErr w:type="spellEnd"/>
      <w:r>
        <w:rPr>
          <w:rFonts w:ascii="Garamond" w:eastAsia="Garamond" w:hAnsi="Garamond" w:cs="Garamond"/>
          <w:color w:val="111111"/>
          <w:sz w:val="24"/>
          <w:szCs w:val="24"/>
        </w:rPr>
        <w:t xml:space="preserve">, 2023; Margetts, 2022). As the use of automated decision-making systems are becoming more driven by autonomy, there is a risk that it will entrench structural inequalities and create "black box" environments in policy making where the algorithmic system logic becomes removed from public oversight (Bullock et al. 2025, </w:t>
      </w:r>
      <w:proofErr w:type="spellStart"/>
      <w:r>
        <w:rPr>
          <w:rFonts w:ascii="Garamond" w:eastAsia="Garamond" w:hAnsi="Garamond" w:cs="Garamond"/>
          <w:color w:val="111111"/>
          <w:sz w:val="24"/>
          <w:szCs w:val="24"/>
        </w:rPr>
        <w:t>Rymon</w:t>
      </w:r>
      <w:proofErr w:type="spellEnd"/>
      <w:r>
        <w:rPr>
          <w:rFonts w:ascii="Garamond" w:eastAsia="Garamond" w:hAnsi="Garamond" w:cs="Garamond"/>
          <w:color w:val="111111"/>
          <w:sz w:val="24"/>
          <w:szCs w:val="24"/>
        </w:rPr>
        <w:t xml:space="preserve"> 2025). Furthermore, public attitudes are increasingly </w:t>
      </w:r>
      <w:proofErr w:type="spellStart"/>
      <w:r>
        <w:rPr>
          <w:rFonts w:ascii="Garamond" w:eastAsia="Garamond" w:hAnsi="Garamond" w:cs="Garamond"/>
          <w:color w:val="111111"/>
          <w:sz w:val="24"/>
          <w:szCs w:val="24"/>
        </w:rPr>
        <w:t>characterised</w:t>
      </w:r>
      <w:proofErr w:type="spellEnd"/>
      <w:r>
        <w:rPr>
          <w:rFonts w:ascii="Garamond" w:eastAsia="Garamond" w:hAnsi="Garamond" w:cs="Garamond"/>
          <w:color w:val="111111"/>
          <w:sz w:val="24"/>
          <w:szCs w:val="24"/>
        </w:rPr>
        <w:t xml:space="preserve"> by concern and not optimism and create a tension between technocratic efficiency and the democratic legitimacy required for policy acceptance (Akgun &amp; Greenhow, 2021).</w:t>
      </w:r>
    </w:p>
    <w:p w14:paraId="372DC477" w14:textId="77777777" w:rsidR="0088082E" w:rsidRDefault="0088082E">
      <w:pPr>
        <w:shd w:val="clear" w:color="auto" w:fill="FFFFFF"/>
        <w:spacing w:line="240" w:lineRule="auto"/>
        <w:jc w:val="both"/>
        <w:rPr>
          <w:rFonts w:ascii="Garamond" w:eastAsia="Garamond" w:hAnsi="Garamond" w:cs="Garamond"/>
          <w:sz w:val="24"/>
          <w:szCs w:val="24"/>
        </w:rPr>
      </w:pPr>
    </w:p>
    <w:p w14:paraId="71D6D5F4"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Rationale</w:t>
      </w:r>
    </w:p>
    <w:p w14:paraId="59DAF1D7" w14:textId="77777777" w:rsidR="0088082E" w:rsidRDefault="0088082E">
      <w:pPr>
        <w:spacing w:line="240" w:lineRule="auto"/>
        <w:jc w:val="both"/>
        <w:rPr>
          <w:rFonts w:ascii="Garamond" w:eastAsia="Garamond" w:hAnsi="Garamond" w:cs="Garamond"/>
          <w:color w:val="111111"/>
          <w:sz w:val="24"/>
          <w:szCs w:val="24"/>
        </w:rPr>
      </w:pPr>
    </w:p>
    <w:p w14:paraId="3F7CBD37"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Despite the speed at which AI governance frameworks have been adopted, from the EU's risk-based AI Act to various "regulatory sandboxes", there is a much-needed lack of </w:t>
      </w:r>
      <w:proofErr w:type="spellStart"/>
      <w:r>
        <w:rPr>
          <w:rFonts w:ascii="Garamond" w:eastAsia="Garamond" w:hAnsi="Garamond" w:cs="Garamond"/>
          <w:color w:val="111111"/>
          <w:sz w:val="24"/>
          <w:szCs w:val="24"/>
        </w:rPr>
        <w:t>synthesised</w:t>
      </w:r>
      <w:proofErr w:type="spellEnd"/>
      <w:r>
        <w:rPr>
          <w:rFonts w:ascii="Garamond" w:eastAsia="Garamond" w:hAnsi="Garamond" w:cs="Garamond"/>
          <w:color w:val="111111"/>
          <w:sz w:val="24"/>
          <w:szCs w:val="24"/>
        </w:rPr>
        <w:t xml:space="preserve"> and longitudinal evidence of their political and economic effectiveness. Public opinion is subject to change, but uniform data for assessing changes in public opinion about the legitimacy of particular policies is limited. While the challenges with AI are addressed separately in the existing research, it is </w:t>
      </w:r>
      <w:r>
        <w:rPr>
          <w:rFonts w:ascii="Garamond" w:eastAsia="Garamond" w:hAnsi="Garamond" w:cs="Garamond"/>
          <w:color w:val="111111"/>
          <w:sz w:val="24"/>
          <w:szCs w:val="24"/>
        </w:rPr>
        <w:t>necessary to have a holistic understanding of how AI-human collaboration is reshaping the social contract. This systematic review helps address this gap by synthesizing research published from 2018 to 2026 on the possible alignment of governmental models, how they juxtapose technological innovation to societal values and democratic principles. By opening up the intersection of economic management (labor and productivity) and political governance (trust and participation) this study offers an evidenced road map for the algorithmic transformation of the state.</w:t>
      </w:r>
    </w:p>
    <w:p w14:paraId="2F73C757" w14:textId="77777777" w:rsidR="0088082E" w:rsidRDefault="0088082E">
      <w:pPr>
        <w:spacing w:line="240" w:lineRule="auto"/>
        <w:jc w:val="both"/>
        <w:rPr>
          <w:rFonts w:ascii="Garamond" w:eastAsia="Garamond" w:hAnsi="Garamond" w:cs="Garamond"/>
          <w:color w:val="111111"/>
          <w:sz w:val="24"/>
          <w:szCs w:val="24"/>
        </w:rPr>
      </w:pPr>
    </w:p>
    <w:p w14:paraId="07B31EB7"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Objectives and Research Questions</w:t>
      </w:r>
    </w:p>
    <w:p w14:paraId="7DADF83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The main goal of this review is to assess the current global situation regarding the integration of AI in public policy and its implications in political systems and economic stability. To do so, the study responds to the following research questions:</w:t>
      </w:r>
    </w:p>
    <w:p w14:paraId="16195158"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1. How are governments integrating AI into policy processes (e.g., predictive analytics for economic management, automated decision-making), and what governance frameworks (laws, guidelines, standards) have been established or proposed?</w:t>
      </w:r>
    </w:p>
    <w:p w14:paraId="64526952"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2. What evidence exists on AI’s impacts on employment, productivity, fiscal management and economic inequality, and how are policymakers responding with taxation, social welfare or education policies?</w:t>
      </w:r>
    </w:p>
    <w:p w14:paraId="489F4C26" w14:textId="77777777" w:rsidR="0088082E" w:rsidRDefault="002C7464">
      <w:pPr>
        <w:spacing w:before="240" w:after="240" w:line="240" w:lineRule="auto"/>
        <w:ind w:left="360"/>
        <w:jc w:val="both"/>
        <w:rPr>
          <w:rFonts w:ascii="Garamond" w:eastAsia="Garamond" w:hAnsi="Garamond" w:cs="Garamond"/>
          <w:color w:val="111111"/>
          <w:sz w:val="24"/>
          <w:szCs w:val="24"/>
        </w:rPr>
      </w:pPr>
      <w:r>
        <w:rPr>
          <w:rFonts w:ascii="Garamond" w:eastAsia="Garamond" w:hAnsi="Garamond" w:cs="Garamond"/>
          <w:color w:val="111111"/>
          <w:sz w:val="24"/>
          <w:szCs w:val="24"/>
        </w:rPr>
        <w:t>3. How do public perceptions of AI influence policy acceptance and legitimacy, and what mechanisms (public consultations, participatory governance, transparency measures) are being used to align AI development with democratic values and mitigate concerns?</w:t>
      </w:r>
    </w:p>
    <w:p w14:paraId="22393415"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MATERIALS AND METHOD</w:t>
      </w:r>
    </w:p>
    <w:p w14:paraId="078FE126"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This is a systematic review using a rigorous methodological approach to bring together the </w:t>
      </w:r>
      <w:r>
        <w:rPr>
          <w:rFonts w:ascii="Garamond" w:eastAsia="Garamond" w:hAnsi="Garamond" w:cs="Garamond"/>
          <w:color w:val="111111"/>
          <w:sz w:val="24"/>
          <w:szCs w:val="24"/>
        </w:rPr>
        <w:lastRenderedPageBreak/>
        <w:t>evidence on the nexus of artificial intelligence, public policy, and economic governance. To promote transparency, replicability and reduce selection bias, the study follows the PRISMA 2020 (Preferred Reporting Items for Systematic Reviews and Meta-Analyses) statement (Page et al., 2021). This protocol is a structured approach to identifying, screening and assessing the quality of various sources in the social sciences (Petticrew &amp; Roberts, 2006).</w:t>
      </w:r>
    </w:p>
    <w:p w14:paraId="35BD2847" w14:textId="77777777" w:rsidR="0088082E" w:rsidRDefault="0088082E">
      <w:pPr>
        <w:spacing w:line="240" w:lineRule="auto"/>
        <w:jc w:val="both"/>
        <w:rPr>
          <w:rFonts w:ascii="Garamond" w:eastAsia="Garamond" w:hAnsi="Garamond" w:cs="Garamond"/>
          <w:b/>
          <w:bCs/>
          <w:color w:val="111111"/>
          <w:sz w:val="24"/>
          <w:szCs w:val="24"/>
        </w:rPr>
      </w:pPr>
    </w:p>
    <w:p w14:paraId="34BEEB7C"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Search Strategy and Sources of Data</w:t>
      </w:r>
    </w:p>
    <w:p w14:paraId="1B5CB6A9"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A thorough search was conducted in four major academic databases Scopus, Web of Science, JSTOR, and </w:t>
      </w:r>
      <w:proofErr w:type="spellStart"/>
      <w:r>
        <w:rPr>
          <w:rFonts w:ascii="Garamond" w:eastAsia="Garamond" w:hAnsi="Garamond" w:cs="Garamond"/>
          <w:color w:val="111111"/>
          <w:sz w:val="24"/>
          <w:szCs w:val="24"/>
        </w:rPr>
        <w:t>HeinOnline</w:t>
      </w:r>
      <w:proofErr w:type="spellEnd"/>
      <w:r>
        <w:rPr>
          <w:rFonts w:ascii="Garamond" w:eastAsia="Garamond" w:hAnsi="Garamond" w:cs="Garamond"/>
          <w:color w:val="111111"/>
          <w:sz w:val="24"/>
          <w:szCs w:val="24"/>
        </w:rPr>
        <w:t xml:space="preserve">. These platforms were chosen for their overall coverage in the fields of political science, international law and economic theory. The search involved the use of </w:t>
      </w:r>
      <w:proofErr w:type="spellStart"/>
      <w:r>
        <w:rPr>
          <w:rFonts w:ascii="Garamond" w:eastAsia="Garamond" w:hAnsi="Garamond" w:cs="Garamond"/>
          <w:color w:val="111111"/>
          <w:sz w:val="24"/>
          <w:szCs w:val="24"/>
        </w:rPr>
        <w:t>boolean</w:t>
      </w:r>
      <w:proofErr w:type="spellEnd"/>
      <w:r>
        <w:rPr>
          <w:rFonts w:ascii="Garamond" w:eastAsia="Garamond" w:hAnsi="Garamond" w:cs="Garamond"/>
          <w:color w:val="111111"/>
          <w:sz w:val="24"/>
          <w:szCs w:val="24"/>
        </w:rPr>
        <w:t xml:space="preserve"> operators to connect various fundamental ideas: ("Artificial Intelligence" OR "Algorithmic Governance") AND ("Public Policy" OR "Economic Management") AND ("Democratic Legitimacy" OR "Public Trust") AND ("</w:t>
      </w:r>
      <w:proofErr w:type="spellStart"/>
      <w:r>
        <w:rPr>
          <w:rFonts w:ascii="Garamond" w:eastAsia="Garamond" w:hAnsi="Garamond" w:cs="Garamond"/>
          <w:color w:val="111111"/>
          <w:sz w:val="24"/>
          <w:szCs w:val="24"/>
        </w:rPr>
        <w:t>Labour</w:t>
      </w:r>
      <w:proofErr w:type="spellEnd"/>
      <w:r>
        <w:rPr>
          <w:rFonts w:ascii="Garamond" w:eastAsia="Garamond" w:hAnsi="Garamond" w:cs="Garamond"/>
          <w:color w:val="111111"/>
          <w:sz w:val="24"/>
          <w:szCs w:val="24"/>
        </w:rPr>
        <w:t xml:space="preserve"> Market" OR "Fiscal Policy").</w:t>
      </w:r>
    </w:p>
    <w:p w14:paraId="4ED8373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Given that AI governance is a fast-evolving field the search was expanded to grey literature to capture high-level policy frameworks and intergovernmental standards, (Adams et al., 2017). Key sources used were the Organization for Economic Cooperation and Development (OECD) AI Observatory, the Department of Economic and Social Affairs of the United Nations (UN DESA) and the technical reports by the European Commission.</w:t>
      </w:r>
    </w:p>
    <w:p w14:paraId="57CB90FF" w14:textId="77777777" w:rsidR="0088082E" w:rsidRDefault="0088082E">
      <w:pPr>
        <w:spacing w:line="240" w:lineRule="auto"/>
        <w:jc w:val="both"/>
        <w:rPr>
          <w:rFonts w:ascii="Garamond" w:eastAsia="Garamond" w:hAnsi="Garamond" w:cs="Garamond"/>
          <w:color w:val="111111"/>
          <w:sz w:val="24"/>
          <w:szCs w:val="24"/>
        </w:rPr>
      </w:pPr>
    </w:p>
    <w:p w14:paraId="37867A2D"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Inclusion Criteria &amp; Exclusion Criteria</w:t>
      </w:r>
    </w:p>
    <w:p w14:paraId="3D09EDA2"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To keep the focus on current governance outcomes, the following criteria were used:</w:t>
      </w:r>
    </w:p>
    <w:p w14:paraId="40EE3F29"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Temporal Scope: Articles that were published in the period of time between January 2018 and January 2026, this covers the significant leaps in generative models and state AI integration on a large scale.</w:t>
      </w:r>
    </w:p>
    <w:p w14:paraId="0EF9E389" w14:textId="77777777" w:rsidR="0088082E" w:rsidRDefault="0088082E">
      <w:pPr>
        <w:spacing w:line="240" w:lineRule="auto"/>
        <w:jc w:val="both"/>
        <w:rPr>
          <w:rFonts w:ascii="Garamond" w:eastAsia="Garamond" w:hAnsi="Garamond" w:cs="Garamond"/>
          <w:color w:val="111111"/>
          <w:sz w:val="24"/>
          <w:szCs w:val="24"/>
        </w:rPr>
      </w:pPr>
    </w:p>
    <w:p w14:paraId="239AB7D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Publication Type:</w:t>
      </w:r>
      <w:r>
        <w:rPr>
          <w:rFonts w:ascii="Garamond" w:eastAsia="Garamond" w:hAnsi="Garamond" w:cs="Garamond"/>
          <w:color w:val="111111"/>
          <w:sz w:val="24"/>
          <w:szCs w:val="24"/>
        </w:rPr>
        <w:t xml:space="preserve"> Peer-reviewed journal articles, seminal books and high-level policy papers from international </w:t>
      </w:r>
      <w:proofErr w:type="spellStart"/>
      <w:r>
        <w:rPr>
          <w:rFonts w:ascii="Garamond" w:eastAsia="Garamond" w:hAnsi="Garamond" w:cs="Garamond"/>
          <w:color w:val="111111"/>
          <w:sz w:val="24"/>
          <w:szCs w:val="24"/>
        </w:rPr>
        <w:t>organisations</w:t>
      </w:r>
      <w:proofErr w:type="spellEnd"/>
      <w:r>
        <w:rPr>
          <w:rFonts w:ascii="Garamond" w:eastAsia="Garamond" w:hAnsi="Garamond" w:cs="Garamond"/>
          <w:color w:val="111111"/>
          <w:sz w:val="24"/>
          <w:szCs w:val="24"/>
        </w:rPr>
        <w:t>.</w:t>
      </w:r>
    </w:p>
    <w:p w14:paraId="018C82DD"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Content Focus:</w:t>
      </w:r>
      <w:r>
        <w:rPr>
          <w:rFonts w:ascii="Garamond" w:eastAsia="Garamond" w:hAnsi="Garamond" w:cs="Garamond"/>
          <w:color w:val="111111"/>
          <w:sz w:val="24"/>
          <w:szCs w:val="24"/>
        </w:rPr>
        <w:t xml:space="preserve"> Sources were expected to assess the governance, ethical, or economic implications of AI instead of only focusing on technical specifications or the performance of the algorithms (Moher et al., 2015).</w:t>
      </w:r>
    </w:p>
    <w:p w14:paraId="06850924"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Language:</w:t>
      </w:r>
      <w:r>
        <w:rPr>
          <w:rFonts w:ascii="Garamond" w:eastAsia="Garamond" w:hAnsi="Garamond" w:cs="Garamond"/>
          <w:color w:val="111111"/>
          <w:sz w:val="24"/>
          <w:szCs w:val="24"/>
        </w:rPr>
        <w:t xml:space="preserve"> Only English Language publications were considered so that precision thematic synthesis could be carried out.</w:t>
      </w:r>
    </w:p>
    <w:p w14:paraId="38BC6E0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Exclusion criteria included papers that focused solely on applications of AI implemented in the private sector without some public policy nexus, and editorial commentaries and anecdotal reports without some clear empirical or theoretical methodology.</w:t>
      </w:r>
    </w:p>
    <w:p w14:paraId="2FD6514E" w14:textId="77777777" w:rsidR="0088082E" w:rsidRDefault="0088082E">
      <w:pPr>
        <w:spacing w:line="240" w:lineRule="auto"/>
        <w:jc w:val="both"/>
        <w:rPr>
          <w:rFonts w:ascii="Garamond" w:eastAsia="Garamond" w:hAnsi="Garamond" w:cs="Garamond"/>
          <w:color w:val="111111"/>
          <w:sz w:val="24"/>
          <w:szCs w:val="24"/>
        </w:rPr>
      </w:pPr>
    </w:p>
    <w:p w14:paraId="4BF9E57E"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Selection and Evaluation of Quality</w:t>
      </w:r>
    </w:p>
    <w:p w14:paraId="4CE5E98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The process of searches was a three-stage "funnel" approach including identification of articles by database searches (1), screening of title and abstract for thematic relevance (2) and screening of eligibility by full text (3). Each source included was given a quality appraisal, based on methodological </w:t>
      </w:r>
      <w:proofErr w:type="spellStart"/>
      <w:r>
        <w:rPr>
          <w:rFonts w:ascii="Garamond" w:eastAsia="Garamond" w:hAnsi="Garamond" w:cs="Garamond"/>
          <w:color w:val="111111"/>
          <w:sz w:val="24"/>
          <w:szCs w:val="24"/>
        </w:rPr>
        <w:t>rigour</w:t>
      </w:r>
      <w:proofErr w:type="spellEnd"/>
      <w:r>
        <w:rPr>
          <w:rFonts w:ascii="Garamond" w:eastAsia="Garamond" w:hAnsi="Garamond" w:cs="Garamond"/>
          <w:color w:val="111111"/>
          <w:sz w:val="24"/>
          <w:szCs w:val="24"/>
        </w:rPr>
        <w:t>, clarity of policy recommendations as well as the strength of its theoretical grounding (in political sciences or economics).</w:t>
      </w:r>
    </w:p>
    <w:p w14:paraId="2B3D3A03" w14:textId="77777777" w:rsidR="0088082E" w:rsidRDefault="0088082E">
      <w:pPr>
        <w:spacing w:line="240" w:lineRule="auto"/>
        <w:jc w:val="both"/>
        <w:rPr>
          <w:rFonts w:ascii="Garamond" w:eastAsia="Garamond" w:hAnsi="Garamond" w:cs="Garamond"/>
          <w:color w:val="111111"/>
          <w:sz w:val="24"/>
          <w:szCs w:val="24"/>
        </w:rPr>
      </w:pPr>
    </w:p>
    <w:p w14:paraId="66E747A0" w14:textId="77777777" w:rsidR="0088082E" w:rsidRDefault="002C7464">
      <w:pPr>
        <w:spacing w:line="240" w:lineRule="auto"/>
        <w:jc w:val="both"/>
        <w:rPr>
          <w:rFonts w:ascii="Garamond" w:eastAsia="Garamond" w:hAnsi="Garamond" w:cs="Garamond"/>
          <w:b/>
          <w:bCs/>
          <w:color w:val="111111"/>
          <w:sz w:val="24"/>
          <w:szCs w:val="24"/>
        </w:rPr>
      </w:pPr>
      <w:r>
        <w:rPr>
          <w:rFonts w:ascii="Garamond" w:eastAsia="Garamond" w:hAnsi="Garamond" w:cs="Garamond"/>
          <w:b/>
          <w:bCs/>
          <w:color w:val="111111"/>
          <w:sz w:val="24"/>
          <w:szCs w:val="24"/>
        </w:rPr>
        <w:t>Methods of Data Extraction and Synthesis</w:t>
      </w:r>
    </w:p>
    <w:p w14:paraId="51B3AA5A"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color w:val="111111"/>
          <w:sz w:val="24"/>
          <w:szCs w:val="24"/>
        </w:rPr>
        <w:t xml:space="preserve">Data were extracted and </w:t>
      </w:r>
      <w:proofErr w:type="spellStart"/>
      <w:r>
        <w:rPr>
          <w:rFonts w:ascii="Garamond" w:eastAsia="Garamond" w:hAnsi="Garamond" w:cs="Garamond"/>
          <w:color w:val="111111"/>
          <w:sz w:val="24"/>
          <w:szCs w:val="24"/>
        </w:rPr>
        <w:t>categorised</w:t>
      </w:r>
      <w:proofErr w:type="spellEnd"/>
      <w:r>
        <w:rPr>
          <w:rFonts w:ascii="Garamond" w:eastAsia="Garamond" w:hAnsi="Garamond" w:cs="Garamond"/>
          <w:color w:val="111111"/>
          <w:sz w:val="24"/>
          <w:szCs w:val="24"/>
        </w:rPr>
        <w:t xml:space="preserve"> into a matrix that was designed to address the three research questions. Extraction fields included:</w:t>
      </w:r>
    </w:p>
    <w:p w14:paraId="749B27BE"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Governance Frameworks:</w:t>
      </w:r>
      <w:r>
        <w:rPr>
          <w:rFonts w:ascii="Garamond" w:eastAsia="Garamond" w:hAnsi="Garamond" w:cs="Garamond"/>
          <w:color w:val="111111"/>
          <w:sz w:val="24"/>
          <w:szCs w:val="24"/>
        </w:rPr>
        <w:t xml:space="preserve"> Categorized by legal status - specifically, binding laws vs. voluntary guidelines, and administrative level e.g. national vs. supra-national.</w:t>
      </w:r>
    </w:p>
    <w:p w14:paraId="7F50972F"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Economic Impact:</w:t>
      </w:r>
      <w:r>
        <w:rPr>
          <w:rFonts w:ascii="Garamond" w:eastAsia="Garamond" w:hAnsi="Garamond" w:cs="Garamond"/>
          <w:color w:val="111111"/>
          <w:sz w:val="24"/>
          <w:szCs w:val="24"/>
        </w:rPr>
        <w:t xml:space="preserve"> Categorized according to indicators such as labor productivity, fiscal redistribution or economic inequality.</w:t>
      </w:r>
    </w:p>
    <w:p w14:paraId="51C4ED52" w14:textId="77777777" w:rsidR="0088082E" w:rsidRDefault="002C7464">
      <w:pPr>
        <w:spacing w:line="240" w:lineRule="auto"/>
        <w:jc w:val="both"/>
        <w:rPr>
          <w:rFonts w:ascii="Garamond" w:eastAsia="Garamond" w:hAnsi="Garamond" w:cs="Garamond"/>
          <w:color w:val="111111"/>
          <w:sz w:val="24"/>
          <w:szCs w:val="24"/>
        </w:rPr>
      </w:pPr>
      <w:r>
        <w:rPr>
          <w:rFonts w:ascii="Garamond" w:eastAsia="Garamond" w:hAnsi="Garamond" w:cs="Garamond"/>
          <w:b/>
          <w:bCs/>
          <w:color w:val="111111"/>
          <w:sz w:val="24"/>
          <w:szCs w:val="24"/>
        </w:rPr>
        <w:t>Political Systems:</w:t>
      </w:r>
      <w:r>
        <w:rPr>
          <w:rFonts w:ascii="Garamond" w:eastAsia="Garamond" w:hAnsi="Garamond" w:cs="Garamond"/>
          <w:color w:val="111111"/>
          <w:sz w:val="24"/>
          <w:szCs w:val="24"/>
        </w:rPr>
        <w:t xml:space="preserve"> </w:t>
      </w:r>
      <w:proofErr w:type="spellStart"/>
      <w:r>
        <w:rPr>
          <w:rFonts w:ascii="Garamond" w:eastAsia="Garamond" w:hAnsi="Garamond" w:cs="Garamond"/>
          <w:color w:val="111111"/>
          <w:sz w:val="24"/>
          <w:szCs w:val="24"/>
        </w:rPr>
        <w:t>Categorised</w:t>
      </w:r>
      <w:proofErr w:type="spellEnd"/>
      <w:r>
        <w:rPr>
          <w:rFonts w:ascii="Garamond" w:eastAsia="Garamond" w:hAnsi="Garamond" w:cs="Garamond"/>
          <w:color w:val="111111"/>
          <w:sz w:val="24"/>
          <w:szCs w:val="24"/>
        </w:rPr>
        <w:t xml:space="preserve"> based on the effects of democracy vs. autocracy in its governance models (Young et al., 2019).</w:t>
      </w:r>
    </w:p>
    <w:p w14:paraId="0AD13763" w14:textId="77777777" w:rsidR="0088082E" w:rsidRDefault="002C7464">
      <w:pPr>
        <w:spacing w:line="240" w:lineRule="auto"/>
        <w:jc w:val="both"/>
        <w:rPr>
          <w:rFonts w:ascii="Garamond" w:eastAsia="Garamond" w:hAnsi="Garamond" w:cs="Garamond"/>
          <w:color w:val="111111"/>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color w:val="111111"/>
          <w:sz w:val="24"/>
          <w:szCs w:val="24"/>
        </w:rPr>
        <w:t xml:space="preserve">The synthesis applied a narrative and thematic approach which made it possible to comparatively </w:t>
      </w:r>
      <w:proofErr w:type="spellStart"/>
      <w:r>
        <w:rPr>
          <w:rFonts w:ascii="Garamond" w:eastAsia="Garamond" w:hAnsi="Garamond" w:cs="Garamond"/>
          <w:color w:val="111111"/>
          <w:sz w:val="24"/>
          <w:szCs w:val="24"/>
        </w:rPr>
        <w:t>analyse</w:t>
      </w:r>
      <w:proofErr w:type="spellEnd"/>
      <w:r>
        <w:rPr>
          <w:rFonts w:ascii="Garamond" w:eastAsia="Garamond" w:hAnsi="Garamond" w:cs="Garamond"/>
          <w:color w:val="111111"/>
          <w:sz w:val="24"/>
          <w:szCs w:val="24"/>
        </w:rPr>
        <w:t xml:space="preserve"> how various political regimes address the economic and social disruptions of AI. This way a high-level combination of quantitative data on </w:t>
      </w:r>
      <w:r>
        <w:rPr>
          <w:rFonts w:ascii="Garamond" w:eastAsia="Garamond" w:hAnsi="Garamond" w:cs="Garamond"/>
          <w:color w:val="111111"/>
          <w:sz w:val="24"/>
          <w:szCs w:val="24"/>
        </w:rPr>
        <w:lastRenderedPageBreak/>
        <w:t>productivity and qualitative data on public trust and democratic legitimacy is facilitated.</w:t>
      </w:r>
    </w:p>
    <w:p w14:paraId="17468737" w14:textId="77777777" w:rsidR="0088082E" w:rsidRDefault="0088082E">
      <w:pPr>
        <w:spacing w:line="240" w:lineRule="auto"/>
        <w:jc w:val="both"/>
        <w:rPr>
          <w:rFonts w:ascii="Garamond" w:eastAsia="Garamond" w:hAnsi="Garamond" w:cs="Garamond"/>
          <w:sz w:val="24"/>
          <w:szCs w:val="24"/>
        </w:rPr>
      </w:pPr>
    </w:p>
    <w:p w14:paraId="07BE0FF1" w14:textId="77777777" w:rsidR="0088082E" w:rsidRDefault="0088082E">
      <w:pPr>
        <w:spacing w:line="240" w:lineRule="auto"/>
        <w:jc w:val="both"/>
        <w:rPr>
          <w:rFonts w:ascii="Garamond" w:eastAsia="Garamond" w:hAnsi="Garamond" w:cs="Garamond"/>
          <w:sz w:val="24"/>
          <w:szCs w:val="24"/>
        </w:rPr>
      </w:pPr>
    </w:p>
    <w:p w14:paraId="2176448E"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Table 1: Characteristics of Core Included Studies on AI, Public Policy, and Governance</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1183"/>
        <w:gridCol w:w="1398"/>
        <w:gridCol w:w="1399"/>
        <w:gridCol w:w="1722"/>
        <w:gridCol w:w="1829"/>
        <w:gridCol w:w="1829"/>
      </w:tblGrid>
      <w:tr w:rsidR="0088082E" w14:paraId="478FA571" w14:textId="77777777">
        <w:trPr>
          <w:trHeight w:val="825"/>
        </w:trPr>
        <w:tc>
          <w:tcPr>
            <w:tcW w:w="118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130B14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Author(s) &amp; Year</w:t>
            </w:r>
          </w:p>
        </w:tc>
        <w:tc>
          <w:tcPr>
            <w:tcW w:w="13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0F069B"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Study Type / Methodology</w:t>
            </w:r>
          </w:p>
        </w:tc>
        <w:tc>
          <w:tcPr>
            <w:tcW w:w="139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F7D392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Geographic Context</w:t>
            </w:r>
          </w:p>
        </w:tc>
        <w:tc>
          <w:tcPr>
            <w:tcW w:w="172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2068CF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Primary Policy / Governance Focus</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5BE7D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Key Theoretical Framework / Concept</w:t>
            </w:r>
          </w:p>
        </w:tc>
        <w:tc>
          <w:tcPr>
            <w:tcW w:w="182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0D99E0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Main Findings / Contribution</w:t>
            </w:r>
          </w:p>
        </w:tc>
      </w:tr>
      <w:tr w:rsidR="0088082E" w14:paraId="658C8E23" w14:textId="77777777">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CABD69"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Engin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D14B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Framework Development</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4745D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(Case studies: Estonia, Singapore, India, UK)</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94E9674"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Digital Public Infrastructure &amp; Service Delivery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EEC21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State Architecture (ASA)</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9815E4"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Proposed a 4-layer integration model; found that successful AI transformation requires balanced development across infrastructure and governance layers.</w:t>
            </w:r>
          </w:p>
        </w:tc>
      </w:tr>
      <w:tr w:rsidR="0088082E" w14:paraId="02004C24" w14:textId="77777777">
        <w:trPr>
          <w:trHeight w:val="298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C35CB6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Farhad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C908E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687C7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South</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7C7BB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National AI Governance Capacity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A2C6B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"Passengers in Flight" Metaphor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1AE2CF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Argues Global South countries are currently passive adopters; provides a 3-part framework for building national agency and local AI capacity.</w:t>
            </w:r>
          </w:p>
        </w:tc>
      </w:tr>
      <w:tr w:rsidR="0088082E" w14:paraId="6698E9D4"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075A1F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Herrera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BD39D5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Ethics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047A87D"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Global (Aligned with EU AI Act)</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17786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Institutional Trust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772318D" w14:textId="77777777" w:rsidR="0088082E" w:rsidRDefault="002C7464">
            <w:pPr>
              <w:spacing w:before="240" w:after="240" w:line="240" w:lineRule="auto"/>
              <w:jc w:val="both"/>
              <w:rPr>
                <w:rFonts w:ascii="Garamond" w:eastAsia="Garamond" w:hAnsi="Garamond" w:cs="Garamond"/>
                <w:sz w:val="24"/>
                <w:szCs w:val="24"/>
              </w:rPr>
            </w:pP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(Opacity &amp; </w:t>
            </w:r>
            <w:proofErr w:type="spellStart"/>
            <w:r>
              <w:rPr>
                <w:rFonts w:ascii="Garamond" w:eastAsia="Garamond" w:hAnsi="Garamond" w:cs="Garamond"/>
                <w:sz w:val="24"/>
                <w:szCs w:val="24"/>
              </w:rPr>
              <w:t>eXplainability</w:t>
            </w:r>
            <w:proofErr w:type="spellEnd"/>
            <w:r>
              <w:rPr>
                <w:rFonts w:ascii="Garamond" w:eastAsia="Garamond" w:hAnsi="Garamond" w:cs="Garamond"/>
                <w:sz w:val="24"/>
                <w:szCs w:val="24"/>
              </w:rPr>
              <w:t>)</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2E3C21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Reframes opacity as a governable feature rather than a flaw; proposes a 3-stage pathway to manage "irreducible opacity" through role-sensitive explanation.</w:t>
            </w:r>
          </w:p>
        </w:tc>
      </w:tr>
      <w:tr w:rsidR="0088082E" w14:paraId="00A146AA" w14:textId="77777777">
        <w:trPr>
          <w:trHeight w:val="379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34F5A3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Vatamanu &amp; Tofan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4393B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Empirical (OLS Regression &amp; Factor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985C63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 (27 Countries)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C13034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Economic Growth &amp; Administrative Efficiency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72857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DESI-Governance Linkage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4767CD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a positive correlation between digital public services and governance quality; AI integration significantly improves efficiency but increases cybersecurity risks.</w:t>
            </w:r>
          </w:p>
        </w:tc>
      </w:tr>
      <w:tr w:rsidR="0088082E" w14:paraId="1D994FC4"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209E8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Busuioc et al. (2023)</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C6E98C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Legal / Theoretical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9E7F9A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360B91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Algorithmic Transparency &amp; Accountability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0A83BE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Contesting Logics of Secrecy</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0FFE3D"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Challenges the EU AI Act’s shift from "transparency-as-disclosure" to "transparency-as-explanation," arguing this reinforces institutional secrecy.</w:t>
            </w:r>
          </w:p>
        </w:tc>
      </w:tr>
      <w:tr w:rsidR="0088082E" w14:paraId="1C1BCE7C" w14:textId="77777777">
        <w:trPr>
          <w:trHeight w:val="352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95D15F" w14:textId="77777777" w:rsidR="0088082E" w:rsidRDefault="002C7464">
            <w:pPr>
              <w:spacing w:before="240" w:after="240" w:line="240" w:lineRule="auto"/>
              <w:jc w:val="both"/>
              <w:rPr>
                <w:rFonts w:ascii="Garamond" w:eastAsia="Garamond" w:hAnsi="Garamond" w:cs="Garamond"/>
                <w:sz w:val="24"/>
                <w:szCs w:val="24"/>
              </w:rPr>
            </w:pPr>
            <w:proofErr w:type="spellStart"/>
            <w:r>
              <w:rPr>
                <w:rFonts w:ascii="Garamond" w:eastAsia="Garamond" w:hAnsi="Garamond" w:cs="Garamond"/>
                <w:sz w:val="24"/>
                <w:szCs w:val="24"/>
              </w:rPr>
              <w:lastRenderedPageBreak/>
              <w:t>Rymon</w:t>
            </w:r>
            <w:proofErr w:type="spellEnd"/>
            <w:r>
              <w:rPr>
                <w:rFonts w:ascii="Garamond" w:eastAsia="Garamond" w:hAnsi="Garamond" w:cs="Garamond"/>
                <w:sz w:val="24"/>
                <w:szCs w:val="24"/>
              </w:rPr>
              <w:t xml:space="preserve">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78DE1B6"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Literature Review</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18BF6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Western Democracies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74E7A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Democratic Representation &amp; Participation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E6F15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Architects of Decision Frameworks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6C4847E"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Found that AI transforms representatives from "interpreters of public will" into "architects of automated frameworks," risking democratic alienation.</w:t>
            </w:r>
          </w:p>
        </w:tc>
      </w:tr>
      <w:tr w:rsidR="0088082E" w14:paraId="7AC22BF8" w14:textId="77777777">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CD36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Sousa et al.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8ADC31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22654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Brazil (Sao Paulo)</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B9454C5"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Participatory Governance</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484ECB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AI-Enhanced Participatory Budgeting</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A794E6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Demonstrated that AI can reduce participation asymmetries; identified "Pillars of Capacity" (Open Data, Multi-disciplinary teams) as prerequisites.</w:t>
            </w:r>
          </w:p>
        </w:tc>
      </w:tr>
      <w:tr w:rsidR="0088082E" w14:paraId="03F62969" w14:textId="77777777">
        <w:trPr>
          <w:trHeight w:val="325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1DC5C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Wang (2025)</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39205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Comparative Legal Analysis</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D9B44B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Australia &amp; European Union</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8A6D08F"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Administrative Law &amp; Procedural Fairness</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29BAF6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XAI as Legal-Technical Solution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9A4D7C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Analyzed the "Robo-debt" failure; argues that embedding XAI in administrative processes is the only way to reconcile automation with the rule of law.</w:t>
            </w:r>
          </w:p>
        </w:tc>
      </w:tr>
      <w:tr w:rsidR="0088082E" w14:paraId="23BD1E10" w14:textId="77777777">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59F6542"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lastRenderedPageBreak/>
              <w:t>Popa (2024)</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FC4CB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Case Study / Qualitative</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183471"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BA0A7B8"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Transparency &amp; Public Trust</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D4F216C"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Netherlands Algorithm Register</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C2157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Evaluated the first national algorithm register; found it essential for "delegation acceptance" (citizen trust in government AI use).</w:t>
            </w:r>
          </w:p>
        </w:tc>
      </w:tr>
      <w:tr w:rsidR="0088082E" w14:paraId="66760CD1" w14:textId="77777777">
        <w:trPr>
          <w:trHeight w:val="2715"/>
        </w:trPr>
        <w:tc>
          <w:tcPr>
            <w:tcW w:w="118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372461"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Young et al. (2019)</w:t>
            </w:r>
          </w:p>
        </w:tc>
        <w:tc>
          <w:tcPr>
            <w:tcW w:w="1398"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37B6B8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Conceptual / Framework</w:t>
            </w:r>
          </w:p>
        </w:tc>
        <w:tc>
          <w:tcPr>
            <w:tcW w:w="139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0D95FD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United States</w:t>
            </w:r>
          </w:p>
        </w:tc>
        <w:tc>
          <w:tcPr>
            <w:tcW w:w="1722"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3F1C6A"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Public Management &amp;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631EFD7"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"Artificial Discretion"</w:t>
            </w:r>
          </w:p>
        </w:tc>
        <w:tc>
          <w:tcPr>
            <w:tcW w:w="1829"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4CAE313"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Documented the fundamental shift of discretionary power from street-level bureaucrats to system-level algorithmic architectures.</w:t>
            </w:r>
          </w:p>
        </w:tc>
      </w:tr>
    </w:tbl>
    <w:p w14:paraId="59D6A19D" w14:textId="77777777" w:rsidR="0088082E" w:rsidRDefault="0088082E">
      <w:pPr>
        <w:spacing w:before="240" w:after="24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14:paraId="1A02EF43"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THEORETICAL FOUNDATIONS</w:t>
      </w:r>
    </w:p>
    <w:p w14:paraId="7DA18E0A"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AI as General-Purpose Technology and the Bureaucratic Shift</w:t>
      </w:r>
    </w:p>
    <w:p w14:paraId="39D31862"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scholarly understanding of Artificial Intelligence (AI) as a transformative force in the 21st century is based on the classification of AI as a General-Purpose Technology (GPT). Theoretically, a GPT has three fundamental features: pervasiveness, a potential to continuously improve technology, and the ability to </w:t>
      </w:r>
      <w:proofErr w:type="spellStart"/>
      <w:r>
        <w:rPr>
          <w:rFonts w:ascii="Garamond" w:eastAsia="Garamond" w:hAnsi="Garamond" w:cs="Garamond"/>
          <w:sz w:val="24"/>
          <w:szCs w:val="24"/>
        </w:rPr>
        <w:t>catalyse</w:t>
      </w:r>
      <w:proofErr w:type="spellEnd"/>
      <w:r>
        <w:rPr>
          <w:rFonts w:ascii="Garamond" w:eastAsia="Garamond" w:hAnsi="Garamond" w:cs="Garamond"/>
          <w:sz w:val="24"/>
          <w:szCs w:val="24"/>
        </w:rPr>
        <w:t xml:space="preserve"> "spillover" innovations throughout an entire economy (Bresnahan &amp; Trajtenberg, 1995). Much like electricity or the steam engine, AI constitutes a basic shift that changes the very sphere that the political and economic actors operate in (Farhad, 2025; Srivastava et al., 2024). In the sphere of political science, this very wide applicability means that AI is not a particular and separate technology for administrative </w:t>
      </w:r>
      <w:r>
        <w:rPr>
          <w:rFonts w:ascii="Garamond" w:eastAsia="Garamond" w:hAnsi="Garamond" w:cs="Garamond"/>
          <w:sz w:val="24"/>
          <w:szCs w:val="24"/>
        </w:rPr>
        <w:t xml:space="preserve">efficiency, but a </w:t>
      </w:r>
      <w:proofErr w:type="spellStart"/>
      <w:r>
        <w:rPr>
          <w:rFonts w:ascii="Garamond" w:eastAsia="Garamond" w:hAnsi="Garamond" w:cs="Garamond"/>
          <w:sz w:val="24"/>
          <w:szCs w:val="24"/>
        </w:rPr>
        <w:t>reorganisation</w:t>
      </w:r>
      <w:proofErr w:type="spellEnd"/>
      <w:r>
        <w:rPr>
          <w:rFonts w:ascii="Garamond" w:eastAsia="Garamond" w:hAnsi="Garamond" w:cs="Garamond"/>
          <w:sz w:val="24"/>
          <w:szCs w:val="24"/>
        </w:rPr>
        <w:t xml:space="preserve"> of instrumental state power that will affect problems as diverse as market control, public health, and state security (Srivastava et al, 2024; Yuan et al, 2024).</w:t>
      </w:r>
    </w:p>
    <w:p w14:paraId="725B401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shift fundamentally challenges Max Weber's classic view of bureaucracies, that hierarchical expertise and rule-bound human </w:t>
      </w:r>
      <w:proofErr w:type="spellStart"/>
      <w:r>
        <w:rPr>
          <w:rFonts w:ascii="Garamond" w:eastAsia="Garamond" w:hAnsi="Garamond" w:cs="Garamond"/>
          <w:sz w:val="24"/>
          <w:szCs w:val="24"/>
        </w:rPr>
        <w:t>behaviour</w:t>
      </w:r>
      <w:proofErr w:type="spellEnd"/>
      <w:r>
        <w:rPr>
          <w:rFonts w:ascii="Garamond" w:eastAsia="Garamond" w:hAnsi="Garamond" w:cs="Garamond"/>
          <w:sz w:val="24"/>
          <w:szCs w:val="24"/>
        </w:rPr>
        <w:t xml:space="preserve"> was the basis for ensuring predictability in a bureaucracy. Contemporary literature suggests that we are having </w:t>
      </w:r>
      <w:proofErr w:type="spellStart"/>
      <w:r>
        <w:rPr>
          <w:rFonts w:ascii="Garamond" w:eastAsia="Garamond" w:hAnsi="Garamond" w:cs="Garamond"/>
          <w:sz w:val="24"/>
          <w:szCs w:val="24"/>
        </w:rPr>
        <w:t>see</w:t>
      </w:r>
      <w:proofErr w:type="spellEnd"/>
      <w:r>
        <w:rPr>
          <w:rFonts w:ascii="Garamond" w:eastAsia="Garamond" w:hAnsi="Garamond" w:cs="Garamond"/>
          <w:sz w:val="24"/>
          <w:szCs w:val="24"/>
        </w:rPr>
        <w:t xml:space="preserve"> a migration from Weberian models to Digital Era Governance (DEG), which is a new paradigm meant for the reintegration of state functions around digital/methodological architectures (Dunleavy &amp; Margetts, 2023). Central to this transformation is the transformation of state capacity, or the institutional competences needed to deal with socio-technical change (Sousa et al., 2025). As public administration shifts from Michael Lipsky's (1980) famous model of "street-level </w:t>
      </w:r>
      <w:r>
        <w:rPr>
          <w:rFonts w:ascii="Garamond" w:eastAsia="Garamond" w:hAnsi="Garamond" w:cs="Garamond"/>
          <w:sz w:val="24"/>
          <w:szCs w:val="24"/>
        </w:rPr>
        <w:lastRenderedPageBreak/>
        <w:t xml:space="preserve">bureaucrats", human agents who made use of their own personal discretion to manage citizen interactions, to so-called "system-level bureaucracies", the seat of power moves into the algorithm itself (Young et al. 2019; Bovens &amp; </w:t>
      </w:r>
      <w:proofErr w:type="spellStart"/>
      <w:r>
        <w:rPr>
          <w:rFonts w:ascii="Garamond" w:eastAsia="Garamond" w:hAnsi="Garamond" w:cs="Garamond"/>
          <w:sz w:val="24"/>
          <w:szCs w:val="24"/>
        </w:rPr>
        <w:t>Zouridis</w:t>
      </w:r>
      <w:proofErr w:type="spellEnd"/>
      <w:r>
        <w:rPr>
          <w:rFonts w:ascii="Garamond" w:eastAsia="Garamond" w:hAnsi="Garamond" w:cs="Garamond"/>
          <w:sz w:val="24"/>
          <w:szCs w:val="24"/>
        </w:rPr>
        <w:t xml:space="preserve"> 2002).</w:t>
      </w:r>
    </w:p>
    <w:p w14:paraId="31B6A00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transition brings in the theoretical foundation of "Artificial Discretion" (AD). Unlike traditional information technologies, AD systems are given the responsibility to make "nondeterministic" decisions, involving complex moral and social trade-offs (Young et al., 2019). To manage this, researchers propose the Algorithmic State Architecture (ASA) which </w:t>
      </w:r>
      <w:proofErr w:type="spellStart"/>
      <w:r>
        <w:rPr>
          <w:rFonts w:ascii="Garamond" w:eastAsia="Garamond" w:hAnsi="Garamond" w:cs="Garamond"/>
          <w:sz w:val="24"/>
          <w:szCs w:val="24"/>
        </w:rPr>
        <w:t>conceptualises</w:t>
      </w:r>
      <w:proofErr w:type="spellEnd"/>
      <w:r>
        <w:rPr>
          <w:rFonts w:ascii="Garamond" w:eastAsia="Garamond" w:hAnsi="Garamond" w:cs="Garamond"/>
          <w:sz w:val="24"/>
          <w:szCs w:val="24"/>
        </w:rPr>
        <w:t xml:space="preserve"> the state as a layered system where the Foundation Layer (infrastructure) and Intelligence Layer (data) have to be </w:t>
      </w:r>
      <w:proofErr w:type="spellStart"/>
      <w:r>
        <w:rPr>
          <w:rFonts w:ascii="Garamond" w:eastAsia="Garamond" w:hAnsi="Garamond" w:cs="Garamond"/>
          <w:sz w:val="24"/>
          <w:szCs w:val="24"/>
        </w:rPr>
        <w:t>harmonised</w:t>
      </w:r>
      <w:proofErr w:type="spellEnd"/>
      <w:r>
        <w:rPr>
          <w:rFonts w:ascii="Garamond" w:eastAsia="Garamond" w:hAnsi="Garamond" w:cs="Garamond"/>
          <w:sz w:val="24"/>
          <w:szCs w:val="24"/>
        </w:rPr>
        <w:t xml:space="preserve"> to avoid "implementation bottlenecks" (Engin et al., 2025). Within the debate between Technological Determinism and the Social Construction of Technology, in this review a constructivist perspective is adopted, where it is assumed that the way AI will really affect political system is not inevitable, but mediated by the institutional capacity of the State in embedding democratic values into their digital infrastructure (Minkkinen et al., 2023; Sousa et al., 2025).</w:t>
      </w:r>
    </w:p>
    <w:p w14:paraId="4626E991"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Governance of Power Imbalances</w:t>
      </w:r>
    </w:p>
    <w:p w14:paraId="5DDB272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spread of algorithmic governance has led to a reconsideration of the role of Digital Sovereignty, an idea that has crept its way out of technical circles to the core of the International Relations (IR) school of thought. Traditionally, sovereignty has been framed in terms of the State’s capability of supreme power (and exercise of sovereignty) in a given bounded space; however, in the age of AI, sovereignty has come to be increasingly dependent on the state's ability to exercise control (and audit) on the data driven systems that mediate social action (Yeung et al., 2019; Pohle &amp; Thiel, 2020). The literature finds the territorial (state) power comes into increasing </w:t>
      </w:r>
      <w:r>
        <w:rPr>
          <w:rFonts w:ascii="Garamond" w:eastAsia="Garamond" w:hAnsi="Garamond" w:cs="Garamond"/>
          <w:sz w:val="24"/>
          <w:szCs w:val="24"/>
        </w:rPr>
        <w:t xml:space="preserve">tension with the transnational (technocratic) power of an "AI Core," the small constellation of nations and corporations that control the key engines of machine learning technology (Farhad, 2025). This dynamic is grounded in a theoretical framework of Dependency Theory in which the metaphor of 'Passengers in Flight' is employed to describe a world where nations in the Global South are seen as passive recipients of technology from abroad, and run the risk of a new type of 'digital colonialism' in which the capacity to govern is effectively outsourced to external actors (Farhad, 2025; </w:t>
      </w:r>
      <w:proofErr w:type="spellStart"/>
      <w:r>
        <w:rPr>
          <w:rFonts w:ascii="Garamond" w:eastAsia="Garamond" w:hAnsi="Garamond" w:cs="Garamond"/>
          <w:sz w:val="24"/>
          <w:szCs w:val="24"/>
        </w:rPr>
        <w:t>Couldry</w:t>
      </w:r>
      <w:proofErr w:type="spellEnd"/>
      <w:r>
        <w:rPr>
          <w:rFonts w:ascii="Garamond" w:eastAsia="Garamond" w:hAnsi="Garamond" w:cs="Garamond"/>
          <w:sz w:val="24"/>
          <w:szCs w:val="24"/>
        </w:rPr>
        <w:t xml:space="preserve"> &amp; Mejias, 2019).</w:t>
      </w:r>
    </w:p>
    <w:p w14:paraId="3B7A0E4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A principal pillar of this theoretical discourse has been the asymmetry in the knowledge possessed in an algorithmic system. Frank Pasquale's (2015) seminal study on the "Black Box Society" maintains that opacity within AI is not just a technical byproduct, but actually a political tool that has been used to defend proprietary interests, as well as the state from scrutiny. This opacity causes fundamental epistemic imbalance as the "secret algorithms" that control money, information and rights, are in many cases beyond the reach of traditional oversight mechanisms (Khatun, 2024; Pasquale, 2015). Scholars informed by Foucault's concept of "Biopower" argue that algorithmic governance is a new type of state control, in which populations are governed through a form of predictive data profiling unseen and undebatable by the citizens (</w:t>
      </w: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2024; Zuboff, 2019).</w:t>
      </w:r>
    </w:p>
    <w:p w14:paraId="5483D24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literature goes further to explore a "logic of communication" that has started to take place of the "logic of disclosure" in the global policy (Busuioc et al., 2023). While the traditional theory behind democratic </w:t>
      </w:r>
      <w:proofErr w:type="spellStart"/>
      <w:r>
        <w:rPr>
          <w:rFonts w:ascii="Garamond" w:eastAsia="Garamond" w:hAnsi="Garamond" w:cs="Garamond"/>
          <w:sz w:val="24"/>
          <w:szCs w:val="24"/>
        </w:rPr>
        <w:t>practise</w:t>
      </w:r>
      <w:proofErr w:type="spellEnd"/>
      <w:r>
        <w:rPr>
          <w:rFonts w:ascii="Garamond" w:eastAsia="Garamond" w:hAnsi="Garamond" w:cs="Garamond"/>
          <w:sz w:val="24"/>
          <w:szCs w:val="24"/>
        </w:rPr>
        <w:t xml:space="preserve"> </w:t>
      </w:r>
      <w:proofErr w:type="spellStart"/>
      <w:r>
        <w:rPr>
          <w:rFonts w:ascii="Garamond" w:eastAsia="Garamond" w:hAnsi="Garamond" w:cs="Garamond"/>
          <w:sz w:val="24"/>
          <w:szCs w:val="24"/>
        </w:rPr>
        <w:t>emphasises</w:t>
      </w:r>
      <w:proofErr w:type="spellEnd"/>
      <w:r>
        <w:rPr>
          <w:rFonts w:ascii="Garamond" w:eastAsia="Garamond" w:hAnsi="Garamond" w:cs="Garamond"/>
          <w:sz w:val="24"/>
          <w:szCs w:val="24"/>
        </w:rPr>
        <w:t xml:space="preserve"> the citizen's "Right to Know," the new architectures such as the EU AI Act promote "Explainable AI" (XAI) as a compromise. However, a strong critical school insists that mediated explanations can become a "transparency sleight-of-hand," for which institutions can conjure up mediated and curated explanations for maintaining that same </w:t>
      </w:r>
      <w:r>
        <w:rPr>
          <w:rFonts w:ascii="Garamond" w:eastAsia="Garamond" w:hAnsi="Garamond" w:cs="Garamond"/>
          <w:sz w:val="24"/>
          <w:szCs w:val="24"/>
        </w:rPr>
        <w:lastRenderedPageBreak/>
        <w:t xml:space="preserve">underlying secrecy of the system (Busuioc et al., 2023). To bridge this gap, the </w:t>
      </w: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(Opacity &amp; </w:t>
      </w:r>
      <w:proofErr w:type="spellStart"/>
      <w:r>
        <w:rPr>
          <w:rFonts w:ascii="Garamond" w:eastAsia="Garamond" w:hAnsi="Garamond" w:cs="Garamond"/>
          <w:sz w:val="24"/>
          <w:szCs w:val="24"/>
        </w:rPr>
        <w:t>eXplainability</w:t>
      </w:r>
      <w:proofErr w:type="spellEnd"/>
      <w:r>
        <w:rPr>
          <w:rFonts w:ascii="Garamond" w:eastAsia="Garamond" w:hAnsi="Garamond" w:cs="Garamond"/>
          <w:sz w:val="24"/>
          <w:szCs w:val="24"/>
        </w:rPr>
        <w:t>) governance ethic calls for a shift toward "Role-Sensitive Explainability," reasoning that levels of institutional trust are not a matter of maximum visibility, but of justifiable calibrations that are sensitive to the epistemic authority and moral stakes of different stakeholders (Herrera et al., 2025). Ultimately the theoretical consensus is that democratic legitimacy in an automated age needs more than technical transparency: it calls for the reclaiming of sovereignty through robust and value-based oversight of the algorithm to put the human back at the center of the algorithmic loop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Sousa et al., 2025).</w:t>
      </w:r>
    </w:p>
    <w:p w14:paraId="6027B980"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The Efficiency-Legitimacy Paradox: Redefining the Social Contract</w:t>
      </w:r>
    </w:p>
    <w:p w14:paraId="6F04420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incorporation of AI into policy processes brings a fundamental tension between the requirements of technocratic efficiency and democratic legitimacy, which could be summed up as the Efficiency-legitimacy Paradox. In the heart of classic social contract theory, as held by such theorists as John Locke and Jean-Jacques Rousseau, is "duty of the state to (provide reason-giving justifications for the exercise of power)." However, one finds from the literature the striving for algorithmic optimization, the striving for maximum speed, accuracy, and resource allocation tend to overlook the deliberative needs of the public sphere (Habermas, 1984;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2025). When automated systems are used to make determinations about social eligibility or legal outcomes, the state's capacity to ensure the delivery of outcomes is strengthened, but often at the expense of the state's capacity to justify those outcomes using a transparent and human-</w:t>
      </w:r>
      <w:proofErr w:type="spellStart"/>
      <w:r>
        <w:rPr>
          <w:rFonts w:ascii="Garamond" w:eastAsia="Garamond" w:hAnsi="Garamond" w:cs="Garamond"/>
          <w:sz w:val="24"/>
          <w:szCs w:val="24"/>
        </w:rPr>
        <w:t>centred</w:t>
      </w:r>
      <w:proofErr w:type="spellEnd"/>
      <w:r>
        <w:rPr>
          <w:rFonts w:ascii="Garamond" w:eastAsia="Garamond" w:hAnsi="Garamond" w:cs="Garamond"/>
          <w:sz w:val="24"/>
          <w:szCs w:val="24"/>
        </w:rPr>
        <w:t xml:space="preserve"> reasoning system. When automated systems are </w:t>
      </w:r>
      <w:proofErr w:type="spellStart"/>
      <w:r>
        <w:rPr>
          <w:rFonts w:ascii="Garamond" w:eastAsia="Garamond" w:hAnsi="Garamond" w:cs="Garamond"/>
          <w:sz w:val="24"/>
          <w:szCs w:val="24"/>
        </w:rPr>
        <w:t>utilised</w:t>
      </w:r>
      <w:proofErr w:type="spellEnd"/>
      <w:r>
        <w:rPr>
          <w:rFonts w:ascii="Garamond" w:eastAsia="Garamond" w:hAnsi="Garamond" w:cs="Garamond"/>
          <w:sz w:val="24"/>
          <w:szCs w:val="24"/>
        </w:rPr>
        <w:t xml:space="preserve"> to make determinations about social eligibility or legal outcomes, the state's capacity to ensure the delivery of those outcomes is often strengthened, but at the expense of the state's </w:t>
      </w:r>
      <w:r>
        <w:rPr>
          <w:rFonts w:ascii="Garamond" w:eastAsia="Garamond" w:hAnsi="Garamond" w:cs="Garamond"/>
          <w:sz w:val="24"/>
          <w:szCs w:val="24"/>
        </w:rPr>
        <w:t>capacity to justify those outcomes through a transparent and human-</w:t>
      </w:r>
      <w:proofErr w:type="spellStart"/>
      <w:r>
        <w:rPr>
          <w:rFonts w:ascii="Garamond" w:eastAsia="Garamond" w:hAnsi="Garamond" w:cs="Garamond"/>
          <w:sz w:val="24"/>
          <w:szCs w:val="24"/>
        </w:rPr>
        <w:t>centred</w:t>
      </w:r>
      <w:proofErr w:type="spellEnd"/>
      <w:r>
        <w:rPr>
          <w:rFonts w:ascii="Garamond" w:eastAsia="Garamond" w:hAnsi="Garamond" w:cs="Garamond"/>
          <w:sz w:val="24"/>
          <w:szCs w:val="24"/>
        </w:rPr>
        <w:t xml:space="preserve"> reasoning system (Wang, 2025; Busuioc, 2020).</w:t>
      </w:r>
    </w:p>
    <w:p w14:paraId="11671C22"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tension is most visible on the changing nature of political representation. Hannah Pitkin's (1967) seminal work on representation focused on "acting in the interest of the represented" with continued communication and accountability. Contemporary scholarship suggests AI is changing representatives from "interpreters of the public will" to "architects of automated frameworks"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2025). In this model of a technocracy, political deliberation over disputed values, including what constitutes "fairness" in welfare distribution, increasingly becomes a task delegated to the design stage of an algorithm, in which technical parameters are used to substitute for legislative deliberation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2025; </w:t>
      </w:r>
      <w:proofErr w:type="spellStart"/>
      <w:r>
        <w:rPr>
          <w:rFonts w:ascii="Garamond" w:eastAsia="Garamond" w:hAnsi="Garamond" w:cs="Garamond"/>
          <w:sz w:val="24"/>
          <w:szCs w:val="24"/>
        </w:rPr>
        <w:t>Jungherr</w:t>
      </w:r>
      <w:proofErr w:type="spellEnd"/>
      <w:r>
        <w:rPr>
          <w:rFonts w:ascii="Garamond" w:eastAsia="Garamond" w:hAnsi="Garamond" w:cs="Garamond"/>
          <w:sz w:val="24"/>
          <w:szCs w:val="24"/>
        </w:rPr>
        <w:t>, 2023). This move runs the risk of 'depoliticization' of governance, in which political decisions are framed as empirical mathematical solutions, this can alienate the citizenry from the democratic process (Morozov, 2013).</w:t>
      </w:r>
    </w:p>
    <w:p w14:paraId="3BAF005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Furthermore, the literature shows the essential importance of Procedural Justice to ensure public trust. According to Tom Tyler's (2006) research on legal compliance, citizens accept the decisions of the state not only on the basis of the result, but on the basis of the fairness of the process. Algorithmic "black boxes" challenge this perception by preventing citizens from obtaining their "Right to Explanation" and the capacity to challenge arbitrary or biased outcomes (Wang, 2025; Khatun, 2024). To counter this, the theories about "Empowered Participation" put forward by Archon Fung in 2015 are being given a new lease of life thanks to AI enriched participatory governance. Sousa et al., (2025) prove that when "Agentic AI" is used to facilitate participatory budgeting, it can be a bridge used to reducing asymmetries of power and reinvigorate the social contract. Thus, there is theoretical agreement that, in order for AI to be democratically sustainable, a government </w:t>
      </w:r>
      <w:r>
        <w:rPr>
          <w:rFonts w:ascii="Garamond" w:eastAsia="Garamond" w:hAnsi="Garamond" w:cs="Garamond"/>
          <w:sz w:val="24"/>
          <w:szCs w:val="24"/>
        </w:rPr>
        <w:lastRenderedPageBreak/>
        <w:t xml:space="preserve">must shift beyond "transparency theater" and ensure that algorithmic systems continue to be subject to human-led and value-based supervision (Herrera et al., 2025;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w:t>
      </w:r>
    </w:p>
    <w:p w14:paraId="43AE02F2"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Global Regulatory Frameworks and the Ethics of Accountability</w:t>
      </w:r>
    </w:p>
    <w:p w14:paraId="05B3CDD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The global regulatory environment for Artificial Intelligence is currently experiencing a "hardening" process, in that there is a shift from voluntary ethical guidelines to a binding legislative framework. This shift is theoretically based on the requirement for codifying algorithmic accountability in the rule of law. Mark Bovens (2007) describes accountability as a relationship between an actor and a forum, wherein the actor has an obligation to account for his or her </w:t>
      </w:r>
      <w:proofErr w:type="spellStart"/>
      <w:r>
        <w:rPr>
          <w:rFonts w:ascii="Garamond" w:eastAsia="Garamond" w:hAnsi="Garamond" w:cs="Garamond"/>
          <w:sz w:val="24"/>
          <w:szCs w:val="24"/>
        </w:rPr>
        <w:t>behaviour</w:t>
      </w:r>
      <w:proofErr w:type="spellEnd"/>
      <w:r>
        <w:rPr>
          <w:rFonts w:ascii="Garamond" w:eastAsia="Garamond" w:hAnsi="Garamond" w:cs="Garamond"/>
          <w:sz w:val="24"/>
          <w:szCs w:val="24"/>
        </w:rPr>
        <w:t>. In the context of AI, the literature shows that there is a global race to establish the "Gold Standard" for this relationship, an effect that Anu Bradford (2020) describes as "Brussels Effect" wherein the European Union's stringent regulatory standards (specifically, the GDPR and the EU AI Act) have effectively become the norm for the rest of world (Cavaliere &amp; Romeo, 2022; Wang, 2025).</w:t>
      </w:r>
    </w:p>
    <w:p w14:paraId="5DED69D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One of the most fundamental theoretical pillars of these frameworks is the "Right to Explanation." First </w:t>
      </w:r>
      <w:proofErr w:type="spellStart"/>
      <w:r>
        <w:rPr>
          <w:rFonts w:ascii="Garamond" w:eastAsia="Garamond" w:hAnsi="Garamond" w:cs="Garamond"/>
          <w:sz w:val="24"/>
          <w:szCs w:val="24"/>
        </w:rPr>
        <w:t>popularised</w:t>
      </w:r>
      <w:proofErr w:type="spellEnd"/>
      <w:r>
        <w:rPr>
          <w:rFonts w:ascii="Garamond" w:eastAsia="Garamond" w:hAnsi="Garamond" w:cs="Garamond"/>
          <w:sz w:val="24"/>
          <w:szCs w:val="24"/>
        </w:rPr>
        <w:t xml:space="preserve"> as a result of the implementation of GDPR Articles 15 and 22, this is the idea that individuals are entitled to know the logic behind automated decisions affecting their life significantly (Goodman &amp; Flaxman, 2016). International bodies such as the United Nations Educational Scientific and Cultural </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(UNESCO) and the </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for Economic Cooperation and Development (OECD) have since incorporated this into their principles, and hold that "explicability" is not just a technical characteristic, but rather a necessary requirement for democratic control (Cavaliere &amp; Romeo, 2022; </w:t>
      </w:r>
      <w:proofErr w:type="spellStart"/>
      <w:r>
        <w:rPr>
          <w:rFonts w:ascii="Garamond" w:eastAsia="Garamond" w:hAnsi="Garamond" w:cs="Garamond"/>
          <w:sz w:val="24"/>
          <w:szCs w:val="24"/>
        </w:rPr>
        <w:t>Kamolov</w:t>
      </w:r>
      <w:proofErr w:type="spellEnd"/>
      <w:r>
        <w:rPr>
          <w:rFonts w:ascii="Garamond" w:eastAsia="Garamond" w:hAnsi="Garamond" w:cs="Garamond"/>
          <w:sz w:val="24"/>
          <w:szCs w:val="24"/>
        </w:rPr>
        <w:t xml:space="preserve"> et al., 2021). However, the literature warns against a 'risk-</w:t>
      </w:r>
      <w:r>
        <w:rPr>
          <w:rFonts w:ascii="Garamond" w:eastAsia="Garamond" w:hAnsi="Garamond" w:cs="Garamond"/>
          <w:sz w:val="24"/>
          <w:szCs w:val="24"/>
        </w:rPr>
        <w:t xml:space="preserve">based' approach to AI systems classification, which is based on their potentials for harm and may unwittingly lead to a tradeoff between product safety and basic human rights and have 'low-risk' administrative biases fall through the cracks (Busuioc et al., 2023;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w:t>
      </w:r>
    </w:p>
    <w:p w14:paraId="7802D6D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Practical implementation of these frameworks has resulted in the emergence of "Visibility Mechanisms" to make the state more transparent. Algorithm Registers as evaluated Popa (2024) work as digital ledgers that encourage "delegation acceptance" as the citizens can see exactly which public functions have been automated. Furthermore, the mandatory use of Algorithmic Impact Assessments (AIAs) is an </w:t>
      </w:r>
      <w:proofErr w:type="spellStart"/>
      <w:r>
        <w:rPr>
          <w:rFonts w:ascii="Garamond" w:eastAsia="Garamond" w:hAnsi="Garamond" w:cs="Garamond"/>
          <w:sz w:val="24"/>
          <w:szCs w:val="24"/>
        </w:rPr>
        <w:t>institutionalised</w:t>
      </w:r>
      <w:proofErr w:type="spellEnd"/>
      <w:r>
        <w:rPr>
          <w:rFonts w:ascii="Garamond" w:eastAsia="Garamond" w:hAnsi="Garamond" w:cs="Garamond"/>
          <w:sz w:val="24"/>
          <w:szCs w:val="24"/>
        </w:rPr>
        <w:t xml:space="preserve"> attempt to address harms ex-ante and not ex-post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 Metcalf et al., 2020).</w:t>
      </w:r>
    </w:p>
    <w:p w14:paraId="1FF8DF9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Despite these advancements, there is a very important critical school which argues that the present frameworks suffer from a "logic of mediation." Busuioc et al. (2023) argues that by leaving the explanations given to the public up to software providers, the law may be participating in "Algorithmic Secrecy" under the pretense of transparency. This tension is well demonstrated by a failure case of the Australian "Robo-debt" system in which a lack of procedural fairness and intelligible justifications caused a total breakdown of public trust (Wang, 2025). Importantly, the theoretical consensus would then be that in order for global frameworks to be effective, they must shift away from "transparency theatre" towards a model of "Value-Based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whereby the ethical values of the social contract are hard-coded into the regulatory DNA of the state.</w:t>
      </w:r>
    </w:p>
    <w:p w14:paraId="29A70D8F" w14:textId="77777777" w:rsidR="0088082E" w:rsidRDefault="0088082E">
      <w:pPr>
        <w:spacing w:before="100" w:after="100" w:line="240" w:lineRule="auto"/>
        <w:jc w:val="both"/>
        <w:rPr>
          <w:rFonts w:ascii="Garamond" w:eastAsia="Garamond" w:hAnsi="Garamond" w:cs="Garamond"/>
          <w:sz w:val="24"/>
          <w:szCs w:val="24"/>
        </w:rPr>
      </w:pPr>
    </w:p>
    <w:p w14:paraId="08BFEF09"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RESULTS AND SYNTHESIS </w:t>
      </w:r>
    </w:p>
    <w:p w14:paraId="4641D5B4"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The synthesis of the ten core studies identifies a global paradigm shift where Artificial Intelligence has transitioned from a localized administrative tool to the structural </w:t>
      </w:r>
      <w:r>
        <w:rPr>
          <w:rFonts w:ascii="Garamond" w:eastAsia="Garamond" w:hAnsi="Garamond" w:cs="Garamond"/>
          <w:color w:val="1A1C1E"/>
          <w:sz w:val="24"/>
          <w:szCs w:val="24"/>
        </w:rPr>
        <w:lastRenderedPageBreak/>
        <w:t>"plumbing" of the modern state. The results are categorized into three thematic clusters: structural transformation of state capacity, the economic and sovereignty dividend, and the transparency-legitimacy gap.</w:t>
      </w:r>
    </w:p>
    <w:p w14:paraId="66B04563"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Structural Transformation: The ASA and System-Level Discretion (RQ1)</w:t>
      </w:r>
    </w:p>
    <w:p w14:paraId="1362CF7E"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The results show that the incorporation of AI is fundamentally </w:t>
      </w:r>
      <w:proofErr w:type="spellStart"/>
      <w:r>
        <w:rPr>
          <w:rFonts w:ascii="Garamond" w:eastAsia="Garamond" w:hAnsi="Garamond" w:cs="Garamond"/>
          <w:color w:val="1A1C1E"/>
          <w:sz w:val="24"/>
          <w:szCs w:val="24"/>
        </w:rPr>
        <w:t>reorganising</w:t>
      </w:r>
      <w:proofErr w:type="spellEnd"/>
      <w:r>
        <w:rPr>
          <w:rFonts w:ascii="Garamond" w:eastAsia="Garamond" w:hAnsi="Garamond" w:cs="Garamond"/>
          <w:color w:val="1A1C1E"/>
          <w:sz w:val="24"/>
          <w:szCs w:val="24"/>
        </w:rPr>
        <w:t xml:space="preserve"> the architecture of public administration. Engin et al. (2025) goes on to provide the framework-headline-for this change, introducing the Algorithmic State Architecture (ASA): Through a comparative study of Estonia, Singapore, India and the UK, they conclude that successful state transformation is not about high-tech sophistication, but about the balanced development of four inter-</w:t>
      </w:r>
      <w:proofErr w:type="spellStart"/>
      <w:r>
        <w:rPr>
          <w:rFonts w:ascii="Garamond" w:eastAsia="Garamond" w:hAnsi="Garamond" w:cs="Garamond"/>
          <w:color w:val="1A1C1E"/>
          <w:sz w:val="24"/>
          <w:szCs w:val="24"/>
        </w:rPr>
        <w:t>dependant</w:t>
      </w:r>
      <w:proofErr w:type="spellEnd"/>
      <w:r>
        <w:rPr>
          <w:rFonts w:ascii="Garamond" w:eastAsia="Garamond" w:hAnsi="Garamond" w:cs="Garamond"/>
          <w:color w:val="1A1C1E"/>
          <w:sz w:val="24"/>
          <w:szCs w:val="24"/>
        </w:rPr>
        <w:t xml:space="preserve"> layers: Foundation (DPI), Intelligence (Data), Process (Algorithms), and Service (</w:t>
      </w:r>
      <w:proofErr w:type="spellStart"/>
      <w:r>
        <w:rPr>
          <w:rFonts w:ascii="Garamond" w:eastAsia="Garamond" w:hAnsi="Garamond" w:cs="Garamond"/>
          <w:color w:val="1A1C1E"/>
          <w:sz w:val="24"/>
          <w:szCs w:val="24"/>
        </w:rPr>
        <w:t>GovTech</w:t>
      </w:r>
      <w:proofErr w:type="spellEnd"/>
      <w:r>
        <w:rPr>
          <w:rFonts w:ascii="Garamond" w:eastAsia="Garamond" w:hAnsi="Garamond" w:cs="Garamond"/>
          <w:color w:val="1A1C1E"/>
          <w:sz w:val="24"/>
          <w:szCs w:val="24"/>
        </w:rPr>
        <w:t>). Their findings put a stronger emphasis that the failure of the "Foundation Layer" such as fragmented data infrastructure causes systemic bottlenecks which prevents AI's utility at the service level (Engin et al., 2025).</w:t>
      </w:r>
    </w:p>
    <w:p w14:paraId="50BED729"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This change in its architecture has had a profound impact in the way in which power is exercised. Young et al. (2019) document the historical migration of discretionary authority which has shifted from "street-level bureaucrats" (human agents) to "system-level bureaucracies" (algorithmic frameworks). They point to this as "Artificial Discretion" (AD) in which machine-learning systems are increasingly asked to make "nondeterministic" decisions - such as predicting recidivism or adjudicating welfare - involving complex societal contingencies long reserved for human judgement. This shift is backed up by Sousa et al (2025) who identify "analytical capacity" as being the new frontier of state growth. Their case study of Sao Paulo has shown that in order for AI to work in governance, the state must have certain "Pillars of Capacity," such as open data ecosystems and multidisciplinary teams that are able to mediate between the code and </w:t>
      </w:r>
      <w:r>
        <w:rPr>
          <w:rFonts w:ascii="Garamond" w:eastAsia="Garamond" w:hAnsi="Garamond" w:cs="Garamond"/>
          <w:color w:val="1A1C1E"/>
          <w:sz w:val="24"/>
          <w:szCs w:val="24"/>
        </w:rPr>
        <w:t>the citizen (Sousa et al., 2025; Young et al., 2019).</w:t>
      </w:r>
    </w:p>
    <w:p w14:paraId="44511730"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75F3575D"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Economic and Sovereignty Dividend (RQ2)</w:t>
      </w:r>
    </w:p>
    <w:p w14:paraId="136B7D34"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empirical results demonstrated a measurable correlation between integration of AI and performance of governments, with numerous caveats that have to do with geopolitical interests. Vatamanu &amp; Tofan (2025) use an OLS regression analysis on 27 EU countries to establish a positive relationship between digital public services and quality of governance. Their data indicates that applications powered by AI enhance operational effectiveness and economic resilience in a big way, and enable the state to sustain a high "Good Governance Status" (GGOV) even in times of crisis, such as the Covid-19 pandemic. However, they also discover that such efficiency gain is associated with new "vulnerabilities", in particular, in terms of cybersecurity and potentially data-centric cognitive biases (Vatamanu &amp; Tofan, 2025).</w:t>
      </w:r>
    </w:p>
    <w:p w14:paraId="1DAEF575"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In terms of the International Relations implications, the results reveal a harsh "Digital Sovereignty" divide. Farhad (2025) proposes the "Passengers in Flight" metaphor to explain the status of the nations of the Global South. His analysis shows that although the "AI Core" (USA, China, EU) dominates technological development, the Global South still plays the role of passive player, with the risk of falling into a state of "Digital Dependency". The review concludes that in the absence of the local capacity to audit or </w:t>
      </w:r>
      <w:proofErr w:type="spellStart"/>
      <w:r>
        <w:rPr>
          <w:rFonts w:ascii="Garamond" w:eastAsia="Garamond" w:hAnsi="Garamond" w:cs="Garamond"/>
          <w:color w:val="1A1C1E"/>
          <w:sz w:val="24"/>
          <w:szCs w:val="24"/>
        </w:rPr>
        <w:t>localise</w:t>
      </w:r>
      <w:proofErr w:type="spellEnd"/>
      <w:r>
        <w:rPr>
          <w:rFonts w:ascii="Garamond" w:eastAsia="Garamond" w:hAnsi="Garamond" w:cs="Garamond"/>
          <w:color w:val="1A1C1E"/>
          <w:sz w:val="24"/>
          <w:szCs w:val="24"/>
        </w:rPr>
        <w:t xml:space="preserve"> foreign algorithms, emerging economies outsource their governance capacity to external technocratic elites. Farhad (2025) concludes that the building of national agency requires a shift toward "AI Localization," whereby states are granted the capacity to direct the outcomes of AI in line with obviously cultural and social </w:t>
      </w:r>
      <w:r>
        <w:rPr>
          <w:rFonts w:ascii="Garamond" w:eastAsia="Garamond" w:hAnsi="Garamond" w:cs="Garamond"/>
          <w:color w:val="1A1C1E"/>
          <w:sz w:val="24"/>
          <w:szCs w:val="24"/>
        </w:rPr>
        <w:lastRenderedPageBreak/>
        <w:t>goals instead of simply having to follow foreign norms.</w:t>
      </w:r>
    </w:p>
    <w:p w14:paraId="5C0B3A81"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35D05F20" w14:textId="77777777" w:rsidR="0088082E" w:rsidRDefault="002C7464">
      <w:pPr>
        <w:shd w:val="clear" w:color="auto" w:fill="FFFFFF"/>
        <w:spacing w:line="240" w:lineRule="auto"/>
        <w:jc w:val="both"/>
        <w:rPr>
          <w:rFonts w:ascii="Garamond" w:eastAsia="Garamond" w:hAnsi="Garamond" w:cs="Garamond"/>
          <w:b/>
          <w:bCs/>
          <w:sz w:val="24"/>
          <w:szCs w:val="24"/>
        </w:rPr>
      </w:pPr>
      <w:r>
        <w:rPr>
          <w:rFonts w:ascii="Garamond" w:eastAsia="Garamond" w:hAnsi="Garamond" w:cs="Garamond"/>
          <w:b/>
          <w:bCs/>
          <w:sz w:val="24"/>
          <w:szCs w:val="24"/>
        </w:rPr>
        <w:t>The Transparency-Legitimacy Gap: Secrecy vs. Explainability (RQ3)</w:t>
      </w:r>
    </w:p>
    <w:p w14:paraId="15DE168F"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The last of the thematic clusters signals the presence of a significant tension between the pace of adoption of AI, and democratic legitimacy. Busuioc et al. (2023) critique normative assumptions of the EU AI Act, which switches on legislation from strategies of "transparency-as-disclosure" to "transparency-as-explanation," and functions as an "ersatz" for actual accountability. They find that mediated explanations often function as a "secrecy shield" for providers, by which they are able to curate narratives that conceal algorithmic biases and accountability gaps. This "logic of secrecy" is singled out as a major cause of public concern (Busuioc et al., 2023).</w:t>
      </w:r>
    </w:p>
    <w:p w14:paraId="04142DD1"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In order to mitigate this issue, Herrera et al. (2025) propose a new framework; </w:t>
      </w:r>
      <w:proofErr w:type="spellStart"/>
      <w:r>
        <w:rPr>
          <w:rFonts w:ascii="Garamond" w:eastAsia="Garamond" w:hAnsi="Garamond" w:cs="Garamond"/>
          <w:color w:val="1A1C1E"/>
          <w:sz w:val="24"/>
          <w:szCs w:val="24"/>
        </w:rPr>
        <w:t>LoBOX</w:t>
      </w:r>
      <w:proofErr w:type="spellEnd"/>
      <w:r>
        <w:rPr>
          <w:rFonts w:ascii="Garamond" w:eastAsia="Garamond" w:hAnsi="Garamond" w:cs="Garamond"/>
          <w:color w:val="1A1C1E"/>
          <w:sz w:val="24"/>
          <w:szCs w:val="24"/>
        </w:rPr>
        <w:t xml:space="preserve">, which stands for Opacity &amp; </w:t>
      </w:r>
      <w:proofErr w:type="spellStart"/>
      <w:r>
        <w:rPr>
          <w:rFonts w:ascii="Garamond" w:eastAsia="Garamond" w:hAnsi="Garamond" w:cs="Garamond"/>
          <w:color w:val="1A1C1E"/>
          <w:sz w:val="24"/>
          <w:szCs w:val="24"/>
        </w:rPr>
        <w:t>eXplainability</w:t>
      </w:r>
      <w:proofErr w:type="spellEnd"/>
      <w:r>
        <w:rPr>
          <w:rFonts w:ascii="Garamond" w:eastAsia="Garamond" w:hAnsi="Garamond" w:cs="Garamond"/>
          <w:color w:val="1A1C1E"/>
          <w:sz w:val="24"/>
          <w:szCs w:val="24"/>
        </w:rPr>
        <w:t>. They find that trust is not a function, that you need to make everything transparent, but that you need to provide "Role-Sensitive Explainability". Their results are that different stakeholders from expert auditors using technical "RED XAI" to lay citizens requiring ethical "BLUE XAI", demand different levels of justification. This is shown in the findings published by Popa (2024), who reviewed the Algorithm Register of the Netherlands: Popa discovered that such "visibility mechanisms" are crucial in enabling "delegation acceptance," i.e. that citizens are allowed to understand and contest the state's use of AI in order to rebuild citizen trust following such high-profile AI failures as the "Robo-debt" scandal in the Australian context examined by Wang (2025).</w:t>
      </w:r>
    </w:p>
    <w:p w14:paraId="152E5171" w14:textId="77777777" w:rsidR="0088082E" w:rsidRDefault="002C7464">
      <w:pPr>
        <w:shd w:val="clear" w:color="auto" w:fill="FFFFFF"/>
        <w:spacing w:before="100" w:after="180" w:line="240" w:lineRule="auto"/>
        <w:jc w:val="both"/>
        <w:rPr>
          <w:rFonts w:ascii="Garamond" w:eastAsia="Garamond" w:hAnsi="Garamond" w:cs="Garamond"/>
          <w:color w:val="1A1C1E"/>
          <w:sz w:val="24"/>
          <w:szCs w:val="24"/>
        </w:rPr>
      </w:pPr>
      <w:r>
        <w:rPr>
          <w:rFonts w:ascii="Garamond" w:eastAsia="Garamond" w:hAnsi="Garamond" w:cs="Garamond"/>
          <w:color w:val="1A1C1E"/>
          <w:sz w:val="24"/>
          <w:szCs w:val="24"/>
        </w:rPr>
        <w:t xml:space="preserve">Ultimately, the synthesis of the resulting results make a case that these results suggest AI is transforming political representation itself. </w:t>
      </w:r>
      <w:proofErr w:type="spellStart"/>
      <w:r>
        <w:rPr>
          <w:rFonts w:ascii="Garamond" w:eastAsia="Garamond" w:hAnsi="Garamond" w:cs="Garamond"/>
          <w:color w:val="1A1C1E"/>
          <w:sz w:val="24"/>
          <w:szCs w:val="24"/>
        </w:rPr>
        <w:t>Rymon</w:t>
      </w:r>
      <w:proofErr w:type="spellEnd"/>
      <w:r>
        <w:rPr>
          <w:rFonts w:ascii="Garamond" w:eastAsia="Garamond" w:hAnsi="Garamond" w:cs="Garamond"/>
          <w:color w:val="1A1C1E"/>
          <w:sz w:val="24"/>
          <w:szCs w:val="24"/>
        </w:rPr>
        <w:t xml:space="preserve"> (2025) finds that AI makes </w:t>
      </w:r>
      <w:r>
        <w:rPr>
          <w:rFonts w:ascii="Garamond" w:eastAsia="Garamond" w:hAnsi="Garamond" w:cs="Garamond"/>
          <w:color w:val="1A1C1E"/>
          <w:sz w:val="24"/>
          <w:szCs w:val="24"/>
        </w:rPr>
        <w:t xml:space="preserve">representatives "architects of automated frameworks," in which the goal is to stop focusing on interpreting the public will and begin focusing on setting technical parameters to </w:t>
      </w:r>
      <w:proofErr w:type="spellStart"/>
      <w:r>
        <w:rPr>
          <w:rFonts w:ascii="Garamond" w:eastAsia="Garamond" w:hAnsi="Garamond" w:cs="Garamond"/>
          <w:color w:val="1A1C1E"/>
          <w:sz w:val="24"/>
          <w:szCs w:val="24"/>
        </w:rPr>
        <w:t>optimise</w:t>
      </w:r>
      <w:proofErr w:type="spellEnd"/>
      <w:r>
        <w:rPr>
          <w:rFonts w:ascii="Garamond" w:eastAsia="Garamond" w:hAnsi="Garamond" w:cs="Garamond"/>
          <w:color w:val="1A1C1E"/>
          <w:sz w:val="24"/>
          <w:szCs w:val="24"/>
        </w:rPr>
        <w:t>. Without inculcating "Value-Based Transparency" (</w:t>
      </w:r>
      <w:proofErr w:type="spellStart"/>
      <w:r>
        <w:rPr>
          <w:rFonts w:ascii="Garamond" w:eastAsia="Garamond" w:hAnsi="Garamond" w:cs="Garamond"/>
          <w:color w:val="1A1C1E"/>
          <w:sz w:val="24"/>
          <w:szCs w:val="24"/>
        </w:rPr>
        <w:t>Buijsman</w:t>
      </w:r>
      <w:proofErr w:type="spellEnd"/>
      <w:r>
        <w:rPr>
          <w:rFonts w:ascii="Garamond" w:eastAsia="Garamond" w:hAnsi="Garamond" w:cs="Garamond"/>
          <w:color w:val="1A1C1E"/>
          <w:sz w:val="24"/>
          <w:szCs w:val="24"/>
        </w:rPr>
        <w:t>, 2024) and legal-technical review protocols (Wang, 2025) into the ASA, the review concludes AI risks creating a "crisis of legitimacy" that could alienate the citizenry from the democratic process (</w:t>
      </w:r>
      <w:proofErr w:type="spellStart"/>
      <w:r>
        <w:rPr>
          <w:rFonts w:ascii="Garamond" w:eastAsia="Garamond" w:hAnsi="Garamond" w:cs="Garamond"/>
          <w:color w:val="1A1C1E"/>
          <w:sz w:val="24"/>
          <w:szCs w:val="24"/>
        </w:rPr>
        <w:t>Rymon</w:t>
      </w:r>
      <w:proofErr w:type="spellEnd"/>
      <w:r>
        <w:rPr>
          <w:rFonts w:ascii="Garamond" w:eastAsia="Garamond" w:hAnsi="Garamond" w:cs="Garamond"/>
          <w:color w:val="1A1C1E"/>
          <w:sz w:val="24"/>
          <w:szCs w:val="24"/>
        </w:rPr>
        <w:t>, 2025; Popa, 2024).</w:t>
      </w:r>
    </w:p>
    <w:p w14:paraId="2CF71D77" w14:textId="77777777" w:rsidR="0088082E" w:rsidRDefault="0088082E">
      <w:pPr>
        <w:shd w:val="clear" w:color="auto" w:fill="FFFFFF"/>
        <w:spacing w:before="100" w:after="180" w:line="240" w:lineRule="auto"/>
        <w:jc w:val="both"/>
        <w:rPr>
          <w:rFonts w:ascii="Garamond" w:eastAsia="Garamond" w:hAnsi="Garamond" w:cs="Garamond"/>
          <w:color w:val="1A1C1E"/>
          <w:sz w:val="24"/>
          <w:szCs w:val="24"/>
        </w:rPr>
      </w:pPr>
    </w:p>
    <w:p w14:paraId="1F3227AA"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DISCUSSION</w:t>
      </w:r>
    </w:p>
    <w:p w14:paraId="62285888" w14:textId="77777777" w:rsidR="0088082E" w:rsidRDefault="002C7464">
      <w:pPr>
        <w:spacing w:before="280" w:line="240" w:lineRule="auto"/>
        <w:jc w:val="both"/>
        <w:rPr>
          <w:rFonts w:ascii="Garamond" w:eastAsia="Garamond" w:hAnsi="Garamond" w:cs="Garamond"/>
          <w:b/>
          <w:bCs/>
          <w:sz w:val="24"/>
          <w:szCs w:val="24"/>
        </w:rPr>
      </w:pPr>
      <w:r>
        <w:rPr>
          <w:rFonts w:ascii="Garamond" w:eastAsia="Garamond" w:hAnsi="Garamond" w:cs="Garamond"/>
          <w:b/>
          <w:bCs/>
          <w:sz w:val="24"/>
          <w:szCs w:val="24"/>
        </w:rPr>
        <w:t>The Weberian Crisis and the Reconfiguration of Representation</w:t>
      </w:r>
    </w:p>
    <w:p w14:paraId="40D946F4"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The results of this systematic review suggest that the "Algorithmic State" is not simply an efficient re-presentation of the traditional state, but a departure from the Weberian model of bureaucracy, in a fundamental way. Max Weber's classical bureaucracy was based upon a hierarchy of human experts who were bound by stable rules in writing to ensure predictable outcomes. However, the move towards "Artificial Discretion" (Young et al., 2019) and the "Algorithmic State Architecture" (ASA) (Engin et al., 2025) present a certain level of complexity and non-deterministic logic, which the established institutional frameworks are inadequately equipped to control. When the discretionary power shifts from the "street-level bureaucrats" described by Michael Lipsky to the system level architectures, the "human interface" of the State is replaced by an automated process. This transition risks a terminal breakdown in Procedural Justice; as has been seen in the 'Robo-debt' case, according to Wang (2025), the losing of human contextual judgment often leads to systemic violations of the 'Right to be Heard' which is a cornerstone of Administrative Law.</w:t>
      </w:r>
    </w:p>
    <w:p w14:paraId="6A83C78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This structural transformation has huge implications for the theory of Political Representation. Traditionally, as Hannah </w:t>
      </w:r>
      <w:r>
        <w:rPr>
          <w:rFonts w:ascii="Garamond" w:eastAsia="Garamond" w:hAnsi="Garamond" w:cs="Garamond"/>
          <w:sz w:val="24"/>
          <w:szCs w:val="24"/>
        </w:rPr>
        <w:lastRenderedPageBreak/>
        <w:t xml:space="preserve">Pitkin (1967) argued, representatives are expected to act in a manner that is responsive to the will of the public through continuous deliberation. The findings from </w:t>
      </w: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(2025), however, suggest the introduction of AI forcing a "technocratic pivot" in that the representatives are no longer interpreters of the public discourse but "architects of automated frameworks." In this new reality, the most important political decisions, such as determining the parameters of "fairness" in a welfare algorithm, are determined during the technical design phase (the Intelligence and Process layers of the ASA), remote from public debate, or legislative oversight. This shift is jeopardizing the "depoliticization" of policy in which fought-about social values are rendered into pseudo-objective mathematical optimizations, which may alienate the citizenry from the democratic process.</w:t>
      </w:r>
    </w:p>
    <w:p w14:paraId="5C8B159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In order to mitigate this alienation, the success of Algorithm Registers (Popa, 2024) and participatory AI models (Sousa et al., 2025) indicates that the state needs to move towards a model of "Empowered Transparency." The "Efficiency-Legitimacy Paradox" can only be solved if the 25% efficiency gains that automated systems identify are countered by a new kind of "Role-Sensitive Explainability" (Herrera et al., 2025). This means that the state needs to stop seeing transparency not as a "technical disclosure" but as a "political justification". As Busuioc et al. (2023) caution, if the structure of transparency continues to be maintained as a curated story controlled by software providers, then transparency will continue to act as a "logic of secrecy" which gags accountability. Therefore, the first step in reclaiming the social contract is to make sure that the ASA is developed on a foundation of 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in which each algorithmic decision should be traceable back to the democratic values it was designed to serve.</w:t>
      </w:r>
    </w:p>
    <w:p w14:paraId="5EC7D928" w14:textId="77777777" w:rsidR="0088082E" w:rsidRDefault="002C7464">
      <w:pPr>
        <w:spacing w:before="240" w:after="240" w:line="240" w:lineRule="auto"/>
        <w:jc w:val="both"/>
        <w:rPr>
          <w:rFonts w:ascii="Garamond" w:eastAsia="Garamond" w:hAnsi="Garamond" w:cs="Garamond"/>
          <w:b/>
          <w:bCs/>
          <w:sz w:val="24"/>
          <w:szCs w:val="24"/>
        </w:rPr>
      </w:pPr>
      <w:r>
        <w:rPr>
          <w:rFonts w:ascii="Garamond" w:eastAsia="Garamond" w:hAnsi="Garamond" w:cs="Garamond"/>
          <w:b/>
          <w:bCs/>
          <w:sz w:val="24"/>
          <w:szCs w:val="24"/>
        </w:rPr>
        <w:t>Digital Sovereignty and the New Social Contract</w:t>
      </w:r>
    </w:p>
    <w:p w14:paraId="33E2C02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In the international context, the findings call for a radical revision of the theory of Digital Sovereignty and International Relations (IR). That the "General Purpose" nature of AI may mean that state power is no longer defined around territorial integrity and military strength, but rather around the status of a nation within the global algorithmic hierarchy. The "Passengers in Flight" metaphor (Farhad, 2025) offers a great theoretical lens to understand the actual state of the world today: while the "AI Core" (USA, China, EU) leads the way shaping the regulatory and technical norms the rest of the world "AI Travelers in Flight" (Global South) is in the state of "Digital Dependency." From a political science point of view, this is part of a modern version of Dependency Theory where the Global South is supplying the "data raw materials" for AI models developed in the North, but then renting out the governance tools that are developed. This cycle in effect outsources nation state capacity for governance to foreign technocratic elites putting at risk the very essence of digital sovereignty in the process.</w:t>
      </w:r>
    </w:p>
    <w:p w14:paraId="1CF366BA"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global asymmetry is directly related to the role of the state Economic Management. The empirical evidence of Vatamanu &amp; Tofan (2025) proves the fact that digital public services are a main driver of the quality of governance and economic resilience. However, if the "AI dividend" is only available to those states that have high foundational capacity (the Foundation Layer of the ASA), then AI integration can potentially increase the global achievement gap. For emerging economies, it is necessary to change the discourse from "adopting" AI to "AI Localization" (Farhad, 2025). This includes developing the local institutional capacity to audit and govern algorithms towards a specific set of cultural and fiscal needs, such as the participatory budgeting success in Sao Paulo (Sousa et al., 2025). Without this capacity, the state runs the risk to become merely a "hollow out ship" of a proprietary foreign logic.</w:t>
      </w:r>
    </w:p>
    <w:p w14:paraId="40B8A20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lastRenderedPageBreak/>
        <w:t xml:space="preserve">Finally, the emergence of a "New Social Contract" for the algorithmic age needs to be discussed. The move to governance at the system levels rests on the need for a new distributive logic. If AI-driven "Artificial Discretion" (Young et al., 2019) diminishes the needs for middle management and clerical </w:t>
      </w:r>
      <w:proofErr w:type="spellStart"/>
      <w:r>
        <w:rPr>
          <w:rFonts w:ascii="Garamond" w:eastAsia="Garamond" w:hAnsi="Garamond" w:cs="Garamond"/>
          <w:sz w:val="24"/>
          <w:szCs w:val="24"/>
        </w:rPr>
        <w:t>labour</w:t>
      </w:r>
      <w:proofErr w:type="spellEnd"/>
      <w:r>
        <w:rPr>
          <w:rFonts w:ascii="Garamond" w:eastAsia="Garamond" w:hAnsi="Garamond" w:cs="Garamond"/>
          <w:sz w:val="24"/>
          <w:szCs w:val="24"/>
        </w:rPr>
        <w:t xml:space="preserve">, the state will need to find new means to </w:t>
      </w:r>
      <w:proofErr w:type="spellStart"/>
      <w:r>
        <w:rPr>
          <w:rFonts w:ascii="Garamond" w:eastAsia="Garamond" w:hAnsi="Garamond" w:cs="Garamond"/>
          <w:sz w:val="24"/>
          <w:szCs w:val="24"/>
        </w:rPr>
        <w:t>legitimise</w:t>
      </w:r>
      <w:proofErr w:type="spellEnd"/>
      <w:r>
        <w:rPr>
          <w:rFonts w:ascii="Garamond" w:eastAsia="Garamond" w:hAnsi="Garamond" w:cs="Garamond"/>
          <w:sz w:val="24"/>
          <w:szCs w:val="24"/>
        </w:rPr>
        <w:t xml:space="preserve"> its power and transfer the wealth produced by automation. The move towards a </w:t>
      </w:r>
      <w:proofErr w:type="spellStart"/>
      <w:r>
        <w:rPr>
          <w:rFonts w:ascii="Garamond" w:eastAsia="Garamond" w:hAnsi="Garamond" w:cs="Garamond"/>
          <w:sz w:val="24"/>
          <w:szCs w:val="24"/>
        </w:rPr>
        <w:t>LoBOX</w:t>
      </w:r>
      <w:proofErr w:type="spellEnd"/>
      <w:r>
        <w:rPr>
          <w:rFonts w:ascii="Garamond" w:eastAsia="Garamond" w:hAnsi="Garamond" w:cs="Garamond"/>
          <w:sz w:val="24"/>
          <w:szCs w:val="24"/>
        </w:rPr>
        <w:t xml:space="preserve"> governance (Herrera et al. 2025), which accepts that some opacity is possible, but requires that it is "bounded" and "governed" constitutes a rational shift in the political ethics. In a complex sociotechnical world, it </w:t>
      </w:r>
      <w:proofErr w:type="spellStart"/>
      <w:r>
        <w:rPr>
          <w:rFonts w:ascii="Garamond" w:eastAsia="Garamond" w:hAnsi="Garamond" w:cs="Garamond"/>
          <w:sz w:val="24"/>
          <w:szCs w:val="24"/>
        </w:rPr>
        <w:t>recognises</w:t>
      </w:r>
      <w:proofErr w:type="spellEnd"/>
      <w:r>
        <w:rPr>
          <w:rFonts w:ascii="Garamond" w:eastAsia="Garamond" w:hAnsi="Garamond" w:cs="Garamond"/>
          <w:sz w:val="24"/>
          <w:szCs w:val="24"/>
        </w:rPr>
        <w:t xml:space="preserve"> that trust cannot be grounded on "total understanding" but must be grounded on Institutional Credibility. The conclusion of this review is that the algorithmic state is only sustainable if there is a move away from "technocratic secrecy" and towards Algorithmic Justice, laying the foundation and ensuring that the state remains a supportive, equitable and transparent facilitator of human rights (Wang, 2025; </w:t>
      </w: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2024).</w:t>
      </w:r>
    </w:p>
    <w:p w14:paraId="062C795B" w14:textId="77777777" w:rsidR="0088082E" w:rsidRDefault="0088082E">
      <w:pPr>
        <w:spacing w:before="100" w:after="100" w:line="240" w:lineRule="auto"/>
        <w:jc w:val="both"/>
        <w:rPr>
          <w:rFonts w:ascii="Garamond" w:eastAsia="Garamond" w:hAnsi="Garamond" w:cs="Garamond"/>
          <w:sz w:val="24"/>
          <w:szCs w:val="24"/>
        </w:rPr>
      </w:pPr>
    </w:p>
    <w:p w14:paraId="73383BDF" w14:textId="77777777"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CONCLUSION </w:t>
      </w:r>
    </w:p>
    <w:p w14:paraId="4F5DD37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This systematic review has examined the sheer re-</w:t>
      </w:r>
      <w:proofErr w:type="spellStart"/>
      <w:r>
        <w:rPr>
          <w:rFonts w:ascii="Garamond" w:eastAsia="Garamond" w:hAnsi="Garamond" w:cs="Garamond"/>
          <w:sz w:val="24"/>
          <w:szCs w:val="24"/>
        </w:rPr>
        <w:t>organisation</w:t>
      </w:r>
      <w:proofErr w:type="spellEnd"/>
      <w:r>
        <w:rPr>
          <w:rFonts w:ascii="Garamond" w:eastAsia="Garamond" w:hAnsi="Garamond" w:cs="Garamond"/>
          <w:sz w:val="24"/>
          <w:szCs w:val="24"/>
        </w:rPr>
        <w:t xml:space="preserve"> of public policy, economic management, and political systems induced by Artificial Intelligence (AI) between 2018 and 2026. The evidence shows that as General-Purpose Technology (GPT), AI is not just an administrative upgrade but the basic re-structuring of state capacity. The shift from "street-level" to "system-level" bureaucracies (Young et al., 2019) has enabled the states to become more efficient than ever, through "Artificial Discretion", however the move has also given birth to the Efficiency-Legitimacy Paradox. While AI-powered architectures such as the ASA (Engin et al., 2025) strengthen the state's capacity to address the economy prospectively and provide service, they are susceptible to terminal demotivation of public trust if algorithmic logic is ever to be exposed </w:t>
      </w:r>
      <w:r>
        <w:rPr>
          <w:rFonts w:ascii="Garamond" w:eastAsia="Garamond" w:hAnsi="Garamond" w:cs="Garamond"/>
          <w:sz w:val="24"/>
          <w:szCs w:val="24"/>
        </w:rPr>
        <w:t>from the ilk of a blacked-out box that is disconnected from the democratic social contract.</w:t>
      </w:r>
    </w:p>
    <w:p w14:paraId="5D868D5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Furthermore, the review draws attention to the fact that Digital Sovereignty is the new frontier of International Relations. The metaphor of the "Passengers in Flight" (Farhad, 2025) illustrates and warns that in the absence of the development of local governance capacity, there is a situation of digital dependency where the Global South is essentially out-sourcing its sovereign discretion in </w:t>
      </w:r>
      <w:proofErr w:type="spellStart"/>
      <w:r>
        <w:rPr>
          <w:rFonts w:ascii="Garamond" w:eastAsia="Garamond" w:hAnsi="Garamond" w:cs="Garamond"/>
          <w:sz w:val="24"/>
          <w:szCs w:val="24"/>
        </w:rPr>
        <w:t>favour</w:t>
      </w:r>
      <w:proofErr w:type="spellEnd"/>
      <w:r>
        <w:rPr>
          <w:rFonts w:ascii="Garamond" w:eastAsia="Garamond" w:hAnsi="Garamond" w:cs="Garamond"/>
          <w:sz w:val="24"/>
          <w:szCs w:val="24"/>
        </w:rPr>
        <w:t xml:space="preserve"> of a transnational technocratic elite. Resolving these tensions requires a shift towards Algorithmic Justice where transparency is reclaimed from individualized corporate narratives and grounded in institutional accountability and procedural fairness (Busuioc et al., 2023; Wang, 2025).</w:t>
      </w:r>
    </w:p>
    <w:p w14:paraId="0DEA22C6" w14:textId="77777777" w:rsidR="0088082E" w:rsidRDefault="0088082E">
      <w:pPr>
        <w:spacing w:before="100" w:after="100" w:line="240" w:lineRule="auto"/>
        <w:jc w:val="both"/>
        <w:rPr>
          <w:rFonts w:ascii="Garamond" w:eastAsia="Garamond" w:hAnsi="Garamond" w:cs="Garamond"/>
          <w:b/>
          <w:bCs/>
          <w:sz w:val="24"/>
          <w:szCs w:val="24"/>
        </w:rPr>
      </w:pPr>
    </w:p>
    <w:p w14:paraId="6A44AE50" w14:textId="77777777" w:rsidR="0088082E" w:rsidRDefault="002C7464">
      <w:pPr>
        <w:spacing w:before="100" w:after="100" w:line="240" w:lineRule="auto"/>
        <w:jc w:val="both"/>
        <w:rPr>
          <w:rFonts w:ascii="Garamond" w:eastAsia="Garamond" w:hAnsi="Garamond" w:cs="Garamond"/>
          <w:b/>
          <w:bCs/>
          <w:sz w:val="24"/>
          <w:szCs w:val="24"/>
        </w:rPr>
      </w:pPr>
      <w:r>
        <w:rPr>
          <w:rFonts w:ascii="Garamond" w:eastAsia="Garamond" w:hAnsi="Garamond" w:cs="Garamond"/>
          <w:b/>
          <w:bCs/>
          <w:sz w:val="24"/>
          <w:szCs w:val="24"/>
        </w:rPr>
        <w:t xml:space="preserve">POLICY RECOMMENDATIONS </w:t>
      </w:r>
    </w:p>
    <w:p w14:paraId="67E02F97" w14:textId="083E7BFA"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To ensure </w:t>
      </w:r>
      <w:r w:rsidR="00C07484">
        <w:rPr>
          <w:rFonts w:ascii="Garamond" w:eastAsia="Garamond" w:hAnsi="Garamond" w:cs="Garamond"/>
          <w:sz w:val="24"/>
          <w:szCs w:val="24"/>
        </w:rPr>
        <w:t>that</w:t>
      </w:r>
      <w:r>
        <w:rPr>
          <w:rFonts w:ascii="Garamond" w:eastAsia="Garamond" w:hAnsi="Garamond" w:cs="Garamond"/>
          <w:sz w:val="24"/>
          <w:szCs w:val="24"/>
        </w:rPr>
        <w:t xml:space="preserve"> the algorithmic state remains a supportive and</w:t>
      </w:r>
      <w:r>
        <w:rPr>
          <w:rFonts w:ascii="Garamond" w:eastAsia="Garamond" w:hAnsi="Garamond" w:cs="Garamond"/>
          <w:b/>
          <w:bCs/>
          <w:sz w:val="24"/>
          <w:szCs w:val="24"/>
        </w:rPr>
        <w:t xml:space="preserve"> </w:t>
      </w:r>
      <w:r>
        <w:rPr>
          <w:rFonts w:ascii="Garamond" w:eastAsia="Garamond" w:hAnsi="Garamond" w:cs="Garamond"/>
          <w:sz w:val="24"/>
          <w:szCs w:val="24"/>
        </w:rPr>
        <w:t>equitable facilitator of human rights the following recommendations are proposed:</w:t>
      </w:r>
    </w:p>
    <w:p w14:paraId="1E8EAFB7" w14:textId="2E236CD3" w:rsidR="0088082E" w:rsidRDefault="002C7464">
      <w:pPr>
        <w:numPr>
          <w:ilvl w:val="0"/>
          <w:numId w:val="1"/>
        </w:numPr>
        <w:spacing w:before="100" w:line="240" w:lineRule="auto"/>
        <w:jc w:val="both"/>
        <w:rPr>
          <w:rFonts w:ascii="Garamond" w:eastAsia="Garamond" w:hAnsi="Garamond" w:cs="Garamond"/>
          <w:sz w:val="24"/>
          <w:szCs w:val="24"/>
        </w:rPr>
      </w:pPr>
      <w:r>
        <w:rPr>
          <w:rFonts w:ascii="Garamond" w:eastAsia="Garamond" w:hAnsi="Garamond" w:cs="Garamond"/>
          <w:sz w:val="24"/>
          <w:szCs w:val="24"/>
        </w:rPr>
        <w:t>Mandatory</w:t>
      </w:r>
      <w:r w:rsidR="00C07484">
        <w:rPr>
          <w:rFonts w:ascii="Garamond" w:eastAsia="Garamond" w:hAnsi="Garamond" w:cs="Garamond"/>
          <w:sz w:val="24"/>
          <w:szCs w:val="24"/>
        </w:rPr>
        <w:t xml:space="preserve"> </w:t>
      </w:r>
      <w:r>
        <w:rPr>
          <w:rFonts w:ascii="Garamond" w:eastAsia="Garamond" w:hAnsi="Garamond" w:cs="Garamond"/>
          <w:sz w:val="24"/>
          <w:szCs w:val="24"/>
        </w:rPr>
        <w:t>Algorithmic Accountability: Frequently, governments have adopted voluntary guidelines instead of binding legislative frameworks that mandate Algorithmic Impact Assessments (AIAs) and external audits for all "high-stakes" public sector systems (</w:t>
      </w:r>
      <w:proofErr w:type="spellStart"/>
      <w:r>
        <w:rPr>
          <w:rFonts w:ascii="Garamond" w:eastAsia="Garamond" w:hAnsi="Garamond" w:cs="Garamond"/>
          <w:sz w:val="24"/>
          <w:szCs w:val="24"/>
        </w:rPr>
        <w:t>Babsek</w:t>
      </w:r>
      <w:proofErr w:type="spellEnd"/>
      <w:r>
        <w:rPr>
          <w:rFonts w:ascii="Garamond" w:eastAsia="Garamond" w:hAnsi="Garamond" w:cs="Garamond"/>
          <w:sz w:val="24"/>
          <w:szCs w:val="24"/>
        </w:rPr>
        <w:t xml:space="preserve"> et al., 2025; Wang, 2025). </w:t>
      </w:r>
    </w:p>
    <w:p w14:paraId="62F7BC9F" w14:textId="77777777"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 xml:space="preserve">Institutionalize Visibility: In order to reestablish the democratic legitimacy of the state, the states should have Public Algorithm Registers (Popa, 2024), and incorporate "Role-Sensitive Explainability" (Herrera et al., 2025) in explaining the justifications for automatically adopted decisions in ways intelligible to lay citizens. </w:t>
      </w:r>
    </w:p>
    <w:p w14:paraId="550C01FE" w14:textId="77777777" w:rsidR="0088082E" w:rsidRDefault="002C7464">
      <w:pPr>
        <w:numPr>
          <w:ilvl w:val="0"/>
          <w:numId w:val="1"/>
        </w:numPr>
        <w:spacing w:line="240" w:lineRule="auto"/>
        <w:jc w:val="both"/>
        <w:rPr>
          <w:rFonts w:ascii="Garamond" w:eastAsia="Garamond" w:hAnsi="Garamond" w:cs="Garamond"/>
          <w:sz w:val="24"/>
          <w:szCs w:val="24"/>
        </w:rPr>
      </w:pPr>
      <w:r>
        <w:rPr>
          <w:rFonts w:ascii="Garamond" w:eastAsia="Garamond" w:hAnsi="Garamond" w:cs="Garamond"/>
          <w:sz w:val="24"/>
          <w:szCs w:val="24"/>
        </w:rPr>
        <w:t xml:space="preserve">Promoting AI localization: In order to promote AI localization, policy must </w:t>
      </w:r>
      <w:proofErr w:type="spellStart"/>
      <w:r>
        <w:rPr>
          <w:rFonts w:ascii="Garamond" w:eastAsia="Garamond" w:hAnsi="Garamond" w:cs="Garamond"/>
          <w:sz w:val="24"/>
          <w:szCs w:val="24"/>
        </w:rPr>
        <w:t>prioritise</w:t>
      </w:r>
      <w:proofErr w:type="spellEnd"/>
      <w:r>
        <w:rPr>
          <w:rFonts w:ascii="Garamond" w:eastAsia="Garamond" w:hAnsi="Garamond" w:cs="Garamond"/>
          <w:sz w:val="24"/>
          <w:szCs w:val="24"/>
        </w:rPr>
        <w:t xml:space="preserve"> efforts to build local </w:t>
      </w:r>
      <w:r>
        <w:rPr>
          <w:rFonts w:ascii="Garamond" w:eastAsia="Garamond" w:hAnsi="Garamond" w:cs="Garamond"/>
          <w:sz w:val="24"/>
          <w:szCs w:val="24"/>
        </w:rPr>
        <w:lastRenderedPageBreak/>
        <w:t xml:space="preserve">institutional capacity to audit and guide the design and development of foreign-built systems, so that the outcomes of AI systems are aligned with the social and cultural values of the nation (Farhad, 2025; Sousa et al., 2025). </w:t>
      </w:r>
    </w:p>
    <w:p w14:paraId="48B54C22" w14:textId="77777777" w:rsidR="0088082E" w:rsidRDefault="002C7464">
      <w:pPr>
        <w:numPr>
          <w:ilvl w:val="0"/>
          <w:numId w:val="1"/>
        </w:numPr>
        <w:spacing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Pr>
          <w:rFonts w:ascii="Garamond" w:eastAsia="Garamond" w:hAnsi="Garamond" w:cs="Garamond"/>
          <w:sz w:val="24"/>
          <w:szCs w:val="24"/>
        </w:rPr>
        <w:t xml:space="preserve">Value-Based Governance: Regulatory frameworks should have a priority on </w:t>
      </w:r>
      <w:r>
        <w:rPr>
          <w:rFonts w:ascii="Garamond" w:eastAsia="Garamond" w:hAnsi="Garamond" w:cs="Garamond"/>
          <w:sz w:val="24"/>
          <w:szCs w:val="24"/>
        </w:rPr>
        <w:t>"Value-Based Transparency" (</w:t>
      </w: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2024) where technical declaration of an algorithm is tied explicitly to the ethical foundations of the social contract to achieve the "Human-in-the-loop" model of governing.</w:t>
      </w:r>
    </w:p>
    <w:p w14:paraId="6E368C8A" w14:textId="77777777" w:rsidR="0088082E" w:rsidRDefault="0088082E">
      <w:pPr>
        <w:spacing w:before="100" w:after="100" w:line="240" w:lineRule="auto"/>
        <w:jc w:val="both"/>
        <w:rPr>
          <w:rFonts w:ascii="Garamond" w:eastAsia="Garamond" w:hAnsi="Garamond" w:cs="Garamond"/>
          <w:sz w:val="24"/>
          <w:szCs w:val="24"/>
        </w:rPr>
      </w:pPr>
    </w:p>
    <w:p w14:paraId="3DBA8251" w14:textId="77777777" w:rsidR="002E5DF3" w:rsidRPr="00CA3906" w:rsidRDefault="002E5DF3" w:rsidP="002E5DF3">
      <w:pPr>
        <w:rPr>
          <w:b/>
          <w:highlight w:val="yellow"/>
        </w:rPr>
      </w:pPr>
      <w:r w:rsidRPr="00CA3906">
        <w:rPr>
          <w:b/>
          <w:highlight w:val="yellow"/>
        </w:rPr>
        <w:t>Disclaimer (Artificial intelligence)</w:t>
      </w:r>
    </w:p>
    <w:p w14:paraId="372644C1" w14:textId="77777777" w:rsidR="002E5DF3" w:rsidRPr="00740879" w:rsidRDefault="002E5DF3" w:rsidP="002E5DF3">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2286618" w14:textId="77777777" w:rsidR="0088082E" w:rsidRDefault="0088082E">
      <w:pPr>
        <w:spacing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space="720"/>
        </w:sectPr>
      </w:pPr>
    </w:p>
    <w:p w14:paraId="72E19995" w14:textId="77777777" w:rsidR="0088082E" w:rsidRDefault="002C7464">
      <w:pPr>
        <w:spacing w:before="480" w:line="240" w:lineRule="auto"/>
        <w:jc w:val="both"/>
        <w:rPr>
          <w:rFonts w:ascii="Garamond" w:eastAsia="Garamond" w:hAnsi="Garamond" w:cs="Garamond"/>
          <w:sz w:val="24"/>
          <w:szCs w:val="24"/>
        </w:rPr>
      </w:pPr>
      <w:r>
        <w:rPr>
          <w:rFonts w:ascii="Garamond" w:eastAsia="Garamond" w:hAnsi="Garamond" w:cs="Garamond"/>
          <w:b/>
          <w:bCs/>
          <w:sz w:val="24"/>
          <w:szCs w:val="24"/>
        </w:rPr>
        <w:t xml:space="preserve">REFERENCES </w:t>
      </w:r>
    </w:p>
    <w:p w14:paraId="53CDD46D"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Acharya, D., </w:t>
      </w:r>
      <w:proofErr w:type="spellStart"/>
      <w:r>
        <w:rPr>
          <w:rFonts w:ascii="Garamond" w:eastAsia="Garamond" w:hAnsi="Garamond" w:cs="Garamond"/>
          <w:sz w:val="24"/>
          <w:szCs w:val="24"/>
        </w:rPr>
        <w:t>Kuppan</w:t>
      </w:r>
      <w:proofErr w:type="spellEnd"/>
      <w:r>
        <w:rPr>
          <w:rFonts w:ascii="Garamond" w:eastAsia="Garamond" w:hAnsi="Garamond" w:cs="Garamond"/>
          <w:sz w:val="24"/>
          <w:szCs w:val="24"/>
        </w:rPr>
        <w:t xml:space="preserve">, K., &amp; </w:t>
      </w:r>
      <w:proofErr w:type="spellStart"/>
      <w:r>
        <w:rPr>
          <w:rFonts w:ascii="Garamond" w:eastAsia="Garamond" w:hAnsi="Garamond" w:cs="Garamond"/>
          <w:sz w:val="24"/>
          <w:szCs w:val="24"/>
        </w:rPr>
        <w:t>Bhaskaracharya</w:t>
      </w:r>
      <w:proofErr w:type="spellEnd"/>
      <w:r>
        <w:rPr>
          <w:rFonts w:ascii="Garamond" w:eastAsia="Garamond" w:hAnsi="Garamond" w:cs="Garamond"/>
          <w:sz w:val="24"/>
          <w:szCs w:val="24"/>
        </w:rPr>
        <w:t xml:space="preserve">, D. (2025). Agentic AI: Autonomous intelligence for complex goals—A comprehensive survey. </w:t>
      </w:r>
      <w:r>
        <w:rPr>
          <w:rFonts w:ascii="Garamond" w:eastAsia="Garamond" w:hAnsi="Garamond" w:cs="Garamond"/>
          <w:i/>
          <w:iCs/>
          <w:sz w:val="24"/>
          <w:szCs w:val="24"/>
        </w:rPr>
        <w:t>IEEE Access</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1045–1068.</w:t>
      </w:r>
    </w:p>
    <w:p w14:paraId="1A5B37A3"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Adams, R. J., Smart, P., &amp; Huff, A. S. (2017). Shades of grey: Guidelines for working with the grey literature in systematic reviews for management and organization studies. </w:t>
      </w:r>
      <w:r>
        <w:rPr>
          <w:rFonts w:ascii="Garamond" w:eastAsia="Garamond" w:hAnsi="Garamond" w:cs="Garamond"/>
          <w:i/>
          <w:iCs/>
          <w:sz w:val="24"/>
          <w:szCs w:val="24"/>
        </w:rPr>
        <w:t>International Journal of Management Reviews</w:t>
      </w:r>
      <w:r>
        <w:rPr>
          <w:rFonts w:ascii="Garamond" w:eastAsia="Garamond" w:hAnsi="Garamond" w:cs="Garamond"/>
          <w:sz w:val="24"/>
          <w:szCs w:val="24"/>
        </w:rPr>
        <w:t xml:space="preserve">, </w:t>
      </w:r>
      <w:r>
        <w:rPr>
          <w:rFonts w:ascii="Garamond" w:eastAsia="Garamond" w:hAnsi="Garamond" w:cs="Garamond"/>
          <w:i/>
          <w:iCs/>
          <w:sz w:val="24"/>
          <w:szCs w:val="24"/>
        </w:rPr>
        <w:t>19</w:t>
      </w:r>
      <w:r>
        <w:rPr>
          <w:rFonts w:ascii="Garamond" w:eastAsia="Garamond" w:hAnsi="Garamond" w:cs="Garamond"/>
          <w:sz w:val="24"/>
          <w:szCs w:val="24"/>
        </w:rPr>
        <w:t>(4), 432–454.</w:t>
      </w:r>
      <w:hyperlink r:id="rId14">
        <w:r>
          <w:rPr>
            <w:rFonts w:ascii="Garamond" w:eastAsia="Garamond" w:hAnsi="Garamond" w:cs="Garamond"/>
            <w:sz w:val="24"/>
            <w:szCs w:val="24"/>
          </w:rPr>
          <w:t xml:space="preserve"> </w:t>
        </w:r>
      </w:hyperlink>
      <w:hyperlink r:id="rId15">
        <w:r>
          <w:rPr>
            <w:rFonts w:ascii="Garamond" w:eastAsia="Garamond" w:hAnsi="Garamond" w:cs="Garamond"/>
            <w:color w:val="0000FF"/>
            <w:sz w:val="24"/>
            <w:szCs w:val="24"/>
            <w:u w:val="single"/>
          </w:rPr>
          <w:t>https://doi.org/10.1111/ijmr.12102</w:t>
        </w:r>
      </w:hyperlink>
    </w:p>
    <w:p w14:paraId="38721A1E"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Akgun, S., &amp; Greenhow, C. (2021). Artificial intelligence in education: Addressing ethical challenges in K-12 settings.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431–440.</w:t>
      </w:r>
      <w:hyperlink r:id="rId16">
        <w:r>
          <w:rPr>
            <w:rFonts w:ascii="Garamond" w:eastAsia="Garamond" w:hAnsi="Garamond" w:cs="Garamond"/>
            <w:sz w:val="24"/>
            <w:szCs w:val="24"/>
          </w:rPr>
          <w:t xml:space="preserve"> </w:t>
        </w:r>
      </w:hyperlink>
      <w:hyperlink r:id="rId17">
        <w:r>
          <w:rPr>
            <w:rFonts w:ascii="Garamond" w:eastAsia="Garamond" w:hAnsi="Garamond" w:cs="Garamond"/>
            <w:color w:val="0000FF"/>
            <w:sz w:val="24"/>
            <w:szCs w:val="24"/>
            <w:u w:val="single"/>
          </w:rPr>
          <w:t>https://doi.org/10.1007/s43681-021-00096-7</w:t>
        </w:r>
      </w:hyperlink>
    </w:p>
    <w:p w14:paraId="0C60C9B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Bovens, M. (2007). </w:t>
      </w:r>
      <w:proofErr w:type="spellStart"/>
      <w:r>
        <w:rPr>
          <w:rFonts w:ascii="Garamond" w:eastAsia="Garamond" w:hAnsi="Garamond" w:cs="Garamond"/>
          <w:sz w:val="24"/>
          <w:szCs w:val="24"/>
        </w:rPr>
        <w:t>Analysing</w:t>
      </w:r>
      <w:proofErr w:type="spellEnd"/>
      <w:r>
        <w:rPr>
          <w:rFonts w:ascii="Garamond" w:eastAsia="Garamond" w:hAnsi="Garamond" w:cs="Garamond"/>
          <w:sz w:val="24"/>
          <w:szCs w:val="24"/>
        </w:rPr>
        <w:t xml:space="preserve"> and assessing accountability: A conceptual framework. </w:t>
      </w:r>
      <w:r>
        <w:rPr>
          <w:rFonts w:ascii="Garamond" w:eastAsia="Garamond" w:hAnsi="Garamond" w:cs="Garamond"/>
          <w:i/>
          <w:iCs/>
          <w:sz w:val="24"/>
          <w:szCs w:val="24"/>
        </w:rPr>
        <w:t>European Law Journal</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(4), 447–468.</w:t>
      </w:r>
      <w:hyperlink r:id="rId18">
        <w:r>
          <w:rPr>
            <w:rFonts w:ascii="Garamond" w:eastAsia="Garamond" w:hAnsi="Garamond" w:cs="Garamond"/>
            <w:sz w:val="24"/>
            <w:szCs w:val="24"/>
          </w:rPr>
          <w:t xml:space="preserve"> </w:t>
        </w:r>
      </w:hyperlink>
      <w:hyperlink r:id="rId19">
        <w:r>
          <w:rPr>
            <w:rFonts w:ascii="Garamond" w:eastAsia="Garamond" w:hAnsi="Garamond" w:cs="Garamond"/>
            <w:color w:val="0000FF"/>
            <w:sz w:val="24"/>
            <w:szCs w:val="24"/>
            <w:u w:val="single"/>
          </w:rPr>
          <w:t>https://doi.org/10.1111/j.1468-0386.2007.00378.x</w:t>
        </w:r>
      </w:hyperlink>
    </w:p>
    <w:p w14:paraId="78264824"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Bovens, M., &amp; </w:t>
      </w:r>
      <w:proofErr w:type="spellStart"/>
      <w:r>
        <w:rPr>
          <w:rFonts w:ascii="Garamond" w:eastAsia="Garamond" w:hAnsi="Garamond" w:cs="Garamond"/>
          <w:sz w:val="24"/>
          <w:szCs w:val="24"/>
        </w:rPr>
        <w:t>Zouridis</w:t>
      </w:r>
      <w:proofErr w:type="spellEnd"/>
      <w:r>
        <w:rPr>
          <w:rFonts w:ascii="Garamond" w:eastAsia="Garamond" w:hAnsi="Garamond" w:cs="Garamond"/>
          <w:sz w:val="24"/>
          <w:szCs w:val="24"/>
        </w:rPr>
        <w:t xml:space="preserve">, S. (2002). From street-level to system-level bureaucracies: How information and communication technology is transforming administrative discretion and constitutional control.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62</w:t>
      </w:r>
      <w:r>
        <w:rPr>
          <w:rFonts w:ascii="Garamond" w:eastAsia="Garamond" w:hAnsi="Garamond" w:cs="Garamond"/>
          <w:sz w:val="24"/>
          <w:szCs w:val="24"/>
        </w:rPr>
        <w:t>(2), 174–184.</w:t>
      </w:r>
    </w:p>
    <w:p w14:paraId="6FAA79CC"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Bradford, A. (2020). </w:t>
      </w:r>
      <w:r>
        <w:rPr>
          <w:rFonts w:ascii="Garamond" w:eastAsia="Garamond" w:hAnsi="Garamond" w:cs="Garamond"/>
          <w:i/>
          <w:iCs/>
          <w:sz w:val="24"/>
          <w:szCs w:val="24"/>
        </w:rPr>
        <w:t>The Brussels Effect: How the European Union rules the world</w:t>
      </w:r>
      <w:r>
        <w:rPr>
          <w:rFonts w:ascii="Garamond" w:eastAsia="Garamond" w:hAnsi="Garamond" w:cs="Garamond"/>
          <w:sz w:val="24"/>
          <w:szCs w:val="24"/>
        </w:rPr>
        <w:t>. Oxford University Press.</w:t>
      </w:r>
    </w:p>
    <w:p w14:paraId="7A0F7686"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Bresnahan, T. F., &amp; Trajtenberg, M. (1995). General purpose technologies ‘Engines of growth’? </w:t>
      </w:r>
      <w:r>
        <w:rPr>
          <w:rFonts w:ascii="Garamond" w:eastAsia="Garamond" w:hAnsi="Garamond" w:cs="Garamond"/>
          <w:i/>
          <w:iCs/>
          <w:sz w:val="24"/>
          <w:szCs w:val="24"/>
        </w:rPr>
        <w:t>Journal of Econometrics</w:t>
      </w:r>
      <w:r>
        <w:rPr>
          <w:rFonts w:ascii="Garamond" w:eastAsia="Garamond" w:hAnsi="Garamond" w:cs="Garamond"/>
          <w:sz w:val="24"/>
          <w:szCs w:val="24"/>
        </w:rPr>
        <w:t xml:space="preserve">, </w:t>
      </w:r>
      <w:r>
        <w:rPr>
          <w:rFonts w:ascii="Garamond" w:eastAsia="Garamond" w:hAnsi="Garamond" w:cs="Garamond"/>
          <w:i/>
          <w:iCs/>
          <w:sz w:val="24"/>
          <w:szCs w:val="24"/>
        </w:rPr>
        <w:t>65</w:t>
      </w:r>
      <w:r>
        <w:rPr>
          <w:rFonts w:ascii="Garamond" w:eastAsia="Garamond" w:hAnsi="Garamond" w:cs="Garamond"/>
          <w:sz w:val="24"/>
          <w:szCs w:val="24"/>
        </w:rPr>
        <w:t>(1), 83–108.</w:t>
      </w:r>
    </w:p>
    <w:p w14:paraId="3E42F6C7" w14:textId="77777777" w:rsidR="0088082E" w:rsidRDefault="002C7464">
      <w:pPr>
        <w:spacing w:before="100" w:after="100" w:line="240" w:lineRule="auto"/>
        <w:jc w:val="both"/>
        <w:rPr>
          <w:rFonts w:ascii="Garamond" w:eastAsia="Garamond" w:hAnsi="Garamond" w:cs="Garamond"/>
          <w:color w:val="0000FF"/>
          <w:sz w:val="24"/>
          <w:szCs w:val="24"/>
          <w:u w:val="single"/>
        </w:rPr>
      </w:pPr>
      <w:proofErr w:type="spellStart"/>
      <w:r>
        <w:rPr>
          <w:rFonts w:ascii="Garamond" w:eastAsia="Garamond" w:hAnsi="Garamond" w:cs="Garamond"/>
          <w:sz w:val="24"/>
          <w:szCs w:val="24"/>
        </w:rPr>
        <w:t>Buijsman</w:t>
      </w:r>
      <w:proofErr w:type="spellEnd"/>
      <w:r>
        <w:rPr>
          <w:rFonts w:ascii="Garamond" w:eastAsia="Garamond" w:hAnsi="Garamond" w:cs="Garamond"/>
          <w:sz w:val="24"/>
          <w:szCs w:val="24"/>
        </w:rPr>
        <w:t xml:space="preserve">, S. (2024). Transparency for AI systems: A value-based approach. </w:t>
      </w:r>
      <w:r>
        <w:rPr>
          <w:rFonts w:ascii="Garamond" w:eastAsia="Garamond" w:hAnsi="Garamond" w:cs="Garamond"/>
          <w:i/>
          <w:iCs/>
          <w:sz w:val="24"/>
          <w:szCs w:val="24"/>
        </w:rPr>
        <w:t>Ethics and Information Technology</w:t>
      </w:r>
      <w:r>
        <w:rPr>
          <w:rFonts w:ascii="Garamond" w:eastAsia="Garamond" w:hAnsi="Garamond" w:cs="Garamond"/>
          <w:sz w:val="24"/>
          <w:szCs w:val="24"/>
        </w:rPr>
        <w:t xml:space="preserve">, </w:t>
      </w:r>
      <w:r>
        <w:rPr>
          <w:rFonts w:ascii="Garamond" w:eastAsia="Garamond" w:hAnsi="Garamond" w:cs="Garamond"/>
          <w:i/>
          <w:iCs/>
          <w:sz w:val="24"/>
          <w:szCs w:val="24"/>
        </w:rPr>
        <w:t>26</w:t>
      </w:r>
      <w:r>
        <w:rPr>
          <w:rFonts w:ascii="Garamond" w:eastAsia="Garamond" w:hAnsi="Garamond" w:cs="Garamond"/>
          <w:sz w:val="24"/>
          <w:szCs w:val="24"/>
        </w:rPr>
        <w:t>, 17–32.</w:t>
      </w:r>
      <w:hyperlink r:id="rId20">
        <w:r>
          <w:rPr>
            <w:rFonts w:ascii="Garamond" w:eastAsia="Garamond" w:hAnsi="Garamond" w:cs="Garamond"/>
            <w:sz w:val="24"/>
            <w:szCs w:val="24"/>
          </w:rPr>
          <w:t xml:space="preserve"> </w:t>
        </w:r>
      </w:hyperlink>
      <w:hyperlink r:id="rId21">
        <w:r>
          <w:rPr>
            <w:rFonts w:ascii="Garamond" w:eastAsia="Garamond" w:hAnsi="Garamond" w:cs="Garamond"/>
            <w:color w:val="0000FF"/>
            <w:sz w:val="24"/>
            <w:szCs w:val="24"/>
            <w:u w:val="single"/>
          </w:rPr>
          <w:t>https://doi.org/10.1007/s10676-024-09770-w</w:t>
        </w:r>
      </w:hyperlink>
    </w:p>
    <w:p w14:paraId="2A021320"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Busuioc, M. (2020). Accountable artificial intelligence: Holding algorithms to account. </w:t>
      </w:r>
      <w:r>
        <w:rPr>
          <w:rFonts w:ascii="Garamond" w:eastAsia="Garamond" w:hAnsi="Garamond" w:cs="Garamond"/>
          <w:i/>
          <w:iCs/>
          <w:sz w:val="24"/>
          <w:szCs w:val="24"/>
        </w:rPr>
        <w:t>Public Administration Review</w:t>
      </w:r>
      <w:r>
        <w:rPr>
          <w:rFonts w:ascii="Garamond" w:eastAsia="Garamond" w:hAnsi="Garamond" w:cs="Garamond"/>
          <w:sz w:val="24"/>
          <w:szCs w:val="24"/>
        </w:rPr>
        <w:t xml:space="preserve">, </w:t>
      </w:r>
      <w:r>
        <w:rPr>
          <w:rFonts w:ascii="Garamond" w:eastAsia="Garamond" w:hAnsi="Garamond" w:cs="Garamond"/>
          <w:i/>
          <w:iCs/>
          <w:sz w:val="24"/>
          <w:szCs w:val="24"/>
        </w:rPr>
        <w:t>80</w:t>
      </w:r>
      <w:r>
        <w:rPr>
          <w:rFonts w:ascii="Garamond" w:eastAsia="Garamond" w:hAnsi="Garamond" w:cs="Garamond"/>
          <w:sz w:val="24"/>
          <w:szCs w:val="24"/>
        </w:rPr>
        <w:t>(5), 825–836.</w:t>
      </w:r>
    </w:p>
    <w:p w14:paraId="2CA47C8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Busuioc, M., Curtin, D., &amp; Almada, M. (2023). Reclaiming transparency: Contesting the logics of secrecy within the AI Act. </w:t>
      </w:r>
      <w:r>
        <w:rPr>
          <w:rFonts w:ascii="Garamond" w:eastAsia="Garamond" w:hAnsi="Garamond" w:cs="Garamond"/>
          <w:i/>
          <w:iCs/>
          <w:sz w:val="24"/>
          <w:szCs w:val="24"/>
        </w:rPr>
        <w:t>European Law Open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 79–105.</w:t>
      </w:r>
      <w:hyperlink r:id="rId22">
        <w:r>
          <w:rPr>
            <w:rFonts w:ascii="Garamond" w:eastAsia="Garamond" w:hAnsi="Garamond" w:cs="Garamond"/>
            <w:sz w:val="24"/>
            <w:szCs w:val="24"/>
          </w:rPr>
          <w:t xml:space="preserve"> </w:t>
        </w:r>
      </w:hyperlink>
      <w:hyperlink r:id="rId23">
        <w:r>
          <w:rPr>
            <w:rFonts w:ascii="Garamond" w:eastAsia="Garamond" w:hAnsi="Garamond" w:cs="Garamond"/>
            <w:color w:val="0000FF"/>
            <w:sz w:val="24"/>
            <w:szCs w:val="24"/>
            <w:u w:val="single"/>
          </w:rPr>
          <w:t>https://doi.org/10.1017/elo.2022.47</w:t>
        </w:r>
      </w:hyperlink>
    </w:p>
    <w:p w14:paraId="3D493E7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Castelvecchi, D. (2016). Can we open the black box of AI? </w:t>
      </w:r>
      <w:r>
        <w:rPr>
          <w:rFonts w:ascii="Garamond" w:eastAsia="Garamond" w:hAnsi="Garamond" w:cs="Garamond"/>
          <w:i/>
          <w:iCs/>
          <w:sz w:val="24"/>
          <w:szCs w:val="24"/>
        </w:rPr>
        <w:t>Nature</w:t>
      </w:r>
      <w:r>
        <w:rPr>
          <w:rFonts w:ascii="Garamond" w:eastAsia="Garamond" w:hAnsi="Garamond" w:cs="Garamond"/>
          <w:sz w:val="24"/>
          <w:szCs w:val="24"/>
        </w:rPr>
        <w:t xml:space="preserve">, </w:t>
      </w:r>
      <w:r>
        <w:rPr>
          <w:rFonts w:ascii="Garamond" w:eastAsia="Garamond" w:hAnsi="Garamond" w:cs="Garamond"/>
          <w:i/>
          <w:iCs/>
          <w:sz w:val="24"/>
          <w:szCs w:val="24"/>
        </w:rPr>
        <w:t>538</w:t>
      </w:r>
      <w:r>
        <w:rPr>
          <w:rFonts w:ascii="Garamond" w:eastAsia="Garamond" w:hAnsi="Garamond" w:cs="Garamond"/>
          <w:sz w:val="24"/>
          <w:szCs w:val="24"/>
        </w:rPr>
        <w:t>(7623), 20–23.</w:t>
      </w:r>
    </w:p>
    <w:p w14:paraId="3DED969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Cavaliere, P., &amp; Romeo, G. (2022). From poisons to antidotes: Algorithms as democracy boosters. </w:t>
      </w:r>
      <w:r>
        <w:rPr>
          <w:rFonts w:ascii="Garamond" w:eastAsia="Garamond" w:hAnsi="Garamond" w:cs="Garamond"/>
          <w:i/>
          <w:iCs/>
          <w:sz w:val="24"/>
          <w:szCs w:val="24"/>
        </w:rPr>
        <w:t>European Journal of Risk Regulation</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(2), 299–318.</w:t>
      </w:r>
    </w:p>
    <w:p w14:paraId="5EB736BC" w14:textId="77777777" w:rsidR="0088082E" w:rsidRDefault="002C7464">
      <w:pPr>
        <w:spacing w:before="100" w:after="100" w:line="240" w:lineRule="auto"/>
        <w:jc w:val="both"/>
        <w:rPr>
          <w:rFonts w:ascii="Garamond" w:eastAsia="Garamond" w:hAnsi="Garamond" w:cs="Garamond"/>
          <w:sz w:val="24"/>
          <w:szCs w:val="24"/>
        </w:rPr>
      </w:pPr>
      <w:proofErr w:type="spellStart"/>
      <w:r>
        <w:rPr>
          <w:rFonts w:ascii="Garamond" w:eastAsia="Garamond" w:hAnsi="Garamond" w:cs="Garamond"/>
          <w:sz w:val="24"/>
          <w:szCs w:val="24"/>
        </w:rPr>
        <w:t>Couldry</w:t>
      </w:r>
      <w:proofErr w:type="spellEnd"/>
      <w:r>
        <w:rPr>
          <w:rFonts w:ascii="Garamond" w:eastAsia="Garamond" w:hAnsi="Garamond" w:cs="Garamond"/>
          <w:sz w:val="24"/>
          <w:szCs w:val="24"/>
        </w:rPr>
        <w:t xml:space="preserve">, N., &amp; Mejias, U. A. (2019). </w:t>
      </w:r>
      <w:r>
        <w:rPr>
          <w:rFonts w:ascii="Garamond" w:eastAsia="Garamond" w:hAnsi="Garamond" w:cs="Garamond"/>
          <w:i/>
          <w:iCs/>
          <w:sz w:val="24"/>
          <w:szCs w:val="24"/>
        </w:rPr>
        <w:t>The costs of connection: How data is colonizing human life and appropriating it for capitalism</w:t>
      </w:r>
      <w:r>
        <w:rPr>
          <w:rFonts w:ascii="Garamond" w:eastAsia="Garamond" w:hAnsi="Garamond" w:cs="Garamond"/>
          <w:sz w:val="24"/>
          <w:szCs w:val="24"/>
        </w:rPr>
        <w:t>. Stanford University Press.</w:t>
      </w:r>
    </w:p>
    <w:p w14:paraId="35BBAB41"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Dunleavy, P., &amp; Margetts, H. (2023). Data science, artificial intelligence and the third </w:t>
      </w:r>
      <w:r>
        <w:rPr>
          <w:rFonts w:ascii="Garamond" w:eastAsia="Garamond" w:hAnsi="Garamond" w:cs="Garamond"/>
          <w:sz w:val="24"/>
          <w:szCs w:val="24"/>
        </w:rPr>
        <w:lastRenderedPageBreak/>
        <w:t xml:space="preserve">wave of digital era governance. </w:t>
      </w:r>
      <w:r>
        <w:rPr>
          <w:rFonts w:ascii="Garamond" w:eastAsia="Garamond" w:hAnsi="Garamond" w:cs="Garamond"/>
          <w:i/>
          <w:iCs/>
          <w:sz w:val="24"/>
          <w:szCs w:val="24"/>
        </w:rPr>
        <w:t>Public Policy and Administration</w:t>
      </w:r>
      <w:r>
        <w:rPr>
          <w:rFonts w:ascii="Garamond" w:eastAsia="Garamond" w:hAnsi="Garamond" w:cs="Garamond"/>
          <w:sz w:val="24"/>
          <w:szCs w:val="24"/>
        </w:rPr>
        <w:t>.</w:t>
      </w:r>
      <w:hyperlink r:id="rId24">
        <w:r>
          <w:rPr>
            <w:rFonts w:ascii="Garamond" w:eastAsia="Garamond" w:hAnsi="Garamond" w:cs="Garamond"/>
            <w:sz w:val="24"/>
            <w:szCs w:val="24"/>
          </w:rPr>
          <w:t xml:space="preserve"> </w:t>
        </w:r>
      </w:hyperlink>
      <w:hyperlink r:id="rId25">
        <w:r>
          <w:rPr>
            <w:rFonts w:ascii="Garamond" w:eastAsia="Garamond" w:hAnsi="Garamond" w:cs="Garamond"/>
            <w:color w:val="0000FF"/>
            <w:sz w:val="24"/>
            <w:szCs w:val="24"/>
            <w:u w:val="single"/>
          </w:rPr>
          <w:t>https://doi.org/10.1177/09520767231198737</w:t>
        </w:r>
      </w:hyperlink>
    </w:p>
    <w:p w14:paraId="7BA5B819"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Engin, Z., Crowcroft, J., Hand, D., &amp; Treleaven, P. C. (2025). </w:t>
      </w:r>
      <w:r>
        <w:rPr>
          <w:rFonts w:ascii="Garamond" w:eastAsia="Garamond" w:hAnsi="Garamond" w:cs="Garamond"/>
          <w:i/>
          <w:iCs/>
          <w:sz w:val="24"/>
          <w:szCs w:val="24"/>
        </w:rPr>
        <w:t>The algorithmic state architecture (ASA): An integrated framework for AI-enabled government</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26">
        <w:r>
          <w:rPr>
            <w:rFonts w:ascii="Garamond" w:eastAsia="Garamond" w:hAnsi="Garamond" w:cs="Garamond"/>
            <w:sz w:val="24"/>
            <w:szCs w:val="24"/>
          </w:rPr>
          <w:t xml:space="preserve"> </w:t>
        </w:r>
      </w:hyperlink>
      <w:hyperlink r:id="rId27">
        <w:r>
          <w:rPr>
            <w:rFonts w:ascii="Garamond" w:eastAsia="Garamond" w:hAnsi="Garamond" w:cs="Garamond"/>
            <w:color w:val="0000FF"/>
            <w:sz w:val="24"/>
            <w:szCs w:val="24"/>
            <w:u w:val="single"/>
          </w:rPr>
          <w:t>https://doi.org/10.48550/arXiv.276937866</w:t>
        </w:r>
      </w:hyperlink>
    </w:p>
    <w:p w14:paraId="1F948EF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Fan, Y. (2025). The role of artificial intelligence in the digital transformation of government: Opportunities and ethical challenges. </w:t>
      </w:r>
      <w:r>
        <w:rPr>
          <w:rFonts w:ascii="Garamond" w:eastAsia="Garamond" w:hAnsi="Garamond" w:cs="Garamond"/>
          <w:i/>
          <w:iCs/>
          <w:sz w:val="24"/>
          <w:szCs w:val="24"/>
        </w:rPr>
        <w:t>Frontiers in Public Health</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 1–14.</w:t>
      </w:r>
      <w:hyperlink r:id="rId28">
        <w:r>
          <w:rPr>
            <w:rFonts w:ascii="Garamond" w:eastAsia="Garamond" w:hAnsi="Garamond" w:cs="Garamond"/>
            <w:sz w:val="24"/>
            <w:szCs w:val="24"/>
          </w:rPr>
          <w:t xml:space="preserve"> </w:t>
        </w:r>
      </w:hyperlink>
      <w:hyperlink r:id="rId29">
        <w:r>
          <w:rPr>
            <w:rFonts w:ascii="Garamond" w:eastAsia="Garamond" w:hAnsi="Garamond" w:cs="Garamond"/>
            <w:color w:val="0000FF"/>
            <w:sz w:val="24"/>
            <w:szCs w:val="24"/>
            <w:u w:val="single"/>
          </w:rPr>
          <w:t>https://doi.org/10.3389/fpubh.2025.1694996</w:t>
        </w:r>
      </w:hyperlink>
    </w:p>
    <w:p w14:paraId="213D8B8C"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Farhad, S. (2025). Passengers in flight: AI governance capacity in the global south. </w:t>
      </w:r>
      <w:r>
        <w:rPr>
          <w:rFonts w:ascii="Garamond" w:eastAsia="Garamond" w:hAnsi="Garamond" w:cs="Garamond"/>
          <w:i/>
          <w:iCs/>
          <w:sz w:val="24"/>
          <w:szCs w:val="24"/>
        </w:rPr>
        <w:t>Digital Society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(1), 6–22.</w:t>
      </w:r>
      <w:hyperlink r:id="rId30">
        <w:r>
          <w:rPr>
            <w:rFonts w:ascii="Garamond" w:eastAsia="Garamond" w:hAnsi="Garamond" w:cs="Garamond"/>
            <w:sz w:val="24"/>
            <w:szCs w:val="24"/>
          </w:rPr>
          <w:t xml:space="preserve"> </w:t>
        </w:r>
      </w:hyperlink>
      <w:hyperlink r:id="rId31">
        <w:r>
          <w:rPr>
            <w:rFonts w:ascii="Garamond" w:eastAsia="Garamond" w:hAnsi="Garamond" w:cs="Garamond"/>
            <w:color w:val="0000FF"/>
            <w:sz w:val="24"/>
            <w:szCs w:val="24"/>
            <w:u w:val="single"/>
          </w:rPr>
          <w:t>https://doi.org/10.1007/s44206-025-00195-6</w:t>
        </w:r>
      </w:hyperlink>
    </w:p>
    <w:p w14:paraId="511F505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Goodman, B., &amp; Flaxman, S. (2016). European Union regulations on algorithmic decision-making and a “right to explanation.” </w:t>
      </w:r>
      <w:r>
        <w:rPr>
          <w:rFonts w:ascii="Garamond" w:eastAsia="Garamond" w:hAnsi="Garamond" w:cs="Garamond"/>
          <w:i/>
          <w:iCs/>
          <w:sz w:val="24"/>
          <w:szCs w:val="24"/>
        </w:rPr>
        <w:t>AI Magazine</w:t>
      </w:r>
      <w:r>
        <w:rPr>
          <w:rFonts w:ascii="Garamond" w:eastAsia="Garamond" w:hAnsi="Garamond" w:cs="Garamond"/>
          <w:sz w:val="24"/>
          <w:szCs w:val="24"/>
        </w:rPr>
        <w:t xml:space="preserve">, </w:t>
      </w:r>
      <w:r>
        <w:rPr>
          <w:rFonts w:ascii="Garamond" w:eastAsia="Garamond" w:hAnsi="Garamond" w:cs="Garamond"/>
          <w:i/>
          <w:iCs/>
          <w:sz w:val="24"/>
          <w:szCs w:val="24"/>
        </w:rPr>
        <w:t>38</w:t>
      </w:r>
      <w:r>
        <w:rPr>
          <w:rFonts w:ascii="Garamond" w:eastAsia="Garamond" w:hAnsi="Garamond" w:cs="Garamond"/>
          <w:sz w:val="24"/>
          <w:szCs w:val="24"/>
        </w:rPr>
        <w:t>(3), 50–57.</w:t>
      </w:r>
    </w:p>
    <w:p w14:paraId="3959718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Habermas, J. (1984). </w:t>
      </w:r>
      <w:r>
        <w:rPr>
          <w:rFonts w:ascii="Garamond" w:eastAsia="Garamond" w:hAnsi="Garamond" w:cs="Garamond"/>
          <w:i/>
          <w:iCs/>
          <w:sz w:val="24"/>
          <w:szCs w:val="24"/>
        </w:rPr>
        <w:t>The theory of communicative action</w:t>
      </w:r>
      <w:r>
        <w:rPr>
          <w:rFonts w:ascii="Garamond" w:eastAsia="Garamond" w:hAnsi="Garamond" w:cs="Garamond"/>
          <w:sz w:val="24"/>
          <w:szCs w:val="24"/>
        </w:rPr>
        <w:t>. Beacon Press.</w:t>
      </w:r>
    </w:p>
    <w:p w14:paraId="3764CE56" w14:textId="77777777" w:rsidR="0088082E" w:rsidRPr="00796B8B" w:rsidRDefault="002C7464">
      <w:pPr>
        <w:spacing w:before="100" w:after="100" w:line="240" w:lineRule="auto"/>
        <w:jc w:val="both"/>
        <w:rPr>
          <w:rFonts w:ascii="Garamond" w:eastAsia="Garamond" w:hAnsi="Garamond" w:cs="Garamond"/>
          <w:color w:val="0000FF"/>
          <w:sz w:val="24"/>
          <w:szCs w:val="24"/>
          <w:u w:val="single"/>
          <w:lang w:val="es-US"/>
        </w:rPr>
      </w:pPr>
      <w:r w:rsidRPr="00796B8B">
        <w:rPr>
          <w:rFonts w:ascii="Garamond" w:eastAsia="Garamond" w:hAnsi="Garamond" w:cs="Garamond"/>
          <w:sz w:val="24"/>
          <w:szCs w:val="24"/>
          <w:lang w:val="es-US"/>
        </w:rPr>
        <w:t xml:space="preserve">Herrera, F., Calderón, R., &amp; Arrieta, A. B. (2025). </w:t>
      </w:r>
      <w:r>
        <w:rPr>
          <w:rFonts w:ascii="Garamond" w:eastAsia="Garamond" w:hAnsi="Garamond" w:cs="Garamond"/>
          <w:i/>
          <w:iCs/>
          <w:sz w:val="24"/>
          <w:szCs w:val="24"/>
        </w:rPr>
        <w:t xml:space="preserve">Opacity as a feature, not a flaw: The </w:t>
      </w:r>
      <w:proofErr w:type="spellStart"/>
      <w:r>
        <w:rPr>
          <w:rFonts w:ascii="Garamond" w:eastAsia="Garamond" w:hAnsi="Garamond" w:cs="Garamond"/>
          <w:i/>
          <w:iCs/>
          <w:sz w:val="24"/>
          <w:szCs w:val="24"/>
        </w:rPr>
        <w:t>LoBOX</w:t>
      </w:r>
      <w:proofErr w:type="spellEnd"/>
      <w:r>
        <w:rPr>
          <w:rFonts w:ascii="Garamond" w:eastAsia="Garamond" w:hAnsi="Garamond" w:cs="Garamond"/>
          <w:i/>
          <w:iCs/>
          <w:sz w:val="24"/>
          <w:szCs w:val="24"/>
        </w:rPr>
        <w:t xml:space="preserve"> governance ethic for role-sensitive explainability and institutional trust in AI</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32">
        <w:r>
          <w:rPr>
            <w:rFonts w:ascii="Garamond" w:eastAsia="Garamond" w:hAnsi="Garamond" w:cs="Garamond"/>
            <w:sz w:val="24"/>
            <w:szCs w:val="24"/>
          </w:rPr>
          <w:t xml:space="preserve"> </w:t>
        </w:r>
      </w:hyperlink>
      <w:hyperlink r:id="rId33">
        <w:r w:rsidRPr="00796B8B">
          <w:rPr>
            <w:rFonts w:ascii="Garamond" w:eastAsia="Garamond" w:hAnsi="Garamond" w:cs="Garamond"/>
            <w:color w:val="0000FF"/>
            <w:sz w:val="24"/>
            <w:szCs w:val="24"/>
            <w:u w:val="single"/>
            <w:lang w:val="es-US"/>
          </w:rPr>
          <w:t>https://doi.org/10.48550/arXiv.2505.20304</w:t>
        </w:r>
      </w:hyperlink>
    </w:p>
    <w:p w14:paraId="314C9CF9" w14:textId="77777777" w:rsidR="0088082E" w:rsidRDefault="002C7464">
      <w:pPr>
        <w:spacing w:before="100" w:after="100" w:line="240" w:lineRule="auto"/>
        <w:jc w:val="both"/>
        <w:rPr>
          <w:rFonts w:ascii="Garamond" w:eastAsia="Garamond" w:hAnsi="Garamond" w:cs="Garamond"/>
          <w:sz w:val="24"/>
          <w:szCs w:val="24"/>
        </w:rPr>
      </w:pPr>
      <w:r w:rsidRPr="00796B8B">
        <w:rPr>
          <w:rFonts w:ascii="Garamond" w:eastAsia="Garamond" w:hAnsi="Garamond" w:cs="Garamond"/>
          <w:sz w:val="24"/>
          <w:szCs w:val="24"/>
          <w:lang w:val="es-US"/>
        </w:rPr>
        <w:t xml:space="preserve">Kamolov, S., Kriebitz, A., Eliseeva, P., &amp; Aleksandrov, N. (2021). </w:t>
      </w:r>
      <w:r>
        <w:rPr>
          <w:rFonts w:ascii="Garamond" w:eastAsia="Garamond" w:hAnsi="Garamond" w:cs="Garamond"/>
          <w:sz w:val="24"/>
          <w:szCs w:val="24"/>
        </w:rPr>
        <w:t xml:space="preserve">Factoring ethics in management algorithms for municipal information-analytical systems.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1</w:t>
      </w:r>
      <w:r>
        <w:rPr>
          <w:rFonts w:ascii="Garamond" w:eastAsia="Garamond" w:hAnsi="Garamond" w:cs="Garamond"/>
          <w:sz w:val="24"/>
          <w:szCs w:val="24"/>
        </w:rPr>
        <w:t>, 262–275.</w:t>
      </w:r>
    </w:p>
    <w:p w14:paraId="632ECD3A"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Khatun, M. (2024). Artificial intelligence (AI) and human rights: A social-philosophical exploration of ethical dilemmas in a technologically evolving society. </w:t>
      </w:r>
      <w:r>
        <w:rPr>
          <w:rFonts w:ascii="Garamond" w:eastAsia="Garamond" w:hAnsi="Garamond" w:cs="Garamond"/>
          <w:i/>
          <w:iCs/>
          <w:sz w:val="24"/>
          <w:szCs w:val="24"/>
        </w:rPr>
        <w:t>International Journal of Science and Research (IJSR)</w:t>
      </w:r>
      <w:r>
        <w:rPr>
          <w:rFonts w:ascii="Garamond" w:eastAsia="Garamond" w:hAnsi="Garamond" w:cs="Garamond"/>
          <w:sz w:val="24"/>
          <w:szCs w:val="24"/>
        </w:rPr>
        <w:t xml:space="preserve">, </w:t>
      </w:r>
      <w:r>
        <w:rPr>
          <w:rFonts w:ascii="Garamond" w:eastAsia="Garamond" w:hAnsi="Garamond" w:cs="Garamond"/>
          <w:i/>
          <w:iCs/>
          <w:sz w:val="24"/>
          <w:szCs w:val="24"/>
        </w:rPr>
        <w:t>13</w:t>
      </w:r>
      <w:r>
        <w:rPr>
          <w:rFonts w:ascii="Garamond" w:eastAsia="Garamond" w:hAnsi="Garamond" w:cs="Garamond"/>
          <w:sz w:val="24"/>
          <w:szCs w:val="24"/>
        </w:rPr>
        <w:t>(1), 1–15.</w:t>
      </w:r>
    </w:p>
    <w:p w14:paraId="158422E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Lipsky, M. (1980). </w:t>
      </w:r>
      <w:r>
        <w:rPr>
          <w:rFonts w:ascii="Garamond" w:eastAsia="Garamond" w:hAnsi="Garamond" w:cs="Garamond"/>
          <w:i/>
          <w:iCs/>
          <w:sz w:val="24"/>
          <w:szCs w:val="24"/>
        </w:rPr>
        <w:t>Street-level bureaucracy: Dilemmas of the individual in public services</w:t>
      </w:r>
      <w:r>
        <w:rPr>
          <w:rFonts w:ascii="Garamond" w:eastAsia="Garamond" w:hAnsi="Garamond" w:cs="Garamond"/>
          <w:sz w:val="24"/>
          <w:szCs w:val="24"/>
        </w:rPr>
        <w:t>. Russell Sage Foundation.</w:t>
      </w:r>
    </w:p>
    <w:p w14:paraId="093CDDC7"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Madan, R., &amp; Ashok, M. (2022). AI adoption and diffusion in public administration: A systematic literature review and future research </w:t>
      </w:r>
      <w:r>
        <w:rPr>
          <w:rFonts w:ascii="Garamond" w:eastAsia="Garamond" w:hAnsi="Garamond" w:cs="Garamond"/>
          <w:sz w:val="24"/>
          <w:szCs w:val="24"/>
        </w:rPr>
        <w:t xml:space="preserve">agenda. </w:t>
      </w:r>
      <w:r>
        <w:rPr>
          <w:rFonts w:ascii="Garamond" w:eastAsia="Garamond" w:hAnsi="Garamond" w:cs="Garamond"/>
          <w:i/>
          <w:iCs/>
          <w:sz w:val="24"/>
          <w:szCs w:val="24"/>
        </w:rPr>
        <w:t>Government Information Quarterly</w:t>
      </w:r>
      <w:r>
        <w:rPr>
          <w:rFonts w:ascii="Garamond" w:eastAsia="Garamond" w:hAnsi="Garamond" w:cs="Garamond"/>
          <w:sz w:val="24"/>
          <w:szCs w:val="24"/>
        </w:rPr>
        <w:t xml:space="preserve">, </w:t>
      </w:r>
      <w:r>
        <w:rPr>
          <w:rFonts w:ascii="Garamond" w:eastAsia="Garamond" w:hAnsi="Garamond" w:cs="Garamond"/>
          <w:i/>
          <w:iCs/>
          <w:sz w:val="24"/>
          <w:szCs w:val="24"/>
        </w:rPr>
        <w:t>39</w:t>
      </w:r>
      <w:r>
        <w:rPr>
          <w:rFonts w:ascii="Garamond" w:eastAsia="Garamond" w:hAnsi="Garamond" w:cs="Garamond"/>
          <w:sz w:val="24"/>
          <w:szCs w:val="24"/>
        </w:rPr>
        <w:t>(3), 101704.</w:t>
      </w:r>
    </w:p>
    <w:p w14:paraId="7F14E28C"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Metcalf, J., Moss, E., Watkins, E. A., Singh, R., &amp; Elish, M. C. (2020). Algorithmic impact assessments and accountability: The co-construction of impacts. </w:t>
      </w:r>
      <w:r>
        <w:rPr>
          <w:rFonts w:ascii="Garamond" w:eastAsia="Garamond" w:hAnsi="Garamond" w:cs="Garamond"/>
          <w:i/>
          <w:iCs/>
          <w:sz w:val="24"/>
          <w:szCs w:val="24"/>
        </w:rPr>
        <w:t>Proceedings of the 2020 Conference on Fairness, Accountability, and Transparency (</w:t>
      </w:r>
      <w:proofErr w:type="spellStart"/>
      <w:r>
        <w:rPr>
          <w:rFonts w:ascii="Garamond" w:eastAsia="Garamond" w:hAnsi="Garamond" w:cs="Garamond"/>
          <w:i/>
          <w:iCs/>
          <w:sz w:val="24"/>
          <w:szCs w:val="24"/>
        </w:rPr>
        <w:t>FAccT</w:t>
      </w:r>
      <w:proofErr w:type="spellEnd"/>
      <w:r>
        <w:rPr>
          <w:rFonts w:ascii="Garamond" w:eastAsia="Garamond" w:hAnsi="Garamond" w:cs="Garamond"/>
          <w:i/>
          <w:iCs/>
          <w:sz w:val="24"/>
          <w:szCs w:val="24"/>
        </w:rPr>
        <w:t>)</w:t>
      </w:r>
      <w:r>
        <w:rPr>
          <w:rFonts w:ascii="Garamond" w:eastAsia="Garamond" w:hAnsi="Garamond" w:cs="Garamond"/>
          <w:sz w:val="24"/>
          <w:szCs w:val="24"/>
        </w:rPr>
        <w:t>, 1–12.</w:t>
      </w:r>
    </w:p>
    <w:p w14:paraId="5F440B18"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Minkkinen, M., &amp; </w:t>
      </w:r>
      <w:proofErr w:type="spellStart"/>
      <w:r>
        <w:rPr>
          <w:rFonts w:ascii="Garamond" w:eastAsia="Garamond" w:hAnsi="Garamond" w:cs="Garamond"/>
          <w:sz w:val="24"/>
          <w:szCs w:val="24"/>
        </w:rPr>
        <w:t>Mäntymäki</w:t>
      </w:r>
      <w:proofErr w:type="spellEnd"/>
      <w:r>
        <w:rPr>
          <w:rFonts w:ascii="Garamond" w:eastAsia="Garamond" w:hAnsi="Garamond" w:cs="Garamond"/>
          <w:sz w:val="24"/>
          <w:szCs w:val="24"/>
        </w:rPr>
        <w:t xml:space="preserve">, M. (2023). Discerning between the “easy” and “hard” problems of AI governance. </w:t>
      </w:r>
      <w:r>
        <w:rPr>
          <w:rFonts w:ascii="Garamond" w:eastAsia="Garamond" w:hAnsi="Garamond" w:cs="Garamond"/>
          <w:i/>
          <w:iCs/>
          <w:sz w:val="24"/>
          <w:szCs w:val="24"/>
        </w:rPr>
        <w:t>IEEE Transactions on Technology and Society</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145–158.</w:t>
      </w:r>
    </w:p>
    <w:p w14:paraId="506A89D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Morozov, E. (2013). </w:t>
      </w:r>
      <w:r>
        <w:rPr>
          <w:rFonts w:ascii="Garamond" w:eastAsia="Garamond" w:hAnsi="Garamond" w:cs="Garamond"/>
          <w:i/>
          <w:iCs/>
          <w:sz w:val="24"/>
          <w:szCs w:val="24"/>
        </w:rPr>
        <w:t>To save everything, click here: The folly of technological solutionism</w:t>
      </w:r>
      <w:r>
        <w:rPr>
          <w:rFonts w:ascii="Garamond" w:eastAsia="Garamond" w:hAnsi="Garamond" w:cs="Garamond"/>
          <w:sz w:val="24"/>
          <w:szCs w:val="24"/>
        </w:rPr>
        <w:t>. PublicAffairs.</w:t>
      </w:r>
    </w:p>
    <w:p w14:paraId="2236A2B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OECD. (2024). </w:t>
      </w:r>
      <w:r>
        <w:rPr>
          <w:rFonts w:ascii="Garamond" w:eastAsia="Garamond" w:hAnsi="Garamond" w:cs="Garamond"/>
          <w:i/>
          <w:iCs/>
          <w:sz w:val="24"/>
          <w:szCs w:val="24"/>
        </w:rPr>
        <w:t>Regulatory sandboxes in artificial intelligence: A global review of policy innovation</w:t>
      </w:r>
      <w:r>
        <w:rPr>
          <w:rFonts w:ascii="Garamond" w:eastAsia="Garamond" w:hAnsi="Garamond" w:cs="Garamond"/>
          <w:sz w:val="24"/>
          <w:szCs w:val="24"/>
        </w:rPr>
        <w:t>. Paris: OECD Publishing.</w:t>
      </w:r>
    </w:p>
    <w:p w14:paraId="250D4DBA" w14:textId="77777777" w:rsidR="0088082E" w:rsidRDefault="002C7464">
      <w:pPr>
        <w:spacing w:before="100" w:after="100" w:line="240" w:lineRule="auto"/>
        <w:jc w:val="both"/>
        <w:rPr>
          <w:rFonts w:ascii="Garamond" w:eastAsia="Garamond" w:hAnsi="Garamond" w:cs="Garamond"/>
          <w:sz w:val="24"/>
          <w:szCs w:val="24"/>
        </w:rPr>
      </w:pPr>
      <w:proofErr w:type="spellStart"/>
      <w:r>
        <w:rPr>
          <w:rFonts w:ascii="Garamond" w:eastAsia="Garamond" w:hAnsi="Garamond" w:cs="Garamond"/>
          <w:sz w:val="24"/>
          <w:szCs w:val="24"/>
        </w:rPr>
        <w:t>Oyebode</w:t>
      </w:r>
      <w:proofErr w:type="spellEnd"/>
      <w:r>
        <w:rPr>
          <w:rFonts w:ascii="Garamond" w:eastAsia="Garamond" w:hAnsi="Garamond" w:cs="Garamond"/>
          <w:sz w:val="24"/>
          <w:szCs w:val="24"/>
        </w:rPr>
        <w:t xml:space="preserve">, O. (2024). Explainable deep learning integrated with decentralized identity systems to combat bias, enhance trust, and ensure fairness in algorithmic governance. </w:t>
      </w:r>
      <w:r>
        <w:rPr>
          <w:rFonts w:ascii="Garamond" w:eastAsia="Garamond" w:hAnsi="Garamond" w:cs="Garamond"/>
          <w:i/>
          <w:iCs/>
          <w:sz w:val="24"/>
          <w:szCs w:val="24"/>
        </w:rPr>
        <w:t>World Journal of Advanced Research and Reviews</w:t>
      </w:r>
      <w:r>
        <w:rPr>
          <w:rFonts w:ascii="Garamond" w:eastAsia="Garamond" w:hAnsi="Garamond" w:cs="Garamond"/>
          <w:sz w:val="24"/>
          <w:szCs w:val="24"/>
        </w:rPr>
        <w:t xml:space="preserve">, </w:t>
      </w:r>
      <w:r>
        <w:rPr>
          <w:rFonts w:ascii="Garamond" w:eastAsia="Garamond" w:hAnsi="Garamond" w:cs="Garamond"/>
          <w:i/>
          <w:iCs/>
          <w:sz w:val="24"/>
          <w:szCs w:val="24"/>
        </w:rPr>
        <w:t>21</w:t>
      </w:r>
      <w:r>
        <w:rPr>
          <w:rFonts w:ascii="Garamond" w:eastAsia="Garamond" w:hAnsi="Garamond" w:cs="Garamond"/>
          <w:sz w:val="24"/>
          <w:szCs w:val="24"/>
        </w:rPr>
        <w:t>(3), 112–125.</w:t>
      </w:r>
    </w:p>
    <w:p w14:paraId="0A6BAD1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Page, M. J., McKenzie, J. E., Bossuyt, P. M., Boutron, I., Hoffmann, T. C., Mulrow, C. D., ... &amp; Moher, D. (2021). The PRISMA 2020 statement: An updated guideline for reporting systematic reviews. </w:t>
      </w:r>
      <w:r>
        <w:rPr>
          <w:rFonts w:ascii="Garamond" w:eastAsia="Garamond" w:hAnsi="Garamond" w:cs="Garamond"/>
          <w:i/>
          <w:iCs/>
          <w:sz w:val="24"/>
          <w:szCs w:val="24"/>
        </w:rPr>
        <w:t>BMJ</w:t>
      </w:r>
      <w:r>
        <w:rPr>
          <w:rFonts w:ascii="Garamond" w:eastAsia="Garamond" w:hAnsi="Garamond" w:cs="Garamond"/>
          <w:sz w:val="24"/>
          <w:szCs w:val="24"/>
        </w:rPr>
        <w:t xml:space="preserve">, </w:t>
      </w:r>
      <w:r>
        <w:rPr>
          <w:rFonts w:ascii="Garamond" w:eastAsia="Garamond" w:hAnsi="Garamond" w:cs="Garamond"/>
          <w:i/>
          <w:iCs/>
          <w:sz w:val="24"/>
          <w:szCs w:val="24"/>
        </w:rPr>
        <w:t>372</w:t>
      </w:r>
      <w:r>
        <w:rPr>
          <w:rFonts w:ascii="Garamond" w:eastAsia="Garamond" w:hAnsi="Garamond" w:cs="Garamond"/>
          <w:sz w:val="24"/>
          <w:szCs w:val="24"/>
        </w:rPr>
        <w:t>(n71).</w:t>
      </w:r>
      <w:hyperlink r:id="rId34">
        <w:r>
          <w:rPr>
            <w:rFonts w:ascii="Garamond" w:eastAsia="Garamond" w:hAnsi="Garamond" w:cs="Garamond"/>
            <w:sz w:val="24"/>
            <w:szCs w:val="24"/>
          </w:rPr>
          <w:t xml:space="preserve"> </w:t>
        </w:r>
      </w:hyperlink>
      <w:hyperlink r:id="rId35">
        <w:r>
          <w:rPr>
            <w:rFonts w:ascii="Garamond" w:eastAsia="Garamond" w:hAnsi="Garamond" w:cs="Garamond"/>
            <w:color w:val="0000FF"/>
            <w:sz w:val="24"/>
            <w:szCs w:val="24"/>
            <w:u w:val="single"/>
          </w:rPr>
          <w:t>https://doi.org/10.1136/bmj.n71</w:t>
        </w:r>
      </w:hyperlink>
    </w:p>
    <w:p w14:paraId="5FDC20FF"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Pasquale, F. (2015). </w:t>
      </w:r>
      <w:r>
        <w:rPr>
          <w:rFonts w:ascii="Garamond" w:eastAsia="Garamond" w:hAnsi="Garamond" w:cs="Garamond"/>
          <w:i/>
          <w:iCs/>
          <w:sz w:val="24"/>
          <w:szCs w:val="24"/>
        </w:rPr>
        <w:t>The black box society: The secret algorithms that control money and information</w:t>
      </w:r>
      <w:r>
        <w:rPr>
          <w:rFonts w:ascii="Garamond" w:eastAsia="Garamond" w:hAnsi="Garamond" w:cs="Garamond"/>
          <w:sz w:val="24"/>
          <w:szCs w:val="24"/>
        </w:rPr>
        <w:t>. Harvard University Press.</w:t>
      </w:r>
    </w:p>
    <w:p w14:paraId="1AEAC815"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Petticrew, M., &amp; Roberts, H. (2006). </w:t>
      </w:r>
      <w:r>
        <w:rPr>
          <w:rFonts w:ascii="Garamond" w:eastAsia="Garamond" w:hAnsi="Garamond" w:cs="Garamond"/>
          <w:i/>
          <w:iCs/>
          <w:sz w:val="24"/>
          <w:szCs w:val="24"/>
        </w:rPr>
        <w:t>Systematic reviews in the social sciences: A practical guide</w:t>
      </w:r>
      <w:r>
        <w:rPr>
          <w:rFonts w:ascii="Garamond" w:eastAsia="Garamond" w:hAnsi="Garamond" w:cs="Garamond"/>
          <w:sz w:val="24"/>
          <w:szCs w:val="24"/>
        </w:rPr>
        <w:t>. Blackwell Publishing.</w:t>
      </w:r>
    </w:p>
    <w:p w14:paraId="3C0A8141"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Pitkin, H. F. (1967). </w:t>
      </w:r>
      <w:r>
        <w:rPr>
          <w:rFonts w:ascii="Garamond" w:eastAsia="Garamond" w:hAnsi="Garamond" w:cs="Garamond"/>
          <w:i/>
          <w:iCs/>
          <w:sz w:val="24"/>
          <w:szCs w:val="24"/>
        </w:rPr>
        <w:t>The concept of representation</w:t>
      </w:r>
      <w:r>
        <w:rPr>
          <w:rFonts w:ascii="Garamond" w:eastAsia="Garamond" w:hAnsi="Garamond" w:cs="Garamond"/>
          <w:sz w:val="24"/>
          <w:szCs w:val="24"/>
        </w:rPr>
        <w:t>. University of California Press.</w:t>
      </w:r>
    </w:p>
    <w:p w14:paraId="7A0D7A3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Pohle, J., &amp; Thiel, T. (2020). Digital sovereignty. </w:t>
      </w:r>
      <w:r>
        <w:rPr>
          <w:rFonts w:ascii="Garamond" w:eastAsia="Garamond" w:hAnsi="Garamond" w:cs="Garamond"/>
          <w:i/>
          <w:iCs/>
          <w:sz w:val="24"/>
          <w:szCs w:val="24"/>
        </w:rPr>
        <w:t>Internet Policy Review</w:t>
      </w:r>
      <w:r>
        <w:rPr>
          <w:rFonts w:ascii="Garamond" w:eastAsia="Garamond" w:hAnsi="Garamond" w:cs="Garamond"/>
          <w:sz w:val="24"/>
          <w:szCs w:val="24"/>
        </w:rPr>
        <w:t xml:space="preserve">, </w:t>
      </w:r>
      <w:r>
        <w:rPr>
          <w:rFonts w:ascii="Garamond" w:eastAsia="Garamond" w:hAnsi="Garamond" w:cs="Garamond"/>
          <w:i/>
          <w:iCs/>
          <w:sz w:val="24"/>
          <w:szCs w:val="24"/>
        </w:rPr>
        <w:t>9</w:t>
      </w:r>
      <w:r>
        <w:rPr>
          <w:rFonts w:ascii="Garamond" w:eastAsia="Garamond" w:hAnsi="Garamond" w:cs="Garamond"/>
          <w:sz w:val="24"/>
          <w:szCs w:val="24"/>
        </w:rPr>
        <w:t>(4).</w:t>
      </w:r>
      <w:hyperlink r:id="rId36">
        <w:r>
          <w:rPr>
            <w:rFonts w:ascii="Garamond" w:eastAsia="Garamond" w:hAnsi="Garamond" w:cs="Garamond"/>
            <w:sz w:val="24"/>
            <w:szCs w:val="24"/>
          </w:rPr>
          <w:t xml:space="preserve"> </w:t>
        </w:r>
      </w:hyperlink>
      <w:hyperlink r:id="rId37">
        <w:r>
          <w:rPr>
            <w:rFonts w:ascii="Garamond" w:eastAsia="Garamond" w:hAnsi="Garamond" w:cs="Garamond"/>
            <w:color w:val="0000FF"/>
            <w:sz w:val="24"/>
            <w:szCs w:val="24"/>
            <w:u w:val="single"/>
          </w:rPr>
          <w:t>https://doi.org/10.14763/2020.4.1532</w:t>
        </w:r>
      </w:hyperlink>
    </w:p>
    <w:p w14:paraId="7216ADDA"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Popa, D. M. (2024). Frontrunner model for responsible AI governance in the public sector: The Dutch perspective. </w:t>
      </w:r>
      <w:r>
        <w:rPr>
          <w:rFonts w:ascii="Garamond" w:eastAsia="Garamond" w:hAnsi="Garamond" w:cs="Garamond"/>
          <w:i/>
          <w:iCs/>
          <w:sz w:val="24"/>
          <w:szCs w:val="24"/>
        </w:rPr>
        <w:t>AI and Ethics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 305–</w:t>
      </w:r>
      <w:r>
        <w:rPr>
          <w:rFonts w:ascii="Garamond" w:eastAsia="Garamond" w:hAnsi="Garamond" w:cs="Garamond"/>
          <w:sz w:val="24"/>
          <w:szCs w:val="24"/>
        </w:rPr>
        <w:lastRenderedPageBreak/>
        <w:t>320.</w:t>
      </w:r>
      <w:hyperlink r:id="rId38">
        <w:r>
          <w:rPr>
            <w:rFonts w:ascii="Garamond" w:eastAsia="Garamond" w:hAnsi="Garamond" w:cs="Garamond"/>
            <w:sz w:val="24"/>
            <w:szCs w:val="24"/>
          </w:rPr>
          <w:t xml:space="preserve"> </w:t>
        </w:r>
      </w:hyperlink>
      <w:hyperlink r:id="rId39">
        <w:r>
          <w:rPr>
            <w:rFonts w:ascii="Garamond" w:eastAsia="Garamond" w:hAnsi="Garamond" w:cs="Garamond"/>
            <w:color w:val="0000FF"/>
            <w:sz w:val="24"/>
            <w:szCs w:val="24"/>
            <w:u w:val="single"/>
          </w:rPr>
          <w:t>https://doi.org/10.1007/s43681-024-00596-2</w:t>
        </w:r>
      </w:hyperlink>
    </w:p>
    <w:p w14:paraId="6B18799B" w14:textId="77777777" w:rsidR="0088082E" w:rsidRPr="00796B8B" w:rsidRDefault="002C7464">
      <w:pPr>
        <w:spacing w:before="100" w:after="100" w:line="240" w:lineRule="auto"/>
        <w:jc w:val="both"/>
        <w:rPr>
          <w:rFonts w:ascii="Garamond" w:eastAsia="Garamond" w:hAnsi="Garamond" w:cs="Garamond"/>
          <w:color w:val="0000FF"/>
          <w:sz w:val="24"/>
          <w:szCs w:val="24"/>
          <w:u w:val="single"/>
          <w:lang w:val="es-US"/>
        </w:rPr>
      </w:pPr>
      <w:proofErr w:type="spellStart"/>
      <w:r>
        <w:rPr>
          <w:rFonts w:ascii="Garamond" w:eastAsia="Garamond" w:hAnsi="Garamond" w:cs="Garamond"/>
          <w:sz w:val="24"/>
          <w:szCs w:val="24"/>
        </w:rPr>
        <w:t>Rymon</w:t>
      </w:r>
      <w:proofErr w:type="spellEnd"/>
      <w:r>
        <w:rPr>
          <w:rFonts w:ascii="Garamond" w:eastAsia="Garamond" w:hAnsi="Garamond" w:cs="Garamond"/>
          <w:sz w:val="24"/>
          <w:szCs w:val="24"/>
        </w:rPr>
        <w:t xml:space="preserve">, Y. (2025). </w:t>
      </w:r>
      <w:r>
        <w:rPr>
          <w:rFonts w:ascii="Garamond" w:eastAsia="Garamond" w:hAnsi="Garamond" w:cs="Garamond"/>
          <w:i/>
          <w:iCs/>
          <w:sz w:val="24"/>
          <w:szCs w:val="24"/>
        </w:rPr>
        <w:t>Of the people, by the algorithm: How AI transforms democratic representation</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0">
        <w:r>
          <w:rPr>
            <w:rFonts w:ascii="Garamond" w:eastAsia="Garamond" w:hAnsi="Garamond" w:cs="Garamond"/>
            <w:sz w:val="24"/>
            <w:szCs w:val="24"/>
          </w:rPr>
          <w:t xml:space="preserve"> </w:t>
        </w:r>
      </w:hyperlink>
      <w:hyperlink r:id="rId41">
        <w:r w:rsidRPr="00796B8B">
          <w:rPr>
            <w:rFonts w:ascii="Garamond" w:eastAsia="Garamond" w:hAnsi="Garamond" w:cs="Garamond"/>
            <w:color w:val="0000FF"/>
            <w:sz w:val="24"/>
            <w:szCs w:val="24"/>
            <w:u w:val="single"/>
            <w:lang w:val="es-US"/>
          </w:rPr>
          <w:t>https://doi.org/10.48550/arXiv.280870324</w:t>
        </w:r>
      </w:hyperlink>
    </w:p>
    <w:p w14:paraId="24FE216D" w14:textId="77777777" w:rsidR="0088082E" w:rsidRDefault="002C7464">
      <w:pPr>
        <w:spacing w:before="100" w:after="100" w:line="240" w:lineRule="auto"/>
        <w:jc w:val="both"/>
        <w:rPr>
          <w:rFonts w:ascii="Garamond" w:eastAsia="Garamond" w:hAnsi="Garamond" w:cs="Garamond"/>
          <w:color w:val="0000FF"/>
          <w:sz w:val="24"/>
          <w:szCs w:val="24"/>
          <w:u w:val="single"/>
        </w:rPr>
      </w:pPr>
      <w:r w:rsidRPr="00796B8B">
        <w:rPr>
          <w:rFonts w:ascii="Garamond" w:eastAsia="Garamond" w:hAnsi="Garamond" w:cs="Garamond"/>
          <w:sz w:val="24"/>
          <w:szCs w:val="24"/>
          <w:lang w:val="es-US"/>
        </w:rPr>
        <w:t xml:space="preserve">Sousa, I. A., Silva, M. C., Machado, J., &amp; Vaz, J. C. (2025). </w:t>
      </w:r>
      <w:r>
        <w:rPr>
          <w:rFonts w:ascii="Garamond" w:eastAsia="Garamond" w:hAnsi="Garamond" w:cs="Garamond"/>
          <w:i/>
          <w:iCs/>
          <w:sz w:val="24"/>
          <w:szCs w:val="24"/>
        </w:rPr>
        <w:t>Exploring AI capabilities in participatory budgeting within smart cities: The case of Sao Paulo</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2">
        <w:r>
          <w:rPr>
            <w:rFonts w:ascii="Garamond" w:eastAsia="Garamond" w:hAnsi="Garamond" w:cs="Garamond"/>
            <w:sz w:val="24"/>
            <w:szCs w:val="24"/>
          </w:rPr>
          <w:t xml:space="preserve"> </w:t>
        </w:r>
      </w:hyperlink>
      <w:hyperlink r:id="rId43">
        <w:r>
          <w:rPr>
            <w:rFonts w:ascii="Garamond" w:eastAsia="Garamond" w:hAnsi="Garamond" w:cs="Garamond"/>
            <w:color w:val="0000FF"/>
            <w:sz w:val="24"/>
            <w:szCs w:val="24"/>
            <w:u w:val="single"/>
          </w:rPr>
          <w:t>https://doi.org/10.48550/arXiv.281421168</w:t>
        </w:r>
      </w:hyperlink>
    </w:p>
    <w:p w14:paraId="44551EA6"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Srivastava, S., &amp; Bullock, J. (2024). </w:t>
      </w:r>
      <w:r>
        <w:rPr>
          <w:rFonts w:ascii="Garamond" w:eastAsia="Garamond" w:hAnsi="Garamond" w:cs="Garamond"/>
          <w:i/>
          <w:iCs/>
          <w:sz w:val="24"/>
          <w:szCs w:val="24"/>
        </w:rPr>
        <w:t>AI, global governance, and digital sovereignty</w:t>
      </w:r>
      <w:r>
        <w:rPr>
          <w:rFonts w:ascii="Garamond" w:eastAsia="Garamond" w:hAnsi="Garamond" w:cs="Garamond"/>
          <w:sz w:val="24"/>
          <w:szCs w:val="24"/>
        </w:rPr>
        <w:t xml:space="preserve">. </w:t>
      </w:r>
      <w:proofErr w:type="spellStart"/>
      <w:r>
        <w:rPr>
          <w:rFonts w:ascii="Garamond" w:eastAsia="Garamond" w:hAnsi="Garamond" w:cs="Garamond"/>
          <w:sz w:val="24"/>
          <w:szCs w:val="24"/>
        </w:rPr>
        <w:t>arXiv</w:t>
      </w:r>
      <w:proofErr w:type="spellEnd"/>
      <w:r>
        <w:rPr>
          <w:rFonts w:ascii="Garamond" w:eastAsia="Garamond" w:hAnsi="Garamond" w:cs="Garamond"/>
          <w:sz w:val="24"/>
          <w:szCs w:val="24"/>
        </w:rPr>
        <w:t>.</w:t>
      </w:r>
      <w:hyperlink r:id="rId44">
        <w:r>
          <w:rPr>
            <w:rFonts w:ascii="Garamond" w:eastAsia="Garamond" w:hAnsi="Garamond" w:cs="Garamond"/>
            <w:sz w:val="24"/>
            <w:szCs w:val="24"/>
          </w:rPr>
          <w:t xml:space="preserve"> </w:t>
        </w:r>
      </w:hyperlink>
      <w:hyperlink r:id="rId45">
        <w:r>
          <w:rPr>
            <w:rFonts w:ascii="Garamond" w:eastAsia="Garamond" w:hAnsi="Garamond" w:cs="Garamond"/>
            <w:color w:val="0000FF"/>
            <w:sz w:val="24"/>
            <w:szCs w:val="24"/>
            <w:u w:val="single"/>
          </w:rPr>
          <w:t>https://doi.org/10.48550/arXiv.273532697</w:t>
        </w:r>
      </w:hyperlink>
    </w:p>
    <w:p w14:paraId="1085AE29"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Tyler, T. R. (2006). </w:t>
      </w:r>
      <w:r>
        <w:rPr>
          <w:rFonts w:ascii="Garamond" w:eastAsia="Garamond" w:hAnsi="Garamond" w:cs="Garamond"/>
          <w:i/>
          <w:iCs/>
          <w:sz w:val="24"/>
          <w:szCs w:val="24"/>
        </w:rPr>
        <w:t>Why people obey the law</w:t>
      </w:r>
      <w:r>
        <w:rPr>
          <w:rFonts w:ascii="Garamond" w:eastAsia="Garamond" w:hAnsi="Garamond" w:cs="Garamond"/>
          <w:sz w:val="24"/>
          <w:szCs w:val="24"/>
        </w:rPr>
        <w:t>. Princeton University Press.</w:t>
      </w:r>
    </w:p>
    <w:p w14:paraId="737704ED"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Vatamanu, A. F., &amp; Tofan, M. (2025). Integrating artificial intelligence into public administration: Challenges and vulnerabilities. </w:t>
      </w:r>
      <w:r>
        <w:rPr>
          <w:rFonts w:ascii="Garamond" w:eastAsia="Garamond" w:hAnsi="Garamond" w:cs="Garamond"/>
          <w:i/>
          <w:iCs/>
          <w:sz w:val="24"/>
          <w:szCs w:val="24"/>
        </w:rPr>
        <w:t>Administrative Sciences</w:t>
      </w:r>
      <w:r>
        <w:rPr>
          <w:rFonts w:ascii="Garamond" w:eastAsia="Garamond" w:hAnsi="Garamond" w:cs="Garamond"/>
          <w:sz w:val="24"/>
          <w:szCs w:val="24"/>
        </w:rPr>
        <w:t xml:space="preserve">, </w:t>
      </w:r>
      <w:r>
        <w:rPr>
          <w:rFonts w:ascii="Garamond" w:eastAsia="Garamond" w:hAnsi="Garamond" w:cs="Garamond"/>
          <w:i/>
          <w:iCs/>
          <w:sz w:val="24"/>
          <w:szCs w:val="24"/>
        </w:rPr>
        <w:t>15</w:t>
      </w:r>
      <w:r>
        <w:rPr>
          <w:rFonts w:ascii="Garamond" w:eastAsia="Garamond" w:hAnsi="Garamond" w:cs="Garamond"/>
          <w:sz w:val="24"/>
          <w:szCs w:val="24"/>
        </w:rPr>
        <w:t>(4), 149.</w:t>
      </w:r>
      <w:hyperlink r:id="rId46">
        <w:r>
          <w:rPr>
            <w:rFonts w:ascii="Garamond" w:eastAsia="Garamond" w:hAnsi="Garamond" w:cs="Garamond"/>
            <w:sz w:val="24"/>
            <w:szCs w:val="24"/>
          </w:rPr>
          <w:t xml:space="preserve"> </w:t>
        </w:r>
      </w:hyperlink>
      <w:hyperlink r:id="rId47">
        <w:r>
          <w:rPr>
            <w:rFonts w:ascii="Garamond" w:eastAsia="Garamond" w:hAnsi="Garamond" w:cs="Garamond"/>
            <w:color w:val="0000FF"/>
            <w:sz w:val="24"/>
            <w:szCs w:val="24"/>
            <w:u w:val="single"/>
          </w:rPr>
          <w:t>https://doi.org/10.3390/admsci15040149</w:t>
        </w:r>
      </w:hyperlink>
    </w:p>
    <w:p w14:paraId="3804F47B"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Wang, Z. (2025). Transparent governance in an automated age: Challenges and solutions in public authorities AI deployment. </w:t>
      </w:r>
      <w:r>
        <w:rPr>
          <w:rFonts w:ascii="Garamond" w:eastAsia="Garamond" w:hAnsi="Garamond" w:cs="Garamond"/>
          <w:i/>
          <w:iCs/>
          <w:sz w:val="24"/>
          <w:szCs w:val="24"/>
        </w:rPr>
        <w:t>International Journal of Ethical AI Application</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(1), 44–58.</w:t>
      </w:r>
    </w:p>
    <w:p w14:paraId="3123DA3E"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Weber, M. (1978). </w:t>
      </w:r>
      <w:r>
        <w:rPr>
          <w:rFonts w:ascii="Garamond" w:eastAsia="Garamond" w:hAnsi="Garamond" w:cs="Garamond"/>
          <w:i/>
          <w:iCs/>
          <w:sz w:val="24"/>
          <w:szCs w:val="24"/>
        </w:rPr>
        <w:t>Economy and society: An outline of interpretive sociology</w:t>
      </w:r>
      <w:r>
        <w:rPr>
          <w:rFonts w:ascii="Garamond" w:eastAsia="Garamond" w:hAnsi="Garamond" w:cs="Garamond"/>
          <w:sz w:val="24"/>
          <w:szCs w:val="24"/>
        </w:rPr>
        <w:t>. (G. Roth &amp; C. Wittich, Eds.). University of California Press. (Original work published 1922).</w:t>
      </w:r>
    </w:p>
    <w:p w14:paraId="477841E8" w14:textId="77777777" w:rsidR="0088082E" w:rsidRDefault="002C7464">
      <w:pPr>
        <w:spacing w:before="100" w:after="100" w:line="240" w:lineRule="auto"/>
        <w:jc w:val="both"/>
        <w:rPr>
          <w:rFonts w:ascii="Garamond" w:eastAsia="Garamond" w:hAnsi="Garamond" w:cs="Garamond"/>
          <w:color w:val="0000FF"/>
          <w:sz w:val="24"/>
          <w:szCs w:val="24"/>
          <w:u w:val="single"/>
        </w:rPr>
      </w:pPr>
      <w:r>
        <w:rPr>
          <w:rFonts w:ascii="Garamond" w:eastAsia="Garamond" w:hAnsi="Garamond" w:cs="Garamond"/>
          <w:sz w:val="24"/>
          <w:szCs w:val="24"/>
        </w:rPr>
        <w:t xml:space="preserve">Young, M. M., Bullock, J. B., &amp; Lecy, J. (2019). Artificial discretion as a tool of governance: A framework for understanding the impact of artificial intelligence on public administration. </w:t>
      </w:r>
      <w:r>
        <w:rPr>
          <w:rFonts w:ascii="Garamond" w:eastAsia="Garamond" w:hAnsi="Garamond" w:cs="Garamond"/>
          <w:i/>
          <w:iCs/>
          <w:sz w:val="24"/>
          <w:szCs w:val="24"/>
        </w:rPr>
        <w:t>Perspectives on Public Management and Governance</w:t>
      </w:r>
      <w:r>
        <w:rPr>
          <w:rFonts w:ascii="Garamond" w:eastAsia="Garamond" w:hAnsi="Garamond" w:cs="Garamond"/>
          <w:sz w:val="24"/>
          <w:szCs w:val="24"/>
        </w:rPr>
        <w:t xml:space="preserve">, </w:t>
      </w:r>
      <w:r>
        <w:rPr>
          <w:rFonts w:ascii="Garamond" w:eastAsia="Garamond" w:hAnsi="Garamond" w:cs="Garamond"/>
          <w:i/>
          <w:iCs/>
          <w:sz w:val="24"/>
          <w:szCs w:val="24"/>
        </w:rPr>
        <w:t>2</w:t>
      </w:r>
      <w:r>
        <w:rPr>
          <w:rFonts w:ascii="Garamond" w:eastAsia="Garamond" w:hAnsi="Garamond" w:cs="Garamond"/>
          <w:sz w:val="24"/>
          <w:szCs w:val="24"/>
        </w:rPr>
        <w:t>(4), 301–313.</w:t>
      </w:r>
      <w:hyperlink r:id="rId48">
        <w:r>
          <w:rPr>
            <w:rFonts w:ascii="Garamond" w:eastAsia="Garamond" w:hAnsi="Garamond" w:cs="Garamond"/>
            <w:sz w:val="24"/>
            <w:szCs w:val="24"/>
          </w:rPr>
          <w:t xml:space="preserve"> </w:t>
        </w:r>
      </w:hyperlink>
      <w:hyperlink r:id="rId49">
        <w:r>
          <w:rPr>
            <w:rFonts w:ascii="Garamond" w:eastAsia="Garamond" w:hAnsi="Garamond" w:cs="Garamond"/>
            <w:color w:val="0000FF"/>
            <w:sz w:val="24"/>
            <w:szCs w:val="24"/>
            <w:u w:val="single"/>
          </w:rPr>
          <w:t>https://doi.org/10.1093/ppmgov/gvz014</w:t>
        </w:r>
      </w:hyperlink>
    </w:p>
    <w:p w14:paraId="6B8542C3" w14:textId="77777777" w:rsidR="0088082E"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Yuan, C., Tang, J., Cao, Y., Wei, T., &amp; Shen, W. (2024). The impact of artificial intelligence on economic development: A systematic review. </w:t>
      </w:r>
      <w:r>
        <w:rPr>
          <w:rFonts w:ascii="Garamond" w:eastAsia="Garamond" w:hAnsi="Garamond" w:cs="Garamond"/>
          <w:i/>
          <w:iCs/>
          <w:sz w:val="24"/>
          <w:szCs w:val="24"/>
        </w:rPr>
        <w:t>International Theory and Practice in Humanities and Social Sciences</w:t>
      </w:r>
      <w:r>
        <w:rPr>
          <w:rFonts w:ascii="Garamond" w:eastAsia="Garamond" w:hAnsi="Garamond" w:cs="Garamond"/>
          <w:sz w:val="24"/>
          <w:szCs w:val="24"/>
        </w:rPr>
        <w:t xml:space="preserve">, </w:t>
      </w:r>
      <w:r>
        <w:rPr>
          <w:rFonts w:ascii="Garamond" w:eastAsia="Garamond" w:hAnsi="Garamond" w:cs="Garamond"/>
          <w:i/>
          <w:iCs/>
          <w:sz w:val="24"/>
          <w:szCs w:val="24"/>
        </w:rPr>
        <w:t>4</w:t>
      </w:r>
      <w:r>
        <w:rPr>
          <w:rFonts w:ascii="Garamond" w:eastAsia="Garamond" w:hAnsi="Garamond" w:cs="Garamond"/>
          <w:sz w:val="24"/>
          <w:szCs w:val="24"/>
        </w:rPr>
        <w:t>(2), 82–96.</w:t>
      </w:r>
    </w:p>
    <w:p w14:paraId="4FA3ED85" w14:textId="77777777" w:rsidR="00796B8B" w:rsidRDefault="002C7464">
      <w:pPr>
        <w:spacing w:before="100" w:after="100" w:line="240" w:lineRule="auto"/>
        <w:jc w:val="both"/>
        <w:rPr>
          <w:rFonts w:ascii="Garamond" w:eastAsia="Garamond" w:hAnsi="Garamond" w:cs="Garamond"/>
          <w:sz w:val="24"/>
          <w:szCs w:val="24"/>
        </w:rPr>
      </w:pPr>
      <w:r>
        <w:rPr>
          <w:rFonts w:ascii="Garamond" w:eastAsia="Garamond" w:hAnsi="Garamond" w:cs="Garamond"/>
          <w:sz w:val="24"/>
          <w:szCs w:val="24"/>
        </w:rPr>
        <w:t xml:space="preserve">Zuboff, S. (2019). </w:t>
      </w:r>
      <w:r>
        <w:rPr>
          <w:rFonts w:ascii="Garamond" w:eastAsia="Garamond" w:hAnsi="Garamond" w:cs="Garamond"/>
          <w:i/>
          <w:iCs/>
          <w:sz w:val="24"/>
          <w:szCs w:val="24"/>
        </w:rPr>
        <w:t>The age of surveillance capitalism: The fight for a human future at the new frontier of power</w:t>
      </w:r>
      <w:r>
        <w:rPr>
          <w:rFonts w:ascii="Garamond" w:eastAsia="Garamond" w:hAnsi="Garamond" w:cs="Garamond"/>
          <w:sz w:val="24"/>
          <w:szCs w:val="24"/>
        </w:rPr>
        <w:t>. Public Affairs.</w:t>
      </w:r>
      <w:r w:rsidR="00796B8B">
        <w:rPr>
          <w:rFonts w:ascii="Garamond" w:eastAsia="Garamond" w:hAnsi="Garamond" w:cs="Garamond"/>
          <w:sz w:val="24"/>
          <w:szCs w:val="24"/>
        </w:rPr>
        <w:t xml:space="preserve">  </w:t>
      </w:r>
    </w:p>
    <w:p w14:paraId="3172E298" w14:textId="77777777" w:rsidR="00796B8B" w:rsidRPr="000B5512" w:rsidRDefault="00796B8B">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Kayyali, M. (2026). AI in Public Administration: Transforming Governance and Public Services. In </w:t>
      </w:r>
      <w:r w:rsidRPr="000B5512">
        <w:rPr>
          <w:rFonts w:ascii="Garamond" w:eastAsia="Garamond" w:hAnsi="Garamond" w:cs="Garamond"/>
          <w:i/>
          <w:iCs/>
          <w:sz w:val="24"/>
          <w:szCs w:val="24"/>
          <w:highlight w:val="yellow"/>
        </w:rPr>
        <w:t>Modernizing Public Administration With New Digital Advancements</w:t>
      </w:r>
      <w:r w:rsidRPr="000B5512">
        <w:rPr>
          <w:rFonts w:ascii="Garamond" w:eastAsia="Garamond" w:hAnsi="Garamond" w:cs="Garamond"/>
          <w:sz w:val="24"/>
          <w:szCs w:val="24"/>
          <w:highlight w:val="yellow"/>
        </w:rPr>
        <w:t> (pp. 153-180). IGI Global Scientific Publishing.</w:t>
      </w:r>
      <w:r w:rsidRPr="000B5512">
        <w:rPr>
          <w:rFonts w:ascii="Garamond" w:eastAsia="Garamond" w:hAnsi="Garamond" w:cs="Garamond"/>
          <w:sz w:val="24"/>
          <w:szCs w:val="24"/>
          <w:highlight w:val="yellow"/>
        </w:rPr>
        <w:t xml:space="preserve"> </w:t>
      </w:r>
    </w:p>
    <w:p w14:paraId="228C1512" w14:textId="77777777" w:rsidR="000B5512" w:rsidRPr="000B5512" w:rsidRDefault="00796B8B">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 xml:space="preserve">Arief, H., </w:t>
      </w:r>
      <w:proofErr w:type="spellStart"/>
      <w:r w:rsidRPr="000B5512">
        <w:rPr>
          <w:rFonts w:ascii="Garamond" w:eastAsia="Garamond" w:hAnsi="Garamond" w:cs="Garamond"/>
          <w:sz w:val="24"/>
          <w:szCs w:val="24"/>
          <w:highlight w:val="yellow"/>
        </w:rPr>
        <w:t>Radiwan</w:t>
      </w:r>
      <w:proofErr w:type="spellEnd"/>
      <w:r w:rsidRPr="000B5512">
        <w:rPr>
          <w:rFonts w:ascii="Garamond" w:eastAsia="Garamond" w:hAnsi="Garamond" w:cs="Garamond"/>
          <w:sz w:val="24"/>
          <w:szCs w:val="24"/>
          <w:highlight w:val="yellow"/>
        </w:rPr>
        <w:t xml:space="preserve">, R., </w:t>
      </w:r>
      <w:proofErr w:type="spellStart"/>
      <w:r w:rsidRPr="000B5512">
        <w:rPr>
          <w:rFonts w:ascii="Garamond" w:eastAsia="Garamond" w:hAnsi="Garamond" w:cs="Garamond"/>
          <w:sz w:val="24"/>
          <w:szCs w:val="24"/>
          <w:highlight w:val="yellow"/>
        </w:rPr>
        <w:t>Karnadi</w:t>
      </w:r>
      <w:proofErr w:type="spellEnd"/>
      <w:r w:rsidRPr="000B5512">
        <w:rPr>
          <w:rFonts w:ascii="Garamond" w:eastAsia="Garamond" w:hAnsi="Garamond" w:cs="Garamond"/>
          <w:sz w:val="24"/>
          <w:szCs w:val="24"/>
          <w:highlight w:val="yellow"/>
        </w:rPr>
        <w:t xml:space="preserve">, K., </w:t>
      </w:r>
      <w:proofErr w:type="spellStart"/>
      <w:r w:rsidRPr="000B5512">
        <w:rPr>
          <w:rFonts w:ascii="Garamond" w:eastAsia="Garamond" w:hAnsi="Garamond" w:cs="Garamond"/>
          <w:sz w:val="24"/>
          <w:szCs w:val="24"/>
          <w:highlight w:val="yellow"/>
        </w:rPr>
        <w:t>Choiruddin</w:t>
      </w:r>
      <w:proofErr w:type="spellEnd"/>
      <w:r w:rsidRPr="000B5512">
        <w:rPr>
          <w:rFonts w:ascii="Garamond" w:eastAsia="Garamond" w:hAnsi="Garamond" w:cs="Garamond"/>
          <w:sz w:val="24"/>
          <w:szCs w:val="24"/>
          <w:highlight w:val="yellow"/>
        </w:rPr>
        <w:t xml:space="preserve">, C., Muzakir, M. A., &amp; </w:t>
      </w:r>
      <w:proofErr w:type="spellStart"/>
      <w:r w:rsidRPr="000B5512">
        <w:rPr>
          <w:rFonts w:ascii="Garamond" w:eastAsia="Garamond" w:hAnsi="Garamond" w:cs="Garamond"/>
          <w:sz w:val="24"/>
          <w:szCs w:val="24"/>
          <w:highlight w:val="yellow"/>
        </w:rPr>
        <w:t>Chairu</w:t>
      </w:r>
      <w:proofErr w:type="spellEnd"/>
      <w:r w:rsidRPr="000B5512">
        <w:rPr>
          <w:rFonts w:ascii="Garamond" w:eastAsia="Garamond" w:hAnsi="Garamond" w:cs="Garamond"/>
          <w:sz w:val="24"/>
          <w:szCs w:val="24"/>
          <w:highlight w:val="yellow"/>
        </w:rPr>
        <w:t xml:space="preserve">, T. (2025). </w:t>
      </w:r>
      <w:r w:rsidRPr="000B5512">
        <w:rPr>
          <w:rFonts w:ascii="Garamond" w:eastAsia="Garamond" w:hAnsi="Garamond" w:cs="Garamond"/>
          <w:sz w:val="24"/>
          <w:szCs w:val="24"/>
          <w:highlight w:val="yellow"/>
        </w:rPr>
        <w:t>Public policy with AI: the role of artificial intelligence in the policy process</w:t>
      </w:r>
      <w:r w:rsidRPr="000B5512">
        <w:rPr>
          <w:rFonts w:ascii="Garamond" w:eastAsia="Garamond" w:hAnsi="Garamond" w:cs="Garamond"/>
          <w:sz w:val="24"/>
          <w:szCs w:val="24"/>
          <w:highlight w:val="yellow"/>
        </w:rPr>
        <w:t>. </w:t>
      </w:r>
      <w:proofErr w:type="spellStart"/>
      <w:r w:rsidRPr="000B5512">
        <w:rPr>
          <w:rFonts w:ascii="Garamond" w:eastAsia="Garamond" w:hAnsi="Garamond" w:cs="Garamond"/>
          <w:i/>
          <w:iCs/>
          <w:sz w:val="24"/>
          <w:szCs w:val="24"/>
          <w:highlight w:val="yellow"/>
        </w:rPr>
        <w:t>Jurnal</w:t>
      </w:r>
      <w:proofErr w:type="spellEnd"/>
      <w:r w:rsidRPr="000B5512">
        <w:rPr>
          <w:rFonts w:ascii="Garamond" w:eastAsia="Garamond" w:hAnsi="Garamond" w:cs="Garamond"/>
          <w:i/>
          <w:iCs/>
          <w:sz w:val="24"/>
          <w:szCs w:val="24"/>
          <w:highlight w:val="yellow"/>
        </w:rPr>
        <w:t xml:space="preserve"> REP (Riset Ekonomi Pembangunan)</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10</w:t>
      </w:r>
      <w:r w:rsidRPr="000B5512">
        <w:rPr>
          <w:rFonts w:ascii="Garamond" w:eastAsia="Garamond" w:hAnsi="Garamond" w:cs="Garamond"/>
          <w:sz w:val="24"/>
          <w:szCs w:val="24"/>
          <w:highlight w:val="yellow"/>
        </w:rPr>
        <w:t>(1), 105-126.</w:t>
      </w:r>
      <w:r w:rsidR="000B5512" w:rsidRPr="000B5512">
        <w:rPr>
          <w:rFonts w:ascii="Garamond" w:eastAsia="Garamond" w:hAnsi="Garamond" w:cs="Garamond"/>
          <w:sz w:val="24"/>
          <w:szCs w:val="24"/>
          <w:highlight w:val="yellow"/>
        </w:rPr>
        <w:t xml:space="preserve"> </w:t>
      </w:r>
    </w:p>
    <w:p w14:paraId="2EBF4BB3" w14:textId="77777777" w:rsidR="000B5512" w:rsidRPr="000B5512" w:rsidRDefault="000B5512">
      <w:pPr>
        <w:spacing w:before="100" w:after="100" w:line="240" w:lineRule="auto"/>
        <w:jc w:val="both"/>
        <w:rPr>
          <w:rFonts w:ascii="Garamond" w:eastAsia="Garamond" w:hAnsi="Garamond" w:cs="Garamond"/>
          <w:sz w:val="24"/>
          <w:szCs w:val="24"/>
          <w:highlight w:val="yellow"/>
        </w:rPr>
      </w:pPr>
      <w:r w:rsidRPr="000B5512">
        <w:rPr>
          <w:rFonts w:ascii="Garamond" w:eastAsia="Garamond" w:hAnsi="Garamond" w:cs="Garamond"/>
          <w:sz w:val="24"/>
          <w:szCs w:val="24"/>
          <w:highlight w:val="yellow"/>
        </w:rPr>
        <w:t>Xu, Z., Liu, Z., &amp; Luo, H. (2025). Can Artificial Intelligence Technology Help Achieving Good Governance: A Public Policy Evaluation Method Based on Artificial Neural Network. </w:t>
      </w:r>
      <w:r w:rsidRPr="000B5512">
        <w:rPr>
          <w:rFonts w:ascii="Garamond" w:eastAsia="Garamond" w:hAnsi="Garamond" w:cs="Garamond"/>
          <w:i/>
          <w:iCs/>
          <w:sz w:val="24"/>
          <w:szCs w:val="24"/>
          <w:highlight w:val="yellow"/>
        </w:rPr>
        <w:t>SAGE Open</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15</w:t>
      </w:r>
      <w:r w:rsidRPr="000B5512">
        <w:rPr>
          <w:rFonts w:ascii="Garamond" w:eastAsia="Garamond" w:hAnsi="Garamond" w:cs="Garamond"/>
          <w:sz w:val="24"/>
          <w:szCs w:val="24"/>
          <w:highlight w:val="yellow"/>
        </w:rPr>
        <w:t>(1), 21582440251317833.</w:t>
      </w:r>
      <w:r w:rsidRPr="000B5512">
        <w:rPr>
          <w:rFonts w:ascii="Garamond" w:eastAsia="Garamond" w:hAnsi="Garamond" w:cs="Garamond"/>
          <w:sz w:val="24"/>
          <w:szCs w:val="24"/>
          <w:highlight w:val="yellow"/>
        </w:rPr>
        <w:t xml:space="preserve"> </w:t>
      </w:r>
    </w:p>
    <w:p w14:paraId="725F18BD" w14:textId="23D7F42E" w:rsidR="0088082E" w:rsidRDefault="000B5512">
      <w:pPr>
        <w:spacing w:before="100" w:after="100" w:line="240" w:lineRule="auto"/>
        <w:jc w:val="both"/>
        <w:rPr>
          <w:rFonts w:ascii="Garamond" w:eastAsia="Garamond" w:hAnsi="Garamond" w:cs="Garamond"/>
          <w:sz w:val="24"/>
          <w:szCs w:val="24"/>
        </w:rPr>
        <w:sectPr w:rsidR="0088082E">
          <w:type w:val="continuous"/>
          <w:pgSz w:w="12240" w:h="15840"/>
          <w:pgMar w:top="1440" w:right="1440" w:bottom="1440" w:left="1440" w:header="720" w:footer="720" w:gutter="0"/>
          <w:cols w:num="2" w:space="720" w:equalWidth="0">
            <w:col w:w="4320" w:space="720"/>
            <w:col w:w="4320" w:space="0"/>
          </w:cols>
        </w:sectPr>
      </w:pPr>
      <w:r w:rsidRPr="000B5512">
        <w:rPr>
          <w:rFonts w:ascii="Garamond" w:eastAsia="Garamond" w:hAnsi="Garamond" w:cs="Garamond"/>
          <w:sz w:val="24"/>
          <w:szCs w:val="24"/>
          <w:highlight w:val="yellow"/>
          <w:lang w:val="es-US"/>
        </w:rPr>
        <w:t xml:space="preserve">Charles, V., Rana, N. P., &amp; Carter, L. (2022). </w:t>
      </w:r>
      <w:r w:rsidRPr="000B5512">
        <w:rPr>
          <w:rFonts w:ascii="Garamond" w:eastAsia="Garamond" w:hAnsi="Garamond" w:cs="Garamond"/>
          <w:sz w:val="24"/>
          <w:szCs w:val="24"/>
          <w:highlight w:val="yellow"/>
        </w:rPr>
        <w:t>Artificial Intelligence for data-driven decision-making and governance in public affairs. </w:t>
      </w:r>
      <w:r w:rsidRPr="000B5512">
        <w:rPr>
          <w:rFonts w:ascii="Garamond" w:eastAsia="Garamond" w:hAnsi="Garamond" w:cs="Garamond"/>
          <w:i/>
          <w:iCs/>
          <w:sz w:val="24"/>
          <w:szCs w:val="24"/>
          <w:highlight w:val="yellow"/>
        </w:rPr>
        <w:t>Government Information Quarterly</w:t>
      </w:r>
      <w:r w:rsidRPr="000B5512">
        <w:rPr>
          <w:rFonts w:ascii="Garamond" w:eastAsia="Garamond" w:hAnsi="Garamond" w:cs="Garamond"/>
          <w:sz w:val="24"/>
          <w:szCs w:val="24"/>
          <w:highlight w:val="yellow"/>
        </w:rPr>
        <w:t>, </w:t>
      </w:r>
      <w:r w:rsidRPr="000B5512">
        <w:rPr>
          <w:rFonts w:ascii="Garamond" w:eastAsia="Garamond" w:hAnsi="Garamond" w:cs="Garamond"/>
          <w:i/>
          <w:iCs/>
          <w:sz w:val="24"/>
          <w:szCs w:val="24"/>
          <w:highlight w:val="yellow"/>
        </w:rPr>
        <w:t>39</w:t>
      </w:r>
      <w:r w:rsidRPr="000B5512">
        <w:rPr>
          <w:rFonts w:ascii="Garamond" w:eastAsia="Garamond" w:hAnsi="Garamond" w:cs="Garamond"/>
          <w:sz w:val="24"/>
          <w:szCs w:val="24"/>
          <w:highlight w:val="yellow"/>
        </w:rPr>
        <w:t>(4), 101742.</w:t>
      </w:r>
    </w:p>
    <w:p w14:paraId="45450C10" w14:textId="77777777" w:rsidR="0088082E" w:rsidRDefault="002C7464">
      <w:pPr>
        <w:spacing w:before="240" w:after="240" w:line="240" w:lineRule="auto"/>
        <w:jc w:val="both"/>
        <w:rPr>
          <w:rFonts w:ascii="Garamond" w:eastAsia="Garamond" w:hAnsi="Garamond" w:cs="Garamond"/>
          <w:sz w:val="24"/>
          <w:szCs w:val="24"/>
        </w:rPr>
      </w:pPr>
      <w:r>
        <w:rPr>
          <w:rFonts w:ascii="Garamond" w:eastAsia="Garamond" w:hAnsi="Garamond" w:cs="Garamond"/>
          <w:sz w:val="24"/>
          <w:szCs w:val="24"/>
        </w:rPr>
        <w:t xml:space="preserve"> </w:t>
      </w:r>
    </w:p>
    <w:p w14:paraId="04EC8FF7" w14:textId="77777777" w:rsidR="0088082E" w:rsidRDefault="0088082E">
      <w:pPr>
        <w:spacing w:line="240" w:lineRule="auto"/>
        <w:jc w:val="both"/>
        <w:rPr>
          <w:rFonts w:ascii="Garamond" w:eastAsia="Garamond" w:hAnsi="Garamond" w:cs="Garamond"/>
          <w:sz w:val="24"/>
          <w:szCs w:val="24"/>
        </w:rPr>
      </w:pPr>
    </w:p>
    <w:sectPr w:rsidR="0088082E">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EE982" w14:textId="77777777" w:rsidR="006D5B9C" w:rsidRDefault="006D5B9C">
      <w:pPr>
        <w:spacing w:line="240" w:lineRule="auto"/>
      </w:pPr>
      <w:r>
        <w:separator/>
      </w:r>
    </w:p>
  </w:endnote>
  <w:endnote w:type="continuationSeparator" w:id="0">
    <w:p w14:paraId="6500701B" w14:textId="77777777" w:rsidR="006D5B9C" w:rsidRDefault="006D5B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D1B8D045-D174-4625-B0E1-0EC02951026B}"/>
    <w:embedBold r:id="rId2" w:fontKey="{B051241E-7F9B-4423-B210-92EBA3479802}"/>
    <w:embedItalic r:id="rId3" w:fontKey="{ECB72CB7-9A0D-45EF-9B0B-13075A35D91F}"/>
  </w:font>
  <w:font w:name="Calibri">
    <w:panose1 w:val="020F0502020204030204"/>
    <w:charset w:val="00"/>
    <w:family w:val="swiss"/>
    <w:pitch w:val="variable"/>
    <w:sig w:usb0="E4002EFF" w:usb1="C200247B" w:usb2="00000009" w:usb3="00000000" w:csb0="000001FF" w:csb1="00000000"/>
    <w:embedRegular r:id="rId4" w:fontKey="{70A97CA2-3260-4FFD-AC1C-5EEA2F3AFEBD}"/>
  </w:font>
  <w:font w:name="Cambria">
    <w:panose1 w:val="02040503050406030204"/>
    <w:charset w:val="00"/>
    <w:family w:val="roman"/>
    <w:pitch w:val="variable"/>
    <w:sig w:usb0="E00006FF" w:usb1="420024FF" w:usb2="02000000" w:usb3="00000000" w:csb0="0000019F" w:csb1="00000000"/>
    <w:embedRegular r:id="rId5" w:fontKey="{48658BC4-5850-4090-B3A8-B355C6B94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4572E" w14:textId="77777777" w:rsidR="00673C32" w:rsidRDefault="00673C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C429C" w14:textId="77777777" w:rsidR="00673C32" w:rsidRDefault="00673C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AC105" w14:textId="77777777" w:rsidR="00673C32" w:rsidRDefault="00673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5B537" w14:textId="77777777" w:rsidR="006D5B9C" w:rsidRDefault="006D5B9C">
      <w:pPr>
        <w:spacing w:line="240" w:lineRule="auto"/>
      </w:pPr>
      <w:r>
        <w:separator/>
      </w:r>
    </w:p>
  </w:footnote>
  <w:footnote w:type="continuationSeparator" w:id="0">
    <w:p w14:paraId="64CEAC3B" w14:textId="77777777" w:rsidR="006D5B9C" w:rsidRDefault="006D5B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ED9CA" w14:textId="77777777" w:rsidR="00673C32" w:rsidRDefault="00000000">
    <w:pPr>
      <w:pStyle w:val="Header"/>
    </w:pPr>
    <w:r>
      <w:rPr>
        <w:noProof/>
      </w:rPr>
      <w:pict w14:anchorId="6A1885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0"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8C04E" w14:textId="77777777" w:rsidR="0088082E" w:rsidRDefault="00000000">
    <w:r>
      <w:rPr>
        <w:noProof/>
      </w:rPr>
      <w:pict w14:anchorId="49D526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61"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AE74D" w14:textId="77777777" w:rsidR="00673C32" w:rsidRDefault="00000000">
    <w:pPr>
      <w:pStyle w:val="Header"/>
    </w:pPr>
    <w:r>
      <w:rPr>
        <w:noProof/>
      </w:rPr>
      <w:pict w14:anchorId="113A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0359"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801C38"/>
    <w:multiLevelType w:val="multilevel"/>
    <w:tmpl w:val="A28C4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49786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wtDQyMTA1NjcxMDRS0lEKTi0uzszPAykwrAUAgWO8YiwAAAA="/>
  </w:docVars>
  <w:rsids>
    <w:rsidRoot w:val="0088082E"/>
    <w:rsid w:val="000B5512"/>
    <w:rsid w:val="002C7464"/>
    <w:rsid w:val="002E2C7D"/>
    <w:rsid w:val="002E5DF3"/>
    <w:rsid w:val="00337098"/>
    <w:rsid w:val="00673C32"/>
    <w:rsid w:val="006D5B9C"/>
    <w:rsid w:val="00796B8B"/>
    <w:rsid w:val="0088082E"/>
    <w:rsid w:val="00C0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35A13"/>
  <w15:docId w15:val="{400102E6-6BD4-496F-A23F-D98B0066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3C32"/>
    <w:pPr>
      <w:tabs>
        <w:tab w:val="center" w:pos="4680"/>
        <w:tab w:val="right" w:pos="9360"/>
      </w:tabs>
      <w:spacing w:line="240" w:lineRule="auto"/>
    </w:pPr>
  </w:style>
  <w:style w:type="character" w:customStyle="1" w:styleId="HeaderChar">
    <w:name w:val="Header Char"/>
    <w:basedOn w:val="DefaultParagraphFont"/>
    <w:link w:val="Header"/>
    <w:uiPriority w:val="99"/>
    <w:rsid w:val="00673C32"/>
  </w:style>
  <w:style w:type="paragraph" w:styleId="Footer">
    <w:name w:val="footer"/>
    <w:basedOn w:val="Normal"/>
    <w:link w:val="FooterChar"/>
    <w:uiPriority w:val="99"/>
    <w:unhideWhenUsed/>
    <w:rsid w:val="00673C32"/>
    <w:pPr>
      <w:tabs>
        <w:tab w:val="center" w:pos="4680"/>
        <w:tab w:val="right" w:pos="9360"/>
      </w:tabs>
      <w:spacing w:line="240" w:lineRule="auto"/>
    </w:pPr>
  </w:style>
  <w:style w:type="character" w:customStyle="1" w:styleId="FooterChar">
    <w:name w:val="Footer Char"/>
    <w:basedOn w:val="DefaultParagraphFont"/>
    <w:link w:val="Footer"/>
    <w:uiPriority w:val="99"/>
    <w:rsid w:val="00673C32"/>
  </w:style>
  <w:style w:type="paragraph" w:styleId="Revision">
    <w:name w:val="Revision"/>
    <w:hidden/>
    <w:uiPriority w:val="99"/>
    <w:semiHidden/>
    <w:rsid w:val="00796B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111/j.1468-0386.2007.00378.x" TargetMode="External"/><Relationship Id="rId26" Type="http://schemas.openxmlformats.org/officeDocument/2006/relationships/hyperlink" Target="https://doi.org/10.48550/arXiv.276937866" TargetMode="External"/><Relationship Id="rId39" Type="http://schemas.openxmlformats.org/officeDocument/2006/relationships/hyperlink" Target="https://doi.org/10.1007/s43681-024-00596-2" TargetMode="External"/><Relationship Id="rId3" Type="http://schemas.openxmlformats.org/officeDocument/2006/relationships/styles" Target="styles.xml"/><Relationship Id="rId21" Type="http://schemas.openxmlformats.org/officeDocument/2006/relationships/hyperlink" Target="https://doi.org/10.1007/s10676-024-09770-w" TargetMode="External"/><Relationship Id="rId34" Type="http://schemas.openxmlformats.org/officeDocument/2006/relationships/hyperlink" Target="https://doi.org/10.1136/bmj.n71" TargetMode="External"/><Relationship Id="rId42" Type="http://schemas.openxmlformats.org/officeDocument/2006/relationships/hyperlink" Target="https://doi.org/10.48550/arXiv.281421168" TargetMode="External"/><Relationship Id="rId47" Type="http://schemas.openxmlformats.org/officeDocument/2006/relationships/hyperlink" Target="https://doi.org/10.3390/admsci15040149"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43681-021-00096-7" TargetMode="External"/><Relationship Id="rId25" Type="http://schemas.openxmlformats.org/officeDocument/2006/relationships/hyperlink" Target="https://doi.org/10.1177/09520767231198737" TargetMode="External"/><Relationship Id="rId33" Type="http://schemas.openxmlformats.org/officeDocument/2006/relationships/hyperlink" Target="https://doi.org/10.48550/arXiv.2505.20304" TargetMode="External"/><Relationship Id="rId38" Type="http://schemas.openxmlformats.org/officeDocument/2006/relationships/hyperlink" Target="https://doi.org/10.1007/s43681-024-00596-2" TargetMode="External"/><Relationship Id="rId46" Type="http://schemas.openxmlformats.org/officeDocument/2006/relationships/hyperlink" Target="https://doi.org/10.3390/admsci15040149" TargetMode="External"/><Relationship Id="rId2" Type="http://schemas.openxmlformats.org/officeDocument/2006/relationships/numbering" Target="numbering.xml"/><Relationship Id="rId16" Type="http://schemas.openxmlformats.org/officeDocument/2006/relationships/hyperlink" Target="https://doi.org/10.1007/s43681-021-00096-7" TargetMode="External"/><Relationship Id="rId20" Type="http://schemas.openxmlformats.org/officeDocument/2006/relationships/hyperlink" Target="https://doi.org/10.1007/s10676-024-09770-w" TargetMode="External"/><Relationship Id="rId29" Type="http://schemas.openxmlformats.org/officeDocument/2006/relationships/hyperlink" Target="https://doi.org/10.3389/fpubh.2025.1694996" TargetMode="External"/><Relationship Id="rId41" Type="http://schemas.openxmlformats.org/officeDocument/2006/relationships/hyperlink" Target="https://doi.org/10.48550/arXiv.2808703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77/09520767231198737" TargetMode="External"/><Relationship Id="rId32" Type="http://schemas.openxmlformats.org/officeDocument/2006/relationships/hyperlink" Target="https://doi.org/10.48550/arXiv.2505.20304" TargetMode="External"/><Relationship Id="rId37" Type="http://schemas.openxmlformats.org/officeDocument/2006/relationships/hyperlink" Target="https://doi.org/10.14763/2020.4.1532" TargetMode="External"/><Relationship Id="rId40" Type="http://schemas.openxmlformats.org/officeDocument/2006/relationships/hyperlink" Target="https://doi.org/10.48550/arXiv.280870324" TargetMode="External"/><Relationship Id="rId45" Type="http://schemas.openxmlformats.org/officeDocument/2006/relationships/hyperlink" Target="https://doi.org/10.48550/arXiv.273532697" TargetMode="External"/><Relationship Id="rId5" Type="http://schemas.openxmlformats.org/officeDocument/2006/relationships/webSettings" Target="webSettings.xml"/><Relationship Id="rId15" Type="http://schemas.openxmlformats.org/officeDocument/2006/relationships/hyperlink" Target="https://doi.org/10.1111/ijmr.12102" TargetMode="External"/><Relationship Id="rId23" Type="http://schemas.openxmlformats.org/officeDocument/2006/relationships/hyperlink" Target="https://doi.org/10.1017/elo.2022.47" TargetMode="External"/><Relationship Id="rId28" Type="http://schemas.openxmlformats.org/officeDocument/2006/relationships/hyperlink" Target="https://doi.org/10.3389/fpubh.2025.1694996" TargetMode="External"/><Relationship Id="rId36" Type="http://schemas.openxmlformats.org/officeDocument/2006/relationships/hyperlink" Target="https://doi.org/10.14763/2020.4.1532" TargetMode="External"/><Relationship Id="rId49" Type="http://schemas.openxmlformats.org/officeDocument/2006/relationships/hyperlink" Target="https://doi.org/10.1093/ppmgov/gvz014" TargetMode="External"/><Relationship Id="rId10" Type="http://schemas.openxmlformats.org/officeDocument/2006/relationships/footer" Target="footer1.xml"/><Relationship Id="rId19" Type="http://schemas.openxmlformats.org/officeDocument/2006/relationships/hyperlink" Target="https://doi.org/10.1111/j.1468-0386.2007.00378.x" TargetMode="External"/><Relationship Id="rId31" Type="http://schemas.openxmlformats.org/officeDocument/2006/relationships/hyperlink" Target="https://doi.org/10.1007/s44206-025-00195-6" TargetMode="External"/><Relationship Id="rId44" Type="http://schemas.openxmlformats.org/officeDocument/2006/relationships/hyperlink" Target="https://doi.org/10.48550/arXiv.27353269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111/ijmr.12102" TargetMode="External"/><Relationship Id="rId22" Type="http://schemas.openxmlformats.org/officeDocument/2006/relationships/hyperlink" Target="https://doi.org/10.1017/elo.2022.47" TargetMode="External"/><Relationship Id="rId27" Type="http://schemas.openxmlformats.org/officeDocument/2006/relationships/hyperlink" Target="https://doi.org/10.48550/arXiv.276937866" TargetMode="External"/><Relationship Id="rId30" Type="http://schemas.openxmlformats.org/officeDocument/2006/relationships/hyperlink" Target="https://doi.org/10.1007/s44206-025-00195-6" TargetMode="External"/><Relationship Id="rId35" Type="http://schemas.openxmlformats.org/officeDocument/2006/relationships/hyperlink" Target="https://doi.org/10.1136/bmj.n71" TargetMode="External"/><Relationship Id="rId43" Type="http://schemas.openxmlformats.org/officeDocument/2006/relationships/hyperlink" Target="https://doi.org/10.48550/arXiv.281421168" TargetMode="External"/><Relationship Id="rId48" Type="http://schemas.openxmlformats.org/officeDocument/2006/relationships/hyperlink" Target="https://doi.org/10.1093/ppmgov/gvz014" TargetMode="External"/><Relationship Id="rId8" Type="http://schemas.openxmlformats.org/officeDocument/2006/relationships/header" Target="header1.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2Cqsi6P6Q/LylZgbln0R1ZCGvw==">CgMxLjA4AHIhMVhwQ0NXVlpYUnJfRnVSeXMtb183c1V1T3l1blhqQXcz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8075</Words>
  <Characters>46028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Editor-17</cp:lastModifiedBy>
  <cp:revision>5</cp:revision>
  <dcterms:created xsi:type="dcterms:W3CDTF">2026-01-15T08:09:00Z</dcterms:created>
  <dcterms:modified xsi:type="dcterms:W3CDTF">2026-04-07T07:48:00Z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502e794c-26b3-4712-bd74-0d843f25acab</vt:lpwstr>
  </property>
</Properties>
</file>