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1E20" w:rsidRDefault="008A3070">
      <w:pPr>
        <w:widowControl w:val="0"/>
        <w:pBdr>
          <w:top w:val="nil"/>
          <w:left w:val="nil"/>
          <w:bottom w:val="nil"/>
          <w:right w:val="nil"/>
          <w:between w:val="nil"/>
        </w:pBdr>
        <w:spacing w:after="0"/>
      </w:pPr>
      <w:r>
        <w:pict w14:anchorId="56C6AF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50pt;height:50pt;z-index:251656192;visibility:hidden">
            <o:lock v:ext="edit" selection="t"/>
          </v:shape>
        </w:pict>
      </w:r>
      <w:r>
        <w:pict w14:anchorId="1F54BAC0">
          <v:shape id="_x0000_s1028" type="#_x0000_t136" style="position:absolute;margin-left:0;margin-top:0;width:50pt;height:50pt;z-index:251657216;visibility:hidden">
            <o:lock v:ext="edit" selection="t"/>
          </v:shape>
        </w:pict>
      </w:r>
      <w:r>
        <w:pict w14:anchorId="11A91711">
          <v:shape id="_x0000_s1027" type="#_x0000_t136" style="position:absolute;margin-left:0;margin-top:0;width:50pt;height:50pt;z-index:251658240;visibility:hidden">
            <o:lock v:ext="edit" selection="t"/>
          </v:shape>
        </w:pict>
      </w:r>
      <w:r>
        <w:pict w14:anchorId="12E126A6">
          <v:shape id="_x0000_s1026" type="#_x0000_t136" style="position:absolute;margin-left:0;margin-top:0;width:50pt;height:50pt;z-index:251659264;visibility:hidden">
            <o:lock v:ext="edit" selection="t"/>
          </v:shape>
        </w:pict>
      </w:r>
    </w:p>
    <w:p w:rsidR="00341E20" w:rsidRDefault="00341E20">
      <w:pPr>
        <w:widowControl w:val="0"/>
        <w:pBdr>
          <w:top w:val="nil"/>
          <w:left w:val="nil"/>
          <w:bottom w:val="nil"/>
          <w:right w:val="nil"/>
          <w:between w:val="nil"/>
        </w:pBdr>
        <w:spacing w:after="0"/>
      </w:pPr>
    </w:p>
    <w:p w:rsidR="00341E20" w:rsidRDefault="00E91A95">
      <w:pPr>
        <w:jc w:val="both"/>
        <w:rPr>
          <w:rFonts w:ascii="Times New Roman" w:eastAsia="Times New Roman" w:hAnsi="Times New Roman" w:cs="Times New Roman"/>
          <w:b/>
          <w:bCs/>
          <w:sz w:val="24"/>
          <w:szCs w:val="24"/>
        </w:rPr>
      </w:pPr>
      <w:bookmarkStart w:id="0" w:name="_heading=h.fkbm2fkkhwo5" w:colFirst="0" w:colLast="0"/>
      <w:bookmarkEnd w:id="0"/>
      <w:r>
        <w:rPr>
          <w:rFonts w:ascii="Times New Roman" w:eastAsia="Times New Roman" w:hAnsi="Times New Roman" w:cs="Times New Roman"/>
          <w:b/>
          <w:bCs/>
          <w:sz w:val="24"/>
          <w:szCs w:val="24"/>
        </w:rPr>
        <w:t xml:space="preserve">Comparative Analysis of Socio-Economic and Psychological Characteristics of Farmers under Farmer FIRST </w:t>
      </w:r>
      <w:proofErr w:type="spellStart"/>
      <w:r>
        <w:rPr>
          <w:rFonts w:ascii="Times New Roman" w:eastAsia="Times New Roman" w:hAnsi="Times New Roman" w:cs="Times New Roman"/>
          <w:b/>
          <w:bCs/>
          <w:sz w:val="24"/>
          <w:szCs w:val="24"/>
        </w:rPr>
        <w:t>Programme</w:t>
      </w:r>
      <w:proofErr w:type="spellEnd"/>
      <w:r>
        <w:rPr>
          <w:rFonts w:ascii="Times New Roman" w:eastAsia="Times New Roman" w:hAnsi="Times New Roman" w:cs="Times New Roman"/>
          <w:b/>
          <w:bCs/>
          <w:sz w:val="24"/>
          <w:szCs w:val="24"/>
        </w:rPr>
        <w:t xml:space="preserve"> in Morena District</w:t>
      </w:r>
      <w:r w:rsidR="00A348C8">
        <w:rPr>
          <w:rFonts w:ascii="Times New Roman" w:eastAsia="Times New Roman" w:hAnsi="Times New Roman" w:cs="Times New Roman"/>
          <w:b/>
          <w:bCs/>
          <w:sz w:val="24"/>
          <w:szCs w:val="24"/>
        </w:rPr>
        <w:t>, India</w:t>
      </w:r>
    </w:p>
    <w:p w:rsidR="00341E20" w:rsidRDefault="00E91A95">
      <w:pPr>
        <w:jc w:val="both"/>
        <w:rPr>
          <w:rFonts w:ascii="Times New Roman" w:eastAsia="Times New Roman" w:hAnsi="Times New Roman" w:cs="Times New Roman"/>
          <w:b/>
          <w:bCs/>
        </w:rPr>
      </w:pPr>
      <w:bookmarkStart w:id="1" w:name="_heading=h.f9w8ob997sv0" w:colFirst="0" w:colLast="0"/>
      <w:bookmarkEnd w:id="1"/>
      <w:r>
        <w:rPr>
          <w:rFonts w:ascii="Times New Roman" w:eastAsia="Times New Roman" w:hAnsi="Times New Roman" w:cs="Times New Roman"/>
          <w:sz w:val="24"/>
          <w:szCs w:val="24"/>
        </w:rPr>
        <w:t>________________________________________________________________________</w:t>
      </w:r>
    </w:p>
    <w:p w:rsidR="00341E20" w:rsidRDefault="00E91A95">
      <w:pPr>
        <w:spacing w:before="240" w:after="0" w:line="240" w:lineRule="auto"/>
        <w:rPr>
          <w:rFonts w:ascii="Times New Roman" w:eastAsia="Times New Roman" w:hAnsi="Times New Roman" w:cs="Times New Roman"/>
          <w:b/>
          <w:bCs/>
        </w:rPr>
      </w:pPr>
      <w:r>
        <w:rPr>
          <w:rFonts w:ascii="Times New Roman" w:eastAsia="Times New Roman" w:hAnsi="Times New Roman" w:cs="Times New Roman"/>
          <w:b/>
          <w:bCs/>
        </w:rPr>
        <w:t>Abstract</w:t>
      </w:r>
    </w:p>
    <w:p w:rsidR="00341E20" w:rsidRDefault="00E91A95">
      <w:pPr>
        <w:spacing w:before="240" w:after="240" w:line="240" w:lineRule="auto"/>
        <w:jc w:val="both"/>
        <w:rPr>
          <w:rFonts w:ascii="Times New Roman" w:eastAsia="Times New Roman" w:hAnsi="Times New Roman" w:cs="Times New Roman"/>
        </w:rPr>
      </w:pPr>
      <w:bookmarkStart w:id="2" w:name="_heading=h.e8j70lhfis9h" w:colFirst="0" w:colLast="0"/>
      <w:bookmarkEnd w:id="2"/>
      <w:r>
        <w:rPr>
          <w:rFonts w:ascii="Times New Roman" w:eastAsia="Times New Roman" w:hAnsi="Times New Roman" w:cs="Times New Roman"/>
        </w:rPr>
        <w:t xml:space="preserve">The present study examined the </w:t>
      </w:r>
      <w:r>
        <w:rPr>
          <w:rFonts w:ascii="Times New Roman" w:eastAsia="Times New Roman" w:hAnsi="Times New Roman" w:cs="Times New Roman"/>
          <w:sz w:val="24"/>
          <w:szCs w:val="24"/>
        </w:rPr>
        <w:t xml:space="preserve">Comparative analysis of the Farmer FIRST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on </w:t>
      </w:r>
      <w:r w:rsidR="008A3070">
        <w:rPr>
          <w:rFonts w:ascii="Times New Roman" w:eastAsia="Times New Roman" w:hAnsi="Times New Roman" w:cs="Times New Roman"/>
          <w:sz w:val="24"/>
          <w:szCs w:val="24"/>
        </w:rPr>
        <w:t>the socio-e</w:t>
      </w:r>
      <w:r>
        <w:rPr>
          <w:rFonts w:ascii="Times New Roman" w:eastAsia="Times New Roman" w:hAnsi="Times New Roman" w:cs="Times New Roman"/>
          <w:sz w:val="24"/>
          <w:szCs w:val="24"/>
        </w:rPr>
        <w:t xml:space="preserve">conomic and Psychological Characteristics of Farmers in Morena District, Madhya Pradesh. </w:t>
      </w:r>
      <w:r>
        <w:rPr>
          <w:rFonts w:ascii="Times New Roman" w:eastAsia="Times New Roman" w:hAnsi="Times New Roman" w:cs="Times New Roman"/>
        </w:rPr>
        <w:t xml:space="preserve">An ex-post facto research design was employed with a sample of 120 farmers comprising 60 beneficiaries and 60 non-beneficiaries. Data were collected using a structured interview schedule and analyzed using mean and standard deviation methods. The findings revealed that FFP beneficiaries were relatively younger, better educated and possessed larger landholdings compared to non-beneficiaries. Beneficiaries also reported higher annual income, greater use of information sources, stronger extension contact and higher exposure to mass media. In terms of psychological attributes, beneficiaries showed higher levels of economic motivation, scientific orientation and risk-taking ability. The results indicate that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has contributed positively to improving farmers’ socio-economic conditions and strengthening their readiness to adopt innovative agricultural practices.</w:t>
      </w:r>
    </w:p>
    <w:p w:rsidR="00341E20" w:rsidRDefault="00E91A95">
      <w:pPr>
        <w:spacing w:before="240" w:after="240" w:line="240" w:lineRule="auto"/>
        <w:jc w:val="both"/>
        <w:rPr>
          <w:rFonts w:ascii="Times New Roman" w:eastAsia="Times New Roman" w:hAnsi="Times New Roman" w:cs="Times New Roman"/>
          <w:b/>
          <w:bCs/>
        </w:rPr>
      </w:pPr>
      <w:r>
        <w:rPr>
          <w:rFonts w:ascii="Times New Roman" w:eastAsia="Times New Roman" w:hAnsi="Times New Roman" w:cs="Times New Roman"/>
          <w:b/>
          <w:bCs/>
        </w:rPr>
        <w:t>Keywords</w:t>
      </w:r>
      <w:r>
        <w:rPr>
          <w:rFonts w:ascii="Times New Roman" w:eastAsia="Times New Roman" w:hAnsi="Times New Roman" w:cs="Times New Roman"/>
        </w:rPr>
        <w:t xml:space="preserve">: Socio-economic Profile, Psychological Attributes,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Integrated Farming System.</w:t>
      </w:r>
    </w:p>
    <w:p w:rsidR="00341E20" w:rsidRDefault="00E91A95">
      <w:pPr>
        <w:spacing w:before="240"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Introduction</w:t>
      </w:r>
    </w:p>
    <w:p w:rsidR="00341E20" w:rsidRDefault="00E91A95">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Agriculture remains a vital sector for livelihood security in rural India. The success of agricultural development </w:t>
      </w:r>
      <w:proofErr w:type="spellStart"/>
      <w:r>
        <w:rPr>
          <w:rFonts w:ascii="Times New Roman" w:eastAsia="Times New Roman" w:hAnsi="Times New Roman" w:cs="Times New Roman"/>
        </w:rPr>
        <w:t>programmes</w:t>
      </w:r>
      <w:proofErr w:type="spellEnd"/>
      <w:r>
        <w:rPr>
          <w:rFonts w:ascii="Times New Roman" w:eastAsia="Times New Roman" w:hAnsi="Times New Roman" w:cs="Times New Roman"/>
        </w:rPr>
        <w:t xml:space="preserve"> largely depends on the socio-economic and psychological characteristics of farmers. Factors such as age, education, landholding size, income level, access to information and extension contact influence farmers’ decision-making processes and their willingness to adopt improved agricultural practices. Psychological attributes like economic motivation, scientific orientation and risk-taking ability also play an important role in determining the adoption of innovations in farming.</w:t>
      </w:r>
    </w:p>
    <w:p w:rsidR="00341E20" w:rsidRDefault="00E91A95">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To strengthen farmer-centered agricultural development, the Indian Council of Agricultural Research (ICAR) launched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(FFP). The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aims to reorient agricultural research and extension by placing farmers at the </w:t>
      </w:r>
      <w:proofErr w:type="spellStart"/>
      <w:r>
        <w:rPr>
          <w:rFonts w:ascii="Times New Roman" w:eastAsia="Times New Roman" w:hAnsi="Times New Roman" w:cs="Times New Roman"/>
        </w:rPr>
        <w:t>centre</w:t>
      </w:r>
      <w:proofErr w:type="spellEnd"/>
      <w:r>
        <w:rPr>
          <w:rFonts w:ascii="Times New Roman" w:eastAsia="Times New Roman" w:hAnsi="Times New Roman" w:cs="Times New Roman"/>
        </w:rPr>
        <w:t xml:space="preserve"> of innovation and technology dissemination. The acronym “FIRST” represents Farm, Innovations, Resources, Science and Technology. The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emphasizes participatory approaches, farmer–scientist interaction and location-specific technological interventions that integrate scientific knowledge with farmers’ practical experience.</w:t>
      </w:r>
    </w:p>
    <w:p w:rsidR="00341E20" w:rsidRDefault="00E91A95">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promotes integrated farming systems, capacity building, training and field demonstrations to improve farm productivity and livelihood security. By encouraging farmers’ participation in identifying problems and testing new technologies, the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helps strengthen farmers’ knowledge, confidence and ability to adopt improved farming practices. Understanding the socio-economic background and psychological characteristics of farmers is therefore essential for assessing the effectiveness of such </w:t>
      </w:r>
      <w:proofErr w:type="spellStart"/>
      <w:r>
        <w:rPr>
          <w:rFonts w:ascii="Times New Roman" w:eastAsia="Times New Roman" w:hAnsi="Times New Roman" w:cs="Times New Roman"/>
        </w:rPr>
        <w:t>programmes</w:t>
      </w:r>
      <w:proofErr w:type="spellEnd"/>
      <w:r>
        <w:rPr>
          <w:rFonts w:ascii="Times New Roman" w:eastAsia="Times New Roman" w:hAnsi="Times New Roman" w:cs="Times New Roman"/>
        </w:rPr>
        <w:t>.</w:t>
      </w:r>
    </w:p>
    <w:p w:rsidR="00341E20" w:rsidRDefault="00E91A95">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Morena District of Madhya Pradesh represents a region where agriculture is a major source of livelihood and farmers face diverse socio-economic challenges. Evaluating the </w:t>
      </w:r>
      <w:r w:rsidR="008A3070">
        <w:rPr>
          <w:rFonts w:ascii="Times New Roman" w:eastAsia="Times New Roman" w:hAnsi="Times New Roman" w:cs="Times New Roman"/>
        </w:rPr>
        <w:t>comparison</w:t>
      </w:r>
      <w:r>
        <w:rPr>
          <w:rFonts w:ascii="Times New Roman" w:eastAsia="Times New Roman" w:hAnsi="Times New Roman" w:cs="Times New Roman"/>
        </w:rPr>
        <w:t xml:space="preserve"> of </w:t>
      </w:r>
      <w:proofErr w:type="spellStart"/>
      <w:r>
        <w:rPr>
          <w:rFonts w:ascii="Times New Roman" w:eastAsia="Times New Roman" w:hAnsi="Times New Roman" w:cs="Times New Roman"/>
        </w:rPr>
        <w:t>programmes</w:t>
      </w:r>
      <w:proofErr w:type="spellEnd"/>
      <w:r>
        <w:rPr>
          <w:rFonts w:ascii="Times New Roman" w:eastAsia="Times New Roman" w:hAnsi="Times New Roman" w:cs="Times New Roman"/>
        </w:rPr>
        <w:t xml:space="preserve"> like FFP in such regions can provide valuable insights for improving agricultural extension strategies and policy interventions.</w:t>
      </w:r>
    </w:p>
    <w:p w:rsidR="00341E20" w:rsidRDefault="00E91A95">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Therefore, the present study was undertaken to analyze the socio-economic profile and psychological attributes of farmers participating in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in Morena District of Madhya Pradesh and to compare them with non-beneficiary farmers.</w:t>
      </w:r>
    </w:p>
    <w:p w:rsidR="00341E20" w:rsidRDefault="00E91A95">
      <w:pPr>
        <w:spacing w:before="280"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Research Methodology</w:t>
      </w:r>
    </w:p>
    <w:p w:rsidR="00341E20" w:rsidRDefault="00E91A95">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present study was conducted in Morena District of Madhya Pradesh to examine the socio-economic profile and psychological attributes of farmers under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(FFP). An ex-post facto research design was adopted for the study since the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had already been implemented and the researchers had no control over the independent variables. </w:t>
      </w:r>
    </w:p>
    <w:p w:rsidR="00341E20" w:rsidRDefault="00E91A95">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Morena District was purposively selected because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was actively implemented in the area. A total sample of 120 farmers was selected for the study. Out of these, 60 farmers were beneficiaries of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and were selected based on their active participation in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activities. In addition, 60 non-beneficiary farmers were selected from the same villages to ensure similar socio-economic and </w:t>
      </w:r>
      <w:proofErr w:type="spellStart"/>
      <w:r>
        <w:rPr>
          <w:rFonts w:ascii="Times New Roman" w:eastAsia="Times New Roman" w:hAnsi="Times New Roman" w:cs="Times New Roman"/>
        </w:rPr>
        <w:t>agro</w:t>
      </w:r>
      <w:proofErr w:type="spellEnd"/>
      <w:r>
        <w:rPr>
          <w:rFonts w:ascii="Times New Roman" w:eastAsia="Times New Roman" w:hAnsi="Times New Roman" w:cs="Times New Roman"/>
        </w:rPr>
        <w:t>-ecological conditions for comparison.</w:t>
      </w:r>
    </w:p>
    <w:p w:rsidR="00341E20" w:rsidRDefault="00E91A95">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Primary data were collected using a pre-tested structured interview schedule through personal interviews with the selected respondents. The study included several independent variables such as age, education, landholding size, family size, Integrated Farming System (IFS) experience, annual income, information source utilization, enterprise combination, extension contact and mass media exposure. Psychological variables such as economic motivation, scientific orientation and risk orientation were also considered for analysis.</w:t>
      </w:r>
    </w:p>
    <w:p w:rsidR="00341E20" w:rsidRDefault="00E91A95">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The collected data were classified, tabulated and analyzed using frequency, percentage and mean with standard deviation methods in order to compare the characteristics of beneficiary and non-beneficiary farmers. The results were presented in tables and interpreted to understand the differences in socio-economic and psychological attributes between the two groups of respondents.</w:t>
      </w:r>
    </w:p>
    <w:p w:rsidR="00341E20" w:rsidRDefault="00E91A95">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Result and Discussion</w:t>
      </w:r>
    </w:p>
    <w:p w:rsidR="00341E20" w:rsidRDefault="00E91A95">
      <w:pPr>
        <w:spacing w:before="120"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socio-economic profile and psychological attributes of farmers under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are presented. The results highlight distinct differences between beneficiaries and non-beneficiaries.</w:t>
      </w:r>
    </w:p>
    <w:p w:rsidR="00341E20" w:rsidRDefault="00E91A95">
      <w:pPr>
        <w:spacing w:before="120"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Table 1: Distribution of beneficiary and non-beneficiar</w:t>
      </w:r>
      <w:r w:rsidR="008A3070">
        <w:rPr>
          <w:rFonts w:ascii="Times New Roman" w:eastAsia="Times New Roman" w:hAnsi="Times New Roman" w:cs="Times New Roman"/>
          <w:b/>
          <w:bCs/>
        </w:rPr>
        <w:t>ies</w:t>
      </w:r>
      <w:r>
        <w:rPr>
          <w:rFonts w:ascii="Times New Roman" w:eastAsia="Times New Roman" w:hAnsi="Times New Roman" w:cs="Times New Roman"/>
          <w:b/>
          <w:bCs/>
        </w:rPr>
        <w:t xml:space="preserve"> according to their socio-economic profile and psychological attributes.</w:t>
      </w:r>
    </w:p>
    <w:tbl>
      <w:tblPr>
        <w:tblStyle w:val="a2"/>
        <w:tblW w:w="8610" w:type="dxa"/>
        <w:tblLayout w:type="fixed"/>
        <w:tblLook w:val="0400" w:firstRow="0" w:lastRow="0" w:firstColumn="0" w:lastColumn="0" w:noHBand="0" w:noVBand="1"/>
      </w:tblPr>
      <w:tblGrid>
        <w:gridCol w:w="600"/>
        <w:gridCol w:w="1530"/>
        <w:gridCol w:w="2790"/>
        <w:gridCol w:w="1575"/>
        <w:gridCol w:w="2115"/>
      </w:tblGrid>
      <w:tr w:rsidR="00341E20">
        <w:tc>
          <w:tcPr>
            <w:tcW w:w="600" w:type="dxa"/>
            <w:tcBorders>
              <w:top w:val="single" w:sz="8" w:space="0" w:color="000000"/>
              <w:left w:val="single" w:sz="8" w:space="0" w:color="000000"/>
              <w:bottom w:val="single" w:sz="8" w:space="0" w:color="000000"/>
              <w:right w:val="single" w:sz="8" w:space="0" w:color="000000"/>
            </w:tcBorders>
            <w:vAlign w:val="center"/>
          </w:tcPr>
          <w:p w:rsidR="00341E20" w:rsidRDefault="00E91A95">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S. No</w:t>
            </w:r>
          </w:p>
        </w:tc>
        <w:tc>
          <w:tcPr>
            <w:tcW w:w="1530" w:type="dxa"/>
            <w:tcBorders>
              <w:top w:val="single" w:sz="8" w:space="0" w:color="000000"/>
              <w:left w:val="single" w:sz="8" w:space="0" w:color="000000"/>
              <w:bottom w:val="single" w:sz="8" w:space="0" w:color="000000"/>
              <w:right w:val="single" w:sz="8" w:space="0" w:color="000000"/>
            </w:tcBorders>
            <w:vAlign w:val="center"/>
          </w:tcPr>
          <w:p w:rsidR="00341E20" w:rsidRDefault="00E91A95">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Variable</w:t>
            </w:r>
          </w:p>
        </w:tc>
        <w:tc>
          <w:tcPr>
            <w:tcW w:w="2790" w:type="dxa"/>
            <w:tcBorders>
              <w:top w:val="single" w:sz="8" w:space="0" w:color="000000"/>
              <w:left w:val="single" w:sz="8" w:space="0" w:color="000000"/>
              <w:bottom w:val="single" w:sz="8" w:space="0" w:color="000000"/>
              <w:right w:val="single" w:sz="8" w:space="0" w:color="000000"/>
            </w:tcBorders>
            <w:vAlign w:val="center"/>
          </w:tcPr>
          <w:p w:rsidR="00341E20" w:rsidRDefault="00E91A95">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Categories</w:t>
            </w:r>
          </w:p>
        </w:tc>
        <w:tc>
          <w:tcPr>
            <w:tcW w:w="1575" w:type="dxa"/>
            <w:tcBorders>
              <w:top w:val="single" w:sz="8" w:space="0" w:color="000000"/>
              <w:left w:val="single" w:sz="8" w:space="0" w:color="000000"/>
              <w:bottom w:val="single" w:sz="8" w:space="0" w:color="000000"/>
              <w:right w:val="single" w:sz="8" w:space="0" w:color="000000"/>
            </w:tcBorders>
            <w:vAlign w:val="center"/>
          </w:tcPr>
          <w:p w:rsidR="00341E20" w:rsidRDefault="00E91A95">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Beneficiaries (Freq, %)</w:t>
            </w:r>
          </w:p>
        </w:tc>
        <w:tc>
          <w:tcPr>
            <w:tcW w:w="2115" w:type="dxa"/>
            <w:tcBorders>
              <w:top w:val="single" w:sz="8" w:space="0" w:color="000000"/>
              <w:left w:val="single" w:sz="8" w:space="0" w:color="000000"/>
              <w:bottom w:val="single" w:sz="8" w:space="0" w:color="000000"/>
              <w:right w:val="single" w:sz="8" w:space="0" w:color="000000"/>
            </w:tcBorders>
            <w:vAlign w:val="center"/>
          </w:tcPr>
          <w:p w:rsidR="00341E20" w:rsidRDefault="00E91A95">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Non-Beneficiaries (Freq, %)</w:t>
            </w:r>
          </w:p>
        </w:tc>
      </w:tr>
      <w:tr w:rsidR="00341E20">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Age</w:t>
            </w:r>
          </w:p>
        </w:tc>
        <w:tc>
          <w:tcPr>
            <w:tcW w:w="2790"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Young age (Up to 28)</w:t>
            </w:r>
          </w:p>
        </w:tc>
        <w:tc>
          <w:tcPr>
            <w:tcW w:w="157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 (31.67%)</w:t>
            </w:r>
          </w:p>
        </w:tc>
        <w:tc>
          <w:tcPr>
            <w:tcW w:w="211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 (16.67%)</w:t>
            </w:r>
          </w:p>
        </w:tc>
      </w:tr>
      <w:tr w:rsidR="00341E20">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Middle age (29–47 years)</w:t>
            </w:r>
          </w:p>
        </w:tc>
        <w:tc>
          <w:tcPr>
            <w:tcW w:w="157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29 (48.33%)</w:t>
            </w:r>
          </w:p>
        </w:tc>
        <w:tc>
          <w:tcPr>
            <w:tcW w:w="211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35 (58.33%)</w:t>
            </w:r>
          </w:p>
        </w:tc>
      </w:tr>
      <w:tr w:rsidR="00341E20">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Old age (Above 47 years)</w:t>
            </w:r>
          </w:p>
        </w:tc>
        <w:tc>
          <w:tcPr>
            <w:tcW w:w="157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 (20.00%)</w:t>
            </w:r>
          </w:p>
        </w:tc>
        <w:tc>
          <w:tcPr>
            <w:tcW w:w="211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 (25.00%)</w:t>
            </w:r>
          </w:p>
        </w:tc>
      </w:tr>
      <w:tr w:rsidR="00341E20">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Education</w:t>
            </w:r>
          </w:p>
        </w:tc>
        <w:tc>
          <w:tcPr>
            <w:tcW w:w="2790"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Illiterate</w:t>
            </w:r>
          </w:p>
        </w:tc>
        <w:tc>
          <w:tcPr>
            <w:tcW w:w="157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 (3.33%)</w:t>
            </w:r>
          </w:p>
        </w:tc>
        <w:tc>
          <w:tcPr>
            <w:tcW w:w="211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 (8.33%)</w:t>
            </w:r>
          </w:p>
        </w:tc>
      </w:tr>
      <w:tr w:rsidR="00341E20">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Can read only</w:t>
            </w:r>
          </w:p>
        </w:tc>
        <w:tc>
          <w:tcPr>
            <w:tcW w:w="157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 (3.33%)</w:t>
            </w:r>
          </w:p>
        </w:tc>
        <w:tc>
          <w:tcPr>
            <w:tcW w:w="211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 (15.00%)</w:t>
            </w:r>
          </w:p>
        </w:tc>
      </w:tr>
      <w:tr w:rsidR="00341E20">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Can read and write</w:t>
            </w:r>
          </w:p>
        </w:tc>
        <w:tc>
          <w:tcPr>
            <w:tcW w:w="157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 (8.33%)</w:t>
            </w:r>
          </w:p>
        </w:tc>
        <w:tc>
          <w:tcPr>
            <w:tcW w:w="211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 (28.33%)</w:t>
            </w:r>
          </w:p>
        </w:tc>
      </w:tr>
      <w:tr w:rsidR="00341E20">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Primary school</w:t>
            </w:r>
          </w:p>
        </w:tc>
        <w:tc>
          <w:tcPr>
            <w:tcW w:w="157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 (13.33%)</w:t>
            </w:r>
          </w:p>
        </w:tc>
        <w:tc>
          <w:tcPr>
            <w:tcW w:w="211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 (10.00%)</w:t>
            </w:r>
          </w:p>
        </w:tc>
      </w:tr>
      <w:tr w:rsidR="00341E20">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Middle school</w:t>
            </w:r>
          </w:p>
        </w:tc>
        <w:tc>
          <w:tcPr>
            <w:tcW w:w="157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 (16.67%)</w:t>
            </w:r>
          </w:p>
        </w:tc>
        <w:tc>
          <w:tcPr>
            <w:tcW w:w="211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 (15.00%)</w:t>
            </w:r>
          </w:p>
        </w:tc>
      </w:tr>
      <w:tr w:rsidR="00341E20">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 school</w:t>
            </w:r>
          </w:p>
        </w:tc>
        <w:tc>
          <w:tcPr>
            <w:tcW w:w="157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 (21.67%)</w:t>
            </w:r>
          </w:p>
        </w:tc>
        <w:tc>
          <w:tcPr>
            <w:tcW w:w="211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 (13.33%)</w:t>
            </w:r>
          </w:p>
        </w:tc>
      </w:tr>
      <w:tr w:rsidR="00341E20">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Graduate</w:t>
            </w:r>
          </w:p>
        </w:tc>
        <w:tc>
          <w:tcPr>
            <w:tcW w:w="157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 (33.33%)</w:t>
            </w:r>
          </w:p>
        </w:tc>
        <w:tc>
          <w:tcPr>
            <w:tcW w:w="211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 (10.00%)</w:t>
            </w:r>
          </w:p>
        </w:tc>
      </w:tr>
      <w:tr w:rsidR="00341E20">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Size of Landholding</w:t>
            </w:r>
          </w:p>
        </w:tc>
        <w:tc>
          <w:tcPr>
            <w:tcW w:w="2790"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Marginal (&lt;1 ha)</w:t>
            </w:r>
          </w:p>
        </w:tc>
        <w:tc>
          <w:tcPr>
            <w:tcW w:w="157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 (31.67%)</w:t>
            </w:r>
          </w:p>
        </w:tc>
        <w:tc>
          <w:tcPr>
            <w:tcW w:w="211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 (28.33%)</w:t>
            </w:r>
          </w:p>
        </w:tc>
      </w:tr>
      <w:tr w:rsidR="00341E20">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Small (1.01–2.0 ha)</w:t>
            </w:r>
          </w:p>
        </w:tc>
        <w:tc>
          <w:tcPr>
            <w:tcW w:w="157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21 (35.00%)</w:t>
            </w:r>
          </w:p>
        </w:tc>
        <w:tc>
          <w:tcPr>
            <w:tcW w:w="211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 (31.67%)</w:t>
            </w:r>
          </w:p>
        </w:tc>
      </w:tr>
      <w:tr w:rsidR="00341E20">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Semi–medium (2.01–4 ha)</w:t>
            </w:r>
          </w:p>
        </w:tc>
        <w:tc>
          <w:tcPr>
            <w:tcW w:w="157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 (16.67%)</w:t>
            </w:r>
          </w:p>
        </w:tc>
        <w:tc>
          <w:tcPr>
            <w:tcW w:w="211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 (21.67%)</w:t>
            </w:r>
          </w:p>
        </w:tc>
      </w:tr>
      <w:tr w:rsidR="00341E20">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Medium (4.01–10 ha)</w:t>
            </w:r>
          </w:p>
        </w:tc>
        <w:tc>
          <w:tcPr>
            <w:tcW w:w="157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 (6.67%)</w:t>
            </w:r>
          </w:p>
        </w:tc>
        <w:tc>
          <w:tcPr>
            <w:tcW w:w="211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 (8.33%)</w:t>
            </w:r>
          </w:p>
        </w:tc>
      </w:tr>
      <w:tr w:rsidR="00341E20">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Large (&gt;10 ha)</w:t>
            </w:r>
          </w:p>
        </w:tc>
        <w:tc>
          <w:tcPr>
            <w:tcW w:w="157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 (10.00%)</w:t>
            </w:r>
          </w:p>
        </w:tc>
        <w:tc>
          <w:tcPr>
            <w:tcW w:w="211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 (10.00%)</w:t>
            </w:r>
          </w:p>
        </w:tc>
      </w:tr>
      <w:tr w:rsidR="00341E20">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Family Size</w:t>
            </w:r>
          </w:p>
        </w:tc>
        <w:tc>
          <w:tcPr>
            <w:tcW w:w="2790"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Small (Up to 4 members)</w:t>
            </w:r>
          </w:p>
        </w:tc>
        <w:tc>
          <w:tcPr>
            <w:tcW w:w="157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22 (36.67%)</w:t>
            </w:r>
          </w:p>
        </w:tc>
        <w:tc>
          <w:tcPr>
            <w:tcW w:w="211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 (38.33%)</w:t>
            </w:r>
          </w:p>
        </w:tc>
      </w:tr>
      <w:tr w:rsidR="00341E20">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Medium (5–10 members)</w:t>
            </w:r>
          </w:p>
        </w:tc>
        <w:tc>
          <w:tcPr>
            <w:tcW w:w="157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29 (48.33%)</w:t>
            </w:r>
          </w:p>
        </w:tc>
        <w:tc>
          <w:tcPr>
            <w:tcW w:w="211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 (41.67%)</w:t>
            </w:r>
          </w:p>
        </w:tc>
      </w:tr>
      <w:tr w:rsidR="00341E20">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Large (&gt;10 members)</w:t>
            </w:r>
          </w:p>
        </w:tc>
        <w:tc>
          <w:tcPr>
            <w:tcW w:w="157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 (15.00%)</w:t>
            </w:r>
          </w:p>
        </w:tc>
        <w:tc>
          <w:tcPr>
            <w:tcW w:w="211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 (20.00%)</w:t>
            </w:r>
          </w:p>
        </w:tc>
      </w:tr>
      <w:tr w:rsidR="00341E20">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IFS Experience</w:t>
            </w:r>
          </w:p>
        </w:tc>
        <w:tc>
          <w:tcPr>
            <w:tcW w:w="2790"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Low (&lt;5 years)</w:t>
            </w:r>
          </w:p>
        </w:tc>
        <w:tc>
          <w:tcPr>
            <w:tcW w:w="157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 (23.33%)</w:t>
            </w:r>
          </w:p>
        </w:tc>
        <w:tc>
          <w:tcPr>
            <w:tcW w:w="211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 (38.33%)</w:t>
            </w:r>
          </w:p>
        </w:tc>
      </w:tr>
      <w:tr w:rsidR="00341E20">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Medium (5–10 years)</w:t>
            </w:r>
          </w:p>
        </w:tc>
        <w:tc>
          <w:tcPr>
            <w:tcW w:w="157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24 (40.00%)</w:t>
            </w:r>
          </w:p>
        </w:tc>
        <w:tc>
          <w:tcPr>
            <w:tcW w:w="211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 (38.33%)</w:t>
            </w:r>
          </w:p>
        </w:tc>
      </w:tr>
      <w:tr w:rsidR="00341E20">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 (&gt;10 years)</w:t>
            </w:r>
          </w:p>
        </w:tc>
        <w:tc>
          <w:tcPr>
            <w:tcW w:w="157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22 (36.67%)</w:t>
            </w:r>
          </w:p>
        </w:tc>
        <w:tc>
          <w:tcPr>
            <w:tcW w:w="211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 (23.33%)</w:t>
            </w:r>
          </w:p>
        </w:tc>
      </w:tr>
      <w:tr w:rsidR="00341E20">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Annual Income</w:t>
            </w:r>
          </w:p>
        </w:tc>
        <w:tc>
          <w:tcPr>
            <w:tcW w:w="2790" w:type="dxa"/>
            <w:tcBorders>
              <w:top w:val="single" w:sz="8" w:space="0" w:color="000000"/>
              <w:left w:val="single" w:sz="8" w:space="0" w:color="000000"/>
              <w:bottom w:val="single" w:sz="8" w:space="0" w:color="000000"/>
              <w:right w:val="single" w:sz="8" w:space="0" w:color="000000"/>
            </w:tcBorders>
          </w:tcPr>
          <w:p w:rsidR="00341E20" w:rsidRDefault="008A3070">
            <w:pPr>
              <w:spacing w:after="0" w:line="240" w:lineRule="auto"/>
              <w:jc w:val="center"/>
              <w:rPr>
                <w:rFonts w:ascii="Times New Roman" w:eastAsia="Times New Roman" w:hAnsi="Times New Roman" w:cs="Times New Roman"/>
              </w:rPr>
            </w:pPr>
            <w:sdt>
              <w:sdtPr>
                <w:tag w:val="goog_rdk_0"/>
                <w:id w:val="-1209757871"/>
              </w:sdtPr>
              <w:sdtEndPr/>
              <w:sdtContent>
                <w:r w:rsidR="00E91A95">
                  <w:rPr>
                    <w:rFonts w:ascii="Gungsuh" w:eastAsia="Gungsuh" w:hAnsi="Gungsuh" w:cs="Gungsuh"/>
                  </w:rPr>
                  <w:t>Low (≤₹50,000)</w:t>
                </w:r>
              </w:sdtContent>
            </w:sdt>
          </w:p>
        </w:tc>
        <w:tc>
          <w:tcPr>
            <w:tcW w:w="157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 (15.00%)</w:t>
            </w:r>
          </w:p>
        </w:tc>
        <w:tc>
          <w:tcPr>
            <w:tcW w:w="211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 (13.33%)</w:t>
            </w:r>
          </w:p>
        </w:tc>
      </w:tr>
      <w:tr w:rsidR="00341E20">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Medium (₹50,001–1,00,000)</w:t>
            </w:r>
          </w:p>
        </w:tc>
        <w:tc>
          <w:tcPr>
            <w:tcW w:w="157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31 (51.67%)</w:t>
            </w:r>
          </w:p>
        </w:tc>
        <w:tc>
          <w:tcPr>
            <w:tcW w:w="211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46 (76.67%)</w:t>
            </w:r>
          </w:p>
        </w:tc>
      </w:tr>
      <w:tr w:rsidR="00341E20">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 (&gt;₹1,00,001)</w:t>
            </w:r>
          </w:p>
        </w:tc>
        <w:tc>
          <w:tcPr>
            <w:tcW w:w="157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 (33.33%)</w:t>
            </w:r>
          </w:p>
        </w:tc>
        <w:tc>
          <w:tcPr>
            <w:tcW w:w="211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 (10.00%)</w:t>
            </w:r>
          </w:p>
        </w:tc>
      </w:tr>
      <w:tr w:rsidR="00341E20">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Information Source</w:t>
            </w:r>
          </w:p>
        </w:tc>
        <w:tc>
          <w:tcPr>
            <w:tcW w:w="2790" w:type="dxa"/>
            <w:tcBorders>
              <w:top w:val="single" w:sz="8" w:space="0" w:color="000000"/>
              <w:left w:val="single" w:sz="8" w:space="0" w:color="000000"/>
              <w:bottom w:val="single" w:sz="8" w:space="0" w:color="000000"/>
              <w:right w:val="single" w:sz="8" w:space="0" w:color="000000"/>
            </w:tcBorders>
          </w:tcPr>
          <w:p w:rsidR="00341E20" w:rsidRDefault="008A3070">
            <w:pPr>
              <w:spacing w:after="0" w:line="240" w:lineRule="auto"/>
              <w:jc w:val="center"/>
              <w:rPr>
                <w:rFonts w:ascii="Times New Roman" w:eastAsia="Times New Roman" w:hAnsi="Times New Roman" w:cs="Times New Roman"/>
              </w:rPr>
            </w:pPr>
            <w:sdt>
              <w:sdtPr>
                <w:tag w:val="goog_rdk_1"/>
                <w:id w:val="1986091826"/>
              </w:sdtPr>
              <w:sdtEndPr/>
              <w:sdtContent>
                <w:r w:rsidR="00E91A95">
                  <w:rPr>
                    <w:rFonts w:ascii="Gungsuh" w:eastAsia="Gungsuh" w:hAnsi="Gungsuh" w:cs="Gungsuh"/>
                  </w:rPr>
                  <w:t>Low (≤9 scores)</w:t>
                </w:r>
              </w:sdtContent>
            </w:sdt>
          </w:p>
        </w:tc>
        <w:tc>
          <w:tcPr>
            <w:tcW w:w="157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 (11.67%)</w:t>
            </w:r>
          </w:p>
        </w:tc>
        <w:tc>
          <w:tcPr>
            <w:tcW w:w="211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 (16.67%)</w:t>
            </w:r>
          </w:p>
        </w:tc>
      </w:tr>
      <w:tr w:rsidR="00341E20">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Medium (10–15 scores)</w:t>
            </w:r>
          </w:p>
        </w:tc>
        <w:tc>
          <w:tcPr>
            <w:tcW w:w="157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43 (71.67%)</w:t>
            </w:r>
          </w:p>
        </w:tc>
        <w:tc>
          <w:tcPr>
            <w:tcW w:w="211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43 (71.67%)</w:t>
            </w:r>
          </w:p>
        </w:tc>
      </w:tr>
      <w:tr w:rsidR="00341E20">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 (&gt;15 scores)</w:t>
            </w:r>
          </w:p>
        </w:tc>
        <w:tc>
          <w:tcPr>
            <w:tcW w:w="157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 (16.67%)</w:t>
            </w:r>
          </w:p>
        </w:tc>
        <w:tc>
          <w:tcPr>
            <w:tcW w:w="211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 (11.67%)</w:t>
            </w:r>
          </w:p>
        </w:tc>
      </w:tr>
      <w:tr w:rsidR="00341E20">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rsidR="00341E20" w:rsidRDefault="00E91A95">
            <w:pPr>
              <w:spacing w:after="0" w:line="240" w:lineRule="auto"/>
              <w:jc w:val="center"/>
              <w:rPr>
                <w:rFonts w:ascii="Times New Roman" w:eastAsia="Times New Roman" w:hAnsi="Times New Roman" w:cs="Times New Roman"/>
                <w:color w:val="FF0000"/>
              </w:rPr>
            </w:pPr>
            <w:r>
              <w:rPr>
                <w:rFonts w:ascii="Times New Roman" w:eastAsia="Times New Roman" w:hAnsi="Times New Roman" w:cs="Times New Roman"/>
              </w:rPr>
              <w:t>Enterprise Combination</w:t>
            </w:r>
          </w:p>
        </w:tc>
        <w:tc>
          <w:tcPr>
            <w:tcW w:w="2790"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Adoption of any 1 enterprise</w:t>
            </w:r>
          </w:p>
        </w:tc>
        <w:tc>
          <w:tcPr>
            <w:tcW w:w="157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 (13.33%)</w:t>
            </w:r>
          </w:p>
        </w:tc>
        <w:tc>
          <w:tcPr>
            <w:tcW w:w="211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 (38.33%)</w:t>
            </w:r>
          </w:p>
        </w:tc>
      </w:tr>
      <w:tr w:rsidR="00341E20">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Adoption of any 2 enterprises</w:t>
            </w:r>
          </w:p>
        </w:tc>
        <w:tc>
          <w:tcPr>
            <w:tcW w:w="157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 (23.33%)</w:t>
            </w:r>
          </w:p>
        </w:tc>
        <w:tc>
          <w:tcPr>
            <w:tcW w:w="211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 (25.00%)</w:t>
            </w:r>
          </w:p>
        </w:tc>
      </w:tr>
      <w:tr w:rsidR="00341E20">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Adoption of any 3 enterprises</w:t>
            </w:r>
          </w:p>
        </w:tc>
        <w:tc>
          <w:tcPr>
            <w:tcW w:w="157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 (15.00%)</w:t>
            </w:r>
          </w:p>
        </w:tc>
        <w:tc>
          <w:tcPr>
            <w:tcW w:w="211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 (25.00%)</w:t>
            </w:r>
          </w:p>
        </w:tc>
      </w:tr>
      <w:tr w:rsidR="00341E20">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Adoption of any 4 enterprises</w:t>
            </w:r>
          </w:p>
        </w:tc>
        <w:tc>
          <w:tcPr>
            <w:tcW w:w="157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 (20.00%)</w:t>
            </w:r>
          </w:p>
        </w:tc>
        <w:tc>
          <w:tcPr>
            <w:tcW w:w="211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 (8.33%)</w:t>
            </w:r>
          </w:p>
        </w:tc>
      </w:tr>
      <w:tr w:rsidR="00341E20">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Adoption of all 5 enterprises</w:t>
            </w:r>
          </w:p>
        </w:tc>
        <w:tc>
          <w:tcPr>
            <w:tcW w:w="157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 (28.33%)</w:t>
            </w:r>
          </w:p>
        </w:tc>
        <w:tc>
          <w:tcPr>
            <w:tcW w:w="211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 (3.33%)</w:t>
            </w:r>
          </w:p>
        </w:tc>
      </w:tr>
      <w:tr w:rsidR="00341E20">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Mass Media Exposure</w:t>
            </w:r>
          </w:p>
        </w:tc>
        <w:tc>
          <w:tcPr>
            <w:tcW w:w="2790"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Low (</w:t>
            </w:r>
            <w:proofErr w:type="spellStart"/>
            <w:r>
              <w:rPr>
                <w:rFonts w:ascii="Times New Roman" w:eastAsia="Times New Roman" w:hAnsi="Times New Roman" w:cs="Times New Roman"/>
              </w:rPr>
              <w:t>upto</w:t>
            </w:r>
            <w:proofErr w:type="spellEnd"/>
            <w:r>
              <w:rPr>
                <w:rFonts w:ascii="Times New Roman" w:eastAsia="Times New Roman" w:hAnsi="Times New Roman" w:cs="Times New Roman"/>
              </w:rPr>
              <w:t xml:space="preserve"> 11 scores)</w:t>
            </w:r>
          </w:p>
        </w:tc>
        <w:tc>
          <w:tcPr>
            <w:tcW w:w="157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 (11.67%)</w:t>
            </w:r>
          </w:p>
        </w:tc>
        <w:tc>
          <w:tcPr>
            <w:tcW w:w="211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 (30.00%)</w:t>
            </w:r>
          </w:p>
        </w:tc>
      </w:tr>
      <w:tr w:rsidR="00341E20">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Medium (12-15 scores)</w:t>
            </w:r>
          </w:p>
        </w:tc>
        <w:tc>
          <w:tcPr>
            <w:tcW w:w="157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37 (61.67%)</w:t>
            </w:r>
          </w:p>
        </w:tc>
        <w:tc>
          <w:tcPr>
            <w:tcW w:w="211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36 (60.00%)</w:t>
            </w:r>
          </w:p>
        </w:tc>
      </w:tr>
      <w:tr w:rsidR="00341E20">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 (&gt;15 scores)</w:t>
            </w:r>
          </w:p>
        </w:tc>
        <w:tc>
          <w:tcPr>
            <w:tcW w:w="157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16 (26.67%)</w:t>
            </w:r>
          </w:p>
        </w:tc>
        <w:tc>
          <w:tcPr>
            <w:tcW w:w="211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 (10.00%)</w:t>
            </w:r>
          </w:p>
        </w:tc>
      </w:tr>
      <w:tr w:rsidR="00341E20">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Economic Motivation</w:t>
            </w:r>
          </w:p>
        </w:tc>
        <w:tc>
          <w:tcPr>
            <w:tcW w:w="2790" w:type="dxa"/>
            <w:tcBorders>
              <w:top w:val="single" w:sz="8" w:space="0" w:color="000000"/>
              <w:left w:val="single" w:sz="8" w:space="0" w:color="000000"/>
              <w:bottom w:val="single" w:sz="8" w:space="0" w:color="000000"/>
              <w:right w:val="single" w:sz="8" w:space="0" w:color="000000"/>
            </w:tcBorders>
          </w:tcPr>
          <w:p w:rsidR="00341E20" w:rsidRDefault="008A3070">
            <w:pPr>
              <w:spacing w:after="0" w:line="240" w:lineRule="auto"/>
              <w:jc w:val="center"/>
              <w:rPr>
                <w:rFonts w:ascii="Times New Roman" w:eastAsia="Times New Roman" w:hAnsi="Times New Roman" w:cs="Times New Roman"/>
              </w:rPr>
            </w:pPr>
            <w:sdt>
              <w:sdtPr>
                <w:tag w:val="goog_rdk_2"/>
                <w:id w:val="390746070"/>
              </w:sdtPr>
              <w:sdtEndPr/>
              <w:sdtContent>
                <w:r w:rsidR="00E91A95">
                  <w:rPr>
                    <w:rFonts w:ascii="Gungsuh" w:eastAsia="Gungsuh" w:hAnsi="Gungsuh" w:cs="Gungsuh"/>
                  </w:rPr>
                  <w:t>Low (≤20 scores)</w:t>
                </w:r>
              </w:sdtContent>
            </w:sdt>
          </w:p>
        </w:tc>
        <w:tc>
          <w:tcPr>
            <w:tcW w:w="157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 (11.67%)</w:t>
            </w:r>
          </w:p>
        </w:tc>
        <w:tc>
          <w:tcPr>
            <w:tcW w:w="211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 (16.67%)</w:t>
            </w:r>
          </w:p>
        </w:tc>
      </w:tr>
      <w:tr w:rsidR="00341E20">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Medium (21–25 scores)</w:t>
            </w:r>
          </w:p>
        </w:tc>
        <w:tc>
          <w:tcPr>
            <w:tcW w:w="157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42 (70.00%)</w:t>
            </w:r>
          </w:p>
        </w:tc>
        <w:tc>
          <w:tcPr>
            <w:tcW w:w="211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41 (68.33%)</w:t>
            </w:r>
          </w:p>
        </w:tc>
      </w:tr>
      <w:tr w:rsidR="00341E20">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 (&gt;25 scores)</w:t>
            </w:r>
          </w:p>
        </w:tc>
        <w:tc>
          <w:tcPr>
            <w:tcW w:w="157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 (18.33%)</w:t>
            </w:r>
          </w:p>
        </w:tc>
        <w:tc>
          <w:tcPr>
            <w:tcW w:w="211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 (15.00%)</w:t>
            </w:r>
          </w:p>
        </w:tc>
      </w:tr>
      <w:tr w:rsidR="00341E20">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Scientific Orientation</w:t>
            </w:r>
          </w:p>
        </w:tc>
        <w:tc>
          <w:tcPr>
            <w:tcW w:w="2790" w:type="dxa"/>
            <w:tcBorders>
              <w:top w:val="single" w:sz="8" w:space="0" w:color="000000"/>
              <w:left w:val="single" w:sz="8" w:space="0" w:color="000000"/>
              <w:bottom w:val="single" w:sz="8" w:space="0" w:color="000000"/>
              <w:right w:val="single" w:sz="8" w:space="0" w:color="000000"/>
            </w:tcBorders>
          </w:tcPr>
          <w:p w:rsidR="00341E20" w:rsidRDefault="008A3070">
            <w:pPr>
              <w:spacing w:after="0" w:line="240" w:lineRule="auto"/>
              <w:jc w:val="center"/>
              <w:rPr>
                <w:rFonts w:ascii="Times New Roman" w:eastAsia="Times New Roman" w:hAnsi="Times New Roman" w:cs="Times New Roman"/>
              </w:rPr>
            </w:pPr>
            <w:sdt>
              <w:sdtPr>
                <w:tag w:val="goog_rdk_3"/>
                <w:id w:val="-2094840157"/>
              </w:sdtPr>
              <w:sdtEndPr/>
              <w:sdtContent>
                <w:r w:rsidR="00E91A95">
                  <w:rPr>
                    <w:rFonts w:ascii="Gungsuh" w:eastAsia="Gungsuh" w:hAnsi="Gungsuh" w:cs="Gungsuh"/>
                  </w:rPr>
                  <w:t>Low (≤19 scores)</w:t>
                </w:r>
              </w:sdtContent>
            </w:sdt>
          </w:p>
        </w:tc>
        <w:tc>
          <w:tcPr>
            <w:tcW w:w="157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 (6.67%)</w:t>
            </w:r>
          </w:p>
        </w:tc>
        <w:tc>
          <w:tcPr>
            <w:tcW w:w="211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 (10.00%)</w:t>
            </w:r>
          </w:p>
        </w:tc>
      </w:tr>
      <w:tr w:rsidR="00341E20">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Medium (20–24 scores)</w:t>
            </w:r>
          </w:p>
        </w:tc>
        <w:tc>
          <w:tcPr>
            <w:tcW w:w="157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43 (71.67%)</w:t>
            </w:r>
          </w:p>
        </w:tc>
        <w:tc>
          <w:tcPr>
            <w:tcW w:w="211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47 (78.33%)</w:t>
            </w:r>
          </w:p>
        </w:tc>
      </w:tr>
      <w:tr w:rsidR="00341E20">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 (&gt;24 scores)</w:t>
            </w:r>
          </w:p>
        </w:tc>
        <w:tc>
          <w:tcPr>
            <w:tcW w:w="157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 (21.67%)</w:t>
            </w:r>
          </w:p>
        </w:tc>
        <w:tc>
          <w:tcPr>
            <w:tcW w:w="211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 (11.67%)</w:t>
            </w:r>
          </w:p>
        </w:tc>
      </w:tr>
      <w:tr w:rsidR="00341E20">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Risk Orientation</w:t>
            </w:r>
          </w:p>
        </w:tc>
        <w:tc>
          <w:tcPr>
            <w:tcW w:w="2790" w:type="dxa"/>
            <w:tcBorders>
              <w:top w:val="single" w:sz="8" w:space="0" w:color="000000"/>
              <w:left w:val="single" w:sz="8" w:space="0" w:color="000000"/>
              <w:bottom w:val="single" w:sz="8" w:space="0" w:color="000000"/>
              <w:right w:val="single" w:sz="8" w:space="0" w:color="000000"/>
            </w:tcBorders>
          </w:tcPr>
          <w:p w:rsidR="00341E20" w:rsidRDefault="008A3070">
            <w:pPr>
              <w:spacing w:after="0" w:line="240" w:lineRule="auto"/>
              <w:jc w:val="center"/>
              <w:rPr>
                <w:rFonts w:ascii="Times New Roman" w:eastAsia="Times New Roman" w:hAnsi="Times New Roman" w:cs="Times New Roman"/>
              </w:rPr>
            </w:pPr>
            <w:sdt>
              <w:sdtPr>
                <w:tag w:val="goog_rdk_4"/>
                <w:id w:val="56346784"/>
              </w:sdtPr>
              <w:sdtEndPr/>
              <w:sdtContent>
                <w:r w:rsidR="00E91A95">
                  <w:rPr>
                    <w:rFonts w:ascii="Gungsuh" w:eastAsia="Gungsuh" w:hAnsi="Gungsuh" w:cs="Gungsuh"/>
                  </w:rPr>
                  <w:t>Low (≤14 scores)</w:t>
                </w:r>
              </w:sdtContent>
            </w:sdt>
          </w:p>
        </w:tc>
        <w:tc>
          <w:tcPr>
            <w:tcW w:w="157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 (15.00%)</w:t>
            </w:r>
          </w:p>
        </w:tc>
        <w:tc>
          <w:tcPr>
            <w:tcW w:w="211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 (21.67%)</w:t>
            </w:r>
          </w:p>
        </w:tc>
      </w:tr>
      <w:tr w:rsidR="00341E20">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Medium (15–19 scores)</w:t>
            </w:r>
          </w:p>
        </w:tc>
        <w:tc>
          <w:tcPr>
            <w:tcW w:w="157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36 (60.00%)</w:t>
            </w:r>
          </w:p>
        </w:tc>
        <w:tc>
          <w:tcPr>
            <w:tcW w:w="211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41 (68.33%)</w:t>
            </w:r>
          </w:p>
        </w:tc>
      </w:tr>
      <w:tr w:rsidR="00341E20">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341E20" w:rsidRDefault="00341E20">
            <w:pPr>
              <w:widowControl w:val="0"/>
              <w:pBdr>
                <w:top w:val="nil"/>
                <w:left w:val="nil"/>
                <w:bottom w:val="nil"/>
                <w:right w:val="nil"/>
                <w:between w:val="nil"/>
              </w:pBdr>
              <w:spacing w:after="0"/>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 (&gt;19 scores)</w:t>
            </w:r>
          </w:p>
        </w:tc>
        <w:tc>
          <w:tcPr>
            <w:tcW w:w="157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 (25.00%)</w:t>
            </w:r>
          </w:p>
        </w:tc>
        <w:tc>
          <w:tcPr>
            <w:tcW w:w="2115" w:type="dxa"/>
            <w:tcBorders>
              <w:top w:val="single" w:sz="8" w:space="0" w:color="000000"/>
              <w:left w:val="single" w:sz="8" w:space="0" w:color="000000"/>
              <w:bottom w:val="single" w:sz="8" w:space="0" w:color="000000"/>
              <w:right w:val="single" w:sz="8" w:space="0" w:color="000000"/>
            </w:tcBorders>
          </w:tcPr>
          <w:p w:rsidR="00341E20" w:rsidRDefault="00E91A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 (10.00%)</w:t>
            </w:r>
          </w:p>
        </w:tc>
      </w:tr>
    </w:tbl>
    <w:p w:rsidR="00341E20" w:rsidRDefault="00E91A95">
      <w:pPr>
        <w:spacing w:before="120"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The data presented in Table 1 shows the percentage distribution of beneficiaries and non-beneficiaries according to their categories.</w:t>
      </w:r>
    </w:p>
    <w:p w:rsidR="00341E20" w:rsidRDefault="00E91A95">
      <w:pPr>
        <w:pStyle w:val="Heading2"/>
        <w:keepNext w:val="0"/>
        <w:keepLines w:val="0"/>
        <w:spacing w:before="360" w:after="80" w:line="240" w:lineRule="auto"/>
        <w:jc w:val="both"/>
        <w:rPr>
          <w:rFonts w:ascii="Times New Roman" w:eastAsia="Times New Roman" w:hAnsi="Times New Roman" w:cs="Times New Roman"/>
          <w:color w:val="000000"/>
          <w:sz w:val="22"/>
          <w:szCs w:val="22"/>
        </w:rPr>
      </w:pPr>
      <w:bookmarkStart w:id="3" w:name="_heading=h.fxctiduquyzh" w:colFirst="0" w:colLast="0"/>
      <w:bookmarkEnd w:id="3"/>
      <w:r>
        <w:rPr>
          <w:rFonts w:ascii="Times New Roman" w:eastAsia="Times New Roman" w:hAnsi="Times New Roman" w:cs="Times New Roman"/>
          <w:color w:val="000000"/>
          <w:sz w:val="22"/>
          <w:szCs w:val="22"/>
        </w:rPr>
        <w:t>Socio-economic characteristics of respondents</w:t>
      </w:r>
    </w:p>
    <w:p w:rsidR="00341E20" w:rsidRDefault="00E91A95">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The data indicated that the majority of both beneficiary (48.33%) and non-beneficiary farmers (58.33%) belonged to the middle-age</w:t>
      </w:r>
      <w:r w:rsidR="008A3070">
        <w:rPr>
          <w:rFonts w:ascii="Times New Roman" w:eastAsia="Times New Roman" w:hAnsi="Times New Roman" w:cs="Times New Roman"/>
        </w:rPr>
        <w:t>d</w:t>
      </w:r>
      <w:r>
        <w:rPr>
          <w:rFonts w:ascii="Times New Roman" w:eastAsia="Times New Roman" w:hAnsi="Times New Roman" w:cs="Times New Roman"/>
        </w:rPr>
        <w:t xml:space="preserve"> group. However, a higher proportion of beneficiaries (31.67%) w</w:t>
      </w:r>
      <w:r w:rsidR="008A3070">
        <w:rPr>
          <w:rFonts w:ascii="Times New Roman" w:eastAsia="Times New Roman" w:hAnsi="Times New Roman" w:cs="Times New Roman"/>
        </w:rPr>
        <w:t>as</w:t>
      </w:r>
      <w:r>
        <w:rPr>
          <w:rFonts w:ascii="Times New Roman" w:eastAsia="Times New Roman" w:hAnsi="Times New Roman" w:cs="Times New Roman"/>
        </w:rPr>
        <w:t xml:space="preserve"> found in the young age category compared to non-beneficiaries (16.67%). Younger farmers are generally more receptive to new technologies and agricultural innovations, which may facilitate greater participation in development </w:t>
      </w:r>
      <w:proofErr w:type="spellStart"/>
      <w:r>
        <w:rPr>
          <w:rFonts w:ascii="Times New Roman" w:eastAsia="Times New Roman" w:hAnsi="Times New Roman" w:cs="Times New Roman"/>
        </w:rPr>
        <w:t>programmes</w:t>
      </w:r>
      <w:proofErr w:type="spellEnd"/>
      <w:r>
        <w:rPr>
          <w:rFonts w:ascii="Times New Roman" w:eastAsia="Times New Roman" w:hAnsi="Times New Roman" w:cs="Times New Roman"/>
        </w:rPr>
        <w:t>.</w:t>
      </w:r>
    </w:p>
    <w:p w:rsidR="00341E20" w:rsidRDefault="00E91A95">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In terms of education, beneficiary farmers were comparatively better educated than non-beneficiaries. Among beneficiaries, the highest proportion (33.33%) were graduates, followed by farmers with high school (21.67%) and middle school education (16.67%). In contrast, most non-beneficiaries (28.33%) could only read and write, while a smaller proportion (10.00%) had graduate-level education. Higher educational attainment among beneficiaries may have improved their ability to access and utilize agricultural information and technologies.</w:t>
      </w:r>
    </w:p>
    <w:p w:rsidR="00341E20" w:rsidRDefault="00E91A95">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Regarding landholding size, most respondents in both groups belonged to the small and marginal farmer categories. Among beneficiaries, 35.00% were small farmers and 31.67% were marginal farmers. Similarly, among non-beneficiaries, 31.67% were small farmers and 28.33% were marginal farmers. This indicates that integrated farming practices are particularly relevant for farmers with limited land resources.</w:t>
      </w:r>
    </w:p>
    <w:p w:rsidR="00341E20" w:rsidRDefault="00E91A95">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The distribution of respondents according to family size showed that the majority of farmers in both groups had medium-sized families. Among beneficiaries, 48.33% had medium family size, followed by 36.67% with small families. A similar pattern was observed among non-beneficiaries, where 41.67% had medium family size and 38.33% had small families. Medium family size may contribute positively to farm labor availability.</w:t>
      </w:r>
    </w:p>
    <w:p w:rsidR="00341E20" w:rsidRDefault="00E91A95">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The experience of farmers with Integrated Farming Systems (IFS) also differed between the two groups. Among beneficiaries, 40.00% had medium IFS experience and 36.67% had high experience. In comparison, a larger proportion of non-beneficiaries (38.33%) fell under the low experience category. This suggests that beneficiaries had greater exposure to integrated farming practices.</w:t>
      </w:r>
    </w:p>
    <w:p w:rsidR="00341E20" w:rsidRDefault="00E91A95">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Income distribution revealed that most respondents belonged to the medium income category. However, the proportion of farmers in the high</w:t>
      </w:r>
      <w:r w:rsidR="008A3070">
        <w:rPr>
          <w:rFonts w:ascii="Times New Roman" w:eastAsia="Times New Roman" w:hAnsi="Times New Roman" w:cs="Times New Roman"/>
        </w:rPr>
        <w:t>-</w:t>
      </w:r>
      <w:r>
        <w:rPr>
          <w:rFonts w:ascii="Times New Roman" w:eastAsia="Times New Roman" w:hAnsi="Times New Roman" w:cs="Times New Roman"/>
        </w:rPr>
        <w:t xml:space="preserve">income category was higher among beneficiaries (33.33%) compared to non-beneficiaries (10.00%). This difference suggests that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participation may contribute to improved income opportunities through diversified farming enterprises.</w:t>
      </w:r>
    </w:p>
    <w:p w:rsidR="00341E20" w:rsidRDefault="00E91A95">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Information source utilization was found to be moderate among most respondents in both groups (71.67%). However, beneficiaries showed slightly higher levels of high information utilization (16.67%) compared to non-beneficiaries (11.67%). Access to information sources plays a crucial role in improving farmers’ awareness and adoption of improved agricultural practices.</w:t>
      </w:r>
    </w:p>
    <w:p w:rsidR="00341E20" w:rsidRDefault="00E91A95">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analysis of enterprise combinations revealed a clear difference between the two groups. Among beneficiaries, 28.33% adopted all five enterprise combinations under the Integrated Farming System, whereas only 3.33% of non-beneficiaries adopted all five enterprises. Conversely, a larger proportion of non-beneficiaries (38.33%) </w:t>
      </w:r>
      <w:proofErr w:type="spellStart"/>
      <w:r>
        <w:rPr>
          <w:rFonts w:ascii="Times New Roman" w:eastAsia="Times New Roman" w:hAnsi="Times New Roman" w:cs="Times New Roman"/>
        </w:rPr>
        <w:t>practi</w:t>
      </w:r>
      <w:r w:rsidR="008A3070">
        <w:rPr>
          <w:rFonts w:ascii="Times New Roman" w:eastAsia="Times New Roman" w:hAnsi="Times New Roman" w:cs="Times New Roman"/>
        </w:rPr>
        <w:t>s</w:t>
      </w:r>
      <w:r>
        <w:rPr>
          <w:rFonts w:ascii="Times New Roman" w:eastAsia="Times New Roman" w:hAnsi="Times New Roman" w:cs="Times New Roman"/>
        </w:rPr>
        <w:t>ed</w:t>
      </w:r>
      <w:proofErr w:type="spellEnd"/>
      <w:r>
        <w:rPr>
          <w:rFonts w:ascii="Times New Roman" w:eastAsia="Times New Roman" w:hAnsi="Times New Roman" w:cs="Times New Roman"/>
        </w:rPr>
        <w:t xml:space="preserve"> only a single enterprise. This finding highlights the role of FFP in promoting diversified farming systems.</w:t>
      </w:r>
    </w:p>
    <w:p w:rsidR="00341E20" w:rsidRDefault="00E91A95">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Extension contact levels were mostly moderate among both groups. Among beneficiaries, 66.67% had medium extension contact and 20.00% had high contact. In comparison, only 13.00% of non-</w:t>
      </w:r>
      <w:r>
        <w:rPr>
          <w:rFonts w:ascii="Times New Roman" w:eastAsia="Times New Roman" w:hAnsi="Times New Roman" w:cs="Times New Roman"/>
        </w:rPr>
        <w:lastRenderedPageBreak/>
        <w:t>beneficiaries reported high extension contact. Increased interaction with extension personnel may enhance farmers’ access to technical guidance and new technologies.</w:t>
      </w:r>
    </w:p>
    <w:p w:rsidR="00341E20" w:rsidRDefault="00E91A95">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Mass media exposure also showed noticeable variation. Among beneficiaries, 26.67% had high exposure to mass media, while only 10.00% of non-beneficiaries fell into this category. Mass media plays an important role in disseminating agricultural knowledge and awareness of improved practices.</w:t>
      </w:r>
    </w:p>
    <w:p w:rsidR="00341E20" w:rsidRDefault="00E91A95">
      <w:pPr>
        <w:pStyle w:val="Heading2"/>
        <w:keepNext w:val="0"/>
        <w:keepLines w:val="0"/>
        <w:spacing w:before="360" w:after="80" w:line="240" w:lineRule="auto"/>
        <w:jc w:val="both"/>
        <w:rPr>
          <w:rFonts w:ascii="Times New Roman" w:eastAsia="Times New Roman" w:hAnsi="Times New Roman" w:cs="Times New Roman"/>
          <w:color w:val="000000"/>
          <w:sz w:val="22"/>
          <w:szCs w:val="22"/>
        </w:rPr>
      </w:pPr>
      <w:bookmarkStart w:id="4" w:name="_heading=h.pdpzjamxvjvo" w:colFirst="0" w:colLast="0"/>
      <w:bookmarkEnd w:id="4"/>
      <w:r>
        <w:rPr>
          <w:rFonts w:ascii="Times New Roman" w:eastAsia="Times New Roman" w:hAnsi="Times New Roman" w:cs="Times New Roman"/>
          <w:color w:val="000000"/>
          <w:sz w:val="22"/>
          <w:szCs w:val="22"/>
        </w:rPr>
        <w:t>Psychological characteristics of respondents</w:t>
      </w:r>
    </w:p>
    <w:p w:rsidR="00341E20" w:rsidRDefault="00E91A95">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The psychological attributes of farmers also showed differences between beneficiaries and non-beneficiaries.</w:t>
      </w:r>
    </w:p>
    <w:p w:rsidR="00341E20" w:rsidRDefault="00E91A95">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With regard to economic motivation, the majority of farmers in both groups exhibited a medium level of motivation. Among beneficiaries, 70.00% had medium economic motivation and 18.33% had high motivation. Among non-beneficiaries, 68.33% had medium motivation while 15.00% had high motivation. Participation in the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may enhance farmers’ interest in improving income through diversified agricultural activities.</w:t>
      </w:r>
    </w:p>
    <w:p w:rsidR="00341E20" w:rsidRDefault="00E91A95">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Scientific orientation among beneficiaries was relatively higher compared to non-beneficiaries. While the majority of farmers in both groups had medium scientific orientation, a higher proportion of beneficiaries (21.67%) exhibited a high level of scientific orientation compared to non-beneficiaries (11.67%). This indicates that beneficiaries were more inclined toward adopting scientifically recommended farming practices.</w:t>
      </w:r>
    </w:p>
    <w:p w:rsidR="00341E20" w:rsidRDefault="00E91A95">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Risk orientation also varied between the two groups. Among beneficiaries, 25.00% of farmers showed high risk orientation, whereas only 10.00% of non-beneficiaries fell into this category. Farmers participating in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may develop greater confidence in trying new technologies due to training, demonstrations and extension support.</w:t>
      </w:r>
    </w:p>
    <w:p w:rsidR="00341E20" w:rsidRDefault="00E91A95">
      <w:pPr>
        <w:pStyle w:val="Heading2"/>
        <w:keepNext w:val="0"/>
        <w:keepLines w:val="0"/>
        <w:spacing w:before="360" w:after="80" w:line="240" w:lineRule="auto"/>
        <w:jc w:val="both"/>
        <w:rPr>
          <w:rFonts w:ascii="Times New Roman" w:eastAsia="Times New Roman" w:hAnsi="Times New Roman" w:cs="Times New Roman"/>
          <w:color w:val="000000"/>
          <w:sz w:val="22"/>
          <w:szCs w:val="22"/>
        </w:rPr>
      </w:pPr>
      <w:bookmarkStart w:id="5" w:name="_heading=h.6um1hlaxbm6d" w:colFirst="0" w:colLast="0"/>
      <w:bookmarkEnd w:id="5"/>
      <w:r>
        <w:rPr>
          <w:rFonts w:ascii="Times New Roman" w:eastAsia="Times New Roman" w:hAnsi="Times New Roman" w:cs="Times New Roman"/>
          <w:color w:val="000000"/>
          <w:sz w:val="22"/>
          <w:szCs w:val="22"/>
        </w:rPr>
        <w:t>Overall interpretation</w:t>
      </w:r>
    </w:p>
    <w:p w:rsidR="00341E20" w:rsidRDefault="00E91A95">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Overall, the findings demonstrate that farmers participating in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possess comparatively better socio-economic conditions and stronger psychological attributes than non-beneficiaries. Beneficiaries showed higher educational levels, greater enterprise diversification, stronger extension contact, improved information access and higher income levels. They also exhibited higher economic motivation, scientific orientation and risk-taking ability.</w:t>
      </w:r>
    </w:p>
    <w:p w:rsidR="00341E20" w:rsidRDefault="00E91A95">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These results indicate that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has played a positive role in strengthening farmers’ capacity to adopt integrated farming practices and improve their livelihood outcomes.</w:t>
      </w:r>
    </w:p>
    <w:p w:rsidR="00341E20" w:rsidRDefault="00E91A95">
      <w:pPr>
        <w:spacing w:before="240" w:after="120" w:line="240" w:lineRule="auto"/>
        <w:jc w:val="both"/>
        <w:rPr>
          <w:rFonts w:ascii="Times New Roman" w:eastAsia="Times New Roman" w:hAnsi="Times New Roman" w:cs="Times New Roman"/>
          <w:b/>
          <w:bCs/>
        </w:rPr>
      </w:pPr>
      <w:bookmarkStart w:id="6" w:name="_heading=h.uy5jh9nqk7bc" w:colFirst="0" w:colLast="0"/>
      <w:bookmarkEnd w:id="6"/>
      <w:r>
        <w:rPr>
          <w:rFonts w:ascii="Times New Roman" w:eastAsia="Times New Roman" w:hAnsi="Times New Roman" w:cs="Times New Roman"/>
          <w:b/>
          <w:bCs/>
        </w:rPr>
        <w:t>Conclusion</w:t>
      </w:r>
    </w:p>
    <w:p w:rsidR="00341E20" w:rsidRDefault="00E91A9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study revealed distinct differences between beneficiaries and non-beneficiaries of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in terms</w:t>
      </w:r>
      <w:bookmarkStart w:id="7" w:name="_GoBack"/>
      <w:bookmarkEnd w:id="7"/>
      <w:r>
        <w:rPr>
          <w:rFonts w:ascii="Times New Roman" w:eastAsia="Times New Roman" w:hAnsi="Times New Roman" w:cs="Times New Roman"/>
        </w:rPr>
        <w:t xml:space="preserve"> of socio-economic and psychological</w:t>
      </w:r>
      <w:r w:rsidR="008A3070">
        <w:rPr>
          <w:rFonts w:ascii="Times New Roman" w:eastAsia="Times New Roman" w:hAnsi="Times New Roman" w:cs="Times New Roman"/>
        </w:rPr>
        <w:t>ly</w:t>
      </w:r>
      <w:r>
        <w:rPr>
          <w:rFonts w:ascii="Times New Roman" w:eastAsia="Times New Roman" w:hAnsi="Times New Roman" w:cs="Times New Roman"/>
        </w:rPr>
        <w:t xml:space="preserve"> related characteristics. Beneficiaries were generally better educated, had higher annual incomes, greater IFS experience, stronger extension contact and wider enterprise combinations compared to non-beneficiaries. They also exhibited higher levels of economic motivation, scientific orientation and risk orientation, highlighting the positive impact of FFP interventions such as training, demonstrations and participatory approaches. These findings suggest that strengthening </w:t>
      </w:r>
      <w:proofErr w:type="spellStart"/>
      <w:r>
        <w:rPr>
          <w:rFonts w:ascii="Times New Roman" w:eastAsia="Times New Roman" w:hAnsi="Times New Roman" w:cs="Times New Roman"/>
        </w:rPr>
        <w:t>programmes</w:t>
      </w:r>
      <w:proofErr w:type="spellEnd"/>
      <w:r>
        <w:rPr>
          <w:rFonts w:ascii="Times New Roman" w:eastAsia="Times New Roman" w:hAnsi="Times New Roman" w:cs="Times New Roman"/>
        </w:rPr>
        <w:t xml:space="preserve"> like FFP can play </w:t>
      </w:r>
      <w:r>
        <w:rPr>
          <w:rFonts w:ascii="Times New Roman" w:eastAsia="Times New Roman" w:hAnsi="Times New Roman" w:cs="Times New Roman"/>
        </w:rPr>
        <w:lastRenderedPageBreak/>
        <w:t>a pivotal role in empowering farmers, enhancing livelihood security and promoting sustainable agricultural development.</w:t>
      </w:r>
    </w:p>
    <w:p w:rsidR="004F13B5" w:rsidRDefault="004F13B5">
      <w:pPr>
        <w:spacing w:after="0" w:line="240" w:lineRule="auto"/>
        <w:ind w:firstLine="720"/>
        <w:jc w:val="both"/>
        <w:rPr>
          <w:rFonts w:ascii="Times New Roman" w:eastAsia="Times New Roman" w:hAnsi="Times New Roman" w:cs="Times New Roman"/>
          <w:b/>
          <w:bCs/>
        </w:rPr>
      </w:pPr>
    </w:p>
    <w:p w:rsidR="00BF628E" w:rsidRPr="00BF628E" w:rsidRDefault="00BF628E" w:rsidP="00BF628E">
      <w:pPr>
        <w:rPr>
          <w:rFonts w:ascii="Calibri" w:eastAsia="Calibri" w:hAnsi="Calibri" w:cs="Times New Roman"/>
          <w:b/>
          <w:kern w:val="2"/>
          <w:lang w:val="en-US" w:eastAsia="en-US"/>
          <w14:ligatures w14:val="standardContextual"/>
        </w:rPr>
      </w:pPr>
      <w:r w:rsidRPr="00BF628E">
        <w:rPr>
          <w:rFonts w:ascii="Calibri" w:eastAsia="Calibri" w:hAnsi="Calibri" w:cs="Times New Roman"/>
          <w:b/>
          <w:kern w:val="2"/>
          <w:lang w:val="en-US" w:eastAsia="en-US"/>
          <w14:ligatures w14:val="standardContextual"/>
        </w:rPr>
        <w:t>Disclaimer (Artificial intelligence)</w:t>
      </w:r>
    </w:p>
    <w:p w:rsidR="00BF628E" w:rsidRPr="00BF628E" w:rsidRDefault="00BF628E" w:rsidP="00BF628E">
      <w:pPr>
        <w:rPr>
          <w:rFonts w:ascii="Calibri" w:eastAsia="Calibri" w:hAnsi="Calibri" w:cs="Times New Roman"/>
          <w:kern w:val="2"/>
          <w:lang w:val="en-US" w:eastAsia="en-US"/>
          <w14:ligatures w14:val="standardContextual"/>
        </w:rPr>
      </w:pPr>
      <w:r w:rsidRPr="00BF628E">
        <w:rPr>
          <w:rFonts w:ascii="Calibri" w:eastAsia="Calibri" w:hAnsi="Calibri" w:cs="Times New Roman"/>
          <w:kern w:val="2"/>
          <w:lang w:val="en-US" w:eastAsia="en-US"/>
          <w14:ligatures w14:val="standardContextual"/>
        </w:rPr>
        <w:t>Author(s) hereby declare that NO generative AI technologies such as Large Language Models (</w:t>
      </w:r>
      <w:proofErr w:type="spellStart"/>
      <w:r w:rsidRPr="00BF628E">
        <w:rPr>
          <w:rFonts w:ascii="Calibri" w:eastAsia="Calibri" w:hAnsi="Calibri" w:cs="Times New Roman"/>
          <w:kern w:val="2"/>
          <w:lang w:val="en-US" w:eastAsia="en-US"/>
          <w14:ligatures w14:val="standardContextual"/>
        </w:rPr>
        <w:t>ChatGPT</w:t>
      </w:r>
      <w:proofErr w:type="spellEnd"/>
      <w:r w:rsidRPr="00BF628E">
        <w:rPr>
          <w:rFonts w:ascii="Calibri" w:eastAsia="Calibri" w:hAnsi="Calibri" w:cs="Times New Roman"/>
          <w:kern w:val="2"/>
          <w:lang w:val="en-US" w:eastAsia="en-US"/>
          <w14:ligatures w14:val="standardContextual"/>
        </w:rPr>
        <w:t xml:space="preserve">, COPILOT, etc.) and text-to-image generators have been used during the writing or editing of this manuscript. </w:t>
      </w:r>
    </w:p>
    <w:p w:rsidR="00BF628E" w:rsidRPr="00BF628E" w:rsidRDefault="00BF628E" w:rsidP="00BF628E">
      <w:pPr>
        <w:rPr>
          <w:rFonts w:ascii="Calibri" w:eastAsia="Calibri" w:hAnsi="Calibri" w:cs="Times New Roman"/>
          <w:kern w:val="2"/>
          <w:lang w:val="en-US" w:eastAsia="en-US"/>
          <w14:ligatures w14:val="standardContextual"/>
        </w:rPr>
      </w:pPr>
    </w:p>
    <w:p w:rsidR="004F13B5" w:rsidRDefault="004F13B5">
      <w:pPr>
        <w:spacing w:after="0" w:line="240" w:lineRule="auto"/>
        <w:ind w:firstLine="720"/>
        <w:jc w:val="both"/>
        <w:rPr>
          <w:rFonts w:ascii="Times New Roman" w:eastAsia="Times New Roman" w:hAnsi="Times New Roman" w:cs="Times New Roman"/>
          <w:b/>
          <w:bCs/>
        </w:rPr>
      </w:pPr>
    </w:p>
    <w:p w:rsidR="00341E20" w:rsidRDefault="00E91A95">
      <w:pPr>
        <w:spacing w:before="240" w:after="120" w:line="240" w:lineRule="auto"/>
        <w:jc w:val="both"/>
        <w:rPr>
          <w:rFonts w:ascii="Times New Roman" w:eastAsia="Times New Roman" w:hAnsi="Times New Roman" w:cs="Times New Roman"/>
          <w:b/>
          <w:bCs/>
        </w:rPr>
      </w:pPr>
      <w:r>
        <w:rPr>
          <w:rFonts w:ascii="Times New Roman" w:eastAsia="Times New Roman" w:hAnsi="Times New Roman" w:cs="Times New Roman"/>
          <w:b/>
          <w:bCs/>
        </w:rPr>
        <w:t>References</w:t>
      </w:r>
    </w:p>
    <w:p w:rsidR="00341E20" w:rsidRDefault="00E91A95">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bookmarkStart w:id="8" w:name="_heading=h.mqh0dzovv9i3" w:colFirst="0" w:colLast="0"/>
      <w:bookmarkEnd w:id="8"/>
      <w:r>
        <w:rPr>
          <w:rFonts w:ascii="Times New Roman" w:eastAsia="Times New Roman" w:hAnsi="Times New Roman" w:cs="Times New Roman"/>
          <w:color w:val="000000"/>
        </w:rPr>
        <w:t xml:space="preserve">Abbasi, I. A., Shamim, A., Shad, M. K., </w:t>
      </w:r>
      <w:proofErr w:type="spellStart"/>
      <w:r>
        <w:rPr>
          <w:rFonts w:ascii="Times New Roman" w:eastAsia="Times New Roman" w:hAnsi="Times New Roman" w:cs="Times New Roman"/>
          <w:color w:val="000000"/>
        </w:rPr>
        <w:t>Ashari</w:t>
      </w:r>
      <w:proofErr w:type="spellEnd"/>
      <w:r>
        <w:rPr>
          <w:rFonts w:ascii="Times New Roman" w:eastAsia="Times New Roman" w:hAnsi="Times New Roman" w:cs="Times New Roman"/>
          <w:color w:val="000000"/>
        </w:rPr>
        <w:t xml:space="preserve">, H., &amp; Yusuf, I. (2024) Circular economy-based integrated farming system for indigenous chicken: fostering food security and sustainability. Journal of Cleaner Production:140368. DOI: </w:t>
      </w:r>
      <w:hyperlink r:id="rId8">
        <w:r>
          <w:rPr>
            <w:rFonts w:ascii="Times New Roman" w:eastAsia="Times New Roman" w:hAnsi="Times New Roman" w:cs="Times New Roman"/>
            <w:color w:val="0000FF"/>
          </w:rPr>
          <w:t>10.1016/j.jclepro.2023.140368</w:t>
        </w:r>
      </w:hyperlink>
    </w:p>
    <w:p w:rsidR="00341E20" w:rsidRDefault="00E91A95">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Afi</w:t>
      </w:r>
      <w:proofErr w:type="spellEnd"/>
      <w:r>
        <w:rPr>
          <w:rFonts w:ascii="Times New Roman" w:eastAsia="Times New Roman" w:hAnsi="Times New Roman" w:cs="Times New Roman"/>
          <w:color w:val="000000"/>
        </w:rPr>
        <w:t xml:space="preserve">, M., &amp; Parsons, J. (2023) Integrated vs. specialized farming systems for sustainable food production: comparative analysis of systems’ technical efficiency in Nebraska. Sustainability 15(6):5413. DOI: </w:t>
      </w:r>
      <w:hyperlink r:id="rId9">
        <w:r>
          <w:rPr>
            <w:rFonts w:ascii="Times New Roman" w:eastAsia="Times New Roman" w:hAnsi="Times New Roman" w:cs="Times New Roman"/>
            <w:color w:val="0000FF"/>
          </w:rPr>
          <w:t>10.3390/su15065413</w:t>
        </w:r>
      </w:hyperlink>
      <w:r>
        <w:rPr>
          <w:rFonts w:ascii="Times New Roman" w:eastAsia="Times New Roman" w:hAnsi="Times New Roman" w:cs="Times New Roman"/>
          <w:color w:val="000000"/>
        </w:rPr>
        <w:t xml:space="preserve"> </w:t>
      </w:r>
    </w:p>
    <w:p w:rsidR="00341E20" w:rsidRDefault="00E91A95">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Aguilera, E., Díaz-</w:t>
      </w:r>
      <w:proofErr w:type="spellStart"/>
      <w:r>
        <w:rPr>
          <w:rFonts w:ascii="Times New Roman" w:eastAsia="Times New Roman" w:hAnsi="Times New Roman" w:cs="Times New Roman"/>
          <w:color w:val="000000"/>
        </w:rPr>
        <w:t>Gaona</w:t>
      </w:r>
      <w:proofErr w:type="spellEnd"/>
      <w:r>
        <w:rPr>
          <w:rFonts w:ascii="Times New Roman" w:eastAsia="Times New Roman" w:hAnsi="Times New Roman" w:cs="Times New Roman"/>
          <w:color w:val="000000"/>
        </w:rPr>
        <w:t>, C., García-Laureano, R., Reyes-</w:t>
      </w:r>
      <w:proofErr w:type="spellStart"/>
      <w:r>
        <w:rPr>
          <w:rFonts w:ascii="Times New Roman" w:eastAsia="Times New Roman" w:hAnsi="Times New Roman" w:cs="Times New Roman"/>
          <w:color w:val="000000"/>
        </w:rPr>
        <w:t>Palomo</w:t>
      </w:r>
      <w:proofErr w:type="spellEnd"/>
      <w:r>
        <w:rPr>
          <w:rFonts w:ascii="Times New Roman" w:eastAsia="Times New Roman" w:hAnsi="Times New Roman" w:cs="Times New Roman"/>
          <w:color w:val="000000"/>
        </w:rPr>
        <w:t>, C., Guzmán, G. I., Ortolani, L., Sánchez-Rodríguez, M., &amp; Rodríguez-</w:t>
      </w:r>
      <w:proofErr w:type="spellStart"/>
      <w:r>
        <w:rPr>
          <w:rFonts w:ascii="Times New Roman" w:eastAsia="Times New Roman" w:hAnsi="Times New Roman" w:cs="Times New Roman"/>
          <w:color w:val="000000"/>
        </w:rPr>
        <w:t>Estévez</w:t>
      </w:r>
      <w:proofErr w:type="spellEnd"/>
      <w:r>
        <w:rPr>
          <w:rFonts w:ascii="Times New Roman" w:eastAsia="Times New Roman" w:hAnsi="Times New Roman" w:cs="Times New Roman"/>
          <w:color w:val="000000"/>
        </w:rPr>
        <w:t xml:space="preserve">, V. (2020) Agroecology for adaptation to climate change and resource depletion in the Mediterranean region. A review. Agric Syst 181:102809.DOI: </w:t>
      </w:r>
      <w:hyperlink r:id="rId10">
        <w:r>
          <w:rPr>
            <w:rFonts w:ascii="Times New Roman" w:eastAsia="Times New Roman" w:hAnsi="Times New Roman" w:cs="Times New Roman"/>
            <w:color w:val="0000FF"/>
          </w:rPr>
          <w:t>10.1016/j.agsy.2020.102809</w:t>
        </w:r>
      </w:hyperlink>
    </w:p>
    <w:p w:rsidR="00341E20" w:rsidRDefault="00E91A95">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Akhtar, N., </w:t>
      </w:r>
      <w:proofErr w:type="spellStart"/>
      <w:r>
        <w:rPr>
          <w:rFonts w:ascii="Times New Roman" w:eastAsia="Times New Roman" w:hAnsi="Times New Roman" w:cs="Times New Roman"/>
          <w:color w:val="000000"/>
        </w:rPr>
        <w:t>Syakir</w:t>
      </w:r>
      <w:proofErr w:type="spellEnd"/>
      <w:r>
        <w:rPr>
          <w:rFonts w:ascii="Times New Roman" w:eastAsia="Times New Roman" w:hAnsi="Times New Roman" w:cs="Times New Roman"/>
          <w:color w:val="000000"/>
        </w:rPr>
        <w:t xml:space="preserve"> Ishak, M. I., Bhawani, S. A., &amp; Umar, K. (2021) Various natural and anthropogenic factors responsible for water quality degradation: a review. Water 13(19):2660. DOI: </w:t>
      </w:r>
      <w:hyperlink r:id="rId11">
        <w:r>
          <w:rPr>
            <w:rFonts w:ascii="Times New Roman" w:eastAsia="Times New Roman" w:hAnsi="Times New Roman" w:cs="Times New Roman"/>
            <w:color w:val="0000FF"/>
          </w:rPr>
          <w:t>10.3390/w13192660</w:t>
        </w:r>
      </w:hyperlink>
    </w:p>
    <w:p w:rsidR="00341E20" w:rsidRDefault="00E91A95">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Ashworth, A. J., Chastain, J. P., &amp; Moore, P. A., Jr. (2020) Nutrient characteristics of poultry manure and litter. In: </w:t>
      </w:r>
      <w:proofErr w:type="spellStart"/>
      <w:r>
        <w:rPr>
          <w:rFonts w:ascii="Times New Roman" w:eastAsia="Times New Roman" w:hAnsi="Times New Roman" w:cs="Times New Roman"/>
          <w:color w:val="000000"/>
        </w:rPr>
        <w:t>Waldrip</w:t>
      </w:r>
      <w:proofErr w:type="spellEnd"/>
      <w:r>
        <w:rPr>
          <w:rFonts w:ascii="Times New Roman" w:eastAsia="Times New Roman" w:hAnsi="Times New Roman" w:cs="Times New Roman"/>
          <w:color w:val="000000"/>
        </w:rPr>
        <w:t xml:space="preserve"> HM, </w:t>
      </w:r>
      <w:proofErr w:type="spellStart"/>
      <w:r>
        <w:rPr>
          <w:rFonts w:ascii="Times New Roman" w:eastAsia="Times New Roman" w:hAnsi="Times New Roman" w:cs="Times New Roman"/>
          <w:color w:val="000000"/>
        </w:rPr>
        <w:t>Pagliari</w:t>
      </w:r>
      <w:proofErr w:type="spellEnd"/>
      <w:r>
        <w:rPr>
          <w:rFonts w:ascii="Times New Roman" w:eastAsia="Times New Roman" w:hAnsi="Times New Roman" w:cs="Times New Roman"/>
          <w:color w:val="000000"/>
        </w:rPr>
        <w:t xml:space="preserve"> PH, He Z (eds) Animal manure: production, characteristics, environmental concerns, and management, vol 67. ASA and SSSA, Madison, pp63–87.DOI: </w:t>
      </w:r>
      <w:hyperlink r:id="rId12">
        <w:r>
          <w:rPr>
            <w:rFonts w:ascii="Times New Roman" w:eastAsia="Times New Roman" w:hAnsi="Times New Roman" w:cs="Times New Roman"/>
            <w:color w:val="0000FF"/>
          </w:rPr>
          <w:t>10.2134/asaspecpub67.c5</w:t>
        </w:r>
      </w:hyperlink>
    </w:p>
    <w:p w:rsidR="00341E20" w:rsidRDefault="00E91A95">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Atapattu</w:t>
      </w:r>
      <w:proofErr w:type="spellEnd"/>
      <w:r>
        <w:rPr>
          <w:rFonts w:ascii="Times New Roman" w:eastAsia="Times New Roman" w:hAnsi="Times New Roman" w:cs="Times New Roman"/>
          <w:color w:val="000000"/>
        </w:rPr>
        <w:t xml:space="preserve">, A. J., Ranasinghe, C. S., </w:t>
      </w:r>
      <w:proofErr w:type="spellStart"/>
      <w:r>
        <w:rPr>
          <w:rFonts w:ascii="Times New Roman" w:eastAsia="Times New Roman" w:hAnsi="Times New Roman" w:cs="Times New Roman"/>
          <w:color w:val="000000"/>
        </w:rPr>
        <w:t>Nuwarapaksha</w:t>
      </w:r>
      <w:proofErr w:type="spellEnd"/>
      <w:r>
        <w:rPr>
          <w:rFonts w:ascii="Times New Roman" w:eastAsia="Times New Roman" w:hAnsi="Times New Roman" w:cs="Times New Roman"/>
          <w:color w:val="000000"/>
        </w:rPr>
        <w:t xml:space="preserve">, T. D., </w:t>
      </w:r>
      <w:proofErr w:type="spellStart"/>
      <w:r>
        <w:rPr>
          <w:rFonts w:ascii="Times New Roman" w:eastAsia="Times New Roman" w:hAnsi="Times New Roman" w:cs="Times New Roman"/>
          <w:color w:val="000000"/>
        </w:rPr>
        <w:t>Udumann</w:t>
      </w:r>
      <w:proofErr w:type="spellEnd"/>
      <w:r>
        <w:rPr>
          <w:rFonts w:ascii="Times New Roman" w:eastAsia="Times New Roman" w:hAnsi="Times New Roman" w:cs="Times New Roman"/>
          <w:color w:val="000000"/>
        </w:rPr>
        <w:t xml:space="preserve">, S. S., &amp; </w:t>
      </w:r>
      <w:proofErr w:type="spellStart"/>
      <w:r>
        <w:rPr>
          <w:rFonts w:ascii="Times New Roman" w:eastAsia="Times New Roman" w:hAnsi="Times New Roman" w:cs="Times New Roman"/>
          <w:color w:val="000000"/>
        </w:rPr>
        <w:t>Dissanayaka</w:t>
      </w:r>
      <w:proofErr w:type="spellEnd"/>
      <w:r>
        <w:rPr>
          <w:rFonts w:ascii="Times New Roman" w:eastAsia="Times New Roman" w:hAnsi="Times New Roman" w:cs="Times New Roman"/>
          <w:color w:val="000000"/>
        </w:rPr>
        <w:t xml:space="preserve">, N. S. (2024) Sustainable agriculture and sustainable development goals (SDGs). In: </w:t>
      </w:r>
      <w:proofErr w:type="spellStart"/>
      <w:r>
        <w:rPr>
          <w:rFonts w:ascii="Times New Roman" w:eastAsia="Times New Roman" w:hAnsi="Times New Roman" w:cs="Times New Roman"/>
          <w:color w:val="000000"/>
        </w:rPr>
        <w:t>Garwi</w:t>
      </w:r>
      <w:proofErr w:type="spellEnd"/>
      <w:r>
        <w:rPr>
          <w:rFonts w:ascii="Times New Roman" w:eastAsia="Times New Roman" w:hAnsi="Times New Roman" w:cs="Times New Roman"/>
          <w:color w:val="000000"/>
        </w:rPr>
        <w:t xml:space="preserve"> J, </w:t>
      </w:r>
      <w:proofErr w:type="spellStart"/>
      <w:r>
        <w:rPr>
          <w:rFonts w:ascii="Times New Roman" w:eastAsia="Times New Roman" w:hAnsi="Times New Roman" w:cs="Times New Roman"/>
          <w:color w:val="000000"/>
        </w:rPr>
        <w:t>Masengu</w:t>
      </w:r>
      <w:proofErr w:type="spellEnd"/>
      <w:r>
        <w:rPr>
          <w:rFonts w:ascii="Times New Roman" w:eastAsia="Times New Roman" w:hAnsi="Times New Roman" w:cs="Times New Roman"/>
          <w:color w:val="000000"/>
        </w:rPr>
        <w:t xml:space="preserve"> R, </w:t>
      </w:r>
      <w:proofErr w:type="spellStart"/>
      <w:r>
        <w:rPr>
          <w:rFonts w:ascii="Times New Roman" w:eastAsia="Times New Roman" w:hAnsi="Times New Roman" w:cs="Times New Roman"/>
          <w:color w:val="000000"/>
        </w:rPr>
        <w:t>Chiwaridzo</w:t>
      </w:r>
      <w:proofErr w:type="spellEnd"/>
      <w:r>
        <w:rPr>
          <w:rFonts w:ascii="Times New Roman" w:eastAsia="Times New Roman" w:hAnsi="Times New Roman" w:cs="Times New Roman"/>
          <w:color w:val="000000"/>
        </w:rPr>
        <w:t xml:space="preserve"> O (eds) Emerging technologies and marketing strategies for sustainable agriculture. IGI Global, Hershey, pp1–27. DOI: </w:t>
      </w:r>
      <w:hyperlink r:id="rId13">
        <w:r>
          <w:rPr>
            <w:rFonts w:ascii="Times New Roman" w:eastAsia="Times New Roman" w:hAnsi="Times New Roman" w:cs="Times New Roman"/>
            <w:color w:val="0000FF"/>
          </w:rPr>
          <w:t>10.4018/979-8-3693-4864-2.ch001</w:t>
        </w:r>
      </w:hyperlink>
    </w:p>
    <w:p w:rsidR="00341E20" w:rsidRDefault="00E91A95">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Avidov</w:t>
      </w:r>
      <w:proofErr w:type="spellEnd"/>
      <w:r>
        <w:rPr>
          <w:rFonts w:ascii="Times New Roman" w:eastAsia="Times New Roman" w:hAnsi="Times New Roman" w:cs="Times New Roman"/>
          <w:color w:val="000000"/>
        </w:rPr>
        <w:t xml:space="preserve">, R., </w:t>
      </w:r>
      <w:proofErr w:type="spellStart"/>
      <w:r>
        <w:rPr>
          <w:rFonts w:ascii="Times New Roman" w:eastAsia="Times New Roman" w:hAnsi="Times New Roman" w:cs="Times New Roman"/>
          <w:color w:val="000000"/>
        </w:rPr>
        <w:t>Sudharsan</w:t>
      </w:r>
      <w:proofErr w:type="spellEnd"/>
      <w:r>
        <w:rPr>
          <w:rFonts w:ascii="Times New Roman" w:eastAsia="Times New Roman" w:hAnsi="Times New Roman" w:cs="Times New Roman"/>
          <w:color w:val="000000"/>
        </w:rPr>
        <w:t xml:space="preserve"> Varma, V., </w:t>
      </w:r>
      <w:proofErr w:type="spellStart"/>
      <w:r>
        <w:rPr>
          <w:rFonts w:ascii="Times New Roman" w:eastAsia="Times New Roman" w:hAnsi="Times New Roman" w:cs="Times New Roman"/>
          <w:color w:val="000000"/>
        </w:rPr>
        <w:t>Saadi</w:t>
      </w:r>
      <w:proofErr w:type="spellEnd"/>
      <w:r>
        <w:rPr>
          <w:rFonts w:ascii="Times New Roman" w:eastAsia="Times New Roman" w:hAnsi="Times New Roman" w:cs="Times New Roman"/>
          <w:color w:val="000000"/>
        </w:rPr>
        <w:t xml:space="preserve">, I., Hanan, A., </w:t>
      </w:r>
      <w:proofErr w:type="spellStart"/>
      <w:r>
        <w:rPr>
          <w:rFonts w:ascii="Times New Roman" w:eastAsia="Times New Roman" w:hAnsi="Times New Roman" w:cs="Times New Roman"/>
          <w:color w:val="000000"/>
        </w:rPr>
        <w:t>Yoselevich</w:t>
      </w:r>
      <w:proofErr w:type="spellEnd"/>
      <w:r>
        <w:rPr>
          <w:rFonts w:ascii="Times New Roman" w:eastAsia="Times New Roman" w:hAnsi="Times New Roman" w:cs="Times New Roman"/>
          <w:color w:val="000000"/>
        </w:rPr>
        <w:t xml:space="preserve">, I., Lublin, A., Chen, Y., &amp; </w:t>
      </w:r>
      <w:proofErr w:type="spellStart"/>
      <w:r>
        <w:rPr>
          <w:rFonts w:ascii="Times New Roman" w:eastAsia="Times New Roman" w:hAnsi="Times New Roman" w:cs="Times New Roman"/>
          <w:color w:val="000000"/>
        </w:rPr>
        <w:t>Laor</w:t>
      </w:r>
      <w:proofErr w:type="spellEnd"/>
      <w:r>
        <w:rPr>
          <w:rFonts w:ascii="Times New Roman" w:eastAsia="Times New Roman" w:hAnsi="Times New Roman" w:cs="Times New Roman"/>
          <w:color w:val="000000"/>
        </w:rPr>
        <w:t>, Y. (2021) Physical and chemical indicators of transformations of poultry carcass parts and broiler lit-</w:t>
      </w:r>
      <w:proofErr w:type="spellStart"/>
      <w:r>
        <w:rPr>
          <w:rFonts w:ascii="Times New Roman" w:eastAsia="Times New Roman" w:hAnsi="Times New Roman" w:cs="Times New Roman"/>
          <w:color w:val="000000"/>
        </w:rPr>
        <w:t>ter</w:t>
      </w:r>
      <w:proofErr w:type="spellEnd"/>
      <w:r>
        <w:rPr>
          <w:rFonts w:ascii="Times New Roman" w:eastAsia="Times New Roman" w:hAnsi="Times New Roman" w:cs="Times New Roman"/>
          <w:color w:val="000000"/>
        </w:rPr>
        <w:t xml:space="preserve"> during short term thermophilic composting. Waste Management 119:202–214. DOI: </w:t>
      </w:r>
      <w:hyperlink r:id="rId14">
        <w:r>
          <w:rPr>
            <w:rFonts w:ascii="Times New Roman" w:eastAsia="Times New Roman" w:hAnsi="Times New Roman" w:cs="Times New Roman"/>
            <w:color w:val="0000FF"/>
          </w:rPr>
          <w:t>10.1016/j.wasman.2020.09.040</w:t>
        </w:r>
      </w:hyperlink>
    </w:p>
    <w:p w:rsidR="00341E20" w:rsidRDefault="00E91A95">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Babu</w:t>
      </w:r>
      <w:proofErr w:type="spellEnd"/>
      <w:r>
        <w:rPr>
          <w:rFonts w:ascii="Times New Roman" w:eastAsia="Times New Roman" w:hAnsi="Times New Roman" w:cs="Times New Roman"/>
          <w:color w:val="000000"/>
        </w:rPr>
        <w:t xml:space="preserve">, S., Das, A., Singh, R., Mohapatra, K.P., Kumar, S., Rathore, S.S., Yadav, S.K., Yadav, P., Ansari, M.A., Panwar, A.S., </w:t>
      </w:r>
      <w:proofErr w:type="spellStart"/>
      <w:r>
        <w:rPr>
          <w:rFonts w:ascii="Times New Roman" w:eastAsia="Times New Roman" w:hAnsi="Times New Roman" w:cs="Times New Roman"/>
          <w:color w:val="000000"/>
        </w:rPr>
        <w:t>Wani</w:t>
      </w:r>
      <w:proofErr w:type="spellEnd"/>
      <w:r>
        <w:rPr>
          <w:rFonts w:ascii="Times New Roman" w:eastAsia="Times New Roman" w:hAnsi="Times New Roman" w:cs="Times New Roman"/>
          <w:color w:val="000000"/>
        </w:rPr>
        <w:t xml:space="preserve">, O.A., Singh, M., Ravishankar, N., </w:t>
      </w:r>
      <w:proofErr w:type="spellStart"/>
      <w:r>
        <w:rPr>
          <w:rFonts w:ascii="Times New Roman" w:eastAsia="Times New Roman" w:hAnsi="Times New Roman" w:cs="Times New Roman"/>
          <w:color w:val="000000"/>
        </w:rPr>
        <w:t>Layek</w:t>
      </w:r>
      <w:proofErr w:type="spellEnd"/>
      <w:r>
        <w:rPr>
          <w:rFonts w:ascii="Times New Roman" w:eastAsia="Times New Roman" w:hAnsi="Times New Roman" w:cs="Times New Roman"/>
          <w:color w:val="000000"/>
        </w:rPr>
        <w:t xml:space="preserve">, J., Chandra, P., &amp; Singh, V.K. (2023) Designing an energy efficient, economically feasible, and environmentally robust integrated farming system model for sustainable food </w:t>
      </w:r>
      <w:r>
        <w:rPr>
          <w:rFonts w:ascii="Times New Roman" w:eastAsia="Times New Roman" w:hAnsi="Times New Roman" w:cs="Times New Roman"/>
          <w:color w:val="000000"/>
        </w:rPr>
        <w:lastRenderedPageBreak/>
        <w:t xml:space="preserve">production in the Indian Himalayas. </w:t>
      </w:r>
      <w:r>
        <w:rPr>
          <w:rFonts w:ascii="Times New Roman" w:eastAsia="Times New Roman" w:hAnsi="Times New Roman" w:cs="Times New Roman"/>
          <w:i/>
          <w:iCs/>
          <w:color w:val="000000"/>
        </w:rPr>
        <w:t>Sustainable Food Technology</w:t>
      </w:r>
      <w:r>
        <w:rPr>
          <w:rFonts w:ascii="Times New Roman" w:eastAsia="Times New Roman" w:hAnsi="Times New Roman" w:cs="Times New Roman"/>
          <w:color w:val="000000"/>
        </w:rPr>
        <w:t xml:space="preserve"> 1(1):126–142. DOI: </w:t>
      </w:r>
      <w:hyperlink r:id="rId15">
        <w:r>
          <w:rPr>
            <w:rFonts w:ascii="Times New Roman" w:eastAsia="Times New Roman" w:hAnsi="Times New Roman" w:cs="Times New Roman"/>
            <w:color w:val="0000FF"/>
          </w:rPr>
          <w:t>10.1039/D2FB00016D</w:t>
        </w:r>
      </w:hyperlink>
    </w:p>
    <w:p w:rsidR="00341E20" w:rsidRDefault="00E91A95">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Bao, J., Jiang, H., &amp; Li, X. (2022) Thirty years of rice-crab coculture in China– research progress and prospects. Rev </w:t>
      </w:r>
      <w:proofErr w:type="spellStart"/>
      <w:r>
        <w:rPr>
          <w:rFonts w:ascii="Times New Roman" w:eastAsia="Times New Roman" w:hAnsi="Times New Roman" w:cs="Times New Roman"/>
          <w:color w:val="000000"/>
        </w:rPr>
        <w:t>Aquac</w:t>
      </w:r>
      <w:proofErr w:type="spellEnd"/>
      <w:r>
        <w:rPr>
          <w:rFonts w:ascii="Times New Roman" w:eastAsia="Times New Roman" w:hAnsi="Times New Roman" w:cs="Times New Roman"/>
          <w:color w:val="000000"/>
        </w:rPr>
        <w:t xml:space="preserve"> 14(3):1597–1612.DOI: </w:t>
      </w:r>
      <w:hyperlink r:id="rId16">
        <w:r>
          <w:rPr>
            <w:rFonts w:ascii="Times New Roman" w:eastAsia="Times New Roman" w:hAnsi="Times New Roman" w:cs="Times New Roman"/>
            <w:color w:val="0000FF"/>
          </w:rPr>
          <w:t>10.1111/raq.12664</w:t>
        </w:r>
      </w:hyperlink>
    </w:p>
    <w:p w:rsidR="00341E20" w:rsidRDefault="00E91A95">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Bashir, O., Ali, T., Baba, Z. A., Rather, G. H., </w:t>
      </w:r>
      <w:proofErr w:type="spellStart"/>
      <w:r>
        <w:rPr>
          <w:rFonts w:ascii="Times New Roman" w:eastAsia="Times New Roman" w:hAnsi="Times New Roman" w:cs="Times New Roman"/>
          <w:color w:val="000000"/>
        </w:rPr>
        <w:t>Bangroo</w:t>
      </w:r>
      <w:proofErr w:type="spellEnd"/>
      <w:r>
        <w:rPr>
          <w:rFonts w:ascii="Times New Roman" w:eastAsia="Times New Roman" w:hAnsi="Times New Roman" w:cs="Times New Roman"/>
          <w:color w:val="000000"/>
        </w:rPr>
        <w:t xml:space="preserve">, S. A., Mukhtar, S. D., Naik, N., Mohiuddin, R., Bharati, V., &amp; Bhat, R. A., (2021) Soil organic matter and its impact on soil properties and nutrient status. In: Dar GH, Bhat RA, Mehmood MA, Hakeem KR (eds) Microbiota and biofertilizers, 2. Springer, Cham, pp129–159. DOI: </w:t>
      </w:r>
      <w:hyperlink r:id="rId17">
        <w:r>
          <w:rPr>
            <w:rFonts w:ascii="Times New Roman" w:eastAsia="Times New Roman" w:hAnsi="Times New Roman" w:cs="Times New Roman"/>
            <w:color w:val="0000FF"/>
          </w:rPr>
          <w:t>10.1007/978-3-030-61010-4_7</w:t>
        </w:r>
      </w:hyperlink>
    </w:p>
    <w:p w:rsidR="00341E20" w:rsidRDefault="00E91A95">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Bayih</w:t>
      </w:r>
      <w:proofErr w:type="spellEnd"/>
      <w:r>
        <w:rPr>
          <w:rFonts w:ascii="Times New Roman" w:eastAsia="Times New Roman" w:hAnsi="Times New Roman" w:cs="Times New Roman"/>
          <w:color w:val="000000"/>
        </w:rPr>
        <w:t xml:space="preserve">, A. Z., Morales, J., </w:t>
      </w:r>
      <w:proofErr w:type="spellStart"/>
      <w:r>
        <w:rPr>
          <w:rFonts w:ascii="Times New Roman" w:eastAsia="Times New Roman" w:hAnsi="Times New Roman" w:cs="Times New Roman"/>
          <w:color w:val="000000"/>
        </w:rPr>
        <w:t>Assabie</w:t>
      </w:r>
      <w:proofErr w:type="spellEnd"/>
      <w:r>
        <w:rPr>
          <w:rFonts w:ascii="Times New Roman" w:eastAsia="Times New Roman" w:hAnsi="Times New Roman" w:cs="Times New Roman"/>
          <w:color w:val="000000"/>
        </w:rPr>
        <w:t xml:space="preserve">, Y., &amp; de By, R. A. (2022) Utilization of internet of things and wire-less sensor networks for sustainable smallholder agriculture. Sensors 22(9):3273. DOI: </w:t>
      </w:r>
      <w:hyperlink r:id="rId18">
        <w:r>
          <w:rPr>
            <w:rFonts w:ascii="Times New Roman" w:eastAsia="Times New Roman" w:hAnsi="Times New Roman" w:cs="Times New Roman"/>
            <w:color w:val="0000FF"/>
          </w:rPr>
          <w:t>10.3390/s22093273</w:t>
        </w:r>
      </w:hyperlink>
    </w:p>
    <w:p w:rsidR="00341E20" w:rsidRDefault="00E91A95">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Behera, U. K., &amp; France, J. (2023) Farming systems research: concepts, design and methodology. Advances in Agronomy 177:1–49. DOI: </w:t>
      </w:r>
      <w:hyperlink r:id="rId19">
        <w:r>
          <w:rPr>
            <w:rFonts w:ascii="Times New Roman" w:eastAsia="Times New Roman" w:hAnsi="Times New Roman" w:cs="Times New Roman"/>
            <w:color w:val="0000FF"/>
          </w:rPr>
          <w:t>10.1016/bs.agron.2022.08.001</w:t>
        </w:r>
      </w:hyperlink>
    </w:p>
    <w:p w:rsidR="00341E20" w:rsidRDefault="00E91A95">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Bhattacharyya, P., Pathak, &amp; H., Pal, S. (2020) Crop management for climate-smart agriculture. In: Climate smart agriculture. Springer, Singapore, pp 85–111. DOI: </w:t>
      </w:r>
      <w:hyperlink r:id="rId20">
        <w:r>
          <w:rPr>
            <w:rFonts w:ascii="Times New Roman" w:eastAsia="Times New Roman" w:hAnsi="Times New Roman" w:cs="Times New Roman"/>
            <w:color w:val="0000FF"/>
          </w:rPr>
          <w:t>10.1007/978-981-15-9132-7_7</w:t>
        </w:r>
      </w:hyperlink>
    </w:p>
    <w:p w:rsidR="00341E20" w:rsidRDefault="00E91A95">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Black, M. J., Roy, A., </w:t>
      </w:r>
      <w:proofErr w:type="spellStart"/>
      <w:r>
        <w:rPr>
          <w:rFonts w:ascii="Times New Roman" w:eastAsia="Times New Roman" w:hAnsi="Times New Roman" w:cs="Times New Roman"/>
          <w:color w:val="000000"/>
        </w:rPr>
        <w:t>Twinomunuji</w:t>
      </w:r>
      <w:proofErr w:type="spellEnd"/>
      <w:r>
        <w:rPr>
          <w:rFonts w:ascii="Times New Roman" w:eastAsia="Times New Roman" w:hAnsi="Times New Roman" w:cs="Times New Roman"/>
          <w:color w:val="000000"/>
        </w:rPr>
        <w:t xml:space="preserve">, E., </w:t>
      </w:r>
      <w:proofErr w:type="spellStart"/>
      <w:r>
        <w:rPr>
          <w:rFonts w:ascii="Times New Roman" w:eastAsia="Times New Roman" w:hAnsi="Times New Roman" w:cs="Times New Roman"/>
          <w:color w:val="000000"/>
        </w:rPr>
        <w:t>Kemausuor</w:t>
      </w:r>
      <w:proofErr w:type="spellEnd"/>
      <w:r>
        <w:rPr>
          <w:rFonts w:ascii="Times New Roman" w:eastAsia="Times New Roman" w:hAnsi="Times New Roman" w:cs="Times New Roman"/>
          <w:color w:val="000000"/>
        </w:rPr>
        <w:t xml:space="preserve">, F., Oduro, R., Leach, M., </w:t>
      </w:r>
      <w:proofErr w:type="spellStart"/>
      <w:r>
        <w:rPr>
          <w:rFonts w:ascii="Times New Roman" w:eastAsia="Times New Roman" w:hAnsi="Times New Roman" w:cs="Times New Roman"/>
          <w:color w:val="000000"/>
        </w:rPr>
        <w:t>Sadhukhan</w:t>
      </w:r>
      <w:proofErr w:type="spellEnd"/>
      <w:r>
        <w:rPr>
          <w:rFonts w:ascii="Times New Roman" w:eastAsia="Times New Roman" w:hAnsi="Times New Roman" w:cs="Times New Roman"/>
          <w:color w:val="000000"/>
        </w:rPr>
        <w:t xml:space="preserve">, J., &amp; Murphy, R. (2021) Bottled biogas– an opportunity for clean cooking in Ghana and Uganda. Energies 14(13):3856. DOI: </w:t>
      </w:r>
      <w:hyperlink r:id="rId21">
        <w:r>
          <w:rPr>
            <w:rFonts w:ascii="Times New Roman" w:eastAsia="Times New Roman" w:hAnsi="Times New Roman" w:cs="Times New Roman"/>
            <w:color w:val="0000FF"/>
          </w:rPr>
          <w:t>10.3390/en14133856</w:t>
        </w:r>
      </w:hyperlink>
    </w:p>
    <w:p w:rsidR="00341E20" w:rsidRDefault="00E91A95">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Blay</w:t>
      </w:r>
      <w:proofErr w:type="spellEnd"/>
      <w:r>
        <w:rPr>
          <w:rFonts w:ascii="Times New Roman" w:eastAsia="Times New Roman" w:hAnsi="Times New Roman" w:cs="Times New Roman"/>
          <w:color w:val="000000"/>
        </w:rPr>
        <w:t xml:space="preserve">-Palmer, A., van </w:t>
      </w:r>
      <w:proofErr w:type="spellStart"/>
      <w:r>
        <w:rPr>
          <w:rFonts w:ascii="Times New Roman" w:eastAsia="Times New Roman" w:hAnsi="Times New Roman" w:cs="Times New Roman"/>
          <w:color w:val="000000"/>
        </w:rPr>
        <w:t>Veenhuizen</w:t>
      </w:r>
      <w:proofErr w:type="spellEnd"/>
      <w:r>
        <w:rPr>
          <w:rFonts w:ascii="Times New Roman" w:eastAsia="Times New Roman" w:hAnsi="Times New Roman" w:cs="Times New Roman"/>
          <w:color w:val="000000"/>
        </w:rPr>
        <w:t xml:space="preserve">, R., Santini, G., Hoffmann, D., </w:t>
      </w:r>
      <w:proofErr w:type="spellStart"/>
      <w:r>
        <w:rPr>
          <w:rFonts w:ascii="Times New Roman" w:eastAsia="Times New Roman" w:hAnsi="Times New Roman" w:cs="Times New Roman"/>
          <w:color w:val="000000"/>
        </w:rPr>
        <w:t>Wodni</w:t>
      </w:r>
      <w:proofErr w:type="spellEnd"/>
      <w:r>
        <w:rPr>
          <w:rFonts w:ascii="Times New Roman" w:eastAsia="Times New Roman" w:hAnsi="Times New Roman" w:cs="Times New Roman"/>
          <w:color w:val="000000"/>
        </w:rPr>
        <w:t xml:space="preserve">, P., </w:t>
      </w:r>
      <w:proofErr w:type="spellStart"/>
      <w:r>
        <w:rPr>
          <w:rFonts w:ascii="Times New Roman" w:eastAsia="Times New Roman" w:hAnsi="Times New Roman" w:cs="Times New Roman"/>
          <w:color w:val="000000"/>
        </w:rPr>
        <w:t>Stierand</w:t>
      </w:r>
      <w:proofErr w:type="spellEnd"/>
      <w:r>
        <w:rPr>
          <w:rFonts w:ascii="Times New Roman" w:eastAsia="Times New Roman" w:hAnsi="Times New Roman" w:cs="Times New Roman"/>
          <w:color w:val="000000"/>
        </w:rPr>
        <w:t xml:space="preserve">, P., &amp; </w:t>
      </w:r>
      <w:proofErr w:type="spellStart"/>
      <w:r>
        <w:rPr>
          <w:rFonts w:ascii="Times New Roman" w:eastAsia="Times New Roman" w:hAnsi="Times New Roman" w:cs="Times New Roman"/>
          <w:color w:val="000000"/>
        </w:rPr>
        <w:t>Stahlbrand</w:t>
      </w:r>
      <w:proofErr w:type="spellEnd"/>
      <w:r>
        <w:rPr>
          <w:rFonts w:ascii="Times New Roman" w:eastAsia="Times New Roman" w:hAnsi="Times New Roman" w:cs="Times New Roman"/>
          <w:color w:val="000000"/>
        </w:rPr>
        <w:t xml:space="preserve">, L. (2023) Urban–rural food system convergence as a vector for sustainable transformation. Urban Reg Agric:75–92. DOI: </w:t>
      </w:r>
      <w:hyperlink r:id="rId22">
        <w:r>
          <w:rPr>
            <w:rFonts w:ascii="Times New Roman" w:eastAsia="Times New Roman" w:hAnsi="Times New Roman" w:cs="Times New Roman"/>
            <w:color w:val="0000FF"/>
          </w:rPr>
          <w:t>10.1016/B978-0-12-820286-9.00005-4</w:t>
        </w:r>
      </w:hyperlink>
    </w:p>
    <w:p w:rsidR="00341E20" w:rsidRDefault="00E91A95">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Chandana, T.S., Reddy, P. V., and Rao, K. (2022). Socio-economic and psychological correlates of sustainable livelihood security among integrated farming system practitioners in Andhra Pradesh. </w:t>
      </w:r>
      <w:r>
        <w:rPr>
          <w:rFonts w:ascii="Times New Roman" w:eastAsia="Times New Roman" w:hAnsi="Times New Roman" w:cs="Times New Roman"/>
          <w:i/>
          <w:iCs/>
          <w:color w:val="000000"/>
        </w:rPr>
        <w:t>Indian Journal of Extension Education</w:t>
      </w:r>
      <w:r>
        <w:rPr>
          <w:rFonts w:ascii="Times New Roman" w:eastAsia="Times New Roman" w:hAnsi="Times New Roman" w:cs="Times New Roman"/>
          <w:color w:val="000000"/>
        </w:rPr>
        <w:t xml:space="preserve">, 58(4), 65–74. DOI: </w:t>
      </w:r>
      <w:hyperlink r:id="rId23">
        <w:r>
          <w:rPr>
            <w:rFonts w:ascii="Times New Roman" w:eastAsia="Times New Roman" w:hAnsi="Times New Roman" w:cs="Times New Roman"/>
            <w:color w:val="0000FF"/>
          </w:rPr>
          <w:t>10.48165/IJEE.2023.59121</w:t>
        </w:r>
      </w:hyperlink>
    </w:p>
    <w:p w:rsidR="00341E20" w:rsidRDefault="00E91A95">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Costa, C., </w:t>
      </w:r>
      <w:proofErr w:type="spellStart"/>
      <w:r>
        <w:rPr>
          <w:rFonts w:ascii="Times New Roman" w:eastAsia="Times New Roman" w:hAnsi="Times New Roman" w:cs="Times New Roman"/>
          <w:color w:val="000000"/>
        </w:rPr>
        <w:t>Azoia</w:t>
      </w:r>
      <w:proofErr w:type="spellEnd"/>
      <w:r>
        <w:rPr>
          <w:rFonts w:ascii="Times New Roman" w:eastAsia="Times New Roman" w:hAnsi="Times New Roman" w:cs="Times New Roman"/>
          <w:color w:val="000000"/>
        </w:rPr>
        <w:t xml:space="preserve">, N. G., Coelho, L., </w:t>
      </w:r>
      <w:proofErr w:type="spellStart"/>
      <w:r>
        <w:rPr>
          <w:rFonts w:ascii="Times New Roman" w:eastAsia="Times New Roman" w:hAnsi="Times New Roman" w:cs="Times New Roman"/>
          <w:color w:val="000000"/>
        </w:rPr>
        <w:t>Freixo</w:t>
      </w:r>
      <w:proofErr w:type="spellEnd"/>
      <w:r>
        <w:rPr>
          <w:rFonts w:ascii="Times New Roman" w:eastAsia="Times New Roman" w:hAnsi="Times New Roman" w:cs="Times New Roman"/>
          <w:color w:val="000000"/>
        </w:rPr>
        <w:t xml:space="preserve">, R., Batista, P., &amp; Pintado, M., (2021) Proteins derived from the dairy losses and by-products as raw materials for non-food applications. Food </w:t>
      </w:r>
      <w:proofErr w:type="spellStart"/>
      <w:r>
        <w:rPr>
          <w:rFonts w:ascii="Times New Roman" w:eastAsia="Times New Roman" w:hAnsi="Times New Roman" w:cs="Times New Roman"/>
          <w:color w:val="000000"/>
        </w:rPr>
        <w:t>Secur</w:t>
      </w:r>
      <w:proofErr w:type="spellEnd"/>
      <w:r>
        <w:rPr>
          <w:rFonts w:ascii="Times New Roman" w:eastAsia="Times New Roman" w:hAnsi="Times New Roman" w:cs="Times New Roman"/>
          <w:color w:val="000000"/>
        </w:rPr>
        <w:t xml:space="preserve"> 10(1):135 DOI: </w:t>
      </w:r>
      <w:hyperlink r:id="rId24">
        <w:r>
          <w:rPr>
            <w:rFonts w:ascii="Times New Roman" w:eastAsia="Times New Roman" w:hAnsi="Times New Roman" w:cs="Times New Roman"/>
            <w:color w:val="0000FF"/>
          </w:rPr>
          <w:t>10.3390/foods10010135</w:t>
        </w:r>
      </w:hyperlink>
    </w:p>
    <w:p w:rsidR="00341E20" w:rsidRDefault="00E91A95">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Dagar</w:t>
      </w:r>
      <w:proofErr w:type="spellEnd"/>
      <w:r>
        <w:rPr>
          <w:rFonts w:ascii="Times New Roman" w:eastAsia="Times New Roman" w:hAnsi="Times New Roman" w:cs="Times New Roman"/>
          <w:color w:val="000000"/>
        </w:rPr>
        <w:t xml:space="preserve">, J. C., Gupta, S. R., &amp; </w:t>
      </w:r>
      <w:proofErr w:type="spellStart"/>
      <w:r>
        <w:rPr>
          <w:rFonts w:ascii="Times New Roman" w:eastAsia="Times New Roman" w:hAnsi="Times New Roman" w:cs="Times New Roman"/>
          <w:color w:val="000000"/>
        </w:rPr>
        <w:t>Sileshi</w:t>
      </w:r>
      <w:proofErr w:type="spellEnd"/>
      <w:r>
        <w:rPr>
          <w:rFonts w:ascii="Times New Roman" w:eastAsia="Times New Roman" w:hAnsi="Times New Roman" w:cs="Times New Roman"/>
          <w:color w:val="000000"/>
        </w:rPr>
        <w:t xml:space="preserve">, G. W. (2023) Urban and peri-urban agroforestry to sustain </w:t>
      </w:r>
      <w:proofErr w:type="spellStart"/>
      <w:r>
        <w:rPr>
          <w:rFonts w:ascii="Times New Roman" w:eastAsia="Times New Roman" w:hAnsi="Times New Roman" w:cs="Times New Roman"/>
          <w:color w:val="000000"/>
        </w:rPr>
        <w:t>liveli</w:t>
      </w:r>
      <w:proofErr w:type="spellEnd"/>
      <w:r>
        <w:rPr>
          <w:rFonts w:ascii="Times New Roman" w:eastAsia="Times New Roman" w:hAnsi="Times New Roman" w:cs="Times New Roman"/>
          <w:color w:val="000000"/>
        </w:rPr>
        <w:t xml:space="preserve">-hood and food security in the face of global environmental change and epidemic threats. In: Agroforestry for sustainable intensification of agriculture in Asia and Africa. Springer Nature Singapore, Singapore, pp89–118 DOI: </w:t>
      </w:r>
      <w:hyperlink r:id="rId25">
        <w:r>
          <w:rPr>
            <w:rFonts w:ascii="Times New Roman" w:eastAsia="Times New Roman" w:hAnsi="Times New Roman" w:cs="Times New Roman"/>
            <w:color w:val="0000FF"/>
          </w:rPr>
          <w:t>10.1007/978-981-19-4602-8_4</w:t>
        </w:r>
      </w:hyperlink>
    </w:p>
    <w:p w:rsidR="00341E20" w:rsidRDefault="00E91A95">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Das, A., Datta, D., </w:t>
      </w:r>
      <w:proofErr w:type="spellStart"/>
      <w:r>
        <w:rPr>
          <w:rFonts w:ascii="Times New Roman" w:eastAsia="Times New Roman" w:hAnsi="Times New Roman" w:cs="Times New Roman"/>
          <w:color w:val="000000"/>
        </w:rPr>
        <w:t>Samajdar</w:t>
      </w:r>
      <w:proofErr w:type="spellEnd"/>
      <w:r>
        <w:rPr>
          <w:rFonts w:ascii="Times New Roman" w:eastAsia="Times New Roman" w:hAnsi="Times New Roman" w:cs="Times New Roman"/>
          <w:color w:val="000000"/>
        </w:rPr>
        <w:t xml:space="preserve">, T., </w:t>
      </w:r>
      <w:proofErr w:type="spellStart"/>
      <w:r>
        <w:rPr>
          <w:rFonts w:ascii="Times New Roman" w:eastAsia="Times New Roman" w:hAnsi="Times New Roman" w:cs="Times New Roman"/>
          <w:color w:val="000000"/>
        </w:rPr>
        <w:t>Idapuganti</w:t>
      </w:r>
      <w:proofErr w:type="spellEnd"/>
      <w:r>
        <w:rPr>
          <w:rFonts w:ascii="Times New Roman" w:eastAsia="Times New Roman" w:hAnsi="Times New Roman" w:cs="Times New Roman"/>
          <w:color w:val="000000"/>
        </w:rPr>
        <w:t xml:space="preserve">, R. G., Islam, M., Choudhury, B. U., Mohapatra, K. P., </w:t>
      </w:r>
      <w:proofErr w:type="spellStart"/>
      <w:r>
        <w:rPr>
          <w:rFonts w:ascii="Times New Roman" w:eastAsia="Times New Roman" w:hAnsi="Times New Roman" w:cs="Times New Roman"/>
          <w:color w:val="000000"/>
        </w:rPr>
        <w:t>Layek</w:t>
      </w:r>
      <w:proofErr w:type="spellEnd"/>
      <w:r>
        <w:rPr>
          <w:rFonts w:ascii="Times New Roman" w:eastAsia="Times New Roman" w:hAnsi="Times New Roman" w:cs="Times New Roman"/>
          <w:color w:val="000000"/>
        </w:rPr>
        <w:t xml:space="preserve">, J., Subhash, B., &amp; Yadav, G. S. (2021) Livelihood security of small holder farmers in eastern Himalayas, India: pond based integrated farming system a sustainable approach. </w:t>
      </w:r>
      <w:proofErr w:type="spellStart"/>
      <w:r>
        <w:rPr>
          <w:rFonts w:ascii="Times New Roman" w:eastAsia="Times New Roman" w:hAnsi="Times New Roman" w:cs="Times New Roman"/>
          <w:color w:val="000000"/>
        </w:rPr>
        <w:t>Curr</w:t>
      </w:r>
      <w:proofErr w:type="spellEnd"/>
      <w:r>
        <w:rPr>
          <w:rFonts w:ascii="Times New Roman" w:eastAsia="Times New Roman" w:hAnsi="Times New Roman" w:cs="Times New Roman"/>
          <w:color w:val="000000"/>
        </w:rPr>
        <w:t xml:space="preserve"> Res Environ Sustain. DOI: </w:t>
      </w:r>
      <w:hyperlink r:id="rId26">
        <w:r>
          <w:rPr>
            <w:rFonts w:ascii="Times New Roman" w:eastAsia="Times New Roman" w:hAnsi="Times New Roman" w:cs="Times New Roman"/>
            <w:color w:val="0000FF"/>
          </w:rPr>
          <w:t>10.1016/j.crsust.2021.100076</w:t>
        </w:r>
      </w:hyperlink>
    </w:p>
    <w:p w:rsidR="00341E20" w:rsidRDefault="00E91A95">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Delphin, S., Snyder, K. A., Tanner, S., </w:t>
      </w:r>
      <w:proofErr w:type="spellStart"/>
      <w:r>
        <w:rPr>
          <w:rFonts w:ascii="Times New Roman" w:eastAsia="Times New Roman" w:hAnsi="Times New Roman" w:cs="Times New Roman"/>
          <w:color w:val="000000"/>
        </w:rPr>
        <w:t>Musálem</w:t>
      </w:r>
      <w:proofErr w:type="spellEnd"/>
      <w:r>
        <w:rPr>
          <w:rFonts w:ascii="Times New Roman" w:eastAsia="Times New Roman" w:hAnsi="Times New Roman" w:cs="Times New Roman"/>
          <w:color w:val="000000"/>
        </w:rPr>
        <w:t xml:space="preserve">, K., Marsh, S. E., &amp; Soto, J. R. (2022) Obstacles to the </w:t>
      </w:r>
      <w:proofErr w:type="spellStart"/>
      <w:r>
        <w:rPr>
          <w:rFonts w:ascii="Times New Roman" w:eastAsia="Times New Roman" w:hAnsi="Times New Roman" w:cs="Times New Roman"/>
          <w:color w:val="000000"/>
        </w:rPr>
        <w:t>devel-opment</w:t>
      </w:r>
      <w:proofErr w:type="spellEnd"/>
      <w:r>
        <w:rPr>
          <w:rFonts w:ascii="Times New Roman" w:eastAsia="Times New Roman" w:hAnsi="Times New Roman" w:cs="Times New Roman"/>
          <w:color w:val="000000"/>
        </w:rPr>
        <w:t xml:space="preserve"> of integrated land-use planning in developing countries: the case of Paraguay. Land 11(8):1339. DOI: </w:t>
      </w:r>
      <w:hyperlink r:id="rId27">
        <w:r>
          <w:rPr>
            <w:rFonts w:ascii="Times New Roman" w:eastAsia="Times New Roman" w:hAnsi="Times New Roman" w:cs="Times New Roman"/>
            <w:color w:val="0000FF"/>
          </w:rPr>
          <w:t>10.3390/land11081339</w:t>
        </w:r>
      </w:hyperlink>
    </w:p>
    <w:p w:rsidR="00341E20" w:rsidRDefault="00E91A95">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Dhonde</w:t>
      </w:r>
      <w:proofErr w:type="spellEnd"/>
      <w:r>
        <w:rPr>
          <w:rFonts w:ascii="Times New Roman" w:eastAsia="Times New Roman" w:hAnsi="Times New Roman" w:cs="Times New Roman"/>
          <w:color w:val="000000"/>
        </w:rPr>
        <w:t xml:space="preserve">, M., </w:t>
      </w:r>
      <w:proofErr w:type="spellStart"/>
      <w:r>
        <w:rPr>
          <w:rFonts w:ascii="Times New Roman" w:eastAsia="Times New Roman" w:hAnsi="Times New Roman" w:cs="Times New Roman"/>
          <w:color w:val="000000"/>
        </w:rPr>
        <w:t>Sahu</w:t>
      </w:r>
      <w:proofErr w:type="spellEnd"/>
      <w:r>
        <w:rPr>
          <w:rFonts w:ascii="Times New Roman" w:eastAsia="Times New Roman" w:hAnsi="Times New Roman" w:cs="Times New Roman"/>
          <w:color w:val="000000"/>
        </w:rPr>
        <w:t xml:space="preserve">, K., &amp; </w:t>
      </w:r>
      <w:proofErr w:type="spellStart"/>
      <w:r>
        <w:rPr>
          <w:rFonts w:ascii="Times New Roman" w:eastAsia="Times New Roman" w:hAnsi="Times New Roman" w:cs="Times New Roman"/>
          <w:color w:val="000000"/>
        </w:rPr>
        <w:t>Murty</w:t>
      </w:r>
      <w:proofErr w:type="spellEnd"/>
      <w:r>
        <w:rPr>
          <w:rFonts w:ascii="Times New Roman" w:eastAsia="Times New Roman" w:hAnsi="Times New Roman" w:cs="Times New Roman"/>
          <w:color w:val="000000"/>
        </w:rPr>
        <w:t xml:space="preserve">, V. V. S. (2022) The application of solar-driven technologies for the sustainable development of agriculture farming: a comprehensive review. Rev Environ Sci </w:t>
      </w:r>
      <w:proofErr w:type="spellStart"/>
      <w:r>
        <w:rPr>
          <w:rFonts w:ascii="Times New Roman" w:eastAsia="Times New Roman" w:hAnsi="Times New Roman" w:cs="Times New Roman"/>
          <w:color w:val="000000"/>
        </w:rPr>
        <w:t>Biotechnol</w:t>
      </w:r>
      <w:proofErr w:type="spellEnd"/>
      <w:r>
        <w:rPr>
          <w:rFonts w:ascii="Times New Roman" w:eastAsia="Times New Roman" w:hAnsi="Times New Roman" w:cs="Times New Roman"/>
          <w:color w:val="000000"/>
        </w:rPr>
        <w:t xml:space="preserve"> 21(1):139–167. DOI: </w:t>
      </w:r>
      <w:hyperlink r:id="rId28">
        <w:r>
          <w:rPr>
            <w:rFonts w:ascii="Times New Roman" w:eastAsia="Times New Roman" w:hAnsi="Times New Roman" w:cs="Times New Roman"/>
            <w:color w:val="0000FF"/>
          </w:rPr>
          <w:t>10.1007/s11157-022-09611-6</w:t>
        </w:r>
      </w:hyperlink>
    </w:p>
    <w:p w:rsidR="00341E20" w:rsidRDefault="00E91A95">
      <w:pPr>
        <w:numPr>
          <w:ilvl w:val="0"/>
          <w:numId w:val="1"/>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ICAR Annual Reports: ICAR (2022). Annual Report on Farmer FIRST </w:t>
      </w:r>
      <w:proofErr w:type="spellStart"/>
      <w:r>
        <w:rPr>
          <w:rFonts w:ascii="Times New Roman" w:eastAsia="Times New Roman" w:hAnsi="Times New Roman" w:cs="Times New Roman"/>
          <w:color w:val="000000"/>
        </w:rPr>
        <w:t>Programme</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Indian Council of Agricultural Research</w:t>
      </w:r>
      <w:r>
        <w:rPr>
          <w:rFonts w:ascii="Times New Roman" w:eastAsia="Times New Roman" w:hAnsi="Times New Roman" w:cs="Times New Roman"/>
          <w:color w:val="000000"/>
        </w:rPr>
        <w:t xml:space="preserve">, New Delhi. </w:t>
      </w:r>
    </w:p>
    <w:sectPr w:rsidR="00341E20">
      <w:headerReference w:type="even" r:id="rId29"/>
      <w:headerReference w:type="default" r:id="rId30"/>
      <w:footerReference w:type="even" r:id="rId31"/>
      <w:footerReference w:type="default" r:id="rId32"/>
      <w:headerReference w:type="first" r:id="rId33"/>
      <w:footerReference w:type="first" r:id="rId34"/>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1178" w:rsidRDefault="00AF1178">
      <w:pPr>
        <w:spacing w:after="0" w:line="240" w:lineRule="auto"/>
      </w:pPr>
      <w:r>
        <w:separator/>
      </w:r>
    </w:p>
  </w:endnote>
  <w:endnote w:type="continuationSeparator" w:id="0">
    <w:p w:rsidR="00AF1178" w:rsidRDefault="00AF11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embedRegular r:id="rId1" w:fontKey="{311D61CE-0C88-4526-A9A9-66D0B679C2C4}"/>
    <w:embedBold r:id="rId2" w:fontKey="{F49EF208-5D76-4606-8F62-08E4C8757EC7}"/>
    <w:embedItalic r:id="rId3" w:fontKey="{B39038BA-055F-4178-97BC-52FBB0EEC6A2}"/>
    <w:embedBoldItalic r:id="rId4" w:fontKey="{6A8669EC-7EA7-4EB5-9835-EFD52AAA9E89}"/>
  </w:font>
  <w:font w:name="Calibri">
    <w:panose1 w:val="020F0502020204030204"/>
    <w:charset w:val="00"/>
    <w:family w:val="swiss"/>
    <w:pitch w:val="variable"/>
    <w:sig w:usb0="E4002EFF" w:usb1="C200247B" w:usb2="00000009" w:usb3="00000000" w:csb0="000001FF" w:csb1="00000000"/>
    <w:embedRegular r:id="rId5" w:fontKey="{C56DD01A-D354-43BF-818D-560C14C5CE10}"/>
    <w:embedBold r:id="rId6" w:fontKey="{2C2FB0B6-3256-4B8C-96DE-81CD9D1120E7}"/>
    <w:embedItalic r:id="rId7" w:fontKey="{83D31893-675A-435A-BCDD-E03DF27382C8}"/>
    <w:embedBoldItalic r:id="rId8" w:fontKey="{36860CBB-710D-4788-A1D0-77E0D7A31A69}"/>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9" w:fontKey="{9AC0C4C3-F337-411F-8DE2-8CCB33CC4164}"/>
  </w:font>
  <w:font w:name="Gungsuh">
    <w:charset w:val="81"/>
    <w:family w:val="roman"/>
    <w:pitch w:val="variable"/>
    <w:sig w:usb0="B00002AF" w:usb1="69D77CFB" w:usb2="00000030" w:usb3="00000000" w:csb0="0008009F" w:csb1="00000000"/>
    <w:embedRegular r:id="rId10" w:subsetted="1" w:fontKey="{00403D7F-0ED0-421D-A1EE-4176564FFE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E20" w:rsidRDefault="00341E20">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E20" w:rsidRDefault="00341E2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E20" w:rsidRDefault="00341E2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1178" w:rsidRDefault="00AF1178">
      <w:pPr>
        <w:spacing w:after="0" w:line="240" w:lineRule="auto"/>
      </w:pPr>
      <w:r>
        <w:separator/>
      </w:r>
    </w:p>
  </w:footnote>
  <w:footnote w:type="continuationSeparator" w:id="0">
    <w:p w:rsidR="00AF1178" w:rsidRDefault="00AF11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E20" w:rsidRDefault="008A3070">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40.35pt;height:68.7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E20" w:rsidRDefault="008A3070">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40.35pt;height:68.7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E20" w:rsidRDefault="008A3070">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40.35pt;height:68.7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102775"/>
    <w:multiLevelType w:val="multilevel"/>
    <w:tmpl w:val="FFA60FDA"/>
    <w:lvl w:ilvl="0">
      <w:start w:val="1"/>
      <w:numFmt w:val="decimal"/>
      <w:pStyle w:val="ListBulle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hideSpellingErrors/>
  <w:hideGrammaticalErrors/>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CytLCwMDc1NbO0MLNU0lEKTi0uzszPAykwrAUAwHYiZywAAAA="/>
  </w:docVars>
  <w:rsids>
    <w:rsidRoot w:val="00341E20"/>
    <w:rsid w:val="00341E20"/>
    <w:rsid w:val="004F13B5"/>
    <w:rsid w:val="006A5C1C"/>
    <w:rsid w:val="008A3070"/>
    <w:rsid w:val="00A348C8"/>
    <w:rsid w:val="00AF1178"/>
    <w:rsid w:val="00BF628E"/>
    <w:rsid w:val="00E91A95"/>
    <w:rsid w:val="00EF56B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DD228E"/>
  <w15:docId w15:val="{FF21BE85-7E4C-4746-9C21-D44844E5E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n" w:eastAsia="en-I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tabs>
        <w:tab w:val="num" w:pos="720"/>
      </w:tabs>
      <w:ind w:left="720" w:hanging="720"/>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a">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BF2510"/>
    <w:rPr>
      <w:color w:val="0000FF" w:themeColor="hyperlink"/>
      <w:u w:val="single"/>
    </w:rPr>
  </w:style>
  <w:style w:type="character" w:customStyle="1" w:styleId="UnresolvedMention1">
    <w:name w:val="Unresolved Mention1"/>
    <w:basedOn w:val="DefaultParagraphFont"/>
    <w:uiPriority w:val="99"/>
    <w:semiHidden/>
    <w:unhideWhenUsed/>
    <w:rsid w:val="00BF2510"/>
    <w:rPr>
      <w:color w:val="605E5C"/>
      <w:shd w:val="clear" w:color="auto" w:fill="E1DFDD"/>
    </w:rPr>
  </w:style>
  <w:style w:type="table" w:customStyle="1" w:styleId="a0">
    <w:basedOn w:val="TableNormal"/>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792DC3"/>
    <w:rPr>
      <w:sz w:val="16"/>
      <w:szCs w:val="16"/>
    </w:rPr>
  </w:style>
  <w:style w:type="paragraph" w:styleId="CommentText">
    <w:name w:val="annotation text"/>
    <w:basedOn w:val="Normal"/>
    <w:link w:val="CommentTextChar"/>
    <w:uiPriority w:val="99"/>
    <w:semiHidden/>
    <w:unhideWhenUsed/>
    <w:rsid w:val="00792DC3"/>
    <w:pPr>
      <w:spacing w:line="240" w:lineRule="auto"/>
    </w:pPr>
    <w:rPr>
      <w:sz w:val="20"/>
      <w:szCs w:val="20"/>
    </w:rPr>
  </w:style>
  <w:style w:type="character" w:customStyle="1" w:styleId="CommentTextChar">
    <w:name w:val="Comment Text Char"/>
    <w:basedOn w:val="DefaultParagraphFont"/>
    <w:link w:val="CommentText"/>
    <w:uiPriority w:val="99"/>
    <w:semiHidden/>
    <w:rsid w:val="00792DC3"/>
    <w:rPr>
      <w:sz w:val="20"/>
      <w:szCs w:val="20"/>
    </w:rPr>
  </w:style>
  <w:style w:type="paragraph" w:styleId="CommentSubject">
    <w:name w:val="annotation subject"/>
    <w:basedOn w:val="CommentText"/>
    <w:next w:val="CommentText"/>
    <w:link w:val="CommentSubjectChar"/>
    <w:uiPriority w:val="99"/>
    <w:semiHidden/>
    <w:unhideWhenUsed/>
    <w:rsid w:val="00792DC3"/>
    <w:rPr>
      <w:b/>
      <w:bCs/>
    </w:rPr>
  </w:style>
  <w:style w:type="character" w:customStyle="1" w:styleId="CommentSubjectChar">
    <w:name w:val="Comment Subject Char"/>
    <w:basedOn w:val="CommentTextChar"/>
    <w:link w:val="CommentSubject"/>
    <w:uiPriority w:val="99"/>
    <w:semiHidden/>
    <w:rsid w:val="00792DC3"/>
    <w:rPr>
      <w:b/>
      <w:bCs/>
      <w:sz w:val="20"/>
      <w:szCs w:val="20"/>
    </w:rPr>
  </w:style>
  <w:style w:type="paragraph" w:styleId="BalloonText">
    <w:name w:val="Balloon Text"/>
    <w:basedOn w:val="Normal"/>
    <w:link w:val="BalloonTextChar"/>
    <w:uiPriority w:val="99"/>
    <w:semiHidden/>
    <w:unhideWhenUsed/>
    <w:rsid w:val="00792D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DC3"/>
    <w:rPr>
      <w:rFonts w:ascii="Segoe UI" w:hAnsi="Segoe UI" w:cs="Segoe UI"/>
      <w:sz w:val="18"/>
      <w:szCs w:val="18"/>
    </w:rPr>
  </w:style>
  <w:style w:type="table" w:customStyle="1" w:styleId="a1">
    <w:basedOn w:val="TableNormal"/>
    <w:tblPr>
      <w:tblStyleRowBandSize w:val="1"/>
      <w:tblStyleColBandSize w:val="1"/>
      <w:tblCellMar>
        <w:left w:w="115" w:type="dxa"/>
        <w:right w:w="115" w:type="dxa"/>
      </w:tblCellMar>
    </w:tbl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4018/979-8-3693-4864-2.ch001" TargetMode="External"/><Relationship Id="rId18" Type="http://schemas.openxmlformats.org/officeDocument/2006/relationships/hyperlink" Target="https://doi.org/10.3390/s22093273" TargetMode="External"/><Relationship Id="rId26" Type="http://schemas.openxmlformats.org/officeDocument/2006/relationships/hyperlink" Target="https://doi.org/10.1016/j.crsust.2021.100076" TargetMode="External"/><Relationship Id="rId3" Type="http://schemas.openxmlformats.org/officeDocument/2006/relationships/styles" Target="styles.xml"/><Relationship Id="rId21" Type="http://schemas.openxmlformats.org/officeDocument/2006/relationships/hyperlink" Target="https://doi.org/10.3390/en14133856"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oi.org/10.2134/asaspecpub67.c5" TargetMode="External"/><Relationship Id="rId17" Type="http://schemas.openxmlformats.org/officeDocument/2006/relationships/hyperlink" Target="https://doi.org/10.1007/978-3-030-61010-4_7" TargetMode="External"/><Relationship Id="rId25" Type="http://schemas.openxmlformats.org/officeDocument/2006/relationships/hyperlink" Target="https://doi.org/10.1007/978-981-19-4602-8_4"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doi.org/10.1111/raq.12664" TargetMode="External"/><Relationship Id="rId20" Type="http://schemas.openxmlformats.org/officeDocument/2006/relationships/hyperlink" Target="https://doi.org/10.1007/978-981-15-9132-7_7"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390/w13192660" TargetMode="External"/><Relationship Id="rId24" Type="http://schemas.openxmlformats.org/officeDocument/2006/relationships/hyperlink" Target="https://doi.org/10.3390/foods10010135"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1039/D2FB00016D" TargetMode="External"/><Relationship Id="rId23" Type="http://schemas.openxmlformats.org/officeDocument/2006/relationships/hyperlink" Target="https://doi.org/10.48165/IJEE.2023.59121" TargetMode="External"/><Relationship Id="rId28" Type="http://schemas.openxmlformats.org/officeDocument/2006/relationships/hyperlink" Target="https://doi.org/10.1007/s11157-022-09611-6" TargetMode="External"/><Relationship Id="rId36" Type="http://schemas.openxmlformats.org/officeDocument/2006/relationships/theme" Target="theme/theme1.xml"/><Relationship Id="rId10" Type="http://schemas.openxmlformats.org/officeDocument/2006/relationships/hyperlink" Target="https://doi.org/10.1016/j.agsy.2020.102809" TargetMode="External"/><Relationship Id="rId19" Type="http://schemas.openxmlformats.org/officeDocument/2006/relationships/hyperlink" Target="https://doi.org/10.1016/bs.agron.2022.08.001"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oi.org/10.3390/su15065413" TargetMode="External"/><Relationship Id="rId14" Type="http://schemas.openxmlformats.org/officeDocument/2006/relationships/hyperlink" Target="https://doi.org/10.1016/j.wasman.2020.09.040" TargetMode="External"/><Relationship Id="rId22" Type="http://schemas.openxmlformats.org/officeDocument/2006/relationships/hyperlink" Target="https://doi.org/10.1016/B978-0-12-820286-9.00005-4" TargetMode="External"/><Relationship Id="rId27" Type="http://schemas.openxmlformats.org/officeDocument/2006/relationships/hyperlink" Target="https://doi.org/10.3390/land11081339"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s://doi.org/10.1016/j.jclepro.2023.14036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Ke+iYGzufiia+ZYgHsz9TGFdGw==">CgMxLjAaJQoBMBIgCh4IB0IaCg9UaW1lcyBOZXcgUm9tYW4SB0d1bmdzdWgaJQoBMRIgCh4IB0IaCg9UaW1lcyBOZXcgUm9tYW4SB0d1bmdzdWgaJQoBMhIgCh4IB0IaCg9UaW1lcyBOZXcgUm9tYW4SB0d1bmdzdWgaJQoBMxIgCh4IB0IaCg9UaW1lcyBOZXcgUm9tYW4SB0d1bmdzdWgaJQoBNBIgCh4IB0IaCg9UaW1lcyBOZXcgUm9tYW4SB0d1bmdzdWgyDmguZmtibTJma2tod281Mg5oLmY5dzhvYjk5N3N2MDIOaC5lOGo3MGxoZmlzOWgyDmguZnhjdGlkdXF1eXpoMg5oLnBkcHpqYW14dmp2bzIOaC42dW0xaGxheGJtNmQyDmgudXk1amg5bnFrN2JjMg5oLm1xaDBkem92djlpMzgAciExcVVJWDlZVFJDaFRGeTU5d1RzS1F5U0JMUzg2QWZXMl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3366</Words>
  <Characters>19192</Characters>
  <Application>Microsoft Office Word</Application>
  <DocSecurity>0</DocSecurity>
  <Lines>159</Lines>
  <Paragraphs>45</Paragraphs>
  <ScaleCrop>false</ScaleCrop>
  <Company/>
  <LinksUpToDate>false</LinksUpToDate>
  <CharactersWithSpaces>22513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SDI PC New 16</cp:lastModifiedBy>
  <cp:revision>7</cp:revision>
  <dcterms:created xsi:type="dcterms:W3CDTF">2013-12-23T23:15:00Z</dcterms:created>
  <dcterms:modified xsi:type="dcterms:W3CDTF">2026-04-10T12:49:00Z</dcterms:modified>
</cp:coreProperties>
</file>