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D06C5" w:rsidRDefault="00845966">
      <w:pPr>
        <w:widowControl w:val="0"/>
        <w:pBdr>
          <w:top w:val="nil"/>
          <w:left w:val="nil"/>
          <w:bottom w:val="nil"/>
          <w:right w:val="nil"/>
          <w:between w:val="nil"/>
        </w:pBdr>
        <w:spacing w:after="0"/>
      </w:pPr>
      <w:r>
        <w:pict w14:anchorId="52AE0B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50pt;height:50pt;z-index:251656704;visibility:hidden">
            <o:lock v:ext="edit" selection="t"/>
          </v:shape>
        </w:pict>
      </w:r>
      <w:r>
        <w:pict w14:anchorId="1DD9470A">
          <v:shape id="_x0000_s1027" type="#_x0000_t136" style="position:absolute;margin-left:0;margin-top:0;width:50pt;height:50pt;z-index:251657728;visibility:hidden">
            <o:lock v:ext="edit" selection="t"/>
          </v:shape>
        </w:pict>
      </w:r>
      <w:r>
        <w:pict w14:anchorId="5CA14BE9">
          <v:shape id="_x0000_s1026" type="#_x0000_t136" style="position:absolute;margin-left:0;margin-top:0;width:50pt;height:50pt;z-index:251658752;visibility:hidden">
            <o:lock v:ext="edit" selection="t"/>
          </v:shape>
        </w:pict>
      </w:r>
    </w:p>
    <w:p w:rsidR="005D06C5" w:rsidRDefault="00845966">
      <w:pPr>
        <w:jc w:val="both"/>
        <w:rPr>
          <w:rFonts w:ascii="Times New Roman" w:eastAsia="Times New Roman" w:hAnsi="Times New Roman" w:cs="Times New Roman"/>
          <w:b/>
          <w:bCs/>
          <w:sz w:val="24"/>
          <w:szCs w:val="24"/>
        </w:rPr>
      </w:pPr>
      <w:bookmarkStart w:id="0" w:name="_heading=h.fkbm2fkkhwo5" w:colFirst="0" w:colLast="0"/>
      <w:bookmarkEnd w:id="0"/>
      <w:r>
        <w:rPr>
          <w:rFonts w:ascii="Times New Roman" w:eastAsia="Times New Roman" w:hAnsi="Times New Roman" w:cs="Times New Roman"/>
          <w:b/>
          <w:bCs/>
          <w:sz w:val="24"/>
          <w:szCs w:val="24"/>
        </w:rPr>
        <w:t xml:space="preserve">Impact of the Farmer FIRST </w:t>
      </w:r>
      <w:proofErr w:type="spellStart"/>
      <w:r>
        <w:rPr>
          <w:rFonts w:ascii="Times New Roman" w:eastAsia="Times New Roman" w:hAnsi="Times New Roman" w:cs="Times New Roman"/>
          <w:b/>
          <w:bCs/>
          <w:sz w:val="24"/>
          <w:szCs w:val="24"/>
        </w:rPr>
        <w:t>Programme</w:t>
      </w:r>
      <w:proofErr w:type="spellEnd"/>
      <w:r>
        <w:rPr>
          <w:rFonts w:ascii="Times New Roman" w:eastAsia="Times New Roman" w:hAnsi="Times New Roman" w:cs="Times New Roman"/>
          <w:b/>
          <w:bCs/>
          <w:sz w:val="24"/>
          <w:szCs w:val="24"/>
        </w:rPr>
        <w:t xml:space="preserve"> on Socio-Economic and Psychological Characteristics of Farmers in Morena District, Madhya Pradesh</w:t>
      </w:r>
    </w:p>
    <w:p w:rsidR="005D06C5" w:rsidRDefault="00845966">
      <w:pPr>
        <w:rPr>
          <w:rFonts w:ascii="Times New Roman" w:eastAsia="Times New Roman" w:hAnsi="Times New Roman" w:cs="Times New Roman"/>
          <w:b/>
          <w:bCs/>
        </w:rPr>
      </w:pPr>
      <w:r>
        <w:rPr>
          <w:rFonts w:ascii="Times New Roman" w:eastAsia="Times New Roman" w:hAnsi="Times New Roman" w:cs="Times New Roman"/>
          <w:sz w:val="24"/>
          <w:szCs w:val="24"/>
        </w:rPr>
        <w:t>________________________________________________________________________</w:t>
      </w:r>
    </w:p>
    <w:p w:rsidR="005D06C5" w:rsidRDefault="00845966">
      <w:pPr>
        <w:spacing w:before="240" w:after="0" w:line="240" w:lineRule="auto"/>
        <w:rPr>
          <w:rFonts w:ascii="Times New Roman" w:eastAsia="Times New Roman" w:hAnsi="Times New Roman" w:cs="Times New Roman"/>
          <w:b/>
          <w:bCs/>
        </w:rPr>
      </w:pPr>
      <w:r>
        <w:rPr>
          <w:rFonts w:ascii="Times New Roman" w:eastAsia="Times New Roman" w:hAnsi="Times New Roman" w:cs="Times New Roman"/>
          <w:b/>
          <w:bCs/>
        </w:rPr>
        <w:t>Abstract</w:t>
      </w:r>
    </w:p>
    <w:p w:rsidR="005D06C5" w:rsidRDefault="00845966">
      <w:pPr>
        <w:spacing w:before="240" w:after="240" w:line="240" w:lineRule="auto"/>
        <w:jc w:val="both"/>
        <w:rPr>
          <w:rFonts w:ascii="Times New Roman" w:eastAsia="Times New Roman" w:hAnsi="Times New Roman" w:cs="Times New Roman"/>
        </w:rPr>
      </w:pPr>
      <w:bookmarkStart w:id="1" w:name="_heading=h.e8j70lhfis9h" w:colFirst="0" w:colLast="0"/>
      <w:bookmarkEnd w:id="1"/>
      <w:r>
        <w:rPr>
          <w:rFonts w:ascii="Times New Roman" w:eastAsia="Times New Roman" w:hAnsi="Times New Roman" w:cs="Times New Roman"/>
        </w:rPr>
        <w:t xml:space="preserve">The present study examined the </w:t>
      </w:r>
      <w:r>
        <w:rPr>
          <w:rFonts w:ascii="Times New Roman" w:eastAsia="Times New Roman" w:hAnsi="Times New Roman" w:cs="Times New Roman"/>
          <w:sz w:val="24"/>
          <w:szCs w:val="24"/>
        </w:rPr>
        <w:t xml:space="preserve">Impact of the Farmer FIRST </w:t>
      </w:r>
      <w:proofErr w:type="spellStart"/>
      <w:r>
        <w:rPr>
          <w:rFonts w:ascii="Times New Roman" w:eastAsia="Times New Roman" w:hAnsi="Times New Roman" w:cs="Times New Roman"/>
          <w:sz w:val="24"/>
          <w:szCs w:val="24"/>
        </w:rPr>
        <w:t>Programme</w:t>
      </w:r>
      <w:proofErr w:type="spellEnd"/>
      <w:r>
        <w:rPr>
          <w:rFonts w:ascii="Times New Roman" w:eastAsia="Times New Roman" w:hAnsi="Times New Roman" w:cs="Times New Roman"/>
          <w:sz w:val="24"/>
          <w:szCs w:val="24"/>
        </w:rPr>
        <w:t xml:space="preserve"> on Socio-Economic and Psychological Characteristics of Farmers in Morena District, Madhya Pradesh. </w:t>
      </w:r>
      <w:r>
        <w:rPr>
          <w:rFonts w:ascii="Times New Roman" w:eastAsia="Times New Roman" w:hAnsi="Times New Roman" w:cs="Times New Roman"/>
        </w:rPr>
        <w:t>An ex-post facto research design was employed with a sample of 120 farmers comprising 60 beneficiaries and 60 non-benefi</w:t>
      </w:r>
      <w:r>
        <w:rPr>
          <w:rFonts w:ascii="Times New Roman" w:eastAsia="Times New Roman" w:hAnsi="Times New Roman" w:cs="Times New Roman"/>
        </w:rPr>
        <w:t>ciaries. Data were collected using a structured interview schedule and analyzed using mean and standard deviation methods. The findings revealed that FFP beneficiaries were relatively younger, better educated and possessed larger landholdings compared to n</w:t>
      </w:r>
      <w:r>
        <w:rPr>
          <w:rFonts w:ascii="Times New Roman" w:eastAsia="Times New Roman" w:hAnsi="Times New Roman" w:cs="Times New Roman"/>
        </w:rPr>
        <w:t>on-beneficiaries. Beneficiaries also reported higher annual income, greater use of information sources, stronger extension contact and higher exposure to mass media. In terms of psychological attributes, beneficiaries showed higher levels of economic motiv</w:t>
      </w:r>
      <w:r>
        <w:rPr>
          <w:rFonts w:ascii="Times New Roman" w:eastAsia="Times New Roman" w:hAnsi="Times New Roman" w:cs="Times New Roman"/>
        </w:rPr>
        <w:t xml:space="preserve">ation, scientific orientation and risk-taking ability. The results indicate that the Farmer FIRST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has contributed positively to improving farmers’ socio-economic conditions and strengthening their readiness to adopt innovative agricultural practi</w:t>
      </w:r>
      <w:r>
        <w:rPr>
          <w:rFonts w:ascii="Times New Roman" w:eastAsia="Times New Roman" w:hAnsi="Times New Roman" w:cs="Times New Roman"/>
        </w:rPr>
        <w:t>ces.</w:t>
      </w:r>
    </w:p>
    <w:p w:rsidR="005D06C5" w:rsidRDefault="00845966">
      <w:pPr>
        <w:spacing w:before="240" w:after="240" w:line="240" w:lineRule="auto"/>
        <w:jc w:val="both"/>
        <w:rPr>
          <w:rFonts w:ascii="Times New Roman" w:eastAsia="Times New Roman" w:hAnsi="Times New Roman" w:cs="Times New Roman"/>
          <w:b/>
          <w:bCs/>
        </w:rPr>
      </w:pPr>
      <w:r>
        <w:rPr>
          <w:rFonts w:ascii="Times New Roman" w:eastAsia="Times New Roman" w:hAnsi="Times New Roman" w:cs="Times New Roman"/>
          <w:b/>
          <w:bCs/>
        </w:rPr>
        <w:t>Keywords</w:t>
      </w:r>
      <w:r>
        <w:rPr>
          <w:rFonts w:ascii="Times New Roman" w:eastAsia="Times New Roman" w:hAnsi="Times New Roman" w:cs="Times New Roman"/>
        </w:rPr>
        <w:t xml:space="preserve">: Socio-economic Profile, Psychological Attributes, Farmer FIRST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Integrated Farming System.</w:t>
      </w:r>
    </w:p>
    <w:p w:rsidR="005D06C5" w:rsidRDefault="00845966">
      <w:pPr>
        <w:spacing w:before="240"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Introduction</w:t>
      </w:r>
    </w:p>
    <w:p w:rsidR="005D06C5" w:rsidRDefault="00845966">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 xml:space="preserve">Agriculture remains a vital sector for livelihood security in rural India. The success of agricultural development </w:t>
      </w:r>
      <w:proofErr w:type="spellStart"/>
      <w:r>
        <w:rPr>
          <w:rFonts w:ascii="Times New Roman" w:eastAsia="Times New Roman" w:hAnsi="Times New Roman" w:cs="Times New Roman"/>
        </w:rPr>
        <w:t>programmes</w:t>
      </w:r>
      <w:proofErr w:type="spellEnd"/>
      <w:r>
        <w:rPr>
          <w:rFonts w:ascii="Times New Roman" w:eastAsia="Times New Roman" w:hAnsi="Times New Roman" w:cs="Times New Roman"/>
        </w:rPr>
        <w:t xml:space="preserve"> l</w:t>
      </w:r>
      <w:r>
        <w:rPr>
          <w:rFonts w:ascii="Times New Roman" w:eastAsia="Times New Roman" w:hAnsi="Times New Roman" w:cs="Times New Roman"/>
        </w:rPr>
        <w:t>argely depends on the socio-economic and psychological characteristics of farmers. Factors such as age, education, landholding size, income level, access to information and extension contact influence farmers’ decision-making processes and their willingnes</w:t>
      </w:r>
      <w:r>
        <w:rPr>
          <w:rFonts w:ascii="Times New Roman" w:eastAsia="Times New Roman" w:hAnsi="Times New Roman" w:cs="Times New Roman"/>
        </w:rPr>
        <w:t>s to adopt improved agricultural practices. Psychological attributes like economic motivation, scientific orientation and risk-taking ability also play an important role in determining the adoption of innovations in farming.</w:t>
      </w:r>
    </w:p>
    <w:p w:rsidR="005D06C5" w:rsidRDefault="00845966">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To strengthen farmer-centered a</w:t>
      </w:r>
      <w:r>
        <w:rPr>
          <w:rFonts w:ascii="Times New Roman" w:eastAsia="Times New Roman" w:hAnsi="Times New Roman" w:cs="Times New Roman"/>
        </w:rPr>
        <w:t xml:space="preserve">gricultural development, the Indian Council of Agricultural Research (ICAR) launched the Farmer FIRST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(FFP). The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aims to reorient agricultural research and extension by placing farmers at the </w:t>
      </w:r>
      <w:proofErr w:type="spellStart"/>
      <w:r>
        <w:rPr>
          <w:rFonts w:ascii="Times New Roman" w:eastAsia="Times New Roman" w:hAnsi="Times New Roman" w:cs="Times New Roman"/>
        </w:rPr>
        <w:t>centre</w:t>
      </w:r>
      <w:proofErr w:type="spellEnd"/>
      <w:r>
        <w:rPr>
          <w:rFonts w:ascii="Times New Roman" w:eastAsia="Times New Roman" w:hAnsi="Times New Roman" w:cs="Times New Roman"/>
        </w:rPr>
        <w:t xml:space="preserve"> of innovation and technology dissemin</w:t>
      </w:r>
      <w:r>
        <w:rPr>
          <w:rFonts w:ascii="Times New Roman" w:eastAsia="Times New Roman" w:hAnsi="Times New Roman" w:cs="Times New Roman"/>
        </w:rPr>
        <w:t xml:space="preserve">ation. The acronym “FIRST” represents Farm, Innovations, Resources, Science and Technology. The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emphasizes participatory approaches, farmer–scientist interaction and location-specific technological interventions that integrate scientific knowledg</w:t>
      </w:r>
      <w:r>
        <w:rPr>
          <w:rFonts w:ascii="Times New Roman" w:eastAsia="Times New Roman" w:hAnsi="Times New Roman" w:cs="Times New Roman"/>
        </w:rPr>
        <w:t>e with farmers’ practical experience.</w:t>
      </w:r>
    </w:p>
    <w:p w:rsidR="005D06C5" w:rsidRDefault="00845966">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 xml:space="preserve">The Farmer FIRST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promotes integrated farming systems, capacity building, training and field demonstrations to improve farm productivity and livelihood security. By encouraging farmers’ participation in identi</w:t>
      </w:r>
      <w:r>
        <w:rPr>
          <w:rFonts w:ascii="Times New Roman" w:eastAsia="Times New Roman" w:hAnsi="Times New Roman" w:cs="Times New Roman"/>
        </w:rPr>
        <w:t xml:space="preserve">fying problems and testing new technologies, the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helps strengthen farmers’ knowledge, confidence and ability to adopt improved farming practices. Understanding the socio-economic background and psychological characteristics of farmers is therefor</w:t>
      </w:r>
      <w:r>
        <w:rPr>
          <w:rFonts w:ascii="Times New Roman" w:eastAsia="Times New Roman" w:hAnsi="Times New Roman" w:cs="Times New Roman"/>
        </w:rPr>
        <w:t xml:space="preserve">e essential for assessing the effectiveness of such </w:t>
      </w:r>
      <w:proofErr w:type="spellStart"/>
      <w:r>
        <w:rPr>
          <w:rFonts w:ascii="Times New Roman" w:eastAsia="Times New Roman" w:hAnsi="Times New Roman" w:cs="Times New Roman"/>
        </w:rPr>
        <w:t>programmes</w:t>
      </w:r>
      <w:proofErr w:type="spellEnd"/>
      <w:r>
        <w:rPr>
          <w:rFonts w:ascii="Times New Roman" w:eastAsia="Times New Roman" w:hAnsi="Times New Roman" w:cs="Times New Roman"/>
        </w:rPr>
        <w:t>.</w:t>
      </w:r>
    </w:p>
    <w:p w:rsidR="005D06C5" w:rsidRDefault="00845966">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Morena District of Madhya Pradesh represents a region where agriculture is a major source of livelihood and farmers face diverse socio-economic challenges. Evaluating the impact of </w:t>
      </w:r>
      <w:proofErr w:type="spellStart"/>
      <w:r>
        <w:rPr>
          <w:rFonts w:ascii="Times New Roman" w:eastAsia="Times New Roman" w:hAnsi="Times New Roman" w:cs="Times New Roman"/>
        </w:rPr>
        <w:t>programmes</w:t>
      </w:r>
      <w:proofErr w:type="spellEnd"/>
      <w:r>
        <w:rPr>
          <w:rFonts w:ascii="Times New Roman" w:eastAsia="Times New Roman" w:hAnsi="Times New Roman" w:cs="Times New Roman"/>
        </w:rPr>
        <w:t xml:space="preserve"> </w:t>
      </w:r>
      <w:r>
        <w:rPr>
          <w:rFonts w:ascii="Times New Roman" w:eastAsia="Times New Roman" w:hAnsi="Times New Roman" w:cs="Times New Roman"/>
        </w:rPr>
        <w:t>like FFP in such regions can provide valuable insights for improving agricultural extension strategies and policy interventions.</w:t>
      </w:r>
    </w:p>
    <w:p w:rsidR="005D06C5" w:rsidRDefault="00845966">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Therefore, the present study was undertaken to analyze the socio-economic profile and psychological attributes of farmers parti</w:t>
      </w:r>
      <w:r>
        <w:rPr>
          <w:rFonts w:ascii="Times New Roman" w:eastAsia="Times New Roman" w:hAnsi="Times New Roman" w:cs="Times New Roman"/>
        </w:rPr>
        <w:t xml:space="preserve">cipating in the Farmer FIRST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in Morena District of Madhya Pradesh and to compare them with non-beneficiary farmers.</w:t>
      </w:r>
    </w:p>
    <w:p w:rsidR="005D06C5" w:rsidRDefault="00845966">
      <w:pPr>
        <w:spacing w:before="280"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Research Methodology</w:t>
      </w:r>
    </w:p>
    <w:p w:rsidR="005D06C5" w:rsidRDefault="00845966">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The present study was conducted in Morena District of Madhya Pradesh to examine the socio-economic profile an</w:t>
      </w:r>
      <w:r>
        <w:rPr>
          <w:rFonts w:ascii="Times New Roman" w:eastAsia="Times New Roman" w:hAnsi="Times New Roman" w:cs="Times New Roman"/>
        </w:rPr>
        <w:t xml:space="preserve">d psychological attributes of farmers under the Farmer FIRST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(FFP). An ex-post facto research design was adopted for the study since the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had already been implemented and the researchers had no control over the independent variables. </w:t>
      </w:r>
    </w:p>
    <w:p w:rsidR="005D06C5" w:rsidRDefault="00845966">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Mo</w:t>
      </w:r>
      <w:r>
        <w:rPr>
          <w:rFonts w:ascii="Times New Roman" w:eastAsia="Times New Roman" w:hAnsi="Times New Roman" w:cs="Times New Roman"/>
        </w:rPr>
        <w:t xml:space="preserve">rena District was purposively selected because the Farmer FIRST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was actively implemented in the area. A total sample of 120 farmers was selected for the study. Out of these, 60 farmers were beneficiaries of the Farmer FIRST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and were sel</w:t>
      </w:r>
      <w:r>
        <w:rPr>
          <w:rFonts w:ascii="Times New Roman" w:eastAsia="Times New Roman" w:hAnsi="Times New Roman" w:cs="Times New Roman"/>
        </w:rPr>
        <w:t xml:space="preserve">ected based on their active participation in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activities. In addition, 60 non-beneficiary farmers were selected from the same villages to ensure similar socio-economic and </w:t>
      </w:r>
      <w:proofErr w:type="spellStart"/>
      <w:r>
        <w:rPr>
          <w:rFonts w:ascii="Times New Roman" w:eastAsia="Times New Roman" w:hAnsi="Times New Roman" w:cs="Times New Roman"/>
        </w:rPr>
        <w:t>agro</w:t>
      </w:r>
      <w:proofErr w:type="spellEnd"/>
      <w:r>
        <w:rPr>
          <w:rFonts w:ascii="Times New Roman" w:eastAsia="Times New Roman" w:hAnsi="Times New Roman" w:cs="Times New Roman"/>
        </w:rPr>
        <w:t>-ecological conditions for comparison.</w:t>
      </w:r>
    </w:p>
    <w:p w:rsidR="005D06C5" w:rsidRDefault="00845966">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Primary data were collected usin</w:t>
      </w:r>
      <w:r>
        <w:rPr>
          <w:rFonts w:ascii="Times New Roman" w:eastAsia="Times New Roman" w:hAnsi="Times New Roman" w:cs="Times New Roman"/>
        </w:rPr>
        <w:t>g a pre-tested structured interview schedule through personal interviews with the selected respondents. The study included several independent variables such as age, education, landholding size, family size, Integrated Farming System (IFS) experience, annu</w:t>
      </w:r>
      <w:r>
        <w:rPr>
          <w:rFonts w:ascii="Times New Roman" w:eastAsia="Times New Roman" w:hAnsi="Times New Roman" w:cs="Times New Roman"/>
        </w:rPr>
        <w:t>al income, information source utilization, enterprise combination, extension contact and mass media exposure. Psychological variables such as economic motivation, scientific orientation and risk orientation were also considered for analysis.</w:t>
      </w:r>
    </w:p>
    <w:p w:rsidR="005D06C5" w:rsidRDefault="00845966">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 xml:space="preserve">The collected </w:t>
      </w:r>
      <w:r>
        <w:rPr>
          <w:rFonts w:ascii="Times New Roman" w:eastAsia="Times New Roman" w:hAnsi="Times New Roman" w:cs="Times New Roman"/>
        </w:rPr>
        <w:t>data were classified, tabulated and analyzed using frequency, percentage and mean with standard deviation methods in order to compare the characteristics of beneficiary and non-beneficiary farmers. The results were presented in tables and interpreted to un</w:t>
      </w:r>
      <w:r>
        <w:rPr>
          <w:rFonts w:ascii="Times New Roman" w:eastAsia="Times New Roman" w:hAnsi="Times New Roman" w:cs="Times New Roman"/>
        </w:rPr>
        <w:t>derstand the differences in socio-economic and psychological attributes between the two groups of respondents.</w:t>
      </w:r>
    </w:p>
    <w:p w:rsidR="005D06C5" w:rsidRDefault="00845966">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Result and Discussion</w:t>
      </w:r>
    </w:p>
    <w:p w:rsidR="005D06C5" w:rsidRDefault="00845966">
      <w:pPr>
        <w:spacing w:before="120"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The socio-economic profile and psychological attributes of farmers under the Farmer FIRST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are presented. The results highlight distinct differences between beneficiaries and non-beneficiaries.</w:t>
      </w:r>
    </w:p>
    <w:p w:rsidR="005D06C5" w:rsidRDefault="00845966">
      <w:pPr>
        <w:spacing w:before="120"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Table 1: Distribution of beneficiary and non-benefici</w:t>
      </w:r>
      <w:r>
        <w:rPr>
          <w:rFonts w:ascii="Times New Roman" w:eastAsia="Times New Roman" w:hAnsi="Times New Roman" w:cs="Times New Roman"/>
          <w:b/>
          <w:bCs/>
        </w:rPr>
        <w:t>ary according to their socio-economic profile and psychological attributes.</w:t>
      </w:r>
    </w:p>
    <w:tbl>
      <w:tblPr>
        <w:tblStyle w:val="a1"/>
        <w:tblW w:w="8610" w:type="dxa"/>
        <w:tblLayout w:type="fixed"/>
        <w:tblLook w:val="0400" w:firstRow="0" w:lastRow="0" w:firstColumn="0" w:lastColumn="0" w:noHBand="0" w:noVBand="1"/>
      </w:tblPr>
      <w:tblGrid>
        <w:gridCol w:w="600"/>
        <w:gridCol w:w="1530"/>
        <w:gridCol w:w="2790"/>
        <w:gridCol w:w="1575"/>
        <w:gridCol w:w="2115"/>
      </w:tblGrid>
      <w:tr w:rsidR="005D06C5">
        <w:tc>
          <w:tcPr>
            <w:tcW w:w="600" w:type="dxa"/>
            <w:tcBorders>
              <w:top w:val="single" w:sz="8" w:space="0" w:color="000000"/>
              <w:left w:val="single" w:sz="8" w:space="0" w:color="000000"/>
              <w:bottom w:val="single" w:sz="8" w:space="0" w:color="000000"/>
              <w:right w:val="single" w:sz="8" w:space="0" w:color="000000"/>
            </w:tcBorders>
            <w:vAlign w:val="center"/>
          </w:tcPr>
          <w:p w:rsidR="005D06C5" w:rsidRDefault="00845966">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S. No</w:t>
            </w:r>
          </w:p>
        </w:tc>
        <w:tc>
          <w:tcPr>
            <w:tcW w:w="1530" w:type="dxa"/>
            <w:tcBorders>
              <w:top w:val="single" w:sz="8" w:space="0" w:color="000000"/>
              <w:left w:val="single" w:sz="8" w:space="0" w:color="000000"/>
              <w:bottom w:val="single" w:sz="8" w:space="0" w:color="000000"/>
              <w:right w:val="single" w:sz="8" w:space="0" w:color="000000"/>
            </w:tcBorders>
            <w:vAlign w:val="center"/>
          </w:tcPr>
          <w:p w:rsidR="005D06C5" w:rsidRDefault="00845966">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Variable</w:t>
            </w:r>
          </w:p>
        </w:tc>
        <w:tc>
          <w:tcPr>
            <w:tcW w:w="2790" w:type="dxa"/>
            <w:tcBorders>
              <w:top w:val="single" w:sz="8" w:space="0" w:color="000000"/>
              <w:left w:val="single" w:sz="8" w:space="0" w:color="000000"/>
              <w:bottom w:val="single" w:sz="8" w:space="0" w:color="000000"/>
              <w:right w:val="single" w:sz="8" w:space="0" w:color="000000"/>
            </w:tcBorders>
            <w:vAlign w:val="center"/>
          </w:tcPr>
          <w:p w:rsidR="005D06C5" w:rsidRDefault="00845966">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Categories</w:t>
            </w:r>
          </w:p>
        </w:tc>
        <w:tc>
          <w:tcPr>
            <w:tcW w:w="1575" w:type="dxa"/>
            <w:tcBorders>
              <w:top w:val="single" w:sz="8" w:space="0" w:color="000000"/>
              <w:left w:val="single" w:sz="8" w:space="0" w:color="000000"/>
              <w:bottom w:val="single" w:sz="8" w:space="0" w:color="000000"/>
              <w:right w:val="single" w:sz="8" w:space="0" w:color="000000"/>
            </w:tcBorders>
            <w:vAlign w:val="center"/>
          </w:tcPr>
          <w:p w:rsidR="005D06C5" w:rsidRDefault="00845966">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Beneficiaries (Freq, %)</w:t>
            </w:r>
          </w:p>
        </w:tc>
        <w:tc>
          <w:tcPr>
            <w:tcW w:w="2115" w:type="dxa"/>
            <w:tcBorders>
              <w:top w:val="single" w:sz="8" w:space="0" w:color="000000"/>
              <w:left w:val="single" w:sz="8" w:space="0" w:color="000000"/>
              <w:bottom w:val="single" w:sz="8" w:space="0" w:color="000000"/>
              <w:right w:val="single" w:sz="8" w:space="0" w:color="000000"/>
            </w:tcBorders>
            <w:vAlign w:val="center"/>
          </w:tcPr>
          <w:p w:rsidR="005D06C5" w:rsidRDefault="00845966">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Non-Beneficiaries (Freq, %)</w:t>
            </w:r>
          </w:p>
        </w:tc>
      </w:tr>
      <w:tr w:rsidR="005D06C5">
        <w:trPr>
          <w:trHeight w:val="220"/>
        </w:trPr>
        <w:tc>
          <w:tcPr>
            <w:tcW w:w="600" w:type="dxa"/>
            <w:vMerge w:val="restart"/>
            <w:tcBorders>
              <w:top w:val="single" w:sz="8" w:space="0" w:color="000000"/>
              <w:left w:val="single" w:sz="8" w:space="0" w:color="000000"/>
              <w:bottom w:val="single" w:sz="8" w:space="0" w:color="000000"/>
              <w:right w:val="single" w:sz="8" w:space="0" w:color="000000"/>
            </w:tcBorders>
            <w:vAlign w:val="center"/>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1530" w:type="dxa"/>
            <w:vMerge w:val="restart"/>
            <w:tcBorders>
              <w:top w:val="single" w:sz="8" w:space="0" w:color="000000"/>
              <w:left w:val="single" w:sz="8" w:space="0" w:color="000000"/>
              <w:bottom w:val="single" w:sz="8" w:space="0" w:color="000000"/>
              <w:right w:val="single" w:sz="8" w:space="0" w:color="000000"/>
            </w:tcBorders>
            <w:vAlign w:val="center"/>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Age</w:t>
            </w:r>
          </w:p>
        </w:tc>
        <w:tc>
          <w:tcPr>
            <w:tcW w:w="2790"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Young age (Up to 28)</w:t>
            </w:r>
          </w:p>
        </w:tc>
        <w:tc>
          <w:tcPr>
            <w:tcW w:w="1575"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19 (31.67%)</w:t>
            </w:r>
          </w:p>
        </w:tc>
        <w:tc>
          <w:tcPr>
            <w:tcW w:w="2115"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 (16.67%)</w:t>
            </w:r>
          </w:p>
        </w:tc>
      </w:tr>
      <w:tr w:rsidR="005D06C5">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rsidR="005D06C5" w:rsidRDefault="005D06C5">
            <w:pPr>
              <w:widowControl w:val="0"/>
              <w:pBdr>
                <w:top w:val="nil"/>
                <w:left w:val="nil"/>
                <w:bottom w:val="nil"/>
                <w:right w:val="nil"/>
                <w:between w:val="nil"/>
              </w:pBdr>
              <w:spacing w:after="0"/>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rsidR="005D06C5" w:rsidRDefault="005D06C5">
            <w:pPr>
              <w:widowControl w:val="0"/>
              <w:pBdr>
                <w:top w:val="nil"/>
                <w:left w:val="nil"/>
                <w:bottom w:val="nil"/>
                <w:right w:val="nil"/>
                <w:between w:val="nil"/>
              </w:pBdr>
              <w:spacing w:after="0"/>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Middle age (29–47 years)</w:t>
            </w:r>
          </w:p>
        </w:tc>
        <w:tc>
          <w:tcPr>
            <w:tcW w:w="1575"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29 (48.33%)</w:t>
            </w:r>
          </w:p>
        </w:tc>
        <w:tc>
          <w:tcPr>
            <w:tcW w:w="2115"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35 (58.33%)</w:t>
            </w:r>
          </w:p>
        </w:tc>
      </w:tr>
      <w:tr w:rsidR="005D06C5">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rsidR="005D06C5" w:rsidRDefault="005D06C5">
            <w:pPr>
              <w:widowControl w:val="0"/>
              <w:pBdr>
                <w:top w:val="nil"/>
                <w:left w:val="nil"/>
                <w:bottom w:val="nil"/>
                <w:right w:val="nil"/>
                <w:between w:val="nil"/>
              </w:pBdr>
              <w:spacing w:after="0"/>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rsidR="005D06C5" w:rsidRDefault="005D06C5">
            <w:pPr>
              <w:widowControl w:val="0"/>
              <w:pBdr>
                <w:top w:val="nil"/>
                <w:left w:val="nil"/>
                <w:bottom w:val="nil"/>
                <w:right w:val="nil"/>
                <w:between w:val="nil"/>
              </w:pBdr>
              <w:spacing w:after="0"/>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Old age (Above 47 years)</w:t>
            </w:r>
          </w:p>
        </w:tc>
        <w:tc>
          <w:tcPr>
            <w:tcW w:w="1575"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12 (20.00%)</w:t>
            </w:r>
          </w:p>
        </w:tc>
        <w:tc>
          <w:tcPr>
            <w:tcW w:w="2115"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15 (25.00%)</w:t>
            </w:r>
          </w:p>
        </w:tc>
      </w:tr>
      <w:tr w:rsidR="005D06C5">
        <w:trPr>
          <w:trHeight w:val="220"/>
        </w:trPr>
        <w:tc>
          <w:tcPr>
            <w:tcW w:w="600" w:type="dxa"/>
            <w:vMerge w:val="restart"/>
            <w:tcBorders>
              <w:top w:val="single" w:sz="8" w:space="0" w:color="000000"/>
              <w:left w:val="single" w:sz="8" w:space="0" w:color="000000"/>
              <w:bottom w:val="single" w:sz="8" w:space="0" w:color="000000"/>
              <w:right w:val="single" w:sz="8" w:space="0" w:color="000000"/>
            </w:tcBorders>
            <w:vAlign w:val="center"/>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530" w:type="dxa"/>
            <w:vMerge w:val="restart"/>
            <w:tcBorders>
              <w:top w:val="single" w:sz="8" w:space="0" w:color="000000"/>
              <w:left w:val="single" w:sz="8" w:space="0" w:color="000000"/>
              <w:bottom w:val="single" w:sz="8" w:space="0" w:color="000000"/>
              <w:right w:val="single" w:sz="8" w:space="0" w:color="000000"/>
            </w:tcBorders>
            <w:vAlign w:val="center"/>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Education</w:t>
            </w:r>
          </w:p>
        </w:tc>
        <w:tc>
          <w:tcPr>
            <w:tcW w:w="2790"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Illiterate</w:t>
            </w:r>
          </w:p>
        </w:tc>
        <w:tc>
          <w:tcPr>
            <w:tcW w:w="1575"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 (3.33%)</w:t>
            </w:r>
          </w:p>
        </w:tc>
        <w:tc>
          <w:tcPr>
            <w:tcW w:w="2115"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 (8.33%)</w:t>
            </w:r>
          </w:p>
        </w:tc>
      </w:tr>
      <w:tr w:rsidR="005D06C5">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rsidR="005D06C5" w:rsidRDefault="005D06C5">
            <w:pPr>
              <w:widowControl w:val="0"/>
              <w:pBdr>
                <w:top w:val="nil"/>
                <w:left w:val="nil"/>
                <w:bottom w:val="nil"/>
                <w:right w:val="nil"/>
                <w:between w:val="nil"/>
              </w:pBdr>
              <w:spacing w:after="0"/>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rsidR="005D06C5" w:rsidRDefault="005D06C5">
            <w:pPr>
              <w:widowControl w:val="0"/>
              <w:pBdr>
                <w:top w:val="nil"/>
                <w:left w:val="nil"/>
                <w:bottom w:val="nil"/>
                <w:right w:val="nil"/>
                <w:between w:val="nil"/>
              </w:pBdr>
              <w:spacing w:after="0"/>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Can read only</w:t>
            </w:r>
          </w:p>
        </w:tc>
        <w:tc>
          <w:tcPr>
            <w:tcW w:w="1575"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 (3.33%)</w:t>
            </w:r>
          </w:p>
        </w:tc>
        <w:tc>
          <w:tcPr>
            <w:tcW w:w="2115"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9 (15.00%)</w:t>
            </w:r>
          </w:p>
        </w:tc>
      </w:tr>
      <w:tr w:rsidR="005D06C5">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rsidR="005D06C5" w:rsidRDefault="005D06C5">
            <w:pPr>
              <w:widowControl w:val="0"/>
              <w:pBdr>
                <w:top w:val="nil"/>
                <w:left w:val="nil"/>
                <w:bottom w:val="nil"/>
                <w:right w:val="nil"/>
                <w:between w:val="nil"/>
              </w:pBdr>
              <w:spacing w:after="0"/>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rsidR="005D06C5" w:rsidRDefault="005D06C5">
            <w:pPr>
              <w:widowControl w:val="0"/>
              <w:pBdr>
                <w:top w:val="nil"/>
                <w:left w:val="nil"/>
                <w:bottom w:val="nil"/>
                <w:right w:val="nil"/>
                <w:between w:val="nil"/>
              </w:pBdr>
              <w:spacing w:after="0"/>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Can read and write</w:t>
            </w:r>
          </w:p>
        </w:tc>
        <w:tc>
          <w:tcPr>
            <w:tcW w:w="1575"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 (8.33%)</w:t>
            </w:r>
          </w:p>
        </w:tc>
        <w:tc>
          <w:tcPr>
            <w:tcW w:w="2115"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17 (28.33%)</w:t>
            </w:r>
          </w:p>
        </w:tc>
      </w:tr>
      <w:tr w:rsidR="005D06C5">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rsidR="005D06C5" w:rsidRDefault="005D06C5">
            <w:pPr>
              <w:widowControl w:val="0"/>
              <w:pBdr>
                <w:top w:val="nil"/>
                <w:left w:val="nil"/>
                <w:bottom w:val="nil"/>
                <w:right w:val="nil"/>
                <w:between w:val="nil"/>
              </w:pBdr>
              <w:spacing w:after="0"/>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rsidR="005D06C5" w:rsidRDefault="005D06C5">
            <w:pPr>
              <w:widowControl w:val="0"/>
              <w:pBdr>
                <w:top w:val="nil"/>
                <w:left w:val="nil"/>
                <w:bottom w:val="nil"/>
                <w:right w:val="nil"/>
                <w:between w:val="nil"/>
              </w:pBdr>
              <w:spacing w:after="0"/>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Primary school</w:t>
            </w:r>
          </w:p>
        </w:tc>
        <w:tc>
          <w:tcPr>
            <w:tcW w:w="1575"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 (13.33%)</w:t>
            </w:r>
          </w:p>
        </w:tc>
        <w:tc>
          <w:tcPr>
            <w:tcW w:w="2115"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 (10.00%)</w:t>
            </w:r>
          </w:p>
        </w:tc>
      </w:tr>
      <w:tr w:rsidR="005D06C5">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rsidR="005D06C5" w:rsidRDefault="005D06C5">
            <w:pPr>
              <w:widowControl w:val="0"/>
              <w:pBdr>
                <w:top w:val="nil"/>
                <w:left w:val="nil"/>
                <w:bottom w:val="nil"/>
                <w:right w:val="nil"/>
                <w:between w:val="nil"/>
              </w:pBdr>
              <w:spacing w:after="0"/>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rsidR="005D06C5" w:rsidRDefault="005D06C5">
            <w:pPr>
              <w:widowControl w:val="0"/>
              <w:pBdr>
                <w:top w:val="nil"/>
                <w:left w:val="nil"/>
                <w:bottom w:val="nil"/>
                <w:right w:val="nil"/>
                <w:between w:val="nil"/>
              </w:pBdr>
              <w:spacing w:after="0"/>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Middle school</w:t>
            </w:r>
          </w:p>
        </w:tc>
        <w:tc>
          <w:tcPr>
            <w:tcW w:w="1575"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 (16.67%)</w:t>
            </w:r>
          </w:p>
        </w:tc>
        <w:tc>
          <w:tcPr>
            <w:tcW w:w="2115"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9 (15.00%)</w:t>
            </w:r>
          </w:p>
        </w:tc>
      </w:tr>
      <w:tr w:rsidR="005D06C5">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rsidR="005D06C5" w:rsidRDefault="005D06C5">
            <w:pPr>
              <w:widowControl w:val="0"/>
              <w:pBdr>
                <w:top w:val="nil"/>
                <w:left w:val="nil"/>
                <w:bottom w:val="nil"/>
                <w:right w:val="nil"/>
                <w:between w:val="nil"/>
              </w:pBdr>
              <w:spacing w:after="0"/>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rsidR="005D06C5" w:rsidRDefault="005D06C5">
            <w:pPr>
              <w:widowControl w:val="0"/>
              <w:pBdr>
                <w:top w:val="nil"/>
                <w:left w:val="nil"/>
                <w:bottom w:val="nil"/>
                <w:right w:val="nil"/>
                <w:between w:val="nil"/>
              </w:pBdr>
              <w:spacing w:after="0"/>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High school</w:t>
            </w:r>
          </w:p>
        </w:tc>
        <w:tc>
          <w:tcPr>
            <w:tcW w:w="1575"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 (21.67%)</w:t>
            </w:r>
          </w:p>
        </w:tc>
        <w:tc>
          <w:tcPr>
            <w:tcW w:w="2115"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 (13.33%)</w:t>
            </w:r>
          </w:p>
        </w:tc>
      </w:tr>
      <w:tr w:rsidR="005D06C5">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rsidR="005D06C5" w:rsidRDefault="005D06C5">
            <w:pPr>
              <w:widowControl w:val="0"/>
              <w:pBdr>
                <w:top w:val="nil"/>
                <w:left w:val="nil"/>
                <w:bottom w:val="nil"/>
                <w:right w:val="nil"/>
                <w:between w:val="nil"/>
              </w:pBdr>
              <w:spacing w:after="0"/>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rsidR="005D06C5" w:rsidRDefault="005D06C5">
            <w:pPr>
              <w:widowControl w:val="0"/>
              <w:pBdr>
                <w:top w:val="nil"/>
                <w:left w:val="nil"/>
                <w:bottom w:val="nil"/>
                <w:right w:val="nil"/>
                <w:between w:val="nil"/>
              </w:pBdr>
              <w:spacing w:after="0"/>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Graduate</w:t>
            </w:r>
          </w:p>
        </w:tc>
        <w:tc>
          <w:tcPr>
            <w:tcW w:w="1575"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 (33.33%)</w:t>
            </w:r>
          </w:p>
        </w:tc>
        <w:tc>
          <w:tcPr>
            <w:tcW w:w="2115"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 (10.00%)</w:t>
            </w:r>
          </w:p>
        </w:tc>
      </w:tr>
      <w:tr w:rsidR="005D06C5">
        <w:trPr>
          <w:trHeight w:val="220"/>
        </w:trPr>
        <w:tc>
          <w:tcPr>
            <w:tcW w:w="600" w:type="dxa"/>
            <w:vMerge w:val="restart"/>
            <w:tcBorders>
              <w:top w:val="single" w:sz="8" w:space="0" w:color="000000"/>
              <w:left w:val="single" w:sz="8" w:space="0" w:color="000000"/>
              <w:bottom w:val="single" w:sz="8" w:space="0" w:color="000000"/>
              <w:right w:val="single" w:sz="8" w:space="0" w:color="000000"/>
            </w:tcBorders>
            <w:vAlign w:val="center"/>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1530" w:type="dxa"/>
            <w:vMerge w:val="restart"/>
            <w:tcBorders>
              <w:top w:val="single" w:sz="8" w:space="0" w:color="000000"/>
              <w:left w:val="single" w:sz="8" w:space="0" w:color="000000"/>
              <w:bottom w:val="single" w:sz="8" w:space="0" w:color="000000"/>
              <w:right w:val="single" w:sz="8" w:space="0" w:color="000000"/>
            </w:tcBorders>
            <w:vAlign w:val="center"/>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Size of Landholding</w:t>
            </w:r>
          </w:p>
        </w:tc>
        <w:tc>
          <w:tcPr>
            <w:tcW w:w="2790"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Marginal (&lt;1 ha)</w:t>
            </w:r>
          </w:p>
        </w:tc>
        <w:tc>
          <w:tcPr>
            <w:tcW w:w="1575"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19 (31.67%)</w:t>
            </w:r>
          </w:p>
        </w:tc>
        <w:tc>
          <w:tcPr>
            <w:tcW w:w="2115"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17 (28.33%)</w:t>
            </w:r>
          </w:p>
        </w:tc>
      </w:tr>
      <w:tr w:rsidR="005D06C5">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rsidR="005D06C5" w:rsidRDefault="005D06C5">
            <w:pPr>
              <w:widowControl w:val="0"/>
              <w:pBdr>
                <w:top w:val="nil"/>
                <w:left w:val="nil"/>
                <w:bottom w:val="nil"/>
                <w:right w:val="nil"/>
                <w:between w:val="nil"/>
              </w:pBdr>
              <w:spacing w:after="0"/>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rsidR="005D06C5" w:rsidRDefault="005D06C5">
            <w:pPr>
              <w:widowControl w:val="0"/>
              <w:pBdr>
                <w:top w:val="nil"/>
                <w:left w:val="nil"/>
                <w:bottom w:val="nil"/>
                <w:right w:val="nil"/>
                <w:between w:val="nil"/>
              </w:pBdr>
              <w:spacing w:after="0"/>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Small (1.01–2.0 ha)</w:t>
            </w:r>
          </w:p>
        </w:tc>
        <w:tc>
          <w:tcPr>
            <w:tcW w:w="1575"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21 (35.00%)</w:t>
            </w:r>
          </w:p>
        </w:tc>
        <w:tc>
          <w:tcPr>
            <w:tcW w:w="2115"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19 (31.67%)</w:t>
            </w:r>
          </w:p>
        </w:tc>
      </w:tr>
      <w:tr w:rsidR="005D06C5">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rsidR="005D06C5" w:rsidRDefault="005D06C5">
            <w:pPr>
              <w:widowControl w:val="0"/>
              <w:pBdr>
                <w:top w:val="nil"/>
                <w:left w:val="nil"/>
                <w:bottom w:val="nil"/>
                <w:right w:val="nil"/>
                <w:between w:val="nil"/>
              </w:pBdr>
              <w:spacing w:after="0"/>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rsidR="005D06C5" w:rsidRDefault="005D06C5">
            <w:pPr>
              <w:widowControl w:val="0"/>
              <w:pBdr>
                <w:top w:val="nil"/>
                <w:left w:val="nil"/>
                <w:bottom w:val="nil"/>
                <w:right w:val="nil"/>
                <w:between w:val="nil"/>
              </w:pBdr>
              <w:spacing w:after="0"/>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Semi–medium (2.01–4 ha)</w:t>
            </w:r>
          </w:p>
        </w:tc>
        <w:tc>
          <w:tcPr>
            <w:tcW w:w="1575"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 (16.67%)</w:t>
            </w:r>
          </w:p>
        </w:tc>
        <w:tc>
          <w:tcPr>
            <w:tcW w:w="2115"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 (21.67%)</w:t>
            </w:r>
          </w:p>
        </w:tc>
      </w:tr>
      <w:tr w:rsidR="005D06C5">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rsidR="005D06C5" w:rsidRDefault="005D06C5">
            <w:pPr>
              <w:widowControl w:val="0"/>
              <w:pBdr>
                <w:top w:val="nil"/>
                <w:left w:val="nil"/>
                <w:bottom w:val="nil"/>
                <w:right w:val="nil"/>
                <w:between w:val="nil"/>
              </w:pBdr>
              <w:spacing w:after="0"/>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rsidR="005D06C5" w:rsidRDefault="005D06C5">
            <w:pPr>
              <w:widowControl w:val="0"/>
              <w:pBdr>
                <w:top w:val="nil"/>
                <w:left w:val="nil"/>
                <w:bottom w:val="nil"/>
                <w:right w:val="nil"/>
                <w:between w:val="nil"/>
              </w:pBdr>
              <w:spacing w:after="0"/>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Medium (4.01–10 ha)</w:t>
            </w:r>
          </w:p>
        </w:tc>
        <w:tc>
          <w:tcPr>
            <w:tcW w:w="1575"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 (6.67%)</w:t>
            </w:r>
          </w:p>
        </w:tc>
        <w:tc>
          <w:tcPr>
            <w:tcW w:w="2115"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 (8.33%)</w:t>
            </w:r>
          </w:p>
        </w:tc>
      </w:tr>
      <w:tr w:rsidR="005D06C5">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rsidR="005D06C5" w:rsidRDefault="005D06C5">
            <w:pPr>
              <w:widowControl w:val="0"/>
              <w:pBdr>
                <w:top w:val="nil"/>
                <w:left w:val="nil"/>
                <w:bottom w:val="nil"/>
                <w:right w:val="nil"/>
                <w:between w:val="nil"/>
              </w:pBdr>
              <w:spacing w:after="0"/>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rsidR="005D06C5" w:rsidRDefault="005D06C5">
            <w:pPr>
              <w:widowControl w:val="0"/>
              <w:pBdr>
                <w:top w:val="nil"/>
                <w:left w:val="nil"/>
                <w:bottom w:val="nil"/>
                <w:right w:val="nil"/>
                <w:between w:val="nil"/>
              </w:pBdr>
              <w:spacing w:after="0"/>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Large (&gt;10 ha)</w:t>
            </w:r>
          </w:p>
        </w:tc>
        <w:tc>
          <w:tcPr>
            <w:tcW w:w="1575"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 (10.00%)</w:t>
            </w:r>
          </w:p>
        </w:tc>
        <w:tc>
          <w:tcPr>
            <w:tcW w:w="2115"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 (10.00%)</w:t>
            </w:r>
          </w:p>
        </w:tc>
      </w:tr>
      <w:tr w:rsidR="005D06C5">
        <w:trPr>
          <w:trHeight w:val="220"/>
        </w:trPr>
        <w:tc>
          <w:tcPr>
            <w:tcW w:w="600" w:type="dxa"/>
            <w:vMerge w:val="restart"/>
            <w:tcBorders>
              <w:top w:val="single" w:sz="8" w:space="0" w:color="000000"/>
              <w:left w:val="single" w:sz="8" w:space="0" w:color="000000"/>
              <w:bottom w:val="single" w:sz="8" w:space="0" w:color="000000"/>
              <w:right w:val="single" w:sz="8" w:space="0" w:color="000000"/>
            </w:tcBorders>
            <w:vAlign w:val="center"/>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1530" w:type="dxa"/>
            <w:vMerge w:val="restart"/>
            <w:tcBorders>
              <w:top w:val="single" w:sz="8" w:space="0" w:color="000000"/>
              <w:left w:val="single" w:sz="8" w:space="0" w:color="000000"/>
              <w:bottom w:val="single" w:sz="8" w:space="0" w:color="000000"/>
              <w:right w:val="single" w:sz="8" w:space="0" w:color="000000"/>
            </w:tcBorders>
            <w:vAlign w:val="center"/>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Family Size</w:t>
            </w:r>
          </w:p>
        </w:tc>
        <w:tc>
          <w:tcPr>
            <w:tcW w:w="2790"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Small (Up to 4 members)</w:t>
            </w:r>
          </w:p>
        </w:tc>
        <w:tc>
          <w:tcPr>
            <w:tcW w:w="1575"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22 (36.67%)</w:t>
            </w:r>
          </w:p>
        </w:tc>
        <w:tc>
          <w:tcPr>
            <w:tcW w:w="2115"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 (38.33%)</w:t>
            </w:r>
          </w:p>
        </w:tc>
      </w:tr>
      <w:tr w:rsidR="005D06C5">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rsidR="005D06C5" w:rsidRDefault="005D06C5">
            <w:pPr>
              <w:widowControl w:val="0"/>
              <w:pBdr>
                <w:top w:val="nil"/>
                <w:left w:val="nil"/>
                <w:bottom w:val="nil"/>
                <w:right w:val="nil"/>
                <w:between w:val="nil"/>
              </w:pBdr>
              <w:spacing w:after="0"/>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rsidR="005D06C5" w:rsidRDefault="005D06C5">
            <w:pPr>
              <w:widowControl w:val="0"/>
              <w:pBdr>
                <w:top w:val="nil"/>
                <w:left w:val="nil"/>
                <w:bottom w:val="nil"/>
                <w:right w:val="nil"/>
                <w:between w:val="nil"/>
              </w:pBdr>
              <w:spacing w:after="0"/>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Medium (5–10 members)</w:t>
            </w:r>
          </w:p>
        </w:tc>
        <w:tc>
          <w:tcPr>
            <w:tcW w:w="1575"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29 (48.33%)</w:t>
            </w:r>
          </w:p>
        </w:tc>
        <w:tc>
          <w:tcPr>
            <w:tcW w:w="2115"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25 (41.67%)</w:t>
            </w:r>
          </w:p>
        </w:tc>
      </w:tr>
      <w:tr w:rsidR="005D06C5">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rsidR="005D06C5" w:rsidRDefault="005D06C5">
            <w:pPr>
              <w:widowControl w:val="0"/>
              <w:pBdr>
                <w:top w:val="nil"/>
                <w:left w:val="nil"/>
                <w:bottom w:val="nil"/>
                <w:right w:val="nil"/>
                <w:between w:val="nil"/>
              </w:pBdr>
              <w:spacing w:after="0"/>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rsidR="005D06C5" w:rsidRDefault="005D06C5">
            <w:pPr>
              <w:widowControl w:val="0"/>
              <w:pBdr>
                <w:top w:val="nil"/>
                <w:left w:val="nil"/>
                <w:bottom w:val="nil"/>
                <w:right w:val="nil"/>
                <w:between w:val="nil"/>
              </w:pBdr>
              <w:spacing w:after="0"/>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Large (&gt;10 members)</w:t>
            </w:r>
          </w:p>
        </w:tc>
        <w:tc>
          <w:tcPr>
            <w:tcW w:w="1575"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9 (15.00%)</w:t>
            </w:r>
          </w:p>
        </w:tc>
        <w:tc>
          <w:tcPr>
            <w:tcW w:w="2115"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12 (20.00%)</w:t>
            </w:r>
          </w:p>
        </w:tc>
      </w:tr>
      <w:tr w:rsidR="005D06C5">
        <w:trPr>
          <w:trHeight w:val="220"/>
        </w:trPr>
        <w:tc>
          <w:tcPr>
            <w:tcW w:w="600" w:type="dxa"/>
            <w:vMerge w:val="restart"/>
            <w:tcBorders>
              <w:top w:val="single" w:sz="8" w:space="0" w:color="000000"/>
              <w:left w:val="single" w:sz="8" w:space="0" w:color="000000"/>
              <w:bottom w:val="single" w:sz="8" w:space="0" w:color="000000"/>
              <w:right w:val="single" w:sz="8" w:space="0" w:color="000000"/>
            </w:tcBorders>
            <w:vAlign w:val="center"/>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1530" w:type="dxa"/>
            <w:vMerge w:val="restart"/>
            <w:tcBorders>
              <w:top w:val="single" w:sz="8" w:space="0" w:color="000000"/>
              <w:left w:val="single" w:sz="8" w:space="0" w:color="000000"/>
              <w:bottom w:val="single" w:sz="8" w:space="0" w:color="000000"/>
              <w:right w:val="single" w:sz="8" w:space="0" w:color="000000"/>
            </w:tcBorders>
            <w:vAlign w:val="center"/>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IFS Experience</w:t>
            </w:r>
          </w:p>
        </w:tc>
        <w:tc>
          <w:tcPr>
            <w:tcW w:w="2790"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Low (&lt;5 years)</w:t>
            </w:r>
          </w:p>
        </w:tc>
        <w:tc>
          <w:tcPr>
            <w:tcW w:w="1575"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14 (23.33%)</w:t>
            </w:r>
          </w:p>
        </w:tc>
        <w:tc>
          <w:tcPr>
            <w:tcW w:w="2115"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 (38.33%)</w:t>
            </w:r>
          </w:p>
        </w:tc>
      </w:tr>
      <w:tr w:rsidR="005D06C5">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rsidR="005D06C5" w:rsidRDefault="005D06C5">
            <w:pPr>
              <w:widowControl w:val="0"/>
              <w:pBdr>
                <w:top w:val="nil"/>
                <w:left w:val="nil"/>
                <w:bottom w:val="nil"/>
                <w:right w:val="nil"/>
                <w:between w:val="nil"/>
              </w:pBdr>
              <w:spacing w:after="0"/>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rsidR="005D06C5" w:rsidRDefault="005D06C5">
            <w:pPr>
              <w:widowControl w:val="0"/>
              <w:pBdr>
                <w:top w:val="nil"/>
                <w:left w:val="nil"/>
                <w:bottom w:val="nil"/>
                <w:right w:val="nil"/>
                <w:between w:val="nil"/>
              </w:pBdr>
              <w:spacing w:after="0"/>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Medium (5–10 years)</w:t>
            </w:r>
          </w:p>
        </w:tc>
        <w:tc>
          <w:tcPr>
            <w:tcW w:w="1575"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24 (40.00%)</w:t>
            </w:r>
          </w:p>
        </w:tc>
        <w:tc>
          <w:tcPr>
            <w:tcW w:w="2115"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 (38.33%)</w:t>
            </w:r>
          </w:p>
        </w:tc>
      </w:tr>
      <w:tr w:rsidR="005D06C5">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rsidR="005D06C5" w:rsidRDefault="005D06C5">
            <w:pPr>
              <w:widowControl w:val="0"/>
              <w:pBdr>
                <w:top w:val="nil"/>
                <w:left w:val="nil"/>
                <w:bottom w:val="nil"/>
                <w:right w:val="nil"/>
                <w:between w:val="nil"/>
              </w:pBdr>
              <w:spacing w:after="0"/>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rsidR="005D06C5" w:rsidRDefault="005D06C5">
            <w:pPr>
              <w:widowControl w:val="0"/>
              <w:pBdr>
                <w:top w:val="nil"/>
                <w:left w:val="nil"/>
                <w:bottom w:val="nil"/>
                <w:right w:val="nil"/>
                <w:between w:val="nil"/>
              </w:pBdr>
              <w:spacing w:after="0"/>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High (&gt;10 years)</w:t>
            </w:r>
          </w:p>
        </w:tc>
        <w:tc>
          <w:tcPr>
            <w:tcW w:w="1575"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22 (36.67%)</w:t>
            </w:r>
          </w:p>
        </w:tc>
        <w:tc>
          <w:tcPr>
            <w:tcW w:w="2115"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14 (23.33%)</w:t>
            </w:r>
          </w:p>
        </w:tc>
      </w:tr>
      <w:tr w:rsidR="005D06C5">
        <w:trPr>
          <w:trHeight w:val="220"/>
        </w:trPr>
        <w:tc>
          <w:tcPr>
            <w:tcW w:w="600" w:type="dxa"/>
            <w:vMerge w:val="restart"/>
            <w:tcBorders>
              <w:top w:val="single" w:sz="8" w:space="0" w:color="000000"/>
              <w:left w:val="single" w:sz="8" w:space="0" w:color="000000"/>
              <w:bottom w:val="single" w:sz="8" w:space="0" w:color="000000"/>
              <w:right w:val="single" w:sz="8" w:space="0" w:color="000000"/>
            </w:tcBorders>
            <w:vAlign w:val="center"/>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1530" w:type="dxa"/>
            <w:vMerge w:val="restart"/>
            <w:tcBorders>
              <w:top w:val="single" w:sz="8" w:space="0" w:color="000000"/>
              <w:left w:val="single" w:sz="8" w:space="0" w:color="000000"/>
              <w:bottom w:val="single" w:sz="8" w:space="0" w:color="000000"/>
              <w:right w:val="single" w:sz="8" w:space="0" w:color="000000"/>
            </w:tcBorders>
            <w:vAlign w:val="center"/>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Annual Income</w:t>
            </w:r>
          </w:p>
        </w:tc>
        <w:tc>
          <w:tcPr>
            <w:tcW w:w="2790"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sdt>
              <w:sdtPr>
                <w:tag w:val="goog_rdk_0"/>
                <w:id w:val="507398509"/>
              </w:sdtPr>
              <w:sdtEndPr/>
              <w:sdtContent>
                <w:r>
                  <w:rPr>
                    <w:rFonts w:ascii="Gungsuh" w:eastAsia="Gungsuh" w:hAnsi="Gungsuh" w:cs="Gungsuh"/>
                  </w:rPr>
                  <w:t>Low (≤₹50,000)</w:t>
                </w:r>
              </w:sdtContent>
            </w:sdt>
          </w:p>
        </w:tc>
        <w:tc>
          <w:tcPr>
            <w:tcW w:w="1575"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9 (15.00%)</w:t>
            </w:r>
          </w:p>
        </w:tc>
        <w:tc>
          <w:tcPr>
            <w:tcW w:w="2115"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 (13.33%)</w:t>
            </w:r>
          </w:p>
        </w:tc>
      </w:tr>
      <w:tr w:rsidR="005D06C5">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rsidR="005D06C5" w:rsidRDefault="005D06C5">
            <w:pPr>
              <w:widowControl w:val="0"/>
              <w:pBdr>
                <w:top w:val="nil"/>
                <w:left w:val="nil"/>
                <w:bottom w:val="nil"/>
                <w:right w:val="nil"/>
                <w:between w:val="nil"/>
              </w:pBdr>
              <w:spacing w:after="0"/>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rsidR="005D06C5" w:rsidRDefault="005D06C5">
            <w:pPr>
              <w:widowControl w:val="0"/>
              <w:pBdr>
                <w:top w:val="nil"/>
                <w:left w:val="nil"/>
                <w:bottom w:val="nil"/>
                <w:right w:val="nil"/>
                <w:between w:val="nil"/>
              </w:pBdr>
              <w:spacing w:after="0"/>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Medium (₹50,001–1,00,000)</w:t>
            </w:r>
          </w:p>
        </w:tc>
        <w:tc>
          <w:tcPr>
            <w:tcW w:w="1575"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31 (51.67%)</w:t>
            </w:r>
          </w:p>
        </w:tc>
        <w:tc>
          <w:tcPr>
            <w:tcW w:w="2115"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46 (76.67%)</w:t>
            </w:r>
          </w:p>
        </w:tc>
      </w:tr>
      <w:tr w:rsidR="005D06C5">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rsidR="005D06C5" w:rsidRDefault="005D06C5">
            <w:pPr>
              <w:widowControl w:val="0"/>
              <w:pBdr>
                <w:top w:val="nil"/>
                <w:left w:val="nil"/>
                <w:bottom w:val="nil"/>
                <w:right w:val="nil"/>
                <w:between w:val="nil"/>
              </w:pBdr>
              <w:spacing w:after="0"/>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rsidR="005D06C5" w:rsidRDefault="005D06C5">
            <w:pPr>
              <w:widowControl w:val="0"/>
              <w:pBdr>
                <w:top w:val="nil"/>
                <w:left w:val="nil"/>
                <w:bottom w:val="nil"/>
                <w:right w:val="nil"/>
                <w:between w:val="nil"/>
              </w:pBdr>
              <w:spacing w:after="0"/>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High (&gt;₹1,00,001)</w:t>
            </w:r>
          </w:p>
        </w:tc>
        <w:tc>
          <w:tcPr>
            <w:tcW w:w="1575"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 (33.33%)</w:t>
            </w:r>
          </w:p>
        </w:tc>
        <w:tc>
          <w:tcPr>
            <w:tcW w:w="2115"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 (10.00%)</w:t>
            </w:r>
          </w:p>
        </w:tc>
      </w:tr>
      <w:tr w:rsidR="005D06C5">
        <w:trPr>
          <w:trHeight w:val="220"/>
        </w:trPr>
        <w:tc>
          <w:tcPr>
            <w:tcW w:w="600" w:type="dxa"/>
            <w:vMerge w:val="restart"/>
            <w:tcBorders>
              <w:top w:val="single" w:sz="8" w:space="0" w:color="000000"/>
              <w:left w:val="single" w:sz="8" w:space="0" w:color="000000"/>
              <w:bottom w:val="single" w:sz="8" w:space="0" w:color="000000"/>
              <w:right w:val="single" w:sz="8" w:space="0" w:color="000000"/>
            </w:tcBorders>
            <w:vAlign w:val="center"/>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w:t>
            </w:r>
          </w:p>
        </w:tc>
        <w:tc>
          <w:tcPr>
            <w:tcW w:w="1530" w:type="dxa"/>
            <w:vMerge w:val="restart"/>
            <w:tcBorders>
              <w:top w:val="single" w:sz="8" w:space="0" w:color="000000"/>
              <w:left w:val="single" w:sz="8" w:space="0" w:color="000000"/>
              <w:bottom w:val="single" w:sz="8" w:space="0" w:color="000000"/>
              <w:right w:val="single" w:sz="8" w:space="0" w:color="000000"/>
            </w:tcBorders>
            <w:vAlign w:val="center"/>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Information Source</w:t>
            </w:r>
          </w:p>
        </w:tc>
        <w:tc>
          <w:tcPr>
            <w:tcW w:w="2790"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sdt>
              <w:sdtPr>
                <w:tag w:val="goog_rdk_1"/>
                <w:id w:val="1501460899"/>
              </w:sdtPr>
              <w:sdtEndPr/>
              <w:sdtContent>
                <w:r>
                  <w:rPr>
                    <w:rFonts w:ascii="Gungsuh" w:eastAsia="Gungsuh" w:hAnsi="Gungsuh" w:cs="Gungsuh"/>
                  </w:rPr>
                  <w:t>Low (≤9 scores)</w:t>
                </w:r>
              </w:sdtContent>
            </w:sdt>
          </w:p>
        </w:tc>
        <w:tc>
          <w:tcPr>
            <w:tcW w:w="1575"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 (11.67%)</w:t>
            </w:r>
          </w:p>
        </w:tc>
        <w:tc>
          <w:tcPr>
            <w:tcW w:w="2115"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 (16.67%)</w:t>
            </w:r>
          </w:p>
        </w:tc>
      </w:tr>
      <w:tr w:rsidR="005D06C5">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rsidR="005D06C5" w:rsidRDefault="005D06C5">
            <w:pPr>
              <w:widowControl w:val="0"/>
              <w:pBdr>
                <w:top w:val="nil"/>
                <w:left w:val="nil"/>
                <w:bottom w:val="nil"/>
                <w:right w:val="nil"/>
                <w:between w:val="nil"/>
              </w:pBdr>
              <w:spacing w:after="0"/>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rsidR="005D06C5" w:rsidRDefault="005D06C5">
            <w:pPr>
              <w:widowControl w:val="0"/>
              <w:pBdr>
                <w:top w:val="nil"/>
                <w:left w:val="nil"/>
                <w:bottom w:val="nil"/>
                <w:right w:val="nil"/>
                <w:between w:val="nil"/>
              </w:pBdr>
              <w:spacing w:after="0"/>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Medium (10–15 scores)</w:t>
            </w:r>
          </w:p>
        </w:tc>
        <w:tc>
          <w:tcPr>
            <w:tcW w:w="1575"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43 (71.67%)</w:t>
            </w:r>
          </w:p>
        </w:tc>
        <w:tc>
          <w:tcPr>
            <w:tcW w:w="2115"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43 (71.67%)</w:t>
            </w:r>
          </w:p>
        </w:tc>
      </w:tr>
      <w:tr w:rsidR="005D06C5">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rsidR="005D06C5" w:rsidRDefault="005D06C5">
            <w:pPr>
              <w:widowControl w:val="0"/>
              <w:pBdr>
                <w:top w:val="nil"/>
                <w:left w:val="nil"/>
                <w:bottom w:val="nil"/>
                <w:right w:val="nil"/>
                <w:between w:val="nil"/>
              </w:pBdr>
              <w:spacing w:after="0"/>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rsidR="005D06C5" w:rsidRDefault="005D06C5">
            <w:pPr>
              <w:widowControl w:val="0"/>
              <w:pBdr>
                <w:top w:val="nil"/>
                <w:left w:val="nil"/>
                <w:bottom w:val="nil"/>
                <w:right w:val="nil"/>
                <w:between w:val="nil"/>
              </w:pBdr>
              <w:spacing w:after="0"/>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High (&gt;15 scores)</w:t>
            </w:r>
          </w:p>
        </w:tc>
        <w:tc>
          <w:tcPr>
            <w:tcW w:w="1575"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 (16.67%)</w:t>
            </w:r>
          </w:p>
        </w:tc>
        <w:tc>
          <w:tcPr>
            <w:tcW w:w="2115"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 (11.67%)</w:t>
            </w:r>
          </w:p>
        </w:tc>
      </w:tr>
      <w:tr w:rsidR="005D06C5">
        <w:trPr>
          <w:trHeight w:val="220"/>
        </w:trPr>
        <w:tc>
          <w:tcPr>
            <w:tcW w:w="600" w:type="dxa"/>
            <w:vMerge w:val="restart"/>
            <w:tcBorders>
              <w:top w:val="single" w:sz="8" w:space="0" w:color="000000"/>
              <w:left w:val="single" w:sz="8" w:space="0" w:color="000000"/>
              <w:bottom w:val="single" w:sz="8" w:space="0" w:color="000000"/>
              <w:right w:val="single" w:sz="8" w:space="0" w:color="000000"/>
            </w:tcBorders>
            <w:vAlign w:val="center"/>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1530" w:type="dxa"/>
            <w:vMerge w:val="restart"/>
            <w:tcBorders>
              <w:top w:val="single" w:sz="8" w:space="0" w:color="000000"/>
              <w:left w:val="single" w:sz="8" w:space="0" w:color="000000"/>
              <w:bottom w:val="single" w:sz="8" w:space="0" w:color="000000"/>
              <w:right w:val="single" w:sz="8" w:space="0" w:color="000000"/>
            </w:tcBorders>
            <w:vAlign w:val="center"/>
          </w:tcPr>
          <w:p w:rsidR="005D06C5" w:rsidRDefault="00845966">
            <w:pPr>
              <w:spacing w:after="0" w:line="240" w:lineRule="auto"/>
              <w:jc w:val="center"/>
              <w:rPr>
                <w:rFonts w:ascii="Times New Roman" w:eastAsia="Times New Roman" w:hAnsi="Times New Roman" w:cs="Times New Roman"/>
                <w:color w:val="FF0000"/>
              </w:rPr>
            </w:pPr>
            <w:r>
              <w:rPr>
                <w:rFonts w:ascii="Times New Roman" w:eastAsia="Times New Roman" w:hAnsi="Times New Roman" w:cs="Times New Roman"/>
              </w:rPr>
              <w:t>Enterprise Combination</w:t>
            </w:r>
          </w:p>
        </w:tc>
        <w:tc>
          <w:tcPr>
            <w:tcW w:w="2790"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Adoption of any 1 enterprise</w:t>
            </w:r>
          </w:p>
        </w:tc>
        <w:tc>
          <w:tcPr>
            <w:tcW w:w="1575"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 (13.33%)</w:t>
            </w:r>
          </w:p>
        </w:tc>
        <w:tc>
          <w:tcPr>
            <w:tcW w:w="2115"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 (38.33%)</w:t>
            </w:r>
          </w:p>
        </w:tc>
      </w:tr>
      <w:tr w:rsidR="005D06C5">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rsidR="005D06C5" w:rsidRDefault="005D06C5">
            <w:pPr>
              <w:widowControl w:val="0"/>
              <w:pBdr>
                <w:top w:val="nil"/>
                <w:left w:val="nil"/>
                <w:bottom w:val="nil"/>
                <w:right w:val="nil"/>
                <w:between w:val="nil"/>
              </w:pBdr>
              <w:spacing w:after="0"/>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rsidR="005D06C5" w:rsidRDefault="005D06C5">
            <w:pPr>
              <w:widowControl w:val="0"/>
              <w:pBdr>
                <w:top w:val="nil"/>
                <w:left w:val="nil"/>
                <w:bottom w:val="nil"/>
                <w:right w:val="nil"/>
                <w:between w:val="nil"/>
              </w:pBdr>
              <w:spacing w:after="0"/>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Adoption of any 2 enterprises</w:t>
            </w:r>
          </w:p>
        </w:tc>
        <w:tc>
          <w:tcPr>
            <w:tcW w:w="1575"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14 (23.33%)</w:t>
            </w:r>
          </w:p>
        </w:tc>
        <w:tc>
          <w:tcPr>
            <w:tcW w:w="2115"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15 (25.00%)</w:t>
            </w:r>
          </w:p>
        </w:tc>
      </w:tr>
      <w:tr w:rsidR="005D06C5">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rsidR="005D06C5" w:rsidRDefault="005D06C5">
            <w:pPr>
              <w:widowControl w:val="0"/>
              <w:pBdr>
                <w:top w:val="nil"/>
                <w:left w:val="nil"/>
                <w:bottom w:val="nil"/>
                <w:right w:val="nil"/>
                <w:between w:val="nil"/>
              </w:pBdr>
              <w:spacing w:after="0"/>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rsidR="005D06C5" w:rsidRDefault="005D06C5">
            <w:pPr>
              <w:widowControl w:val="0"/>
              <w:pBdr>
                <w:top w:val="nil"/>
                <w:left w:val="nil"/>
                <w:bottom w:val="nil"/>
                <w:right w:val="nil"/>
                <w:between w:val="nil"/>
              </w:pBdr>
              <w:spacing w:after="0"/>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Adoption of any 3 enterprises</w:t>
            </w:r>
          </w:p>
        </w:tc>
        <w:tc>
          <w:tcPr>
            <w:tcW w:w="1575"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9 (15.00%)</w:t>
            </w:r>
          </w:p>
        </w:tc>
        <w:tc>
          <w:tcPr>
            <w:tcW w:w="2115"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15 (25.00%)</w:t>
            </w:r>
          </w:p>
        </w:tc>
      </w:tr>
      <w:tr w:rsidR="005D06C5">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rsidR="005D06C5" w:rsidRDefault="005D06C5">
            <w:pPr>
              <w:widowControl w:val="0"/>
              <w:pBdr>
                <w:top w:val="nil"/>
                <w:left w:val="nil"/>
                <w:bottom w:val="nil"/>
                <w:right w:val="nil"/>
                <w:between w:val="nil"/>
              </w:pBdr>
              <w:spacing w:after="0"/>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rsidR="005D06C5" w:rsidRDefault="005D06C5">
            <w:pPr>
              <w:widowControl w:val="0"/>
              <w:pBdr>
                <w:top w:val="nil"/>
                <w:left w:val="nil"/>
                <w:bottom w:val="nil"/>
                <w:right w:val="nil"/>
                <w:between w:val="nil"/>
              </w:pBdr>
              <w:spacing w:after="0"/>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Adoption of any 4 enterprises</w:t>
            </w:r>
          </w:p>
        </w:tc>
        <w:tc>
          <w:tcPr>
            <w:tcW w:w="1575"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12 (20.00%)</w:t>
            </w:r>
          </w:p>
        </w:tc>
        <w:tc>
          <w:tcPr>
            <w:tcW w:w="2115"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 (8.33%)</w:t>
            </w:r>
          </w:p>
        </w:tc>
      </w:tr>
      <w:tr w:rsidR="005D06C5">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rsidR="005D06C5" w:rsidRDefault="005D06C5">
            <w:pPr>
              <w:widowControl w:val="0"/>
              <w:pBdr>
                <w:top w:val="nil"/>
                <w:left w:val="nil"/>
                <w:bottom w:val="nil"/>
                <w:right w:val="nil"/>
                <w:between w:val="nil"/>
              </w:pBdr>
              <w:spacing w:after="0"/>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rsidR="005D06C5" w:rsidRDefault="005D06C5">
            <w:pPr>
              <w:widowControl w:val="0"/>
              <w:pBdr>
                <w:top w:val="nil"/>
                <w:left w:val="nil"/>
                <w:bottom w:val="nil"/>
                <w:right w:val="nil"/>
                <w:between w:val="nil"/>
              </w:pBdr>
              <w:spacing w:after="0"/>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Adoption of all 5 enterprises</w:t>
            </w:r>
          </w:p>
        </w:tc>
        <w:tc>
          <w:tcPr>
            <w:tcW w:w="1575"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17 (28.33%)</w:t>
            </w:r>
          </w:p>
        </w:tc>
        <w:tc>
          <w:tcPr>
            <w:tcW w:w="2115"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 (3.33%)</w:t>
            </w:r>
          </w:p>
        </w:tc>
      </w:tr>
      <w:tr w:rsidR="005D06C5">
        <w:trPr>
          <w:trHeight w:val="220"/>
        </w:trPr>
        <w:tc>
          <w:tcPr>
            <w:tcW w:w="600" w:type="dxa"/>
            <w:vMerge w:val="restart"/>
            <w:tcBorders>
              <w:top w:val="single" w:sz="8" w:space="0" w:color="000000"/>
              <w:left w:val="single" w:sz="8" w:space="0" w:color="000000"/>
              <w:bottom w:val="single" w:sz="8" w:space="0" w:color="000000"/>
              <w:right w:val="single" w:sz="8" w:space="0" w:color="000000"/>
            </w:tcBorders>
            <w:vAlign w:val="center"/>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9.</w:t>
            </w:r>
          </w:p>
        </w:tc>
        <w:tc>
          <w:tcPr>
            <w:tcW w:w="1530" w:type="dxa"/>
            <w:vMerge w:val="restart"/>
            <w:tcBorders>
              <w:top w:val="single" w:sz="8" w:space="0" w:color="000000"/>
              <w:left w:val="single" w:sz="8" w:space="0" w:color="000000"/>
              <w:bottom w:val="single" w:sz="8" w:space="0" w:color="000000"/>
              <w:right w:val="single" w:sz="8" w:space="0" w:color="000000"/>
            </w:tcBorders>
            <w:vAlign w:val="center"/>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Mass Media Exposure</w:t>
            </w:r>
          </w:p>
        </w:tc>
        <w:tc>
          <w:tcPr>
            <w:tcW w:w="2790"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Low (</w:t>
            </w:r>
            <w:proofErr w:type="spellStart"/>
            <w:r>
              <w:rPr>
                <w:rFonts w:ascii="Times New Roman" w:eastAsia="Times New Roman" w:hAnsi="Times New Roman" w:cs="Times New Roman"/>
              </w:rPr>
              <w:t>upto</w:t>
            </w:r>
            <w:proofErr w:type="spellEnd"/>
            <w:r>
              <w:rPr>
                <w:rFonts w:ascii="Times New Roman" w:eastAsia="Times New Roman" w:hAnsi="Times New Roman" w:cs="Times New Roman"/>
              </w:rPr>
              <w:t xml:space="preserve"> 11 scores)</w:t>
            </w:r>
          </w:p>
        </w:tc>
        <w:tc>
          <w:tcPr>
            <w:tcW w:w="1575"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 (11.67%)</w:t>
            </w:r>
          </w:p>
        </w:tc>
        <w:tc>
          <w:tcPr>
            <w:tcW w:w="2115"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18 (30.00%)</w:t>
            </w:r>
          </w:p>
        </w:tc>
      </w:tr>
      <w:tr w:rsidR="005D06C5">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rsidR="005D06C5" w:rsidRDefault="005D06C5">
            <w:pPr>
              <w:widowControl w:val="0"/>
              <w:pBdr>
                <w:top w:val="nil"/>
                <w:left w:val="nil"/>
                <w:bottom w:val="nil"/>
                <w:right w:val="nil"/>
                <w:between w:val="nil"/>
              </w:pBdr>
              <w:spacing w:after="0"/>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rsidR="005D06C5" w:rsidRDefault="005D06C5">
            <w:pPr>
              <w:widowControl w:val="0"/>
              <w:pBdr>
                <w:top w:val="nil"/>
                <w:left w:val="nil"/>
                <w:bottom w:val="nil"/>
                <w:right w:val="nil"/>
                <w:between w:val="nil"/>
              </w:pBdr>
              <w:spacing w:after="0"/>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Medium (12-15 scores)</w:t>
            </w:r>
          </w:p>
        </w:tc>
        <w:tc>
          <w:tcPr>
            <w:tcW w:w="1575"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37 (61.67%)</w:t>
            </w:r>
          </w:p>
        </w:tc>
        <w:tc>
          <w:tcPr>
            <w:tcW w:w="2115"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36 (60.00%)</w:t>
            </w:r>
          </w:p>
        </w:tc>
      </w:tr>
      <w:tr w:rsidR="005D06C5">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rsidR="005D06C5" w:rsidRDefault="005D06C5">
            <w:pPr>
              <w:widowControl w:val="0"/>
              <w:pBdr>
                <w:top w:val="nil"/>
                <w:left w:val="nil"/>
                <w:bottom w:val="nil"/>
                <w:right w:val="nil"/>
                <w:between w:val="nil"/>
              </w:pBdr>
              <w:spacing w:after="0"/>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rsidR="005D06C5" w:rsidRDefault="005D06C5">
            <w:pPr>
              <w:widowControl w:val="0"/>
              <w:pBdr>
                <w:top w:val="nil"/>
                <w:left w:val="nil"/>
                <w:bottom w:val="nil"/>
                <w:right w:val="nil"/>
                <w:between w:val="nil"/>
              </w:pBdr>
              <w:spacing w:after="0"/>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High (&gt;15 scores)</w:t>
            </w:r>
          </w:p>
        </w:tc>
        <w:tc>
          <w:tcPr>
            <w:tcW w:w="1575"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16 (26.67%)</w:t>
            </w:r>
          </w:p>
        </w:tc>
        <w:tc>
          <w:tcPr>
            <w:tcW w:w="2115"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 (10.00%)</w:t>
            </w:r>
          </w:p>
        </w:tc>
      </w:tr>
      <w:tr w:rsidR="005D06C5">
        <w:trPr>
          <w:trHeight w:val="220"/>
        </w:trPr>
        <w:tc>
          <w:tcPr>
            <w:tcW w:w="600" w:type="dxa"/>
            <w:vMerge w:val="restart"/>
            <w:tcBorders>
              <w:top w:val="single" w:sz="8" w:space="0" w:color="000000"/>
              <w:left w:val="single" w:sz="8" w:space="0" w:color="000000"/>
              <w:bottom w:val="single" w:sz="8" w:space="0" w:color="000000"/>
              <w:right w:val="single" w:sz="8" w:space="0" w:color="000000"/>
            </w:tcBorders>
            <w:vAlign w:val="center"/>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1530" w:type="dxa"/>
            <w:vMerge w:val="restart"/>
            <w:tcBorders>
              <w:top w:val="single" w:sz="8" w:space="0" w:color="000000"/>
              <w:left w:val="single" w:sz="8" w:space="0" w:color="000000"/>
              <w:bottom w:val="single" w:sz="8" w:space="0" w:color="000000"/>
              <w:right w:val="single" w:sz="8" w:space="0" w:color="000000"/>
            </w:tcBorders>
            <w:vAlign w:val="center"/>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Economic Motivation</w:t>
            </w:r>
          </w:p>
        </w:tc>
        <w:tc>
          <w:tcPr>
            <w:tcW w:w="2790"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sdt>
              <w:sdtPr>
                <w:tag w:val="goog_rdk_2"/>
                <w:id w:val="-1013175465"/>
              </w:sdtPr>
              <w:sdtEndPr/>
              <w:sdtContent>
                <w:r>
                  <w:rPr>
                    <w:rFonts w:ascii="Gungsuh" w:eastAsia="Gungsuh" w:hAnsi="Gungsuh" w:cs="Gungsuh"/>
                  </w:rPr>
                  <w:t>Low (≤20 scores)</w:t>
                </w:r>
              </w:sdtContent>
            </w:sdt>
          </w:p>
        </w:tc>
        <w:tc>
          <w:tcPr>
            <w:tcW w:w="1575"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 (11.67%)</w:t>
            </w:r>
          </w:p>
        </w:tc>
        <w:tc>
          <w:tcPr>
            <w:tcW w:w="2115"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 (16.67%)</w:t>
            </w:r>
          </w:p>
        </w:tc>
      </w:tr>
      <w:tr w:rsidR="005D06C5">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rsidR="005D06C5" w:rsidRDefault="005D06C5">
            <w:pPr>
              <w:widowControl w:val="0"/>
              <w:pBdr>
                <w:top w:val="nil"/>
                <w:left w:val="nil"/>
                <w:bottom w:val="nil"/>
                <w:right w:val="nil"/>
                <w:between w:val="nil"/>
              </w:pBdr>
              <w:spacing w:after="0"/>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rsidR="005D06C5" w:rsidRDefault="005D06C5">
            <w:pPr>
              <w:widowControl w:val="0"/>
              <w:pBdr>
                <w:top w:val="nil"/>
                <w:left w:val="nil"/>
                <w:bottom w:val="nil"/>
                <w:right w:val="nil"/>
                <w:between w:val="nil"/>
              </w:pBdr>
              <w:spacing w:after="0"/>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Medium (21–25 scores)</w:t>
            </w:r>
          </w:p>
        </w:tc>
        <w:tc>
          <w:tcPr>
            <w:tcW w:w="1575"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42 (70.00%)</w:t>
            </w:r>
          </w:p>
        </w:tc>
        <w:tc>
          <w:tcPr>
            <w:tcW w:w="2115"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41 (68.33%)</w:t>
            </w:r>
          </w:p>
        </w:tc>
      </w:tr>
      <w:tr w:rsidR="005D06C5">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rsidR="005D06C5" w:rsidRDefault="005D06C5">
            <w:pPr>
              <w:widowControl w:val="0"/>
              <w:pBdr>
                <w:top w:val="nil"/>
                <w:left w:val="nil"/>
                <w:bottom w:val="nil"/>
                <w:right w:val="nil"/>
                <w:between w:val="nil"/>
              </w:pBdr>
              <w:spacing w:after="0"/>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rsidR="005D06C5" w:rsidRDefault="005D06C5">
            <w:pPr>
              <w:widowControl w:val="0"/>
              <w:pBdr>
                <w:top w:val="nil"/>
                <w:left w:val="nil"/>
                <w:bottom w:val="nil"/>
                <w:right w:val="nil"/>
                <w:between w:val="nil"/>
              </w:pBdr>
              <w:spacing w:after="0"/>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High (&gt;25 scores)</w:t>
            </w:r>
          </w:p>
        </w:tc>
        <w:tc>
          <w:tcPr>
            <w:tcW w:w="1575"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 (18.33%)</w:t>
            </w:r>
          </w:p>
        </w:tc>
        <w:tc>
          <w:tcPr>
            <w:tcW w:w="2115"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9 (15.00%)</w:t>
            </w:r>
          </w:p>
        </w:tc>
      </w:tr>
      <w:tr w:rsidR="005D06C5">
        <w:trPr>
          <w:trHeight w:val="220"/>
        </w:trPr>
        <w:tc>
          <w:tcPr>
            <w:tcW w:w="600" w:type="dxa"/>
            <w:vMerge w:val="restart"/>
            <w:tcBorders>
              <w:top w:val="single" w:sz="8" w:space="0" w:color="000000"/>
              <w:left w:val="single" w:sz="8" w:space="0" w:color="000000"/>
              <w:bottom w:val="single" w:sz="8" w:space="0" w:color="000000"/>
              <w:right w:val="single" w:sz="8" w:space="0" w:color="000000"/>
            </w:tcBorders>
            <w:vAlign w:val="center"/>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w:t>
            </w:r>
          </w:p>
        </w:tc>
        <w:tc>
          <w:tcPr>
            <w:tcW w:w="1530" w:type="dxa"/>
            <w:vMerge w:val="restart"/>
            <w:tcBorders>
              <w:top w:val="single" w:sz="8" w:space="0" w:color="000000"/>
              <w:left w:val="single" w:sz="8" w:space="0" w:color="000000"/>
              <w:bottom w:val="single" w:sz="8" w:space="0" w:color="000000"/>
              <w:right w:val="single" w:sz="8" w:space="0" w:color="000000"/>
            </w:tcBorders>
            <w:vAlign w:val="center"/>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Scientific Orientation</w:t>
            </w:r>
          </w:p>
        </w:tc>
        <w:tc>
          <w:tcPr>
            <w:tcW w:w="2790"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sdt>
              <w:sdtPr>
                <w:tag w:val="goog_rdk_3"/>
                <w:id w:val="608586932"/>
              </w:sdtPr>
              <w:sdtEndPr/>
              <w:sdtContent>
                <w:r>
                  <w:rPr>
                    <w:rFonts w:ascii="Gungsuh" w:eastAsia="Gungsuh" w:hAnsi="Gungsuh" w:cs="Gungsuh"/>
                  </w:rPr>
                  <w:t>Low (≤19 scores)</w:t>
                </w:r>
              </w:sdtContent>
            </w:sdt>
          </w:p>
        </w:tc>
        <w:tc>
          <w:tcPr>
            <w:tcW w:w="1575"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 (6.67%)</w:t>
            </w:r>
          </w:p>
        </w:tc>
        <w:tc>
          <w:tcPr>
            <w:tcW w:w="2115"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 (10.00%)</w:t>
            </w:r>
          </w:p>
        </w:tc>
      </w:tr>
      <w:tr w:rsidR="005D06C5">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rsidR="005D06C5" w:rsidRDefault="005D06C5">
            <w:pPr>
              <w:widowControl w:val="0"/>
              <w:pBdr>
                <w:top w:val="nil"/>
                <w:left w:val="nil"/>
                <w:bottom w:val="nil"/>
                <w:right w:val="nil"/>
                <w:between w:val="nil"/>
              </w:pBdr>
              <w:spacing w:after="0"/>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rsidR="005D06C5" w:rsidRDefault="005D06C5">
            <w:pPr>
              <w:widowControl w:val="0"/>
              <w:pBdr>
                <w:top w:val="nil"/>
                <w:left w:val="nil"/>
                <w:bottom w:val="nil"/>
                <w:right w:val="nil"/>
                <w:between w:val="nil"/>
              </w:pBdr>
              <w:spacing w:after="0"/>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Medium (20–24 scores)</w:t>
            </w:r>
          </w:p>
        </w:tc>
        <w:tc>
          <w:tcPr>
            <w:tcW w:w="1575"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43 (71.67%)</w:t>
            </w:r>
          </w:p>
        </w:tc>
        <w:tc>
          <w:tcPr>
            <w:tcW w:w="2115"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47 (78.33%)</w:t>
            </w:r>
          </w:p>
        </w:tc>
      </w:tr>
      <w:tr w:rsidR="005D06C5">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rsidR="005D06C5" w:rsidRDefault="005D06C5">
            <w:pPr>
              <w:widowControl w:val="0"/>
              <w:pBdr>
                <w:top w:val="nil"/>
                <w:left w:val="nil"/>
                <w:bottom w:val="nil"/>
                <w:right w:val="nil"/>
                <w:between w:val="nil"/>
              </w:pBdr>
              <w:spacing w:after="0"/>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rsidR="005D06C5" w:rsidRDefault="005D06C5">
            <w:pPr>
              <w:widowControl w:val="0"/>
              <w:pBdr>
                <w:top w:val="nil"/>
                <w:left w:val="nil"/>
                <w:bottom w:val="nil"/>
                <w:right w:val="nil"/>
                <w:between w:val="nil"/>
              </w:pBdr>
              <w:spacing w:after="0"/>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High (&gt;24 scores)</w:t>
            </w:r>
          </w:p>
        </w:tc>
        <w:tc>
          <w:tcPr>
            <w:tcW w:w="1575"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 (21.67%)</w:t>
            </w:r>
          </w:p>
        </w:tc>
        <w:tc>
          <w:tcPr>
            <w:tcW w:w="2115"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 (11.67%)</w:t>
            </w:r>
          </w:p>
        </w:tc>
      </w:tr>
      <w:tr w:rsidR="005D06C5">
        <w:trPr>
          <w:trHeight w:val="220"/>
        </w:trPr>
        <w:tc>
          <w:tcPr>
            <w:tcW w:w="600" w:type="dxa"/>
            <w:vMerge w:val="restart"/>
            <w:tcBorders>
              <w:top w:val="single" w:sz="8" w:space="0" w:color="000000"/>
              <w:left w:val="single" w:sz="8" w:space="0" w:color="000000"/>
              <w:bottom w:val="single" w:sz="8" w:space="0" w:color="000000"/>
              <w:right w:val="single" w:sz="8" w:space="0" w:color="000000"/>
            </w:tcBorders>
            <w:vAlign w:val="center"/>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12.</w:t>
            </w:r>
          </w:p>
        </w:tc>
        <w:tc>
          <w:tcPr>
            <w:tcW w:w="1530" w:type="dxa"/>
            <w:vMerge w:val="restart"/>
            <w:tcBorders>
              <w:top w:val="single" w:sz="8" w:space="0" w:color="000000"/>
              <w:left w:val="single" w:sz="8" w:space="0" w:color="000000"/>
              <w:bottom w:val="single" w:sz="8" w:space="0" w:color="000000"/>
              <w:right w:val="single" w:sz="8" w:space="0" w:color="000000"/>
            </w:tcBorders>
            <w:vAlign w:val="center"/>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Risk Orientation</w:t>
            </w:r>
          </w:p>
        </w:tc>
        <w:tc>
          <w:tcPr>
            <w:tcW w:w="2790"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sdt>
              <w:sdtPr>
                <w:tag w:val="goog_rdk_4"/>
                <w:id w:val="-548390140"/>
              </w:sdtPr>
              <w:sdtEndPr/>
              <w:sdtContent>
                <w:r>
                  <w:rPr>
                    <w:rFonts w:ascii="Gungsuh" w:eastAsia="Gungsuh" w:hAnsi="Gungsuh" w:cs="Gungsuh"/>
                  </w:rPr>
                  <w:t>Low (≤14 scores)</w:t>
                </w:r>
              </w:sdtContent>
            </w:sdt>
          </w:p>
        </w:tc>
        <w:tc>
          <w:tcPr>
            <w:tcW w:w="1575"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9 (15.00%)</w:t>
            </w:r>
          </w:p>
        </w:tc>
        <w:tc>
          <w:tcPr>
            <w:tcW w:w="2115"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 (21.67%)</w:t>
            </w:r>
          </w:p>
        </w:tc>
      </w:tr>
      <w:tr w:rsidR="005D06C5">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rsidR="005D06C5" w:rsidRDefault="005D06C5">
            <w:pPr>
              <w:widowControl w:val="0"/>
              <w:pBdr>
                <w:top w:val="nil"/>
                <w:left w:val="nil"/>
                <w:bottom w:val="nil"/>
                <w:right w:val="nil"/>
                <w:between w:val="nil"/>
              </w:pBdr>
              <w:spacing w:after="0"/>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rsidR="005D06C5" w:rsidRDefault="005D06C5">
            <w:pPr>
              <w:widowControl w:val="0"/>
              <w:pBdr>
                <w:top w:val="nil"/>
                <w:left w:val="nil"/>
                <w:bottom w:val="nil"/>
                <w:right w:val="nil"/>
                <w:between w:val="nil"/>
              </w:pBdr>
              <w:spacing w:after="0"/>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Medium (15–19 scores)</w:t>
            </w:r>
          </w:p>
        </w:tc>
        <w:tc>
          <w:tcPr>
            <w:tcW w:w="1575"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36 (60.00%)</w:t>
            </w:r>
          </w:p>
        </w:tc>
        <w:tc>
          <w:tcPr>
            <w:tcW w:w="2115"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41 (68.33%)</w:t>
            </w:r>
          </w:p>
        </w:tc>
      </w:tr>
      <w:tr w:rsidR="005D06C5">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rsidR="005D06C5" w:rsidRDefault="005D06C5">
            <w:pPr>
              <w:widowControl w:val="0"/>
              <w:pBdr>
                <w:top w:val="nil"/>
                <w:left w:val="nil"/>
                <w:bottom w:val="nil"/>
                <w:right w:val="nil"/>
                <w:between w:val="nil"/>
              </w:pBdr>
              <w:spacing w:after="0"/>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rsidR="005D06C5" w:rsidRDefault="005D06C5">
            <w:pPr>
              <w:widowControl w:val="0"/>
              <w:pBdr>
                <w:top w:val="nil"/>
                <w:left w:val="nil"/>
                <w:bottom w:val="nil"/>
                <w:right w:val="nil"/>
                <w:between w:val="nil"/>
              </w:pBdr>
              <w:spacing w:after="0"/>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High (&gt;19 scores)</w:t>
            </w:r>
          </w:p>
        </w:tc>
        <w:tc>
          <w:tcPr>
            <w:tcW w:w="1575"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15 (25.00%)</w:t>
            </w:r>
          </w:p>
        </w:tc>
        <w:tc>
          <w:tcPr>
            <w:tcW w:w="2115" w:type="dxa"/>
            <w:tcBorders>
              <w:top w:val="single" w:sz="8" w:space="0" w:color="000000"/>
              <w:left w:val="single" w:sz="8" w:space="0" w:color="000000"/>
              <w:bottom w:val="single" w:sz="8" w:space="0" w:color="000000"/>
              <w:right w:val="single" w:sz="8" w:space="0" w:color="000000"/>
            </w:tcBorders>
          </w:tcPr>
          <w:p w:rsidR="005D06C5" w:rsidRDefault="008459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 (10.00%)</w:t>
            </w:r>
          </w:p>
        </w:tc>
      </w:tr>
    </w:tbl>
    <w:p w:rsidR="005D06C5" w:rsidRDefault="00845966">
      <w:pPr>
        <w:spacing w:before="120"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The data presented in Table 1 shows the percentage distribution of beneficiaries and non-beneficiaries according to their categories.</w:t>
      </w:r>
    </w:p>
    <w:p w:rsidR="005D06C5" w:rsidRDefault="00845966">
      <w:pPr>
        <w:pStyle w:val="Heading2"/>
        <w:keepNext w:val="0"/>
        <w:keepLines w:val="0"/>
        <w:spacing w:before="360" w:after="80" w:line="240" w:lineRule="auto"/>
        <w:jc w:val="both"/>
        <w:rPr>
          <w:rFonts w:ascii="Times New Roman" w:eastAsia="Times New Roman" w:hAnsi="Times New Roman" w:cs="Times New Roman"/>
          <w:color w:val="000000"/>
          <w:sz w:val="22"/>
          <w:szCs w:val="22"/>
        </w:rPr>
      </w:pPr>
      <w:bookmarkStart w:id="2" w:name="_heading=h.fxctiduquyzh" w:colFirst="0" w:colLast="0"/>
      <w:bookmarkEnd w:id="2"/>
      <w:r>
        <w:rPr>
          <w:rFonts w:ascii="Times New Roman" w:eastAsia="Times New Roman" w:hAnsi="Times New Roman" w:cs="Times New Roman"/>
          <w:color w:val="000000"/>
          <w:sz w:val="22"/>
          <w:szCs w:val="22"/>
        </w:rPr>
        <w:t>Socio-economic characteristics of respondents</w:t>
      </w:r>
    </w:p>
    <w:p w:rsidR="005D06C5" w:rsidRDefault="00845966">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The data indicated that the majority of both beneficiary (48.33%) and non-beneficiary farmers (58.33%) belonged to the middle-age group. However, a higher proportion of beneficiaries (31.67%) were found in the young age category compared to non-beneficiari</w:t>
      </w:r>
      <w:r>
        <w:rPr>
          <w:rFonts w:ascii="Times New Roman" w:eastAsia="Times New Roman" w:hAnsi="Times New Roman" w:cs="Times New Roman"/>
        </w:rPr>
        <w:t xml:space="preserve">es (16.67%). Younger farmers are generally more receptive to new technologies and agricultural innovations, which may facilitate greater participation in development </w:t>
      </w:r>
      <w:proofErr w:type="spellStart"/>
      <w:r>
        <w:rPr>
          <w:rFonts w:ascii="Times New Roman" w:eastAsia="Times New Roman" w:hAnsi="Times New Roman" w:cs="Times New Roman"/>
        </w:rPr>
        <w:t>programmes</w:t>
      </w:r>
      <w:proofErr w:type="spellEnd"/>
      <w:r>
        <w:rPr>
          <w:rFonts w:ascii="Times New Roman" w:eastAsia="Times New Roman" w:hAnsi="Times New Roman" w:cs="Times New Roman"/>
        </w:rPr>
        <w:t>.</w:t>
      </w:r>
    </w:p>
    <w:p w:rsidR="005D06C5" w:rsidRDefault="00845966">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 xml:space="preserve">In terms of education, beneficiary farmers were comparatively better educated </w:t>
      </w:r>
      <w:r>
        <w:rPr>
          <w:rFonts w:ascii="Times New Roman" w:eastAsia="Times New Roman" w:hAnsi="Times New Roman" w:cs="Times New Roman"/>
        </w:rPr>
        <w:t>than non-beneficiaries. Among beneficiaries, the highest proportion (33.33%) were graduates, followed by farmers with high school (21.67%) and middle school education (16.67%). In contrast, most non-beneficiaries (28.33%) could only read and write, while a</w:t>
      </w:r>
      <w:r>
        <w:rPr>
          <w:rFonts w:ascii="Times New Roman" w:eastAsia="Times New Roman" w:hAnsi="Times New Roman" w:cs="Times New Roman"/>
        </w:rPr>
        <w:t xml:space="preserve"> smaller proportion (10.00%) had graduate-level education. Higher educational attainment among beneficiaries may have improved their ability to access and utilize agricultural information and technologies.</w:t>
      </w:r>
    </w:p>
    <w:p w:rsidR="005D06C5" w:rsidRDefault="00845966">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Regarding landholding size, most respondents in bo</w:t>
      </w:r>
      <w:r>
        <w:rPr>
          <w:rFonts w:ascii="Times New Roman" w:eastAsia="Times New Roman" w:hAnsi="Times New Roman" w:cs="Times New Roman"/>
        </w:rPr>
        <w:t xml:space="preserve">th groups belonged to the small and marginal farmer categories. Among beneficiaries, 35.00% were small farmers and 31.67% were marginal farmers. Similarly, among non-beneficiaries, 31.67% were small farmers and 28.33% were marginal farmers. This indicates </w:t>
      </w:r>
      <w:r>
        <w:rPr>
          <w:rFonts w:ascii="Times New Roman" w:eastAsia="Times New Roman" w:hAnsi="Times New Roman" w:cs="Times New Roman"/>
        </w:rPr>
        <w:t>that integrated farming practices are particularly relevant for farmers with limited land resources.</w:t>
      </w:r>
    </w:p>
    <w:p w:rsidR="005D06C5" w:rsidRDefault="00845966">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The distribution of respondents according to family size showed that the majority of farmers in both groups had medium-sized families. Among beneficiaries,</w:t>
      </w:r>
      <w:r>
        <w:rPr>
          <w:rFonts w:ascii="Times New Roman" w:eastAsia="Times New Roman" w:hAnsi="Times New Roman" w:cs="Times New Roman"/>
        </w:rPr>
        <w:t xml:space="preserve"> 48.33% had medium family size, followed by 36.67% with small families. A similar pattern was observed among non-beneficiaries, where 41.67% had medium family size and 38.33% had small families. Medium family size may contribute positively to farm labor av</w:t>
      </w:r>
      <w:r>
        <w:rPr>
          <w:rFonts w:ascii="Times New Roman" w:eastAsia="Times New Roman" w:hAnsi="Times New Roman" w:cs="Times New Roman"/>
        </w:rPr>
        <w:t>ailability.</w:t>
      </w:r>
    </w:p>
    <w:p w:rsidR="005D06C5" w:rsidRDefault="00845966">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 xml:space="preserve">The experience of farmers with Integrated Farming Systems (IFS) also differed between the two groups. Among beneficiaries, 40.00% had medium IFS experience and 36.67% had high experience. In comparison, a larger proportion of non-beneficiaries </w:t>
      </w:r>
      <w:r>
        <w:rPr>
          <w:rFonts w:ascii="Times New Roman" w:eastAsia="Times New Roman" w:hAnsi="Times New Roman" w:cs="Times New Roman"/>
        </w:rPr>
        <w:t>(38.33%) fell under the low experience category. This suggests that beneficiaries had greater exposure to integrated farming practices.</w:t>
      </w:r>
    </w:p>
    <w:p w:rsidR="005D06C5" w:rsidRDefault="00845966">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Income distribution revealed that most respondents belonged to the medium income category. However, the proportion of fa</w:t>
      </w:r>
      <w:r>
        <w:rPr>
          <w:rFonts w:ascii="Times New Roman" w:eastAsia="Times New Roman" w:hAnsi="Times New Roman" w:cs="Times New Roman"/>
        </w:rPr>
        <w:t xml:space="preserve">rmers in the </w:t>
      </w:r>
      <w:proofErr w:type="gramStart"/>
      <w:r>
        <w:rPr>
          <w:rFonts w:ascii="Times New Roman" w:eastAsia="Times New Roman" w:hAnsi="Times New Roman" w:cs="Times New Roman"/>
        </w:rPr>
        <w:t>high income</w:t>
      </w:r>
      <w:proofErr w:type="gramEnd"/>
      <w:r>
        <w:rPr>
          <w:rFonts w:ascii="Times New Roman" w:eastAsia="Times New Roman" w:hAnsi="Times New Roman" w:cs="Times New Roman"/>
        </w:rPr>
        <w:t xml:space="preserve"> category was higher among beneficiaries (33.33%) compared to non-beneficiaries (10.00%). This difference suggests that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participation may contribute to improved income opportunities through diversified farming enterprises.</w:t>
      </w:r>
    </w:p>
    <w:p w:rsidR="005D06C5" w:rsidRDefault="00845966">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Information source utilization was found to be moderate among most respondents in both groups (71.67%). However, beneficiaries showed slightly higher levels of high information utilization (16.67%) compared to non-beneficiaries (11.67%). Access to informa</w:t>
      </w:r>
      <w:r>
        <w:rPr>
          <w:rFonts w:ascii="Times New Roman" w:eastAsia="Times New Roman" w:hAnsi="Times New Roman" w:cs="Times New Roman"/>
        </w:rPr>
        <w:t>tion sources plays a crucial role in improving farmers’ awareness and adoption of improved agricultural practices.</w:t>
      </w:r>
    </w:p>
    <w:p w:rsidR="005D06C5" w:rsidRDefault="00845966">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The analysis of enterprise combinations revealed a clear difference between the two groups. Among beneficiaries, 28.33% adopted all five ente</w:t>
      </w:r>
      <w:r>
        <w:rPr>
          <w:rFonts w:ascii="Times New Roman" w:eastAsia="Times New Roman" w:hAnsi="Times New Roman" w:cs="Times New Roman"/>
        </w:rPr>
        <w:t>rprise combinations under the Integrated Farming System, whereas only 3.33% of non-beneficiaries adopted all five enterprises. Conversely, a larger proportion of non-beneficiaries (38.33%) practiced only a single enterprise. This finding highlights the rol</w:t>
      </w:r>
      <w:r>
        <w:rPr>
          <w:rFonts w:ascii="Times New Roman" w:eastAsia="Times New Roman" w:hAnsi="Times New Roman" w:cs="Times New Roman"/>
        </w:rPr>
        <w:t>e of FFP in promoting diversified farming systems.</w:t>
      </w:r>
    </w:p>
    <w:p w:rsidR="005D06C5" w:rsidRDefault="00845966">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Extension contact levels were mostly moderate among both groups. Among beneficiaries, 66.67% had medium extension contact and 20.00% had high contact. In comparison, only 13.00% of non-</w:t>
      </w:r>
      <w:r>
        <w:rPr>
          <w:rFonts w:ascii="Times New Roman" w:eastAsia="Times New Roman" w:hAnsi="Times New Roman" w:cs="Times New Roman"/>
        </w:rPr>
        <w:lastRenderedPageBreak/>
        <w:t>beneficiaries report</w:t>
      </w:r>
      <w:r>
        <w:rPr>
          <w:rFonts w:ascii="Times New Roman" w:eastAsia="Times New Roman" w:hAnsi="Times New Roman" w:cs="Times New Roman"/>
        </w:rPr>
        <w:t>ed high extension contact. Increased interaction with extension personnel may enhance farmers’ access to technical guidance and new technologies.</w:t>
      </w:r>
    </w:p>
    <w:p w:rsidR="005D06C5" w:rsidRDefault="00845966">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Mass media exposure also showed noticeable variation. Among beneficiaries, 26.67% had high exposure to mass me</w:t>
      </w:r>
      <w:r>
        <w:rPr>
          <w:rFonts w:ascii="Times New Roman" w:eastAsia="Times New Roman" w:hAnsi="Times New Roman" w:cs="Times New Roman"/>
        </w:rPr>
        <w:t>dia, while only 10.00% of non-beneficiaries fell into this category. Mass media plays an important role in disseminating agricultural knowledge and awareness of improved practices.</w:t>
      </w:r>
    </w:p>
    <w:p w:rsidR="005D06C5" w:rsidRDefault="00845966">
      <w:pPr>
        <w:pStyle w:val="Heading2"/>
        <w:keepNext w:val="0"/>
        <w:keepLines w:val="0"/>
        <w:spacing w:before="360" w:after="80" w:line="240" w:lineRule="auto"/>
        <w:jc w:val="both"/>
        <w:rPr>
          <w:rFonts w:ascii="Times New Roman" w:eastAsia="Times New Roman" w:hAnsi="Times New Roman" w:cs="Times New Roman"/>
          <w:color w:val="000000"/>
          <w:sz w:val="22"/>
          <w:szCs w:val="22"/>
        </w:rPr>
      </w:pPr>
      <w:bookmarkStart w:id="3" w:name="_heading=h.pdpzjamxvjvo" w:colFirst="0" w:colLast="0"/>
      <w:bookmarkEnd w:id="3"/>
      <w:r>
        <w:rPr>
          <w:rFonts w:ascii="Times New Roman" w:eastAsia="Times New Roman" w:hAnsi="Times New Roman" w:cs="Times New Roman"/>
          <w:color w:val="000000"/>
          <w:sz w:val="22"/>
          <w:szCs w:val="22"/>
        </w:rPr>
        <w:t>Psychological characteristics of respondents</w:t>
      </w:r>
    </w:p>
    <w:p w:rsidR="005D06C5" w:rsidRDefault="00845966">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The psychological attributes o</w:t>
      </w:r>
      <w:r>
        <w:rPr>
          <w:rFonts w:ascii="Times New Roman" w:eastAsia="Times New Roman" w:hAnsi="Times New Roman" w:cs="Times New Roman"/>
        </w:rPr>
        <w:t>f farmers also showed differences between beneficiaries and non-beneficiaries.</w:t>
      </w:r>
    </w:p>
    <w:p w:rsidR="005D06C5" w:rsidRDefault="00845966">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With regard to economic motivation, the majority of farmers in both groups exhibited a medium level of motivation. Among beneficiaries, 70.00% had medium economic motivation and</w:t>
      </w:r>
      <w:r>
        <w:rPr>
          <w:rFonts w:ascii="Times New Roman" w:eastAsia="Times New Roman" w:hAnsi="Times New Roman" w:cs="Times New Roman"/>
        </w:rPr>
        <w:t xml:space="preserve"> 18.33% had high motivation. Among non-beneficiaries, 68.33% had medium motivation while 15.00% had high motivation. Participation in the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may enhance farmers’ interest in improving income through diversified agricultural activities.</w:t>
      </w:r>
    </w:p>
    <w:p w:rsidR="005D06C5" w:rsidRDefault="00845966">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Scientific or</w:t>
      </w:r>
      <w:r>
        <w:rPr>
          <w:rFonts w:ascii="Times New Roman" w:eastAsia="Times New Roman" w:hAnsi="Times New Roman" w:cs="Times New Roman"/>
        </w:rPr>
        <w:t>ientation among beneficiaries was relatively higher compared to non-beneficiaries. While the majority of farmers in both groups had medium scientific orientation, a higher proportion of beneficiaries (21.67%) exhibited a high level of scientific orientatio</w:t>
      </w:r>
      <w:r>
        <w:rPr>
          <w:rFonts w:ascii="Times New Roman" w:eastAsia="Times New Roman" w:hAnsi="Times New Roman" w:cs="Times New Roman"/>
        </w:rPr>
        <w:t>n compared to non-beneficiaries (11.67%). This indicates that beneficiaries were more inclined toward adopting scientifically recommended farming practices.</w:t>
      </w:r>
    </w:p>
    <w:p w:rsidR="005D06C5" w:rsidRDefault="00845966">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 xml:space="preserve">Risk orientation also varied between the two groups. Among beneficiaries, 25.00% of farmers showed </w:t>
      </w:r>
      <w:r>
        <w:rPr>
          <w:rFonts w:ascii="Times New Roman" w:eastAsia="Times New Roman" w:hAnsi="Times New Roman" w:cs="Times New Roman"/>
        </w:rPr>
        <w:t xml:space="preserve">high risk orientation, whereas only 10.00% of non-beneficiaries fell into this category. Farmers participating in the Farmer FIRST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may develop greater confidence in trying new technologies due to training, demonstrations and extension support.</w:t>
      </w:r>
    </w:p>
    <w:p w:rsidR="005D06C5" w:rsidRDefault="00845966">
      <w:pPr>
        <w:pStyle w:val="Heading2"/>
        <w:keepNext w:val="0"/>
        <w:keepLines w:val="0"/>
        <w:spacing w:before="360" w:after="80" w:line="240" w:lineRule="auto"/>
        <w:jc w:val="both"/>
        <w:rPr>
          <w:rFonts w:ascii="Times New Roman" w:eastAsia="Times New Roman" w:hAnsi="Times New Roman" w:cs="Times New Roman"/>
          <w:color w:val="000000"/>
          <w:sz w:val="22"/>
          <w:szCs w:val="22"/>
        </w:rPr>
      </w:pPr>
      <w:bookmarkStart w:id="4" w:name="_heading=h.6um1hlaxbm6d" w:colFirst="0" w:colLast="0"/>
      <w:bookmarkEnd w:id="4"/>
      <w:r>
        <w:rPr>
          <w:rFonts w:ascii="Times New Roman" w:eastAsia="Times New Roman" w:hAnsi="Times New Roman" w:cs="Times New Roman"/>
          <w:color w:val="000000"/>
          <w:sz w:val="22"/>
          <w:szCs w:val="22"/>
        </w:rPr>
        <w:t>Ov</w:t>
      </w:r>
      <w:r>
        <w:rPr>
          <w:rFonts w:ascii="Times New Roman" w:eastAsia="Times New Roman" w:hAnsi="Times New Roman" w:cs="Times New Roman"/>
          <w:color w:val="000000"/>
          <w:sz w:val="22"/>
          <w:szCs w:val="22"/>
        </w:rPr>
        <w:t>erall interpretation</w:t>
      </w:r>
    </w:p>
    <w:p w:rsidR="005D06C5" w:rsidRDefault="00845966">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 xml:space="preserve">Overall, the findings demonstrate that farmers participating in the Farmer FIRST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possess comparatively better socio-economic conditions and stronger psychological attributes than non-beneficiaries. Beneficiaries showed higher</w:t>
      </w:r>
      <w:r>
        <w:rPr>
          <w:rFonts w:ascii="Times New Roman" w:eastAsia="Times New Roman" w:hAnsi="Times New Roman" w:cs="Times New Roman"/>
        </w:rPr>
        <w:t xml:space="preserve"> educational levels, greater enterprise diversification, stronger extension contact, improved information access and higher income levels. They also exhibited higher economic motivation, scientific orientation and risk-taking ability.</w:t>
      </w:r>
    </w:p>
    <w:p w:rsidR="005D06C5" w:rsidRDefault="00845966">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These results indicat</w:t>
      </w:r>
      <w:r>
        <w:rPr>
          <w:rFonts w:ascii="Times New Roman" w:eastAsia="Times New Roman" w:hAnsi="Times New Roman" w:cs="Times New Roman"/>
        </w:rPr>
        <w:t xml:space="preserve">e that the Farmer FIRST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has played a positive role in strengthening farmers’ capacity to adopt integrated farming practices and improve their livelihood outcomes.</w:t>
      </w:r>
    </w:p>
    <w:p w:rsidR="005D06C5" w:rsidRDefault="00845966">
      <w:pPr>
        <w:spacing w:before="240" w:after="120" w:line="240" w:lineRule="auto"/>
        <w:jc w:val="both"/>
        <w:rPr>
          <w:rFonts w:ascii="Times New Roman" w:eastAsia="Times New Roman" w:hAnsi="Times New Roman" w:cs="Times New Roman"/>
          <w:b/>
          <w:bCs/>
        </w:rPr>
      </w:pPr>
      <w:bookmarkStart w:id="5" w:name="_heading=h.uy5jh9nqk7bc" w:colFirst="0" w:colLast="0"/>
      <w:bookmarkEnd w:id="5"/>
      <w:r>
        <w:rPr>
          <w:rFonts w:ascii="Times New Roman" w:eastAsia="Times New Roman" w:hAnsi="Times New Roman" w:cs="Times New Roman"/>
          <w:b/>
          <w:bCs/>
        </w:rPr>
        <w:t>Conclusion</w:t>
      </w:r>
    </w:p>
    <w:p w:rsidR="005D06C5" w:rsidRDefault="00845966">
      <w:pPr>
        <w:spacing w:after="0" w:line="240" w:lineRule="auto"/>
        <w:ind w:firstLine="720"/>
        <w:jc w:val="both"/>
        <w:rPr>
          <w:rFonts w:ascii="Times New Roman" w:eastAsia="Times New Roman" w:hAnsi="Times New Roman" w:cs="Times New Roman"/>
          <w:b/>
          <w:bCs/>
        </w:rPr>
      </w:pPr>
      <w:r>
        <w:rPr>
          <w:rFonts w:ascii="Times New Roman" w:eastAsia="Times New Roman" w:hAnsi="Times New Roman" w:cs="Times New Roman"/>
        </w:rPr>
        <w:t xml:space="preserve">The study revealed distinct differences between beneficiaries and non-beneficiaries of the Farmer FIRST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in terms of socio-economic and psychological related characteristics. Beneficiaries were generally better educated, had higher annual incomes,</w:t>
      </w:r>
      <w:r>
        <w:rPr>
          <w:rFonts w:ascii="Times New Roman" w:eastAsia="Times New Roman" w:hAnsi="Times New Roman" w:cs="Times New Roman"/>
        </w:rPr>
        <w:t xml:space="preserve"> greater IFS experience, stronger extension contact and wider enterprise combinations compared to non-beneficiaries. They also exhibited higher levels of economic motivation, scientific orientation and risk orientation, highlighting the positive impact of </w:t>
      </w:r>
      <w:r>
        <w:rPr>
          <w:rFonts w:ascii="Times New Roman" w:eastAsia="Times New Roman" w:hAnsi="Times New Roman" w:cs="Times New Roman"/>
        </w:rPr>
        <w:t xml:space="preserve">FFP interventions such as training, demonstrations and participatory approaches. These findings suggest that strengthening </w:t>
      </w:r>
      <w:proofErr w:type="spellStart"/>
      <w:r>
        <w:rPr>
          <w:rFonts w:ascii="Times New Roman" w:eastAsia="Times New Roman" w:hAnsi="Times New Roman" w:cs="Times New Roman"/>
        </w:rPr>
        <w:t>programmes</w:t>
      </w:r>
      <w:proofErr w:type="spellEnd"/>
      <w:r>
        <w:rPr>
          <w:rFonts w:ascii="Times New Roman" w:eastAsia="Times New Roman" w:hAnsi="Times New Roman" w:cs="Times New Roman"/>
        </w:rPr>
        <w:t xml:space="preserve"> like FFP can play </w:t>
      </w:r>
      <w:r>
        <w:rPr>
          <w:rFonts w:ascii="Times New Roman" w:eastAsia="Times New Roman" w:hAnsi="Times New Roman" w:cs="Times New Roman"/>
        </w:rPr>
        <w:lastRenderedPageBreak/>
        <w:t>a pivotal role in empowering farmers, enhancing livelihood security and promoting sustainable agricultur</w:t>
      </w:r>
      <w:r>
        <w:rPr>
          <w:rFonts w:ascii="Times New Roman" w:eastAsia="Times New Roman" w:hAnsi="Times New Roman" w:cs="Times New Roman"/>
        </w:rPr>
        <w:t>al development.</w:t>
      </w:r>
    </w:p>
    <w:p w:rsidR="005D06C5" w:rsidRDefault="00845966">
      <w:pPr>
        <w:spacing w:before="240" w:after="120" w:line="240" w:lineRule="auto"/>
        <w:jc w:val="both"/>
        <w:rPr>
          <w:rFonts w:ascii="Times New Roman" w:eastAsia="Times New Roman" w:hAnsi="Times New Roman" w:cs="Times New Roman"/>
          <w:b/>
          <w:bCs/>
        </w:rPr>
      </w:pPr>
      <w:r>
        <w:rPr>
          <w:rFonts w:ascii="Times New Roman" w:eastAsia="Times New Roman" w:hAnsi="Times New Roman" w:cs="Times New Roman"/>
          <w:b/>
          <w:bCs/>
        </w:rPr>
        <w:t>References</w:t>
      </w:r>
    </w:p>
    <w:p w:rsidR="005D06C5" w:rsidRPr="00F4698B" w:rsidRDefault="00845966" w:rsidP="00F4698B">
      <w:pPr>
        <w:pStyle w:val="ListParagraph"/>
        <w:numPr>
          <w:ilvl w:val="0"/>
          <w:numId w:val="2"/>
        </w:numPr>
        <w:jc w:val="both"/>
        <w:rPr>
          <w:rFonts w:ascii="Times New Roman" w:eastAsia="Times New Roman" w:hAnsi="Times New Roman" w:cs="Times New Roman"/>
        </w:rPr>
      </w:pPr>
      <w:bookmarkStart w:id="6" w:name="_GoBack"/>
      <w:r w:rsidRPr="00F4698B">
        <w:rPr>
          <w:rFonts w:ascii="Times New Roman" w:eastAsia="Times New Roman" w:hAnsi="Times New Roman" w:cs="Times New Roman"/>
        </w:rPr>
        <w:t xml:space="preserve">Abbasi, I. A., Shamim, A., Shad, M. K., </w:t>
      </w:r>
      <w:proofErr w:type="spellStart"/>
      <w:r w:rsidRPr="00F4698B">
        <w:rPr>
          <w:rFonts w:ascii="Times New Roman" w:eastAsia="Times New Roman" w:hAnsi="Times New Roman" w:cs="Times New Roman"/>
        </w:rPr>
        <w:t>Ashari</w:t>
      </w:r>
      <w:proofErr w:type="spellEnd"/>
      <w:r w:rsidRPr="00F4698B">
        <w:rPr>
          <w:rFonts w:ascii="Times New Roman" w:eastAsia="Times New Roman" w:hAnsi="Times New Roman" w:cs="Times New Roman"/>
        </w:rPr>
        <w:t>, H., &amp; Yusuf, I. (2024) Circular economy-based integrated farming system for indigenous chicken: fostering food security and sustainability. Journal of Cleaner Production:140368. DOI</w:t>
      </w:r>
      <w:r w:rsidRPr="00F4698B">
        <w:rPr>
          <w:rFonts w:ascii="Times New Roman" w:eastAsia="Times New Roman" w:hAnsi="Times New Roman" w:cs="Times New Roman"/>
        </w:rPr>
        <w:t xml:space="preserve">: </w:t>
      </w:r>
      <w:hyperlink r:id="rId8">
        <w:r w:rsidRPr="00F4698B">
          <w:rPr>
            <w:rFonts w:ascii="Times New Roman" w:eastAsia="Times New Roman" w:hAnsi="Times New Roman" w:cs="Times New Roman"/>
            <w:color w:val="0000FF"/>
          </w:rPr>
          <w:t>10.1016/j.jclepro.2023.140368</w:t>
        </w:r>
      </w:hyperlink>
    </w:p>
    <w:p w:rsidR="005D06C5" w:rsidRPr="00F4698B" w:rsidRDefault="00845966" w:rsidP="00F4698B">
      <w:pPr>
        <w:pStyle w:val="ListParagraph"/>
        <w:numPr>
          <w:ilvl w:val="0"/>
          <w:numId w:val="2"/>
        </w:numPr>
        <w:jc w:val="both"/>
        <w:rPr>
          <w:rFonts w:ascii="Times New Roman" w:eastAsia="Times New Roman" w:hAnsi="Times New Roman" w:cs="Times New Roman"/>
        </w:rPr>
      </w:pPr>
      <w:proofErr w:type="spellStart"/>
      <w:r w:rsidRPr="00F4698B">
        <w:rPr>
          <w:rFonts w:ascii="Times New Roman" w:eastAsia="Times New Roman" w:hAnsi="Times New Roman" w:cs="Times New Roman"/>
        </w:rPr>
        <w:t>Afi</w:t>
      </w:r>
      <w:proofErr w:type="spellEnd"/>
      <w:r w:rsidRPr="00F4698B">
        <w:rPr>
          <w:rFonts w:ascii="Times New Roman" w:eastAsia="Times New Roman" w:hAnsi="Times New Roman" w:cs="Times New Roman"/>
        </w:rPr>
        <w:t xml:space="preserve">, M., &amp; Parsons, J. (2023) Integrated vs. specialized farming systems for sustainable food production: comparative analysis of systems’ technical efficiency in Nebraska. Sustainability 15(6):5413. DOI: </w:t>
      </w:r>
      <w:hyperlink r:id="rId9">
        <w:r w:rsidRPr="00F4698B">
          <w:rPr>
            <w:rFonts w:ascii="Times New Roman" w:eastAsia="Times New Roman" w:hAnsi="Times New Roman" w:cs="Times New Roman"/>
            <w:color w:val="0000FF"/>
          </w:rPr>
          <w:t>10.3390/su15065413</w:t>
        </w:r>
      </w:hyperlink>
      <w:r w:rsidRPr="00F4698B">
        <w:rPr>
          <w:rFonts w:ascii="Times New Roman" w:eastAsia="Times New Roman" w:hAnsi="Times New Roman" w:cs="Times New Roman"/>
        </w:rPr>
        <w:t xml:space="preserve"> </w:t>
      </w:r>
    </w:p>
    <w:p w:rsidR="005D06C5" w:rsidRPr="00F4698B" w:rsidRDefault="00845966" w:rsidP="00F4698B">
      <w:pPr>
        <w:pStyle w:val="ListParagraph"/>
        <w:numPr>
          <w:ilvl w:val="0"/>
          <w:numId w:val="2"/>
        </w:numPr>
        <w:jc w:val="both"/>
        <w:rPr>
          <w:rFonts w:ascii="Times New Roman" w:eastAsia="Times New Roman" w:hAnsi="Times New Roman" w:cs="Times New Roman"/>
        </w:rPr>
      </w:pPr>
      <w:r w:rsidRPr="00F4698B">
        <w:rPr>
          <w:rFonts w:ascii="Times New Roman" w:eastAsia="Times New Roman" w:hAnsi="Times New Roman" w:cs="Times New Roman"/>
        </w:rPr>
        <w:t>Aguilera, E., Díaz-</w:t>
      </w:r>
      <w:proofErr w:type="spellStart"/>
      <w:r w:rsidRPr="00F4698B">
        <w:rPr>
          <w:rFonts w:ascii="Times New Roman" w:eastAsia="Times New Roman" w:hAnsi="Times New Roman" w:cs="Times New Roman"/>
        </w:rPr>
        <w:t>Gaona</w:t>
      </w:r>
      <w:proofErr w:type="spellEnd"/>
      <w:r w:rsidRPr="00F4698B">
        <w:rPr>
          <w:rFonts w:ascii="Times New Roman" w:eastAsia="Times New Roman" w:hAnsi="Times New Roman" w:cs="Times New Roman"/>
        </w:rPr>
        <w:t>, C., García-Laureano, R., Reyes-</w:t>
      </w:r>
      <w:proofErr w:type="spellStart"/>
      <w:r w:rsidRPr="00F4698B">
        <w:rPr>
          <w:rFonts w:ascii="Times New Roman" w:eastAsia="Times New Roman" w:hAnsi="Times New Roman" w:cs="Times New Roman"/>
        </w:rPr>
        <w:t>Palomo</w:t>
      </w:r>
      <w:proofErr w:type="spellEnd"/>
      <w:r w:rsidRPr="00F4698B">
        <w:rPr>
          <w:rFonts w:ascii="Times New Roman" w:eastAsia="Times New Roman" w:hAnsi="Times New Roman" w:cs="Times New Roman"/>
        </w:rPr>
        <w:t>, C., Guzmán, G. I., Ortolani, L., Sánchez-Rodríguez, M., &amp; Rodríguez-</w:t>
      </w:r>
      <w:proofErr w:type="spellStart"/>
      <w:r w:rsidRPr="00F4698B">
        <w:rPr>
          <w:rFonts w:ascii="Times New Roman" w:eastAsia="Times New Roman" w:hAnsi="Times New Roman" w:cs="Times New Roman"/>
        </w:rPr>
        <w:t>Estévez</w:t>
      </w:r>
      <w:proofErr w:type="spellEnd"/>
      <w:r w:rsidRPr="00F4698B">
        <w:rPr>
          <w:rFonts w:ascii="Times New Roman" w:eastAsia="Times New Roman" w:hAnsi="Times New Roman" w:cs="Times New Roman"/>
        </w:rPr>
        <w:t>, V. (2020) Agroecology for adaptation to climate change and resource depletion in the Medite</w:t>
      </w:r>
      <w:r w:rsidRPr="00F4698B">
        <w:rPr>
          <w:rFonts w:ascii="Times New Roman" w:eastAsia="Times New Roman" w:hAnsi="Times New Roman" w:cs="Times New Roman"/>
        </w:rPr>
        <w:t xml:space="preserve">rranean region. A review. Agric Syst </w:t>
      </w:r>
      <w:proofErr w:type="gramStart"/>
      <w:r w:rsidRPr="00F4698B">
        <w:rPr>
          <w:rFonts w:ascii="Times New Roman" w:eastAsia="Times New Roman" w:hAnsi="Times New Roman" w:cs="Times New Roman"/>
        </w:rPr>
        <w:t>181:102809.DOI</w:t>
      </w:r>
      <w:proofErr w:type="gramEnd"/>
      <w:r w:rsidRPr="00F4698B">
        <w:rPr>
          <w:rFonts w:ascii="Times New Roman" w:eastAsia="Times New Roman" w:hAnsi="Times New Roman" w:cs="Times New Roman"/>
        </w:rPr>
        <w:t xml:space="preserve">: </w:t>
      </w:r>
      <w:hyperlink r:id="rId10">
        <w:r w:rsidRPr="00F4698B">
          <w:rPr>
            <w:rFonts w:ascii="Times New Roman" w:eastAsia="Times New Roman" w:hAnsi="Times New Roman" w:cs="Times New Roman"/>
            <w:color w:val="0000FF"/>
          </w:rPr>
          <w:t>10.1016/j.agsy.2020.102809</w:t>
        </w:r>
      </w:hyperlink>
    </w:p>
    <w:p w:rsidR="005D06C5" w:rsidRPr="00F4698B" w:rsidRDefault="00845966" w:rsidP="00F4698B">
      <w:pPr>
        <w:pStyle w:val="ListParagraph"/>
        <w:numPr>
          <w:ilvl w:val="0"/>
          <w:numId w:val="2"/>
        </w:numPr>
        <w:jc w:val="both"/>
        <w:rPr>
          <w:rFonts w:ascii="Times New Roman" w:eastAsia="Times New Roman" w:hAnsi="Times New Roman" w:cs="Times New Roman"/>
        </w:rPr>
      </w:pPr>
      <w:r w:rsidRPr="00F4698B">
        <w:rPr>
          <w:rFonts w:ascii="Times New Roman" w:eastAsia="Times New Roman" w:hAnsi="Times New Roman" w:cs="Times New Roman"/>
        </w:rPr>
        <w:t xml:space="preserve">Akhtar, N., </w:t>
      </w:r>
      <w:proofErr w:type="spellStart"/>
      <w:r w:rsidRPr="00F4698B">
        <w:rPr>
          <w:rFonts w:ascii="Times New Roman" w:eastAsia="Times New Roman" w:hAnsi="Times New Roman" w:cs="Times New Roman"/>
        </w:rPr>
        <w:t>Syakir</w:t>
      </w:r>
      <w:proofErr w:type="spellEnd"/>
      <w:r w:rsidRPr="00F4698B">
        <w:rPr>
          <w:rFonts w:ascii="Times New Roman" w:eastAsia="Times New Roman" w:hAnsi="Times New Roman" w:cs="Times New Roman"/>
        </w:rPr>
        <w:t xml:space="preserve"> Ishak, M. I., Bhawani, S. A., &amp; Umar, K. (2021) Various natural and anthropogenic factors respo</w:t>
      </w:r>
      <w:r w:rsidRPr="00F4698B">
        <w:rPr>
          <w:rFonts w:ascii="Times New Roman" w:eastAsia="Times New Roman" w:hAnsi="Times New Roman" w:cs="Times New Roman"/>
        </w:rPr>
        <w:t xml:space="preserve">nsible for water quality degradation: a review. Water 13(19):2660. DOI: </w:t>
      </w:r>
      <w:hyperlink r:id="rId11">
        <w:r w:rsidRPr="00F4698B">
          <w:rPr>
            <w:rFonts w:ascii="Times New Roman" w:eastAsia="Times New Roman" w:hAnsi="Times New Roman" w:cs="Times New Roman"/>
            <w:color w:val="0000FF"/>
          </w:rPr>
          <w:t>10.3390/w13192660</w:t>
        </w:r>
      </w:hyperlink>
    </w:p>
    <w:p w:rsidR="005D06C5" w:rsidRPr="00F4698B" w:rsidRDefault="00845966" w:rsidP="00F4698B">
      <w:pPr>
        <w:pStyle w:val="ListParagraph"/>
        <w:numPr>
          <w:ilvl w:val="0"/>
          <w:numId w:val="2"/>
        </w:numPr>
        <w:jc w:val="both"/>
        <w:rPr>
          <w:rFonts w:ascii="Times New Roman" w:eastAsia="Times New Roman" w:hAnsi="Times New Roman" w:cs="Times New Roman"/>
        </w:rPr>
      </w:pPr>
      <w:r w:rsidRPr="00F4698B">
        <w:rPr>
          <w:rFonts w:ascii="Times New Roman" w:eastAsia="Times New Roman" w:hAnsi="Times New Roman" w:cs="Times New Roman"/>
        </w:rPr>
        <w:t>Ashworth, A. J., Chastain, J. P., &amp; Moore, P. A., Jr. (2020) Nutrient characteristics of poultry manure and litte</w:t>
      </w:r>
      <w:r w:rsidRPr="00F4698B">
        <w:rPr>
          <w:rFonts w:ascii="Times New Roman" w:eastAsia="Times New Roman" w:hAnsi="Times New Roman" w:cs="Times New Roman"/>
        </w:rPr>
        <w:t xml:space="preserve">r. In: </w:t>
      </w:r>
      <w:proofErr w:type="spellStart"/>
      <w:r w:rsidRPr="00F4698B">
        <w:rPr>
          <w:rFonts w:ascii="Times New Roman" w:eastAsia="Times New Roman" w:hAnsi="Times New Roman" w:cs="Times New Roman"/>
        </w:rPr>
        <w:t>Waldrip</w:t>
      </w:r>
      <w:proofErr w:type="spellEnd"/>
      <w:r w:rsidRPr="00F4698B">
        <w:rPr>
          <w:rFonts w:ascii="Times New Roman" w:eastAsia="Times New Roman" w:hAnsi="Times New Roman" w:cs="Times New Roman"/>
        </w:rPr>
        <w:t xml:space="preserve"> HM, </w:t>
      </w:r>
      <w:proofErr w:type="spellStart"/>
      <w:r w:rsidRPr="00F4698B">
        <w:rPr>
          <w:rFonts w:ascii="Times New Roman" w:eastAsia="Times New Roman" w:hAnsi="Times New Roman" w:cs="Times New Roman"/>
        </w:rPr>
        <w:t>Pagliari</w:t>
      </w:r>
      <w:proofErr w:type="spellEnd"/>
      <w:r w:rsidRPr="00F4698B">
        <w:rPr>
          <w:rFonts w:ascii="Times New Roman" w:eastAsia="Times New Roman" w:hAnsi="Times New Roman" w:cs="Times New Roman"/>
        </w:rPr>
        <w:t xml:space="preserve"> PH, He Z (eds) Animal manure: production, characteristics, environmental concerns, and management, vol 67. ASA and SSSA, Madison, pp63–87.DOI: </w:t>
      </w:r>
      <w:hyperlink r:id="rId12">
        <w:r w:rsidRPr="00F4698B">
          <w:rPr>
            <w:rFonts w:ascii="Times New Roman" w:eastAsia="Times New Roman" w:hAnsi="Times New Roman" w:cs="Times New Roman"/>
            <w:color w:val="0000FF"/>
          </w:rPr>
          <w:t>10.2134/asaspecpub67.c5</w:t>
        </w:r>
      </w:hyperlink>
    </w:p>
    <w:p w:rsidR="005D06C5" w:rsidRPr="00F4698B" w:rsidRDefault="00845966" w:rsidP="00F4698B">
      <w:pPr>
        <w:pStyle w:val="ListParagraph"/>
        <w:numPr>
          <w:ilvl w:val="0"/>
          <w:numId w:val="2"/>
        </w:numPr>
        <w:jc w:val="both"/>
        <w:rPr>
          <w:rFonts w:ascii="Times New Roman" w:eastAsia="Times New Roman" w:hAnsi="Times New Roman" w:cs="Times New Roman"/>
        </w:rPr>
      </w:pPr>
      <w:proofErr w:type="spellStart"/>
      <w:r w:rsidRPr="00F4698B">
        <w:rPr>
          <w:rFonts w:ascii="Times New Roman" w:eastAsia="Times New Roman" w:hAnsi="Times New Roman" w:cs="Times New Roman"/>
        </w:rPr>
        <w:t>At</w:t>
      </w:r>
      <w:r w:rsidRPr="00F4698B">
        <w:rPr>
          <w:rFonts w:ascii="Times New Roman" w:eastAsia="Times New Roman" w:hAnsi="Times New Roman" w:cs="Times New Roman"/>
        </w:rPr>
        <w:t>apattu</w:t>
      </w:r>
      <w:proofErr w:type="spellEnd"/>
      <w:r w:rsidRPr="00F4698B">
        <w:rPr>
          <w:rFonts w:ascii="Times New Roman" w:eastAsia="Times New Roman" w:hAnsi="Times New Roman" w:cs="Times New Roman"/>
        </w:rPr>
        <w:t xml:space="preserve">, A. J., Ranasinghe, C. S., </w:t>
      </w:r>
      <w:proofErr w:type="spellStart"/>
      <w:r w:rsidRPr="00F4698B">
        <w:rPr>
          <w:rFonts w:ascii="Times New Roman" w:eastAsia="Times New Roman" w:hAnsi="Times New Roman" w:cs="Times New Roman"/>
        </w:rPr>
        <w:t>Nuwarapaksha</w:t>
      </w:r>
      <w:proofErr w:type="spellEnd"/>
      <w:r w:rsidRPr="00F4698B">
        <w:rPr>
          <w:rFonts w:ascii="Times New Roman" w:eastAsia="Times New Roman" w:hAnsi="Times New Roman" w:cs="Times New Roman"/>
        </w:rPr>
        <w:t xml:space="preserve">, T. D., </w:t>
      </w:r>
      <w:proofErr w:type="spellStart"/>
      <w:r w:rsidRPr="00F4698B">
        <w:rPr>
          <w:rFonts w:ascii="Times New Roman" w:eastAsia="Times New Roman" w:hAnsi="Times New Roman" w:cs="Times New Roman"/>
        </w:rPr>
        <w:t>Udumann</w:t>
      </w:r>
      <w:proofErr w:type="spellEnd"/>
      <w:r w:rsidRPr="00F4698B">
        <w:rPr>
          <w:rFonts w:ascii="Times New Roman" w:eastAsia="Times New Roman" w:hAnsi="Times New Roman" w:cs="Times New Roman"/>
        </w:rPr>
        <w:t xml:space="preserve">, S. S., &amp; </w:t>
      </w:r>
      <w:proofErr w:type="spellStart"/>
      <w:r w:rsidRPr="00F4698B">
        <w:rPr>
          <w:rFonts w:ascii="Times New Roman" w:eastAsia="Times New Roman" w:hAnsi="Times New Roman" w:cs="Times New Roman"/>
        </w:rPr>
        <w:t>Dissanayaka</w:t>
      </w:r>
      <w:proofErr w:type="spellEnd"/>
      <w:r w:rsidRPr="00F4698B">
        <w:rPr>
          <w:rFonts w:ascii="Times New Roman" w:eastAsia="Times New Roman" w:hAnsi="Times New Roman" w:cs="Times New Roman"/>
        </w:rPr>
        <w:t xml:space="preserve">, N. S. (2024) Sustainable agriculture and sustainable development goals (SDGs). In: </w:t>
      </w:r>
      <w:proofErr w:type="spellStart"/>
      <w:r w:rsidRPr="00F4698B">
        <w:rPr>
          <w:rFonts w:ascii="Times New Roman" w:eastAsia="Times New Roman" w:hAnsi="Times New Roman" w:cs="Times New Roman"/>
        </w:rPr>
        <w:t>Garwi</w:t>
      </w:r>
      <w:proofErr w:type="spellEnd"/>
      <w:r w:rsidRPr="00F4698B">
        <w:rPr>
          <w:rFonts w:ascii="Times New Roman" w:eastAsia="Times New Roman" w:hAnsi="Times New Roman" w:cs="Times New Roman"/>
        </w:rPr>
        <w:t xml:space="preserve"> J, </w:t>
      </w:r>
      <w:proofErr w:type="spellStart"/>
      <w:r w:rsidRPr="00F4698B">
        <w:rPr>
          <w:rFonts w:ascii="Times New Roman" w:eastAsia="Times New Roman" w:hAnsi="Times New Roman" w:cs="Times New Roman"/>
        </w:rPr>
        <w:t>Masengu</w:t>
      </w:r>
      <w:proofErr w:type="spellEnd"/>
      <w:r w:rsidRPr="00F4698B">
        <w:rPr>
          <w:rFonts w:ascii="Times New Roman" w:eastAsia="Times New Roman" w:hAnsi="Times New Roman" w:cs="Times New Roman"/>
        </w:rPr>
        <w:t xml:space="preserve"> R, </w:t>
      </w:r>
      <w:proofErr w:type="spellStart"/>
      <w:r w:rsidRPr="00F4698B">
        <w:rPr>
          <w:rFonts w:ascii="Times New Roman" w:eastAsia="Times New Roman" w:hAnsi="Times New Roman" w:cs="Times New Roman"/>
        </w:rPr>
        <w:t>Chiwaridzo</w:t>
      </w:r>
      <w:proofErr w:type="spellEnd"/>
      <w:r w:rsidRPr="00F4698B">
        <w:rPr>
          <w:rFonts w:ascii="Times New Roman" w:eastAsia="Times New Roman" w:hAnsi="Times New Roman" w:cs="Times New Roman"/>
        </w:rPr>
        <w:t xml:space="preserve"> O (eds) Emerging technologies and marketing strategies f</w:t>
      </w:r>
      <w:r w:rsidRPr="00F4698B">
        <w:rPr>
          <w:rFonts w:ascii="Times New Roman" w:eastAsia="Times New Roman" w:hAnsi="Times New Roman" w:cs="Times New Roman"/>
        </w:rPr>
        <w:t xml:space="preserve">or sustainable agriculture. IGI Global, Hershey, pp1–27. DOI: </w:t>
      </w:r>
      <w:hyperlink r:id="rId13">
        <w:r w:rsidRPr="00F4698B">
          <w:rPr>
            <w:rFonts w:ascii="Times New Roman" w:eastAsia="Times New Roman" w:hAnsi="Times New Roman" w:cs="Times New Roman"/>
            <w:color w:val="0000FF"/>
          </w:rPr>
          <w:t>10.4018/979-8-3693-4864-2.ch001</w:t>
        </w:r>
      </w:hyperlink>
    </w:p>
    <w:p w:rsidR="005D06C5" w:rsidRPr="00F4698B" w:rsidRDefault="00845966" w:rsidP="00F4698B">
      <w:pPr>
        <w:pStyle w:val="ListParagraph"/>
        <w:numPr>
          <w:ilvl w:val="0"/>
          <w:numId w:val="2"/>
        </w:numPr>
        <w:jc w:val="both"/>
        <w:rPr>
          <w:rFonts w:ascii="Times New Roman" w:eastAsia="Times New Roman" w:hAnsi="Times New Roman" w:cs="Times New Roman"/>
        </w:rPr>
      </w:pPr>
      <w:proofErr w:type="spellStart"/>
      <w:r w:rsidRPr="00F4698B">
        <w:rPr>
          <w:rFonts w:ascii="Times New Roman" w:eastAsia="Times New Roman" w:hAnsi="Times New Roman" w:cs="Times New Roman"/>
        </w:rPr>
        <w:t>Avidov</w:t>
      </w:r>
      <w:proofErr w:type="spellEnd"/>
      <w:r w:rsidRPr="00F4698B">
        <w:rPr>
          <w:rFonts w:ascii="Times New Roman" w:eastAsia="Times New Roman" w:hAnsi="Times New Roman" w:cs="Times New Roman"/>
        </w:rPr>
        <w:t xml:space="preserve">, R., </w:t>
      </w:r>
      <w:proofErr w:type="spellStart"/>
      <w:r w:rsidRPr="00F4698B">
        <w:rPr>
          <w:rFonts w:ascii="Times New Roman" w:eastAsia="Times New Roman" w:hAnsi="Times New Roman" w:cs="Times New Roman"/>
        </w:rPr>
        <w:t>Sudharsan</w:t>
      </w:r>
      <w:proofErr w:type="spellEnd"/>
      <w:r w:rsidRPr="00F4698B">
        <w:rPr>
          <w:rFonts w:ascii="Times New Roman" w:eastAsia="Times New Roman" w:hAnsi="Times New Roman" w:cs="Times New Roman"/>
        </w:rPr>
        <w:t xml:space="preserve"> Varma, V., </w:t>
      </w:r>
      <w:proofErr w:type="spellStart"/>
      <w:r w:rsidRPr="00F4698B">
        <w:rPr>
          <w:rFonts w:ascii="Times New Roman" w:eastAsia="Times New Roman" w:hAnsi="Times New Roman" w:cs="Times New Roman"/>
        </w:rPr>
        <w:t>Saadi</w:t>
      </w:r>
      <w:proofErr w:type="spellEnd"/>
      <w:r w:rsidRPr="00F4698B">
        <w:rPr>
          <w:rFonts w:ascii="Times New Roman" w:eastAsia="Times New Roman" w:hAnsi="Times New Roman" w:cs="Times New Roman"/>
        </w:rPr>
        <w:t xml:space="preserve">, I., Hanan, A., </w:t>
      </w:r>
      <w:proofErr w:type="spellStart"/>
      <w:r w:rsidRPr="00F4698B">
        <w:rPr>
          <w:rFonts w:ascii="Times New Roman" w:eastAsia="Times New Roman" w:hAnsi="Times New Roman" w:cs="Times New Roman"/>
        </w:rPr>
        <w:t>Yoselevich</w:t>
      </w:r>
      <w:proofErr w:type="spellEnd"/>
      <w:r w:rsidRPr="00F4698B">
        <w:rPr>
          <w:rFonts w:ascii="Times New Roman" w:eastAsia="Times New Roman" w:hAnsi="Times New Roman" w:cs="Times New Roman"/>
        </w:rPr>
        <w:t xml:space="preserve">, I., Lublin, A., Chen, Y., &amp; </w:t>
      </w:r>
      <w:proofErr w:type="spellStart"/>
      <w:r w:rsidRPr="00F4698B">
        <w:rPr>
          <w:rFonts w:ascii="Times New Roman" w:eastAsia="Times New Roman" w:hAnsi="Times New Roman" w:cs="Times New Roman"/>
        </w:rPr>
        <w:t>Laor</w:t>
      </w:r>
      <w:proofErr w:type="spellEnd"/>
      <w:r w:rsidRPr="00F4698B">
        <w:rPr>
          <w:rFonts w:ascii="Times New Roman" w:eastAsia="Times New Roman" w:hAnsi="Times New Roman" w:cs="Times New Roman"/>
        </w:rPr>
        <w:t>, Y. (2021) Physical and chemical indicators of transformations of poultry carcass parts and broiler lit-</w:t>
      </w:r>
      <w:proofErr w:type="spellStart"/>
      <w:r w:rsidRPr="00F4698B">
        <w:rPr>
          <w:rFonts w:ascii="Times New Roman" w:eastAsia="Times New Roman" w:hAnsi="Times New Roman" w:cs="Times New Roman"/>
        </w:rPr>
        <w:t>ter</w:t>
      </w:r>
      <w:proofErr w:type="spellEnd"/>
      <w:r w:rsidRPr="00F4698B">
        <w:rPr>
          <w:rFonts w:ascii="Times New Roman" w:eastAsia="Times New Roman" w:hAnsi="Times New Roman" w:cs="Times New Roman"/>
        </w:rPr>
        <w:t xml:space="preserve"> during short term thermophilic composting. Waste Management 119:202–214. DOI: </w:t>
      </w:r>
      <w:hyperlink r:id="rId14">
        <w:r w:rsidRPr="00F4698B">
          <w:rPr>
            <w:rFonts w:ascii="Times New Roman" w:eastAsia="Times New Roman" w:hAnsi="Times New Roman" w:cs="Times New Roman"/>
            <w:color w:val="0000FF"/>
          </w:rPr>
          <w:t>1</w:t>
        </w:r>
        <w:r w:rsidRPr="00F4698B">
          <w:rPr>
            <w:rFonts w:ascii="Times New Roman" w:eastAsia="Times New Roman" w:hAnsi="Times New Roman" w:cs="Times New Roman"/>
            <w:color w:val="0000FF"/>
          </w:rPr>
          <w:t>0.1016/j.wasman.2020.09.040</w:t>
        </w:r>
      </w:hyperlink>
    </w:p>
    <w:p w:rsidR="005D06C5" w:rsidRPr="00F4698B" w:rsidRDefault="00845966" w:rsidP="00F4698B">
      <w:pPr>
        <w:pStyle w:val="ListParagraph"/>
        <w:numPr>
          <w:ilvl w:val="0"/>
          <w:numId w:val="2"/>
        </w:numPr>
        <w:jc w:val="both"/>
        <w:rPr>
          <w:rFonts w:ascii="Times New Roman" w:eastAsia="Times New Roman" w:hAnsi="Times New Roman" w:cs="Times New Roman"/>
        </w:rPr>
      </w:pPr>
      <w:proofErr w:type="spellStart"/>
      <w:r w:rsidRPr="00F4698B">
        <w:rPr>
          <w:rFonts w:ascii="Times New Roman" w:eastAsia="Times New Roman" w:hAnsi="Times New Roman" w:cs="Times New Roman"/>
        </w:rPr>
        <w:t>Babu</w:t>
      </w:r>
      <w:proofErr w:type="spellEnd"/>
      <w:r w:rsidRPr="00F4698B">
        <w:rPr>
          <w:rFonts w:ascii="Times New Roman" w:eastAsia="Times New Roman" w:hAnsi="Times New Roman" w:cs="Times New Roman"/>
        </w:rPr>
        <w:t xml:space="preserve">, S., Das, A., Singh, R., Mohapatra, K.P., Kumar, S., Rathore, S.S., Yadav, S.K., Yadav, P., Ansari, M.A., Panwar, A.S., </w:t>
      </w:r>
      <w:proofErr w:type="spellStart"/>
      <w:r w:rsidRPr="00F4698B">
        <w:rPr>
          <w:rFonts w:ascii="Times New Roman" w:eastAsia="Times New Roman" w:hAnsi="Times New Roman" w:cs="Times New Roman"/>
        </w:rPr>
        <w:t>Wani</w:t>
      </w:r>
      <w:proofErr w:type="spellEnd"/>
      <w:r w:rsidRPr="00F4698B">
        <w:rPr>
          <w:rFonts w:ascii="Times New Roman" w:eastAsia="Times New Roman" w:hAnsi="Times New Roman" w:cs="Times New Roman"/>
        </w:rPr>
        <w:t xml:space="preserve">, O.A., Singh, M., Ravishankar, N., </w:t>
      </w:r>
      <w:proofErr w:type="spellStart"/>
      <w:r w:rsidRPr="00F4698B">
        <w:rPr>
          <w:rFonts w:ascii="Times New Roman" w:eastAsia="Times New Roman" w:hAnsi="Times New Roman" w:cs="Times New Roman"/>
        </w:rPr>
        <w:t>Layek</w:t>
      </w:r>
      <w:proofErr w:type="spellEnd"/>
      <w:r w:rsidRPr="00F4698B">
        <w:rPr>
          <w:rFonts w:ascii="Times New Roman" w:eastAsia="Times New Roman" w:hAnsi="Times New Roman" w:cs="Times New Roman"/>
        </w:rPr>
        <w:t>, J., Chandra, P., &amp; Singh, V.K. (2023) Designing an energ</w:t>
      </w:r>
      <w:r w:rsidRPr="00F4698B">
        <w:rPr>
          <w:rFonts w:ascii="Times New Roman" w:eastAsia="Times New Roman" w:hAnsi="Times New Roman" w:cs="Times New Roman"/>
        </w:rPr>
        <w:t xml:space="preserve">y efficient, economically feasible, and environmentally robust integrated farming system model for sustainable food production in the Indian Himalayas. </w:t>
      </w:r>
      <w:r w:rsidRPr="00F4698B">
        <w:rPr>
          <w:rFonts w:ascii="Times New Roman" w:eastAsia="Times New Roman" w:hAnsi="Times New Roman" w:cs="Times New Roman"/>
          <w:i/>
          <w:iCs/>
        </w:rPr>
        <w:t>Sustainable Food Technology</w:t>
      </w:r>
      <w:r w:rsidRPr="00F4698B">
        <w:rPr>
          <w:rFonts w:ascii="Times New Roman" w:eastAsia="Times New Roman" w:hAnsi="Times New Roman" w:cs="Times New Roman"/>
        </w:rPr>
        <w:t xml:space="preserve"> 1(1):126–142. DOI: </w:t>
      </w:r>
      <w:hyperlink r:id="rId15">
        <w:r w:rsidRPr="00F4698B">
          <w:rPr>
            <w:rFonts w:ascii="Times New Roman" w:eastAsia="Times New Roman" w:hAnsi="Times New Roman" w:cs="Times New Roman"/>
            <w:color w:val="0000FF"/>
          </w:rPr>
          <w:t>10.</w:t>
        </w:r>
        <w:r w:rsidRPr="00F4698B">
          <w:rPr>
            <w:rFonts w:ascii="Times New Roman" w:eastAsia="Times New Roman" w:hAnsi="Times New Roman" w:cs="Times New Roman"/>
            <w:color w:val="0000FF"/>
          </w:rPr>
          <w:t>1039/D2FB00016D</w:t>
        </w:r>
      </w:hyperlink>
    </w:p>
    <w:p w:rsidR="005D06C5" w:rsidRPr="00F4698B" w:rsidRDefault="00845966" w:rsidP="00F4698B">
      <w:pPr>
        <w:pStyle w:val="ListParagraph"/>
        <w:numPr>
          <w:ilvl w:val="0"/>
          <w:numId w:val="2"/>
        </w:numPr>
        <w:jc w:val="both"/>
        <w:rPr>
          <w:rFonts w:ascii="Times New Roman" w:eastAsia="Times New Roman" w:hAnsi="Times New Roman" w:cs="Times New Roman"/>
        </w:rPr>
      </w:pPr>
      <w:r w:rsidRPr="00F4698B">
        <w:rPr>
          <w:rFonts w:ascii="Times New Roman" w:eastAsia="Times New Roman" w:hAnsi="Times New Roman" w:cs="Times New Roman"/>
        </w:rPr>
        <w:t xml:space="preserve">Bao, J., Jiang, H., &amp; Li, X. (2022) Thirty years of rice-crab coculture in China– research progress and prospects. Rev </w:t>
      </w:r>
      <w:proofErr w:type="spellStart"/>
      <w:r w:rsidRPr="00F4698B">
        <w:rPr>
          <w:rFonts w:ascii="Times New Roman" w:eastAsia="Times New Roman" w:hAnsi="Times New Roman" w:cs="Times New Roman"/>
        </w:rPr>
        <w:t>Aquac</w:t>
      </w:r>
      <w:proofErr w:type="spellEnd"/>
      <w:r w:rsidRPr="00F4698B">
        <w:rPr>
          <w:rFonts w:ascii="Times New Roman" w:eastAsia="Times New Roman" w:hAnsi="Times New Roman" w:cs="Times New Roman"/>
        </w:rPr>
        <w:t xml:space="preserve"> 14(3):1597–1612.DOI: </w:t>
      </w:r>
      <w:hyperlink r:id="rId16">
        <w:r w:rsidRPr="00F4698B">
          <w:rPr>
            <w:rFonts w:ascii="Times New Roman" w:eastAsia="Times New Roman" w:hAnsi="Times New Roman" w:cs="Times New Roman"/>
            <w:color w:val="0000FF"/>
          </w:rPr>
          <w:t>10.1111/raq.12664</w:t>
        </w:r>
      </w:hyperlink>
    </w:p>
    <w:p w:rsidR="005D06C5" w:rsidRPr="00F4698B" w:rsidRDefault="00845966" w:rsidP="00F4698B">
      <w:pPr>
        <w:pStyle w:val="ListParagraph"/>
        <w:numPr>
          <w:ilvl w:val="0"/>
          <w:numId w:val="2"/>
        </w:numPr>
        <w:jc w:val="both"/>
        <w:rPr>
          <w:rFonts w:ascii="Times New Roman" w:eastAsia="Times New Roman" w:hAnsi="Times New Roman" w:cs="Times New Roman"/>
        </w:rPr>
      </w:pPr>
      <w:r w:rsidRPr="00F4698B">
        <w:rPr>
          <w:rFonts w:ascii="Times New Roman" w:eastAsia="Times New Roman" w:hAnsi="Times New Roman" w:cs="Times New Roman"/>
        </w:rPr>
        <w:t>Bashir, O., Ali, T., Ba</w:t>
      </w:r>
      <w:r w:rsidRPr="00F4698B">
        <w:rPr>
          <w:rFonts w:ascii="Times New Roman" w:eastAsia="Times New Roman" w:hAnsi="Times New Roman" w:cs="Times New Roman"/>
        </w:rPr>
        <w:t xml:space="preserve">ba, Z. A., Rather, G. H., </w:t>
      </w:r>
      <w:proofErr w:type="spellStart"/>
      <w:r w:rsidRPr="00F4698B">
        <w:rPr>
          <w:rFonts w:ascii="Times New Roman" w:eastAsia="Times New Roman" w:hAnsi="Times New Roman" w:cs="Times New Roman"/>
        </w:rPr>
        <w:t>Bangroo</w:t>
      </w:r>
      <w:proofErr w:type="spellEnd"/>
      <w:r w:rsidRPr="00F4698B">
        <w:rPr>
          <w:rFonts w:ascii="Times New Roman" w:eastAsia="Times New Roman" w:hAnsi="Times New Roman" w:cs="Times New Roman"/>
        </w:rPr>
        <w:t>, S. A., Mukhtar, S. D., Naik, N., Mohiuddin, R., Bharati, V., &amp; Bhat, R. A., (2021) Soil organic matter and its impact on soil properties and nutrient status. In: Dar GH, Bhat RA, Mehmood MA, Hakeem KR (eds) Microbiota and</w:t>
      </w:r>
      <w:r w:rsidRPr="00F4698B">
        <w:rPr>
          <w:rFonts w:ascii="Times New Roman" w:eastAsia="Times New Roman" w:hAnsi="Times New Roman" w:cs="Times New Roman"/>
        </w:rPr>
        <w:t xml:space="preserve"> biofertilizers, 2. Springer, Cham, pp129–159. DOI: </w:t>
      </w:r>
      <w:hyperlink r:id="rId17">
        <w:r w:rsidRPr="00F4698B">
          <w:rPr>
            <w:rFonts w:ascii="Times New Roman" w:eastAsia="Times New Roman" w:hAnsi="Times New Roman" w:cs="Times New Roman"/>
            <w:color w:val="0000FF"/>
          </w:rPr>
          <w:t>10.1007/978-3-030-61010-4_7</w:t>
        </w:r>
      </w:hyperlink>
    </w:p>
    <w:p w:rsidR="005D06C5" w:rsidRPr="00F4698B" w:rsidRDefault="00845966" w:rsidP="00F4698B">
      <w:pPr>
        <w:pStyle w:val="ListParagraph"/>
        <w:numPr>
          <w:ilvl w:val="0"/>
          <w:numId w:val="2"/>
        </w:numPr>
        <w:jc w:val="both"/>
        <w:rPr>
          <w:rFonts w:ascii="Times New Roman" w:eastAsia="Times New Roman" w:hAnsi="Times New Roman" w:cs="Times New Roman"/>
        </w:rPr>
      </w:pPr>
      <w:proofErr w:type="spellStart"/>
      <w:r w:rsidRPr="00F4698B">
        <w:rPr>
          <w:rFonts w:ascii="Times New Roman" w:eastAsia="Times New Roman" w:hAnsi="Times New Roman" w:cs="Times New Roman"/>
        </w:rPr>
        <w:lastRenderedPageBreak/>
        <w:t>Bayih</w:t>
      </w:r>
      <w:proofErr w:type="spellEnd"/>
      <w:r w:rsidRPr="00F4698B">
        <w:rPr>
          <w:rFonts w:ascii="Times New Roman" w:eastAsia="Times New Roman" w:hAnsi="Times New Roman" w:cs="Times New Roman"/>
        </w:rPr>
        <w:t xml:space="preserve">, A. Z., Morales, J., </w:t>
      </w:r>
      <w:proofErr w:type="spellStart"/>
      <w:r w:rsidRPr="00F4698B">
        <w:rPr>
          <w:rFonts w:ascii="Times New Roman" w:eastAsia="Times New Roman" w:hAnsi="Times New Roman" w:cs="Times New Roman"/>
        </w:rPr>
        <w:t>Assabie</w:t>
      </w:r>
      <w:proofErr w:type="spellEnd"/>
      <w:r w:rsidRPr="00F4698B">
        <w:rPr>
          <w:rFonts w:ascii="Times New Roman" w:eastAsia="Times New Roman" w:hAnsi="Times New Roman" w:cs="Times New Roman"/>
        </w:rPr>
        <w:t xml:space="preserve">, Y., &amp; de By, R. A. (2022) Utilization of internet of things and wire-less sensor networks for sustainable smallholder agriculture. Sensors 22(9):3273. DOI: </w:t>
      </w:r>
      <w:hyperlink r:id="rId18">
        <w:r w:rsidRPr="00F4698B">
          <w:rPr>
            <w:rFonts w:ascii="Times New Roman" w:eastAsia="Times New Roman" w:hAnsi="Times New Roman" w:cs="Times New Roman"/>
            <w:color w:val="0000FF"/>
          </w:rPr>
          <w:t>10.3390/s22</w:t>
        </w:r>
        <w:r w:rsidRPr="00F4698B">
          <w:rPr>
            <w:rFonts w:ascii="Times New Roman" w:eastAsia="Times New Roman" w:hAnsi="Times New Roman" w:cs="Times New Roman"/>
            <w:color w:val="0000FF"/>
          </w:rPr>
          <w:t>093273</w:t>
        </w:r>
      </w:hyperlink>
    </w:p>
    <w:p w:rsidR="005D06C5" w:rsidRPr="00F4698B" w:rsidRDefault="00845966" w:rsidP="00F4698B">
      <w:pPr>
        <w:pStyle w:val="ListParagraph"/>
        <w:numPr>
          <w:ilvl w:val="0"/>
          <w:numId w:val="2"/>
        </w:numPr>
        <w:jc w:val="both"/>
        <w:rPr>
          <w:rFonts w:ascii="Times New Roman" w:eastAsia="Times New Roman" w:hAnsi="Times New Roman" w:cs="Times New Roman"/>
        </w:rPr>
      </w:pPr>
      <w:r w:rsidRPr="00F4698B">
        <w:rPr>
          <w:rFonts w:ascii="Times New Roman" w:eastAsia="Times New Roman" w:hAnsi="Times New Roman" w:cs="Times New Roman"/>
        </w:rPr>
        <w:t xml:space="preserve">Behera, U. K., &amp; France, J. (2023) Farming systems research: concepts, design and methodology. Advances in Agronomy 177:1–49. DOI: </w:t>
      </w:r>
      <w:hyperlink r:id="rId19">
        <w:r w:rsidRPr="00F4698B">
          <w:rPr>
            <w:rFonts w:ascii="Times New Roman" w:eastAsia="Times New Roman" w:hAnsi="Times New Roman" w:cs="Times New Roman"/>
            <w:color w:val="0000FF"/>
          </w:rPr>
          <w:t>10.1016/bs.agron.2022.08.001</w:t>
        </w:r>
      </w:hyperlink>
    </w:p>
    <w:p w:rsidR="005D06C5" w:rsidRPr="00F4698B" w:rsidRDefault="00845966" w:rsidP="00F4698B">
      <w:pPr>
        <w:pStyle w:val="ListParagraph"/>
        <w:numPr>
          <w:ilvl w:val="0"/>
          <w:numId w:val="2"/>
        </w:numPr>
        <w:jc w:val="both"/>
        <w:rPr>
          <w:rFonts w:ascii="Times New Roman" w:eastAsia="Times New Roman" w:hAnsi="Times New Roman" w:cs="Times New Roman"/>
        </w:rPr>
      </w:pPr>
      <w:r w:rsidRPr="00F4698B">
        <w:rPr>
          <w:rFonts w:ascii="Times New Roman" w:eastAsia="Times New Roman" w:hAnsi="Times New Roman" w:cs="Times New Roman"/>
        </w:rPr>
        <w:t>Bhattacharyya, P., Pathak</w:t>
      </w:r>
      <w:r w:rsidRPr="00F4698B">
        <w:rPr>
          <w:rFonts w:ascii="Times New Roman" w:eastAsia="Times New Roman" w:hAnsi="Times New Roman" w:cs="Times New Roman"/>
        </w:rPr>
        <w:t xml:space="preserve">, &amp; H., Pal, S. (2020) Crop management for climate-smart agriculture. In: Climate smart agriculture. Springer, Singapore, pp 85–111. DOI: </w:t>
      </w:r>
      <w:hyperlink r:id="rId20">
        <w:r w:rsidRPr="00F4698B">
          <w:rPr>
            <w:rFonts w:ascii="Times New Roman" w:eastAsia="Times New Roman" w:hAnsi="Times New Roman" w:cs="Times New Roman"/>
            <w:color w:val="0000FF"/>
          </w:rPr>
          <w:t>10.1007/978-981-15-9132-7_7</w:t>
        </w:r>
      </w:hyperlink>
    </w:p>
    <w:p w:rsidR="005D06C5" w:rsidRPr="00F4698B" w:rsidRDefault="00845966" w:rsidP="00F4698B">
      <w:pPr>
        <w:pStyle w:val="ListParagraph"/>
        <w:numPr>
          <w:ilvl w:val="0"/>
          <w:numId w:val="2"/>
        </w:numPr>
        <w:jc w:val="both"/>
        <w:rPr>
          <w:rFonts w:ascii="Times New Roman" w:eastAsia="Times New Roman" w:hAnsi="Times New Roman" w:cs="Times New Roman"/>
        </w:rPr>
      </w:pPr>
      <w:r w:rsidRPr="00F4698B">
        <w:rPr>
          <w:rFonts w:ascii="Times New Roman" w:eastAsia="Times New Roman" w:hAnsi="Times New Roman" w:cs="Times New Roman"/>
        </w:rPr>
        <w:t xml:space="preserve">Black, M. J., Roy, A., </w:t>
      </w:r>
      <w:proofErr w:type="spellStart"/>
      <w:r w:rsidRPr="00F4698B">
        <w:rPr>
          <w:rFonts w:ascii="Times New Roman" w:eastAsia="Times New Roman" w:hAnsi="Times New Roman" w:cs="Times New Roman"/>
        </w:rPr>
        <w:t>Twin</w:t>
      </w:r>
      <w:r w:rsidRPr="00F4698B">
        <w:rPr>
          <w:rFonts w:ascii="Times New Roman" w:eastAsia="Times New Roman" w:hAnsi="Times New Roman" w:cs="Times New Roman"/>
        </w:rPr>
        <w:t>omunuji</w:t>
      </w:r>
      <w:proofErr w:type="spellEnd"/>
      <w:r w:rsidRPr="00F4698B">
        <w:rPr>
          <w:rFonts w:ascii="Times New Roman" w:eastAsia="Times New Roman" w:hAnsi="Times New Roman" w:cs="Times New Roman"/>
        </w:rPr>
        <w:t xml:space="preserve">, E., </w:t>
      </w:r>
      <w:proofErr w:type="spellStart"/>
      <w:r w:rsidRPr="00F4698B">
        <w:rPr>
          <w:rFonts w:ascii="Times New Roman" w:eastAsia="Times New Roman" w:hAnsi="Times New Roman" w:cs="Times New Roman"/>
        </w:rPr>
        <w:t>Kemausuor</w:t>
      </w:r>
      <w:proofErr w:type="spellEnd"/>
      <w:r w:rsidRPr="00F4698B">
        <w:rPr>
          <w:rFonts w:ascii="Times New Roman" w:eastAsia="Times New Roman" w:hAnsi="Times New Roman" w:cs="Times New Roman"/>
        </w:rPr>
        <w:t xml:space="preserve">, F., Oduro, R., Leach, M., </w:t>
      </w:r>
      <w:proofErr w:type="spellStart"/>
      <w:r w:rsidRPr="00F4698B">
        <w:rPr>
          <w:rFonts w:ascii="Times New Roman" w:eastAsia="Times New Roman" w:hAnsi="Times New Roman" w:cs="Times New Roman"/>
        </w:rPr>
        <w:t>Sadhukhan</w:t>
      </w:r>
      <w:proofErr w:type="spellEnd"/>
      <w:r w:rsidRPr="00F4698B">
        <w:rPr>
          <w:rFonts w:ascii="Times New Roman" w:eastAsia="Times New Roman" w:hAnsi="Times New Roman" w:cs="Times New Roman"/>
        </w:rPr>
        <w:t xml:space="preserve">, J., &amp; Murphy, R. (2021) Bottled biogas– an opportunity for clean cooking in Ghana and Uganda. Energies 14(13):3856. DOI: </w:t>
      </w:r>
      <w:hyperlink r:id="rId21">
        <w:r w:rsidRPr="00F4698B">
          <w:rPr>
            <w:rFonts w:ascii="Times New Roman" w:eastAsia="Times New Roman" w:hAnsi="Times New Roman" w:cs="Times New Roman"/>
            <w:color w:val="0000FF"/>
          </w:rPr>
          <w:t>10.3390/en14133856</w:t>
        </w:r>
      </w:hyperlink>
    </w:p>
    <w:p w:rsidR="005D06C5" w:rsidRPr="00F4698B" w:rsidRDefault="00845966" w:rsidP="00F4698B">
      <w:pPr>
        <w:pStyle w:val="ListParagraph"/>
        <w:numPr>
          <w:ilvl w:val="0"/>
          <w:numId w:val="2"/>
        </w:numPr>
        <w:jc w:val="both"/>
        <w:rPr>
          <w:rFonts w:ascii="Times New Roman" w:eastAsia="Times New Roman" w:hAnsi="Times New Roman" w:cs="Times New Roman"/>
        </w:rPr>
      </w:pPr>
      <w:proofErr w:type="spellStart"/>
      <w:r w:rsidRPr="00F4698B">
        <w:rPr>
          <w:rFonts w:ascii="Times New Roman" w:eastAsia="Times New Roman" w:hAnsi="Times New Roman" w:cs="Times New Roman"/>
        </w:rPr>
        <w:t>B</w:t>
      </w:r>
      <w:r w:rsidRPr="00F4698B">
        <w:rPr>
          <w:rFonts w:ascii="Times New Roman" w:eastAsia="Times New Roman" w:hAnsi="Times New Roman" w:cs="Times New Roman"/>
        </w:rPr>
        <w:t>lay</w:t>
      </w:r>
      <w:proofErr w:type="spellEnd"/>
      <w:r w:rsidRPr="00F4698B">
        <w:rPr>
          <w:rFonts w:ascii="Times New Roman" w:eastAsia="Times New Roman" w:hAnsi="Times New Roman" w:cs="Times New Roman"/>
        </w:rPr>
        <w:t xml:space="preserve">-Palmer, A., van </w:t>
      </w:r>
      <w:proofErr w:type="spellStart"/>
      <w:r w:rsidRPr="00F4698B">
        <w:rPr>
          <w:rFonts w:ascii="Times New Roman" w:eastAsia="Times New Roman" w:hAnsi="Times New Roman" w:cs="Times New Roman"/>
        </w:rPr>
        <w:t>Veenhuizen</w:t>
      </w:r>
      <w:proofErr w:type="spellEnd"/>
      <w:r w:rsidRPr="00F4698B">
        <w:rPr>
          <w:rFonts w:ascii="Times New Roman" w:eastAsia="Times New Roman" w:hAnsi="Times New Roman" w:cs="Times New Roman"/>
        </w:rPr>
        <w:t xml:space="preserve">, R., Santini, G., Hoffmann, D., </w:t>
      </w:r>
      <w:proofErr w:type="spellStart"/>
      <w:r w:rsidRPr="00F4698B">
        <w:rPr>
          <w:rFonts w:ascii="Times New Roman" w:eastAsia="Times New Roman" w:hAnsi="Times New Roman" w:cs="Times New Roman"/>
        </w:rPr>
        <w:t>Wodni</w:t>
      </w:r>
      <w:proofErr w:type="spellEnd"/>
      <w:r w:rsidRPr="00F4698B">
        <w:rPr>
          <w:rFonts w:ascii="Times New Roman" w:eastAsia="Times New Roman" w:hAnsi="Times New Roman" w:cs="Times New Roman"/>
        </w:rPr>
        <w:t xml:space="preserve">, P., </w:t>
      </w:r>
      <w:proofErr w:type="spellStart"/>
      <w:r w:rsidRPr="00F4698B">
        <w:rPr>
          <w:rFonts w:ascii="Times New Roman" w:eastAsia="Times New Roman" w:hAnsi="Times New Roman" w:cs="Times New Roman"/>
        </w:rPr>
        <w:t>Stierand</w:t>
      </w:r>
      <w:proofErr w:type="spellEnd"/>
      <w:r w:rsidRPr="00F4698B">
        <w:rPr>
          <w:rFonts w:ascii="Times New Roman" w:eastAsia="Times New Roman" w:hAnsi="Times New Roman" w:cs="Times New Roman"/>
        </w:rPr>
        <w:t xml:space="preserve">, P., &amp; </w:t>
      </w:r>
      <w:proofErr w:type="spellStart"/>
      <w:r w:rsidRPr="00F4698B">
        <w:rPr>
          <w:rFonts w:ascii="Times New Roman" w:eastAsia="Times New Roman" w:hAnsi="Times New Roman" w:cs="Times New Roman"/>
        </w:rPr>
        <w:t>Stahlbrand</w:t>
      </w:r>
      <w:proofErr w:type="spellEnd"/>
      <w:r w:rsidRPr="00F4698B">
        <w:rPr>
          <w:rFonts w:ascii="Times New Roman" w:eastAsia="Times New Roman" w:hAnsi="Times New Roman" w:cs="Times New Roman"/>
        </w:rPr>
        <w:t xml:space="preserve">, L. (2023) Urban–rural food system convergence as a vector for sustainable transformation. Urban Reg Agric:75–92. DOI: </w:t>
      </w:r>
      <w:hyperlink r:id="rId22">
        <w:r w:rsidRPr="00F4698B">
          <w:rPr>
            <w:rFonts w:ascii="Times New Roman" w:eastAsia="Times New Roman" w:hAnsi="Times New Roman" w:cs="Times New Roman"/>
            <w:color w:val="0000FF"/>
          </w:rPr>
          <w:t>10.1016/B978-0-12-820286-9.00005-4</w:t>
        </w:r>
      </w:hyperlink>
    </w:p>
    <w:p w:rsidR="005D06C5" w:rsidRPr="00F4698B" w:rsidRDefault="00845966" w:rsidP="00F4698B">
      <w:pPr>
        <w:pStyle w:val="ListParagraph"/>
        <w:numPr>
          <w:ilvl w:val="0"/>
          <w:numId w:val="2"/>
        </w:numPr>
        <w:spacing w:after="120" w:line="240" w:lineRule="auto"/>
        <w:jc w:val="both"/>
        <w:rPr>
          <w:rFonts w:ascii="Times New Roman" w:eastAsia="Times New Roman" w:hAnsi="Times New Roman" w:cs="Times New Roman"/>
        </w:rPr>
      </w:pPr>
      <w:r w:rsidRPr="00F4698B">
        <w:rPr>
          <w:rFonts w:ascii="Times New Roman" w:eastAsia="Times New Roman" w:hAnsi="Times New Roman" w:cs="Times New Roman"/>
        </w:rPr>
        <w:t>Chandana, T.S., Reddy, P. V., and Rao, K. (2022). Socio-economic and psychological correlates of sustainable livelihood security among integrated farming system practitioners in Andhra Pr</w:t>
      </w:r>
      <w:r w:rsidRPr="00F4698B">
        <w:rPr>
          <w:rFonts w:ascii="Times New Roman" w:eastAsia="Times New Roman" w:hAnsi="Times New Roman" w:cs="Times New Roman"/>
        </w:rPr>
        <w:t xml:space="preserve">adesh. </w:t>
      </w:r>
      <w:r w:rsidRPr="00F4698B">
        <w:rPr>
          <w:rFonts w:ascii="Times New Roman" w:eastAsia="Times New Roman" w:hAnsi="Times New Roman" w:cs="Times New Roman"/>
          <w:i/>
          <w:iCs/>
        </w:rPr>
        <w:t>Indian Journal of Extension Education</w:t>
      </w:r>
      <w:r w:rsidRPr="00F4698B">
        <w:rPr>
          <w:rFonts w:ascii="Times New Roman" w:eastAsia="Times New Roman" w:hAnsi="Times New Roman" w:cs="Times New Roman"/>
        </w:rPr>
        <w:t xml:space="preserve">, 58(4), 65–74. DOI: </w:t>
      </w:r>
      <w:hyperlink r:id="rId23">
        <w:r w:rsidRPr="00F4698B">
          <w:rPr>
            <w:rFonts w:ascii="Times New Roman" w:eastAsia="Times New Roman" w:hAnsi="Times New Roman" w:cs="Times New Roman"/>
            <w:color w:val="0000FF"/>
          </w:rPr>
          <w:t>10.48165/IJEE.2023.59121</w:t>
        </w:r>
      </w:hyperlink>
    </w:p>
    <w:p w:rsidR="005D06C5" w:rsidRPr="00F4698B" w:rsidRDefault="00845966" w:rsidP="00F4698B">
      <w:pPr>
        <w:pStyle w:val="ListParagraph"/>
        <w:numPr>
          <w:ilvl w:val="0"/>
          <w:numId w:val="2"/>
        </w:numPr>
        <w:spacing w:after="120" w:line="240" w:lineRule="auto"/>
        <w:jc w:val="both"/>
        <w:rPr>
          <w:rFonts w:ascii="Times New Roman" w:eastAsia="Times New Roman" w:hAnsi="Times New Roman" w:cs="Times New Roman"/>
        </w:rPr>
      </w:pPr>
      <w:r w:rsidRPr="00F4698B">
        <w:rPr>
          <w:rFonts w:ascii="Times New Roman" w:eastAsia="Times New Roman" w:hAnsi="Times New Roman" w:cs="Times New Roman"/>
        </w:rPr>
        <w:t xml:space="preserve">Costa, C., </w:t>
      </w:r>
      <w:proofErr w:type="spellStart"/>
      <w:r w:rsidRPr="00F4698B">
        <w:rPr>
          <w:rFonts w:ascii="Times New Roman" w:eastAsia="Times New Roman" w:hAnsi="Times New Roman" w:cs="Times New Roman"/>
        </w:rPr>
        <w:t>Azoia</w:t>
      </w:r>
      <w:proofErr w:type="spellEnd"/>
      <w:r w:rsidRPr="00F4698B">
        <w:rPr>
          <w:rFonts w:ascii="Times New Roman" w:eastAsia="Times New Roman" w:hAnsi="Times New Roman" w:cs="Times New Roman"/>
        </w:rPr>
        <w:t xml:space="preserve">, N. G., Coelho, L., </w:t>
      </w:r>
      <w:proofErr w:type="spellStart"/>
      <w:r w:rsidRPr="00F4698B">
        <w:rPr>
          <w:rFonts w:ascii="Times New Roman" w:eastAsia="Times New Roman" w:hAnsi="Times New Roman" w:cs="Times New Roman"/>
        </w:rPr>
        <w:t>Freixo</w:t>
      </w:r>
      <w:proofErr w:type="spellEnd"/>
      <w:r w:rsidRPr="00F4698B">
        <w:rPr>
          <w:rFonts w:ascii="Times New Roman" w:eastAsia="Times New Roman" w:hAnsi="Times New Roman" w:cs="Times New Roman"/>
        </w:rPr>
        <w:t xml:space="preserve">, R., Batista, P., &amp; Pintado, M., (2021) Proteins derived from </w:t>
      </w:r>
      <w:r w:rsidRPr="00F4698B">
        <w:rPr>
          <w:rFonts w:ascii="Times New Roman" w:eastAsia="Times New Roman" w:hAnsi="Times New Roman" w:cs="Times New Roman"/>
        </w:rPr>
        <w:t xml:space="preserve">the dairy losses and by-products as raw materials for non-food applications. Food </w:t>
      </w:r>
      <w:proofErr w:type="spellStart"/>
      <w:r w:rsidRPr="00F4698B">
        <w:rPr>
          <w:rFonts w:ascii="Times New Roman" w:eastAsia="Times New Roman" w:hAnsi="Times New Roman" w:cs="Times New Roman"/>
        </w:rPr>
        <w:t>Secur</w:t>
      </w:r>
      <w:proofErr w:type="spellEnd"/>
      <w:r w:rsidRPr="00F4698B">
        <w:rPr>
          <w:rFonts w:ascii="Times New Roman" w:eastAsia="Times New Roman" w:hAnsi="Times New Roman" w:cs="Times New Roman"/>
        </w:rPr>
        <w:t xml:space="preserve"> 10(1):135 DOI: </w:t>
      </w:r>
      <w:hyperlink r:id="rId24">
        <w:r w:rsidRPr="00F4698B">
          <w:rPr>
            <w:rFonts w:ascii="Times New Roman" w:eastAsia="Times New Roman" w:hAnsi="Times New Roman" w:cs="Times New Roman"/>
            <w:color w:val="0000FF"/>
          </w:rPr>
          <w:t>10.3390/foods10010135</w:t>
        </w:r>
      </w:hyperlink>
    </w:p>
    <w:p w:rsidR="005D06C5" w:rsidRPr="00F4698B" w:rsidRDefault="00845966" w:rsidP="00F4698B">
      <w:pPr>
        <w:pStyle w:val="ListParagraph"/>
        <w:numPr>
          <w:ilvl w:val="0"/>
          <w:numId w:val="2"/>
        </w:numPr>
        <w:jc w:val="both"/>
        <w:rPr>
          <w:rFonts w:ascii="Times New Roman" w:eastAsia="Times New Roman" w:hAnsi="Times New Roman" w:cs="Times New Roman"/>
        </w:rPr>
      </w:pPr>
      <w:proofErr w:type="spellStart"/>
      <w:r w:rsidRPr="00F4698B">
        <w:rPr>
          <w:rFonts w:ascii="Times New Roman" w:eastAsia="Times New Roman" w:hAnsi="Times New Roman" w:cs="Times New Roman"/>
        </w:rPr>
        <w:t>Dagar</w:t>
      </w:r>
      <w:proofErr w:type="spellEnd"/>
      <w:r w:rsidRPr="00F4698B">
        <w:rPr>
          <w:rFonts w:ascii="Times New Roman" w:eastAsia="Times New Roman" w:hAnsi="Times New Roman" w:cs="Times New Roman"/>
        </w:rPr>
        <w:t xml:space="preserve">, J. C., Gupta, S. R., &amp; </w:t>
      </w:r>
      <w:proofErr w:type="spellStart"/>
      <w:r w:rsidRPr="00F4698B">
        <w:rPr>
          <w:rFonts w:ascii="Times New Roman" w:eastAsia="Times New Roman" w:hAnsi="Times New Roman" w:cs="Times New Roman"/>
        </w:rPr>
        <w:t>Sileshi</w:t>
      </w:r>
      <w:proofErr w:type="spellEnd"/>
      <w:r w:rsidRPr="00F4698B">
        <w:rPr>
          <w:rFonts w:ascii="Times New Roman" w:eastAsia="Times New Roman" w:hAnsi="Times New Roman" w:cs="Times New Roman"/>
        </w:rPr>
        <w:t>, G. W. (2023) Urban and peri-urban a</w:t>
      </w:r>
      <w:r w:rsidRPr="00F4698B">
        <w:rPr>
          <w:rFonts w:ascii="Times New Roman" w:eastAsia="Times New Roman" w:hAnsi="Times New Roman" w:cs="Times New Roman"/>
        </w:rPr>
        <w:t xml:space="preserve">groforestry to sustain </w:t>
      </w:r>
      <w:proofErr w:type="spellStart"/>
      <w:r w:rsidRPr="00F4698B">
        <w:rPr>
          <w:rFonts w:ascii="Times New Roman" w:eastAsia="Times New Roman" w:hAnsi="Times New Roman" w:cs="Times New Roman"/>
        </w:rPr>
        <w:t>liveli</w:t>
      </w:r>
      <w:proofErr w:type="spellEnd"/>
      <w:r w:rsidRPr="00F4698B">
        <w:rPr>
          <w:rFonts w:ascii="Times New Roman" w:eastAsia="Times New Roman" w:hAnsi="Times New Roman" w:cs="Times New Roman"/>
        </w:rPr>
        <w:t xml:space="preserve">-hood and food security in the face of global environmental change and epidemic threats. In: Agroforestry for sustainable intensification of agriculture in Asia and Africa. Springer Nature Singapore, Singapore, pp89–118 DOI: </w:t>
      </w:r>
      <w:hyperlink r:id="rId25">
        <w:r w:rsidRPr="00F4698B">
          <w:rPr>
            <w:rFonts w:ascii="Times New Roman" w:eastAsia="Times New Roman" w:hAnsi="Times New Roman" w:cs="Times New Roman"/>
            <w:color w:val="0000FF"/>
          </w:rPr>
          <w:t>10.1007/978-981-19-4602-8_4</w:t>
        </w:r>
      </w:hyperlink>
    </w:p>
    <w:p w:rsidR="005D06C5" w:rsidRPr="00F4698B" w:rsidRDefault="00845966" w:rsidP="00F4698B">
      <w:pPr>
        <w:pStyle w:val="ListParagraph"/>
        <w:numPr>
          <w:ilvl w:val="0"/>
          <w:numId w:val="2"/>
        </w:numPr>
        <w:jc w:val="both"/>
        <w:rPr>
          <w:rFonts w:ascii="Times New Roman" w:eastAsia="Times New Roman" w:hAnsi="Times New Roman" w:cs="Times New Roman"/>
        </w:rPr>
      </w:pPr>
      <w:r w:rsidRPr="00F4698B">
        <w:rPr>
          <w:rFonts w:ascii="Times New Roman" w:eastAsia="Times New Roman" w:hAnsi="Times New Roman" w:cs="Times New Roman"/>
        </w:rPr>
        <w:t xml:space="preserve">Das, A., Datta, D., </w:t>
      </w:r>
      <w:proofErr w:type="spellStart"/>
      <w:r w:rsidRPr="00F4698B">
        <w:rPr>
          <w:rFonts w:ascii="Times New Roman" w:eastAsia="Times New Roman" w:hAnsi="Times New Roman" w:cs="Times New Roman"/>
        </w:rPr>
        <w:t>Samajdar</w:t>
      </w:r>
      <w:proofErr w:type="spellEnd"/>
      <w:r w:rsidRPr="00F4698B">
        <w:rPr>
          <w:rFonts w:ascii="Times New Roman" w:eastAsia="Times New Roman" w:hAnsi="Times New Roman" w:cs="Times New Roman"/>
        </w:rPr>
        <w:t xml:space="preserve">, T., </w:t>
      </w:r>
      <w:proofErr w:type="spellStart"/>
      <w:r w:rsidRPr="00F4698B">
        <w:rPr>
          <w:rFonts w:ascii="Times New Roman" w:eastAsia="Times New Roman" w:hAnsi="Times New Roman" w:cs="Times New Roman"/>
        </w:rPr>
        <w:t>Idapuganti</w:t>
      </w:r>
      <w:proofErr w:type="spellEnd"/>
      <w:r w:rsidRPr="00F4698B">
        <w:rPr>
          <w:rFonts w:ascii="Times New Roman" w:eastAsia="Times New Roman" w:hAnsi="Times New Roman" w:cs="Times New Roman"/>
        </w:rPr>
        <w:t xml:space="preserve">, R. G., Islam, M., Choudhury, B. U., Mohapatra, K. P., </w:t>
      </w:r>
      <w:proofErr w:type="spellStart"/>
      <w:r w:rsidRPr="00F4698B">
        <w:rPr>
          <w:rFonts w:ascii="Times New Roman" w:eastAsia="Times New Roman" w:hAnsi="Times New Roman" w:cs="Times New Roman"/>
        </w:rPr>
        <w:t>Layek</w:t>
      </w:r>
      <w:proofErr w:type="spellEnd"/>
      <w:r w:rsidRPr="00F4698B">
        <w:rPr>
          <w:rFonts w:ascii="Times New Roman" w:eastAsia="Times New Roman" w:hAnsi="Times New Roman" w:cs="Times New Roman"/>
        </w:rPr>
        <w:t>, J., Subhash, B., &amp; Yadav, G. S. (2021) Livelihood security o</w:t>
      </w:r>
      <w:r w:rsidRPr="00F4698B">
        <w:rPr>
          <w:rFonts w:ascii="Times New Roman" w:eastAsia="Times New Roman" w:hAnsi="Times New Roman" w:cs="Times New Roman"/>
        </w:rPr>
        <w:t xml:space="preserve">f small holder farmers in eastern Himalayas, India: pond based integrated farming system a sustainable approach. </w:t>
      </w:r>
      <w:proofErr w:type="spellStart"/>
      <w:r w:rsidRPr="00F4698B">
        <w:rPr>
          <w:rFonts w:ascii="Times New Roman" w:eastAsia="Times New Roman" w:hAnsi="Times New Roman" w:cs="Times New Roman"/>
        </w:rPr>
        <w:t>Curr</w:t>
      </w:r>
      <w:proofErr w:type="spellEnd"/>
      <w:r w:rsidRPr="00F4698B">
        <w:rPr>
          <w:rFonts w:ascii="Times New Roman" w:eastAsia="Times New Roman" w:hAnsi="Times New Roman" w:cs="Times New Roman"/>
        </w:rPr>
        <w:t xml:space="preserve"> Res Environ Sustain. DOI: </w:t>
      </w:r>
      <w:hyperlink r:id="rId26">
        <w:r w:rsidRPr="00F4698B">
          <w:rPr>
            <w:rFonts w:ascii="Times New Roman" w:eastAsia="Times New Roman" w:hAnsi="Times New Roman" w:cs="Times New Roman"/>
            <w:color w:val="0000FF"/>
          </w:rPr>
          <w:t>10.1016/j.crsust.2021.100076</w:t>
        </w:r>
      </w:hyperlink>
    </w:p>
    <w:p w:rsidR="005D06C5" w:rsidRPr="00F4698B" w:rsidRDefault="00845966" w:rsidP="00F4698B">
      <w:pPr>
        <w:pStyle w:val="ListParagraph"/>
        <w:numPr>
          <w:ilvl w:val="0"/>
          <w:numId w:val="2"/>
        </w:numPr>
        <w:jc w:val="both"/>
        <w:rPr>
          <w:rFonts w:ascii="Times New Roman" w:eastAsia="Times New Roman" w:hAnsi="Times New Roman" w:cs="Times New Roman"/>
        </w:rPr>
      </w:pPr>
      <w:r w:rsidRPr="00F4698B">
        <w:rPr>
          <w:rFonts w:ascii="Times New Roman" w:eastAsia="Times New Roman" w:hAnsi="Times New Roman" w:cs="Times New Roman"/>
        </w:rPr>
        <w:t>Delphin, S., Snyder</w:t>
      </w:r>
      <w:r w:rsidRPr="00F4698B">
        <w:rPr>
          <w:rFonts w:ascii="Times New Roman" w:eastAsia="Times New Roman" w:hAnsi="Times New Roman" w:cs="Times New Roman"/>
        </w:rPr>
        <w:t xml:space="preserve">, K. A., Tanner, S., </w:t>
      </w:r>
      <w:proofErr w:type="spellStart"/>
      <w:r w:rsidRPr="00F4698B">
        <w:rPr>
          <w:rFonts w:ascii="Times New Roman" w:eastAsia="Times New Roman" w:hAnsi="Times New Roman" w:cs="Times New Roman"/>
        </w:rPr>
        <w:t>Musálem</w:t>
      </w:r>
      <w:proofErr w:type="spellEnd"/>
      <w:r w:rsidRPr="00F4698B">
        <w:rPr>
          <w:rFonts w:ascii="Times New Roman" w:eastAsia="Times New Roman" w:hAnsi="Times New Roman" w:cs="Times New Roman"/>
        </w:rPr>
        <w:t xml:space="preserve">, K., Marsh, S. E., &amp; Soto, J. R. (2022) Obstacles to the </w:t>
      </w:r>
      <w:proofErr w:type="spellStart"/>
      <w:r w:rsidRPr="00F4698B">
        <w:rPr>
          <w:rFonts w:ascii="Times New Roman" w:eastAsia="Times New Roman" w:hAnsi="Times New Roman" w:cs="Times New Roman"/>
        </w:rPr>
        <w:t>devel-opment</w:t>
      </w:r>
      <w:proofErr w:type="spellEnd"/>
      <w:r w:rsidRPr="00F4698B">
        <w:rPr>
          <w:rFonts w:ascii="Times New Roman" w:eastAsia="Times New Roman" w:hAnsi="Times New Roman" w:cs="Times New Roman"/>
        </w:rPr>
        <w:t xml:space="preserve"> of integrated land-use planning in developing countries: the case of Paraguay. Land 11(8):1339. DOI: </w:t>
      </w:r>
      <w:hyperlink r:id="rId27">
        <w:r w:rsidRPr="00F4698B">
          <w:rPr>
            <w:rFonts w:ascii="Times New Roman" w:eastAsia="Times New Roman" w:hAnsi="Times New Roman" w:cs="Times New Roman"/>
            <w:color w:val="0000FF"/>
          </w:rPr>
          <w:t>10.3390/land11081339</w:t>
        </w:r>
      </w:hyperlink>
    </w:p>
    <w:p w:rsidR="005D06C5" w:rsidRPr="00F4698B" w:rsidRDefault="00845966" w:rsidP="00F4698B">
      <w:pPr>
        <w:pStyle w:val="ListParagraph"/>
        <w:numPr>
          <w:ilvl w:val="0"/>
          <w:numId w:val="2"/>
        </w:numPr>
        <w:jc w:val="both"/>
        <w:rPr>
          <w:rFonts w:ascii="Times New Roman" w:eastAsia="Times New Roman" w:hAnsi="Times New Roman" w:cs="Times New Roman"/>
        </w:rPr>
      </w:pPr>
      <w:proofErr w:type="spellStart"/>
      <w:r w:rsidRPr="00F4698B">
        <w:rPr>
          <w:rFonts w:ascii="Times New Roman" w:eastAsia="Times New Roman" w:hAnsi="Times New Roman" w:cs="Times New Roman"/>
        </w:rPr>
        <w:t>Dhonde</w:t>
      </w:r>
      <w:proofErr w:type="spellEnd"/>
      <w:r w:rsidRPr="00F4698B">
        <w:rPr>
          <w:rFonts w:ascii="Times New Roman" w:eastAsia="Times New Roman" w:hAnsi="Times New Roman" w:cs="Times New Roman"/>
        </w:rPr>
        <w:t xml:space="preserve">, M., </w:t>
      </w:r>
      <w:proofErr w:type="spellStart"/>
      <w:r w:rsidRPr="00F4698B">
        <w:rPr>
          <w:rFonts w:ascii="Times New Roman" w:eastAsia="Times New Roman" w:hAnsi="Times New Roman" w:cs="Times New Roman"/>
        </w:rPr>
        <w:t>Sahu</w:t>
      </w:r>
      <w:proofErr w:type="spellEnd"/>
      <w:r w:rsidRPr="00F4698B">
        <w:rPr>
          <w:rFonts w:ascii="Times New Roman" w:eastAsia="Times New Roman" w:hAnsi="Times New Roman" w:cs="Times New Roman"/>
        </w:rPr>
        <w:t xml:space="preserve">, K., &amp; </w:t>
      </w:r>
      <w:proofErr w:type="spellStart"/>
      <w:r w:rsidRPr="00F4698B">
        <w:rPr>
          <w:rFonts w:ascii="Times New Roman" w:eastAsia="Times New Roman" w:hAnsi="Times New Roman" w:cs="Times New Roman"/>
        </w:rPr>
        <w:t>Murty</w:t>
      </w:r>
      <w:proofErr w:type="spellEnd"/>
      <w:r w:rsidRPr="00F4698B">
        <w:rPr>
          <w:rFonts w:ascii="Times New Roman" w:eastAsia="Times New Roman" w:hAnsi="Times New Roman" w:cs="Times New Roman"/>
        </w:rPr>
        <w:t xml:space="preserve">, V. V. S. (2022) The application of solar-driven technologies for the sustainable development of agriculture farming: a comprehensive review. Rev Environ Sci </w:t>
      </w:r>
      <w:proofErr w:type="spellStart"/>
      <w:r w:rsidRPr="00F4698B">
        <w:rPr>
          <w:rFonts w:ascii="Times New Roman" w:eastAsia="Times New Roman" w:hAnsi="Times New Roman" w:cs="Times New Roman"/>
        </w:rPr>
        <w:t>Biotechnol</w:t>
      </w:r>
      <w:proofErr w:type="spellEnd"/>
      <w:r w:rsidRPr="00F4698B">
        <w:rPr>
          <w:rFonts w:ascii="Times New Roman" w:eastAsia="Times New Roman" w:hAnsi="Times New Roman" w:cs="Times New Roman"/>
        </w:rPr>
        <w:t xml:space="preserve"> 21(1):139–167. DOI: </w:t>
      </w:r>
      <w:hyperlink r:id="rId28">
        <w:r w:rsidRPr="00F4698B">
          <w:rPr>
            <w:rFonts w:ascii="Times New Roman" w:eastAsia="Times New Roman" w:hAnsi="Times New Roman" w:cs="Times New Roman"/>
            <w:color w:val="0000FF"/>
          </w:rPr>
          <w:t>10.1007/s11157-022-09611-6</w:t>
        </w:r>
      </w:hyperlink>
    </w:p>
    <w:p w:rsidR="005D06C5" w:rsidRPr="00F4698B" w:rsidRDefault="00845966" w:rsidP="00F4698B">
      <w:pPr>
        <w:pStyle w:val="ListParagraph"/>
        <w:numPr>
          <w:ilvl w:val="0"/>
          <w:numId w:val="2"/>
        </w:numPr>
        <w:spacing w:after="120" w:line="240" w:lineRule="auto"/>
        <w:jc w:val="both"/>
        <w:rPr>
          <w:rFonts w:ascii="Times New Roman" w:eastAsia="Times New Roman" w:hAnsi="Times New Roman" w:cs="Times New Roman"/>
        </w:rPr>
      </w:pPr>
      <w:r w:rsidRPr="00F4698B">
        <w:rPr>
          <w:rFonts w:ascii="Times New Roman" w:eastAsia="Times New Roman" w:hAnsi="Times New Roman" w:cs="Times New Roman"/>
        </w:rPr>
        <w:t xml:space="preserve">ICAR Annual Reports: ICAR (2022). Annual Report on Farmer FIRST </w:t>
      </w:r>
      <w:proofErr w:type="spellStart"/>
      <w:r w:rsidRPr="00F4698B">
        <w:rPr>
          <w:rFonts w:ascii="Times New Roman" w:eastAsia="Times New Roman" w:hAnsi="Times New Roman" w:cs="Times New Roman"/>
        </w:rPr>
        <w:t>Programme</w:t>
      </w:r>
      <w:proofErr w:type="spellEnd"/>
      <w:r w:rsidRPr="00F4698B">
        <w:rPr>
          <w:rFonts w:ascii="Times New Roman" w:eastAsia="Times New Roman" w:hAnsi="Times New Roman" w:cs="Times New Roman"/>
        </w:rPr>
        <w:t xml:space="preserve">. </w:t>
      </w:r>
      <w:r w:rsidRPr="00F4698B">
        <w:rPr>
          <w:rFonts w:ascii="Times New Roman" w:eastAsia="Times New Roman" w:hAnsi="Times New Roman" w:cs="Times New Roman"/>
          <w:i/>
          <w:iCs/>
        </w:rPr>
        <w:t>Indian Council of Agricultural Research</w:t>
      </w:r>
      <w:r w:rsidRPr="00F4698B">
        <w:rPr>
          <w:rFonts w:ascii="Times New Roman" w:eastAsia="Times New Roman" w:hAnsi="Times New Roman" w:cs="Times New Roman"/>
        </w:rPr>
        <w:t xml:space="preserve">, New Delhi. </w:t>
      </w:r>
      <w:bookmarkEnd w:id="6"/>
    </w:p>
    <w:sectPr w:rsidR="005D06C5" w:rsidRPr="00F4698B">
      <w:headerReference w:type="even" r:id="rId29"/>
      <w:headerReference w:type="default" r:id="rId30"/>
      <w:footerReference w:type="even" r:id="rId31"/>
      <w:footerReference w:type="default" r:id="rId32"/>
      <w:headerReference w:type="first" r:id="rId33"/>
      <w:footerReference w:type="first" r:id="rId34"/>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45966" w:rsidRDefault="00845966">
      <w:pPr>
        <w:spacing w:after="0" w:line="240" w:lineRule="auto"/>
      </w:pPr>
      <w:r>
        <w:separator/>
      </w:r>
    </w:p>
  </w:endnote>
  <w:endnote w:type="continuationSeparator" w:id="0">
    <w:p w:rsidR="00845966" w:rsidRDefault="008459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8DE45198-118A-4D29-B110-6A521200C0FF}"/>
    <w:embedBold r:id="rId2" w:fontKey="{E5125ECE-E25D-40E7-8651-D6719F60C72E}"/>
    <w:embedItalic r:id="rId3" w:fontKey="{E91945FF-0D85-423E-A15B-86B0B60D0080}"/>
    <w:embedBoldItalic r:id="rId4" w:fontKey="{4A41CD39-8892-4B2B-B422-45349FFCFC2A}"/>
  </w:font>
  <w:font w:name="Calibri">
    <w:panose1 w:val="020F0502020204030204"/>
    <w:charset w:val="00"/>
    <w:family w:val="swiss"/>
    <w:pitch w:val="variable"/>
    <w:sig w:usb0="E4002EFF" w:usb1="C000247B" w:usb2="00000009" w:usb3="00000000" w:csb0="000001FF" w:csb1="00000000"/>
    <w:embedRegular r:id="rId5" w:fontKey="{0153FD29-EAEB-4662-A3ED-E2E79D3BF4B4}"/>
    <w:embedBold r:id="rId6" w:fontKey="{B555DE99-EBAD-45FE-BD1D-DEBE5953A5F4}"/>
    <w:embedItalic r:id="rId7" w:fontKey="{8299755B-D9D4-4244-91B6-4FCE4D8F56A6}"/>
    <w:embedBoldItalic r:id="rId8" w:fontKey="{183AFB99-7F9E-48A0-AAF0-AEC6B46A1AD2}"/>
  </w:font>
  <w:font w:name="Courier">
    <w:panose1 w:val="02070409020205020404"/>
    <w:charset w:val="00"/>
    <w:family w:val="modern"/>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9" w:fontKey="{B0118CA4-E859-45B0-83E4-BE771B51BA5E}"/>
  </w:font>
  <w:font w:name="Gungsuh">
    <w:altName w:val="Gungsuh"/>
    <w:charset w:val="81"/>
    <w:family w:val="roman"/>
    <w:pitch w:val="variable"/>
    <w:sig w:usb0="B00002AF" w:usb1="69D77CFB" w:usb2="00000030" w:usb3="00000000" w:csb0="0008009F" w:csb1="00000000"/>
    <w:embedRegular r:id="rId10" w:subsetted="1" w:fontKey="{F396B008-FA4F-4E0F-8638-61EDDA9F62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06C5" w:rsidRDefault="005D06C5">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06C5" w:rsidRDefault="005D06C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06C5" w:rsidRDefault="005D06C5">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45966" w:rsidRDefault="00845966">
      <w:pPr>
        <w:spacing w:after="0" w:line="240" w:lineRule="auto"/>
      </w:pPr>
      <w:r>
        <w:separator/>
      </w:r>
    </w:p>
  </w:footnote>
  <w:footnote w:type="continuationSeparator" w:id="0">
    <w:p w:rsidR="00845966" w:rsidRDefault="008459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06C5" w:rsidRDefault="00845966">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margin-left:0;margin-top:0;width:540.35pt;height:68.7pt;rotation:315;z-index:-25165772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06C5" w:rsidRDefault="00845966">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margin-left:0;margin-top:0;width:540.35pt;height:68.7pt;rotation:315;z-index:-25165977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06C5" w:rsidRDefault="00845966">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40.35pt;height:68.7pt;rotation:315;z-index:-25165875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3F1679"/>
    <w:multiLevelType w:val="hybridMultilevel"/>
    <w:tmpl w:val="B78C12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5C81DA1"/>
    <w:multiLevelType w:val="multilevel"/>
    <w:tmpl w:val="E59AD1B2"/>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06C5"/>
    <w:rsid w:val="005D06C5"/>
    <w:rsid w:val="00845966"/>
    <w:rsid w:val="00F469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16BCB806-4138-487D-86C3-0BED1D9FF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2"/>
        <w:szCs w:val="22"/>
        <w:lang w:val="e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Calibri" w:eastAsia="Calibri" w:hAnsi="Calibri" w:cs="Calibri"/>
      <w:i/>
      <w:iCs/>
      <w:color w:val="243F61"/>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bottom w:val="single" w:sz="8" w:space="4" w:color="4F81BD"/>
      </w:pBdr>
      <w:spacing w:after="300" w:line="240" w:lineRule="auto"/>
    </w:pPr>
    <w:rPr>
      <w:rFonts w:ascii="Calibri" w:eastAsia="Calibri" w:hAnsi="Calibri" w:cs="Calibri"/>
      <w:color w:val="17365D"/>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tabs>
        <w:tab w:val="num" w:pos="720"/>
      </w:tabs>
      <w:ind w:left="720" w:hanging="720"/>
      <w:contextualSpacing/>
    </w:pPr>
  </w:style>
  <w:style w:type="paragraph" w:styleId="ListBullet3">
    <w:name w:val="List Bullet 3"/>
    <w:basedOn w:val="Normal"/>
    <w:uiPriority w:val="99"/>
    <w:unhideWhenUsed/>
    <w:rsid w:val="00326F90"/>
    <w:pPr>
      <w:tabs>
        <w:tab w:val="num" w:pos="720"/>
      </w:tabs>
      <w:ind w:left="720" w:hanging="720"/>
      <w:contextualSpacing/>
    </w:pPr>
  </w:style>
  <w:style w:type="paragraph" w:styleId="ListNumber">
    <w:name w:val="List Number"/>
    <w:basedOn w:val="Normal"/>
    <w:uiPriority w:val="99"/>
    <w:unhideWhenUsed/>
    <w:rsid w:val="00326F90"/>
    <w:pPr>
      <w:tabs>
        <w:tab w:val="num" w:pos="720"/>
      </w:tabs>
      <w:ind w:left="720" w:hanging="720"/>
      <w:contextualSpacing/>
    </w:pPr>
  </w:style>
  <w:style w:type="paragraph" w:styleId="ListNumber2">
    <w:name w:val="List Number 2"/>
    <w:basedOn w:val="Normal"/>
    <w:uiPriority w:val="99"/>
    <w:unhideWhenUsed/>
    <w:rsid w:val="0029639D"/>
    <w:pPr>
      <w:tabs>
        <w:tab w:val="num" w:pos="720"/>
      </w:tabs>
      <w:ind w:left="720" w:hanging="720"/>
      <w:contextualSpacing/>
    </w:pPr>
  </w:style>
  <w:style w:type="paragraph" w:styleId="ListNumber3">
    <w:name w:val="List Number 3"/>
    <w:basedOn w:val="Normal"/>
    <w:uiPriority w:val="99"/>
    <w:unhideWhenUsed/>
    <w:rsid w:val="0029639D"/>
    <w:pPr>
      <w:tabs>
        <w:tab w:val="num" w:pos="720"/>
      </w:tabs>
      <w:ind w:left="720" w:hanging="720"/>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a">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BF2510"/>
    <w:rPr>
      <w:color w:val="0000FF" w:themeColor="hyperlink"/>
      <w:u w:val="single"/>
    </w:rPr>
  </w:style>
  <w:style w:type="character" w:customStyle="1" w:styleId="UnresolvedMention1">
    <w:name w:val="Unresolved Mention1"/>
    <w:basedOn w:val="DefaultParagraphFont"/>
    <w:uiPriority w:val="99"/>
    <w:semiHidden/>
    <w:unhideWhenUsed/>
    <w:rsid w:val="00BF2510"/>
    <w:rPr>
      <w:color w:val="605E5C"/>
      <w:shd w:val="clear" w:color="auto" w:fill="E1DFDD"/>
    </w:rPr>
  </w:style>
  <w:style w:type="table" w:customStyle="1" w:styleId="a0">
    <w:basedOn w:val="TableNormal"/>
    <w:tblPr>
      <w:tblStyleRowBandSize w:val="1"/>
      <w:tblStyleColBandSize w:val="1"/>
      <w:tblCellMar>
        <w:left w:w="115" w:type="dxa"/>
        <w:right w:w="115" w:type="dxa"/>
      </w:tblCellMar>
    </w:tblPr>
  </w:style>
  <w:style w:type="character" w:styleId="CommentReference">
    <w:name w:val="annotation reference"/>
    <w:basedOn w:val="DefaultParagraphFont"/>
    <w:uiPriority w:val="99"/>
    <w:semiHidden/>
    <w:unhideWhenUsed/>
    <w:rsid w:val="00792DC3"/>
    <w:rPr>
      <w:sz w:val="16"/>
      <w:szCs w:val="16"/>
    </w:rPr>
  </w:style>
  <w:style w:type="paragraph" w:styleId="CommentText">
    <w:name w:val="annotation text"/>
    <w:basedOn w:val="Normal"/>
    <w:link w:val="CommentTextChar"/>
    <w:uiPriority w:val="99"/>
    <w:semiHidden/>
    <w:unhideWhenUsed/>
    <w:rsid w:val="00792DC3"/>
    <w:pPr>
      <w:spacing w:line="240" w:lineRule="auto"/>
    </w:pPr>
    <w:rPr>
      <w:sz w:val="20"/>
      <w:szCs w:val="20"/>
    </w:rPr>
  </w:style>
  <w:style w:type="character" w:customStyle="1" w:styleId="CommentTextChar">
    <w:name w:val="Comment Text Char"/>
    <w:basedOn w:val="DefaultParagraphFont"/>
    <w:link w:val="CommentText"/>
    <w:uiPriority w:val="99"/>
    <w:semiHidden/>
    <w:rsid w:val="00792DC3"/>
    <w:rPr>
      <w:sz w:val="20"/>
      <w:szCs w:val="20"/>
    </w:rPr>
  </w:style>
  <w:style w:type="paragraph" w:styleId="CommentSubject">
    <w:name w:val="annotation subject"/>
    <w:basedOn w:val="CommentText"/>
    <w:next w:val="CommentText"/>
    <w:link w:val="CommentSubjectChar"/>
    <w:uiPriority w:val="99"/>
    <w:semiHidden/>
    <w:unhideWhenUsed/>
    <w:rsid w:val="00792DC3"/>
    <w:rPr>
      <w:b/>
      <w:bCs/>
    </w:rPr>
  </w:style>
  <w:style w:type="character" w:customStyle="1" w:styleId="CommentSubjectChar">
    <w:name w:val="Comment Subject Char"/>
    <w:basedOn w:val="CommentTextChar"/>
    <w:link w:val="CommentSubject"/>
    <w:uiPriority w:val="99"/>
    <w:semiHidden/>
    <w:rsid w:val="00792DC3"/>
    <w:rPr>
      <w:b/>
      <w:bCs/>
      <w:sz w:val="20"/>
      <w:szCs w:val="20"/>
    </w:rPr>
  </w:style>
  <w:style w:type="paragraph" w:styleId="BalloonText">
    <w:name w:val="Balloon Text"/>
    <w:basedOn w:val="Normal"/>
    <w:link w:val="BalloonTextChar"/>
    <w:uiPriority w:val="99"/>
    <w:semiHidden/>
    <w:unhideWhenUsed/>
    <w:rsid w:val="00792D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2DC3"/>
    <w:rPr>
      <w:rFonts w:ascii="Segoe UI" w:hAnsi="Segoe UI" w:cs="Segoe UI"/>
      <w:sz w:val="18"/>
      <w:szCs w:val="18"/>
    </w:rPr>
  </w:style>
  <w:style w:type="paragraph" w:styleId="Subtitle">
    <w:name w:val="Subtitle"/>
    <w:basedOn w:val="Normal"/>
    <w:next w:val="Normal"/>
    <w:link w:val="SubtitleChar"/>
    <w:uiPriority w:val="11"/>
    <w:qFormat/>
    <w:rPr>
      <w:rFonts w:ascii="Calibri" w:eastAsia="Calibri" w:hAnsi="Calibri" w:cs="Calibri"/>
      <w:i/>
      <w:iCs/>
      <w:color w:val="4F81BD"/>
      <w:sz w:val="24"/>
      <w:szCs w:val="24"/>
    </w:r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doi.org/10.4018/979-8-3693-4864-2.ch001" TargetMode="External"/><Relationship Id="rId18" Type="http://schemas.openxmlformats.org/officeDocument/2006/relationships/hyperlink" Target="https://doi.org/10.3390/s22093273" TargetMode="External"/><Relationship Id="rId26" Type="http://schemas.openxmlformats.org/officeDocument/2006/relationships/hyperlink" Target="https://doi.org/10.1016/j.crsust.2021.100076" TargetMode="External"/><Relationship Id="rId3" Type="http://schemas.openxmlformats.org/officeDocument/2006/relationships/styles" Target="styles.xml"/><Relationship Id="rId21" Type="http://schemas.openxmlformats.org/officeDocument/2006/relationships/hyperlink" Target="https://doi.org/10.3390/en14133856"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doi.org/10.2134/asaspecpub67.c5" TargetMode="External"/><Relationship Id="rId17" Type="http://schemas.openxmlformats.org/officeDocument/2006/relationships/hyperlink" Target="https://doi.org/10.1007/978-3-030-61010-4_7" TargetMode="External"/><Relationship Id="rId25" Type="http://schemas.openxmlformats.org/officeDocument/2006/relationships/hyperlink" Target="https://doi.org/10.1007/978-981-19-4602-8_4"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doi.org/10.1111/raq.12664" TargetMode="External"/><Relationship Id="rId20" Type="http://schemas.openxmlformats.org/officeDocument/2006/relationships/hyperlink" Target="https://doi.org/10.1007/978-981-15-9132-7_7"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3390/w13192660" TargetMode="External"/><Relationship Id="rId24" Type="http://schemas.openxmlformats.org/officeDocument/2006/relationships/hyperlink" Target="https://doi.org/10.3390/foods10010135"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doi.org/10.1039/D2FB00016D" TargetMode="External"/><Relationship Id="rId23" Type="http://schemas.openxmlformats.org/officeDocument/2006/relationships/hyperlink" Target="https://doi.org/10.48165/IJEE.2023.59121" TargetMode="External"/><Relationship Id="rId28" Type="http://schemas.openxmlformats.org/officeDocument/2006/relationships/hyperlink" Target="https://doi.org/10.1007/s11157-022-09611-6" TargetMode="External"/><Relationship Id="rId36" Type="http://schemas.openxmlformats.org/officeDocument/2006/relationships/theme" Target="theme/theme1.xml"/><Relationship Id="rId10" Type="http://schemas.openxmlformats.org/officeDocument/2006/relationships/hyperlink" Target="https://doi.org/10.1016/j.agsy.2020.102809" TargetMode="External"/><Relationship Id="rId19" Type="http://schemas.openxmlformats.org/officeDocument/2006/relationships/hyperlink" Target="https://doi.org/10.1016/bs.agron.2022.08.001"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oi.org/10.3390/su15065413" TargetMode="External"/><Relationship Id="rId14" Type="http://schemas.openxmlformats.org/officeDocument/2006/relationships/hyperlink" Target="https://doi.org/10.1016/j.wasman.2020.09.040" TargetMode="External"/><Relationship Id="rId22" Type="http://schemas.openxmlformats.org/officeDocument/2006/relationships/hyperlink" Target="https://doi.org/10.1016/B978-0-12-820286-9.00005-4" TargetMode="External"/><Relationship Id="rId27" Type="http://schemas.openxmlformats.org/officeDocument/2006/relationships/hyperlink" Target="https://doi.org/10.3390/land11081339"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hyperlink" Target="https://doi.org/10.1016/j.jclepro.2023.140368"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vIVJOefcdGCrQ5BhP1OuG4wF1Q==">CgMxLjAaJQoBMBIgCh4IB0IaCg9UaW1lcyBOZXcgUm9tYW4SB0d1bmdzdWgaJQoBMRIgCh4IB0IaCg9UaW1lcyBOZXcgUm9tYW4SB0d1bmdzdWgaJQoBMhIgCh4IB0IaCg9UaW1lcyBOZXcgUm9tYW4SB0d1bmdzdWgaJQoBMxIgCh4IB0IaCg9UaW1lcyBOZXcgUm9tYW4SB0d1bmdzdWgaJQoBNBIgCh4IB0IaCg9UaW1lcyBOZXcgUm9tYW4SB0d1bmdzdWgyDmguZmtibTJma2tod281Mg5oLmU4ajcwbGhmaXM5aDIOaC5meGN0aWR1cXV5emgyDmgucGRwemphbXh2anZvMg5oLjZ1bTFobGF4Ym02ZDIOaC51eTVqaDlucWs3YmM4AHIhMS0xYldoZ0RyekdLUVFReG1MbXNHNks5MmI5c2E5VDV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3324</Words>
  <Characters>18952</Characters>
  <Application>Microsoft Office Word</Application>
  <DocSecurity>0</DocSecurity>
  <Lines>157</Lines>
  <Paragraphs>44</Paragraphs>
  <ScaleCrop>false</ScaleCrop>
  <Company/>
  <LinksUpToDate>false</LinksUpToDate>
  <CharactersWithSpaces>22232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Editor-11</cp:lastModifiedBy>
  <cp:revision>2</cp:revision>
  <dcterms:created xsi:type="dcterms:W3CDTF">2013-12-23T23:15:00Z</dcterms:created>
  <dcterms:modified xsi:type="dcterms:W3CDTF">2026-03-24T11:57:00Z</dcterms:modified>
</cp:coreProperties>
</file>