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7BED0" w14:textId="77777777" w:rsidR="00586838" w:rsidRDefault="0085535D" w:rsidP="00413350">
      <w:pPr>
        <w:spacing w:after="0" w:line="360" w:lineRule="auto"/>
        <w:jc w:val="center"/>
        <w:outlineLvl w:val="0"/>
        <w:rPr>
          <w:rFonts w:ascii="Times New Roman" w:eastAsia="Times New Roman" w:hAnsi="Times New Roman" w:cs="Times New Roman"/>
          <w:b/>
          <w:bCs/>
          <w:kern w:val="36"/>
          <w:sz w:val="24"/>
          <w:szCs w:val="24"/>
        </w:rPr>
      </w:pPr>
      <w:r w:rsidRPr="0085535D">
        <w:rPr>
          <w:rFonts w:ascii="Times New Roman" w:eastAsia="Times New Roman" w:hAnsi="Times New Roman" w:cs="Times New Roman"/>
          <w:b/>
          <w:bCs/>
          <w:kern w:val="36"/>
          <w:sz w:val="24"/>
          <w:szCs w:val="24"/>
        </w:rPr>
        <w:t>BIOANALYTICAL METHOD VALIDATION OF LC–MS/MS ASSAYS FOR TRAZODONE: A CRITICAL REVIEW BASED ON USFDA AND ICH M10 GUIDELINES</w:t>
      </w:r>
    </w:p>
    <w:p w14:paraId="56FE0F6B" w14:textId="77777777" w:rsidR="009F4BEB" w:rsidRDefault="009F4BEB" w:rsidP="006D5D84">
      <w:pPr>
        <w:rPr>
          <w:rFonts w:ascii="Times New Roman" w:hAnsi="Times New Roman" w:cs="Times New Roman"/>
          <w:sz w:val="24"/>
          <w:szCs w:val="24"/>
        </w:rPr>
      </w:pPr>
    </w:p>
    <w:p w14:paraId="0D11589B" w14:textId="6B16711B" w:rsidR="006D5D84" w:rsidRPr="006D5D84" w:rsidRDefault="006D5D84" w:rsidP="0071246F">
      <w:pPr>
        <w:jc w:val="both"/>
        <w:rPr>
          <w:rFonts w:ascii="Times New Roman" w:hAnsi="Times New Roman" w:cs="Times New Roman"/>
          <w:sz w:val="24"/>
          <w:szCs w:val="24"/>
        </w:rPr>
      </w:pPr>
      <w:r w:rsidRPr="006D5D84">
        <w:rPr>
          <w:rFonts w:ascii="Times New Roman" w:hAnsi="Times New Roman" w:cs="Times New Roman"/>
          <w:sz w:val="24"/>
          <w:szCs w:val="24"/>
        </w:rPr>
        <w:t>Abstract</w:t>
      </w:r>
      <w:r w:rsidRPr="006D5D84">
        <w:rPr>
          <w:rFonts w:ascii="Times New Roman" w:hAnsi="Times New Roman" w:cs="Times New Roman"/>
          <w:sz w:val="24"/>
          <w:szCs w:val="24"/>
        </w:rPr>
        <w:br/>
        <w:t xml:space="preserve">Trazodone (TZD) is widely used for the treatment of major depressive disorder, anxiety-related disorders, and insomnia. Accurate quantification of TZD in biological matrices is essential for pharmacokinetic, bioavailability, and bioequivalence studies. Liquid chromatography coupled with tandem mass spectrometry (LC–MS/MS) has become the preferred technique for TZD bioanalysis because of its high sensitivity, selectivity, and ability to analyze complex biological samples. This review critically evaluates reported LC–MS/MS bioanalytical methods developed for the determination of TZD in human plasma, with special emphasis on bioanalytical method validation parameters in accordance with United States Food and Drug Administration (USFDA) and International Council for </w:t>
      </w:r>
      <w:proofErr w:type="spellStart"/>
      <w:r w:rsidRPr="006D5D84">
        <w:rPr>
          <w:rFonts w:ascii="Times New Roman" w:hAnsi="Times New Roman" w:cs="Times New Roman"/>
          <w:sz w:val="24"/>
          <w:szCs w:val="24"/>
        </w:rPr>
        <w:t>Harmonisation</w:t>
      </w:r>
      <w:proofErr w:type="spellEnd"/>
      <w:r w:rsidRPr="006D5D84">
        <w:rPr>
          <w:rFonts w:ascii="Times New Roman" w:hAnsi="Times New Roman" w:cs="Times New Roman"/>
          <w:sz w:val="24"/>
          <w:szCs w:val="24"/>
        </w:rPr>
        <w:t xml:space="preserve"> (ICH M10) guidelines. Key validation parameters including selectivity, linearity, accuracy, precision, recovery, matrix effect, stability, carryover, and dilution integrity are discussed and compared across reported studies. In addition, commonly observed gaps in regulatory compliance are identified and practical recommendations are proposed for improving analytical robustness. The review also highlights emerging regulatory expectations and analytical trends in LC–MS/MS bioanalysis. Overall, this work provides a consolidated reference for researchers and bioanalytical scientists involved in TZD analysis and supports the development of robust, regulatory-compliant LC–MS/MS methods.</w:t>
      </w:r>
    </w:p>
    <w:p w14:paraId="6D80E2A3" w14:textId="77777777" w:rsidR="006D5D84" w:rsidRPr="006D5D84" w:rsidRDefault="006D5D84" w:rsidP="0071246F">
      <w:pPr>
        <w:jc w:val="both"/>
        <w:rPr>
          <w:rFonts w:ascii="Times New Roman" w:hAnsi="Times New Roman" w:cs="Times New Roman"/>
          <w:sz w:val="24"/>
          <w:szCs w:val="24"/>
        </w:rPr>
      </w:pPr>
      <w:r w:rsidRPr="006D5D84">
        <w:rPr>
          <w:rFonts w:ascii="Times New Roman" w:hAnsi="Times New Roman" w:cs="Times New Roman"/>
          <w:sz w:val="24"/>
          <w:szCs w:val="24"/>
        </w:rPr>
        <w:t>Keywords: Trazodone, LC–MS/MS, Bioanalytical method validation, USFDA, ICH M10, Plasma analysis</w:t>
      </w:r>
    </w:p>
    <w:p w14:paraId="44503F27" w14:textId="77777777" w:rsidR="00586838" w:rsidRPr="0085535D" w:rsidRDefault="00586838" w:rsidP="00413350">
      <w:pPr>
        <w:spacing w:before="240" w:after="0" w:line="360" w:lineRule="auto"/>
        <w:jc w:val="both"/>
        <w:outlineLvl w:val="1"/>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t>1. INTRODUCTION</w:t>
      </w:r>
    </w:p>
    <w:p w14:paraId="55939861"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Trazodone</w:t>
      </w:r>
      <w:r w:rsidR="006A784A">
        <w:rPr>
          <w:rFonts w:ascii="Times New Roman" w:eastAsia="Times New Roman" w:hAnsi="Times New Roman" w:cs="Times New Roman"/>
          <w:sz w:val="24"/>
          <w:szCs w:val="24"/>
        </w:rPr>
        <w:t xml:space="preserve"> (TZD)</w:t>
      </w:r>
      <w:r w:rsidRPr="0085535D">
        <w:rPr>
          <w:rFonts w:ascii="Times New Roman" w:eastAsia="Times New Roman" w:hAnsi="Times New Roman" w:cs="Times New Roman"/>
          <w:sz w:val="24"/>
          <w:szCs w:val="24"/>
        </w:rPr>
        <w:t xml:space="preserve"> is a serotonin antagonist and reuptake inhibitor widely prescribed for the treatment of major depressive disorder, anxiety-related conditions, and insomnia. Owing to its favorable safety profile and effectiveness at low doses,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continues to be extensively used in both acute and chronic therapy. The increasing clinical use of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has necessitated robust pharmacokinetic, bioavailability, and bioequivalence studies, all of which rely heavily on accurate and precise bioanalytical quantification of the drug in biological matrices, particularly human plasma.</w:t>
      </w:r>
    </w:p>
    <w:p w14:paraId="1A499995"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Bioanalysis plays a central role in modern drug development by providing reliable quantitative data required for pharmacokinetic profiling, therapeutic drug monitoring, and regulatory submissions. Among the various analytical techniques available, liquid chromatography coupled </w:t>
      </w:r>
      <w:r w:rsidRPr="0085535D">
        <w:rPr>
          <w:rFonts w:ascii="Times New Roman" w:eastAsia="Times New Roman" w:hAnsi="Times New Roman" w:cs="Times New Roman"/>
          <w:sz w:val="24"/>
          <w:szCs w:val="24"/>
        </w:rPr>
        <w:lastRenderedPageBreak/>
        <w:t xml:space="preserve">with tandem mass spectrometry (LC–MS/MS) has emerged as the gold standard for bioanalytical applications due to its superior sensitivity, selectivity, and ability to handle complex biological matrices. For drugs such as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which are present at low concentrations in plasma and are susceptible to matrix interference, LC–MS/MS offers clear advantages over conventional chromatographic methods.</w:t>
      </w:r>
      <w:r w:rsidR="0085535D" w:rsidRPr="0085535D">
        <w:rPr>
          <w:rFonts w:ascii="Times New Roman" w:hAnsi="Times New Roman" w:cs="Times New Roman"/>
          <w:sz w:val="24"/>
          <w:szCs w:val="24"/>
        </w:rPr>
        <w:t xml:space="preserve"> [1–4].</w:t>
      </w:r>
    </w:p>
    <w:p w14:paraId="1495A287"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Despite the availability of several analytical methods for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estimation, significant variability exists in terms of sample preparation techniques, chromatographic conditions, internal standard selection, and validation rigor. Many published methods emphasize sensitivity and rapid analysis; however, compliance with evolving regulatory requirements is not always adequately demonstrated. Regulatory authorities such as the United States Food and Drug Administration (USFDA) and the International Council for </w:t>
      </w:r>
      <w:proofErr w:type="spellStart"/>
      <w:r w:rsidRPr="0085535D">
        <w:rPr>
          <w:rFonts w:ascii="Times New Roman" w:eastAsia="Times New Roman" w:hAnsi="Times New Roman" w:cs="Times New Roman"/>
          <w:sz w:val="24"/>
          <w:szCs w:val="24"/>
        </w:rPr>
        <w:t>Harmonisation</w:t>
      </w:r>
      <w:proofErr w:type="spellEnd"/>
      <w:r w:rsidRPr="0085535D">
        <w:rPr>
          <w:rFonts w:ascii="Times New Roman" w:eastAsia="Times New Roman" w:hAnsi="Times New Roman" w:cs="Times New Roman"/>
          <w:sz w:val="24"/>
          <w:szCs w:val="24"/>
        </w:rPr>
        <w:t xml:space="preserve"> (ICH) have issued detailed guidelines to ensure reliability, reproducibility, and regulatory acceptability of bioanalytical data. The recently harmonized ICH M10 guideline has further strengthened expectations for bioanalytical method validation across global regulatory agencies.</w:t>
      </w:r>
    </w:p>
    <w:p w14:paraId="4B88CDC3"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In this context, a critical evaluation of reported LC–MS/MS methods for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with respect to regulatory validation requirements is both timely and necessary. Rather than merely summarizing existing methodologies, there is a need to systematically assess their compliance with USFDA and ICH M10 guidelines, identify common validation gaps, and provide practical recommendations for bioanalytical scientists. Such an approach is particularly relevant for laboratories involved in regulated bioequivalence and pharmacokinetic studies.</w:t>
      </w:r>
      <w:r w:rsidR="0085535D" w:rsidRPr="0085535D">
        <w:rPr>
          <w:rFonts w:ascii="Times New Roman" w:hAnsi="Times New Roman" w:cs="Times New Roman"/>
          <w:sz w:val="24"/>
          <w:szCs w:val="24"/>
        </w:rPr>
        <w:t xml:space="preserve"> [5–7].</w:t>
      </w:r>
    </w:p>
    <w:p w14:paraId="5A4A9EEF"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The present review critically examines reported LC–MS/MS bioanalytical methods for the quantification of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in human plasma, with a specific focus on method validation parameters as defined by USFDA and ICH M10 guidelines. Emphasis is placed on comparative evaluation of methodological approaches, identification of non-compliance issues, and discussion of emerging regulatory expectations. The review aims to serve as a comprehensive reference for analysts, researchers, and regulatory professionals engaged in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bioanalysis and related pharmaceutical applications.</w:t>
      </w:r>
    </w:p>
    <w:p w14:paraId="7BC022A5" w14:textId="77777777" w:rsidR="00586838" w:rsidRPr="0085535D" w:rsidRDefault="00586838" w:rsidP="00413350">
      <w:pPr>
        <w:spacing w:before="240" w:after="0" w:line="360" w:lineRule="auto"/>
        <w:jc w:val="both"/>
        <w:outlineLvl w:val="1"/>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t>2. OVERVIEW OF BIOANALYTICAL METHOD VALIDATION GUIDELINES</w:t>
      </w:r>
    </w:p>
    <w:p w14:paraId="14FDFC65" w14:textId="77777777" w:rsidR="00586838" w:rsidRPr="0085535D" w:rsidRDefault="00586838" w:rsidP="00413350">
      <w:pPr>
        <w:spacing w:before="240" w:after="0" w:line="360" w:lineRule="auto"/>
        <w:jc w:val="both"/>
        <w:outlineLvl w:val="2"/>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lastRenderedPageBreak/>
        <w:t>2.1 USFDA Bioanalytical Method Validation Guidance</w:t>
      </w:r>
    </w:p>
    <w:p w14:paraId="6EC86A1B"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The USFDA bioanalytical method validation guidance has long served as a cornerstone for regulated bioanalysis, providing a structured framework to ensure the reliability and integrity of quantitative data generated from biological samples. The primary objective of this guidance is to establish scientifically sound and reproducible methods capable of producing accurate and precise results across multiple analytical runs and study phases.</w:t>
      </w:r>
      <w:r w:rsidR="0085535D" w:rsidRPr="0085535D">
        <w:rPr>
          <w:rFonts w:ascii="Times New Roman" w:hAnsi="Times New Roman" w:cs="Times New Roman"/>
          <w:sz w:val="24"/>
          <w:szCs w:val="24"/>
        </w:rPr>
        <w:t xml:space="preserve"> [3,4].</w:t>
      </w:r>
    </w:p>
    <w:p w14:paraId="199B8F96"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According to the USFDA, a bioanalytical method must be validated for parameters including selectivity, sensitivity, linearity, accuracy, precision, recovery, matrix effect, stability, carryover, and dilution integrity. These parameters collectively ensure that the method can accurately quantify the analyte of interest without interference from endogenous matrix components, metabolites, or co-administered drugs. For LC–MS/MS methods, particular emphasis is placed on matrix effect evaluation due to the susceptibility of electrospray ionization to ion suppression or enhancement caused by co-eluting endogenous substances.</w:t>
      </w:r>
    </w:p>
    <w:p w14:paraId="7FE0380B"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In addition to full validation, the USFDA also recognizes partial validation and cross-validation, especially when analytical methods undergo modification or are transferred between laboratories. This flexibility is crucial in bioequivalence studies where minor changes in instrumentation or analytical conditions may be unavoidable. However, the guidance mandates thorough documentation and justification for any such changes to maintain regulatory confidence in the generated data.</w:t>
      </w:r>
    </w:p>
    <w:p w14:paraId="57D2F3EF"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Despite the clarity of USFDA requirements, several published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bioanalytical methods demonstrate incomplete validation, particularly with respect to stability studies and matrix effect assessment. Such omissions can compromise the regulatory acceptability of the method, even if analytical performance appears satisfactory.</w:t>
      </w:r>
    </w:p>
    <w:p w14:paraId="52E4EDEA" w14:textId="77777777" w:rsidR="00586838" w:rsidRPr="0085535D" w:rsidRDefault="00586838" w:rsidP="00413350">
      <w:pPr>
        <w:spacing w:before="240" w:after="0" w:line="360" w:lineRule="auto"/>
        <w:jc w:val="both"/>
        <w:outlineLvl w:val="2"/>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t>2.2 ICH M10 Guideline: Harmonization of Bioanalytical Validation</w:t>
      </w:r>
    </w:p>
    <w:p w14:paraId="33881EE6"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The ICH M10 guideline represents a significant milestone in the harmonization of bioanalytical method validation requirements across major regulatory agencies, including the USFDA, EMA, PMDA, and other global authorities. Introduced to address inconsistencies among regional </w:t>
      </w:r>
      <w:r w:rsidRPr="0085535D">
        <w:rPr>
          <w:rFonts w:ascii="Times New Roman" w:eastAsia="Times New Roman" w:hAnsi="Times New Roman" w:cs="Times New Roman"/>
          <w:sz w:val="24"/>
          <w:szCs w:val="24"/>
        </w:rPr>
        <w:lastRenderedPageBreak/>
        <w:t>guidelines, ICH M10 provides a unified framework that enhances clarity, consistency, and regulatory predictability.</w:t>
      </w:r>
    </w:p>
    <w:p w14:paraId="08161ED2"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ICH M10 builds upon existing validation principles while introducing more explicit expectations regarding incurred sample reanalysis (ISR), reproducibility across studies, and lifecycle management of bioanalytical methods. The guideline emphasizes that method validation is not a one-time activity but a continuous process that extends throughout the lifecycle of a drug development program. This perspective is particularly relevant for antidepressants like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which may be subject to formulation changes, generic development, and post-marketing studies.</w:t>
      </w:r>
    </w:p>
    <w:p w14:paraId="53A919C8"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One of the key distinctions of ICH M10 is its strengthened focus on matrix effects, stability under various storage and processing conditions, and transparent reporting of validation data. The guideline also reinforces the importance of using appropriate internal standards, preferably stable isotope-labeled analogs, to compensate for variability arising from sample preparation and ionization processes.</w:t>
      </w:r>
    </w:p>
    <w:p w14:paraId="194EF00A"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When evaluated against ICH M10 expectations, several existing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LC–MS/MS methods reveal deficiencies, such as inadequate ISR evaluation or insufficient documentation of long-term stability. These gaps highlight the need for critical reviews that not only summarize analytical techniques but also assess their regulatory robustness.</w:t>
      </w:r>
    </w:p>
    <w:p w14:paraId="045B7612" w14:textId="77777777" w:rsidR="00586838" w:rsidRPr="0085535D" w:rsidRDefault="00586838" w:rsidP="00413350">
      <w:pPr>
        <w:spacing w:before="240" w:after="0" w:line="360" w:lineRule="auto"/>
        <w:jc w:val="both"/>
        <w:outlineLvl w:val="1"/>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t xml:space="preserve">3. LC–MS/MS CONSIDERATIONS RELEVANT TO </w:t>
      </w:r>
      <w:r w:rsidR="006A784A">
        <w:rPr>
          <w:rFonts w:ascii="Times New Roman" w:eastAsia="Times New Roman" w:hAnsi="Times New Roman" w:cs="Times New Roman"/>
          <w:b/>
          <w:bCs/>
          <w:sz w:val="24"/>
          <w:szCs w:val="24"/>
        </w:rPr>
        <w:t>TZD</w:t>
      </w:r>
      <w:r w:rsidRPr="0085535D">
        <w:rPr>
          <w:rFonts w:ascii="Times New Roman" w:eastAsia="Times New Roman" w:hAnsi="Times New Roman" w:cs="Times New Roman"/>
          <w:b/>
          <w:bCs/>
          <w:sz w:val="24"/>
          <w:szCs w:val="24"/>
        </w:rPr>
        <w:t xml:space="preserve"> BIOANALYSIS</w:t>
      </w:r>
    </w:p>
    <w:p w14:paraId="43CD3A20" w14:textId="77777777" w:rsidR="00586838" w:rsidRPr="0085535D" w:rsidRDefault="006A784A" w:rsidP="0041335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TZD</w:t>
      </w:r>
      <w:r w:rsidR="00586838" w:rsidRPr="0085535D">
        <w:rPr>
          <w:rFonts w:ascii="Times New Roman" w:eastAsia="Times New Roman" w:hAnsi="Times New Roman" w:cs="Times New Roman"/>
          <w:sz w:val="24"/>
          <w:szCs w:val="24"/>
        </w:rPr>
        <w:t xml:space="preserve"> possesses physicochemical properties that make it well-suited for LC–MS/MS analysis, particularly under positive electrospray ionization conditions. Its molecular structure allows efficient protonation, resulting in stable precursor ions suitable for multiple reaction monitoring (MRM). However, the presence of structurally related metabolites and endogenous plasma components necessitates careful optimization of chromatographic separation and mass spectrometric parameters.</w:t>
      </w:r>
    </w:p>
    <w:p w14:paraId="333BB032"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In LC–MS/MS bioanalysis, the selection of appropriate MRM transitions is critical to achieving high selectivity and sensitivity. For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reported methods commonly utilize transitions that provide strong signal intensity and minimal interference. Nonetheless, differences in collision </w:t>
      </w:r>
      <w:r w:rsidRPr="0085535D">
        <w:rPr>
          <w:rFonts w:ascii="Times New Roman" w:eastAsia="Times New Roman" w:hAnsi="Times New Roman" w:cs="Times New Roman"/>
          <w:sz w:val="24"/>
          <w:szCs w:val="24"/>
        </w:rPr>
        <w:lastRenderedPageBreak/>
        <w:t>energy, source parameters, and dwell times can significantly impact method performance, underscoring the importance of systematic optimization.</w:t>
      </w:r>
    </w:p>
    <w:p w14:paraId="13E34E73"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Internal standard selection is another crucial factor influencing analytical reliability. Deuterated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analogs are considered ideal due to their close physicochemical similarity, which ensures consistent extraction efficiency and ionization behavior. However, several published methods employ non-deuterated analogs, which may inadequately compensate for matrix effects, particularly in complex plasma samples.</w:t>
      </w:r>
      <w:r w:rsidR="0085535D" w:rsidRPr="0085535D">
        <w:rPr>
          <w:rFonts w:ascii="Times New Roman" w:eastAsia="Times New Roman" w:hAnsi="Times New Roman" w:cs="Times New Roman"/>
          <w:sz w:val="24"/>
          <w:szCs w:val="24"/>
        </w:rPr>
        <w:t xml:space="preserve"> </w:t>
      </w:r>
      <w:r w:rsidR="0085535D" w:rsidRPr="0085535D">
        <w:rPr>
          <w:rFonts w:ascii="Times New Roman" w:hAnsi="Times New Roman" w:cs="Times New Roman"/>
          <w:sz w:val="24"/>
          <w:szCs w:val="24"/>
        </w:rPr>
        <w:t>[8,11].</w:t>
      </w:r>
    </w:p>
    <w:p w14:paraId="124554EB"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Sample preparation strategies, including protein precipitation, liquid–liquid extraction, and solid-phase extraction, further influence method robustness. While protein precipitation offers simplicity and speed, it may result in higher matrix effects compared to more selective extraction techniques. The choice of sample preparation must therefore balance analytical performance, throughput, and regulatory acceptability.</w:t>
      </w:r>
    </w:p>
    <w:p w14:paraId="08D76542" w14:textId="77777777" w:rsidR="00586838" w:rsidRPr="0085535D" w:rsidRDefault="00586838" w:rsidP="00413350">
      <w:pPr>
        <w:pStyle w:val="Heading2"/>
        <w:spacing w:before="240" w:beforeAutospacing="0" w:after="0" w:afterAutospacing="0" w:line="360" w:lineRule="auto"/>
        <w:jc w:val="both"/>
        <w:rPr>
          <w:sz w:val="24"/>
          <w:szCs w:val="24"/>
        </w:rPr>
      </w:pPr>
      <w:r w:rsidRPr="0085535D">
        <w:rPr>
          <w:rStyle w:val="Strong"/>
          <w:b/>
          <w:bCs/>
          <w:sz w:val="24"/>
          <w:szCs w:val="24"/>
        </w:rPr>
        <w:t xml:space="preserve">4. COMPARATIVE REVIEW OF REPORTED LC–MS/MS METHODS FOR </w:t>
      </w:r>
      <w:r w:rsidR="006A784A">
        <w:rPr>
          <w:rStyle w:val="Strong"/>
          <w:b/>
          <w:bCs/>
          <w:sz w:val="24"/>
          <w:szCs w:val="24"/>
        </w:rPr>
        <w:t>TZD</w:t>
      </w:r>
    </w:p>
    <w:p w14:paraId="4A545D0F" w14:textId="77777777" w:rsidR="00586838" w:rsidRPr="0085535D" w:rsidRDefault="00586838" w:rsidP="00413350">
      <w:pPr>
        <w:pStyle w:val="NormalWeb"/>
        <w:spacing w:before="240" w:beforeAutospacing="0" w:after="0" w:afterAutospacing="0" w:line="360" w:lineRule="auto"/>
        <w:jc w:val="both"/>
      </w:pPr>
      <w:r w:rsidRPr="0085535D">
        <w:t xml:space="preserve">The development of LC–MS/MS methods for the quantification of </w:t>
      </w:r>
      <w:r w:rsidR="006A784A">
        <w:t>TZD</w:t>
      </w:r>
      <w:r w:rsidRPr="0085535D">
        <w:t xml:space="preserve"> in human plasma has progressed considerably over the past two decades, largely driven by the increasing demand for sensitive and selective analytical techniques suitable for pharmacokinetic and bioequivalence studies. Several research groups have reported bioanalytical methods employing LC–MS/MS; however, substantial methodological diversity exists with respect to sample preparation, chromatographic conditions, internal standard selection, and validation rigor.</w:t>
      </w:r>
    </w:p>
    <w:p w14:paraId="2182D840" w14:textId="3B0DA7AA" w:rsidR="00586838" w:rsidRPr="0085535D" w:rsidRDefault="00586838" w:rsidP="00413350">
      <w:pPr>
        <w:pStyle w:val="NormalWeb"/>
        <w:spacing w:before="240" w:beforeAutospacing="0" w:after="0" w:afterAutospacing="0" w:line="360" w:lineRule="auto"/>
        <w:jc w:val="both"/>
      </w:pPr>
      <w:r w:rsidRPr="0085535D">
        <w:t xml:space="preserve">Most reported methods </w:t>
      </w:r>
      <w:proofErr w:type="spellStart"/>
      <w:r w:rsidRPr="0085535D">
        <w:t>utili</w:t>
      </w:r>
      <w:r w:rsidR="00432D82">
        <w:t>s</w:t>
      </w:r>
      <w:r w:rsidRPr="0085535D">
        <w:t>e</w:t>
      </w:r>
      <w:proofErr w:type="spellEnd"/>
      <w:r w:rsidRPr="0085535D">
        <w:t xml:space="preserve"> reversed-phase chromatographic columns, predominantly C18 stationary phases, reflecting the moderate lipophilicity of </w:t>
      </w:r>
      <w:r w:rsidR="006A784A">
        <w:t>TZD</w:t>
      </w:r>
      <w:r w:rsidRPr="0085535D">
        <w:t xml:space="preserve"> and its favorable retention behavior under such conditions. Mobile phase compositions typically consist of combinations of acetonitrile or methanol with volatile buffers or additives such as formic acid or ammonium acetate to enhance ionization efficiency in positive electrospray ionization mode. While shorter run times have been achieved in more recent studies, often below five minutes, early methods were characterized by longer chromatographic runs, limiting sample throughput.</w:t>
      </w:r>
    </w:p>
    <w:p w14:paraId="33AED3E3" w14:textId="77777777" w:rsidR="00586838" w:rsidRPr="0085535D" w:rsidRDefault="00586838" w:rsidP="00413350">
      <w:pPr>
        <w:pStyle w:val="NormalWeb"/>
        <w:spacing w:before="240" w:beforeAutospacing="0" w:after="0" w:afterAutospacing="0" w:line="360" w:lineRule="auto"/>
        <w:jc w:val="both"/>
      </w:pPr>
      <w:r w:rsidRPr="0085535D">
        <w:t xml:space="preserve">Sample preparation techniques reported for </w:t>
      </w:r>
      <w:r w:rsidR="006A784A">
        <w:t>TZD</w:t>
      </w:r>
      <w:r w:rsidRPr="0085535D">
        <w:t xml:space="preserve"> bioanalysis range from simple protein precipitation to more selective liquid–liquid extraction and solid-phase extraction approaches. </w:t>
      </w:r>
      <w:r w:rsidRPr="0085535D">
        <w:lastRenderedPageBreak/>
        <w:t>Protein precipitation using acetonitrile or methanol remains the most commonly employed technique due to its operational simplicity and cost-effectiveness. However, methods relying solely on protein precipitation often exhibit higher susceptibility to matrix effects, which may compromise quantitative accuracy if not adequately evaluated and controlled.</w:t>
      </w:r>
    </w:p>
    <w:p w14:paraId="55036DA0" w14:textId="77777777" w:rsidR="00586838" w:rsidRPr="0085535D" w:rsidRDefault="00586838" w:rsidP="00413350">
      <w:pPr>
        <w:pStyle w:val="NormalWeb"/>
        <w:spacing w:before="240" w:beforeAutospacing="0" w:after="0" w:afterAutospacing="0" w:line="360" w:lineRule="auto"/>
        <w:jc w:val="both"/>
      </w:pPr>
      <w:r w:rsidRPr="0085535D">
        <w:t xml:space="preserve">Internal standard selection varies considerably among published methods. Although stable isotope-labeled </w:t>
      </w:r>
      <w:r w:rsidR="006A784A">
        <w:t>TZD</w:t>
      </w:r>
      <w:r w:rsidRPr="0085535D">
        <w:t xml:space="preserve"> analogs offer superior correction for extraction variability and matrix effects, several studies continue to employ structurally unrelated compounds as internal standards. This practice, while sometimes justified by availability or cost considerations, raises concerns regarding regulatory robustness, particularly under the more stringent expectations outlined in ICH M10.</w:t>
      </w:r>
    </w:p>
    <w:p w14:paraId="7F917BDF"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 xml:space="preserve">Table 1. Comparison of Reported LC–MS/MS Bioanalytical Methods for </w:t>
      </w:r>
      <w:r w:rsidR="006A784A">
        <w:rPr>
          <w:rStyle w:val="Strong"/>
          <w:b/>
          <w:bCs/>
          <w:sz w:val="24"/>
          <w:szCs w:val="24"/>
        </w:rPr>
        <w:t>TZD</w:t>
      </w:r>
      <w:r w:rsidRPr="0085535D">
        <w:rPr>
          <w:rStyle w:val="Strong"/>
          <w:b/>
          <w:bCs/>
          <w:sz w:val="24"/>
          <w:szCs w:val="24"/>
        </w:rPr>
        <w:t xml:space="preserve"> in Human Plasma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0"/>
        <w:gridCol w:w="1660"/>
        <w:gridCol w:w="1977"/>
        <w:gridCol w:w="1770"/>
        <w:gridCol w:w="1793"/>
      </w:tblGrid>
      <w:tr w:rsidR="00586838" w:rsidRPr="0085535D" w14:paraId="6DA49278" w14:textId="77777777" w:rsidTr="00396F9D">
        <w:trPr>
          <w:tblHeader/>
          <w:tblCellSpacing w:w="15" w:type="dxa"/>
          <w:jc w:val="center"/>
        </w:trPr>
        <w:tc>
          <w:tcPr>
            <w:tcW w:w="0" w:type="auto"/>
            <w:vAlign w:val="center"/>
            <w:hideMark/>
          </w:tcPr>
          <w:p w14:paraId="0B4A17AC"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Parameter</w:t>
            </w:r>
          </w:p>
        </w:tc>
        <w:tc>
          <w:tcPr>
            <w:tcW w:w="0" w:type="auto"/>
            <w:vAlign w:val="center"/>
            <w:hideMark/>
          </w:tcPr>
          <w:p w14:paraId="347AC620"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Method A</w:t>
            </w:r>
          </w:p>
        </w:tc>
        <w:tc>
          <w:tcPr>
            <w:tcW w:w="0" w:type="auto"/>
            <w:vAlign w:val="center"/>
            <w:hideMark/>
          </w:tcPr>
          <w:p w14:paraId="650F8CA5"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Method B</w:t>
            </w:r>
          </w:p>
        </w:tc>
        <w:tc>
          <w:tcPr>
            <w:tcW w:w="0" w:type="auto"/>
            <w:vAlign w:val="center"/>
            <w:hideMark/>
          </w:tcPr>
          <w:p w14:paraId="209379AC"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Method C</w:t>
            </w:r>
          </w:p>
        </w:tc>
        <w:tc>
          <w:tcPr>
            <w:tcW w:w="0" w:type="auto"/>
            <w:vAlign w:val="center"/>
            <w:hideMark/>
          </w:tcPr>
          <w:p w14:paraId="54AF8C42"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Method D</w:t>
            </w:r>
          </w:p>
        </w:tc>
      </w:tr>
      <w:tr w:rsidR="00586838" w:rsidRPr="0085535D" w14:paraId="75834E84" w14:textId="77777777" w:rsidTr="00396F9D">
        <w:trPr>
          <w:tblCellSpacing w:w="15" w:type="dxa"/>
          <w:jc w:val="center"/>
        </w:trPr>
        <w:tc>
          <w:tcPr>
            <w:tcW w:w="0" w:type="auto"/>
            <w:vAlign w:val="center"/>
            <w:hideMark/>
          </w:tcPr>
          <w:p w14:paraId="5D940545"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Biological matrix</w:t>
            </w:r>
          </w:p>
        </w:tc>
        <w:tc>
          <w:tcPr>
            <w:tcW w:w="0" w:type="auto"/>
            <w:vAlign w:val="center"/>
            <w:hideMark/>
          </w:tcPr>
          <w:p w14:paraId="129B15B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Human plasma</w:t>
            </w:r>
          </w:p>
        </w:tc>
        <w:tc>
          <w:tcPr>
            <w:tcW w:w="0" w:type="auto"/>
            <w:vAlign w:val="center"/>
            <w:hideMark/>
          </w:tcPr>
          <w:p w14:paraId="629BD0CF"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Human plasma</w:t>
            </w:r>
          </w:p>
        </w:tc>
        <w:tc>
          <w:tcPr>
            <w:tcW w:w="0" w:type="auto"/>
            <w:vAlign w:val="center"/>
            <w:hideMark/>
          </w:tcPr>
          <w:p w14:paraId="0EA6872B"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Human plasma</w:t>
            </w:r>
          </w:p>
        </w:tc>
        <w:tc>
          <w:tcPr>
            <w:tcW w:w="0" w:type="auto"/>
            <w:vAlign w:val="center"/>
            <w:hideMark/>
          </w:tcPr>
          <w:p w14:paraId="259C3AAA"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Human plasma</w:t>
            </w:r>
          </w:p>
        </w:tc>
      </w:tr>
      <w:tr w:rsidR="00586838" w:rsidRPr="0085535D" w14:paraId="07BA149E" w14:textId="77777777" w:rsidTr="00396F9D">
        <w:trPr>
          <w:tblCellSpacing w:w="15" w:type="dxa"/>
          <w:jc w:val="center"/>
        </w:trPr>
        <w:tc>
          <w:tcPr>
            <w:tcW w:w="0" w:type="auto"/>
            <w:vAlign w:val="center"/>
            <w:hideMark/>
          </w:tcPr>
          <w:p w14:paraId="49681816"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Sample preparation</w:t>
            </w:r>
          </w:p>
        </w:tc>
        <w:tc>
          <w:tcPr>
            <w:tcW w:w="0" w:type="auto"/>
            <w:vAlign w:val="center"/>
            <w:hideMark/>
          </w:tcPr>
          <w:p w14:paraId="3970E0AE"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Protein precipitation</w:t>
            </w:r>
          </w:p>
        </w:tc>
        <w:tc>
          <w:tcPr>
            <w:tcW w:w="0" w:type="auto"/>
            <w:vAlign w:val="center"/>
            <w:hideMark/>
          </w:tcPr>
          <w:p w14:paraId="3A684123"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Liquid–liquid extraction</w:t>
            </w:r>
          </w:p>
        </w:tc>
        <w:tc>
          <w:tcPr>
            <w:tcW w:w="0" w:type="auto"/>
            <w:vAlign w:val="center"/>
            <w:hideMark/>
          </w:tcPr>
          <w:p w14:paraId="4C97B1F5"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Protein precipitation</w:t>
            </w:r>
          </w:p>
        </w:tc>
        <w:tc>
          <w:tcPr>
            <w:tcW w:w="0" w:type="auto"/>
            <w:vAlign w:val="center"/>
            <w:hideMark/>
          </w:tcPr>
          <w:p w14:paraId="7292E076"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Solid-phase extraction</w:t>
            </w:r>
          </w:p>
        </w:tc>
      </w:tr>
      <w:tr w:rsidR="00586838" w:rsidRPr="0085535D" w14:paraId="21FCEF58" w14:textId="77777777" w:rsidTr="00396F9D">
        <w:trPr>
          <w:tblCellSpacing w:w="15" w:type="dxa"/>
          <w:jc w:val="center"/>
        </w:trPr>
        <w:tc>
          <w:tcPr>
            <w:tcW w:w="0" w:type="auto"/>
            <w:vAlign w:val="center"/>
            <w:hideMark/>
          </w:tcPr>
          <w:p w14:paraId="08B5ADB8"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Internal standard</w:t>
            </w:r>
          </w:p>
        </w:tc>
        <w:tc>
          <w:tcPr>
            <w:tcW w:w="0" w:type="auto"/>
            <w:vAlign w:val="center"/>
            <w:hideMark/>
          </w:tcPr>
          <w:p w14:paraId="3CD627C9"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Structural analog</w:t>
            </w:r>
          </w:p>
        </w:tc>
        <w:tc>
          <w:tcPr>
            <w:tcW w:w="0" w:type="auto"/>
            <w:vAlign w:val="center"/>
            <w:hideMark/>
          </w:tcPr>
          <w:p w14:paraId="7EC12FD8"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Deuterated IS</w:t>
            </w:r>
          </w:p>
        </w:tc>
        <w:tc>
          <w:tcPr>
            <w:tcW w:w="0" w:type="auto"/>
            <w:vAlign w:val="center"/>
            <w:hideMark/>
          </w:tcPr>
          <w:p w14:paraId="54556BE7"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Non-deuterated analog</w:t>
            </w:r>
          </w:p>
        </w:tc>
        <w:tc>
          <w:tcPr>
            <w:tcW w:w="0" w:type="auto"/>
            <w:vAlign w:val="center"/>
            <w:hideMark/>
          </w:tcPr>
          <w:p w14:paraId="6C194F1D"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Deuterated IS</w:t>
            </w:r>
          </w:p>
        </w:tc>
      </w:tr>
      <w:tr w:rsidR="00586838" w:rsidRPr="0085535D" w14:paraId="148B433E" w14:textId="77777777" w:rsidTr="00396F9D">
        <w:trPr>
          <w:tblCellSpacing w:w="15" w:type="dxa"/>
          <w:jc w:val="center"/>
        </w:trPr>
        <w:tc>
          <w:tcPr>
            <w:tcW w:w="0" w:type="auto"/>
            <w:vAlign w:val="center"/>
            <w:hideMark/>
          </w:tcPr>
          <w:p w14:paraId="7F76B458"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Column type</w:t>
            </w:r>
          </w:p>
        </w:tc>
        <w:tc>
          <w:tcPr>
            <w:tcW w:w="0" w:type="auto"/>
            <w:vAlign w:val="center"/>
            <w:hideMark/>
          </w:tcPr>
          <w:p w14:paraId="07F188B6"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C18</w:t>
            </w:r>
          </w:p>
        </w:tc>
        <w:tc>
          <w:tcPr>
            <w:tcW w:w="0" w:type="auto"/>
            <w:vAlign w:val="center"/>
            <w:hideMark/>
          </w:tcPr>
          <w:p w14:paraId="5816617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C18</w:t>
            </w:r>
          </w:p>
        </w:tc>
        <w:tc>
          <w:tcPr>
            <w:tcW w:w="0" w:type="auto"/>
            <w:vAlign w:val="center"/>
            <w:hideMark/>
          </w:tcPr>
          <w:p w14:paraId="6DA51626"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C18</w:t>
            </w:r>
          </w:p>
        </w:tc>
        <w:tc>
          <w:tcPr>
            <w:tcW w:w="0" w:type="auto"/>
            <w:vAlign w:val="center"/>
            <w:hideMark/>
          </w:tcPr>
          <w:p w14:paraId="714F916F"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C18</w:t>
            </w:r>
          </w:p>
        </w:tc>
      </w:tr>
      <w:tr w:rsidR="00586838" w:rsidRPr="0085535D" w14:paraId="3249A601" w14:textId="77777777" w:rsidTr="00396F9D">
        <w:trPr>
          <w:tblCellSpacing w:w="15" w:type="dxa"/>
          <w:jc w:val="center"/>
        </w:trPr>
        <w:tc>
          <w:tcPr>
            <w:tcW w:w="0" w:type="auto"/>
            <w:vAlign w:val="center"/>
            <w:hideMark/>
          </w:tcPr>
          <w:p w14:paraId="3D9F5500"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Mobile phase</w:t>
            </w:r>
          </w:p>
        </w:tc>
        <w:tc>
          <w:tcPr>
            <w:tcW w:w="0" w:type="auto"/>
            <w:vAlign w:val="center"/>
            <w:hideMark/>
          </w:tcPr>
          <w:p w14:paraId="248CB2AD"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ACN + formic acid</w:t>
            </w:r>
          </w:p>
        </w:tc>
        <w:tc>
          <w:tcPr>
            <w:tcW w:w="0" w:type="auto"/>
            <w:vAlign w:val="center"/>
            <w:hideMark/>
          </w:tcPr>
          <w:p w14:paraId="44AF49E0"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MeOH + ammonium acetate</w:t>
            </w:r>
          </w:p>
        </w:tc>
        <w:tc>
          <w:tcPr>
            <w:tcW w:w="0" w:type="auto"/>
            <w:vAlign w:val="center"/>
            <w:hideMark/>
          </w:tcPr>
          <w:p w14:paraId="13B1E49A"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ACN + formic acid</w:t>
            </w:r>
          </w:p>
        </w:tc>
        <w:tc>
          <w:tcPr>
            <w:tcW w:w="0" w:type="auto"/>
            <w:vAlign w:val="center"/>
            <w:hideMark/>
          </w:tcPr>
          <w:p w14:paraId="2A9BB3B3"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ACN + buffer</w:t>
            </w:r>
          </w:p>
        </w:tc>
      </w:tr>
      <w:tr w:rsidR="00586838" w:rsidRPr="0085535D" w14:paraId="5F811C59" w14:textId="77777777" w:rsidTr="00396F9D">
        <w:trPr>
          <w:tblCellSpacing w:w="15" w:type="dxa"/>
          <w:jc w:val="center"/>
        </w:trPr>
        <w:tc>
          <w:tcPr>
            <w:tcW w:w="0" w:type="auto"/>
            <w:vAlign w:val="center"/>
            <w:hideMark/>
          </w:tcPr>
          <w:p w14:paraId="4E72553F"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Ionization mode</w:t>
            </w:r>
          </w:p>
        </w:tc>
        <w:tc>
          <w:tcPr>
            <w:tcW w:w="0" w:type="auto"/>
            <w:vAlign w:val="center"/>
            <w:hideMark/>
          </w:tcPr>
          <w:p w14:paraId="133D2669"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ESI positive</w:t>
            </w:r>
          </w:p>
        </w:tc>
        <w:tc>
          <w:tcPr>
            <w:tcW w:w="0" w:type="auto"/>
            <w:vAlign w:val="center"/>
            <w:hideMark/>
          </w:tcPr>
          <w:p w14:paraId="2BF7396D"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ESI positive</w:t>
            </w:r>
          </w:p>
        </w:tc>
        <w:tc>
          <w:tcPr>
            <w:tcW w:w="0" w:type="auto"/>
            <w:vAlign w:val="center"/>
            <w:hideMark/>
          </w:tcPr>
          <w:p w14:paraId="4662D5AD"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ESI positive</w:t>
            </w:r>
          </w:p>
        </w:tc>
        <w:tc>
          <w:tcPr>
            <w:tcW w:w="0" w:type="auto"/>
            <w:vAlign w:val="center"/>
            <w:hideMark/>
          </w:tcPr>
          <w:p w14:paraId="58AC27D6"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ESI positive</w:t>
            </w:r>
          </w:p>
        </w:tc>
      </w:tr>
      <w:tr w:rsidR="00586838" w:rsidRPr="0085535D" w14:paraId="5E6E18B0" w14:textId="77777777" w:rsidTr="00396F9D">
        <w:trPr>
          <w:tblCellSpacing w:w="15" w:type="dxa"/>
          <w:jc w:val="center"/>
        </w:trPr>
        <w:tc>
          <w:tcPr>
            <w:tcW w:w="0" w:type="auto"/>
            <w:vAlign w:val="center"/>
            <w:hideMark/>
          </w:tcPr>
          <w:p w14:paraId="772979D7"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Run time (min)</w:t>
            </w:r>
          </w:p>
        </w:tc>
        <w:tc>
          <w:tcPr>
            <w:tcW w:w="0" w:type="auto"/>
            <w:vAlign w:val="center"/>
            <w:hideMark/>
          </w:tcPr>
          <w:p w14:paraId="0D342272"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~6.0</w:t>
            </w:r>
          </w:p>
        </w:tc>
        <w:tc>
          <w:tcPr>
            <w:tcW w:w="0" w:type="auto"/>
            <w:vAlign w:val="center"/>
            <w:hideMark/>
          </w:tcPr>
          <w:p w14:paraId="241A3420"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~4.5</w:t>
            </w:r>
          </w:p>
        </w:tc>
        <w:tc>
          <w:tcPr>
            <w:tcW w:w="0" w:type="auto"/>
            <w:vAlign w:val="center"/>
            <w:hideMark/>
          </w:tcPr>
          <w:p w14:paraId="1C4E78C2"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~3.0</w:t>
            </w:r>
          </w:p>
        </w:tc>
        <w:tc>
          <w:tcPr>
            <w:tcW w:w="0" w:type="auto"/>
            <w:vAlign w:val="center"/>
            <w:hideMark/>
          </w:tcPr>
          <w:p w14:paraId="097B68BF"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~5.0</w:t>
            </w:r>
          </w:p>
        </w:tc>
      </w:tr>
      <w:tr w:rsidR="00586838" w:rsidRPr="0085535D" w14:paraId="79DE7358" w14:textId="77777777" w:rsidTr="00396F9D">
        <w:trPr>
          <w:tblCellSpacing w:w="15" w:type="dxa"/>
          <w:jc w:val="center"/>
        </w:trPr>
        <w:tc>
          <w:tcPr>
            <w:tcW w:w="0" w:type="auto"/>
            <w:vAlign w:val="center"/>
            <w:hideMark/>
          </w:tcPr>
          <w:p w14:paraId="40B605B5"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LLOQ</w:t>
            </w:r>
          </w:p>
        </w:tc>
        <w:tc>
          <w:tcPr>
            <w:tcW w:w="0" w:type="auto"/>
            <w:vAlign w:val="center"/>
            <w:hideMark/>
          </w:tcPr>
          <w:p w14:paraId="2205CE9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~1.0 ng/mL</w:t>
            </w:r>
          </w:p>
        </w:tc>
        <w:tc>
          <w:tcPr>
            <w:tcW w:w="0" w:type="auto"/>
            <w:vAlign w:val="center"/>
            <w:hideMark/>
          </w:tcPr>
          <w:p w14:paraId="53D25409"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~0.5 ng/mL</w:t>
            </w:r>
          </w:p>
        </w:tc>
        <w:tc>
          <w:tcPr>
            <w:tcW w:w="0" w:type="auto"/>
            <w:vAlign w:val="center"/>
            <w:hideMark/>
          </w:tcPr>
          <w:p w14:paraId="46EEC26C"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~1.5 ng/mL</w:t>
            </w:r>
          </w:p>
        </w:tc>
        <w:tc>
          <w:tcPr>
            <w:tcW w:w="0" w:type="auto"/>
            <w:vAlign w:val="center"/>
            <w:hideMark/>
          </w:tcPr>
          <w:p w14:paraId="50A58B5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~0.2 ng/mL</w:t>
            </w:r>
          </w:p>
        </w:tc>
      </w:tr>
      <w:tr w:rsidR="00586838" w:rsidRPr="0085535D" w14:paraId="66D3EFDF" w14:textId="77777777" w:rsidTr="00396F9D">
        <w:trPr>
          <w:tblCellSpacing w:w="15" w:type="dxa"/>
          <w:jc w:val="center"/>
        </w:trPr>
        <w:tc>
          <w:tcPr>
            <w:tcW w:w="0" w:type="auto"/>
            <w:vAlign w:val="center"/>
            <w:hideMark/>
          </w:tcPr>
          <w:p w14:paraId="65FBFDC3"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lastRenderedPageBreak/>
              <w:t>Matrix effect evaluated</w:t>
            </w:r>
          </w:p>
        </w:tc>
        <w:tc>
          <w:tcPr>
            <w:tcW w:w="0" w:type="auto"/>
            <w:vAlign w:val="center"/>
            <w:hideMark/>
          </w:tcPr>
          <w:p w14:paraId="0F43195B"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Limited</w:t>
            </w:r>
          </w:p>
        </w:tc>
        <w:tc>
          <w:tcPr>
            <w:tcW w:w="0" w:type="auto"/>
            <w:vAlign w:val="center"/>
            <w:hideMark/>
          </w:tcPr>
          <w:p w14:paraId="1C3060AC"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Yes</w:t>
            </w:r>
          </w:p>
        </w:tc>
        <w:tc>
          <w:tcPr>
            <w:tcW w:w="0" w:type="auto"/>
            <w:vAlign w:val="center"/>
            <w:hideMark/>
          </w:tcPr>
          <w:p w14:paraId="06F96B33"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Not reported</w:t>
            </w:r>
          </w:p>
        </w:tc>
        <w:tc>
          <w:tcPr>
            <w:tcW w:w="0" w:type="auto"/>
            <w:vAlign w:val="center"/>
            <w:hideMark/>
          </w:tcPr>
          <w:p w14:paraId="2992264C"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Yes</w:t>
            </w:r>
          </w:p>
        </w:tc>
      </w:tr>
      <w:tr w:rsidR="00586838" w:rsidRPr="0085535D" w14:paraId="2C0CADD7" w14:textId="77777777" w:rsidTr="00396F9D">
        <w:trPr>
          <w:tblCellSpacing w:w="15" w:type="dxa"/>
          <w:jc w:val="center"/>
        </w:trPr>
        <w:tc>
          <w:tcPr>
            <w:tcW w:w="0" w:type="auto"/>
            <w:vAlign w:val="center"/>
            <w:hideMark/>
          </w:tcPr>
          <w:p w14:paraId="6BA63C0A"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Stability studies</w:t>
            </w:r>
          </w:p>
        </w:tc>
        <w:tc>
          <w:tcPr>
            <w:tcW w:w="0" w:type="auto"/>
            <w:vAlign w:val="center"/>
            <w:hideMark/>
          </w:tcPr>
          <w:p w14:paraId="635A3967"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Partial</w:t>
            </w:r>
          </w:p>
        </w:tc>
        <w:tc>
          <w:tcPr>
            <w:tcW w:w="0" w:type="auto"/>
            <w:vAlign w:val="center"/>
            <w:hideMark/>
          </w:tcPr>
          <w:p w14:paraId="1759024E"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Complete</w:t>
            </w:r>
          </w:p>
        </w:tc>
        <w:tc>
          <w:tcPr>
            <w:tcW w:w="0" w:type="auto"/>
            <w:vAlign w:val="center"/>
            <w:hideMark/>
          </w:tcPr>
          <w:p w14:paraId="4CBA34AA"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Partial</w:t>
            </w:r>
          </w:p>
        </w:tc>
        <w:tc>
          <w:tcPr>
            <w:tcW w:w="0" w:type="auto"/>
            <w:vAlign w:val="center"/>
            <w:hideMark/>
          </w:tcPr>
          <w:p w14:paraId="1E833ECB"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Complete</w:t>
            </w:r>
          </w:p>
        </w:tc>
      </w:tr>
      <w:tr w:rsidR="00586838" w:rsidRPr="0085535D" w14:paraId="4C3CCC93" w14:textId="77777777" w:rsidTr="00396F9D">
        <w:trPr>
          <w:tblCellSpacing w:w="15" w:type="dxa"/>
          <w:jc w:val="center"/>
        </w:trPr>
        <w:tc>
          <w:tcPr>
            <w:tcW w:w="0" w:type="auto"/>
            <w:vAlign w:val="center"/>
            <w:hideMark/>
          </w:tcPr>
          <w:p w14:paraId="7D75DE8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Regulatory compliance claimed</w:t>
            </w:r>
          </w:p>
        </w:tc>
        <w:tc>
          <w:tcPr>
            <w:tcW w:w="0" w:type="auto"/>
            <w:vAlign w:val="center"/>
            <w:hideMark/>
          </w:tcPr>
          <w:p w14:paraId="2DE5ED0E"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USFDA</w:t>
            </w:r>
          </w:p>
        </w:tc>
        <w:tc>
          <w:tcPr>
            <w:tcW w:w="0" w:type="auto"/>
            <w:vAlign w:val="center"/>
            <w:hideMark/>
          </w:tcPr>
          <w:p w14:paraId="68C40508"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USFDA</w:t>
            </w:r>
          </w:p>
        </w:tc>
        <w:tc>
          <w:tcPr>
            <w:tcW w:w="0" w:type="auto"/>
            <w:vAlign w:val="center"/>
            <w:hideMark/>
          </w:tcPr>
          <w:p w14:paraId="4301E0AB"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Not specified</w:t>
            </w:r>
          </w:p>
        </w:tc>
        <w:tc>
          <w:tcPr>
            <w:tcW w:w="0" w:type="auto"/>
            <w:vAlign w:val="center"/>
            <w:hideMark/>
          </w:tcPr>
          <w:p w14:paraId="3A14D504"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USFDA/ICH</w:t>
            </w:r>
          </w:p>
        </w:tc>
      </w:tr>
    </w:tbl>
    <w:p w14:paraId="5381003D" w14:textId="77777777" w:rsidR="00413350" w:rsidRPr="0085535D" w:rsidRDefault="00413350" w:rsidP="00413350">
      <w:pPr>
        <w:pStyle w:val="NormalWeb"/>
        <w:spacing w:before="240" w:beforeAutospacing="0" w:after="0" w:afterAutospacing="0" w:line="360" w:lineRule="auto"/>
        <w:jc w:val="both"/>
      </w:pPr>
      <w:r w:rsidRPr="0085535D">
        <w:t xml:space="preserve">Sensitivity, expressed as the lower limit of quantification (LLOQ), has improved markedly with advances in mass spectrometric instrumentation. Reported LLOQ values generally fall within the low nanogram per milliliter range, which is sufficient to support pharmacokinetic profiling of </w:t>
      </w:r>
      <w:r>
        <w:t>TZD</w:t>
      </w:r>
      <w:r w:rsidRPr="0085535D">
        <w:t xml:space="preserve"> following therapeutic dosing. Nevertheless, differences in calibration range selection and justification are evident across studies, underscoring the need for harmonized validation practices. [12–18]</w:t>
      </w:r>
    </w:p>
    <w:p w14:paraId="16F30006"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4.1 Critical Interpretation of Comparative Data</w:t>
      </w:r>
    </w:p>
    <w:p w14:paraId="0354B42F" w14:textId="77777777" w:rsidR="00586838" w:rsidRPr="0085535D" w:rsidRDefault="00586838" w:rsidP="00413350">
      <w:pPr>
        <w:pStyle w:val="NormalWeb"/>
        <w:spacing w:before="240" w:beforeAutospacing="0" w:after="0" w:afterAutospacing="0" w:line="360" w:lineRule="auto"/>
        <w:jc w:val="both"/>
      </w:pPr>
      <w:r w:rsidRPr="0085535D">
        <w:t xml:space="preserve">A critical examination of the reported methods reveals that while most studies successfully achieve adequate sensitivity and selectivity for </w:t>
      </w:r>
      <w:r w:rsidR="006A784A">
        <w:t>TZD</w:t>
      </w:r>
      <w:r w:rsidRPr="0085535D">
        <w:t xml:space="preserve"> quantification, compliance with regulatory validation requirements is inconsistent. Methods employing deuterated internal standards generally demonstrate superior control over matrix effects and improved reproducibility, aligning more closely with both USFDA and ICH M10 expectations. In contrast, methods relying on non-isotopic internal standards may underestimate variability introduced during sample preparation and ionization, particularly when protein precipitation is used.</w:t>
      </w:r>
    </w:p>
    <w:p w14:paraId="639125EB" w14:textId="77777777" w:rsidR="00586838" w:rsidRPr="0085535D" w:rsidRDefault="00586838" w:rsidP="00413350">
      <w:pPr>
        <w:pStyle w:val="NormalWeb"/>
        <w:spacing w:before="240" w:beforeAutospacing="0" w:after="0" w:afterAutospacing="0" w:line="360" w:lineRule="auto"/>
        <w:jc w:val="both"/>
      </w:pPr>
      <w:r w:rsidRPr="0085535D">
        <w:t xml:space="preserve">Matrix effect evaluation, a parameter of growing regulatory importance, is either insufficiently described or entirely absent in several publications. Given the well-documented susceptibility of LC–MS/MS assays to ion suppression or enhancement, such omissions represent a significant limitation in the regulatory applicability of these methods. Similarly, stability studies are frequently restricted to short-term or bench-top conditions, with limited assessment of long-term </w:t>
      </w:r>
      <w:r w:rsidRPr="0085535D">
        <w:lastRenderedPageBreak/>
        <w:t>frozen stability or autosampler stability, despite their relevance to real-world bioanalytical workflows.</w:t>
      </w:r>
    </w:p>
    <w:p w14:paraId="5268A714" w14:textId="77777777" w:rsidR="00586838" w:rsidRPr="0085535D" w:rsidRDefault="00586838" w:rsidP="00413350">
      <w:pPr>
        <w:pStyle w:val="NormalWeb"/>
        <w:spacing w:before="240" w:beforeAutospacing="0" w:after="0" w:afterAutospacing="0" w:line="360" w:lineRule="auto"/>
        <w:jc w:val="both"/>
      </w:pPr>
      <w:r w:rsidRPr="0085535D">
        <w:t>Another notable observation is the frequent lack of explicit alignment with harmonized guidelines such as ICH M10. While many authors claim compliance with USFDA guidance, few address newer regulatory expectations, including incurred sample reanalysis or lifecycle management of bioanalytical methods. This gap underscores the need for updated reviews that contextualize existing methods within the current regulatory landscape.</w:t>
      </w:r>
    </w:p>
    <w:p w14:paraId="13DE7AAB" w14:textId="77777777" w:rsidR="00586838" w:rsidRPr="0085535D" w:rsidRDefault="00586838" w:rsidP="00413350">
      <w:pPr>
        <w:pStyle w:val="NormalWeb"/>
        <w:spacing w:before="240" w:beforeAutospacing="0" w:after="0" w:afterAutospacing="0" w:line="360" w:lineRule="auto"/>
        <w:jc w:val="both"/>
      </w:pPr>
      <w:r w:rsidRPr="0085535D">
        <w:t xml:space="preserve">Overall, the comparative analysis highlights that although technically sound LC–MS/MS methods for </w:t>
      </w:r>
      <w:r w:rsidR="006A784A">
        <w:t>TZD</w:t>
      </w:r>
      <w:r w:rsidRPr="0085535D">
        <w:t xml:space="preserve"> are available, their regulatory robustness varies considerably. These findings emphasize the importance of adopting harmonized validation practices and transparent reporting to ensure that bioanalytical data generated using such methods are acceptable for global regulatory submissions.</w:t>
      </w:r>
    </w:p>
    <w:p w14:paraId="5914A1C6" w14:textId="77777777" w:rsidR="00586838" w:rsidRPr="0085535D" w:rsidRDefault="00586838" w:rsidP="00413350">
      <w:pPr>
        <w:pStyle w:val="Heading2"/>
        <w:spacing w:before="240" w:beforeAutospacing="0" w:after="0" w:afterAutospacing="0" w:line="360" w:lineRule="auto"/>
        <w:jc w:val="both"/>
        <w:rPr>
          <w:sz w:val="24"/>
          <w:szCs w:val="24"/>
        </w:rPr>
      </w:pPr>
      <w:r w:rsidRPr="0085535D">
        <w:rPr>
          <w:rStyle w:val="Strong"/>
          <w:b/>
          <w:bCs/>
          <w:sz w:val="24"/>
          <w:szCs w:val="24"/>
        </w:rPr>
        <w:t>5. CRITICAL EVALUATION OF BIOANALYTICAL METHOD VALIDATION PARAMETERS</w:t>
      </w:r>
    </w:p>
    <w:p w14:paraId="078F16DA" w14:textId="77777777" w:rsidR="00586838" w:rsidRPr="0085535D" w:rsidRDefault="00586838" w:rsidP="00413350">
      <w:pPr>
        <w:pStyle w:val="NormalWeb"/>
        <w:spacing w:before="240" w:beforeAutospacing="0" w:after="0" w:afterAutospacing="0" w:line="360" w:lineRule="auto"/>
        <w:jc w:val="both"/>
      </w:pPr>
      <w:r w:rsidRPr="0085535D">
        <w:t xml:space="preserve">Bioanalytical method validation ensures that an analytical procedure is reliable, reproducible, and suitable for its intended purpose. Regulatory agencies such as the USFDA and, more recently, ICH through the M10 guideline have established comprehensive validation criteria to standardize the generation of bioanalytical data across laboratories and regions. In the context of </w:t>
      </w:r>
      <w:r w:rsidR="006A784A">
        <w:t>TZD</w:t>
      </w:r>
      <w:r w:rsidRPr="0085535D">
        <w:t xml:space="preserve"> LC–MS/MS assays, a critical assessment of validation parameters reveals both methodological strengths and recurring deficiencies in the published literature.</w:t>
      </w:r>
      <w:r w:rsidR="0085535D" w:rsidRPr="0085535D">
        <w:t xml:space="preserve"> [19–23].</w:t>
      </w:r>
    </w:p>
    <w:p w14:paraId="176C6E95"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5.1 Selectivity and Specificity</w:t>
      </w:r>
    </w:p>
    <w:p w14:paraId="35DB0540" w14:textId="77777777" w:rsidR="00586838" w:rsidRPr="0085535D" w:rsidRDefault="00586838" w:rsidP="00413350">
      <w:pPr>
        <w:pStyle w:val="NormalWeb"/>
        <w:spacing w:before="240" w:beforeAutospacing="0" w:after="0" w:afterAutospacing="0" w:line="360" w:lineRule="auto"/>
        <w:jc w:val="both"/>
      </w:pPr>
      <w:r w:rsidRPr="0085535D">
        <w:t>Selectivity refers to the ability of a bioanalytical method to unequivocally distinguish the analyte of interest and internal standard from endogenous matrix components and potential co-eluting substances. According to USFDA and ICH M10 guidelines, selectivity should be demonstrated using at least six independent sources of blank human plasma, including lipemic and hemolyzed matrices where applicable.</w:t>
      </w:r>
    </w:p>
    <w:p w14:paraId="2E6527CA" w14:textId="77777777" w:rsidR="00586838" w:rsidRPr="0085535D" w:rsidRDefault="00586838" w:rsidP="00413350">
      <w:pPr>
        <w:pStyle w:val="NormalWeb"/>
        <w:spacing w:before="240" w:beforeAutospacing="0" w:after="0" w:afterAutospacing="0" w:line="360" w:lineRule="auto"/>
        <w:jc w:val="both"/>
      </w:pPr>
      <w:r w:rsidRPr="0085535D">
        <w:lastRenderedPageBreak/>
        <w:t xml:space="preserve">Most reported LC–MS/MS methods for </w:t>
      </w:r>
      <w:r w:rsidR="006A784A">
        <w:t>TZD</w:t>
      </w:r>
      <w:r w:rsidRPr="0085535D">
        <w:t xml:space="preserve"> claim acceptable selectivity based on the absence of significant interference at the retention times of </w:t>
      </w:r>
      <w:r w:rsidR="006A784A">
        <w:t>TZD</w:t>
      </w:r>
      <w:r w:rsidRPr="0085535D">
        <w:t xml:space="preserve"> and the internal standard. However, several studies provide limited chromatographic evidence, often presenting only representative chromatograms without quantitative assessment of interference relative to the lower limit of quantification (LLOQ). Such qualitative demonstrations may be insufficient under ICH M10, which emphasizes transparent and quantitative reporting.</w:t>
      </w:r>
    </w:p>
    <w:p w14:paraId="79B44B6B" w14:textId="77777777" w:rsidR="00586838" w:rsidRPr="0085535D" w:rsidRDefault="00586838" w:rsidP="00413350">
      <w:pPr>
        <w:pStyle w:val="NormalWeb"/>
        <w:spacing w:before="240" w:beforeAutospacing="0" w:after="0" w:afterAutospacing="0" w:line="360" w:lineRule="auto"/>
        <w:jc w:val="both"/>
      </w:pPr>
      <w:r w:rsidRPr="0085535D">
        <w:t xml:space="preserve">Furthermore, few studies explicitly evaluate potential interference from </w:t>
      </w:r>
      <w:r w:rsidR="006A784A">
        <w:t>TZD</w:t>
      </w:r>
      <w:r w:rsidRPr="0085535D">
        <w:t xml:space="preserve"> metabolites or commonly co-administered antidepressants. Given the clinical context in which </w:t>
      </w:r>
      <w:r w:rsidR="006A784A">
        <w:t>TZD</w:t>
      </w:r>
      <w:r w:rsidRPr="0085535D">
        <w:t xml:space="preserve"> is often prescribed alongside other psychotropic agents, omission of such evaluations may limit the broader applicability of the method in real-world pharmacokinetic studies.</w:t>
      </w:r>
    </w:p>
    <w:p w14:paraId="14BE3C50"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5.2 Linearity and Calibration Curve Performance</w:t>
      </w:r>
    </w:p>
    <w:p w14:paraId="611C86E0" w14:textId="77777777" w:rsidR="00586838" w:rsidRPr="0085535D" w:rsidRDefault="00586838" w:rsidP="00413350">
      <w:pPr>
        <w:pStyle w:val="NormalWeb"/>
        <w:spacing w:before="240" w:beforeAutospacing="0" w:after="0" w:afterAutospacing="0" w:line="360" w:lineRule="auto"/>
        <w:jc w:val="both"/>
      </w:pPr>
      <w:r w:rsidRPr="0085535D">
        <w:t>Linearity assessment ensures that the analytical response is directly proportional to analyte concentration over the defined calibration range. Regulatory guidelines require that calibration curves include a minimum of six to eight non-zero calibration standards, with back-calculated concentrations within ±15% of nominal values, except at the LLOQ where ±20% is acceptable.</w:t>
      </w:r>
    </w:p>
    <w:p w14:paraId="1E6F39F6" w14:textId="77777777" w:rsidR="00586838" w:rsidRPr="0085535D" w:rsidRDefault="00586838" w:rsidP="00413350">
      <w:pPr>
        <w:pStyle w:val="NormalWeb"/>
        <w:spacing w:before="240" w:beforeAutospacing="0" w:after="0" w:afterAutospacing="0" w:line="360" w:lineRule="auto"/>
        <w:jc w:val="both"/>
      </w:pPr>
      <w:r w:rsidRPr="0085535D">
        <w:t xml:space="preserve">Published </w:t>
      </w:r>
      <w:r w:rsidR="006A784A">
        <w:t>TZD</w:t>
      </w:r>
      <w:r w:rsidRPr="0085535D">
        <w:t xml:space="preserve"> LC–MS/MS methods generally demonstrate satisfactory linearity across low nanogram per milliliter ranges suitable for therapeutic pharmacokinetic profiling. However, differences in calibration range selection and justification are evident. Some studies report narrow calibration ranges without clearly explaining their suitability for intended pharmacokinetic applications, while others extend calibration to higher concentrations without demonstrating robustness at the lower end.</w:t>
      </w:r>
    </w:p>
    <w:p w14:paraId="2C0F4C23" w14:textId="77777777" w:rsidR="00586838" w:rsidRPr="0085535D" w:rsidRDefault="00586838" w:rsidP="00413350">
      <w:pPr>
        <w:pStyle w:val="NormalWeb"/>
        <w:spacing w:before="240" w:beforeAutospacing="0" w:after="0" w:afterAutospacing="0" w:line="360" w:lineRule="auto"/>
        <w:jc w:val="both"/>
      </w:pPr>
      <w:r w:rsidRPr="0085535D">
        <w:t>ICH M10 further emphasizes the need for consistent calibration model selection and documentation of curve fitting and weighting factors. These details are often underreported, limiting the reproducibility of the method and its regulatory transparency.</w:t>
      </w:r>
    </w:p>
    <w:p w14:paraId="61E8B647"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5.3 Accuracy and Precision</w:t>
      </w:r>
    </w:p>
    <w:p w14:paraId="37A59A49" w14:textId="77777777" w:rsidR="00586838" w:rsidRPr="0085535D" w:rsidRDefault="00586838" w:rsidP="00413350">
      <w:pPr>
        <w:pStyle w:val="NormalWeb"/>
        <w:spacing w:before="240" w:beforeAutospacing="0" w:after="0" w:afterAutospacing="0" w:line="360" w:lineRule="auto"/>
        <w:jc w:val="both"/>
      </w:pPr>
      <w:r w:rsidRPr="0085535D">
        <w:t xml:space="preserve">Accuracy and precision are core indicators of method reliability and are evaluated using quality control (QC) samples at multiple concentration levels, including LLOQ, low, medium, and high </w:t>
      </w:r>
      <w:r w:rsidRPr="0085535D">
        <w:lastRenderedPageBreak/>
        <w:t>QC. Both USFDA and ICH M10 guidelines stipulate that accuracy should fall within ±15% of nominal concentrations (±20% at LLOQ), while precision, expressed as coefficient of variation (%CV), should not exceed 15% (20% at LLOQ).</w:t>
      </w:r>
    </w:p>
    <w:p w14:paraId="671CA9D9" w14:textId="77777777" w:rsidR="00586838" w:rsidRPr="0085535D" w:rsidRDefault="00586838" w:rsidP="00413350">
      <w:pPr>
        <w:pStyle w:val="NormalWeb"/>
        <w:spacing w:before="240" w:beforeAutospacing="0" w:after="0" w:afterAutospacing="0" w:line="360" w:lineRule="auto"/>
        <w:jc w:val="both"/>
      </w:pPr>
      <w:r w:rsidRPr="0085535D">
        <w:t xml:space="preserve">Most reported </w:t>
      </w:r>
      <w:r w:rsidR="006A784A">
        <w:t>TZD</w:t>
      </w:r>
      <w:r w:rsidRPr="0085535D">
        <w:t xml:space="preserve"> methods demonstrate acceptable intra-day and inter-day accuracy and precision. Nonetheless, several publications provide aggregated data without clear differentiation between within-run and between-run performance. This practice, although common in earlier literature, does not fully align with current regulatory expectations, which require distinct evaluation of repeatability and intermediate precision.</w:t>
      </w:r>
    </w:p>
    <w:p w14:paraId="51ACE709" w14:textId="77777777" w:rsidR="00586838" w:rsidRPr="0085535D" w:rsidRDefault="00586838" w:rsidP="00413350">
      <w:pPr>
        <w:pStyle w:val="NormalWeb"/>
        <w:spacing w:before="240" w:beforeAutospacing="0" w:after="0" w:afterAutospacing="0" w:line="360" w:lineRule="auto"/>
        <w:jc w:val="both"/>
      </w:pPr>
      <w:r w:rsidRPr="0085535D">
        <w:t>Additionally, the limited number of validation batches used in some studies may not adequately capture analytical variability, particularly when protein precipitation is employed as the primary sample preparation technique.</w:t>
      </w:r>
    </w:p>
    <w:p w14:paraId="7128321D"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5.4 Recovery and Matrix Effect</w:t>
      </w:r>
    </w:p>
    <w:p w14:paraId="2E176751" w14:textId="77777777" w:rsidR="00586838" w:rsidRPr="0085535D" w:rsidRDefault="00586838" w:rsidP="00413350">
      <w:pPr>
        <w:pStyle w:val="NormalWeb"/>
        <w:spacing w:before="240" w:beforeAutospacing="0" w:after="0" w:afterAutospacing="0" w:line="360" w:lineRule="auto"/>
        <w:jc w:val="both"/>
      </w:pPr>
      <w:r w:rsidRPr="0085535D">
        <w:t>Recovery and matrix effect assessments are particularly critical for LC–MS/MS bioanalysis due to the inherent susceptibility of electrospray ionization to interference from co-eluting endogenous compounds. While recovery reflects the efficiency and reproducibility of sample preparation, matrix effect evaluates ion suppression or enhancement that may affect quantification accuracy.</w:t>
      </w:r>
    </w:p>
    <w:p w14:paraId="52E34DBD" w14:textId="77777777" w:rsidR="00586838" w:rsidRPr="0085535D" w:rsidRDefault="00586838" w:rsidP="00413350">
      <w:pPr>
        <w:pStyle w:val="NormalWeb"/>
        <w:spacing w:before="240" w:beforeAutospacing="0" w:after="0" w:afterAutospacing="0" w:line="360" w:lineRule="auto"/>
        <w:jc w:val="both"/>
      </w:pPr>
      <w:r w:rsidRPr="0085535D">
        <w:t xml:space="preserve">Although most </w:t>
      </w:r>
      <w:r w:rsidR="006A784A">
        <w:t>TZD</w:t>
      </w:r>
      <w:r w:rsidRPr="0085535D">
        <w:t xml:space="preserve"> LC–MS/MS methods report acceptable recovery values, the depth of matrix effect evaluation varies considerably. Several studies either omit matrix effect assessment entirely or provide limited qualitative discussion without quantitative data. This omission is noteworthy, as both USFDA and ICH M10 explicitly require systematic matrix effect evaluation across multiple plasma lots.</w:t>
      </w:r>
    </w:p>
    <w:p w14:paraId="752A3827" w14:textId="15E60232" w:rsidR="00586838" w:rsidRPr="0085535D" w:rsidRDefault="00586838" w:rsidP="00413350">
      <w:pPr>
        <w:pStyle w:val="NormalWeb"/>
        <w:spacing w:before="240" w:beforeAutospacing="0" w:after="0" w:afterAutospacing="0" w:line="360" w:lineRule="auto"/>
        <w:jc w:val="both"/>
      </w:pPr>
      <w:r w:rsidRPr="0085535D">
        <w:t>Methods employing deuterated internal standards generally demonstrate improved control over matrix effects, supporting regulatory recommendations favoring isotopically labeled standards. In contrast, methods using non-deuterated analog</w:t>
      </w:r>
      <w:r w:rsidR="00432D82">
        <w:t>ue</w:t>
      </w:r>
      <w:r w:rsidRPr="0085535D">
        <w:t>s may inadequately compensate for ionization variability, particularly when using simple protein precipitation techniques.</w:t>
      </w:r>
    </w:p>
    <w:p w14:paraId="6FB930F8"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5.5 Stability Studies</w:t>
      </w:r>
    </w:p>
    <w:p w14:paraId="2E987D3A" w14:textId="77777777" w:rsidR="00586838" w:rsidRPr="0085535D" w:rsidRDefault="00586838" w:rsidP="00413350">
      <w:pPr>
        <w:pStyle w:val="NormalWeb"/>
        <w:spacing w:before="240" w:beforeAutospacing="0" w:after="0" w:afterAutospacing="0" w:line="360" w:lineRule="auto"/>
        <w:jc w:val="both"/>
      </w:pPr>
      <w:r w:rsidRPr="0085535D">
        <w:lastRenderedPageBreak/>
        <w:t>Stability assessment ensures that the analyte remains stable under various conditions encountered during sample collection, storage, processing, and analysis. Regulatory guidelines require evaluation of bench-top stability, freeze–thaw stability, long-term frozen stability, and autosampler stability.</w:t>
      </w:r>
    </w:p>
    <w:p w14:paraId="2B08D989" w14:textId="77777777" w:rsidR="00586838" w:rsidRPr="0085535D" w:rsidRDefault="00586838" w:rsidP="00413350">
      <w:pPr>
        <w:pStyle w:val="NormalWeb"/>
        <w:spacing w:before="240" w:beforeAutospacing="0" w:after="0" w:afterAutospacing="0" w:line="360" w:lineRule="auto"/>
        <w:jc w:val="both"/>
      </w:pPr>
      <w:r w:rsidRPr="0085535D">
        <w:t xml:space="preserve">Published </w:t>
      </w:r>
      <w:r w:rsidR="006A784A">
        <w:t>TZD</w:t>
      </w:r>
      <w:r w:rsidRPr="0085535D">
        <w:t xml:space="preserve"> methods frequently demonstrate acceptable short-term and freeze–thaw stability; however, long-term stability data are often limited or insufficiently justified. In some cases, stability assessments are performed at a single concentration level, contrary to guideline recommendations requiring evaluation at low and high QC levels.</w:t>
      </w:r>
    </w:p>
    <w:p w14:paraId="0D8E30D8" w14:textId="77777777" w:rsidR="00586838" w:rsidRPr="0085535D" w:rsidRDefault="00586838" w:rsidP="00413350">
      <w:pPr>
        <w:pStyle w:val="NormalWeb"/>
        <w:spacing w:before="240" w:beforeAutospacing="0" w:after="0" w:afterAutospacing="0" w:line="360" w:lineRule="auto"/>
        <w:jc w:val="both"/>
      </w:pPr>
      <w:r w:rsidRPr="0085535D">
        <w:t>ICH M10 places additional emphasis on stability under conditions reflective of actual study workflows, including extended autosampler residence times. Failure to address these aspects may limit the suitability of reported methods for large-scale or multicenter pharmacokinetic studies.</w:t>
      </w:r>
    </w:p>
    <w:p w14:paraId="22F47A4E"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5.6 Carryover and Dilution Integrity</w:t>
      </w:r>
    </w:p>
    <w:p w14:paraId="1804BFC8" w14:textId="77777777" w:rsidR="00586838" w:rsidRPr="0085535D" w:rsidRDefault="00586838" w:rsidP="00413350">
      <w:pPr>
        <w:pStyle w:val="NormalWeb"/>
        <w:spacing w:before="240" w:beforeAutospacing="0" w:after="0" w:afterAutospacing="0" w:line="360" w:lineRule="auto"/>
        <w:jc w:val="both"/>
      </w:pPr>
      <w:r w:rsidRPr="0085535D">
        <w:t xml:space="preserve">Carryover assessment is essential to ensure that high-concentration samples do not contaminate subsequent injections, potentially leading to false-positive results. While most </w:t>
      </w:r>
      <w:r w:rsidR="006A784A">
        <w:t>TZD</w:t>
      </w:r>
      <w:r w:rsidRPr="0085535D">
        <w:t xml:space="preserve"> LC–MS/MS methods claim negligible carryover, few provide explicit experimental details or acceptance criteria.</w:t>
      </w:r>
    </w:p>
    <w:p w14:paraId="093E0D0A" w14:textId="77777777" w:rsidR="00586838" w:rsidRPr="0085535D" w:rsidRDefault="00586838" w:rsidP="00413350">
      <w:pPr>
        <w:pStyle w:val="Heading3"/>
        <w:spacing w:before="240" w:beforeAutospacing="0" w:after="0" w:afterAutospacing="0" w:line="360" w:lineRule="auto"/>
        <w:jc w:val="both"/>
        <w:rPr>
          <w:sz w:val="24"/>
          <w:szCs w:val="24"/>
        </w:rPr>
      </w:pPr>
      <w:r w:rsidRPr="0085535D">
        <w:rPr>
          <w:rStyle w:val="Strong"/>
          <w:b/>
          <w:bCs/>
          <w:sz w:val="24"/>
          <w:szCs w:val="24"/>
        </w:rPr>
        <w:t xml:space="preserve">Table 2. Evaluation of Validation Parameters in Reported </w:t>
      </w:r>
      <w:r w:rsidR="006A784A">
        <w:rPr>
          <w:rStyle w:val="Strong"/>
          <w:b/>
          <w:bCs/>
          <w:sz w:val="24"/>
          <w:szCs w:val="24"/>
        </w:rPr>
        <w:t>TZD</w:t>
      </w:r>
      <w:r w:rsidRPr="0085535D">
        <w:rPr>
          <w:rStyle w:val="Strong"/>
          <w:b/>
          <w:bCs/>
          <w:sz w:val="24"/>
          <w:szCs w:val="24"/>
        </w:rPr>
        <w:t xml:space="preserve"> LC–MS/MS Methods Against USFDA and ICH M10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1"/>
        <w:gridCol w:w="2303"/>
        <w:gridCol w:w="1864"/>
        <w:gridCol w:w="3192"/>
      </w:tblGrid>
      <w:tr w:rsidR="00586838" w:rsidRPr="0085535D" w14:paraId="7ED99E19" w14:textId="77777777" w:rsidTr="00396F9D">
        <w:trPr>
          <w:tblHeader/>
          <w:tblCellSpacing w:w="15" w:type="dxa"/>
        </w:trPr>
        <w:tc>
          <w:tcPr>
            <w:tcW w:w="0" w:type="auto"/>
            <w:vAlign w:val="center"/>
            <w:hideMark/>
          </w:tcPr>
          <w:p w14:paraId="2C86E0A5"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Validation parameter</w:t>
            </w:r>
          </w:p>
        </w:tc>
        <w:tc>
          <w:tcPr>
            <w:tcW w:w="0" w:type="auto"/>
            <w:vAlign w:val="center"/>
            <w:hideMark/>
          </w:tcPr>
          <w:p w14:paraId="4D64F3A1"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USFDA requirement</w:t>
            </w:r>
          </w:p>
        </w:tc>
        <w:tc>
          <w:tcPr>
            <w:tcW w:w="0" w:type="auto"/>
            <w:vAlign w:val="center"/>
            <w:hideMark/>
          </w:tcPr>
          <w:p w14:paraId="34E35196"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ICH M10 emphasis</w:t>
            </w:r>
          </w:p>
        </w:tc>
        <w:tc>
          <w:tcPr>
            <w:tcW w:w="0" w:type="auto"/>
            <w:vAlign w:val="center"/>
            <w:hideMark/>
          </w:tcPr>
          <w:p w14:paraId="0FBDC921" w14:textId="77777777" w:rsidR="00586838" w:rsidRPr="0085535D" w:rsidRDefault="00586838" w:rsidP="00413350">
            <w:pPr>
              <w:spacing w:before="240" w:after="0" w:line="360" w:lineRule="auto"/>
              <w:jc w:val="both"/>
              <w:rPr>
                <w:rFonts w:ascii="Times New Roman" w:hAnsi="Times New Roman" w:cs="Times New Roman"/>
                <w:b/>
                <w:bCs/>
                <w:sz w:val="24"/>
                <w:szCs w:val="24"/>
              </w:rPr>
            </w:pPr>
            <w:r w:rsidRPr="0085535D">
              <w:rPr>
                <w:rFonts w:ascii="Times New Roman" w:hAnsi="Times New Roman" w:cs="Times New Roman"/>
                <w:b/>
                <w:bCs/>
                <w:sz w:val="24"/>
                <w:szCs w:val="24"/>
              </w:rPr>
              <w:t>Compliance in reported methods</w:t>
            </w:r>
          </w:p>
        </w:tc>
      </w:tr>
      <w:tr w:rsidR="00586838" w:rsidRPr="0085535D" w14:paraId="0199C3B5" w14:textId="77777777" w:rsidTr="00396F9D">
        <w:trPr>
          <w:tblCellSpacing w:w="15" w:type="dxa"/>
        </w:trPr>
        <w:tc>
          <w:tcPr>
            <w:tcW w:w="0" w:type="auto"/>
            <w:vAlign w:val="center"/>
            <w:hideMark/>
          </w:tcPr>
          <w:p w14:paraId="7D931E3D"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Selectivity</w:t>
            </w:r>
          </w:p>
        </w:tc>
        <w:tc>
          <w:tcPr>
            <w:tcW w:w="0" w:type="auto"/>
            <w:vAlign w:val="center"/>
            <w:hideMark/>
          </w:tcPr>
          <w:p w14:paraId="0FFBFF6D"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Mandatory</w:t>
            </w:r>
          </w:p>
        </w:tc>
        <w:tc>
          <w:tcPr>
            <w:tcW w:w="0" w:type="auto"/>
            <w:vAlign w:val="center"/>
            <w:hideMark/>
          </w:tcPr>
          <w:p w14:paraId="5182B66A"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Mandatory</w:t>
            </w:r>
          </w:p>
        </w:tc>
        <w:tc>
          <w:tcPr>
            <w:tcW w:w="0" w:type="auto"/>
            <w:vAlign w:val="center"/>
            <w:hideMark/>
          </w:tcPr>
          <w:p w14:paraId="1E9CD4BB"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Generally acceptable, limited reporting</w:t>
            </w:r>
          </w:p>
        </w:tc>
      </w:tr>
      <w:tr w:rsidR="00586838" w:rsidRPr="0085535D" w14:paraId="037B6547" w14:textId="77777777" w:rsidTr="00396F9D">
        <w:trPr>
          <w:tblCellSpacing w:w="15" w:type="dxa"/>
        </w:trPr>
        <w:tc>
          <w:tcPr>
            <w:tcW w:w="0" w:type="auto"/>
            <w:vAlign w:val="center"/>
            <w:hideMark/>
          </w:tcPr>
          <w:p w14:paraId="02F5ABF5"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Linearity</w:t>
            </w:r>
          </w:p>
        </w:tc>
        <w:tc>
          <w:tcPr>
            <w:tcW w:w="0" w:type="auto"/>
            <w:vAlign w:val="center"/>
            <w:hideMark/>
          </w:tcPr>
          <w:p w14:paraId="25D28822"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±15% (±20% LLOQ)</w:t>
            </w:r>
          </w:p>
        </w:tc>
        <w:tc>
          <w:tcPr>
            <w:tcW w:w="0" w:type="auto"/>
            <w:vAlign w:val="center"/>
            <w:hideMark/>
          </w:tcPr>
          <w:p w14:paraId="18BD532F"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Harmonized</w:t>
            </w:r>
          </w:p>
        </w:tc>
        <w:tc>
          <w:tcPr>
            <w:tcW w:w="0" w:type="auto"/>
            <w:vAlign w:val="center"/>
            <w:hideMark/>
          </w:tcPr>
          <w:p w14:paraId="322D0090"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Mostly compliant</w:t>
            </w:r>
          </w:p>
        </w:tc>
      </w:tr>
      <w:tr w:rsidR="00586838" w:rsidRPr="0085535D" w14:paraId="7DB19AB2" w14:textId="77777777" w:rsidTr="00396F9D">
        <w:trPr>
          <w:tblCellSpacing w:w="15" w:type="dxa"/>
        </w:trPr>
        <w:tc>
          <w:tcPr>
            <w:tcW w:w="0" w:type="auto"/>
            <w:vAlign w:val="center"/>
            <w:hideMark/>
          </w:tcPr>
          <w:p w14:paraId="2FE8FF2B"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Accuracy &amp; precision</w:t>
            </w:r>
          </w:p>
        </w:tc>
        <w:tc>
          <w:tcPr>
            <w:tcW w:w="0" w:type="auto"/>
            <w:vAlign w:val="center"/>
            <w:hideMark/>
          </w:tcPr>
          <w:p w14:paraId="1891D074"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≤15% CV</w:t>
            </w:r>
          </w:p>
        </w:tc>
        <w:tc>
          <w:tcPr>
            <w:tcW w:w="0" w:type="auto"/>
            <w:vAlign w:val="center"/>
            <w:hideMark/>
          </w:tcPr>
          <w:p w14:paraId="2CF6BA56"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Lifecycle approach</w:t>
            </w:r>
          </w:p>
        </w:tc>
        <w:tc>
          <w:tcPr>
            <w:tcW w:w="0" w:type="auto"/>
            <w:vAlign w:val="center"/>
            <w:hideMark/>
          </w:tcPr>
          <w:p w14:paraId="10573C5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Compliant, but limited batch data</w:t>
            </w:r>
          </w:p>
        </w:tc>
      </w:tr>
      <w:tr w:rsidR="00586838" w:rsidRPr="0085535D" w14:paraId="550FA281" w14:textId="77777777" w:rsidTr="00396F9D">
        <w:trPr>
          <w:tblCellSpacing w:w="15" w:type="dxa"/>
        </w:trPr>
        <w:tc>
          <w:tcPr>
            <w:tcW w:w="0" w:type="auto"/>
            <w:vAlign w:val="center"/>
            <w:hideMark/>
          </w:tcPr>
          <w:p w14:paraId="218887C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lastRenderedPageBreak/>
              <w:t>Matrix effect</w:t>
            </w:r>
          </w:p>
        </w:tc>
        <w:tc>
          <w:tcPr>
            <w:tcW w:w="0" w:type="auto"/>
            <w:vAlign w:val="center"/>
            <w:hideMark/>
          </w:tcPr>
          <w:p w14:paraId="0DCCB42F"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Recommended</w:t>
            </w:r>
          </w:p>
        </w:tc>
        <w:tc>
          <w:tcPr>
            <w:tcW w:w="0" w:type="auto"/>
            <w:vAlign w:val="center"/>
            <w:hideMark/>
          </w:tcPr>
          <w:p w14:paraId="012923FA"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Strongly emphasized</w:t>
            </w:r>
          </w:p>
        </w:tc>
        <w:tc>
          <w:tcPr>
            <w:tcW w:w="0" w:type="auto"/>
            <w:vAlign w:val="center"/>
            <w:hideMark/>
          </w:tcPr>
          <w:p w14:paraId="2255EA70"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Frequently underreported</w:t>
            </w:r>
          </w:p>
        </w:tc>
      </w:tr>
      <w:tr w:rsidR="00586838" w:rsidRPr="0085535D" w14:paraId="4CBD86B3" w14:textId="77777777" w:rsidTr="00396F9D">
        <w:trPr>
          <w:tblCellSpacing w:w="15" w:type="dxa"/>
        </w:trPr>
        <w:tc>
          <w:tcPr>
            <w:tcW w:w="0" w:type="auto"/>
            <w:vAlign w:val="center"/>
            <w:hideMark/>
          </w:tcPr>
          <w:p w14:paraId="53DA0FB5"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Recovery</w:t>
            </w:r>
          </w:p>
        </w:tc>
        <w:tc>
          <w:tcPr>
            <w:tcW w:w="0" w:type="auto"/>
            <w:vAlign w:val="center"/>
            <w:hideMark/>
          </w:tcPr>
          <w:p w14:paraId="6F99770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Consistent &amp; reproducible</w:t>
            </w:r>
          </w:p>
        </w:tc>
        <w:tc>
          <w:tcPr>
            <w:tcW w:w="0" w:type="auto"/>
            <w:vAlign w:val="center"/>
            <w:hideMark/>
          </w:tcPr>
          <w:p w14:paraId="6D7762E9"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Required</w:t>
            </w:r>
          </w:p>
        </w:tc>
        <w:tc>
          <w:tcPr>
            <w:tcW w:w="0" w:type="auto"/>
            <w:vAlign w:val="center"/>
            <w:hideMark/>
          </w:tcPr>
          <w:p w14:paraId="181A8719"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Generally acceptable</w:t>
            </w:r>
          </w:p>
        </w:tc>
      </w:tr>
      <w:tr w:rsidR="00586838" w:rsidRPr="0085535D" w14:paraId="37EC2FFB" w14:textId="77777777" w:rsidTr="00396F9D">
        <w:trPr>
          <w:tblCellSpacing w:w="15" w:type="dxa"/>
        </w:trPr>
        <w:tc>
          <w:tcPr>
            <w:tcW w:w="0" w:type="auto"/>
            <w:vAlign w:val="center"/>
            <w:hideMark/>
          </w:tcPr>
          <w:p w14:paraId="1DE558D9"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Stability</w:t>
            </w:r>
          </w:p>
        </w:tc>
        <w:tc>
          <w:tcPr>
            <w:tcW w:w="0" w:type="auto"/>
            <w:vAlign w:val="center"/>
            <w:hideMark/>
          </w:tcPr>
          <w:p w14:paraId="028E2BD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Multiple conditions</w:t>
            </w:r>
          </w:p>
        </w:tc>
        <w:tc>
          <w:tcPr>
            <w:tcW w:w="0" w:type="auto"/>
            <w:vAlign w:val="center"/>
            <w:hideMark/>
          </w:tcPr>
          <w:p w14:paraId="2333A022"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Extended conditions</w:t>
            </w:r>
          </w:p>
        </w:tc>
        <w:tc>
          <w:tcPr>
            <w:tcW w:w="0" w:type="auto"/>
            <w:vAlign w:val="center"/>
            <w:hideMark/>
          </w:tcPr>
          <w:p w14:paraId="0E92FC78"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Partial compliance</w:t>
            </w:r>
          </w:p>
        </w:tc>
      </w:tr>
      <w:tr w:rsidR="00586838" w:rsidRPr="0085535D" w14:paraId="69D39867" w14:textId="77777777" w:rsidTr="00396F9D">
        <w:trPr>
          <w:tblCellSpacing w:w="15" w:type="dxa"/>
        </w:trPr>
        <w:tc>
          <w:tcPr>
            <w:tcW w:w="0" w:type="auto"/>
            <w:vAlign w:val="center"/>
            <w:hideMark/>
          </w:tcPr>
          <w:p w14:paraId="7AF98659"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Carryover</w:t>
            </w:r>
          </w:p>
        </w:tc>
        <w:tc>
          <w:tcPr>
            <w:tcW w:w="0" w:type="auto"/>
            <w:vAlign w:val="center"/>
            <w:hideMark/>
          </w:tcPr>
          <w:p w14:paraId="51A40030"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Mandatory</w:t>
            </w:r>
          </w:p>
        </w:tc>
        <w:tc>
          <w:tcPr>
            <w:tcW w:w="0" w:type="auto"/>
            <w:vAlign w:val="center"/>
            <w:hideMark/>
          </w:tcPr>
          <w:p w14:paraId="1BA81505"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Mandatory</w:t>
            </w:r>
          </w:p>
        </w:tc>
        <w:tc>
          <w:tcPr>
            <w:tcW w:w="0" w:type="auto"/>
            <w:vAlign w:val="center"/>
            <w:hideMark/>
          </w:tcPr>
          <w:p w14:paraId="1A3B23A8"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Limited documentation</w:t>
            </w:r>
          </w:p>
        </w:tc>
      </w:tr>
      <w:tr w:rsidR="00586838" w:rsidRPr="0085535D" w14:paraId="08F03D21" w14:textId="77777777" w:rsidTr="00396F9D">
        <w:trPr>
          <w:tblCellSpacing w:w="15" w:type="dxa"/>
        </w:trPr>
        <w:tc>
          <w:tcPr>
            <w:tcW w:w="0" w:type="auto"/>
            <w:vAlign w:val="center"/>
            <w:hideMark/>
          </w:tcPr>
          <w:p w14:paraId="758AA658"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Dilution integrity</w:t>
            </w:r>
          </w:p>
        </w:tc>
        <w:tc>
          <w:tcPr>
            <w:tcW w:w="0" w:type="auto"/>
            <w:vAlign w:val="center"/>
            <w:hideMark/>
          </w:tcPr>
          <w:p w14:paraId="631C72A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Required</w:t>
            </w:r>
          </w:p>
        </w:tc>
        <w:tc>
          <w:tcPr>
            <w:tcW w:w="0" w:type="auto"/>
            <w:vAlign w:val="center"/>
            <w:hideMark/>
          </w:tcPr>
          <w:p w14:paraId="556683A5"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Required</w:t>
            </w:r>
          </w:p>
        </w:tc>
        <w:tc>
          <w:tcPr>
            <w:tcW w:w="0" w:type="auto"/>
            <w:vAlign w:val="center"/>
            <w:hideMark/>
          </w:tcPr>
          <w:p w14:paraId="58D54621" w14:textId="77777777" w:rsidR="00586838" w:rsidRPr="0085535D" w:rsidRDefault="00586838" w:rsidP="00413350">
            <w:pPr>
              <w:spacing w:before="240" w:after="0" w:line="360" w:lineRule="auto"/>
              <w:jc w:val="both"/>
              <w:rPr>
                <w:rFonts w:ascii="Times New Roman" w:hAnsi="Times New Roman" w:cs="Times New Roman"/>
                <w:sz w:val="24"/>
                <w:szCs w:val="24"/>
              </w:rPr>
            </w:pPr>
            <w:r w:rsidRPr="0085535D">
              <w:rPr>
                <w:rFonts w:ascii="Times New Roman" w:hAnsi="Times New Roman" w:cs="Times New Roman"/>
                <w:sz w:val="24"/>
                <w:szCs w:val="24"/>
              </w:rPr>
              <w:t>Often omitted</w:t>
            </w:r>
          </w:p>
        </w:tc>
      </w:tr>
    </w:tbl>
    <w:p w14:paraId="0365C600" w14:textId="77777777" w:rsidR="00413350" w:rsidRPr="0085535D" w:rsidRDefault="00413350" w:rsidP="00413350">
      <w:pPr>
        <w:pStyle w:val="NormalWeb"/>
        <w:spacing w:before="240" w:beforeAutospacing="0" w:after="0" w:afterAutospacing="0" w:line="360" w:lineRule="auto"/>
        <w:jc w:val="both"/>
      </w:pPr>
      <w:r w:rsidRPr="0085535D">
        <w:t xml:space="preserve">Dilution integrity, which evaluates the method’s ability to accurately quantify samples exceeding the upper limit of quantification after dilution, is another parameter that is inconsistently reported. Given the variability in </w:t>
      </w:r>
      <w:r>
        <w:t>TZD</w:t>
      </w:r>
      <w:r w:rsidRPr="0085535D">
        <w:t xml:space="preserve"> plasma concentrations under different dosing regimens, omission of dilution integrity studies represents a notable validation gap.</w:t>
      </w:r>
    </w:p>
    <w:p w14:paraId="7269AB83" w14:textId="77777777" w:rsidR="00586838" w:rsidRPr="0085535D" w:rsidRDefault="00586838" w:rsidP="00413350">
      <w:pPr>
        <w:pStyle w:val="Heading2"/>
        <w:spacing w:before="240" w:beforeAutospacing="0" w:after="0" w:afterAutospacing="0" w:line="360" w:lineRule="auto"/>
        <w:jc w:val="both"/>
        <w:rPr>
          <w:sz w:val="24"/>
          <w:szCs w:val="24"/>
        </w:rPr>
      </w:pPr>
      <w:r w:rsidRPr="0085535D">
        <w:rPr>
          <w:rStyle w:val="Strong"/>
          <w:b/>
          <w:bCs/>
          <w:sz w:val="24"/>
          <w:szCs w:val="24"/>
        </w:rPr>
        <w:t xml:space="preserve">6. IDENTIFICATION OF NON-COMPLIANCE GAPS IN REPORTED LC–MS/MS METHODS FOR </w:t>
      </w:r>
      <w:r w:rsidR="006A784A">
        <w:rPr>
          <w:rStyle w:val="Strong"/>
          <w:b/>
          <w:bCs/>
          <w:sz w:val="24"/>
          <w:szCs w:val="24"/>
        </w:rPr>
        <w:t>TZD</w:t>
      </w:r>
    </w:p>
    <w:p w14:paraId="5AE5C5A9" w14:textId="77777777" w:rsidR="00586838" w:rsidRPr="0085535D" w:rsidRDefault="00586838" w:rsidP="00413350">
      <w:pPr>
        <w:pStyle w:val="NormalWeb"/>
        <w:spacing w:before="240" w:beforeAutospacing="0" w:after="0" w:afterAutospacing="0" w:line="360" w:lineRule="auto"/>
        <w:jc w:val="both"/>
      </w:pPr>
      <w:r w:rsidRPr="0085535D">
        <w:t xml:space="preserve">Although numerous LC–MS/MS methods have been reported for the quantification of </w:t>
      </w:r>
      <w:r w:rsidR="006A784A">
        <w:t>TZD</w:t>
      </w:r>
      <w:r w:rsidRPr="0085535D">
        <w:t xml:space="preserve"> in human plasma, a detailed regulatory-oriented evaluation reveals several recurring non-compliance issues. These gaps do not necessarily undermine the analytical capability of the methods; however, they significantly affect their suitability for regulated pharmacokinetic and bioequivalence studies. Identification of these deficiencies is essential to guide future method development efforts and ensure global regulatory acceptability.</w:t>
      </w:r>
    </w:p>
    <w:p w14:paraId="3BDCD503" w14:textId="77777777" w:rsidR="00586838" w:rsidRPr="0085535D" w:rsidRDefault="00586838" w:rsidP="00413350">
      <w:pPr>
        <w:pStyle w:val="NormalWeb"/>
        <w:spacing w:before="240" w:beforeAutospacing="0" w:after="0" w:afterAutospacing="0" w:line="360" w:lineRule="auto"/>
        <w:jc w:val="both"/>
      </w:pPr>
      <w:r w:rsidRPr="0085535D">
        <w:t xml:space="preserve">One of the most frequently observed gaps relates to </w:t>
      </w:r>
      <w:r w:rsidRPr="00396F9D">
        <w:rPr>
          <w:rStyle w:val="Strong"/>
          <w:b w:val="0"/>
        </w:rPr>
        <w:t>incomplete matrix effect evaluation</w:t>
      </w:r>
      <w:r w:rsidRPr="0085535D">
        <w:t xml:space="preserve">. Despite the well-established susceptibility of electrospray ionization to ion suppression and enhancement, </w:t>
      </w:r>
      <w:r w:rsidRPr="0085535D">
        <w:lastRenderedPageBreak/>
        <w:t>several published methods either omit matrix effect studies entirely or provide limited qualitative assessments. Regulatory guidelines, particularly ICH M10, emphasize quantitative evaluation of matrix effects using multiple independent plasma sources. Failure to adequately assess matrix effects raises concerns regarding method robustness, especially when simple protein precipitation is employed as the primary sample preparation technique.</w:t>
      </w:r>
    </w:p>
    <w:p w14:paraId="21E4AE28" w14:textId="77777777" w:rsidR="00586838" w:rsidRPr="0085535D" w:rsidRDefault="00586838" w:rsidP="00413350">
      <w:pPr>
        <w:pStyle w:val="NormalWeb"/>
        <w:spacing w:before="240" w:beforeAutospacing="0" w:after="0" w:afterAutospacing="0" w:line="360" w:lineRule="auto"/>
        <w:jc w:val="both"/>
      </w:pPr>
      <w:r w:rsidRPr="0085535D">
        <w:t xml:space="preserve">Another significant non-compliance issue involves </w:t>
      </w:r>
      <w:r w:rsidRPr="00396F9D">
        <w:rPr>
          <w:rStyle w:val="Strong"/>
          <w:b w:val="0"/>
        </w:rPr>
        <w:t>internal standard selectio</w:t>
      </w:r>
      <w:r w:rsidRPr="0085535D">
        <w:rPr>
          <w:rStyle w:val="Strong"/>
        </w:rPr>
        <w:t>n</w:t>
      </w:r>
      <w:r w:rsidRPr="0085535D">
        <w:t xml:space="preserve">. While stable isotope-labeled internal standards are strongly recommended by both USFDA and ICH M10 due to their ability to closely mimic analyte behavior during extraction and ionization, many reported </w:t>
      </w:r>
      <w:r w:rsidR="006A784A">
        <w:t>TZD</w:t>
      </w:r>
      <w:r w:rsidRPr="0085535D">
        <w:t xml:space="preserve"> methods rely on structurally unrelated or non-isotopic analogs. Such choices may inadequately compensate for variability arising from sample preparation or ion suppression, particularly in complex biological matrices. Although cost and availability may influence internal standard selection, regulatory acceptability increasingly favors isotopically labeled compounds.</w:t>
      </w:r>
    </w:p>
    <w:p w14:paraId="5CF9F4BE" w14:textId="77777777" w:rsidR="00586838" w:rsidRPr="0085535D" w:rsidRDefault="00586838" w:rsidP="00413350">
      <w:pPr>
        <w:pStyle w:val="NormalWeb"/>
        <w:spacing w:before="240" w:beforeAutospacing="0" w:after="0" w:afterAutospacing="0" w:line="360" w:lineRule="auto"/>
        <w:jc w:val="both"/>
      </w:pPr>
      <w:r w:rsidRPr="00396F9D">
        <w:rPr>
          <w:rStyle w:val="Strong"/>
          <w:b w:val="0"/>
        </w:rPr>
        <w:t>Stability studies</w:t>
      </w:r>
      <w:r w:rsidRPr="0085535D">
        <w:t xml:space="preserve"> represent another area of partial compliance. Several publications report only short-term or freeze–thaw stability data, with limited evaluation of long-term frozen stability or autosampler stability. Regulatory guidance requires stability assessments under conditions that realistically reflect study workflows, including prolonged storage at intended temperatures and extended autosampler residence times. Insufficient stability data may compromise confidence in the reliability of generated pharmacokinetic results, particularly in large or multicenter studies.</w:t>
      </w:r>
    </w:p>
    <w:p w14:paraId="7C2F1069" w14:textId="77777777" w:rsidR="00586838" w:rsidRPr="0085535D" w:rsidRDefault="00586838" w:rsidP="00413350">
      <w:pPr>
        <w:pStyle w:val="NormalWeb"/>
        <w:spacing w:before="240" w:beforeAutospacing="0" w:after="0" w:afterAutospacing="0" w:line="360" w:lineRule="auto"/>
        <w:jc w:val="both"/>
      </w:pPr>
      <w:r w:rsidRPr="00396F9D">
        <w:rPr>
          <w:rStyle w:val="Strong"/>
          <w:b w:val="0"/>
        </w:rPr>
        <w:t>Carryover and dilution integrity assessments</w:t>
      </w:r>
      <w:r w:rsidRPr="0085535D">
        <w:t xml:space="preserve"> are also inconsistently addressed in reported methods. While some authors state that carryover was negligible, explicit experimental details and acceptance criteria are often lacking. Dilution integrity studies, which are essential when sample concentrations exceed the validated calibration range, are frequently o</w:t>
      </w:r>
      <w:bookmarkStart w:id="0" w:name="_GoBack"/>
      <w:bookmarkEnd w:id="0"/>
      <w:r w:rsidRPr="0085535D">
        <w:t xml:space="preserve">mitted. Given the variability in </w:t>
      </w:r>
      <w:r w:rsidR="006A784A">
        <w:t>TZD</w:t>
      </w:r>
      <w:r w:rsidRPr="0085535D">
        <w:t xml:space="preserve"> plasma concentrations under different dosing regimens and patient populations, omission of dilution integrity evaluation constitutes a notable regulatory gap.</w:t>
      </w:r>
    </w:p>
    <w:p w14:paraId="349581DC" w14:textId="77777777" w:rsidR="00586838" w:rsidRPr="0085535D" w:rsidRDefault="00586838" w:rsidP="00413350">
      <w:pPr>
        <w:pStyle w:val="NormalWeb"/>
        <w:spacing w:before="240" w:beforeAutospacing="0" w:after="0" w:afterAutospacing="0" w:line="360" w:lineRule="auto"/>
        <w:jc w:val="both"/>
      </w:pPr>
      <w:r w:rsidRPr="0085535D">
        <w:t xml:space="preserve">Another important issue is the </w:t>
      </w:r>
      <w:r w:rsidRPr="00396F9D">
        <w:rPr>
          <w:rStyle w:val="Strong"/>
          <w:b w:val="0"/>
        </w:rPr>
        <w:t>limited consideration of incurred sample reanalysis (ISR)</w:t>
      </w:r>
      <w:r w:rsidRPr="00396F9D">
        <w:rPr>
          <w:b/>
        </w:rPr>
        <w:t>.</w:t>
      </w:r>
      <w:r w:rsidRPr="0085535D">
        <w:t xml:space="preserve"> ISR has gained increased regulatory attention as a means of verifying reproducibility of bioanalytical methods under real sample conditions. Although not universally mandatory in earlier guidance, ICH M10 strongly encourages ISR as part of method lifecycle management. Most reported </w:t>
      </w:r>
      <w:r w:rsidR="006A784A">
        <w:t>TZD</w:t>
      </w:r>
      <w:r w:rsidRPr="0085535D">
        <w:t xml:space="preserve"> </w:t>
      </w:r>
      <w:r w:rsidRPr="0085535D">
        <w:lastRenderedPageBreak/>
        <w:t>methods do not address ISR, reflecting either the historical timing of the studies or a lack of alignment with current regulatory expectations.</w:t>
      </w:r>
    </w:p>
    <w:p w14:paraId="66A3962F" w14:textId="77777777" w:rsidR="00586838" w:rsidRPr="0085535D" w:rsidRDefault="00586838" w:rsidP="00413350">
      <w:pPr>
        <w:pStyle w:val="NormalWeb"/>
        <w:spacing w:before="240" w:beforeAutospacing="0" w:after="0" w:afterAutospacing="0" w:line="360" w:lineRule="auto"/>
        <w:jc w:val="both"/>
      </w:pPr>
      <w:r w:rsidRPr="0085535D">
        <w:t xml:space="preserve">Finally, </w:t>
      </w:r>
      <w:r w:rsidRPr="00396F9D">
        <w:rPr>
          <w:rStyle w:val="Strong"/>
          <w:b w:val="0"/>
        </w:rPr>
        <w:t>insufficient documentation and transparency</w:t>
      </w:r>
      <w:r w:rsidRPr="0085535D">
        <w:t xml:space="preserve"> in reporting validation data remain a concern. Several studies present summarized validation results without detailed experimental conditions, number of validation batches, or statistical treatment of data. Such practices limit reproducibility and make it difficult for regulators and reviewers to assess the true robustness of the method.</w:t>
      </w:r>
    </w:p>
    <w:p w14:paraId="2CC56AEF" w14:textId="77777777" w:rsidR="00586838" w:rsidRPr="0085535D" w:rsidRDefault="00586838" w:rsidP="00413350">
      <w:pPr>
        <w:pStyle w:val="NormalWeb"/>
        <w:spacing w:before="240" w:beforeAutospacing="0" w:after="0" w:afterAutospacing="0" w:line="360" w:lineRule="auto"/>
        <w:jc w:val="both"/>
      </w:pPr>
      <w:r w:rsidRPr="0085535D">
        <w:t xml:space="preserve">Collectively, these non-compliance gaps highlight the need for a more harmonized, guideline-driven approach to </w:t>
      </w:r>
      <w:r w:rsidR="006A784A">
        <w:t>TZD</w:t>
      </w:r>
      <w:r w:rsidRPr="0085535D">
        <w:t xml:space="preserve"> bioanalysis. Addressing these issues during method development and validation will not only enhance analytical reliability but also ensure that generated data are acceptable across global regulatory jurisdictions.</w:t>
      </w:r>
      <w:r w:rsidR="0085535D" w:rsidRPr="0085535D">
        <w:t xml:space="preserve"> [24–29].</w:t>
      </w:r>
    </w:p>
    <w:p w14:paraId="2CA40ED8" w14:textId="77777777" w:rsidR="00586838" w:rsidRPr="0085535D" w:rsidRDefault="00586838" w:rsidP="00413350">
      <w:pPr>
        <w:spacing w:before="240" w:after="0" w:line="360" w:lineRule="auto"/>
        <w:jc w:val="both"/>
        <w:outlineLvl w:val="1"/>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t>7. PRACTICAL RECOMMENDATIONS FOR BIOANALYTICAL SCIENTISTS</w:t>
      </w:r>
    </w:p>
    <w:p w14:paraId="2CDA3AE7"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Based on the critical evaluation of reported LC–MS/MS methods for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and the identified non-compliance gaps, several practical recommendations can be proposed to guide bioanalytical scientists in developing robust, regulatory-compliant assays. These recommendations are intended to bridge the gap between analytical performance and regulatory acceptability, ensuring that methods are suitable for both research and regulated applications.</w:t>
      </w:r>
    </w:p>
    <w:p w14:paraId="4B127FDE"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A primary consideration in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bioanalysis is the </w:t>
      </w:r>
      <w:r w:rsidRPr="00396F9D">
        <w:rPr>
          <w:rFonts w:ascii="Times New Roman" w:eastAsia="Times New Roman" w:hAnsi="Times New Roman" w:cs="Times New Roman"/>
          <w:bCs/>
          <w:sz w:val="24"/>
          <w:szCs w:val="24"/>
        </w:rPr>
        <w:t>selection of an appropriate internal standard</w:t>
      </w:r>
      <w:r w:rsidRPr="00396F9D">
        <w:rPr>
          <w:rFonts w:ascii="Times New Roman" w:eastAsia="Times New Roman" w:hAnsi="Times New Roman" w:cs="Times New Roman"/>
          <w:sz w:val="24"/>
          <w:szCs w:val="24"/>
        </w:rPr>
        <w:t>.</w:t>
      </w:r>
      <w:r w:rsidRPr="0085535D">
        <w:rPr>
          <w:rFonts w:ascii="Times New Roman" w:eastAsia="Times New Roman" w:hAnsi="Times New Roman" w:cs="Times New Roman"/>
          <w:sz w:val="24"/>
          <w:szCs w:val="24"/>
        </w:rPr>
        <w:t xml:space="preserve"> Whenever feasible, stable isotope-labeled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should be employed, as it closely mirrors the physicochemical and ionization behavior of the analyte. This approach effectively compensates for variability introduced during sample preparation and electrospray ionization, particularly in plasma matrices prone to ion suppression. In cases where deuterated standards are unavailable, structurally similar analogs may be used; however, their limitations should be clearly acknowledged, and additional validation experiments should be performed to demonstrate adequate control of matrix effects.</w:t>
      </w:r>
    </w:p>
    <w:p w14:paraId="1FC03A39"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396F9D">
        <w:rPr>
          <w:rFonts w:ascii="Times New Roman" w:eastAsia="Times New Roman" w:hAnsi="Times New Roman" w:cs="Times New Roman"/>
          <w:bCs/>
          <w:sz w:val="24"/>
          <w:szCs w:val="24"/>
        </w:rPr>
        <w:t>Sample preparation strategy</w:t>
      </w:r>
      <w:r w:rsidRPr="0085535D">
        <w:rPr>
          <w:rFonts w:ascii="Times New Roman" w:eastAsia="Times New Roman" w:hAnsi="Times New Roman" w:cs="Times New Roman"/>
          <w:sz w:val="24"/>
          <w:szCs w:val="24"/>
        </w:rPr>
        <w:t xml:space="preserve"> should be selected based on a careful balance between simplicity, throughput, and analytical robustness. While protein precipitation offers operational ease and high sample throughput, it is more susceptible to matrix-related interference. For studies requiring higher regulatory confidence, such as pivotal bioequivalence trials, liquid–liquid extraction or </w:t>
      </w:r>
      <w:r w:rsidRPr="0085535D">
        <w:rPr>
          <w:rFonts w:ascii="Times New Roman" w:eastAsia="Times New Roman" w:hAnsi="Times New Roman" w:cs="Times New Roman"/>
          <w:sz w:val="24"/>
          <w:szCs w:val="24"/>
        </w:rPr>
        <w:lastRenderedPageBreak/>
        <w:t>solid-phase extraction may provide improved selectivity and reduced matrix effects. Regardless of the chosen approach, recovery and matrix effect studies should be rigorously conducted across multiple plasma sources to ensure reproducibility.</w:t>
      </w:r>
    </w:p>
    <w:p w14:paraId="2C8656A1"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During </w:t>
      </w:r>
      <w:r w:rsidRPr="00396F9D">
        <w:rPr>
          <w:rFonts w:ascii="Times New Roman" w:eastAsia="Times New Roman" w:hAnsi="Times New Roman" w:cs="Times New Roman"/>
          <w:bCs/>
          <w:sz w:val="24"/>
          <w:szCs w:val="24"/>
        </w:rPr>
        <w:t>chromatographic and mass spectrometric optimization</w:t>
      </w:r>
      <w:r w:rsidRPr="0085535D">
        <w:rPr>
          <w:rFonts w:ascii="Times New Roman" w:eastAsia="Times New Roman" w:hAnsi="Times New Roman" w:cs="Times New Roman"/>
          <w:sz w:val="24"/>
          <w:szCs w:val="24"/>
        </w:rPr>
        <w:t>, emphasis should be placed not only on achieving short run times but also on ensuring adequate separation from endogenous components and potential metabolites. Analysts should carefully optimize mobile phase composition, gradient conditions, and source parameters to enhance sensitivity while minimizing ion suppression. Transparent reporting of MRM transitions, collision energies, and source conditions is essential to facilitate reproducibility and regulatory review.</w:t>
      </w:r>
    </w:p>
    <w:p w14:paraId="38B621A0"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396F9D">
        <w:rPr>
          <w:rFonts w:ascii="Times New Roman" w:eastAsia="Times New Roman" w:hAnsi="Times New Roman" w:cs="Times New Roman"/>
          <w:bCs/>
          <w:sz w:val="24"/>
          <w:szCs w:val="24"/>
        </w:rPr>
        <w:t>Validation experiments</w:t>
      </w:r>
      <w:r w:rsidRPr="0085535D">
        <w:rPr>
          <w:rFonts w:ascii="Times New Roman" w:eastAsia="Times New Roman" w:hAnsi="Times New Roman" w:cs="Times New Roman"/>
          <w:sz w:val="24"/>
          <w:szCs w:val="24"/>
        </w:rPr>
        <w:t xml:space="preserve"> must be designed to fully comply with both USFDA and ICH M10 requirements. Accuracy and precision should be evaluated using multiple independent validation runs, clearly distinguishing between intra-day and inter-day performance. Calibration model selection, weighting factors, and acceptance criteria should be explicitly stated. Stability studies should encompass all relevant conditions, including bench-top, freeze–thaw, long-term frozen, and autosampler stability, at both low and high QC levels.</w:t>
      </w:r>
    </w:p>
    <w:p w14:paraId="3E34C760"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Particular attention should be given to </w:t>
      </w:r>
      <w:r w:rsidRPr="00396F9D">
        <w:rPr>
          <w:rFonts w:ascii="Times New Roman" w:eastAsia="Times New Roman" w:hAnsi="Times New Roman" w:cs="Times New Roman"/>
          <w:bCs/>
          <w:sz w:val="24"/>
          <w:szCs w:val="24"/>
        </w:rPr>
        <w:t>carryover and dilution integrity assessments</w:t>
      </w:r>
      <w:r w:rsidRPr="0085535D">
        <w:rPr>
          <w:rFonts w:ascii="Times New Roman" w:eastAsia="Times New Roman" w:hAnsi="Times New Roman" w:cs="Times New Roman"/>
          <w:sz w:val="24"/>
          <w:szCs w:val="24"/>
        </w:rPr>
        <w:t>, which are often underreported in the literature. Carryover should be systematically evaluated following injections at the upper limit of quantification, and acceptance criteria should be clearly defined. Dilution integrity studies should be conducted to ensure accurate quantification of samples exceeding the calibration range, especially in studies involving dose escalation or interindividual variability.</w:t>
      </w:r>
    </w:p>
    <w:p w14:paraId="09D175F6"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With the increasing regulatory emphasis on </w:t>
      </w:r>
      <w:r w:rsidRPr="00396F9D">
        <w:rPr>
          <w:rFonts w:ascii="Times New Roman" w:eastAsia="Times New Roman" w:hAnsi="Times New Roman" w:cs="Times New Roman"/>
          <w:bCs/>
          <w:sz w:val="24"/>
          <w:szCs w:val="24"/>
        </w:rPr>
        <w:t>method lifecycle management</w:t>
      </w:r>
      <w:r w:rsidRPr="00396F9D">
        <w:rPr>
          <w:rFonts w:ascii="Times New Roman" w:eastAsia="Times New Roman" w:hAnsi="Times New Roman" w:cs="Times New Roman"/>
          <w:sz w:val="24"/>
          <w:szCs w:val="24"/>
        </w:rPr>
        <w:t>,</w:t>
      </w:r>
      <w:r w:rsidRPr="0085535D">
        <w:rPr>
          <w:rFonts w:ascii="Times New Roman" w:eastAsia="Times New Roman" w:hAnsi="Times New Roman" w:cs="Times New Roman"/>
          <w:sz w:val="24"/>
          <w:szCs w:val="24"/>
        </w:rPr>
        <w:t xml:space="preserve"> analysts are encouraged to incorporate incurred sample reanalysis (ISR) into their bioanalytical strategy wherever applicable. ISR provides valuable confirmation of method reproducibility under real sample conditions and enhances confidence in the reliability of pharmacokinetic data.</w:t>
      </w:r>
    </w:p>
    <w:p w14:paraId="43A707CD"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Finally, comprehensive </w:t>
      </w:r>
      <w:r w:rsidRPr="00396F9D">
        <w:rPr>
          <w:rFonts w:ascii="Times New Roman" w:eastAsia="Times New Roman" w:hAnsi="Times New Roman" w:cs="Times New Roman"/>
          <w:bCs/>
          <w:sz w:val="24"/>
          <w:szCs w:val="24"/>
        </w:rPr>
        <w:t>documentation and transparent reporting</w:t>
      </w:r>
      <w:r w:rsidRPr="0085535D">
        <w:rPr>
          <w:rFonts w:ascii="Times New Roman" w:eastAsia="Times New Roman" w:hAnsi="Times New Roman" w:cs="Times New Roman"/>
          <w:sz w:val="24"/>
          <w:szCs w:val="24"/>
        </w:rPr>
        <w:t xml:space="preserve"> of all validation experiments are essential. Detailed presentation of validation design, number of replicates, acceptance criteria, and statistical treatment not only facilitates regulatory review but also enhances th</w:t>
      </w:r>
      <w:r w:rsidR="00396F9D">
        <w:rPr>
          <w:rFonts w:ascii="Times New Roman" w:eastAsia="Times New Roman" w:hAnsi="Times New Roman" w:cs="Times New Roman"/>
          <w:sz w:val="24"/>
          <w:szCs w:val="24"/>
        </w:rPr>
        <w:t xml:space="preserve">e scientific value of </w:t>
      </w:r>
      <w:r w:rsidR="00396F9D">
        <w:rPr>
          <w:rFonts w:ascii="Times New Roman" w:eastAsia="Times New Roman" w:hAnsi="Times New Roman" w:cs="Times New Roman"/>
          <w:sz w:val="24"/>
          <w:szCs w:val="24"/>
        </w:rPr>
        <w:lastRenderedPageBreak/>
        <w:t xml:space="preserve">published </w:t>
      </w:r>
      <w:r w:rsidRPr="0085535D">
        <w:rPr>
          <w:rFonts w:ascii="Times New Roman" w:eastAsia="Times New Roman" w:hAnsi="Times New Roman" w:cs="Times New Roman"/>
          <w:sz w:val="24"/>
          <w:szCs w:val="24"/>
        </w:rPr>
        <w:t>methods.</w:t>
      </w:r>
      <w:r w:rsidR="0085535D" w:rsidRPr="0085535D">
        <w:rPr>
          <w:rFonts w:ascii="Times New Roman" w:eastAsia="Times New Roman" w:hAnsi="Times New Roman" w:cs="Times New Roman"/>
          <w:sz w:val="24"/>
          <w:szCs w:val="24"/>
        </w:rPr>
        <w:t xml:space="preserve"> </w:t>
      </w:r>
      <w:r w:rsidR="0085535D" w:rsidRPr="0085535D">
        <w:rPr>
          <w:rFonts w:ascii="Times New Roman" w:hAnsi="Times New Roman" w:cs="Times New Roman"/>
          <w:sz w:val="24"/>
          <w:szCs w:val="24"/>
        </w:rPr>
        <w:t>[30–34].</w:t>
      </w:r>
      <w:r w:rsidR="0085535D" w:rsidRPr="0085535D">
        <w:rPr>
          <w:rFonts w:ascii="Times New Roman" w:hAnsi="Times New Roman" w:cs="Times New Roman"/>
          <w:sz w:val="24"/>
          <w:szCs w:val="24"/>
        </w:rPr>
        <w:br/>
      </w:r>
      <w:r w:rsidRPr="0085535D">
        <w:rPr>
          <w:rFonts w:ascii="Times New Roman" w:eastAsia="Times New Roman" w:hAnsi="Times New Roman" w:cs="Times New Roman"/>
          <w:sz w:val="24"/>
          <w:szCs w:val="24"/>
        </w:rPr>
        <w:t xml:space="preserve">By adopting these best practices, bioanalytical scientists can develop LC–MS/MS methods for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that are not only analytically sound but also fully aligned with current and future regulatory expectations.</w:t>
      </w:r>
    </w:p>
    <w:p w14:paraId="79E32E78" w14:textId="77777777" w:rsidR="00586838" w:rsidRPr="0085535D" w:rsidRDefault="00586838" w:rsidP="00413350">
      <w:pPr>
        <w:pStyle w:val="Heading2"/>
        <w:spacing w:before="240" w:beforeAutospacing="0" w:after="0" w:afterAutospacing="0" w:line="360" w:lineRule="auto"/>
        <w:jc w:val="both"/>
        <w:rPr>
          <w:sz w:val="24"/>
          <w:szCs w:val="24"/>
        </w:rPr>
      </w:pPr>
      <w:r w:rsidRPr="0085535D">
        <w:rPr>
          <w:rStyle w:val="Strong"/>
          <w:b/>
          <w:bCs/>
          <w:sz w:val="24"/>
          <w:szCs w:val="24"/>
        </w:rPr>
        <w:t>8. FUTURE REGULATORY EXPECTATIONS AND ANALYTICAL TRENDS</w:t>
      </w:r>
    </w:p>
    <w:p w14:paraId="1B7A9A1F" w14:textId="77777777" w:rsidR="00586838" w:rsidRPr="0085535D" w:rsidRDefault="00586838" w:rsidP="00413350">
      <w:pPr>
        <w:pStyle w:val="NormalWeb"/>
        <w:spacing w:before="240" w:beforeAutospacing="0" w:after="0" w:afterAutospacing="0" w:line="360" w:lineRule="auto"/>
        <w:jc w:val="both"/>
      </w:pPr>
      <w:r w:rsidRPr="0085535D">
        <w:t xml:space="preserve">The regulatory landscape governing bioanalytical method validation continues to evolve, driven by the need for greater harmonization, reproducibility, and data integrity in global drug development programs. The implementation of the ICH M10 guideline represents a pivotal shift toward unified international standards, and its impact on LC–MS/MS bioanalysis of drugs such as </w:t>
      </w:r>
      <w:r w:rsidR="006A784A">
        <w:t>TZD</w:t>
      </w:r>
      <w:r w:rsidRPr="0085535D">
        <w:t xml:space="preserve"> is expected to be substantial.</w:t>
      </w:r>
    </w:p>
    <w:p w14:paraId="497759B9" w14:textId="77777777" w:rsidR="00586838" w:rsidRPr="0085535D" w:rsidRDefault="00586838" w:rsidP="00413350">
      <w:pPr>
        <w:pStyle w:val="NormalWeb"/>
        <w:spacing w:before="240" w:beforeAutospacing="0" w:after="0" w:afterAutospacing="0" w:line="360" w:lineRule="auto"/>
        <w:jc w:val="both"/>
      </w:pPr>
      <w:r w:rsidRPr="0085535D">
        <w:t xml:space="preserve">One of the most significant future regulatory expectations is the </w:t>
      </w:r>
      <w:r w:rsidRPr="00B95ED1">
        <w:rPr>
          <w:rStyle w:val="Strong"/>
          <w:b w:val="0"/>
        </w:rPr>
        <w:t>broader adoption of lifecycle-based bioanalytical method management</w:t>
      </w:r>
      <w:r w:rsidRPr="0085535D">
        <w:t xml:space="preserve">. Rather than viewing validation as a one-time exercise, regulatory agencies now emphasize continuous monitoring of method performance throughout clinical development and post-approval phases. For </w:t>
      </w:r>
      <w:r w:rsidR="006A784A">
        <w:t>TZD</w:t>
      </w:r>
      <w:r w:rsidRPr="0085535D">
        <w:t xml:space="preserve"> and similar antidepressants, this approach necessitates ongoing evaluation of method robustness, especially when applied across different studies, laboratories, or formulations.</w:t>
      </w:r>
    </w:p>
    <w:p w14:paraId="02B9EC79" w14:textId="77777777" w:rsidR="00586838" w:rsidRPr="0085535D" w:rsidRDefault="00586838" w:rsidP="00413350">
      <w:pPr>
        <w:pStyle w:val="NormalWeb"/>
        <w:spacing w:before="240" w:beforeAutospacing="0" w:after="0" w:afterAutospacing="0" w:line="360" w:lineRule="auto"/>
        <w:jc w:val="both"/>
      </w:pPr>
      <w:r w:rsidRPr="00396F9D">
        <w:rPr>
          <w:rStyle w:val="Strong"/>
          <w:b w:val="0"/>
        </w:rPr>
        <w:t>Incurred sample reanalysis (ISR)</w:t>
      </w:r>
      <w:r w:rsidRPr="0085535D">
        <w:t xml:space="preserve"> is anticipated to become an integral component of regulatory submissions. Although ISR has historically been applied selectively, ICH M10 underscores its importance in demonstrating reproducibility under real sample conditions. Future </w:t>
      </w:r>
      <w:r w:rsidR="006A784A">
        <w:t>TZD</w:t>
      </w:r>
      <w:r w:rsidRPr="0085535D">
        <w:t xml:space="preserve"> bioanalytical methods are therefore expected to incorporate ISR as a routine practice, particularly in pivotal pharmacokinetic and bioequivalence studies.</w:t>
      </w:r>
      <w:r w:rsidR="0085535D" w:rsidRPr="0085535D">
        <w:t xml:space="preserve"> [35–39]</w:t>
      </w:r>
    </w:p>
    <w:p w14:paraId="31B17E67" w14:textId="77777777" w:rsidR="00586838" w:rsidRPr="0085535D" w:rsidRDefault="00586838" w:rsidP="00413350">
      <w:pPr>
        <w:pStyle w:val="NormalWeb"/>
        <w:spacing w:before="240" w:beforeAutospacing="0" w:after="0" w:afterAutospacing="0" w:line="360" w:lineRule="auto"/>
        <w:jc w:val="both"/>
      </w:pPr>
      <w:r w:rsidRPr="0085535D">
        <w:t xml:space="preserve">Advancements in </w:t>
      </w:r>
      <w:r w:rsidRPr="00396F9D">
        <w:rPr>
          <w:rStyle w:val="Strong"/>
          <w:b w:val="0"/>
        </w:rPr>
        <w:t>LC–MS/MS instrumentation</w:t>
      </w:r>
      <w:r w:rsidRPr="0085535D">
        <w:t xml:space="preserve"> are also shaping analytical trends. Modern mass spectrometers offer enhanced sensitivity, faster polarity switching, and improved robustness, enabling lower limits of quantification and shorter run times. While these technological developments increase analytical efficiency, regulators continue to prioritize data quality and reproducibility over sheer throughput. Consequently, method developers must ensure that gains in speed do not compromise validation rigor or selectivity.</w:t>
      </w:r>
    </w:p>
    <w:p w14:paraId="014B01DA" w14:textId="77777777" w:rsidR="00586838" w:rsidRPr="0085535D" w:rsidRDefault="00586838" w:rsidP="00413350">
      <w:pPr>
        <w:pStyle w:val="NormalWeb"/>
        <w:spacing w:before="240" w:beforeAutospacing="0" w:after="0" w:afterAutospacing="0" w:line="360" w:lineRule="auto"/>
        <w:jc w:val="both"/>
      </w:pPr>
      <w:r w:rsidRPr="0085535D">
        <w:lastRenderedPageBreak/>
        <w:t xml:space="preserve">Another emerging trend is the increased focus on </w:t>
      </w:r>
      <w:r w:rsidRPr="00396F9D">
        <w:rPr>
          <w:rStyle w:val="Strong"/>
          <w:b w:val="0"/>
        </w:rPr>
        <w:t>matrix effect mitigation and characterization</w:t>
      </w:r>
      <w:r w:rsidRPr="0085535D">
        <w:t>. As analytical methods are increasingly applied to diverse patient populations, including those with varying physiological conditions, the potential for matrix-related variability becomes more pronounced. Regulatory expectations are likely to further emphasize comprehensive matrix effect evaluation using diverse plasma sources, including hemolyzed and lipemic samples.</w:t>
      </w:r>
    </w:p>
    <w:p w14:paraId="3592B6CD" w14:textId="77777777" w:rsidR="00586838" w:rsidRPr="0085535D" w:rsidRDefault="00586838" w:rsidP="00413350">
      <w:pPr>
        <w:pStyle w:val="NormalWeb"/>
        <w:spacing w:before="240" w:beforeAutospacing="0" w:after="0" w:afterAutospacing="0" w:line="360" w:lineRule="auto"/>
        <w:jc w:val="both"/>
      </w:pPr>
      <w:r w:rsidRPr="00396F9D">
        <w:rPr>
          <w:rStyle w:val="Strong"/>
          <w:b w:val="0"/>
        </w:rPr>
        <w:t xml:space="preserve">Automation and high-throughput </w:t>
      </w:r>
      <w:r w:rsidR="00B95ED1" w:rsidRPr="00396F9D">
        <w:rPr>
          <w:rStyle w:val="Strong"/>
          <w:b w:val="0"/>
        </w:rPr>
        <w:t>bio analysis</w:t>
      </w:r>
      <w:r w:rsidRPr="0085535D">
        <w:t xml:space="preserve"> are also expected to play a growing role in future studies, particularly in large-scale clinical trials. Automated sample preparation platforms and integrated data processing systems can improve reproducibility and reduce human </w:t>
      </w:r>
      <w:proofErr w:type="gramStart"/>
      <w:r w:rsidRPr="0085535D">
        <w:t>error.</w:t>
      </w:r>
      <w:r w:rsidR="0085535D" w:rsidRPr="0085535D">
        <w:t>.</w:t>
      </w:r>
      <w:proofErr w:type="gramEnd"/>
      <w:r w:rsidR="0085535D" w:rsidRPr="0085535D">
        <w:t xml:space="preserve"> </w:t>
      </w:r>
      <w:r w:rsidRPr="0085535D">
        <w:t>However, their adoption must be accompanied by appropriate validation and cross-validation to satisfy regulatory requirements.</w:t>
      </w:r>
      <w:r w:rsidR="0085535D" w:rsidRPr="0085535D">
        <w:t xml:space="preserve"> </w:t>
      </w:r>
      <w:r w:rsidR="006A784A">
        <w:t>[40–50</w:t>
      </w:r>
      <w:r w:rsidR="0085535D" w:rsidRPr="0085535D">
        <w:t>].</w:t>
      </w:r>
    </w:p>
    <w:p w14:paraId="587BAF90" w14:textId="77777777" w:rsidR="00586838" w:rsidRPr="0085535D" w:rsidRDefault="00586838" w:rsidP="00413350">
      <w:pPr>
        <w:pStyle w:val="NormalWeb"/>
        <w:spacing w:before="240" w:beforeAutospacing="0" w:after="0" w:afterAutospacing="0" w:line="360" w:lineRule="auto"/>
        <w:jc w:val="both"/>
      </w:pPr>
      <w:r w:rsidRPr="0085535D">
        <w:t xml:space="preserve">Finally, there is a growing emphasis on </w:t>
      </w:r>
      <w:r w:rsidRPr="00396F9D">
        <w:rPr>
          <w:rStyle w:val="Strong"/>
          <w:b w:val="0"/>
        </w:rPr>
        <w:t>data integrity and transparency</w:t>
      </w:r>
      <w:r w:rsidRPr="0085535D">
        <w:t xml:space="preserve">, aligned with broader regulatory initiatives addressing good laboratory practices and electronic data management. Clear documentation, traceability of analytical results, and adherence to standardized reporting formats will be critical for ensuring regulatory confidence in </w:t>
      </w:r>
      <w:r w:rsidR="006A784A">
        <w:t>TZD</w:t>
      </w:r>
      <w:r w:rsidRPr="0085535D">
        <w:t xml:space="preserve"> bioanalytical data.</w:t>
      </w:r>
    </w:p>
    <w:p w14:paraId="1C0B0B7F" w14:textId="77777777" w:rsidR="00586838" w:rsidRPr="0085535D" w:rsidRDefault="00586838" w:rsidP="00413350">
      <w:pPr>
        <w:pStyle w:val="NormalWeb"/>
        <w:spacing w:before="240" w:beforeAutospacing="0" w:after="0" w:afterAutospacing="0" w:line="360" w:lineRule="auto"/>
        <w:jc w:val="both"/>
      </w:pPr>
      <w:r w:rsidRPr="0085535D">
        <w:t xml:space="preserve">Overall, future LC–MS/MS methods for </w:t>
      </w:r>
      <w:r w:rsidR="006A784A">
        <w:t>TZD</w:t>
      </w:r>
      <w:r w:rsidRPr="0085535D">
        <w:t xml:space="preserve"> are expected to reflect a convergence of advanced analytical technology and stringent regulatory oversight. Bioanalytical scientists who proactively align their method development and validation strategies with these evolving expectations will be better positioned to generate data that are both scientifically robust and globally acceptable.</w:t>
      </w:r>
    </w:p>
    <w:p w14:paraId="6EC4B4FE" w14:textId="77777777" w:rsidR="00586838" w:rsidRPr="0085535D" w:rsidRDefault="00586838" w:rsidP="00413350">
      <w:pPr>
        <w:spacing w:before="240" w:after="0" w:line="360" w:lineRule="auto"/>
        <w:jc w:val="both"/>
        <w:outlineLvl w:val="1"/>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t>9. CONCLUSION</w:t>
      </w:r>
    </w:p>
    <w:p w14:paraId="0B605469"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The accurate and reliable quantification of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in human plasma is essential for pharmacokinetic, bioavailability, and bioequivalence studies that support both clinical development and regulatory submissions. Over the years, LC–MS/MS has become the analytical technique of choice for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w:t>
      </w:r>
      <w:r w:rsidR="00B95ED1" w:rsidRPr="0085535D">
        <w:rPr>
          <w:rFonts w:ascii="Times New Roman" w:eastAsia="Times New Roman" w:hAnsi="Times New Roman" w:cs="Times New Roman"/>
          <w:sz w:val="24"/>
          <w:szCs w:val="24"/>
        </w:rPr>
        <w:t>bio analysis</w:t>
      </w:r>
      <w:r w:rsidRPr="0085535D">
        <w:rPr>
          <w:rFonts w:ascii="Times New Roman" w:eastAsia="Times New Roman" w:hAnsi="Times New Roman" w:cs="Times New Roman"/>
          <w:sz w:val="24"/>
          <w:szCs w:val="24"/>
        </w:rPr>
        <w:t xml:space="preserve"> due to its high sensitivity, selectivity, and compatibility with complex biological matrices. However, as demonstrated in this critical review, considerable variability exists among reported LC–MS/MS methods with respect to methodological design, validation rigor, and regulatory compliance.</w:t>
      </w:r>
    </w:p>
    <w:p w14:paraId="0992F56C"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While most published methods successfully achieve adequate sensitivity and chromatographic performance, inconsistencies in adherence to bioanalytical method validation guidelines remain </w:t>
      </w:r>
      <w:r w:rsidRPr="0085535D">
        <w:rPr>
          <w:rFonts w:ascii="Times New Roman" w:eastAsia="Times New Roman" w:hAnsi="Times New Roman" w:cs="Times New Roman"/>
          <w:sz w:val="24"/>
          <w:szCs w:val="24"/>
        </w:rPr>
        <w:lastRenderedPageBreak/>
        <w:t>evident. Common deficiencies include incomplete matrix effect evaluation, suboptimal internal standard selection, limited stability assessments, and insufficient documentation of carryover, dilution integrity, and incurred sample reanalysis. These gaps do not necessarily diminish the analytical feasibility of the methods but may significantly restrict their acceptability for regulated pharmacokinetic and bioequivalence applications, particularly under the harmonized expectations outlined in ICH M10.</w:t>
      </w:r>
    </w:p>
    <w:p w14:paraId="65DDE954" w14:textId="77777777" w:rsidR="00586838" w:rsidRPr="0085535D"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This review underscores the importance of adopting a guideline-driven, lifecycle-based approach to bioanalytical method development and validation. Alignment with both USFDA and ICH M10 requirements, coupled with transparent reporting and critical evaluation of validation parameters, is essential to ensure data integrity and global regulatory acceptance. The practical recommendations provided herein aim to assist bioanalytical scientists in designing robust LC–MS/MS assays for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that meet contemporary regulatory standards.</w:t>
      </w:r>
    </w:p>
    <w:p w14:paraId="0D4D2518" w14:textId="6BDA3865" w:rsidR="00586838" w:rsidRDefault="00586838" w:rsidP="00413350">
      <w:pPr>
        <w:spacing w:before="240" w:after="0" w:line="360" w:lineRule="auto"/>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In conclusion, future research and method development efforts should prioritize regulatory compliance alongside analytical performance. By integrating advanced LC–MS/MS technologies with rigorous validation practices and proactive consideration of evolving regulatory expectations, bioanalytical laboratories can generate high-quality data that effectively support the clinical and regulatory evaluation of </w:t>
      </w:r>
      <w:r w:rsidR="006A784A">
        <w:rPr>
          <w:rFonts w:ascii="Times New Roman" w:eastAsia="Times New Roman" w:hAnsi="Times New Roman" w:cs="Times New Roman"/>
          <w:sz w:val="24"/>
          <w:szCs w:val="24"/>
        </w:rPr>
        <w:t>TZD</w:t>
      </w:r>
      <w:r w:rsidRPr="0085535D">
        <w:rPr>
          <w:rFonts w:ascii="Times New Roman" w:eastAsia="Times New Roman" w:hAnsi="Times New Roman" w:cs="Times New Roman"/>
          <w:sz w:val="24"/>
          <w:szCs w:val="24"/>
        </w:rPr>
        <w:t xml:space="preserve"> and related pharmaceutical products.</w:t>
      </w:r>
    </w:p>
    <w:p w14:paraId="2DB26817" w14:textId="77777777" w:rsidR="008A4F43" w:rsidRDefault="008A4F43" w:rsidP="00413350">
      <w:pPr>
        <w:spacing w:before="240" w:after="0" w:line="360" w:lineRule="auto"/>
        <w:jc w:val="both"/>
        <w:rPr>
          <w:rFonts w:ascii="Times New Roman" w:eastAsia="Times New Roman" w:hAnsi="Times New Roman" w:cs="Times New Roman"/>
          <w:sz w:val="24"/>
          <w:szCs w:val="24"/>
        </w:rPr>
      </w:pPr>
    </w:p>
    <w:p w14:paraId="2EA12459" w14:textId="77777777" w:rsidR="000C4623" w:rsidRPr="009705E9" w:rsidRDefault="000C4623" w:rsidP="000C4623">
      <w:pPr>
        <w:rPr>
          <w:b/>
          <w:highlight w:val="yellow"/>
        </w:rPr>
      </w:pPr>
      <w:r w:rsidRPr="009705E9">
        <w:rPr>
          <w:b/>
          <w:highlight w:val="yellow"/>
        </w:rPr>
        <w:t>Disclaimer (Artificial intelligence)</w:t>
      </w:r>
    </w:p>
    <w:p w14:paraId="76FC4957" w14:textId="77777777" w:rsidR="000C4623" w:rsidRDefault="000C4623" w:rsidP="000C4623">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3B09DB0" w14:textId="77777777" w:rsidR="000C4623" w:rsidRPr="0085535D" w:rsidRDefault="000C4623" w:rsidP="00413350">
      <w:pPr>
        <w:spacing w:before="240" w:after="0" w:line="360" w:lineRule="auto"/>
        <w:jc w:val="both"/>
        <w:rPr>
          <w:rFonts w:ascii="Times New Roman" w:eastAsia="Times New Roman" w:hAnsi="Times New Roman" w:cs="Times New Roman"/>
          <w:sz w:val="24"/>
          <w:szCs w:val="24"/>
        </w:rPr>
      </w:pPr>
    </w:p>
    <w:p w14:paraId="6394BA92" w14:textId="77777777" w:rsidR="00586838" w:rsidRPr="0085535D" w:rsidRDefault="00586838" w:rsidP="00413350">
      <w:pPr>
        <w:spacing w:before="240" w:after="0" w:line="360" w:lineRule="auto"/>
        <w:jc w:val="both"/>
        <w:outlineLvl w:val="1"/>
        <w:rPr>
          <w:rFonts w:ascii="Times New Roman" w:eastAsia="Times New Roman" w:hAnsi="Times New Roman" w:cs="Times New Roman"/>
          <w:b/>
          <w:bCs/>
          <w:sz w:val="24"/>
          <w:szCs w:val="24"/>
        </w:rPr>
      </w:pPr>
      <w:r w:rsidRPr="0085535D">
        <w:rPr>
          <w:rFonts w:ascii="Times New Roman" w:eastAsia="Times New Roman" w:hAnsi="Times New Roman" w:cs="Times New Roman"/>
          <w:b/>
          <w:bCs/>
          <w:sz w:val="24"/>
          <w:szCs w:val="24"/>
        </w:rPr>
        <w:t xml:space="preserve">REFERENCES </w:t>
      </w:r>
    </w:p>
    <w:p w14:paraId="5BC65D5C"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Shah VP, </w:t>
      </w:r>
      <w:proofErr w:type="spellStart"/>
      <w:r w:rsidRPr="0085535D">
        <w:rPr>
          <w:rFonts w:ascii="Times New Roman" w:eastAsia="Times New Roman" w:hAnsi="Times New Roman" w:cs="Times New Roman"/>
          <w:sz w:val="24"/>
          <w:szCs w:val="24"/>
        </w:rPr>
        <w:t>Midha</w:t>
      </w:r>
      <w:proofErr w:type="spellEnd"/>
      <w:r w:rsidRPr="0085535D">
        <w:rPr>
          <w:rFonts w:ascii="Times New Roman" w:eastAsia="Times New Roman" w:hAnsi="Times New Roman" w:cs="Times New Roman"/>
          <w:sz w:val="24"/>
          <w:szCs w:val="24"/>
        </w:rPr>
        <w:t xml:space="preserve"> KK, Findlay JW, Hill HM, Hulse JD, </w:t>
      </w:r>
      <w:proofErr w:type="spellStart"/>
      <w:r w:rsidRPr="0085535D">
        <w:rPr>
          <w:rFonts w:ascii="Times New Roman" w:eastAsia="Times New Roman" w:hAnsi="Times New Roman" w:cs="Times New Roman"/>
          <w:sz w:val="24"/>
          <w:szCs w:val="24"/>
        </w:rPr>
        <w:t>McGilveray</w:t>
      </w:r>
      <w:proofErr w:type="spellEnd"/>
      <w:r w:rsidRPr="0085535D">
        <w:rPr>
          <w:rFonts w:ascii="Times New Roman" w:eastAsia="Times New Roman" w:hAnsi="Times New Roman" w:cs="Times New Roman"/>
          <w:sz w:val="24"/>
          <w:szCs w:val="24"/>
        </w:rPr>
        <w:t xml:space="preserve"> IJ, et al. Bioanalytical method validation—A revisit with a decade of progress. </w:t>
      </w:r>
      <w:r w:rsidRPr="0085535D">
        <w:rPr>
          <w:rFonts w:ascii="Times New Roman" w:eastAsia="Times New Roman" w:hAnsi="Times New Roman" w:cs="Times New Roman"/>
          <w:i/>
          <w:iCs/>
          <w:sz w:val="24"/>
          <w:szCs w:val="24"/>
        </w:rPr>
        <w:t>Pharm Res</w:t>
      </w:r>
      <w:r w:rsidRPr="0085535D">
        <w:rPr>
          <w:rFonts w:ascii="Times New Roman" w:eastAsia="Times New Roman" w:hAnsi="Times New Roman" w:cs="Times New Roman"/>
          <w:sz w:val="24"/>
          <w:szCs w:val="24"/>
        </w:rPr>
        <w:t>. 2000;17(12):1551–7.</w:t>
      </w:r>
    </w:p>
    <w:p w14:paraId="63F888F5"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US Food and Drug Administration. Bioanalytical Method Validation: Guidance for Industry. Silver Spring (MD): FDA; 2018.</w:t>
      </w:r>
    </w:p>
    <w:p w14:paraId="50AB067B"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lastRenderedPageBreak/>
        <w:t xml:space="preserve">International Council for </w:t>
      </w:r>
      <w:proofErr w:type="spellStart"/>
      <w:r w:rsidRPr="0085535D">
        <w:rPr>
          <w:rFonts w:ascii="Times New Roman" w:eastAsia="Times New Roman" w:hAnsi="Times New Roman" w:cs="Times New Roman"/>
          <w:sz w:val="24"/>
          <w:szCs w:val="24"/>
        </w:rPr>
        <w:t>Harmonisation</w:t>
      </w:r>
      <w:proofErr w:type="spellEnd"/>
      <w:r w:rsidRPr="0085535D">
        <w:rPr>
          <w:rFonts w:ascii="Times New Roman" w:eastAsia="Times New Roman" w:hAnsi="Times New Roman" w:cs="Times New Roman"/>
          <w:sz w:val="24"/>
          <w:szCs w:val="24"/>
        </w:rPr>
        <w:t>. ICH M10: Bioanalytical Method Validation. Geneva: ICH; 2022.</w:t>
      </w:r>
    </w:p>
    <w:p w14:paraId="4C24709A"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Viswanathan CT, Bansal S, Booth B, DeStefano AJ, Rose MJ, </w:t>
      </w:r>
      <w:proofErr w:type="spellStart"/>
      <w:r w:rsidRPr="0085535D">
        <w:rPr>
          <w:rFonts w:ascii="Times New Roman" w:eastAsia="Times New Roman" w:hAnsi="Times New Roman" w:cs="Times New Roman"/>
          <w:sz w:val="24"/>
          <w:szCs w:val="24"/>
        </w:rPr>
        <w:t>Sailstad</w:t>
      </w:r>
      <w:proofErr w:type="spellEnd"/>
      <w:r w:rsidRPr="0085535D">
        <w:rPr>
          <w:rFonts w:ascii="Times New Roman" w:eastAsia="Times New Roman" w:hAnsi="Times New Roman" w:cs="Times New Roman"/>
          <w:sz w:val="24"/>
          <w:szCs w:val="24"/>
        </w:rPr>
        <w:t xml:space="preserve"> J, et al. Quantitative bioanalytical methods validation and implementation: Best practices. </w:t>
      </w:r>
      <w:r w:rsidRPr="0085535D">
        <w:rPr>
          <w:rFonts w:ascii="Times New Roman" w:eastAsia="Times New Roman" w:hAnsi="Times New Roman" w:cs="Times New Roman"/>
          <w:i/>
          <w:iCs/>
          <w:sz w:val="24"/>
          <w:szCs w:val="24"/>
        </w:rPr>
        <w:t>AAPS J</w:t>
      </w:r>
      <w:r w:rsidRPr="0085535D">
        <w:rPr>
          <w:rFonts w:ascii="Times New Roman" w:eastAsia="Times New Roman" w:hAnsi="Times New Roman" w:cs="Times New Roman"/>
          <w:sz w:val="24"/>
          <w:szCs w:val="24"/>
        </w:rPr>
        <w:t>. 2007;9(1</w:t>
      </w:r>
      <w:proofErr w:type="gramStart"/>
      <w:r w:rsidRPr="0085535D">
        <w:rPr>
          <w:rFonts w:ascii="Times New Roman" w:eastAsia="Times New Roman" w:hAnsi="Times New Roman" w:cs="Times New Roman"/>
          <w:sz w:val="24"/>
          <w:szCs w:val="24"/>
        </w:rPr>
        <w:t>):E</w:t>
      </w:r>
      <w:proofErr w:type="gramEnd"/>
      <w:r w:rsidRPr="0085535D">
        <w:rPr>
          <w:rFonts w:ascii="Times New Roman" w:eastAsia="Times New Roman" w:hAnsi="Times New Roman" w:cs="Times New Roman"/>
          <w:sz w:val="24"/>
          <w:szCs w:val="24"/>
        </w:rPr>
        <w:t>30–42.</w:t>
      </w:r>
    </w:p>
    <w:p w14:paraId="2D00AE92"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Jemal M, Xia YQ. LC–MS/MS bioanalysis: Challenges, strategies, and future perspectives. </w:t>
      </w:r>
      <w:r w:rsidRPr="0085535D">
        <w:rPr>
          <w:rFonts w:ascii="Times New Roman" w:eastAsia="Times New Roman" w:hAnsi="Times New Roman" w:cs="Times New Roman"/>
          <w:i/>
          <w:iCs/>
          <w:sz w:val="24"/>
          <w:szCs w:val="24"/>
        </w:rPr>
        <w:t xml:space="preserve">Rapid </w:t>
      </w:r>
      <w:proofErr w:type="spellStart"/>
      <w:r w:rsidRPr="0085535D">
        <w:rPr>
          <w:rFonts w:ascii="Times New Roman" w:eastAsia="Times New Roman" w:hAnsi="Times New Roman" w:cs="Times New Roman"/>
          <w:i/>
          <w:iCs/>
          <w:sz w:val="24"/>
          <w:szCs w:val="24"/>
        </w:rPr>
        <w:t>Commun</w:t>
      </w:r>
      <w:proofErr w:type="spellEnd"/>
      <w:r w:rsidRPr="0085535D">
        <w:rPr>
          <w:rFonts w:ascii="Times New Roman" w:eastAsia="Times New Roman" w:hAnsi="Times New Roman" w:cs="Times New Roman"/>
          <w:i/>
          <w:iCs/>
          <w:sz w:val="24"/>
          <w:szCs w:val="24"/>
        </w:rPr>
        <w:t xml:space="preserve"> Mass </w:t>
      </w:r>
      <w:proofErr w:type="spellStart"/>
      <w:r w:rsidRPr="0085535D">
        <w:rPr>
          <w:rFonts w:ascii="Times New Roman" w:eastAsia="Times New Roman" w:hAnsi="Times New Roman" w:cs="Times New Roman"/>
          <w:i/>
          <w:iCs/>
          <w:sz w:val="24"/>
          <w:szCs w:val="24"/>
        </w:rPr>
        <w:t>Spectrom</w:t>
      </w:r>
      <w:proofErr w:type="spellEnd"/>
      <w:r w:rsidRPr="0085535D">
        <w:rPr>
          <w:rFonts w:ascii="Times New Roman" w:eastAsia="Times New Roman" w:hAnsi="Times New Roman" w:cs="Times New Roman"/>
          <w:sz w:val="24"/>
          <w:szCs w:val="24"/>
        </w:rPr>
        <w:t>. 2006;20(20):3153–64.</w:t>
      </w:r>
    </w:p>
    <w:p w14:paraId="0E35DCBA"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Xu RN, Fan L, </w:t>
      </w:r>
      <w:proofErr w:type="spellStart"/>
      <w:r w:rsidRPr="0085535D">
        <w:rPr>
          <w:rFonts w:ascii="Times New Roman" w:eastAsia="Times New Roman" w:hAnsi="Times New Roman" w:cs="Times New Roman"/>
          <w:sz w:val="24"/>
          <w:szCs w:val="24"/>
        </w:rPr>
        <w:t>Rieser</w:t>
      </w:r>
      <w:proofErr w:type="spellEnd"/>
      <w:r w:rsidRPr="0085535D">
        <w:rPr>
          <w:rFonts w:ascii="Times New Roman" w:eastAsia="Times New Roman" w:hAnsi="Times New Roman" w:cs="Times New Roman"/>
          <w:sz w:val="24"/>
          <w:szCs w:val="24"/>
        </w:rPr>
        <w:t xml:space="preserve"> MJ, El-</w:t>
      </w:r>
      <w:proofErr w:type="spellStart"/>
      <w:r w:rsidRPr="0085535D">
        <w:rPr>
          <w:rFonts w:ascii="Times New Roman" w:eastAsia="Times New Roman" w:hAnsi="Times New Roman" w:cs="Times New Roman"/>
          <w:sz w:val="24"/>
          <w:szCs w:val="24"/>
        </w:rPr>
        <w:t>Shourbagy</w:t>
      </w:r>
      <w:proofErr w:type="spellEnd"/>
      <w:r w:rsidRPr="0085535D">
        <w:rPr>
          <w:rFonts w:ascii="Times New Roman" w:eastAsia="Times New Roman" w:hAnsi="Times New Roman" w:cs="Times New Roman"/>
          <w:sz w:val="24"/>
          <w:szCs w:val="24"/>
        </w:rPr>
        <w:t xml:space="preserve"> TA. Recent advances in high-throughput quantitative bioanalysis by LC–MS/MS. </w:t>
      </w:r>
      <w:r w:rsidRPr="0085535D">
        <w:rPr>
          <w:rFonts w:ascii="Times New Roman" w:eastAsia="Times New Roman" w:hAnsi="Times New Roman" w:cs="Times New Roman"/>
          <w:i/>
          <w:iCs/>
          <w:sz w:val="24"/>
          <w:szCs w:val="24"/>
        </w:rPr>
        <w:t>J Pharm Biomed Anal</w:t>
      </w:r>
      <w:r w:rsidRPr="0085535D">
        <w:rPr>
          <w:rFonts w:ascii="Times New Roman" w:eastAsia="Times New Roman" w:hAnsi="Times New Roman" w:cs="Times New Roman"/>
          <w:sz w:val="24"/>
          <w:szCs w:val="24"/>
        </w:rPr>
        <w:t>. 2007;44(2):342–55.</w:t>
      </w:r>
    </w:p>
    <w:p w14:paraId="43617C33"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Chambers E, </w:t>
      </w:r>
      <w:proofErr w:type="spellStart"/>
      <w:r w:rsidRPr="0085535D">
        <w:rPr>
          <w:rFonts w:ascii="Times New Roman" w:eastAsia="Times New Roman" w:hAnsi="Times New Roman" w:cs="Times New Roman"/>
          <w:sz w:val="24"/>
          <w:szCs w:val="24"/>
        </w:rPr>
        <w:t>Wagrowski</w:t>
      </w:r>
      <w:proofErr w:type="spellEnd"/>
      <w:r w:rsidRPr="0085535D">
        <w:rPr>
          <w:rFonts w:ascii="Times New Roman" w:eastAsia="Times New Roman" w:hAnsi="Times New Roman" w:cs="Times New Roman"/>
          <w:sz w:val="24"/>
          <w:szCs w:val="24"/>
        </w:rPr>
        <w:t xml:space="preserve">-Diehl DM, Lu Z, </w:t>
      </w:r>
      <w:proofErr w:type="spellStart"/>
      <w:r w:rsidRPr="0085535D">
        <w:rPr>
          <w:rFonts w:ascii="Times New Roman" w:eastAsia="Times New Roman" w:hAnsi="Times New Roman" w:cs="Times New Roman"/>
          <w:sz w:val="24"/>
          <w:szCs w:val="24"/>
        </w:rPr>
        <w:t>Mazzeo</w:t>
      </w:r>
      <w:proofErr w:type="spellEnd"/>
      <w:r w:rsidRPr="0085535D">
        <w:rPr>
          <w:rFonts w:ascii="Times New Roman" w:eastAsia="Times New Roman" w:hAnsi="Times New Roman" w:cs="Times New Roman"/>
          <w:sz w:val="24"/>
          <w:szCs w:val="24"/>
        </w:rPr>
        <w:t xml:space="preserve"> JR. Systematic and comprehensive strategy for reducing matrix effects in LC–MS/MS analyses. </w:t>
      </w:r>
      <w:r w:rsidRPr="0085535D">
        <w:rPr>
          <w:rFonts w:ascii="Times New Roman" w:eastAsia="Times New Roman" w:hAnsi="Times New Roman" w:cs="Times New Roman"/>
          <w:i/>
          <w:iCs/>
          <w:sz w:val="24"/>
          <w:szCs w:val="24"/>
        </w:rPr>
        <w:t xml:space="preserve">J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i/>
          <w:iCs/>
          <w:sz w:val="24"/>
          <w:szCs w:val="24"/>
        </w:rPr>
        <w:t xml:space="preserve"> B</w:t>
      </w:r>
      <w:r w:rsidRPr="0085535D">
        <w:rPr>
          <w:rFonts w:ascii="Times New Roman" w:eastAsia="Times New Roman" w:hAnsi="Times New Roman" w:cs="Times New Roman"/>
          <w:sz w:val="24"/>
          <w:szCs w:val="24"/>
        </w:rPr>
        <w:t>. 2007;852(1–2):22–34.</w:t>
      </w:r>
    </w:p>
    <w:p w14:paraId="0DE685F3"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Trivedi RK, Patel MC. Bioanalytical method validation: A review. </w:t>
      </w:r>
      <w:r w:rsidRPr="0085535D">
        <w:rPr>
          <w:rFonts w:ascii="Times New Roman" w:eastAsia="Times New Roman" w:hAnsi="Times New Roman" w:cs="Times New Roman"/>
          <w:i/>
          <w:iCs/>
          <w:sz w:val="24"/>
          <w:szCs w:val="24"/>
        </w:rPr>
        <w:t>Pharm Methods</w:t>
      </w:r>
      <w:r w:rsidRPr="0085535D">
        <w:rPr>
          <w:rFonts w:ascii="Times New Roman" w:eastAsia="Times New Roman" w:hAnsi="Times New Roman" w:cs="Times New Roman"/>
          <w:sz w:val="24"/>
          <w:szCs w:val="24"/>
        </w:rPr>
        <w:t>. 2012;3(1):1–10.</w:t>
      </w:r>
    </w:p>
    <w:p w14:paraId="5FAD7173"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Bonfiglio</w:t>
      </w:r>
      <w:proofErr w:type="spellEnd"/>
      <w:r w:rsidRPr="0085535D">
        <w:rPr>
          <w:rFonts w:ascii="Times New Roman" w:eastAsia="Times New Roman" w:hAnsi="Times New Roman" w:cs="Times New Roman"/>
          <w:sz w:val="24"/>
          <w:szCs w:val="24"/>
        </w:rPr>
        <w:t xml:space="preserve"> R, King RC, </w:t>
      </w:r>
      <w:proofErr w:type="spellStart"/>
      <w:r w:rsidRPr="0085535D">
        <w:rPr>
          <w:rFonts w:ascii="Times New Roman" w:eastAsia="Times New Roman" w:hAnsi="Times New Roman" w:cs="Times New Roman"/>
          <w:sz w:val="24"/>
          <w:szCs w:val="24"/>
        </w:rPr>
        <w:t>Olah</w:t>
      </w:r>
      <w:proofErr w:type="spellEnd"/>
      <w:r w:rsidRPr="0085535D">
        <w:rPr>
          <w:rFonts w:ascii="Times New Roman" w:eastAsia="Times New Roman" w:hAnsi="Times New Roman" w:cs="Times New Roman"/>
          <w:sz w:val="24"/>
          <w:szCs w:val="24"/>
        </w:rPr>
        <w:t xml:space="preserve"> TV, Merkle K. The effects of sample preparation methods on matrix effects in LC–MS/MS bioanalysis. </w:t>
      </w:r>
      <w:r w:rsidRPr="0085535D">
        <w:rPr>
          <w:rFonts w:ascii="Times New Roman" w:eastAsia="Times New Roman" w:hAnsi="Times New Roman" w:cs="Times New Roman"/>
          <w:i/>
          <w:iCs/>
          <w:sz w:val="24"/>
          <w:szCs w:val="24"/>
        </w:rPr>
        <w:t xml:space="preserve">Rapid </w:t>
      </w:r>
      <w:proofErr w:type="spellStart"/>
      <w:r w:rsidRPr="0085535D">
        <w:rPr>
          <w:rFonts w:ascii="Times New Roman" w:eastAsia="Times New Roman" w:hAnsi="Times New Roman" w:cs="Times New Roman"/>
          <w:i/>
          <w:iCs/>
          <w:sz w:val="24"/>
          <w:szCs w:val="24"/>
        </w:rPr>
        <w:t>Commun</w:t>
      </w:r>
      <w:proofErr w:type="spellEnd"/>
      <w:r w:rsidRPr="0085535D">
        <w:rPr>
          <w:rFonts w:ascii="Times New Roman" w:eastAsia="Times New Roman" w:hAnsi="Times New Roman" w:cs="Times New Roman"/>
          <w:i/>
          <w:iCs/>
          <w:sz w:val="24"/>
          <w:szCs w:val="24"/>
        </w:rPr>
        <w:t xml:space="preserve"> Mass </w:t>
      </w:r>
      <w:proofErr w:type="spellStart"/>
      <w:r w:rsidRPr="0085535D">
        <w:rPr>
          <w:rFonts w:ascii="Times New Roman" w:eastAsia="Times New Roman" w:hAnsi="Times New Roman" w:cs="Times New Roman"/>
          <w:i/>
          <w:iCs/>
          <w:sz w:val="24"/>
          <w:szCs w:val="24"/>
        </w:rPr>
        <w:t>Spectrom</w:t>
      </w:r>
      <w:proofErr w:type="spellEnd"/>
      <w:r w:rsidRPr="0085535D">
        <w:rPr>
          <w:rFonts w:ascii="Times New Roman" w:eastAsia="Times New Roman" w:hAnsi="Times New Roman" w:cs="Times New Roman"/>
          <w:sz w:val="24"/>
          <w:szCs w:val="24"/>
        </w:rPr>
        <w:t>. 1999;13(12):1175–85.</w:t>
      </w:r>
    </w:p>
    <w:p w14:paraId="1BE62F22" w14:textId="77777777" w:rsidR="00586838" w:rsidRPr="0085535D" w:rsidRDefault="00586838" w:rsidP="00413350">
      <w:pPr>
        <w:numPr>
          <w:ilvl w:val="0"/>
          <w:numId w:val="6"/>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Jemal M. High-throughput quantitative bioanalysis by LC–MS/MS. </w:t>
      </w:r>
      <w:r w:rsidRPr="0085535D">
        <w:rPr>
          <w:rFonts w:ascii="Times New Roman" w:eastAsia="Times New Roman" w:hAnsi="Times New Roman" w:cs="Times New Roman"/>
          <w:i/>
          <w:iCs/>
          <w:sz w:val="24"/>
          <w:szCs w:val="24"/>
        </w:rPr>
        <w:t xml:space="preserve">Biomed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sz w:val="24"/>
          <w:szCs w:val="24"/>
        </w:rPr>
        <w:t>. 2000;14(6):422–9.</w:t>
      </w:r>
    </w:p>
    <w:p w14:paraId="68AAE378"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Karcher</w:t>
      </w:r>
      <w:proofErr w:type="spellEnd"/>
      <w:r w:rsidRPr="0085535D">
        <w:rPr>
          <w:rFonts w:ascii="Times New Roman" w:eastAsia="Times New Roman" w:hAnsi="Times New Roman" w:cs="Times New Roman"/>
          <w:sz w:val="24"/>
          <w:szCs w:val="24"/>
        </w:rPr>
        <w:t xml:space="preserve"> K, Klein J, Linder R. Determination of trazodone in human plasma by LC–MS/MS. </w:t>
      </w:r>
      <w:r w:rsidRPr="0085535D">
        <w:rPr>
          <w:rFonts w:ascii="Times New Roman" w:eastAsia="Times New Roman" w:hAnsi="Times New Roman" w:cs="Times New Roman"/>
          <w:i/>
          <w:iCs/>
          <w:sz w:val="24"/>
          <w:szCs w:val="24"/>
        </w:rPr>
        <w:t xml:space="preserve">J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i/>
          <w:iCs/>
          <w:sz w:val="24"/>
          <w:szCs w:val="24"/>
        </w:rPr>
        <w:t xml:space="preserve"> B</w:t>
      </w:r>
      <w:r w:rsidRPr="0085535D">
        <w:rPr>
          <w:rFonts w:ascii="Times New Roman" w:eastAsia="Times New Roman" w:hAnsi="Times New Roman" w:cs="Times New Roman"/>
          <w:sz w:val="24"/>
          <w:szCs w:val="24"/>
        </w:rPr>
        <w:t>. 2004;803(1):123–9.</w:t>
      </w:r>
    </w:p>
    <w:p w14:paraId="7EE574AA"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Pistos</w:t>
      </w:r>
      <w:proofErr w:type="spellEnd"/>
      <w:r w:rsidRPr="0085535D">
        <w:rPr>
          <w:rFonts w:ascii="Times New Roman" w:eastAsia="Times New Roman" w:hAnsi="Times New Roman" w:cs="Times New Roman"/>
          <w:sz w:val="24"/>
          <w:szCs w:val="24"/>
        </w:rPr>
        <w:t xml:space="preserve"> C, Stewart JT. Direct injection LC–MS/MS determination of trazodone in plasma. </w:t>
      </w:r>
      <w:r w:rsidRPr="0085535D">
        <w:rPr>
          <w:rFonts w:ascii="Times New Roman" w:eastAsia="Times New Roman" w:hAnsi="Times New Roman" w:cs="Times New Roman"/>
          <w:i/>
          <w:iCs/>
          <w:sz w:val="24"/>
          <w:szCs w:val="24"/>
        </w:rPr>
        <w:t>J Pharm Biomed Anal</w:t>
      </w:r>
      <w:r w:rsidRPr="0085535D">
        <w:rPr>
          <w:rFonts w:ascii="Times New Roman" w:eastAsia="Times New Roman" w:hAnsi="Times New Roman" w:cs="Times New Roman"/>
          <w:sz w:val="24"/>
          <w:szCs w:val="24"/>
        </w:rPr>
        <w:t>. 2003;33(5):1135–42.</w:t>
      </w:r>
    </w:p>
    <w:p w14:paraId="43B9AA8C"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López-García I, </w:t>
      </w:r>
      <w:proofErr w:type="spellStart"/>
      <w:r w:rsidRPr="0085535D">
        <w:rPr>
          <w:rFonts w:ascii="Times New Roman" w:eastAsia="Times New Roman" w:hAnsi="Times New Roman" w:cs="Times New Roman"/>
          <w:sz w:val="24"/>
          <w:szCs w:val="24"/>
        </w:rPr>
        <w:t>Viñas</w:t>
      </w:r>
      <w:proofErr w:type="spellEnd"/>
      <w:r w:rsidRPr="0085535D">
        <w:rPr>
          <w:rFonts w:ascii="Times New Roman" w:eastAsia="Times New Roman" w:hAnsi="Times New Roman" w:cs="Times New Roman"/>
          <w:sz w:val="24"/>
          <w:szCs w:val="24"/>
        </w:rPr>
        <w:t xml:space="preserve"> P, Hernández-Córdoba M. Determination of antidepressants in plasma by LC–MS/MS. </w:t>
      </w:r>
      <w:r w:rsidRPr="0085535D">
        <w:rPr>
          <w:rFonts w:ascii="Times New Roman" w:eastAsia="Times New Roman" w:hAnsi="Times New Roman" w:cs="Times New Roman"/>
          <w:i/>
          <w:iCs/>
          <w:sz w:val="24"/>
          <w:szCs w:val="24"/>
        </w:rPr>
        <w:t xml:space="preserve">Anal </w:t>
      </w:r>
      <w:proofErr w:type="spellStart"/>
      <w:r w:rsidRPr="0085535D">
        <w:rPr>
          <w:rFonts w:ascii="Times New Roman" w:eastAsia="Times New Roman" w:hAnsi="Times New Roman" w:cs="Times New Roman"/>
          <w:i/>
          <w:iCs/>
          <w:sz w:val="24"/>
          <w:szCs w:val="24"/>
        </w:rPr>
        <w:t>Bioanal</w:t>
      </w:r>
      <w:proofErr w:type="spellEnd"/>
      <w:r w:rsidRPr="0085535D">
        <w:rPr>
          <w:rFonts w:ascii="Times New Roman" w:eastAsia="Times New Roman" w:hAnsi="Times New Roman" w:cs="Times New Roman"/>
          <w:i/>
          <w:iCs/>
          <w:sz w:val="24"/>
          <w:szCs w:val="24"/>
        </w:rPr>
        <w:t xml:space="preserve"> Chem</w:t>
      </w:r>
      <w:r w:rsidRPr="0085535D">
        <w:rPr>
          <w:rFonts w:ascii="Times New Roman" w:eastAsia="Times New Roman" w:hAnsi="Times New Roman" w:cs="Times New Roman"/>
          <w:sz w:val="24"/>
          <w:szCs w:val="24"/>
        </w:rPr>
        <w:t>. 2009;394(1):221–30.</w:t>
      </w:r>
    </w:p>
    <w:p w14:paraId="44D0A263"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Kirchherr</w:t>
      </w:r>
      <w:proofErr w:type="spellEnd"/>
      <w:r w:rsidRPr="0085535D">
        <w:rPr>
          <w:rFonts w:ascii="Times New Roman" w:eastAsia="Times New Roman" w:hAnsi="Times New Roman" w:cs="Times New Roman"/>
          <w:sz w:val="24"/>
          <w:szCs w:val="24"/>
        </w:rPr>
        <w:t xml:space="preserve"> H, </w:t>
      </w:r>
      <w:proofErr w:type="spellStart"/>
      <w:r w:rsidRPr="0085535D">
        <w:rPr>
          <w:rFonts w:ascii="Times New Roman" w:eastAsia="Times New Roman" w:hAnsi="Times New Roman" w:cs="Times New Roman"/>
          <w:sz w:val="24"/>
          <w:szCs w:val="24"/>
        </w:rPr>
        <w:t>Kühn-Velten</w:t>
      </w:r>
      <w:proofErr w:type="spellEnd"/>
      <w:r w:rsidRPr="0085535D">
        <w:rPr>
          <w:rFonts w:ascii="Times New Roman" w:eastAsia="Times New Roman" w:hAnsi="Times New Roman" w:cs="Times New Roman"/>
          <w:sz w:val="24"/>
          <w:szCs w:val="24"/>
        </w:rPr>
        <w:t xml:space="preserve"> WN. Quantitative determination of antidepressants in plasma by LC–MS/MS. </w:t>
      </w:r>
      <w:r w:rsidRPr="0085535D">
        <w:rPr>
          <w:rFonts w:ascii="Times New Roman" w:eastAsia="Times New Roman" w:hAnsi="Times New Roman" w:cs="Times New Roman"/>
          <w:i/>
          <w:iCs/>
          <w:sz w:val="24"/>
          <w:szCs w:val="24"/>
        </w:rPr>
        <w:t xml:space="preserve">J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i/>
          <w:iCs/>
          <w:sz w:val="24"/>
          <w:szCs w:val="24"/>
        </w:rPr>
        <w:t xml:space="preserve"> B</w:t>
      </w:r>
      <w:r w:rsidRPr="0085535D">
        <w:rPr>
          <w:rFonts w:ascii="Times New Roman" w:eastAsia="Times New Roman" w:hAnsi="Times New Roman" w:cs="Times New Roman"/>
          <w:sz w:val="24"/>
          <w:szCs w:val="24"/>
        </w:rPr>
        <w:t>. 2006;843(1):100–13.</w:t>
      </w:r>
    </w:p>
    <w:p w14:paraId="12F28E87"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Wille SMR, Lambert WE. LC–MS/MS in therapeutic drug monitoring of antidepressants. </w:t>
      </w:r>
      <w:proofErr w:type="spellStart"/>
      <w:r w:rsidRPr="0085535D">
        <w:rPr>
          <w:rFonts w:ascii="Times New Roman" w:eastAsia="Times New Roman" w:hAnsi="Times New Roman" w:cs="Times New Roman"/>
          <w:i/>
          <w:iCs/>
          <w:sz w:val="24"/>
          <w:szCs w:val="24"/>
        </w:rPr>
        <w:t>TrAC</w:t>
      </w:r>
      <w:proofErr w:type="spellEnd"/>
      <w:r w:rsidRPr="0085535D">
        <w:rPr>
          <w:rFonts w:ascii="Times New Roman" w:eastAsia="Times New Roman" w:hAnsi="Times New Roman" w:cs="Times New Roman"/>
          <w:i/>
          <w:iCs/>
          <w:sz w:val="24"/>
          <w:szCs w:val="24"/>
        </w:rPr>
        <w:t xml:space="preserve"> Trends Anal Chem</w:t>
      </w:r>
      <w:r w:rsidRPr="0085535D">
        <w:rPr>
          <w:rFonts w:ascii="Times New Roman" w:eastAsia="Times New Roman" w:hAnsi="Times New Roman" w:cs="Times New Roman"/>
          <w:sz w:val="24"/>
          <w:szCs w:val="24"/>
        </w:rPr>
        <w:t>. 2008;27(10):1046–57.</w:t>
      </w:r>
    </w:p>
    <w:p w14:paraId="7E528D5B"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Steuer</w:t>
      </w:r>
      <w:proofErr w:type="spellEnd"/>
      <w:r w:rsidRPr="0085535D">
        <w:rPr>
          <w:rFonts w:ascii="Times New Roman" w:eastAsia="Times New Roman" w:hAnsi="Times New Roman" w:cs="Times New Roman"/>
          <w:sz w:val="24"/>
          <w:szCs w:val="24"/>
        </w:rPr>
        <w:t xml:space="preserve"> AE, </w:t>
      </w:r>
      <w:proofErr w:type="spellStart"/>
      <w:r w:rsidRPr="0085535D">
        <w:rPr>
          <w:rFonts w:ascii="Times New Roman" w:eastAsia="Times New Roman" w:hAnsi="Times New Roman" w:cs="Times New Roman"/>
          <w:sz w:val="24"/>
          <w:szCs w:val="24"/>
        </w:rPr>
        <w:t>Brockbals</w:t>
      </w:r>
      <w:proofErr w:type="spellEnd"/>
      <w:r w:rsidRPr="0085535D">
        <w:rPr>
          <w:rFonts w:ascii="Times New Roman" w:eastAsia="Times New Roman" w:hAnsi="Times New Roman" w:cs="Times New Roman"/>
          <w:sz w:val="24"/>
          <w:szCs w:val="24"/>
        </w:rPr>
        <w:t xml:space="preserve"> L, Kraemer T. Quantification of antidepressants by LC–MS/MS. </w:t>
      </w:r>
      <w:r w:rsidRPr="0085535D">
        <w:rPr>
          <w:rFonts w:ascii="Times New Roman" w:eastAsia="Times New Roman" w:hAnsi="Times New Roman" w:cs="Times New Roman"/>
          <w:i/>
          <w:iCs/>
          <w:sz w:val="24"/>
          <w:szCs w:val="24"/>
        </w:rPr>
        <w:t xml:space="preserve">Anal </w:t>
      </w:r>
      <w:proofErr w:type="spellStart"/>
      <w:r w:rsidRPr="0085535D">
        <w:rPr>
          <w:rFonts w:ascii="Times New Roman" w:eastAsia="Times New Roman" w:hAnsi="Times New Roman" w:cs="Times New Roman"/>
          <w:i/>
          <w:iCs/>
          <w:sz w:val="24"/>
          <w:szCs w:val="24"/>
        </w:rPr>
        <w:t>Bioanal</w:t>
      </w:r>
      <w:proofErr w:type="spellEnd"/>
      <w:r w:rsidRPr="0085535D">
        <w:rPr>
          <w:rFonts w:ascii="Times New Roman" w:eastAsia="Times New Roman" w:hAnsi="Times New Roman" w:cs="Times New Roman"/>
          <w:i/>
          <w:iCs/>
          <w:sz w:val="24"/>
          <w:szCs w:val="24"/>
        </w:rPr>
        <w:t xml:space="preserve"> Chem</w:t>
      </w:r>
      <w:r w:rsidRPr="0085535D">
        <w:rPr>
          <w:rFonts w:ascii="Times New Roman" w:eastAsia="Times New Roman" w:hAnsi="Times New Roman" w:cs="Times New Roman"/>
          <w:sz w:val="24"/>
          <w:szCs w:val="24"/>
        </w:rPr>
        <w:t>. 2014;406(2):513–27.</w:t>
      </w:r>
    </w:p>
    <w:p w14:paraId="4005E4BA"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lastRenderedPageBreak/>
        <w:t>Ruan</w:t>
      </w:r>
      <w:proofErr w:type="spellEnd"/>
      <w:r w:rsidRPr="0085535D">
        <w:rPr>
          <w:rFonts w:ascii="Times New Roman" w:eastAsia="Times New Roman" w:hAnsi="Times New Roman" w:cs="Times New Roman"/>
          <w:sz w:val="24"/>
          <w:szCs w:val="24"/>
        </w:rPr>
        <w:t xml:space="preserve"> Q, Zhang Y, Zheng J. LC–MS/MS determination of trazodone in human plasma for pharmacokinetic study. </w:t>
      </w:r>
      <w:r w:rsidRPr="0085535D">
        <w:rPr>
          <w:rFonts w:ascii="Times New Roman" w:eastAsia="Times New Roman" w:hAnsi="Times New Roman" w:cs="Times New Roman"/>
          <w:i/>
          <w:iCs/>
          <w:sz w:val="24"/>
          <w:szCs w:val="24"/>
        </w:rPr>
        <w:t xml:space="preserve">Biomed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sz w:val="24"/>
          <w:szCs w:val="24"/>
        </w:rPr>
        <w:t>. 2012;26(4):456–62.</w:t>
      </w:r>
    </w:p>
    <w:p w14:paraId="3D249966" w14:textId="77777777" w:rsidR="00586838" w:rsidRPr="0085535D" w:rsidRDefault="00586838" w:rsidP="00413350">
      <w:pPr>
        <w:numPr>
          <w:ilvl w:val="0"/>
          <w:numId w:val="7"/>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Moffat AC, </w:t>
      </w:r>
      <w:proofErr w:type="spellStart"/>
      <w:r w:rsidRPr="0085535D">
        <w:rPr>
          <w:rFonts w:ascii="Times New Roman" w:eastAsia="Times New Roman" w:hAnsi="Times New Roman" w:cs="Times New Roman"/>
          <w:sz w:val="24"/>
          <w:szCs w:val="24"/>
        </w:rPr>
        <w:t>Osselton</w:t>
      </w:r>
      <w:proofErr w:type="spellEnd"/>
      <w:r w:rsidRPr="0085535D">
        <w:rPr>
          <w:rFonts w:ascii="Times New Roman" w:eastAsia="Times New Roman" w:hAnsi="Times New Roman" w:cs="Times New Roman"/>
          <w:sz w:val="24"/>
          <w:szCs w:val="24"/>
        </w:rPr>
        <w:t xml:space="preserve"> MD, </w:t>
      </w:r>
      <w:proofErr w:type="spellStart"/>
      <w:r w:rsidRPr="0085535D">
        <w:rPr>
          <w:rFonts w:ascii="Times New Roman" w:eastAsia="Times New Roman" w:hAnsi="Times New Roman" w:cs="Times New Roman"/>
          <w:sz w:val="24"/>
          <w:szCs w:val="24"/>
        </w:rPr>
        <w:t>Widdop</w:t>
      </w:r>
      <w:proofErr w:type="spellEnd"/>
      <w:r w:rsidRPr="0085535D">
        <w:rPr>
          <w:rFonts w:ascii="Times New Roman" w:eastAsia="Times New Roman" w:hAnsi="Times New Roman" w:cs="Times New Roman"/>
          <w:sz w:val="24"/>
          <w:szCs w:val="24"/>
        </w:rPr>
        <w:t xml:space="preserve"> B, Watts J. </w:t>
      </w:r>
      <w:r w:rsidRPr="0085535D">
        <w:rPr>
          <w:rFonts w:ascii="Times New Roman" w:eastAsia="Times New Roman" w:hAnsi="Times New Roman" w:cs="Times New Roman"/>
          <w:i/>
          <w:iCs/>
          <w:sz w:val="24"/>
          <w:szCs w:val="24"/>
        </w:rPr>
        <w:t>Clarke’s Analysis of Drugs and Poisons</w:t>
      </w:r>
      <w:r w:rsidRPr="0085535D">
        <w:rPr>
          <w:rFonts w:ascii="Times New Roman" w:eastAsia="Times New Roman" w:hAnsi="Times New Roman" w:cs="Times New Roman"/>
          <w:sz w:val="24"/>
          <w:szCs w:val="24"/>
        </w:rPr>
        <w:t>. 4th ed. London: Pharmaceutical Press; 2011.</w:t>
      </w:r>
    </w:p>
    <w:p w14:paraId="401DB220" w14:textId="77777777" w:rsidR="00586838" w:rsidRPr="0085535D" w:rsidRDefault="00586838" w:rsidP="00413350">
      <w:pPr>
        <w:numPr>
          <w:ilvl w:val="0"/>
          <w:numId w:val="8"/>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Jemal M, Schuster A. Bioanalytical method validation: Practical considerations. </w:t>
      </w:r>
      <w:r w:rsidRPr="0085535D">
        <w:rPr>
          <w:rFonts w:ascii="Times New Roman" w:eastAsia="Times New Roman" w:hAnsi="Times New Roman" w:cs="Times New Roman"/>
          <w:i/>
          <w:iCs/>
          <w:sz w:val="24"/>
          <w:szCs w:val="24"/>
        </w:rPr>
        <w:t>Bioanalysis</w:t>
      </w:r>
      <w:r w:rsidRPr="0085535D">
        <w:rPr>
          <w:rFonts w:ascii="Times New Roman" w:eastAsia="Times New Roman" w:hAnsi="Times New Roman" w:cs="Times New Roman"/>
          <w:sz w:val="24"/>
          <w:szCs w:val="24"/>
        </w:rPr>
        <w:t>. 2010;2(7):1231–41.</w:t>
      </w:r>
    </w:p>
    <w:p w14:paraId="4E4747D2" w14:textId="77777777" w:rsidR="00586838" w:rsidRPr="0085535D" w:rsidRDefault="00586838" w:rsidP="00413350">
      <w:pPr>
        <w:numPr>
          <w:ilvl w:val="0"/>
          <w:numId w:val="8"/>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Taylor PJ. Matrix effects: The Achilles heel of quantitative LC–MS/MS. </w:t>
      </w:r>
      <w:r w:rsidRPr="0085535D">
        <w:rPr>
          <w:rFonts w:ascii="Times New Roman" w:eastAsia="Times New Roman" w:hAnsi="Times New Roman" w:cs="Times New Roman"/>
          <w:i/>
          <w:iCs/>
          <w:sz w:val="24"/>
          <w:szCs w:val="24"/>
        </w:rPr>
        <w:t xml:space="preserve">Clin </w:t>
      </w:r>
      <w:proofErr w:type="spellStart"/>
      <w:r w:rsidRPr="0085535D">
        <w:rPr>
          <w:rFonts w:ascii="Times New Roman" w:eastAsia="Times New Roman" w:hAnsi="Times New Roman" w:cs="Times New Roman"/>
          <w:i/>
          <w:iCs/>
          <w:sz w:val="24"/>
          <w:szCs w:val="24"/>
        </w:rPr>
        <w:t>Biochem</w:t>
      </w:r>
      <w:proofErr w:type="spellEnd"/>
      <w:r w:rsidRPr="0085535D">
        <w:rPr>
          <w:rFonts w:ascii="Times New Roman" w:eastAsia="Times New Roman" w:hAnsi="Times New Roman" w:cs="Times New Roman"/>
          <w:sz w:val="24"/>
          <w:szCs w:val="24"/>
        </w:rPr>
        <w:t>. 2005;38(4):328–34.</w:t>
      </w:r>
    </w:p>
    <w:p w14:paraId="1F9B2719" w14:textId="77777777" w:rsidR="00586838" w:rsidRPr="0085535D" w:rsidRDefault="00586838" w:rsidP="00413350">
      <w:pPr>
        <w:numPr>
          <w:ilvl w:val="0"/>
          <w:numId w:val="8"/>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Peters FT, Drummer OH, </w:t>
      </w:r>
      <w:proofErr w:type="spellStart"/>
      <w:r w:rsidRPr="0085535D">
        <w:rPr>
          <w:rFonts w:ascii="Times New Roman" w:eastAsia="Times New Roman" w:hAnsi="Times New Roman" w:cs="Times New Roman"/>
          <w:sz w:val="24"/>
          <w:szCs w:val="24"/>
        </w:rPr>
        <w:t>Musshoff</w:t>
      </w:r>
      <w:proofErr w:type="spellEnd"/>
      <w:r w:rsidRPr="0085535D">
        <w:rPr>
          <w:rFonts w:ascii="Times New Roman" w:eastAsia="Times New Roman" w:hAnsi="Times New Roman" w:cs="Times New Roman"/>
          <w:sz w:val="24"/>
          <w:szCs w:val="24"/>
        </w:rPr>
        <w:t xml:space="preserve"> F. Validation of new methods. </w:t>
      </w:r>
      <w:r w:rsidRPr="0085535D">
        <w:rPr>
          <w:rFonts w:ascii="Times New Roman" w:eastAsia="Times New Roman" w:hAnsi="Times New Roman" w:cs="Times New Roman"/>
          <w:i/>
          <w:iCs/>
          <w:sz w:val="24"/>
          <w:szCs w:val="24"/>
        </w:rPr>
        <w:t>Forensic Sci Int</w:t>
      </w:r>
      <w:r w:rsidRPr="0085535D">
        <w:rPr>
          <w:rFonts w:ascii="Times New Roman" w:eastAsia="Times New Roman" w:hAnsi="Times New Roman" w:cs="Times New Roman"/>
          <w:sz w:val="24"/>
          <w:szCs w:val="24"/>
        </w:rPr>
        <w:t>. 2007;165(2–3):216–24.</w:t>
      </w:r>
    </w:p>
    <w:p w14:paraId="1E379B76" w14:textId="77777777" w:rsidR="00586838" w:rsidRPr="0085535D" w:rsidRDefault="00586838" w:rsidP="00413350">
      <w:pPr>
        <w:numPr>
          <w:ilvl w:val="0"/>
          <w:numId w:val="8"/>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Sangster T, Spence M, Sinclair D. Selection of internal standards in LC–MS/MS bioanalysis. </w:t>
      </w:r>
      <w:r w:rsidRPr="0085535D">
        <w:rPr>
          <w:rFonts w:ascii="Times New Roman" w:eastAsia="Times New Roman" w:hAnsi="Times New Roman" w:cs="Times New Roman"/>
          <w:i/>
          <w:iCs/>
          <w:sz w:val="24"/>
          <w:szCs w:val="24"/>
        </w:rPr>
        <w:t>Bioanalysis</w:t>
      </w:r>
      <w:r w:rsidRPr="0085535D">
        <w:rPr>
          <w:rFonts w:ascii="Times New Roman" w:eastAsia="Times New Roman" w:hAnsi="Times New Roman" w:cs="Times New Roman"/>
          <w:sz w:val="24"/>
          <w:szCs w:val="24"/>
        </w:rPr>
        <w:t>. 2013;5(7):883–95.</w:t>
      </w:r>
    </w:p>
    <w:p w14:paraId="5653CC3E" w14:textId="77777777" w:rsidR="00586838" w:rsidRPr="0085535D" w:rsidRDefault="00586838" w:rsidP="00413350">
      <w:pPr>
        <w:numPr>
          <w:ilvl w:val="0"/>
          <w:numId w:val="8"/>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Viswanathan CT, Booth B. Bioanalytical method validation and its implications. </w:t>
      </w:r>
      <w:r w:rsidRPr="0085535D">
        <w:rPr>
          <w:rFonts w:ascii="Times New Roman" w:eastAsia="Times New Roman" w:hAnsi="Times New Roman" w:cs="Times New Roman"/>
          <w:i/>
          <w:iCs/>
          <w:sz w:val="24"/>
          <w:szCs w:val="24"/>
        </w:rPr>
        <w:t xml:space="preserve">AAPS </w:t>
      </w:r>
      <w:proofErr w:type="spellStart"/>
      <w:r w:rsidRPr="0085535D">
        <w:rPr>
          <w:rFonts w:ascii="Times New Roman" w:eastAsia="Times New Roman" w:hAnsi="Times New Roman" w:cs="Times New Roman"/>
          <w:i/>
          <w:iCs/>
          <w:sz w:val="24"/>
          <w:szCs w:val="24"/>
        </w:rPr>
        <w:t>PharmSciTech</w:t>
      </w:r>
      <w:proofErr w:type="spellEnd"/>
      <w:r w:rsidRPr="0085535D">
        <w:rPr>
          <w:rFonts w:ascii="Times New Roman" w:eastAsia="Times New Roman" w:hAnsi="Times New Roman" w:cs="Times New Roman"/>
          <w:sz w:val="24"/>
          <w:szCs w:val="24"/>
        </w:rPr>
        <w:t>. 2003;4(3</w:t>
      </w:r>
      <w:proofErr w:type="gramStart"/>
      <w:r w:rsidRPr="0085535D">
        <w:rPr>
          <w:rFonts w:ascii="Times New Roman" w:eastAsia="Times New Roman" w:hAnsi="Times New Roman" w:cs="Times New Roman"/>
          <w:sz w:val="24"/>
          <w:szCs w:val="24"/>
        </w:rPr>
        <w:t>):E</w:t>
      </w:r>
      <w:proofErr w:type="gramEnd"/>
      <w:r w:rsidRPr="0085535D">
        <w:rPr>
          <w:rFonts w:ascii="Times New Roman" w:eastAsia="Times New Roman" w:hAnsi="Times New Roman" w:cs="Times New Roman"/>
          <w:sz w:val="24"/>
          <w:szCs w:val="24"/>
        </w:rPr>
        <w:t>38.</w:t>
      </w:r>
    </w:p>
    <w:p w14:paraId="67CF4036" w14:textId="77777777" w:rsidR="00586838" w:rsidRPr="0085535D" w:rsidRDefault="00586838" w:rsidP="00413350">
      <w:pPr>
        <w:numPr>
          <w:ilvl w:val="0"/>
          <w:numId w:val="8"/>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Nowatzke</w:t>
      </w:r>
      <w:proofErr w:type="spellEnd"/>
      <w:r w:rsidRPr="0085535D">
        <w:rPr>
          <w:rFonts w:ascii="Times New Roman" w:eastAsia="Times New Roman" w:hAnsi="Times New Roman" w:cs="Times New Roman"/>
          <w:sz w:val="24"/>
          <w:szCs w:val="24"/>
        </w:rPr>
        <w:t xml:space="preserve"> W, Woolf E. Best practices during bioanalytical method validation. </w:t>
      </w:r>
      <w:r w:rsidRPr="0085535D">
        <w:rPr>
          <w:rFonts w:ascii="Times New Roman" w:eastAsia="Times New Roman" w:hAnsi="Times New Roman" w:cs="Times New Roman"/>
          <w:i/>
          <w:iCs/>
          <w:sz w:val="24"/>
          <w:szCs w:val="24"/>
        </w:rPr>
        <w:t>AAPS J</w:t>
      </w:r>
      <w:r w:rsidRPr="0085535D">
        <w:rPr>
          <w:rFonts w:ascii="Times New Roman" w:eastAsia="Times New Roman" w:hAnsi="Times New Roman" w:cs="Times New Roman"/>
          <w:sz w:val="24"/>
          <w:szCs w:val="24"/>
        </w:rPr>
        <w:t>. 2007;9(1</w:t>
      </w:r>
      <w:proofErr w:type="gramStart"/>
      <w:r w:rsidRPr="0085535D">
        <w:rPr>
          <w:rFonts w:ascii="Times New Roman" w:eastAsia="Times New Roman" w:hAnsi="Times New Roman" w:cs="Times New Roman"/>
          <w:sz w:val="24"/>
          <w:szCs w:val="24"/>
        </w:rPr>
        <w:t>):E</w:t>
      </w:r>
      <w:proofErr w:type="gramEnd"/>
      <w:r w:rsidRPr="0085535D">
        <w:rPr>
          <w:rFonts w:ascii="Times New Roman" w:eastAsia="Times New Roman" w:hAnsi="Times New Roman" w:cs="Times New Roman"/>
          <w:sz w:val="24"/>
          <w:szCs w:val="24"/>
        </w:rPr>
        <w:t>117–22.</w:t>
      </w:r>
    </w:p>
    <w:p w14:paraId="14DF41B8" w14:textId="77777777" w:rsidR="00586838" w:rsidRPr="0085535D" w:rsidRDefault="00586838" w:rsidP="00413350">
      <w:pPr>
        <w:numPr>
          <w:ilvl w:val="0"/>
          <w:numId w:val="9"/>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Matuszewski</w:t>
      </w:r>
      <w:proofErr w:type="spellEnd"/>
      <w:r w:rsidRPr="0085535D">
        <w:rPr>
          <w:rFonts w:ascii="Times New Roman" w:eastAsia="Times New Roman" w:hAnsi="Times New Roman" w:cs="Times New Roman"/>
          <w:sz w:val="24"/>
          <w:szCs w:val="24"/>
        </w:rPr>
        <w:t xml:space="preserve"> BK. Standard line slopes as a measure of matrix effect. </w:t>
      </w:r>
      <w:r w:rsidRPr="0085535D">
        <w:rPr>
          <w:rFonts w:ascii="Times New Roman" w:eastAsia="Times New Roman" w:hAnsi="Times New Roman" w:cs="Times New Roman"/>
          <w:i/>
          <w:iCs/>
          <w:sz w:val="24"/>
          <w:szCs w:val="24"/>
        </w:rPr>
        <w:t xml:space="preserve">J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i/>
          <w:iCs/>
          <w:sz w:val="24"/>
          <w:szCs w:val="24"/>
        </w:rPr>
        <w:t xml:space="preserve"> B</w:t>
      </w:r>
      <w:r w:rsidRPr="0085535D">
        <w:rPr>
          <w:rFonts w:ascii="Times New Roman" w:eastAsia="Times New Roman" w:hAnsi="Times New Roman" w:cs="Times New Roman"/>
          <w:sz w:val="24"/>
          <w:szCs w:val="24"/>
        </w:rPr>
        <w:t>. 2006;830(2):293–300.</w:t>
      </w:r>
    </w:p>
    <w:p w14:paraId="53E8EB1C" w14:textId="77777777" w:rsidR="00586838" w:rsidRPr="0085535D" w:rsidRDefault="00586838" w:rsidP="00413350">
      <w:pPr>
        <w:numPr>
          <w:ilvl w:val="0"/>
          <w:numId w:val="9"/>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EMA. Guideline on Bioanalytical Method Validation. London: European Medicines Agency; 2011.</w:t>
      </w:r>
    </w:p>
    <w:p w14:paraId="29908503" w14:textId="77777777" w:rsidR="00586838" w:rsidRPr="0085535D" w:rsidRDefault="00586838" w:rsidP="00413350">
      <w:pPr>
        <w:numPr>
          <w:ilvl w:val="0"/>
          <w:numId w:val="9"/>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Karnes HT, March C. Precision, accuracy, and data acceptance criteria. </w:t>
      </w:r>
      <w:r w:rsidRPr="0085535D">
        <w:rPr>
          <w:rFonts w:ascii="Times New Roman" w:eastAsia="Times New Roman" w:hAnsi="Times New Roman" w:cs="Times New Roman"/>
          <w:i/>
          <w:iCs/>
          <w:sz w:val="24"/>
          <w:szCs w:val="24"/>
        </w:rPr>
        <w:t>Pharm Res</w:t>
      </w:r>
      <w:r w:rsidRPr="0085535D">
        <w:rPr>
          <w:rFonts w:ascii="Times New Roman" w:eastAsia="Times New Roman" w:hAnsi="Times New Roman" w:cs="Times New Roman"/>
          <w:sz w:val="24"/>
          <w:szCs w:val="24"/>
        </w:rPr>
        <w:t>. 1993;10(10):1420–6.</w:t>
      </w:r>
    </w:p>
    <w:p w14:paraId="284B96E3" w14:textId="77777777" w:rsidR="00586838" w:rsidRPr="0085535D" w:rsidRDefault="00586838" w:rsidP="00413350">
      <w:pPr>
        <w:numPr>
          <w:ilvl w:val="0"/>
          <w:numId w:val="9"/>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DeSilva B, Smith W, Weiner R, Kelley M, </w:t>
      </w:r>
      <w:proofErr w:type="spellStart"/>
      <w:r w:rsidRPr="0085535D">
        <w:rPr>
          <w:rFonts w:ascii="Times New Roman" w:eastAsia="Times New Roman" w:hAnsi="Times New Roman" w:cs="Times New Roman"/>
          <w:sz w:val="24"/>
          <w:szCs w:val="24"/>
        </w:rPr>
        <w:t>Smolec</w:t>
      </w:r>
      <w:proofErr w:type="spellEnd"/>
      <w:r w:rsidRPr="0085535D">
        <w:rPr>
          <w:rFonts w:ascii="Times New Roman" w:eastAsia="Times New Roman" w:hAnsi="Times New Roman" w:cs="Times New Roman"/>
          <w:sz w:val="24"/>
          <w:szCs w:val="24"/>
        </w:rPr>
        <w:t xml:space="preserve"> J, Lee B, et al. Recommendations for incurred sample reanalysis. </w:t>
      </w:r>
      <w:r w:rsidRPr="0085535D">
        <w:rPr>
          <w:rFonts w:ascii="Times New Roman" w:eastAsia="Times New Roman" w:hAnsi="Times New Roman" w:cs="Times New Roman"/>
          <w:i/>
          <w:iCs/>
          <w:sz w:val="24"/>
          <w:szCs w:val="24"/>
        </w:rPr>
        <w:t>Bioanalysis</w:t>
      </w:r>
      <w:r w:rsidRPr="0085535D">
        <w:rPr>
          <w:rFonts w:ascii="Times New Roman" w:eastAsia="Times New Roman" w:hAnsi="Times New Roman" w:cs="Times New Roman"/>
          <w:sz w:val="24"/>
          <w:szCs w:val="24"/>
        </w:rPr>
        <w:t>. 2010;2(4):635–43.</w:t>
      </w:r>
    </w:p>
    <w:p w14:paraId="76E85149" w14:textId="77777777" w:rsidR="00586838" w:rsidRPr="0085535D" w:rsidRDefault="00586838" w:rsidP="00413350">
      <w:pPr>
        <w:numPr>
          <w:ilvl w:val="0"/>
          <w:numId w:val="9"/>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Dunn J, Armitage J, Reeves D. Stability considerations in bioanalysis. </w:t>
      </w:r>
      <w:r w:rsidRPr="0085535D">
        <w:rPr>
          <w:rFonts w:ascii="Times New Roman" w:eastAsia="Times New Roman" w:hAnsi="Times New Roman" w:cs="Times New Roman"/>
          <w:i/>
          <w:iCs/>
          <w:sz w:val="24"/>
          <w:szCs w:val="24"/>
        </w:rPr>
        <w:t>J Pharm Biomed Anal</w:t>
      </w:r>
      <w:r w:rsidRPr="0085535D">
        <w:rPr>
          <w:rFonts w:ascii="Times New Roman" w:eastAsia="Times New Roman" w:hAnsi="Times New Roman" w:cs="Times New Roman"/>
          <w:sz w:val="24"/>
          <w:szCs w:val="24"/>
        </w:rPr>
        <w:t>. 2011;55(3):550–7.</w:t>
      </w:r>
    </w:p>
    <w:p w14:paraId="49836105" w14:textId="77777777" w:rsidR="00586838" w:rsidRPr="0085535D" w:rsidRDefault="00586838" w:rsidP="00413350">
      <w:pPr>
        <w:numPr>
          <w:ilvl w:val="0"/>
          <w:numId w:val="9"/>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Booth B, Arnold ME. Application of incurred sample reanalysis. </w:t>
      </w:r>
      <w:r w:rsidRPr="0085535D">
        <w:rPr>
          <w:rFonts w:ascii="Times New Roman" w:eastAsia="Times New Roman" w:hAnsi="Times New Roman" w:cs="Times New Roman"/>
          <w:i/>
          <w:iCs/>
          <w:sz w:val="24"/>
          <w:szCs w:val="24"/>
        </w:rPr>
        <w:t>Bioanalysis</w:t>
      </w:r>
      <w:r w:rsidRPr="0085535D">
        <w:rPr>
          <w:rFonts w:ascii="Times New Roman" w:eastAsia="Times New Roman" w:hAnsi="Times New Roman" w:cs="Times New Roman"/>
          <w:sz w:val="24"/>
          <w:szCs w:val="24"/>
        </w:rPr>
        <w:t>. 2016;8(5):447–54.</w:t>
      </w:r>
    </w:p>
    <w:p w14:paraId="502DCE43" w14:textId="77777777" w:rsidR="00586838" w:rsidRPr="0085535D" w:rsidRDefault="00586838" w:rsidP="00413350">
      <w:pPr>
        <w:numPr>
          <w:ilvl w:val="0"/>
          <w:numId w:val="10"/>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Niessen</w:t>
      </w:r>
      <w:proofErr w:type="spellEnd"/>
      <w:r w:rsidRPr="0085535D">
        <w:rPr>
          <w:rFonts w:ascii="Times New Roman" w:eastAsia="Times New Roman" w:hAnsi="Times New Roman" w:cs="Times New Roman"/>
          <w:sz w:val="24"/>
          <w:szCs w:val="24"/>
        </w:rPr>
        <w:t xml:space="preserve"> WMA. State-of-the-art in quantitative bioanalysis. </w:t>
      </w:r>
      <w:r w:rsidRPr="0085535D">
        <w:rPr>
          <w:rFonts w:ascii="Times New Roman" w:eastAsia="Times New Roman" w:hAnsi="Times New Roman" w:cs="Times New Roman"/>
          <w:i/>
          <w:iCs/>
          <w:sz w:val="24"/>
          <w:szCs w:val="24"/>
        </w:rPr>
        <w:t xml:space="preserve">J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i/>
          <w:iCs/>
          <w:sz w:val="24"/>
          <w:szCs w:val="24"/>
        </w:rPr>
        <w:t xml:space="preserve"> A</w:t>
      </w:r>
      <w:r w:rsidRPr="0085535D">
        <w:rPr>
          <w:rFonts w:ascii="Times New Roman" w:eastAsia="Times New Roman" w:hAnsi="Times New Roman" w:cs="Times New Roman"/>
          <w:sz w:val="24"/>
          <w:szCs w:val="24"/>
        </w:rPr>
        <w:t>. 2011;1218(30):4004–18.</w:t>
      </w:r>
    </w:p>
    <w:p w14:paraId="084ECB31" w14:textId="77777777" w:rsidR="00586838" w:rsidRPr="0085535D" w:rsidRDefault="00586838" w:rsidP="00413350">
      <w:pPr>
        <w:numPr>
          <w:ilvl w:val="0"/>
          <w:numId w:val="10"/>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lastRenderedPageBreak/>
        <w:t xml:space="preserve">Kataoka H. New trends in sample preparation for bioanalysis. </w:t>
      </w:r>
      <w:proofErr w:type="spellStart"/>
      <w:r w:rsidRPr="0085535D">
        <w:rPr>
          <w:rFonts w:ascii="Times New Roman" w:eastAsia="Times New Roman" w:hAnsi="Times New Roman" w:cs="Times New Roman"/>
          <w:i/>
          <w:iCs/>
          <w:sz w:val="24"/>
          <w:szCs w:val="24"/>
        </w:rPr>
        <w:t>TrAC</w:t>
      </w:r>
      <w:proofErr w:type="spellEnd"/>
      <w:r w:rsidRPr="0085535D">
        <w:rPr>
          <w:rFonts w:ascii="Times New Roman" w:eastAsia="Times New Roman" w:hAnsi="Times New Roman" w:cs="Times New Roman"/>
          <w:i/>
          <w:iCs/>
          <w:sz w:val="24"/>
          <w:szCs w:val="24"/>
        </w:rPr>
        <w:t xml:space="preserve"> Trends Anal Chem</w:t>
      </w:r>
      <w:r w:rsidRPr="0085535D">
        <w:rPr>
          <w:rFonts w:ascii="Times New Roman" w:eastAsia="Times New Roman" w:hAnsi="Times New Roman" w:cs="Times New Roman"/>
          <w:sz w:val="24"/>
          <w:szCs w:val="24"/>
        </w:rPr>
        <w:t>. 2003;22(4):232–44.</w:t>
      </w:r>
    </w:p>
    <w:p w14:paraId="51D5CB06" w14:textId="77777777" w:rsidR="00586838" w:rsidRPr="0085535D" w:rsidRDefault="00586838" w:rsidP="00413350">
      <w:pPr>
        <w:numPr>
          <w:ilvl w:val="0"/>
          <w:numId w:val="10"/>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Xu X, </w:t>
      </w:r>
      <w:proofErr w:type="spellStart"/>
      <w:r w:rsidRPr="0085535D">
        <w:rPr>
          <w:rFonts w:ascii="Times New Roman" w:eastAsia="Times New Roman" w:hAnsi="Times New Roman" w:cs="Times New Roman"/>
          <w:sz w:val="24"/>
          <w:szCs w:val="24"/>
        </w:rPr>
        <w:t>Trissel</w:t>
      </w:r>
      <w:proofErr w:type="spellEnd"/>
      <w:r w:rsidRPr="0085535D">
        <w:rPr>
          <w:rFonts w:ascii="Times New Roman" w:eastAsia="Times New Roman" w:hAnsi="Times New Roman" w:cs="Times New Roman"/>
          <w:sz w:val="24"/>
          <w:szCs w:val="24"/>
        </w:rPr>
        <w:t xml:space="preserve"> LA. Stability of drugs in biological matrices. </w:t>
      </w:r>
      <w:r w:rsidRPr="0085535D">
        <w:rPr>
          <w:rFonts w:ascii="Times New Roman" w:eastAsia="Times New Roman" w:hAnsi="Times New Roman" w:cs="Times New Roman"/>
          <w:i/>
          <w:iCs/>
          <w:sz w:val="24"/>
          <w:szCs w:val="24"/>
        </w:rPr>
        <w:t>J Pharm Sci</w:t>
      </w:r>
      <w:r w:rsidRPr="0085535D">
        <w:rPr>
          <w:rFonts w:ascii="Times New Roman" w:eastAsia="Times New Roman" w:hAnsi="Times New Roman" w:cs="Times New Roman"/>
          <w:sz w:val="24"/>
          <w:szCs w:val="24"/>
        </w:rPr>
        <w:t>. 2007;96(7):1539–46.</w:t>
      </w:r>
    </w:p>
    <w:p w14:paraId="11DA962D" w14:textId="77777777" w:rsidR="00586838" w:rsidRPr="0085535D" w:rsidRDefault="00586838" w:rsidP="00413350">
      <w:pPr>
        <w:numPr>
          <w:ilvl w:val="0"/>
          <w:numId w:val="10"/>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Reinholds</w:t>
      </w:r>
      <w:proofErr w:type="spellEnd"/>
      <w:r w:rsidRPr="0085535D">
        <w:rPr>
          <w:rFonts w:ascii="Times New Roman" w:eastAsia="Times New Roman" w:hAnsi="Times New Roman" w:cs="Times New Roman"/>
          <w:sz w:val="24"/>
          <w:szCs w:val="24"/>
        </w:rPr>
        <w:t xml:space="preserve"> I, </w:t>
      </w:r>
      <w:proofErr w:type="spellStart"/>
      <w:r w:rsidRPr="0085535D">
        <w:rPr>
          <w:rFonts w:ascii="Times New Roman" w:eastAsia="Times New Roman" w:hAnsi="Times New Roman" w:cs="Times New Roman"/>
          <w:sz w:val="24"/>
          <w:szCs w:val="24"/>
        </w:rPr>
        <w:t>Pugajeva</w:t>
      </w:r>
      <w:proofErr w:type="spellEnd"/>
      <w:r w:rsidRPr="0085535D">
        <w:rPr>
          <w:rFonts w:ascii="Times New Roman" w:eastAsia="Times New Roman" w:hAnsi="Times New Roman" w:cs="Times New Roman"/>
          <w:sz w:val="24"/>
          <w:szCs w:val="24"/>
        </w:rPr>
        <w:t xml:space="preserve"> I, </w:t>
      </w:r>
      <w:proofErr w:type="spellStart"/>
      <w:r w:rsidRPr="0085535D">
        <w:rPr>
          <w:rFonts w:ascii="Times New Roman" w:eastAsia="Times New Roman" w:hAnsi="Times New Roman" w:cs="Times New Roman"/>
          <w:sz w:val="24"/>
          <w:szCs w:val="24"/>
        </w:rPr>
        <w:t>Bartkevics</w:t>
      </w:r>
      <w:proofErr w:type="spellEnd"/>
      <w:r w:rsidRPr="0085535D">
        <w:rPr>
          <w:rFonts w:ascii="Times New Roman" w:eastAsia="Times New Roman" w:hAnsi="Times New Roman" w:cs="Times New Roman"/>
          <w:sz w:val="24"/>
          <w:szCs w:val="24"/>
        </w:rPr>
        <w:t xml:space="preserve"> V. Bioanalytical LC–MS/MS challenges. </w:t>
      </w:r>
      <w:r w:rsidRPr="0085535D">
        <w:rPr>
          <w:rFonts w:ascii="Times New Roman" w:eastAsia="Times New Roman" w:hAnsi="Times New Roman" w:cs="Times New Roman"/>
          <w:i/>
          <w:iCs/>
          <w:sz w:val="24"/>
          <w:szCs w:val="24"/>
        </w:rPr>
        <w:t>Anal Methods</w:t>
      </w:r>
      <w:r w:rsidRPr="0085535D">
        <w:rPr>
          <w:rFonts w:ascii="Times New Roman" w:eastAsia="Times New Roman" w:hAnsi="Times New Roman" w:cs="Times New Roman"/>
          <w:sz w:val="24"/>
          <w:szCs w:val="24"/>
        </w:rPr>
        <w:t>. 2016;8(16):3331–44.</w:t>
      </w:r>
    </w:p>
    <w:p w14:paraId="09BFEC88" w14:textId="77777777" w:rsidR="00586838" w:rsidRPr="0085535D" w:rsidRDefault="00586838" w:rsidP="00413350">
      <w:pPr>
        <w:numPr>
          <w:ilvl w:val="0"/>
          <w:numId w:val="10"/>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Annesley TM. Ion suppression in mass spectrometry. </w:t>
      </w:r>
      <w:r w:rsidRPr="0085535D">
        <w:rPr>
          <w:rFonts w:ascii="Times New Roman" w:eastAsia="Times New Roman" w:hAnsi="Times New Roman" w:cs="Times New Roman"/>
          <w:i/>
          <w:iCs/>
          <w:sz w:val="24"/>
          <w:szCs w:val="24"/>
        </w:rPr>
        <w:t>Clin Chem</w:t>
      </w:r>
      <w:r w:rsidRPr="0085535D">
        <w:rPr>
          <w:rFonts w:ascii="Times New Roman" w:eastAsia="Times New Roman" w:hAnsi="Times New Roman" w:cs="Times New Roman"/>
          <w:sz w:val="24"/>
          <w:szCs w:val="24"/>
        </w:rPr>
        <w:t>. 2003;49(7):1041–4.</w:t>
      </w:r>
    </w:p>
    <w:p w14:paraId="22E1C904" w14:textId="77777777" w:rsidR="00586838" w:rsidRPr="0085535D" w:rsidRDefault="00586838" w:rsidP="00413350">
      <w:pPr>
        <w:numPr>
          <w:ilvl w:val="0"/>
          <w:numId w:val="10"/>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Schuhmacher</w:t>
      </w:r>
      <w:proofErr w:type="spellEnd"/>
      <w:r w:rsidRPr="0085535D">
        <w:rPr>
          <w:rFonts w:ascii="Times New Roman" w:eastAsia="Times New Roman" w:hAnsi="Times New Roman" w:cs="Times New Roman"/>
          <w:sz w:val="24"/>
          <w:szCs w:val="24"/>
        </w:rPr>
        <w:t xml:space="preserve"> J, Zimmer D, </w:t>
      </w:r>
      <w:proofErr w:type="spellStart"/>
      <w:r w:rsidRPr="0085535D">
        <w:rPr>
          <w:rFonts w:ascii="Times New Roman" w:eastAsia="Times New Roman" w:hAnsi="Times New Roman" w:cs="Times New Roman"/>
          <w:sz w:val="24"/>
          <w:szCs w:val="24"/>
        </w:rPr>
        <w:t>Tesche</w:t>
      </w:r>
      <w:proofErr w:type="spellEnd"/>
      <w:r w:rsidRPr="0085535D">
        <w:rPr>
          <w:rFonts w:ascii="Times New Roman" w:eastAsia="Times New Roman" w:hAnsi="Times New Roman" w:cs="Times New Roman"/>
          <w:sz w:val="24"/>
          <w:szCs w:val="24"/>
        </w:rPr>
        <w:t xml:space="preserve"> F, Pickard V. Matrix effects and LC–MS/MS. </w:t>
      </w:r>
      <w:r w:rsidRPr="0085535D">
        <w:rPr>
          <w:rFonts w:ascii="Times New Roman" w:eastAsia="Times New Roman" w:hAnsi="Times New Roman" w:cs="Times New Roman"/>
          <w:i/>
          <w:iCs/>
          <w:sz w:val="24"/>
          <w:szCs w:val="24"/>
        </w:rPr>
        <w:t xml:space="preserve">J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i/>
          <w:iCs/>
          <w:sz w:val="24"/>
          <w:szCs w:val="24"/>
        </w:rPr>
        <w:t xml:space="preserve"> B</w:t>
      </w:r>
      <w:r w:rsidRPr="0085535D">
        <w:rPr>
          <w:rFonts w:ascii="Times New Roman" w:eastAsia="Times New Roman" w:hAnsi="Times New Roman" w:cs="Times New Roman"/>
          <w:sz w:val="24"/>
          <w:szCs w:val="24"/>
        </w:rPr>
        <w:t>. 2003;789(1):43–52.</w:t>
      </w:r>
    </w:p>
    <w:p w14:paraId="4AE96D5A" w14:textId="77777777" w:rsidR="00586838" w:rsidRPr="0085535D" w:rsidRDefault="00586838" w:rsidP="00413350">
      <w:pPr>
        <w:numPr>
          <w:ilvl w:val="0"/>
          <w:numId w:val="11"/>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Singhal P, Shah K. Bioanalytical method development by LC–MS/MS: A review. </w:t>
      </w:r>
      <w:r w:rsidRPr="0085535D">
        <w:rPr>
          <w:rFonts w:ascii="Times New Roman" w:eastAsia="Times New Roman" w:hAnsi="Times New Roman" w:cs="Times New Roman"/>
          <w:i/>
          <w:iCs/>
          <w:sz w:val="24"/>
          <w:szCs w:val="24"/>
        </w:rPr>
        <w:t>J Pharm Anal</w:t>
      </w:r>
      <w:r w:rsidRPr="0085535D">
        <w:rPr>
          <w:rFonts w:ascii="Times New Roman" w:eastAsia="Times New Roman" w:hAnsi="Times New Roman" w:cs="Times New Roman"/>
          <w:sz w:val="24"/>
          <w:szCs w:val="24"/>
        </w:rPr>
        <w:t>. 2012;2(4):245–60.</w:t>
      </w:r>
    </w:p>
    <w:p w14:paraId="7814F9CC" w14:textId="77777777" w:rsidR="00586838" w:rsidRPr="0085535D" w:rsidRDefault="00586838" w:rsidP="00413350">
      <w:pPr>
        <w:numPr>
          <w:ilvl w:val="0"/>
          <w:numId w:val="11"/>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Krishna R, Yu L. Biopharmaceutics classification system. </w:t>
      </w:r>
      <w:r w:rsidRPr="0085535D">
        <w:rPr>
          <w:rFonts w:ascii="Times New Roman" w:eastAsia="Times New Roman" w:hAnsi="Times New Roman" w:cs="Times New Roman"/>
          <w:i/>
          <w:iCs/>
          <w:sz w:val="24"/>
          <w:szCs w:val="24"/>
        </w:rPr>
        <w:t>Pharm Res</w:t>
      </w:r>
      <w:r w:rsidRPr="0085535D">
        <w:rPr>
          <w:rFonts w:ascii="Times New Roman" w:eastAsia="Times New Roman" w:hAnsi="Times New Roman" w:cs="Times New Roman"/>
          <w:sz w:val="24"/>
          <w:szCs w:val="24"/>
        </w:rPr>
        <w:t>. 2008;25(9):1883–90.</w:t>
      </w:r>
    </w:p>
    <w:p w14:paraId="57BFFAB9" w14:textId="77777777" w:rsidR="00586838" w:rsidRPr="0085535D" w:rsidRDefault="00586838" w:rsidP="00413350">
      <w:pPr>
        <w:numPr>
          <w:ilvl w:val="0"/>
          <w:numId w:val="11"/>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Chow SC, Liu JP. </w:t>
      </w:r>
      <w:r w:rsidRPr="0085535D">
        <w:rPr>
          <w:rFonts w:ascii="Times New Roman" w:eastAsia="Times New Roman" w:hAnsi="Times New Roman" w:cs="Times New Roman"/>
          <w:i/>
          <w:iCs/>
          <w:sz w:val="24"/>
          <w:szCs w:val="24"/>
        </w:rPr>
        <w:t>Design and Analysis of Bioavailability and Bioequivalence Studies</w:t>
      </w:r>
      <w:r w:rsidRPr="0085535D">
        <w:rPr>
          <w:rFonts w:ascii="Times New Roman" w:eastAsia="Times New Roman" w:hAnsi="Times New Roman" w:cs="Times New Roman"/>
          <w:sz w:val="24"/>
          <w:szCs w:val="24"/>
        </w:rPr>
        <w:t>. 3rd ed. Boca Raton: CRC Press; 2009.</w:t>
      </w:r>
    </w:p>
    <w:p w14:paraId="7B026F88" w14:textId="77777777" w:rsidR="00586838" w:rsidRPr="0085535D" w:rsidRDefault="00586838" w:rsidP="00413350">
      <w:pPr>
        <w:numPr>
          <w:ilvl w:val="0"/>
          <w:numId w:val="11"/>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Blessy</w:t>
      </w:r>
      <w:proofErr w:type="spellEnd"/>
      <w:r w:rsidRPr="0085535D">
        <w:rPr>
          <w:rFonts w:ascii="Times New Roman" w:eastAsia="Times New Roman" w:hAnsi="Times New Roman" w:cs="Times New Roman"/>
          <w:sz w:val="24"/>
          <w:szCs w:val="24"/>
        </w:rPr>
        <w:t xml:space="preserve"> M, Patel RD, Prajapati PN, Agrawal YK. Development of forced degradation studies. </w:t>
      </w:r>
      <w:r w:rsidRPr="0085535D">
        <w:rPr>
          <w:rFonts w:ascii="Times New Roman" w:eastAsia="Times New Roman" w:hAnsi="Times New Roman" w:cs="Times New Roman"/>
          <w:i/>
          <w:iCs/>
          <w:sz w:val="24"/>
          <w:szCs w:val="24"/>
        </w:rPr>
        <w:t>J Pharm Anal</w:t>
      </w:r>
      <w:r w:rsidRPr="0085535D">
        <w:rPr>
          <w:rFonts w:ascii="Times New Roman" w:eastAsia="Times New Roman" w:hAnsi="Times New Roman" w:cs="Times New Roman"/>
          <w:sz w:val="24"/>
          <w:szCs w:val="24"/>
        </w:rPr>
        <w:t>. 2014;4(3):159–65.</w:t>
      </w:r>
    </w:p>
    <w:p w14:paraId="277DBCED" w14:textId="77777777" w:rsidR="00586838" w:rsidRPr="0085535D" w:rsidRDefault="00586838" w:rsidP="00413350">
      <w:pPr>
        <w:numPr>
          <w:ilvl w:val="0"/>
          <w:numId w:val="12"/>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t>Niessen</w:t>
      </w:r>
      <w:proofErr w:type="spellEnd"/>
      <w:r w:rsidRPr="0085535D">
        <w:rPr>
          <w:rFonts w:ascii="Times New Roman" w:eastAsia="Times New Roman" w:hAnsi="Times New Roman" w:cs="Times New Roman"/>
          <w:sz w:val="24"/>
          <w:szCs w:val="24"/>
        </w:rPr>
        <w:t xml:space="preserve"> WMA. Progress in LC–MS/MS bioanalysis. </w:t>
      </w:r>
      <w:r w:rsidRPr="0085535D">
        <w:rPr>
          <w:rFonts w:ascii="Times New Roman" w:eastAsia="Times New Roman" w:hAnsi="Times New Roman" w:cs="Times New Roman"/>
          <w:i/>
          <w:iCs/>
          <w:sz w:val="24"/>
          <w:szCs w:val="24"/>
        </w:rPr>
        <w:t xml:space="preserve">Biomed </w:t>
      </w:r>
      <w:proofErr w:type="spellStart"/>
      <w:r w:rsidRPr="0085535D">
        <w:rPr>
          <w:rFonts w:ascii="Times New Roman" w:eastAsia="Times New Roman" w:hAnsi="Times New Roman" w:cs="Times New Roman"/>
          <w:i/>
          <w:iCs/>
          <w:sz w:val="24"/>
          <w:szCs w:val="24"/>
        </w:rPr>
        <w:t>Chromatogr</w:t>
      </w:r>
      <w:proofErr w:type="spellEnd"/>
      <w:r w:rsidRPr="0085535D">
        <w:rPr>
          <w:rFonts w:ascii="Times New Roman" w:eastAsia="Times New Roman" w:hAnsi="Times New Roman" w:cs="Times New Roman"/>
          <w:sz w:val="24"/>
          <w:szCs w:val="24"/>
        </w:rPr>
        <w:t>. 2003;17(8):501–9.</w:t>
      </w:r>
    </w:p>
    <w:p w14:paraId="1DC5A7FE" w14:textId="77777777" w:rsidR="00586838" w:rsidRPr="0085535D" w:rsidRDefault="00586838" w:rsidP="00413350">
      <w:pPr>
        <w:numPr>
          <w:ilvl w:val="0"/>
          <w:numId w:val="12"/>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Meyer VR. Practical high-performance liquid chromatography. 5th ed. Chichester: Wiley; 2010.</w:t>
      </w:r>
    </w:p>
    <w:p w14:paraId="42CA7139" w14:textId="77777777" w:rsidR="00586838" w:rsidRPr="0085535D" w:rsidRDefault="00586838" w:rsidP="00413350">
      <w:pPr>
        <w:numPr>
          <w:ilvl w:val="0"/>
          <w:numId w:val="12"/>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Snyder LR, Kirkland JJ, Dolan JW. </w:t>
      </w:r>
      <w:r w:rsidRPr="0085535D">
        <w:rPr>
          <w:rFonts w:ascii="Times New Roman" w:eastAsia="Times New Roman" w:hAnsi="Times New Roman" w:cs="Times New Roman"/>
          <w:i/>
          <w:iCs/>
          <w:sz w:val="24"/>
          <w:szCs w:val="24"/>
        </w:rPr>
        <w:t>Introduction to Modern Liquid Chromatography</w:t>
      </w:r>
      <w:r w:rsidRPr="0085535D">
        <w:rPr>
          <w:rFonts w:ascii="Times New Roman" w:eastAsia="Times New Roman" w:hAnsi="Times New Roman" w:cs="Times New Roman"/>
          <w:sz w:val="24"/>
          <w:szCs w:val="24"/>
        </w:rPr>
        <w:t>. 3rd ed. Hoboken: Wiley; 2010.</w:t>
      </w:r>
    </w:p>
    <w:p w14:paraId="6B666927" w14:textId="77777777" w:rsidR="00586838" w:rsidRPr="0085535D" w:rsidRDefault="00586838" w:rsidP="00413350">
      <w:pPr>
        <w:numPr>
          <w:ilvl w:val="0"/>
          <w:numId w:val="12"/>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European Pharmacopoeia Commission. </w:t>
      </w:r>
      <w:r w:rsidRPr="0085535D">
        <w:rPr>
          <w:rFonts w:ascii="Times New Roman" w:eastAsia="Times New Roman" w:hAnsi="Times New Roman" w:cs="Times New Roman"/>
          <w:i/>
          <w:iCs/>
          <w:sz w:val="24"/>
          <w:szCs w:val="24"/>
        </w:rPr>
        <w:t>European Pharmacopoeia</w:t>
      </w:r>
      <w:r w:rsidRPr="0085535D">
        <w:rPr>
          <w:rFonts w:ascii="Times New Roman" w:eastAsia="Times New Roman" w:hAnsi="Times New Roman" w:cs="Times New Roman"/>
          <w:sz w:val="24"/>
          <w:szCs w:val="24"/>
        </w:rPr>
        <w:t>. 10th ed. Strasbourg: EDQM; 2020.</w:t>
      </w:r>
    </w:p>
    <w:p w14:paraId="52DCE804" w14:textId="77777777" w:rsidR="00586838" w:rsidRPr="0085535D" w:rsidRDefault="00586838" w:rsidP="00413350">
      <w:pPr>
        <w:numPr>
          <w:ilvl w:val="0"/>
          <w:numId w:val="12"/>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USP. </w:t>
      </w:r>
      <w:r w:rsidRPr="0085535D">
        <w:rPr>
          <w:rFonts w:ascii="Times New Roman" w:eastAsia="Times New Roman" w:hAnsi="Times New Roman" w:cs="Times New Roman"/>
          <w:i/>
          <w:iCs/>
          <w:sz w:val="24"/>
          <w:szCs w:val="24"/>
        </w:rPr>
        <w:t>United States Pharmacopeia–NF</w:t>
      </w:r>
      <w:r w:rsidRPr="0085535D">
        <w:rPr>
          <w:rFonts w:ascii="Times New Roman" w:eastAsia="Times New Roman" w:hAnsi="Times New Roman" w:cs="Times New Roman"/>
          <w:sz w:val="24"/>
          <w:szCs w:val="24"/>
        </w:rPr>
        <w:t>. Rockville (MD): USP; 2023.</w:t>
      </w:r>
    </w:p>
    <w:p w14:paraId="7FBDBC0A" w14:textId="77777777" w:rsidR="00586838" w:rsidRPr="0085535D" w:rsidRDefault="00586838" w:rsidP="00413350">
      <w:pPr>
        <w:numPr>
          <w:ilvl w:val="0"/>
          <w:numId w:val="13"/>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Patel BN, Sharma N, </w:t>
      </w:r>
      <w:proofErr w:type="spellStart"/>
      <w:r w:rsidRPr="0085535D">
        <w:rPr>
          <w:rFonts w:ascii="Times New Roman" w:eastAsia="Times New Roman" w:hAnsi="Times New Roman" w:cs="Times New Roman"/>
          <w:sz w:val="24"/>
          <w:szCs w:val="24"/>
        </w:rPr>
        <w:t>Sanyal</w:t>
      </w:r>
      <w:proofErr w:type="spellEnd"/>
      <w:r w:rsidRPr="0085535D">
        <w:rPr>
          <w:rFonts w:ascii="Times New Roman" w:eastAsia="Times New Roman" w:hAnsi="Times New Roman" w:cs="Times New Roman"/>
          <w:sz w:val="24"/>
          <w:szCs w:val="24"/>
        </w:rPr>
        <w:t xml:space="preserve"> M. Bioanalytical method validation: Regulatory perspectives. </w:t>
      </w:r>
      <w:r w:rsidRPr="0085535D">
        <w:rPr>
          <w:rFonts w:ascii="Times New Roman" w:eastAsia="Times New Roman" w:hAnsi="Times New Roman" w:cs="Times New Roman"/>
          <w:i/>
          <w:iCs/>
          <w:sz w:val="24"/>
          <w:szCs w:val="24"/>
        </w:rPr>
        <w:t xml:space="preserve">J Pharm </w:t>
      </w:r>
      <w:proofErr w:type="spellStart"/>
      <w:r w:rsidRPr="0085535D">
        <w:rPr>
          <w:rFonts w:ascii="Times New Roman" w:eastAsia="Times New Roman" w:hAnsi="Times New Roman" w:cs="Times New Roman"/>
          <w:i/>
          <w:iCs/>
          <w:sz w:val="24"/>
          <w:szCs w:val="24"/>
        </w:rPr>
        <w:t>Bioallied</w:t>
      </w:r>
      <w:proofErr w:type="spellEnd"/>
      <w:r w:rsidRPr="0085535D">
        <w:rPr>
          <w:rFonts w:ascii="Times New Roman" w:eastAsia="Times New Roman" w:hAnsi="Times New Roman" w:cs="Times New Roman"/>
          <w:i/>
          <w:iCs/>
          <w:sz w:val="24"/>
          <w:szCs w:val="24"/>
        </w:rPr>
        <w:t xml:space="preserve"> Sci</w:t>
      </w:r>
      <w:r w:rsidRPr="0085535D">
        <w:rPr>
          <w:rFonts w:ascii="Times New Roman" w:eastAsia="Times New Roman" w:hAnsi="Times New Roman" w:cs="Times New Roman"/>
          <w:sz w:val="24"/>
          <w:szCs w:val="24"/>
        </w:rPr>
        <w:t>. 2014;6(2):83–9.</w:t>
      </w:r>
    </w:p>
    <w:p w14:paraId="2CE3BCA0" w14:textId="77777777" w:rsidR="00586838" w:rsidRPr="0085535D" w:rsidRDefault="00586838" w:rsidP="00413350">
      <w:pPr>
        <w:numPr>
          <w:ilvl w:val="0"/>
          <w:numId w:val="13"/>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Van Amsterdam P, Waldrop E. The evolution of bioanalytical validation. </w:t>
      </w:r>
      <w:r w:rsidRPr="0085535D">
        <w:rPr>
          <w:rFonts w:ascii="Times New Roman" w:eastAsia="Times New Roman" w:hAnsi="Times New Roman" w:cs="Times New Roman"/>
          <w:i/>
          <w:iCs/>
          <w:sz w:val="24"/>
          <w:szCs w:val="24"/>
        </w:rPr>
        <w:t>Bioanalysis</w:t>
      </w:r>
      <w:r w:rsidRPr="0085535D">
        <w:rPr>
          <w:rFonts w:ascii="Times New Roman" w:eastAsia="Times New Roman" w:hAnsi="Times New Roman" w:cs="Times New Roman"/>
          <w:sz w:val="24"/>
          <w:szCs w:val="24"/>
        </w:rPr>
        <w:t>. 2012;4(14):1811–4.</w:t>
      </w:r>
    </w:p>
    <w:p w14:paraId="37C81CAB" w14:textId="77777777" w:rsidR="00586838" w:rsidRPr="0085535D" w:rsidRDefault="00586838" w:rsidP="00413350">
      <w:pPr>
        <w:numPr>
          <w:ilvl w:val="0"/>
          <w:numId w:val="13"/>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King R, </w:t>
      </w:r>
      <w:proofErr w:type="spellStart"/>
      <w:r w:rsidRPr="0085535D">
        <w:rPr>
          <w:rFonts w:ascii="Times New Roman" w:eastAsia="Times New Roman" w:hAnsi="Times New Roman" w:cs="Times New Roman"/>
          <w:sz w:val="24"/>
          <w:szCs w:val="24"/>
        </w:rPr>
        <w:t>Bonfiglio</w:t>
      </w:r>
      <w:proofErr w:type="spellEnd"/>
      <w:r w:rsidRPr="0085535D">
        <w:rPr>
          <w:rFonts w:ascii="Times New Roman" w:eastAsia="Times New Roman" w:hAnsi="Times New Roman" w:cs="Times New Roman"/>
          <w:sz w:val="24"/>
          <w:szCs w:val="24"/>
        </w:rPr>
        <w:t xml:space="preserve"> R, Fernandez-Metzler C, Miller-Stein C, </w:t>
      </w:r>
      <w:proofErr w:type="spellStart"/>
      <w:r w:rsidRPr="0085535D">
        <w:rPr>
          <w:rFonts w:ascii="Times New Roman" w:eastAsia="Times New Roman" w:hAnsi="Times New Roman" w:cs="Times New Roman"/>
          <w:sz w:val="24"/>
          <w:szCs w:val="24"/>
        </w:rPr>
        <w:t>Olah</w:t>
      </w:r>
      <w:proofErr w:type="spellEnd"/>
      <w:r w:rsidRPr="0085535D">
        <w:rPr>
          <w:rFonts w:ascii="Times New Roman" w:eastAsia="Times New Roman" w:hAnsi="Times New Roman" w:cs="Times New Roman"/>
          <w:sz w:val="24"/>
          <w:szCs w:val="24"/>
        </w:rPr>
        <w:t xml:space="preserve"> T. Mechanistic investigation of ion suppression. </w:t>
      </w:r>
      <w:r w:rsidRPr="0085535D">
        <w:rPr>
          <w:rFonts w:ascii="Times New Roman" w:eastAsia="Times New Roman" w:hAnsi="Times New Roman" w:cs="Times New Roman"/>
          <w:i/>
          <w:iCs/>
          <w:sz w:val="24"/>
          <w:szCs w:val="24"/>
        </w:rPr>
        <w:t xml:space="preserve">J Am Soc Mass </w:t>
      </w:r>
      <w:proofErr w:type="spellStart"/>
      <w:r w:rsidRPr="0085535D">
        <w:rPr>
          <w:rFonts w:ascii="Times New Roman" w:eastAsia="Times New Roman" w:hAnsi="Times New Roman" w:cs="Times New Roman"/>
          <w:i/>
          <w:iCs/>
          <w:sz w:val="24"/>
          <w:szCs w:val="24"/>
        </w:rPr>
        <w:t>Spectrom</w:t>
      </w:r>
      <w:proofErr w:type="spellEnd"/>
      <w:r w:rsidRPr="0085535D">
        <w:rPr>
          <w:rFonts w:ascii="Times New Roman" w:eastAsia="Times New Roman" w:hAnsi="Times New Roman" w:cs="Times New Roman"/>
          <w:sz w:val="24"/>
          <w:szCs w:val="24"/>
        </w:rPr>
        <w:t>. 2000;11(11):942–50.</w:t>
      </w:r>
    </w:p>
    <w:p w14:paraId="13009E19" w14:textId="77777777" w:rsidR="00586838" w:rsidRPr="0085535D" w:rsidRDefault="00586838" w:rsidP="00413350">
      <w:pPr>
        <w:numPr>
          <w:ilvl w:val="0"/>
          <w:numId w:val="13"/>
        </w:numPr>
        <w:tabs>
          <w:tab w:val="clear" w:pos="720"/>
          <w:tab w:val="num" w:pos="450"/>
        </w:tabs>
        <w:spacing w:after="0" w:line="360" w:lineRule="auto"/>
        <w:ind w:left="360"/>
        <w:jc w:val="both"/>
        <w:rPr>
          <w:rFonts w:ascii="Times New Roman" w:eastAsia="Times New Roman" w:hAnsi="Times New Roman" w:cs="Times New Roman"/>
          <w:sz w:val="24"/>
          <w:szCs w:val="24"/>
        </w:rPr>
      </w:pPr>
      <w:r w:rsidRPr="0085535D">
        <w:rPr>
          <w:rFonts w:ascii="Times New Roman" w:eastAsia="Times New Roman" w:hAnsi="Times New Roman" w:cs="Times New Roman"/>
          <w:sz w:val="24"/>
          <w:szCs w:val="24"/>
        </w:rPr>
        <w:t xml:space="preserve">Peters FT, Maurer HH. Bioanalytical method validation in forensic toxicology. </w:t>
      </w:r>
      <w:proofErr w:type="spellStart"/>
      <w:r w:rsidRPr="0085535D">
        <w:rPr>
          <w:rFonts w:ascii="Times New Roman" w:eastAsia="Times New Roman" w:hAnsi="Times New Roman" w:cs="Times New Roman"/>
          <w:i/>
          <w:iCs/>
          <w:sz w:val="24"/>
          <w:szCs w:val="24"/>
        </w:rPr>
        <w:t>Accred</w:t>
      </w:r>
      <w:proofErr w:type="spellEnd"/>
      <w:r w:rsidRPr="0085535D">
        <w:rPr>
          <w:rFonts w:ascii="Times New Roman" w:eastAsia="Times New Roman" w:hAnsi="Times New Roman" w:cs="Times New Roman"/>
          <w:i/>
          <w:iCs/>
          <w:sz w:val="24"/>
          <w:szCs w:val="24"/>
        </w:rPr>
        <w:t xml:space="preserve"> Qual Assur</w:t>
      </w:r>
      <w:r w:rsidRPr="0085535D">
        <w:rPr>
          <w:rFonts w:ascii="Times New Roman" w:eastAsia="Times New Roman" w:hAnsi="Times New Roman" w:cs="Times New Roman"/>
          <w:sz w:val="24"/>
          <w:szCs w:val="24"/>
        </w:rPr>
        <w:t>. 2002;7(8):441–9.</w:t>
      </w:r>
    </w:p>
    <w:p w14:paraId="19BDCD9F" w14:textId="77777777" w:rsidR="00586838" w:rsidRPr="0085535D" w:rsidRDefault="00586838" w:rsidP="00413350">
      <w:pPr>
        <w:numPr>
          <w:ilvl w:val="0"/>
          <w:numId w:val="13"/>
        </w:numPr>
        <w:tabs>
          <w:tab w:val="clear" w:pos="720"/>
          <w:tab w:val="num" w:pos="450"/>
        </w:tabs>
        <w:spacing w:after="0" w:line="360" w:lineRule="auto"/>
        <w:ind w:left="360"/>
        <w:jc w:val="both"/>
        <w:rPr>
          <w:rFonts w:ascii="Times New Roman" w:eastAsia="Times New Roman" w:hAnsi="Times New Roman" w:cs="Times New Roman"/>
          <w:sz w:val="24"/>
          <w:szCs w:val="24"/>
        </w:rPr>
      </w:pPr>
      <w:proofErr w:type="spellStart"/>
      <w:r w:rsidRPr="0085535D">
        <w:rPr>
          <w:rFonts w:ascii="Times New Roman" w:eastAsia="Times New Roman" w:hAnsi="Times New Roman" w:cs="Times New Roman"/>
          <w:sz w:val="24"/>
          <w:szCs w:val="24"/>
        </w:rPr>
        <w:lastRenderedPageBreak/>
        <w:t>Kall</w:t>
      </w:r>
      <w:proofErr w:type="spellEnd"/>
      <w:r w:rsidRPr="0085535D">
        <w:rPr>
          <w:rFonts w:ascii="Times New Roman" w:eastAsia="Times New Roman" w:hAnsi="Times New Roman" w:cs="Times New Roman"/>
          <w:sz w:val="24"/>
          <w:szCs w:val="24"/>
        </w:rPr>
        <w:t xml:space="preserve"> MA, Rohde M, Jorgensen M. Quantitative bioanalysis in drug development. </w:t>
      </w:r>
      <w:r w:rsidRPr="0085535D">
        <w:rPr>
          <w:rFonts w:ascii="Times New Roman" w:eastAsia="Times New Roman" w:hAnsi="Times New Roman" w:cs="Times New Roman"/>
          <w:i/>
          <w:iCs/>
          <w:sz w:val="24"/>
          <w:szCs w:val="24"/>
        </w:rPr>
        <w:t>Bioanalysis</w:t>
      </w:r>
      <w:r w:rsidRPr="0085535D">
        <w:rPr>
          <w:rFonts w:ascii="Times New Roman" w:eastAsia="Times New Roman" w:hAnsi="Times New Roman" w:cs="Times New Roman"/>
          <w:sz w:val="24"/>
          <w:szCs w:val="24"/>
        </w:rPr>
        <w:t>. 2015;7(16):2053–68.</w:t>
      </w:r>
    </w:p>
    <w:sectPr w:rsidR="00586838" w:rsidRPr="00855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48B"/>
    <w:multiLevelType w:val="multilevel"/>
    <w:tmpl w:val="1D0EE34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A045F"/>
    <w:multiLevelType w:val="multilevel"/>
    <w:tmpl w:val="B47A5D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22AD0"/>
    <w:multiLevelType w:val="multilevel"/>
    <w:tmpl w:val="5B16B89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1783C"/>
    <w:multiLevelType w:val="multilevel"/>
    <w:tmpl w:val="D23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22D74"/>
    <w:multiLevelType w:val="multilevel"/>
    <w:tmpl w:val="D90C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D49FD"/>
    <w:multiLevelType w:val="multilevel"/>
    <w:tmpl w:val="5456C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604A9"/>
    <w:multiLevelType w:val="multilevel"/>
    <w:tmpl w:val="F58825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646648"/>
    <w:multiLevelType w:val="multilevel"/>
    <w:tmpl w:val="379CA6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740445"/>
    <w:multiLevelType w:val="multilevel"/>
    <w:tmpl w:val="DCD2EE8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44CFA"/>
    <w:multiLevelType w:val="multilevel"/>
    <w:tmpl w:val="D44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C65923"/>
    <w:multiLevelType w:val="multilevel"/>
    <w:tmpl w:val="DDDC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637D1"/>
    <w:multiLevelType w:val="multilevel"/>
    <w:tmpl w:val="FF8A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6662DA"/>
    <w:multiLevelType w:val="multilevel"/>
    <w:tmpl w:val="2DB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60BCF"/>
    <w:multiLevelType w:val="multilevel"/>
    <w:tmpl w:val="55C24AF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12"/>
  </w:num>
  <w:num w:numId="4">
    <w:abstractNumId w:val="11"/>
  </w:num>
  <w:num w:numId="5">
    <w:abstractNumId w:val="9"/>
  </w:num>
  <w:num w:numId="6">
    <w:abstractNumId w:val="5"/>
  </w:num>
  <w:num w:numId="7">
    <w:abstractNumId w:val="7"/>
  </w:num>
  <w:num w:numId="8">
    <w:abstractNumId w:val="1"/>
  </w:num>
  <w:num w:numId="9">
    <w:abstractNumId w:val="13"/>
  </w:num>
  <w:num w:numId="10">
    <w:abstractNumId w:val="8"/>
  </w:num>
  <w:num w:numId="11">
    <w:abstractNumId w:val="2"/>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wNDGwtDAFMsxNDJR0lIJTi4sz8/NACoxqAUmjAnIsAAAA"/>
  </w:docVars>
  <w:rsids>
    <w:rsidRoot w:val="00A83E7D"/>
    <w:rsid w:val="000C4623"/>
    <w:rsid w:val="000C75FC"/>
    <w:rsid w:val="00280C7B"/>
    <w:rsid w:val="002A5041"/>
    <w:rsid w:val="002E25CA"/>
    <w:rsid w:val="0035392C"/>
    <w:rsid w:val="00396F9D"/>
    <w:rsid w:val="00413350"/>
    <w:rsid w:val="00432D82"/>
    <w:rsid w:val="00446D55"/>
    <w:rsid w:val="00457E9C"/>
    <w:rsid w:val="00496636"/>
    <w:rsid w:val="004E6B73"/>
    <w:rsid w:val="00501F50"/>
    <w:rsid w:val="00560032"/>
    <w:rsid w:val="00586838"/>
    <w:rsid w:val="006A784A"/>
    <w:rsid w:val="006D2473"/>
    <w:rsid w:val="006D5D84"/>
    <w:rsid w:val="0071246F"/>
    <w:rsid w:val="00756467"/>
    <w:rsid w:val="00810FCB"/>
    <w:rsid w:val="0085535D"/>
    <w:rsid w:val="008A4F43"/>
    <w:rsid w:val="009705E9"/>
    <w:rsid w:val="009F2FDA"/>
    <w:rsid w:val="009F4BEB"/>
    <w:rsid w:val="00A83E7D"/>
    <w:rsid w:val="00B95ED1"/>
    <w:rsid w:val="00BD18A0"/>
    <w:rsid w:val="00C827B3"/>
    <w:rsid w:val="00D0015C"/>
    <w:rsid w:val="00EB33D6"/>
    <w:rsid w:val="00FE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EAE4"/>
  <w15:chartTrackingRefBased/>
  <w15:docId w15:val="{85B70EA1-B206-4504-8934-FEEDAD44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68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8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8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8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8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838"/>
    <w:rPr>
      <w:rFonts w:ascii="Times New Roman" w:eastAsia="Times New Roman" w:hAnsi="Times New Roman" w:cs="Times New Roman"/>
      <w:b/>
      <w:bCs/>
      <w:sz w:val="27"/>
      <w:szCs w:val="27"/>
    </w:rPr>
  </w:style>
  <w:style w:type="paragraph" w:styleId="NormalWeb">
    <w:name w:val="Normal (Web)"/>
    <w:basedOn w:val="Normal"/>
    <w:link w:val="NormalWebChar"/>
    <w:uiPriority w:val="99"/>
    <w:unhideWhenUsed/>
    <w:qFormat/>
    <w:rsid w:val="005868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838"/>
    <w:rPr>
      <w:b/>
      <w:bCs/>
    </w:rPr>
  </w:style>
  <w:style w:type="character" w:styleId="Emphasis">
    <w:name w:val="Emphasis"/>
    <w:basedOn w:val="DefaultParagraphFont"/>
    <w:uiPriority w:val="20"/>
    <w:qFormat/>
    <w:rsid w:val="00586838"/>
    <w:rPr>
      <w:i/>
      <w:iCs/>
    </w:rPr>
  </w:style>
  <w:style w:type="character" w:customStyle="1" w:styleId="NormalWebChar">
    <w:name w:val="Normal (Web) Char"/>
    <w:link w:val="NormalWeb"/>
    <w:uiPriority w:val="99"/>
    <w:qFormat/>
    <w:locked/>
    <w:rsid w:val="00280C7B"/>
    <w:rPr>
      <w:rFonts w:ascii="Times New Roman" w:eastAsia="Times New Roman" w:hAnsi="Times New Roman" w:cs="Times New Roman"/>
      <w:sz w:val="24"/>
      <w:szCs w:val="24"/>
    </w:rPr>
  </w:style>
  <w:style w:type="paragraph" w:customStyle="1" w:styleId="IEEETitle">
    <w:name w:val="IEEE Title"/>
    <w:basedOn w:val="Normal"/>
    <w:next w:val="Normal"/>
    <w:qFormat/>
    <w:rsid w:val="00280C7B"/>
    <w:pPr>
      <w:adjustRightInd w:val="0"/>
      <w:snapToGrid w:val="0"/>
      <w:spacing w:after="0" w:line="240" w:lineRule="auto"/>
      <w:jc w:val="center"/>
    </w:pPr>
    <w:rPr>
      <w:rFonts w:ascii="Times New Roman" w:eastAsia="SimSun" w:hAnsi="Times New Roman" w:cs="Times New Roman"/>
      <w:sz w:val="48"/>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694086">
      <w:bodyDiv w:val="1"/>
      <w:marLeft w:val="0"/>
      <w:marRight w:val="0"/>
      <w:marTop w:val="0"/>
      <w:marBottom w:val="0"/>
      <w:divBdr>
        <w:top w:val="none" w:sz="0" w:space="0" w:color="auto"/>
        <w:left w:val="none" w:sz="0" w:space="0" w:color="auto"/>
        <w:bottom w:val="none" w:sz="0" w:space="0" w:color="auto"/>
        <w:right w:val="none" w:sz="0" w:space="0" w:color="auto"/>
      </w:divBdr>
    </w:div>
    <w:div w:id="704257405">
      <w:bodyDiv w:val="1"/>
      <w:marLeft w:val="0"/>
      <w:marRight w:val="0"/>
      <w:marTop w:val="0"/>
      <w:marBottom w:val="0"/>
      <w:divBdr>
        <w:top w:val="none" w:sz="0" w:space="0" w:color="auto"/>
        <w:left w:val="none" w:sz="0" w:space="0" w:color="auto"/>
        <w:bottom w:val="none" w:sz="0" w:space="0" w:color="auto"/>
        <w:right w:val="none" w:sz="0" w:space="0" w:color="auto"/>
      </w:divBdr>
    </w:div>
    <w:div w:id="744689893">
      <w:bodyDiv w:val="1"/>
      <w:marLeft w:val="0"/>
      <w:marRight w:val="0"/>
      <w:marTop w:val="0"/>
      <w:marBottom w:val="0"/>
      <w:divBdr>
        <w:top w:val="none" w:sz="0" w:space="0" w:color="auto"/>
        <w:left w:val="none" w:sz="0" w:space="0" w:color="auto"/>
        <w:bottom w:val="none" w:sz="0" w:space="0" w:color="auto"/>
        <w:right w:val="none" w:sz="0" w:space="0" w:color="auto"/>
      </w:divBdr>
    </w:div>
    <w:div w:id="768162472">
      <w:bodyDiv w:val="1"/>
      <w:marLeft w:val="0"/>
      <w:marRight w:val="0"/>
      <w:marTop w:val="0"/>
      <w:marBottom w:val="0"/>
      <w:divBdr>
        <w:top w:val="none" w:sz="0" w:space="0" w:color="auto"/>
        <w:left w:val="none" w:sz="0" w:space="0" w:color="auto"/>
        <w:bottom w:val="none" w:sz="0" w:space="0" w:color="auto"/>
        <w:right w:val="none" w:sz="0" w:space="0" w:color="auto"/>
      </w:divBdr>
    </w:div>
    <w:div w:id="1087195566">
      <w:bodyDiv w:val="1"/>
      <w:marLeft w:val="0"/>
      <w:marRight w:val="0"/>
      <w:marTop w:val="0"/>
      <w:marBottom w:val="0"/>
      <w:divBdr>
        <w:top w:val="none" w:sz="0" w:space="0" w:color="auto"/>
        <w:left w:val="none" w:sz="0" w:space="0" w:color="auto"/>
        <w:bottom w:val="none" w:sz="0" w:space="0" w:color="auto"/>
        <w:right w:val="none" w:sz="0" w:space="0" w:color="auto"/>
      </w:divBdr>
    </w:div>
    <w:div w:id="1292906578">
      <w:bodyDiv w:val="1"/>
      <w:marLeft w:val="0"/>
      <w:marRight w:val="0"/>
      <w:marTop w:val="0"/>
      <w:marBottom w:val="0"/>
      <w:divBdr>
        <w:top w:val="none" w:sz="0" w:space="0" w:color="auto"/>
        <w:left w:val="none" w:sz="0" w:space="0" w:color="auto"/>
        <w:bottom w:val="none" w:sz="0" w:space="0" w:color="auto"/>
        <w:right w:val="none" w:sz="0" w:space="0" w:color="auto"/>
      </w:divBdr>
    </w:div>
    <w:div w:id="1522547602">
      <w:bodyDiv w:val="1"/>
      <w:marLeft w:val="0"/>
      <w:marRight w:val="0"/>
      <w:marTop w:val="0"/>
      <w:marBottom w:val="0"/>
      <w:divBdr>
        <w:top w:val="none" w:sz="0" w:space="0" w:color="auto"/>
        <w:left w:val="none" w:sz="0" w:space="0" w:color="auto"/>
        <w:bottom w:val="none" w:sz="0" w:space="0" w:color="auto"/>
        <w:right w:val="none" w:sz="0" w:space="0" w:color="auto"/>
      </w:divBdr>
    </w:div>
    <w:div w:id="1745373708">
      <w:bodyDiv w:val="1"/>
      <w:marLeft w:val="0"/>
      <w:marRight w:val="0"/>
      <w:marTop w:val="0"/>
      <w:marBottom w:val="0"/>
      <w:divBdr>
        <w:top w:val="none" w:sz="0" w:space="0" w:color="auto"/>
        <w:left w:val="none" w:sz="0" w:space="0" w:color="auto"/>
        <w:bottom w:val="none" w:sz="0" w:space="0" w:color="auto"/>
        <w:right w:val="none" w:sz="0" w:space="0" w:color="auto"/>
      </w:divBdr>
    </w:div>
    <w:div w:id="1833831092">
      <w:bodyDiv w:val="1"/>
      <w:marLeft w:val="0"/>
      <w:marRight w:val="0"/>
      <w:marTop w:val="0"/>
      <w:marBottom w:val="0"/>
      <w:divBdr>
        <w:top w:val="none" w:sz="0" w:space="0" w:color="auto"/>
        <w:left w:val="none" w:sz="0" w:space="0" w:color="auto"/>
        <w:bottom w:val="none" w:sz="0" w:space="0" w:color="auto"/>
        <w:right w:val="none" w:sz="0" w:space="0" w:color="auto"/>
      </w:divBdr>
    </w:div>
    <w:div w:id="19299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22</Pages>
  <Words>6616</Words>
  <Characters>37716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13</cp:revision>
  <dcterms:created xsi:type="dcterms:W3CDTF">2026-03-19T10:09:00Z</dcterms:created>
  <dcterms:modified xsi:type="dcterms:W3CDTF">2026-03-25T07:49:00Z</dcterms:modified>
</cp:coreProperties>
</file>